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5D4D7" w14:textId="1CCE6CD9" w:rsidR="00365526" w:rsidRPr="00FA2C3F" w:rsidRDefault="00365526" w:rsidP="00365526">
      <w:pPr>
        <w:spacing w:line="480" w:lineRule="auto"/>
        <w:jc w:val="center"/>
        <w:rPr>
          <w:b/>
          <w:bCs/>
          <w:sz w:val="28"/>
          <w:szCs w:val="28"/>
          <w:lang w:val="en-CA"/>
        </w:rPr>
      </w:pPr>
      <w:r w:rsidRPr="00FA2C3F">
        <w:rPr>
          <w:b/>
          <w:bCs/>
          <w:sz w:val="28"/>
          <w:szCs w:val="28"/>
          <w:lang w:val="en-CA"/>
        </w:rPr>
        <w:t xml:space="preserve">THEORETICAL AND QUANTITATIVE </w:t>
      </w:r>
      <w:r w:rsidR="007B4551">
        <w:rPr>
          <w:b/>
          <w:bCs/>
          <w:sz w:val="28"/>
          <w:szCs w:val="28"/>
          <w:lang w:val="en-CA"/>
        </w:rPr>
        <w:t xml:space="preserve">METHODS </w:t>
      </w:r>
      <w:r w:rsidR="00387FF4">
        <w:rPr>
          <w:b/>
          <w:bCs/>
          <w:sz w:val="28"/>
          <w:szCs w:val="28"/>
          <w:lang w:val="en-CA"/>
        </w:rPr>
        <w:t xml:space="preserve">FOR </w:t>
      </w:r>
      <w:r w:rsidR="007B4551">
        <w:rPr>
          <w:b/>
          <w:bCs/>
          <w:sz w:val="28"/>
          <w:szCs w:val="28"/>
          <w:lang w:val="en-CA"/>
        </w:rPr>
        <w:t xml:space="preserve">CHARACTERIZING </w:t>
      </w:r>
      <w:r w:rsidRPr="00FA2C3F">
        <w:rPr>
          <w:b/>
          <w:bCs/>
          <w:sz w:val="28"/>
          <w:szCs w:val="28"/>
          <w:lang w:val="en-CA"/>
        </w:rPr>
        <w:t>MICORIBAL</w:t>
      </w:r>
      <w:r w:rsidR="00162573">
        <w:rPr>
          <w:b/>
          <w:bCs/>
          <w:sz w:val="28"/>
          <w:szCs w:val="28"/>
          <w:lang w:val="en-CA"/>
        </w:rPr>
        <w:t xml:space="preserve"> METABOLISM</w:t>
      </w:r>
      <w:r w:rsidRPr="00FA2C3F">
        <w:rPr>
          <w:b/>
          <w:bCs/>
          <w:sz w:val="28"/>
          <w:szCs w:val="28"/>
          <w:lang w:val="en-CA"/>
        </w:rPr>
        <w:t xml:space="preserve"> DIVERSITY</w:t>
      </w:r>
      <w:r w:rsidR="007B4551">
        <w:rPr>
          <w:b/>
          <w:bCs/>
          <w:sz w:val="28"/>
          <w:szCs w:val="28"/>
          <w:lang w:val="en-CA"/>
        </w:rPr>
        <w:t xml:space="preserve">: IMPLCIATIONS FROM </w:t>
      </w:r>
      <w:r w:rsidR="00387FF4">
        <w:rPr>
          <w:b/>
          <w:bCs/>
          <w:sz w:val="28"/>
          <w:szCs w:val="28"/>
          <w:lang w:val="en-CA"/>
        </w:rPr>
        <w:t xml:space="preserve">PHYLOGENETICS, </w:t>
      </w:r>
      <w:r w:rsidR="007B4551">
        <w:rPr>
          <w:b/>
          <w:bCs/>
          <w:sz w:val="28"/>
          <w:szCs w:val="28"/>
          <w:lang w:val="en-CA"/>
        </w:rPr>
        <w:t xml:space="preserve">COMMUNITY DIVERSITY, AND </w:t>
      </w:r>
      <w:r w:rsidR="00387FF4">
        <w:rPr>
          <w:b/>
          <w:bCs/>
          <w:sz w:val="28"/>
          <w:szCs w:val="28"/>
          <w:lang w:val="en-CA"/>
        </w:rPr>
        <w:t xml:space="preserve">ORGANIC </w:t>
      </w:r>
      <w:r w:rsidR="007B4551">
        <w:rPr>
          <w:b/>
          <w:bCs/>
          <w:sz w:val="28"/>
          <w:szCs w:val="28"/>
          <w:lang w:val="en-CA"/>
        </w:rPr>
        <w:t>GEOC</w:t>
      </w:r>
      <w:r w:rsidR="00387FF4">
        <w:rPr>
          <w:b/>
          <w:bCs/>
          <w:sz w:val="28"/>
          <w:szCs w:val="28"/>
          <w:lang w:val="en-CA"/>
        </w:rPr>
        <w:t>HEMISTRY</w:t>
      </w:r>
    </w:p>
    <w:p w14:paraId="0F4305B0" w14:textId="77777777" w:rsidR="00365526" w:rsidRPr="00F23F20" w:rsidRDefault="00365526" w:rsidP="00365526">
      <w:pPr>
        <w:spacing w:line="480" w:lineRule="auto"/>
        <w:rPr>
          <w:rFonts w:ascii="Times New Roman" w:hAnsi="Times New Roman" w:cs="Times New Roman"/>
        </w:rPr>
      </w:pPr>
    </w:p>
    <w:p w14:paraId="193DF2A7" w14:textId="77777777" w:rsidR="00365526" w:rsidRPr="00F23F20" w:rsidRDefault="00365526" w:rsidP="00365526">
      <w:pPr>
        <w:spacing w:line="480" w:lineRule="auto"/>
        <w:rPr>
          <w:rFonts w:ascii="Times New Roman" w:hAnsi="Times New Roman" w:cs="Times New Roman"/>
        </w:rPr>
      </w:pPr>
    </w:p>
    <w:p w14:paraId="7892AF9B" w14:textId="77777777" w:rsidR="00365526" w:rsidRPr="00F23F20" w:rsidRDefault="00365526" w:rsidP="00365526">
      <w:pPr>
        <w:spacing w:line="480" w:lineRule="auto"/>
        <w:rPr>
          <w:rFonts w:ascii="Times New Roman" w:hAnsi="Times New Roman" w:cs="Times New Roman"/>
        </w:rPr>
      </w:pPr>
    </w:p>
    <w:p w14:paraId="2E67BD54" w14:textId="77777777" w:rsidR="00365526" w:rsidRPr="00F23F20" w:rsidRDefault="00365526" w:rsidP="00365526">
      <w:pPr>
        <w:spacing w:line="480" w:lineRule="auto"/>
        <w:rPr>
          <w:rFonts w:ascii="Times New Roman" w:hAnsi="Times New Roman" w:cs="Times New Roman"/>
        </w:rPr>
      </w:pPr>
    </w:p>
    <w:p w14:paraId="5CD70845" w14:textId="77777777" w:rsidR="00365526" w:rsidRPr="00F23F20" w:rsidRDefault="00365526" w:rsidP="00365526">
      <w:pPr>
        <w:spacing w:line="480" w:lineRule="auto"/>
        <w:rPr>
          <w:rFonts w:ascii="Times New Roman" w:hAnsi="Times New Roman" w:cs="Times New Roman"/>
        </w:rPr>
      </w:pPr>
    </w:p>
    <w:p w14:paraId="40652738" w14:textId="77777777" w:rsidR="00365526" w:rsidRPr="00F23F20" w:rsidRDefault="00365526" w:rsidP="00365526">
      <w:pPr>
        <w:spacing w:line="480" w:lineRule="auto"/>
        <w:rPr>
          <w:rFonts w:ascii="Times New Roman" w:hAnsi="Times New Roman" w:cs="Times New Roman"/>
        </w:rPr>
      </w:pPr>
    </w:p>
    <w:p w14:paraId="039E5542" w14:textId="77777777" w:rsidR="00365526" w:rsidRPr="00F23F20" w:rsidRDefault="00365526" w:rsidP="00365526">
      <w:pPr>
        <w:spacing w:line="480" w:lineRule="auto"/>
        <w:rPr>
          <w:rFonts w:ascii="Times New Roman" w:hAnsi="Times New Roman" w:cs="Times New Roman"/>
        </w:rPr>
      </w:pPr>
    </w:p>
    <w:p w14:paraId="6C396425" w14:textId="77777777" w:rsidR="00365526" w:rsidRPr="00F23F20" w:rsidRDefault="00365526" w:rsidP="00365526">
      <w:pPr>
        <w:pStyle w:val="Title"/>
      </w:pPr>
      <w:r w:rsidRPr="00F23F20">
        <w:t>A Dissertation Presented for the</w:t>
      </w:r>
    </w:p>
    <w:p w14:paraId="70C3CEDB" w14:textId="77777777" w:rsidR="00365526" w:rsidRPr="00F23F20" w:rsidRDefault="00365526" w:rsidP="00365526">
      <w:pPr>
        <w:pStyle w:val="Title"/>
      </w:pPr>
      <w:r w:rsidRPr="00F23F20">
        <w:t>Doctor of Philosophy</w:t>
      </w:r>
    </w:p>
    <w:p w14:paraId="22E3ABA9" w14:textId="77777777" w:rsidR="00365526" w:rsidRPr="00F23F20" w:rsidRDefault="00365526" w:rsidP="00365526">
      <w:pPr>
        <w:pStyle w:val="Title"/>
      </w:pPr>
      <w:r w:rsidRPr="00F23F20">
        <w:t>Degree</w:t>
      </w:r>
    </w:p>
    <w:p w14:paraId="133D2EDD" w14:textId="77777777" w:rsidR="00365526" w:rsidRPr="00F23F20" w:rsidRDefault="00365526" w:rsidP="00365526">
      <w:pPr>
        <w:pStyle w:val="Title"/>
      </w:pPr>
      <w:r w:rsidRPr="00F23F20">
        <w:t>The University of Tennessee, Knoxville</w:t>
      </w:r>
    </w:p>
    <w:p w14:paraId="2D3B9E2A" w14:textId="77777777" w:rsidR="00365526" w:rsidRPr="00F23F20" w:rsidRDefault="00365526" w:rsidP="00365526">
      <w:pPr>
        <w:spacing w:line="480" w:lineRule="auto"/>
        <w:rPr>
          <w:rFonts w:ascii="Times New Roman" w:hAnsi="Times New Roman" w:cs="Times New Roman"/>
        </w:rPr>
      </w:pPr>
    </w:p>
    <w:p w14:paraId="632F8ED7" w14:textId="204516B6" w:rsidR="00365526" w:rsidRDefault="00365526" w:rsidP="00365526">
      <w:pPr>
        <w:spacing w:line="480" w:lineRule="auto"/>
        <w:rPr>
          <w:rFonts w:ascii="Times New Roman" w:hAnsi="Times New Roman" w:cs="Times New Roman"/>
        </w:rPr>
      </w:pPr>
    </w:p>
    <w:p w14:paraId="1404D18F" w14:textId="77777777" w:rsidR="00E94325" w:rsidRPr="00F23F20" w:rsidRDefault="00E94325" w:rsidP="00365526">
      <w:pPr>
        <w:spacing w:line="480" w:lineRule="auto"/>
        <w:rPr>
          <w:rFonts w:ascii="Times New Roman" w:hAnsi="Times New Roman" w:cs="Times New Roman"/>
        </w:rPr>
      </w:pPr>
    </w:p>
    <w:p w14:paraId="3287C94A" w14:textId="77777777" w:rsidR="00365526" w:rsidRPr="00F23F20" w:rsidRDefault="00365526" w:rsidP="00365526">
      <w:pPr>
        <w:pStyle w:val="Title"/>
      </w:pPr>
      <w:r w:rsidRPr="00F23F20">
        <w:t>Committee Members:</w:t>
      </w:r>
    </w:p>
    <w:p w14:paraId="1E41E70A" w14:textId="77777777" w:rsidR="00365526" w:rsidRPr="00F23F20" w:rsidRDefault="00365526" w:rsidP="00365526">
      <w:pPr>
        <w:jc w:val="center"/>
        <w:rPr>
          <w:rFonts w:ascii="Times New Roman" w:hAnsi="Times New Roman" w:cs="Times New Roman"/>
        </w:rPr>
      </w:pPr>
      <w:r w:rsidRPr="00F23F20">
        <w:rPr>
          <w:rFonts w:ascii="Times New Roman" w:hAnsi="Times New Roman" w:cs="Times New Roman"/>
        </w:rPr>
        <w:t>Andrew Steen (chair)</w:t>
      </w:r>
    </w:p>
    <w:p w14:paraId="6149253A" w14:textId="77777777" w:rsidR="00365526" w:rsidRPr="00F23F20" w:rsidRDefault="00365526" w:rsidP="00365526">
      <w:pPr>
        <w:jc w:val="center"/>
        <w:rPr>
          <w:rFonts w:ascii="Times New Roman" w:hAnsi="Times New Roman" w:cs="Times New Roman"/>
        </w:rPr>
      </w:pPr>
      <w:r w:rsidRPr="00F23F20">
        <w:rPr>
          <w:rFonts w:ascii="Times New Roman" w:hAnsi="Times New Roman" w:cs="Times New Roman"/>
        </w:rPr>
        <w:t>Annette Engel</w:t>
      </w:r>
    </w:p>
    <w:p w14:paraId="4E25FD8F" w14:textId="77777777" w:rsidR="00365526" w:rsidRPr="00F23F20" w:rsidRDefault="00365526" w:rsidP="00365526">
      <w:pPr>
        <w:jc w:val="center"/>
        <w:rPr>
          <w:rFonts w:ascii="Times New Roman" w:hAnsi="Times New Roman" w:cs="Times New Roman"/>
        </w:rPr>
      </w:pPr>
      <w:r w:rsidRPr="00F23F20">
        <w:rPr>
          <w:rFonts w:ascii="Times New Roman" w:hAnsi="Times New Roman" w:cs="Times New Roman"/>
        </w:rPr>
        <w:t>Robert Hettich</w:t>
      </w:r>
    </w:p>
    <w:p w14:paraId="227D2879" w14:textId="77777777" w:rsidR="00365526" w:rsidRPr="00F23F20" w:rsidRDefault="00365526" w:rsidP="00365526">
      <w:pPr>
        <w:jc w:val="center"/>
        <w:rPr>
          <w:rFonts w:ascii="Times New Roman" w:hAnsi="Times New Roman" w:cs="Times New Roman"/>
        </w:rPr>
      </w:pPr>
      <w:r w:rsidRPr="00F23F20">
        <w:rPr>
          <w:rFonts w:ascii="Times New Roman" w:hAnsi="Times New Roman" w:cs="Times New Roman"/>
        </w:rPr>
        <w:t xml:space="preserve">Anna </w:t>
      </w:r>
      <w:proofErr w:type="spellStart"/>
      <w:r w:rsidRPr="00F23F20">
        <w:rPr>
          <w:rFonts w:ascii="Times New Roman" w:hAnsi="Times New Roman" w:cs="Times New Roman"/>
        </w:rPr>
        <w:t>Szynkiewicz</w:t>
      </w:r>
      <w:proofErr w:type="spellEnd"/>
    </w:p>
    <w:p w14:paraId="3DCA9864" w14:textId="77777777" w:rsidR="00E94325" w:rsidRPr="00F23F20" w:rsidRDefault="00E94325" w:rsidP="00365526">
      <w:pPr>
        <w:spacing w:line="480" w:lineRule="auto"/>
        <w:rPr>
          <w:rFonts w:ascii="Times New Roman" w:hAnsi="Times New Roman" w:cs="Times New Roman"/>
        </w:rPr>
      </w:pPr>
    </w:p>
    <w:p w14:paraId="6B1874E2" w14:textId="77777777" w:rsidR="005A7F18" w:rsidRDefault="005A7F18" w:rsidP="005937AB">
      <w:pPr>
        <w:pStyle w:val="Title"/>
      </w:pPr>
    </w:p>
    <w:p w14:paraId="1124390B" w14:textId="4F1B7305" w:rsidR="00365526" w:rsidRDefault="00365526" w:rsidP="005937AB">
      <w:pPr>
        <w:pStyle w:val="Title"/>
      </w:pPr>
      <w:r w:rsidRPr="00F23F20">
        <w:t>Taylor M. Royalty</w:t>
      </w:r>
    </w:p>
    <w:p w14:paraId="35AD07A8" w14:textId="2448FBCA" w:rsidR="005A7F18" w:rsidRDefault="005937AB" w:rsidP="005A7F18">
      <w:pPr>
        <w:pStyle w:val="Title"/>
      </w:pPr>
      <w:r>
        <w:t>August 2020</w:t>
      </w:r>
      <w:r w:rsidR="00365526" w:rsidRPr="00F23F20">
        <w:br w:type="page"/>
      </w:r>
    </w:p>
    <w:p w14:paraId="4A0B7566" w14:textId="77777777" w:rsidR="00365526" w:rsidRPr="00F23F20" w:rsidRDefault="00365526" w:rsidP="00365526">
      <w:pPr>
        <w:pStyle w:val="AltHeading1"/>
      </w:pPr>
      <w:bookmarkStart w:id="0" w:name="_Toc41908068"/>
      <w:r w:rsidRPr="00F23F20">
        <w:lastRenderedPageBreak/>
        <w:t>Dedication</w:t>
      </w:r>
      <w:bookmarkEnd w:id="0"/>
    </w:p>
    <w:p w14:paraId="34A39AD4" w14:textId="77777777"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rPr>
        <w:t>I dedicate this to my daughter and wife.</w:t>
      </w:r>
    </w:p>
    <w:p w14:paraId="03778984" w14:textId="77777777" w:rsidR="00365526" w:rsidRPr="00F23F20" w:rsidRDefault="00365526" w:rsidP="00365526">
      <w:pPr>
        <w:rPr>
          <w:rFonts w:ascii="Times New Roman" w:hAnsi="Times New Roman" w:cs="Times New Roman"/>
          <w:sz w:val="28"/>
          <w:szCs w:val="28"/>
        </w:rPr>
      </w:pPr>
      <w:r w:rsidRPr="00F23F20">
        <w:rPr>
          <w:rFonts w:ascii="Times New Roman" w:hAnsi="Times New Roman" w:cs="Times New Roman"/>
        </w:rPr>
        <w:br w:type="page"/>
      </w:r>
    </w:p>
    <w:p w14:paraId="1BE33FE8" w14:textId="77777777" w:rsidR="00365526" w:rsidRDefault="00365526" w:rsidP="00365526">
      <w:pPr>
        <w:pStyle w:val="AltHeading1"/>
      </w:pPr>
      <w:bookmarkStart w:id="1" w:name="_Toc41908069"/>
      <w:r w:rsidRPr="00F23F20">
        <w:lastRenderedPageBreak/>
        <w:t>Acknowledgements</w:t>
      </w:r>
      <w:bookmarkEnd w:id="1"/>
    </w:p>
    <w:p w14:paraId="35F87402" w14:textId="77777777" w:rsidR="00365526" w:rsidRPr="004F79A6" w:rsidRDefault="00365526" w:rsidP="00365526">
      <w:pPr>
        <w:spacing w:line="480" w:lineRule="auto"/>
        <w:ind w:firstLine="720"/>
        <w:rPr>
          <w:rFonts w:ascii="Times New Roman" w:hAnsi="Times New Roman" w:cs="Times New Roman"/>
        </w:rPr>
      </w:pPr>
      <w:r>
        <w:rPr>
          <w:rFonts w:ascii="Times New Roman" w:hAnsi="Times New Roman" w:cs="Times New Roman"/>
        </w:rPr>
        <w:t>For Chapter One, I</w:t>
      </w:r>
      <w:r w:rsidRPr="004F79A6">
        <w:rPr>
          <w:rFonts w:ascii="Times New Roman" w:hAnsi="Times New Roman" w:cs="Times New Roman"/>
        </w:rPr>
        <w:t xml:space="preserve"> thank Chad </w:t>
      </w:r>
      <w:proofErr w:type="spellStart"/>
      <w:r w:rsidRPr="004F79A6">
        <w:rPr>
          <w:rFonts w:ascii="Times New Roman" w:hAnsi="Times New Roman" w:cs="Times New Roman"/>
        </w:rPr>
        <w:t>Burdyshaw</w:t>
      </w:r>
      <w:proofErr w:type="spellEnd"/>
      <w:r w:rsidRPr="004F79A6">
        <w:rPr>
          <w:rFonts w:ascii="Times New Roman" w:hAnsi="Times New Roman" w:cs="Times New Roman"/>
        </w:rPr>
        <w:t xml:space="preserve"> of JICS for help obtaining the genomes used in this project</w:t>
      </w:r>
      <w:r>
        <w:rPr>
          <w:rFonts w:ascii="Times New Roman" w:hAnsi="Times New Roman" w:cs="Times New Roman"/>
        </w:rPr>
        <w:t xml:space="preserve"> and </w:t>
      </w:r>
      <w:r w:rsidRPr="004F79A6">
        <w:rPr>
          <w:rFonts w:ascii="Times New Roman" w:hAnsi="Times New Roman" w:cs="Times New Roman"/>
        </w:rPr>
        <w:t xml:space="preserve">C-DEBI </w:t>
      </w:r>
      <w:r>
        <w:rPr>
          <w:rFonts w:ascii="Times New Roman" w:hAnsi="Times New Roman" w:cs="Times New Roman"/>
        </w:rPr>
        <w:t xml:space="preserve">for funding my </w:t>
      </w:r>
      <w:r w:rsidRPr="004F79A6">
        <w:rPr>
          <w:rFonts w:ascii="Times New Roman" w:hAnsi="Times New Roman" w:cs="Times New Roman"/>
        </w:rPr>
        <w:t>graduate fellowship.</w:t>
      </w:r>
      <w:r>
        <w:rPr>
          <w:rFonts w:ascii="Times New Roman" w:hAnsi="Times New Roman" w:cs="Times New Roman"/>
        </w:rPr>
        <w:t xml:space="preserve"> For Chapter Two, I thank C-DEBI for funding my graduate fellowship. For Chapter Three, I thank Dr. Karen Lloyd for providing feedback on the original draft of this chapter as well as C-DEBI for funding my graduate fellowship. For Chapter Four, I thank Dr. Anthony </w:t>
      </w:r>
      <w:proofErr w:type="spellStart"/>
      <w:r>
        <w:rPr>
          <w:rFonts w:ascii="Times New Roman" w:hAnsi="Times New Roman" w:cs="Times New Roman"/>
        </w:rPr>
        <w:t>Faiia</w:t>
      </w:r>
      <w:proofErr w:type="spellEnd"/>
      <w:r>
        <w:rPr>
          <w:rFonts w:ascii="Times New Roman" w:hAnsi="Times New Roman" w:cs="Times New Roman"/>
        </w:rPr>
        <w:t xml:space="preserve"> from the UTK Stable Isotope Lab for providing expertise on ion chromatography and isotope measurements, Roberto Diaz for making methane measurements, Dr. Karen Lloyd for providing insights about geochemistry at the White Oak River estuary, and C-DEBI for funding my graduate fellowship. Lastly, I thank Drew for guiding me through all aspects of the Ph.D. </w:t>
      </w:r>
    </w:p>
    <w:p w14:paraId="17873C7B" w14:textId="77777777" w:rsidR="00365526" w:rsidRPr="00F23F20" w:rsidRDefault="00365526" w:rsidP="00365526">
      <w:pPr>
        <w:spacing w:line="480" w:lineRule="auto"/>
        <w:rPr>
          <w:rFonts w:ascii="Times New Roman" w:hAnsi="Times New Roman" w:cs="Times New Roman"/>
        </w:rPr>
      </w:pPr>
    </w:p>
    <w:p w14:paraId="3A2806A9" w14:textId="77777777" w:rsidR="00365526" w:rsidRPr="00F23F20" w:rsidRDefault="00365526" w:rsidP="00365526">
      <w:pPr>
        <w:spacing w:line="480" w:lineRule="auto"/>
        <w:rPr>
          <w:rFonts w:ascii="Times New Roman" w:hAnsi="Times New Roman" w:cs="Times New Roman"/>
        </w:rPr>
      </w:pPr>
    </w:p>
    <w:p w14:paraId="2C946247" w14:textId="77777777" w:rsidR="00365526" w:rsidRPr="00F23F20" w:rsidRDefault="00365526" w:rsidP="00365526">
      <w:pPr>
        <w:spacing w:line="480" w:lineRule="auto"/>
        <w:rPr>
          <w:rFonts w:ascii="Times New Roman" w:hAnsi="Times New Roman" w:cs="Times New Roman"/>
        </w:rPr>
      </w:pPr>
    </w:p>
    <w:p w14:paraId="538B1250" w14:textId="77777777" w:rsidR="00365526" w:rsidRPr="00F23F20" w:rsidRDefault="00365526" w:rsidP="00365526">
      <w:pPr>
        <w:spacing w:line="480" w:lineRule="auto"/>
        <w:rPr>
          <w:rFonts w:ascii="Times New Roman" w:hAnsi="Times New Roman" w:cs="Times New Roman"/>
        </w:rPr>
      </w:pPr>
    </w:p>
    <w:p w14:paraId="194A5CB5" w14:textId="77777777" w:rsidR="00365526" w:rsidRPr="00F23F20" w:rsidRDefault="00365526" w:rsidP="00365526">
      <w:pPr>
        <w:spacing w:line="480" w:lineRule="auto"/>
        <w:rPr>
          <w:rFonts w:ascii="Times New Roman" w:hAnsi="Times New Roman" w:cs="Times New Roman"/>
        </w:rPr>
      </w:pPr>
    </w:p>
    <w:p w14:paraId="54D356D5" w14:textId="77777777" w:rsidR="00365526" w:rsidRPr="00F23F20" w:rsidRDefault="00365526" w:rsidP="00365526">
      <w:pPr>
        <w:spacing w:line="480" w:lineRule="auto"/>
        <w:rPr>
          <w:rFonts w:ascii="Times New Roman" w:hAnsi="Times New Roman" w:cs="Times New Roman"/>
        </w:rPr>
      </w:pPr>
    </w:p>
    <w:p w14:paraId="4AB7035E" w14:textId="77777777" w:rsidR="00365526" w:rsidRPr="00F23F20" w:rsidRDefault="00365526" w:rsidP="00365526">
      <w:pPr>
        <w:spacing w:line="480" w:lineRule="auto"/>
        <w:rPr>
          <w:rFonts w:ascii="Times New Roman" w:hAnsi="Times New Roman" w:cs="Times New Roman"/>
        </w:rPr>
      </w:pPr>
    </w:p>
    <w:p w14:paraId="6A090CC1" w14:textId="77777777" w:rsidR="00365526" w:rsidRPr="00F23F20" w:rsidRDefault="00365526" w:rsidP="00365526">
      <w:pPr>
        <w:spacing w:line="480" w:lineRule="auto"/>
        <w:rPr>
          <w:rFonts w:ascii="Times New Roman" w:hAnsi="Times New Roman" w:cs="Times New Roman"/>
        </w:rPr>
      </w:pPr>
    </w:p>
    <w:p w14:paraId="783B3F9F" w14:textId="77777777" w:rsidR="00365526" w:rsidRPr="00F23F20" w:rsidRDefault="00365526" w:rsidP="00365526">
      <w:pPr>
        <w:spacing w:line="480" w:lineRule="auto"/>
        <w:rPr>
          <w:rFonts w:ascii="Times New Roman" w:hAnsi="Times New Roman" w:cs="Times New Roman"/>
        </w:rPr>
      </w:pPr>
    </w:p>
    <w:p w14:paraId="1404AC1A" w14:textId="77777777" w:rsidR="00365526" w:rsidRPr="00F23F20" w:rsidRDefault="00365526" w:rsidP="00365526">
      <w:pPr>
        <w:spacing w:line="480" w:lineRule="auto"/>
        <w:rPr>
          <w:rFonts w:ascii="Times New Roman" w:hAnsi="Times New Roman" w:cs="Times New Roman"/>
        </w:rPr>
      </w:pPr>
    </w:p>
    <w:p w14:paraId="124B264F" w14:textId="77777777" w:rsidR="00365526" w:rsidRPr="00F23F20" w:rsidRDefault="00365526" w:rsidP="00365526">
      <w:pPr>
        <w:spacing w:line="480" w:lineRule="auto"/>
        <w:rPr>
          <w:rFonts w:ascii="Times New Roman" w:hAnsi="Times New Roman" w:cs="Times New Roman"/>
        </w:rPr>
      </w:pPr>
    </w:p>
    <w:p w14:paraId="68095567" w14:textId="77777777"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rPr>
        <w:lastRenderedPageBreak/>
        <w:t xml:space="preserve"> </w:t>
      </w:r>
    </w:p>
    <w:p w14:paraId="491E2CCE" w14:textId="77777777" w:rsidR="00365526" w:rsidRPr="00F23F20" w:rsidRDefault="00365526" w:rsidP="00365526">
      <w:pPr>
        <w:pStyle w:val="AltHeading1"/>
      </w:pPr>
      <w:r w:rsidRPr="00F23F20">
        <w:br w:type="page"/>
      </w:r>
      <w:bookmarkStart w:id="2" w:name="_Toc41908070"/>
      <w:r w:rsidRPr="00F23F20">
        <w:lastRenderedPageBreak/>
        <w:t>A</w:t>
      </w:r>
      <w:r>
        <w:t>bstract</w:t>
      </w:r>
      <w:bookmarkEnd w:id="2"/>
    </w:p>
    <w:p w14:paraId="7A4E84F9" w14:textId="5DDE38FA" w:rsidR="00365526" w:rsidRPr="00F23F20" w:rsidRDefault="001A0F13" w:rsidP="00365526">
      <w:pPr>
        <w:spacing w:line="480" w:lineRule="auto"/>
        <w:ind w:firstLine="720"/>
        <w:rPr>
          <w:rFonts w:ascii="Times New Roman" w:hAnsi="Times New Roman" w:cs="Times New Roman"/>
        </w:rPr>
      </w:pPr>
      <w:r>
        <w:rPr>
          <w:rFonts w:ascii="Times New Roman" w:hAnsi="Times New Roman" w:cs="Times New Roman"/>
        </w:rPr>
        <w:t xml:space="preserve">Microbes perform </w:t>
      </w:r>
      <w:r w:rsidR="00B60D9C">
        <w:rPr>
          <w:rFonts w:ascii="Times New Roman" w:hAnsi="Times New Roman" w:cs="Times New Roman"/>
        </w:rPr>
        <w:t xml:space="preserve">geochemical </w:t>
      </w:r>
      <w:r>
        <w:rPr>
          <w:rFonts w:ascii="Times New Roman" w:hAnsi="Times New Roman" w:cs="Times New Roman"/>
        </w:rPr>
        <w:t>transformations</w:t>
      </w:r>
      <w:r w:rsidR="00B60D9C">
        <w:rPr>
          <w:rFonts w:ascii="Times New Roman" w:hAnsi="Times New Roman" w:cs="Times New Roman"/>
        </w:rPr>
        <w:t>, or biogeochemistry, via metabolisms</w:t>
      </w:r>
      <w:r>
        <w:rPr>
          <w:rFonts w:ascii="Times New Roman" w:hAnsi="Times New Roman" w:cs="Times New Roman"/>
        </w:rPr>
        <w:t xml:space="preserve"> to obtain nutrients and energy. </w:t>
      </w:r>
      <w:r w:rsidR="00B60D9C">
        <w:rPr>
          <w:rFonts w:ascii="Times New Roman" w:hAnsi="Times New Roman" w:cs="Times New Roman"/>
        </w:rPr>
        <w:t xml:space="preserve">Thus, </w:t>
      </w:r>
      <w:r w:rsidR="00495564">
        <w:rPr>
          <w:rFonts w:ascii="Times New Roman" w:hAnsi="Times New Roman" w:cs="Times New Roman"/>
        </w:rPr>
        <w:t>microbial metabolism</w:t>
      </w:r>
      <w:r w:rsidR="00964C01">
        <w:rPr>
          <w:rFonts w:ascii="Times New Roman" w:hAnsi="Times New Roman" w:cs="Times New Roman"/>
        </w:rPr>
        <w:t>s</w:t>
      </w:r>
      <w:r w:rsidR="00B60D9C">
        <w:rPr>
          <w:rFonts w:ascii="Times New Roman" w:hAnsi="Times New Roman" w:cs="Times New Roman"/>
        </w:rPr>
        <w:t xml:space="preserve"> direct</w:t>
      </w:r>
      <w:r w:rsidR="00363874">
        <w:rPr>
          <w:rFonts w:ascii="Times New Roman" w:hAnsi="Times New Roman" w:cs="Times New Roman"/>
        </w:rPr>
        <w:t>ly</w:t>
      </w:r>
      <w:r w:rsidR="00B60D9C">
        <w:rPr>
          <w:rFonts w:ascii="Times New Roman" w:hAnsi="Times New Roman" w:cs="Times New Roman"/>
        </w:rPr>
        <w:t xml:space="preserve"> </w:t>
      </w:r>
      <w:r w:rsidR="00964C01">
        <w:rPr>
          <w:rFonts w:ascii="Times New Roman" w:hAnsi="Times New Roman" w:cs="Times New Roman"/>
        </w:rPr>
        <w:t xml:space="preserve">link </w:t>
      </w:r>
      <w:r w:rsidR="00F84046">
        <w:rPr>
          <w:rFonts w:ascii="Times New Roman" w:hAnsi="Times New Roman" w:cs="Times New Roman"/>
        </w:rPr>
        <w:t xml:space="preserve">microbial ecology </w:t>
      </w:r>
      <w:r w:rsidR="005F7023">
        <w:rPr>
          <w:rFonts w:ascii="Times New Roman" w:hAnsi="Times New Roman" w:cs="Times New Roman"/>
        </w:rPr>
        <w:t xml:space="preserve">and </w:t>
      </w:r>
      <w:r w:rsidR="00F7579C">
        <w:rPr>
          <w:rFonts w:ascii="Times New Roman" w:hAnsi="Times New Roman" w:cs="Times New Roman"/>
        </w:rPr>
        <w:t>geochemistry</w:t>
      </w:r>
      <w:r w:rsidR="00F84046">
        <w:rPr>
          <w:rFonts w:ascii="Times New Roman" w:hAnsi="Times New Roman" w:cs="Times New Roman"/>
        </w:rPr>
        <w:t>.</w:t>
      </w:r>
      <w:r w:rsidR="00A563A8">
        <w:rPr>
          <w:rFonts w:ascii="Times New Roman" w:hAnsi="Times New Roman" w:cs="Times New Roman"/>
        </w:rPr>
        <w:t xml:space="preserve"> The extent that one affects the other requires </w:t>
      </w:r>
      <w:r w:rsidR="005174D8">
        <w:rPr>
          <w:rFonts w:ascii="Times New Roman" w:hAnsi="Times New Roman" w:cs="Times New Roman"/>
        </w:rPr>
        <w:t>constrain</w:t>
      </w:r>
      <w:r w:rsidR="00F64B8A">
        <w:rPr>
          <w:rFonts w:ascii="Times New Roman" w:hAnsi="Times New Roman" w:cs="Times New Roman"/>
        </w:rPr>
        <w:t>t</w:t>
      </w:r>
      <w:r w:rsidR="005174D8">
        <w:rPr>
          <w:rFonts w:ascii="Times New Roman" w:hAnsi="Times New Roman" w:cs="Times New Roman"/>
        </w:rPr>
        <w:t xml:space="preserve"> on </w:t>
      </w:r>
      <w:r w:rsidR="00791933">
        <w:rPr>
          <w:rFonts w:ascii="Times New Roman" w:hAnsi="Times New Roman" w:cs="Times New Roman"/>
        </w:rPr>
        <w:t xml:space="preserve">the </w:t>
      </w:r>
      <w:r w:rsidR="00ED0949" w:rsidRPr="00CF3C8F">
        <w:rPr>
          <w:rFonts w:ascii="Times New Roman" w:hAnsi="Times New Roman" w:cs="Times New Roman"/>
        </w:rPr>
        <w:t>spatiotemporal</w:t>
      </w:r>
      <w:r w:rsidR="00791933">
        <w:rPr>
          <w:rFonts w:ascii="Times New Roman" w:hAnsi="Times New Roman" w:cs="Times New Roman"/>
        </w:rPr>
        <w:t xml:space="preserve"> distribution </w:t>
      </w:r>
      <w:r w:rsidR="00F83D3F">
        <w:rPr>
          <w:rFonts w:ascii="Times New Roman" w:hAnsi="Times New Roman" w:cs="Times New Roman"/>
        </w:rPr>
        <w:t xml:space="preserve">and abundance </w:t>
      </w:r>
      <w:r w:rsidR="00791933">
        <w:rPr>
          <w:rFonts w:ascii="Times New Roman" w:hAnsi="Times New Roman" w:cs="Times New Roman"/>
        </w:rPr>
        <w:t xml:space="preserve">of </w:t>
      </w:r>
      <w:r w:rsidR="00A563A8">
        <w:rPr>
          <w:rFonts w:ascii="Times New Roman" w:hAnsi="Times New Roman" w:cs="Times New Roman"/>
        </w:rPr>
        <w:t>microbial metabolisms</w:t>
      </w:r>
      <w:r w:rsidR="00D83124">
        <w:rPr>
          <w:rFonts w:ascii="Times New Roman" w:hAnsi="Times New Roman" w:cs="Times New Roman"/>
        </w:rPr>
        <w:t xml:space="preserve"> with respect to geochemistry</w:t>
      </w:r>
      <w:r w:rsidR="005174D8">
        <w:rPr>
          <w:rFonts w:ascii="Times New Roman" w:hAnsi="Times New Roman" w:cs="Times New Roman"/>
        </w:rPr>
        <w:t>, or the microbial niches</w:t>
      </w:r>
      <w:r w:rsidR="00A563A8">
        <w:rPr>
          <w:rFonts w:ascii="Times New Roman" w:hAnsi="Times New Roman" w:cs="Times New Roman"/>
        </w:rPr>
        <w:t>.</w:t>
      </w:r>
      <w:r w:rsidR="00F84046">
        <w:rPr>
          <w:rFonts w:ascii="Times New Roman" w:hAnsi="Times New Roman" w:cs="Times New Roman"/>
        </w:rPr>
        <w:t xml:space="preserve"> </w:t>
      </w:r>
      <w:r w:rsidR="00D83124">
        <w:rPr>
          <w:rFonts w:ascii="Times New Roman" w:hAnsi="Times New Roman" w:cs="Times New Roman"/>
        </w:rPr>
        <w:t xml:space="preserve">Elucidating </w:t>
      </w:r>
      <w:r w:rsidR="00B60D9C">
        <w:rPr>
          <w:rFonts w:ascii="Times New Roman" w:hAnsi="Times New Roman" w:cs="Times New Roman"/>
        </w:rPr>
        <w:t xml:space="preserve">microbial metabolisms </w:t>
      </w:r>
      <w:r w:rsidR="00DC0C42">
        <w:rPr>
          <w:rFonts w:ascii="Times New Roman" w:hAnsi="Times New Roman" w:cs="Times New Roman"/>
        </w:rPr>
        <w:t xml:space="preserve">was challenging </w:t>
      </w:r>
      <w:r w:rsidR="00D83124">
        <w:rPr>
          <w:rFonts w:ascii="Times New Roman" w:hAnsi="Times New Roman" w:cs="Times New Roman"/>
        </w:rPr>
        <w:t xml:space="preserve">prior to the advent of </w:t>
      </w:r>
      <w:r w:rsidR="00B60D9C">
        <w:rPr>
          <w:rFonts w:ascii="Times New Roman" w:hAnsi="Times New Roman" w:cs="Times New Roman"/>
        </w:rPr>
        <w:t>‘omics sequencing technolog</w:t>
      </w:r>
      <w:r w:rsidR="00791933">
        <w:rPr>
          <w:rFonts w:ascii="Times New Roman" w:hAnsi="Times New Roman" w:cs="Times New Roman"/>
        </w:rPr>
        <w:t>ies</w:t>
      </w:r>
      <w:r w:rsidR="00614780">
        <w:rPr>
          <w:rFonts w:ascii="Times New Roman" w:hAnsi="Times New Roman" w:cs="Times New Roman"/>
        </w:rPr>
        <w:t>,</w:t>
      </w:r>
      <w:r w:rsidR="007E1D7C">
        <w:rPr>
          <w:rFonts w:ascii="Times New Roman" w:hAnsi="Times New Roman" w:cs="Times New Roman"/>
        </w:rPr>
        <w:t xml:space="preserve"> as most microbial lineages lack cultured representatives</w:t>
      </w:r>
      <w:r w:rsidR="00B60D9C">
        <w:rPr>
          <w:rFonts w:ascii="Times New Roman" w:hAnsi="Times New Roman" w:cs="Times New Roman"/>
        </w:rPr>
        <w:t xml:space="preserve">. </w:t>
      </w:r>
      <w:r w:rsidR="00D83124">
        <w:rPr>
          <w:rFonts w:ascii="Times New Roman" w:hAnsi="Times New Roman" w:cs="Times New Roman"/>
        </w:rPr>
        <w:t>Although revolution</w:t>
      </w:r>
      <w:r w:rsidR="00004AB3">
        <w:rPr>
          <w:rFonts w:ascii="Times New Roman" w:hAnsi="Times New Roman" w:cs="Times New Roman"/>
        </w:rPr>
        <w:t>izing microbial ecology</w:t>
      </w:r>
      <w:r w:rsidR="00D83124">
        <w:rPr>
          <w:rFonts w:ascii="Times New Roman" w:hAnsi="Times New Roman" w:cs="Times New Roman"/>
        </w:rPr>
        <w:t>, c</w:t>
      </w:r>
      <w:r w:rsidR="00495564">
        <w:rPr>
          <w:rFonts w:ascii="Times New Roman" w:hAnsi="Times New Roman" w:cs="Times New Roman"/>
        </w:rPr>
        <w:t xml:space="preserve">hallenges </w:t>
      </w:r>
      <w:r w:rsidR="00D83124">
        <w:rPr>
          <w:rFonts w:ascii="Times New Roman" w:hAnsi="Times New Roman" w:cs="Times New Roman"/>
        </w:rPr>
        <w:t xml:space="preserve">still exist </w:t>
      </w:r>
      <w:r w:rsidR="007E1D7C">
        <w:rPr>
          <w:rFonts w:ascii="Times New Roman" w:hAnsi="Times New Roman" w:cs="Times New Roman"/>
        </w:rPr>
        <w:t xml:space="preserve">in </w:t>
      </w:r>
      <w:r w:rsidR="00F54D16">
        <w:rPr>
          <w:rFonts w:ascii="Times New Roman" w:hAnsi="Times New Roman" w:cs="Times New Roman"/>
        </w:rPr>
        <w:t xml:space="preserve">fully leveraging information </w:t>
      </w:r>
      <w:r w:rsidR="00AA7452">
        <w:rPr>
          <w:rFonts w:ascii="Times New Roman" w:hAnsi="Times New Roman" w:cs="Times New Roman"/>
        </w:rPr>
        <w:t xml:space="preserve">derived from </w:t>
      </w:r>
      <w:r w:rsidR="00D83124">
        <w:rPr>
          <w:rFonts w:ascii="Times New Roman" w:hAnsi="Times New Roman" w:cs="Times New Roman"/>
        </w:rPr>
        <w:t>‘omics technologies</w:t>
      </w:r>
      <w:r w:rsidR="00A43D55">
        <w:rPr>
          <w:rFonts w:ascii="Times New Roman" w:hAnsi="Times New Roman" w:cs="Times New Roman"/>
        </w:rPr>
        <w:t>.</w:t>
      </w:r>
      <w:r w:rsidR="00495564">
        <w:rPr>
          <w:rFonts w:ascii="Times New Roman" w:hAnsi="Times New Roman" w:cs="Times New Roman"/>
        </w:rPr>
        <w:t xml:space="preserve"> </w:t>
      </w:r>
      <w:r w:rsidR="007B4551">
        <w:rPr>
          <w:rFonts w:ascii="Times New Roman" w:hAnsi="Times New Roman" w:cs="Times New Roman"/>
        </w:rPr>
        <w:t xml:space="preserve">This project </w:t>
      </w:r>
      <w:r w:rsidR="007E1D7C">
        <w:rPr>
          <w:rFonts w:ascii="Times New Roman" w:hAnsi="Times New Roman" w:cs="Times New Roman"/>
        </w:rPr>
        <w:t xml:space="preserve">attempts to address a small subset of </w:t>
      </w:r>
      <w:r w:rsidR="00EB71D9">
        <w:rPr>
          <w:rFonts w:ascii="Times New Roman" w:hAnsi="Times New Roman" w:cs="Times New Roman"/>
        </w:rPr>
        <w:t xml:space="preserve">these </w:t>
      </w:r>
      <w:r w:rsidR="007E1D7C">
        <w:rPr>
          <w:rFonts w:ascii="Times New Roman" w:hAnsi="Times New Roman" w:cs="Times New Roman"/>
        </w:rPr>
        <w:t>challenges</w:t>
      </w:r>
      <w:r w:rsidR="00270E48">
        <w:rPr>
          <w:rFonts w:ascii="Times New Roman" w:hAnsi="Times New Roman" w:cs="Times New Roman"/>
        </w:rPr>
        <w:t xml:space="preserve"> which </w:t>
      </w:r>
      <w:r w:rsidR="00EB71D9">
        <w:rPr>
          <w:rFonts w:ascii="Times New Roman" w:hAnsi="Times New Roman" w:cs="Times New Roman"/>
        </w:rPr>
        <w:t>include</w:t>
      </w:r>
      <w:r w:rsidR="00270E48">
        <w:rPr>
          <w:rFonts w:ascii="Times New Roman" w:hAnsi="Times New Roman" w:cs="Times New Roman"/>
        </w:rPr>
        <w:t xml:space="preserve"> quantifying the generalizability of </w:t>
      </w:r>
      <w:r w:rsidR="00EB71D9">
        <w:rPr>
          <w:rFonts w:ascii="Times New Roman" w:hAnsi="Times New Roman" w:cs="Times New Roman"/>
        </w:rPr>
        <w:t xml:space="preserve">microbial </w:t>
      </w:r>
      <w:r w:rsidR="00270E48">
        <w:rPr>
          <w:rFonts w:ascii="Times New Roman" w:hAnsi="Times New Roman" w:cs="Times New Roman"/>
        </w:rPr>
        <w:t xml:space="preserve">metabolism with respect to phylogeny, relating metagenomic sequencing effort to </w:t>
      </w:r>
      <w:r w:rsidR="00EB71D9">
        <w:rPr>
          <w:rFonts w:ascii="Times New Roman" w:hAnsi="Times New Roman" w:cs="Times New Roman"/>
          <w:i/>
          <w:iCs/>
        </w:rPr>
        <w:t xml:space="preserve">in situ </w:t>
      </w:r>
      <w:r w:rsidR="00270E48">
        <w:rPr>
          <w:rFonts w:ascii="Times New Roman" w:hAnsi="Times New Roman" w:cs="Times New Roman"/>
        </w:rPr>
        <w:t>genome discovery</w:t>
      </w:r>
      <w:r w:rsidR="00EB71D9">
        <w:rPr>
          <w:rFonts w:ascii="Times New Roman" w:hAnsi="Times New Roman" w:cs="Times New Roman"/>
        </w:rPr>
        <w:t xml:space="preserve"> rates</w:t>
      </w:r>
      <w:r w:rsidR="00270E48">
        <w:rPr>
          <w:rFonts w:ascii="Times New Roman" w:hAnsi="Times New Roman" w:cs="Times New Roman"/>
        </w:rPr>
        <w:t>, quantifying</w:t>
      </w:r>
      <w:r w:rsidR="007D0864">
        <w:rPr>
          <w:rFonts w:ascii="Times New Roman" w:hAnsi="Times New Roman" w:cs="Times New Roman"/>
        </w:rPr>
        <w:t xml:space="preserve"> and generalizing</w:t>
      </w:r>
      <w:r w:rsidR="00270E48">
        <w:rPr>
          <w:rFonts w:ascii="Times New Roman" w:hAnsi="Times New Roman" w:cs="Times New Roman"/>
        </w:rPr>
        <w:t xml:space="preserve"> </w:t>
      </w:r>
      <w:r w:rsidR="00EB71D9">
        <w:rPr>
          <w:rFonts w:ascii="Times New Roman" w:hAnsi="Times New Roman" w:cs="Times New Roman"/>
        </w:rPr>
        <w:t xml:space="preserve">the </w:t>
      </w:r>
      <w:r w:rsidR="003B1F24">
        <w:rPr>
          <w:rFonts w:ascii="Times New Roman" w:hAnsi="Times New Roman" w:cs="Times New Roman"/>
        </w:rPr>
        <w:t xml:space="preserve">relative contribution </w:t>
      </w:r>
      <w:r w:rsidR="00363874">
        <w:rPr>
          <w:rFonts w:ascii="Times New Roman" w:hAnsi="Times New Roman" w:cs="Times New Roman"/>
        </w:rPr>
        <w:t xml:space="preserve">to a </w:t>
      </w:r>
      <w:r w:rsidR="007D0864">
        <w:rPr>
          <w:rFonts w:ascii="Times New Roman" w:hAnsi="Times New Roman" w:cs="Times New Roman"/>
        </w:rPr>
        <w:t>net ecosystem function</w:t>
      </w:r>
      <w:r w:rsidR="003B1F24">
        <w:rPr>
          <w:rFonts w:ascii="Times New Roman" w:hAnsi="Times New Roman" w:cs="Times New Roman"/>
        </w:rPr>
        <w:t xml:space="preserve"> by</w:t>
      </w:r>
      <w:r w:rsidR="00F64B8A">
        <w:rPr>
          <w:rFonts w:ascii="Times New Roman" w:hAnsi="Times New Roman" w:cs="Times New Roman"/>
        </w:rPr>
        <w:t xml:space="preserve"> </w:t>
      </w:r>
      <w:r w:rsidR="00270E48">
        <w:rPr>
          <w:rFonts w:ascii="Times New Roman" w:hAnsi="Times New Roman" w:cs="Times New Roman"/>
        </w:rPr>
        <w:t>community</w:t>
      </w:r>
      <w:r w:rsidR="003B1F24">
        <w:rPr>
          <w:rFonts w:ascii="Times New Roman" w:hAnsi="Times New Roman" w:cs="Times New Roman"/>
        </w:rPr>
        <w:t xml:space="preserve"> members</w:t>
      </w:r>
      <w:r w:rsidR="00270E48">
        <w:rPr>
          <w:rFonts w:ascii="Times New Roman" w:hAnsi="Times New Roman" w:cs="Times New Roman"/>
        </w:rPr>
        <w:t xml:space="preserve">, and </w:t>
      </w:r>
      <w:r w:rsidR="00EB71D9">
        <w:rPr>
          <w:rFonts w:ascii="Times New Roman" w:hAnsi="Times New Roman" w:cs="Times New Roman"/>
        </w:rPr>
        <w:t xml:space="preserve">relating geochemistry </w:t>
      </w:r>
      <w:r w:rsidR="004D40EE">
        <w:rPr>
          <w:rFonts w:ascii="Times New Roman" w:hAnsi="Times New Roman" w:cs="Times New Roman"/>
        </w:rPr>
        <w:t xml:space="preserve">gradients </w:t>
      </w:r>
      <w:r w:rsidR="00EB71D9">
        <w:rPr>
          <w:rFonts w:ascii="Times New Roman" w:hAnsi="Times New Roman" w:cs="Times New Roman"/>
        </w:rPr>
        <w:t>to microbial metabolism</w:t>
      </w:r>
      <w:r w:rsidR="003B1F24">
        <w:rPr>
          <w:rFonts w:ascii="Times New Roman" w:hAnsi="Times New Roman" w:cs="Times New Roman"/>
        </w:rPr>
        <w:t xml:space="preserve"> gradients</w:t>
      </w:r>
      <w:r w:rsidR="007E1D7C">
        <w:rPr>
          <w:rFonts w:ascii="Times New Roman" w:hAnsi="Times New Roman" w:cs="Times New Roman"/>
        </w:rPr>
        <w:t xml:space="preserve">. </w:t>
      </w:r>
      <w:r w:rsidR="004D40EE">
        <w:rPr>
          <w:rFonts w:ascii="Times New Roman" w:hAnsi="Times New Roman" w:cs="Times New Roman"/>
        </w:rPr>
        <w:t xml:space="preserve">As a part of this work, </w:t>
      </w:r>
      <w:r w:rsidR="00DC0C42">
        <w:rPr>
          <w:rFonts w:ascii="Times New Roman" w:hAnsi="Times New Roman" w:cs="Times New Roman"/>
        </w:rPr>
        <w:t xml:space="preserve">theoretical and quantitative measures </w:t>
      </w:r>
      <w:r w:rsidR="004D40EE">
        <w:rPr>
          <w:rFonts w:ascii="Times New Roman" w:hAnsi="Times New Roman" w:cs="Times New Roman"/>
        </w:rPr>
        <w:t xml:space="preserve">were </w:t>
      </w:r>
      <w:r w:rsidR="007E1D7C">
        <w:rPr>
          <w:rFonts w:ascii="Times New Roman" w:hAnsi="Times New Roman" w:cs="Times New Roman"/>
        </w:rPr>
        <w:t>proposed for evaluating microbial metabolism diversity with respect to phylogenetics</w:t>
      </w:r>
      <w:r w:rsidR="008615F4">
        <w:rPr>
          <w:rFonts w:ascii="Times New Roman" w:hAnsi="Times New Roman" w:cs="Times New Roman"/>
        </w:rPr>
        <w:t xml:space="preserve"> (permutational multivariate ANOVA and variance component modeling)</w:t>
      </w:r>
      <w:r w:rsidR="007E1D7C">
        <w:rPr>
          <w:rFonts w:ascii="Times New Roman" w:hAnsi="Times New Roman" w:cs="Times New Roman"/>
        </w:rPr>
        <w:t>, community diversity</w:t>
      </w:r>
      <w:r w:rsidR="008615F4">
        <w:rPr>
          <w:rFonts w:ascii="Times New Roman" w:hAnsi="Times New Roman" w:cs="Times New Roman"/>
        </w:rPr>
        <w:t xml:space="preserve"> (generalized coupon collector</w:t>
      </w:r>
      <w:r w:rsidR="00A44476">
        <w:rPr>
          <w:rFonts w:ascii="Times New Roman" w:hAnsi="Times New Roman" w:cs="Times New Roman"/>
        </w:rPr>
        <w:t xml:space="preserve"> equation</w:t>
      </w:r>
      <w:r w:rsidR="008615F4">
        <w:rPr>
          <w:rFonts w:ascii="Times New Roman" w:hAnsi="Times New Roman" w:cs="Times New Roman"/>
        </w:rPr>
        <w:t>, parametric diversity)</w:t>
      </w:r>
      <w:r w:rsidR="007E1D7C">
        <w:rPr>
          <w:rFonts w:ascii="Times New Roman" w:hAnsi="Times New Roman" w:cs="Times New Roman"/>
        </w:rPr>
        <w:t xml:space="preserve">, and </w:t>
      </w:r>
      <w:r w:rsidR="001F69F9" w:rsidRPr="001F69F9">
        <w:rPr>
          <w:rFonts w:ascii="Times New Roman" w:hAnsi="Times New Roman" w:cs="Times New Roman"/>
          <w:i/>
          <w:iCs/>
        </w:rPr>
        <w:t>in situ</w:t>
      </w:r>
      <w:r w:rsidR="001F69F9">
        <w:rPr>
          <w:rFonts w:ascii="Times New Roman" w:hAnsi="Times New Roman" w:cs="Times New Roman"/>
        </w:rPr>
        <w:t xml:space="preserve"> </w:t>
      </w:r>
      <w:r w:rsidR="007E1D7C">
        <w:rPr>
          <w:rFonts w:ascii="Times New Roman" w:hAnsi="Times New Roman" w:cs="Times New Roman"/>
        </w:rPr>
        <w:t>geochemistry</w:t>
      </w:r>
      <w:r w:rsidR="00363874">
        <w:rPr>
          <w:rFonts w:ascii="Times New Roman" w:hAnsi="Times New Roman" w:cs="Times New Roman"/>
        </w:rPr>
        <w:t xml:space="preserve"> at the field site, White Oak River estuary, Station H, North Carolina, United States</w:t>
      </w:r>
      <w:r w:rsidR="007E1D7C">
        <w:rPr>
          <w:rFonts w:ascii="Times New Roman" w:hAnsi="Times New Roman" w:cs="Times New Roman"/>
        </w:rPr>
        <w:t>. Numerical simulations</w:t>
      </w:r>
      <w:r w:rsidR="008615F4">
        <w:rPr>
          <w:rFonts w:ascii="Times New Roman" w:hAnsi="Times New Roman" w:cs="Times New Roman"/>
        </w:rPr>
        <w:t xml:space="preserve"> (community rarefaction, community extinction</w:t>
      </w:r>
      <w:r w:rsidR="00692ECF">
        <w:rPr>
          <w:rFonts w:ascii="Times New Roman" w:hAnsi="Times New Roman" w:cs="Times New Roman"/>
        </w:rPr>
        <w:t xml:space="preserve"> events</w:t>
      </w:r>
      <w:r w:rsidR="008615F4">
        <w:rPr>
          <w:rFonts w:ascii="Times New Roman" w:hAnsi="Times New Roman" w:cs="Times New Roman"/>
        </w:rPr>
        <w:t>,</w:t>
      </w:r>
      <w:r w:rsidR="001F69F9">
        <w:rPr>
          <w:rFonts w:ascii="Times New Roman" w:hAnsi="Times New Roman" w:cs="Times New Roman"/>
        </w:rPr>
        <w:t xml:space="preserve"> and reacti</w:t>
      </w:r>
      <w:r w:rsidR="00692ECF">
        <w:rPr>
          <w:rFonts w:ascii="Times New Roman" w:hAnsi="Times New Roman" w:cs="Times New Roman"/>
        </w:rPr>
        <w:t>on</w:t>
      </w:r>
      <w:r w:rsidR="001F69F9">
        <w:rPr>
          <w:rFonts w:ascii="Times New Roman" w:hAnsi="Times New Roman" w:cs="Times New Roman"/>
        </w:rPr>
        <w:t>-transport modeling)</w:t>
      </w:r>
      <w:r w:rsidR="008615F4">
        <w:rPr>
          <w:rFonts w:ascii="Times New Roman" w:hAnsi="Times New Roman" w:cs="Times New Roman"/>
        </w:rPr>
        <w:t xml:space="preserve"> </w:t>
      </w:r>
      <w:r w:rsidR="00614780">
        <w:rPr>
          <w:rFonts w:ascii="Times New Roman" w:hAnsi="Times New Roman" w:cs="Times New Roman"/>
        </w:rPr>
        <w:t>and public data</w:t>
      </w:r>
      <w:r w:rsidR="001F69F9">
        <w:rPr>
          <w:rFonts w:ascii="Times New Roman" w:hAnsi="Times New Roman" w:cs="Times New Roman"/>
        </w:rPr>
        <w:t xml:space="preserve"> </w:t>
      </w:r>
      <w:r w:rsidR="00320A21">
        <w:rPr>
          <w:rFonts w:ascii="Times New Roman" w:hAnsi="Times New Roman" w:cs="Times New Roman"/>
        </w:rPr>
        <w:t>repositories</w:t>
      </w:r>
      <w:r w:rsidR="001F69F9">
        <w:rPr>
          <w:rFonts w:ascii="Times New Roman" w:hAnsi="Times New Roman" w:cs="Times New Roman"/>
        </w:rPr>
        <w:t xml:space="preserve"> (Reference Sequence Database, GenBank, Integrated Microbial Genome and Microbiomes,</w:t>
      </w:r>
      <w:r w:rsidR="00614780">
        <w:rPr>
          <w:rFonts w:ascii="Times New Roman" w:hAnsi="Times New Roman" w:cs="Times New Roman"/>
        </w:rPr>
        <w:t xml:space="preserve"> </w:t>
      </w:r>
      <w:r w:rsidR="001F69F9">
        <w:rPr>
          <w:rFonts w:ascii="Times New Roman" w:hAnsi="Times New Roman" w:cs="Times New Roman"/>
        </w:rPr>
        <w:t>and Sequence Read Archive)</w:t>
      </w:r>
      <w:r w:rsidR="00614780">
        <w:rPr>
          <w:rFonts w:ascii="Times New Roman" w:hAnsi="Times New Roman" w:cs="Times New Roman"/>
        </w:rPr>
        <w:t xml:space="preserve"> </w:t>
      </w:r>
      <w:r w:rsidR="007E1D7C">
        <w:rPr>
          <w:rFonts w:ascii="Times New Roman" w:hAnsi="Times New Roman" w:cs="Times New Roman"/>
        </w:rPr>
        <w:t xml:space="preserve">were </w:t>
      </w:r>
      <w:r w:rsidR="00614780">
        <w:rPr>
          <w:rFonts w:ascii="Times New Roman" w:hAnsi="Times New Roman" w:cs="Times New Roman"/>
        </w:rPr>
        <w:t xml:space="preserve">regularly </w:t>
      </w:r>
      <w:r w:rsidR="007E1D7C">
        <w:rPr>
          <w:rFonts w:ascii="Times New Roman" w:hAnsi="Times New Roman" w:cs="Times New Roman"/>
        </w:rPr>
        <w:t>used</w:t>
      </w:r>
      <w:r w:rsidR="003B1F24">
        <w:rPr>
          <w:rFonts w:ascii="Times New Roman" w:hAnsi="Times New Roman" w:cs="Times New Roman"/>
        </w:rPr>
        <w:t xml:space="preserve"> </w:t>
      </w:r>
      <w:r w:rsidR="003B1F24">
        <w:rPr>
          <w:rFonts w:ascii="Times New Roman" w:hAnsi="Times New Roman" w:cs="Times New Roman"/>
        </w:rPr>
        <w:lastRenderedPageBreak/>
        <w:t>for the</w:t>
      </w:r>
      <w:r w:rsidR="00614780">
        <w:rPr>
          <w:rFonts w:ascii="Times New Roman" w:hAnsi="Times New Roman" w:cs="Times New Roman"/>
        </w:rPr>
        <w:t xml:space="preserve"> testing efficacy of the </w:t>
      </w:r>
      <w:r w:rsidR="003A108A">
        <w:rPr>
          <w:rFonts w:ascii="Times New Roman" w:hAnsi="Times New Roman" w:cs="Times New Roman"/>
        </w:rPr>
        <w:t xml:space="preserve">proposed </w:t>
      </w:r>
      <w:r w:rsidR="00614780">
        <w:rPr>
          <w:rFonts w:ascii="Times New Roman" w:hAnsi="Times New Roman" w:cs="Times New Roman"/>
        </w:rPr>
        <w:t xml:space="preserve">theoretical and quantitative </w:t>
      </w:r>
      <w:r w:rsidR="00AD2B1E">
        <w:rPr>
          <w:rFonts w:ascii="Times New Roman" w:hAnsi="Times New Roman" w:cs="Times New Roman"/>
        </w:rPr>
        <w:t>methods</w:t>
      </w:r>
      <w:r w:rsidR="008A0502">
        <w:rPr>
          <w:rFonts w:ascii="Times New Roman" w:hAnsi="Times New Roman" w:cs="Times New Roman"/>
        </w:rPr>
        <w:t>.</w:t>
      </w:r>
      <w:r w:rsidR="00AD6614">
        <w:rPr>
          <w:rFonts w:ascii="Times New Roman" w:hAnsi="Times New Roman" w:cs="Times New Roman"/>
        </w:rPr>
        <w:t xml:space="preserve"> </w:t>
      </w:r>
      <w:r w:rsidR="005174D8">
        <w:rPr>
          <w:rFonts w:ascii="Times New Roman" w:hAnsi="Times New Roman" w:cs="Times New Roman"/>
        </w:rPr>
        <w:t>T</w:t>
      </w:r>
      <w:r w:rsidR="00AD6614">
        <w:rPr>
          <w:rFonts w:ascii="Times New Roman" w:hAnsi="Times New Roman" w:cs="Times New Roman"/>
        </w:rPr>
        <w:t xml:space="preserve">he results </w:t>
      </w:r>
      <w:r w:rsidR="005174D8">
        <w:rPr>
          <w:rFonts w:ascii="Times New Roman" w:hAnsi="Times New Roman" w:cs="Times New Roman"/>
        </w:rPr>
        <w:t xml:space="preserve">indicate that numerical simulations and public data repositories can be used for developing and testing ecological theory and concepts. </w:t>
      </w:r>
      <w:r w:rsidR="001C4C74">
        <w:rPr>
          <w:rFonts w:ascii="Times New Roman" w:hAnsi="Times New Roman" w:cs="Times New Roman"/>
        </w:rPr>
        <w:t xml:space="preserve">The theoretical and quantitative methods proposed here can now be used in exploring microbial niche distributions in nature. </w:t>
      </w:r>
    </w:p>
    <w:p w14:paraId="4DC82EAB" w14:textId="0D7D2EF1" w:rsidR="00365526" w:rsidRPr="00F23F20" w:rsidRDefault="00365526" w:rsidP="00365526">
      <w:pPr>
        <w:spacing w:line="480" w:lineRule="auto"/>
        <w:rPr>
          <w:rFonts w:ascii="Times New Roman" w:hAnsi="Times New Roman" w:cs="Times New Roman"/>
          <w:b/>
          <w:bCs/>
        </w:rPr>
      </w:pPr>
    </w:p>
    <w:p w14:paraId="13B321E0" w14:textId="77777777" w:rsidR="00365526" w:rsidRPr="00F23F20" w:rsidRDefault="00365526" w:rsidP="00365526">
      <w:pPr>
        <w:numPr>
          <w:ilvl w:val="12"/>
          <w:numId w:val="0"/>
        </w:numPr>
        <w:spacing w:line="480" w:lineRule="auto"/>
        <w:rPr>
          <w:rFonts w:ascii="Times New Roman" w:hAnsi="Times New Roman" w:cs="Times New Roman"/>
        </w:rPr>
      </w:pPr>
      <w:r w:rsidRPr="00F23F20">
        <w:rPr>
          <w:rFonts w:ascii="Times New Roman" w:hAnsi="Times New Roman" w:cs="Times New Roman"/>
          <w:b/>
          <w:bCs/>
        </w:rPr>
        <w:br w:type="page"/>
      </w:r>
    </w:p>
    <w:bookmarkStart w:id="3" w:name="_Toc41908071" w:displacedByCustomXml="next"/>
    <w:sdt>
      <w:sdtPr>
        <w:rPr>
          <w:rFonts w:ascii="Arial" w:hAnsi="Arial" w:cs="Arial"/>
          <w:b w:val="0"/>
          <w:caps w:val="0"/>
          <w:color w:val="auto"/>
          <w:spacing w:val="0"/>
          <w:sz w:val="24"/>
          <w:szCs w:val="24"/>
        </w:rPr>
        <w:id w:val="607165129"/>
        <w:docPartObj>
          <w:docPartGallery w:val="Table of Contents"/>
          <w:docPartUnique/>
        </w:docPartObj>
      </w:sdtPr>
      <w:sdtEndPr>
        <w:rPr>
          <w:bCs/>
          <w:noProof/>
        </w:rPr>
      </w:sdtEndPr>
      <w:sdtContent>
        <w:p w14:paraId="5A275A5A" w14:textId="77777777" w:rsidR="00365526" w:rsidRPr="00F23F20" w:rsidRDefault="00365526" w:rsidP="00365526">
          <w:pPr>
            <w:pStyle w:val="AltHeading1"/>
          </w:pPr>
          <w:r w:rsidRPr="00F23F20">
            <w:t>Table of Contents</w:t>
          </w:r>
          <w:bookmarkEnd w:id="3"/>
        </w:p>
        <w:p w14:paraId="72A9CE6F" w14:textId="0459483D" w:rsidR="000B04E1" w:rsidRDefault="00365526">
          <w:pPr>
            <w:pStyle w:val="TOC1"/>
            <w:tabs>
              <w:tab w:val="right" w:leader="dot" w:pos="8630"/>
            </w:tabs>
            <w:rPr>
              <w:rFonts w:asciiTheme="minorHAnsi" w:eastAsiaTheme="minorEastAsia" w:hAnsiTheme="minorHAnsi" w:cstheme="minorBidi"/>
              <w:noProof/>
              <w:sz w:val="22"/>
              <w:szCs w:val="22"/>
            </w:rPr>
          </w:pPr>
          <w:r w:rsidRPr="00F23F20">
            <w:rPr>
              <w:rFonts w:ascii="Times New Roman" w:hAnsi="Times New Roman" w:cs="Times New Roman"/>
            </w:rPr>
            <w:fldChar w:fldCharType="begin"/>
          </w:r>
          <w:r w:rsidRPr="00F23F20">
            <w:rPr>
              <w:rFonts w:ascii="Times New Roman" w:hAnsi="Times New Roman" w:cs="Times New Roman"/>
            </w:rPr>
            <w:instrText xml:space="preserve"> TOC \o "1-3" \h \z \u </w:instrText>
          </w:r>
          <w:r w:rsidRPr="00F23F20">
            <w:rPr>
              <w:rFonts w:ascii="Times New Roman" w:hAnsi="Times New Roman" w:cs="Times New Roman"/>
            </w:rPr>
            <w:fldChar w:fldCharType="separate"/>
          </w:r>
          <w:hyperlink w:anchor="_Toc41908068" w:history="1">
            <w:r w:rsidR="000B04E1" w:rsidRPr="00FA7E57">
              <w:rPr>
                <w:rStyle w:val="Hyperlink"/>
                <w:noProof/>
              </w:rPr>
              <w:t>Dedication</w:t>
            </w:r>
            <w:r w:rsidR="000B04E1">
              <w:rPr>
                <w:noProof/>
                <w:webHidden/>
              </w:rPr>
              <w:tab/>
            </w:r>
            <w:r w:rsidR="000B04E1">
              <w:rPr>
                <w:noProof/>
                <w:webHidden/>
              </w:rPr>
              <w:fldChar w:fldCharType="begin"/>
            </w:r>
            <w:r w:rsidR="000B04E1">
              <w:rPr>
                <w:noProof/>
                <w:webHidden/>
              </w:rPr>
              <w:instrText xml:space="preserve"> PAGEREF _Toc41908068 \h </w:instrText>
            </w:r>
            <w:r w:rsidR="000B04E1">
              <w:rPr>
                <w:noProof/>
                <w:webHidden/>
              </w:rPr>
            </w:r>
            <w:r w:rsidR="000B04E1">
              <w:rPr>
                <w:noProof/>
                <w:webHidden/>
              </w:rPr>
              <w:fldChar w:fldCharType="separate"/>
            </w:r>
            <w:r w:rsidR="000B04E1">
              <w:rPr>
                <w:noProof/>
                <w:webHidden/>
              </w:rPr>
              <w:t>ii</w:t>
            </w:r>
            <w:r w:rsidR="000B04E1">
              <w:rPr>
                <w:noProof/>
                <w:webHidden/>
              </w:rPr>
              <w:fldChar w:fldCharType="end"/>
            </w:r>
          </w:hyperlink>
        </w:p>
        <w:p w14:paraId="77617FB7" w14:textId="171E0E9F"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069" w:history="1">
            <w:r w:rsidR="000B04E1" w:rsidRPr="00FA7E57">
              <w:rPr>
                <w:rStyle w:val="Hyperlink"/>
                <w:noProof/>
              </w:rPr>
              <w:t>Acknowledgements</w:t>
            </w:r>
            <w:r w:rsidR="000B04E1">
              <w:rPr>
                <w:noProof/>
                <w:webHidden/>
              </w:rPr>
              <w:tab/>
            </w:r>
            <w:r w:rsidR="000B04E1">
              <w:rPr>
                <w:noProof/>
                <w:webHidden/>
              </w:rPr>
              <w:fldChar w:fldCharType="begin"/>
            </w:r>
            <w:r w:rsidR="000B04E1">
              <w:rPr>
                <w:noProof/>
                <w:webHidden/>
              </w:rPr>
              <w:instrText xml:space="preserve"> PAGEREF _Toc41908069 \h </w:instrText>
            </w:r>
            <w:r w:rsidR="000B04E1">
              <w:rPr>
                <w:noProof/>
                <w:webHidden/>
              </w:rPr>
            </w:r>
            <w:r w:rsidR="000B04E1">
              <w:rPr>
                <w:noProof/>
                <w:webHidden/>
              </w:rPr>
              <w:fldChar w:fldCharType="separate"/>
            </w:r>
            <w:r w:rsidR="000B04E1">
              <w:rPr>
                <w:noProof/>
                <w:webHidden/>
              </w:rPr>
              <w:t>iii</w:t>
            </w:r>
            <w:r w:rsidR="000B04E1">
              <w:rPr>
                <w:noProof/>
                <w:webHidden/>
              </w:rPr>
              <w:fldChar w:fldCharType="end"/>
            </w:r>
          </w:hyperlink>
        </w:p>
        <w:p w14:paraId="726D985F" w14:textId="7ACBC6C8"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070" w:history="1">
            <w:r w:rsidR="000B04E1" w:rsidRPr="00FA7E57">
              <w:rPr>
                <w:rStyle w:val="Hyperlink"/>
                <w:noProof/>
              </w:rPr>
              <w:t>Abstract</w:t>
            </w:r>
            <w:r w:rsidR="000B04E1">
              <w:rPr>
                <w:noProof/>
                <w:webHidden/>
              </w:rPr>
              <w:tab/>
            </w:r>
            <w:r w:rsidR="000B04E1">
              <w:rPr>
                <w:noProof/>
                <w:webHidden/>
              </w:rPr>
              <w:fldChar w:fldCharType="begin"/>
            </w:r>
            <w:r w:rsidR="000B04E1">
              <w:rPr>
                <w:noProof/>
                <w:webHidden/>
              </w:rPr>
              <w:instrText xml:space="preserve"> PAGEREF _Toc41908070 \h </w:instrText>
            </w:r>
            <w:r w:rsidR="000B04E1">
              <w:rPr>
                <w:noProof/>
                <w:webHidden/>
              </w:rPr>
            </w:r>
            <w:r w:rsidR="000B04E1">
              <w:rPr>
                <w:noProof/>
                <w:webHidden/>
              </w:rPr>
              <w:fldChar w:fldCharType="separate"/>
            </w:r>
            <w:r w:rsidR="000B04E1">
              <w:rPr>
                <w:noProof/>
                <w:webHidden/>
              </w:rPr>
              <w:t>v</w:t>
            </w:r>
            <w:r w:rsidR="000B04E1">
              <w:rPr>
                <w:noProof/>
                <w:webHidden/>
              </w:rPr>
              <w:fldChar w:fldCharType="end"/>
            </w:r>
          </w:hyperlink>
        </w:p>
        <w:p w14:paraId="717B6F51" w14:textId="368BF929"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071" w:history="1">
            <w:r w:rsidR="000B04E1" w:rsidRPr="00FA7E57">
              <w:rPr>
                <w:rStyle w:val="Hyperlink"/>
                <w:noProof/>
              </w:rPr>
              <w:t>Table of Contents</w:t>
            </w:r>
            <w:r w:rsidR="000B04E1">
              <w:rPr>
                <w:noProof/>
                <w:webHidden/>
              </w:rPr>
              <w:tab/>
            </w:r>
            <w:r w:rsidR="000B04E1">
              <w:rPr>
                <w:noProof/>
                <w:webHidden/>
              </w:rPr>
              <w:fldChar w:fldCharType="begin"/>
            </w:r>
            <w:r w:rsidR="000B04E1">
              <w:rPr>
                <w:noProof/>
                <w:webHidden/>
              </w:rPr>
              <w:instrText xml:space="preserve"> PAGEREF _Toc41908071 \h </w:instrText>
            </w:r>
            <w:r w:rsidR="000B04E1">
              <w:rPr>
                <w:noProof/>
                <w:webHidden/>
              </w:rPr>
            </w:r>
            <w:r w:rsidR="000B04E1">
              <w:rPr>
                <w:noProof/>
                <w:webHidden/>
              </w:rPr>
              <w:fldChar w:fldCharType="separate"/>
            </w:r>
            <w:r w:rsidR="000B04E1">
              <w:rPr>
                <w:noProof/>
                <w:webHidden/>
              </w:rPr>
              <w:t>vi</w:t>
            </w:r>
            <w:r w:rsidR="000B04E1">
              <w:rPr>
                <w:noProof/>
                <w:webHidden/>
              </w:rPr>
              <w:fldChar w:fldCharType="end"/>
            </w:r>
          </w:hyperlink>
        </w:p>
        <w:p w14:paraId="276A6B8A" w14:textId="12DB9E90"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072" w:history="1">
            <w:r w:rsidR="000B04E1" w:rsidRPr="00FA7E57">
              <w:rPr>
                <w:rStyle w:val="Hyperlink"/>
                <w:noProof/>
              </w:rPr>
              <w:t>List of Tables</w:t>
            </w:r>
            <w:r w:rsidR="000B04E1">
              <w:rPr>
                <w:noProof/>
                <w:webHidden/>
              </w:rPr>
              <w:tab/>
            </w:r>
            <w:r w:rsidR="000B04E1">
              <w:rPr>
                <w:noProof/>
                <w:webHidden/>
              </w:rPr>
              <w:fldChar w:fldCharType="begin"/>
            </w:r>
            <w:r w:rsidR="000B04E1">
              <w:rPr>
                <w:noProof/>
                <w:webHidden/>
              </w:rPr>
              <w:instrText xml:space="preserve"> PAGEREF _Toc41908072 \h </w:instrText>
            </w:r>
            <w:r w:rsidR="000B04E1">
              <w:rPr>
                <w:noProof/>
                <w:webHidden/>
              </w:rPr>
            </w:r>
            <w:r w:rsidR="000B04E1">
              <w:rPr>
                <w:noProof/>
                <w:webHidden/>
              </w:rPr>
              <w:fldChar w:fldCharType="separate"/>
            </w:r>
            <w:r w:rsidR="000B04E1">
              <w:rPr>
                <w:noProof/>
                <w:webHidden/>
              </w:rPr>
              <w:t>ix</w:t>
            </w:r>
            <w:r w:rsidR="000B04E1">
              <w:rPr>
                <w:noProof/>
                <w:webHidden/>
              </w:rPr>
              <w:fldChar w:fldCharType="end"/>
            </w:r>
          </w:hyperlink>
        </w:p>
        <w:p w14:paraId="38AC6360" w14:textId="7DAC6EC8"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073" w:history="1">
            <w:r w:rsidR="000B04E1" w:rsidRPr="00FA7E57">
              <w:rPr>
                <w:rStyle w:val="Hyperlink"/>
                <w:noProof/>
              </w:rPr>
              <w:t>List of Figures</w:t>
            </w:r>
            <w:r w:rsidR="000B04E1">
              <w:rPr>
                <w:noProof/>
                <w:webHidden/>
              </w:rPr>
              <w:tab/>
            </w:r>
            <w:r w:rsidR="000B04E1">
              <w:rPr>
                <w:noProof/>
                <w:webHidden/>
              </w:rPr>
              <w:fldChar w:fldCharType="begin"/>
            </w:r>
            <w:r w:rsidR="000B04E1">
              <w:rPr>
                <w:noProof/>
                <w:webHidden/>
              </w:rPr>
              <w:instrText xml:space="preserve"> PAGEREF _Toc41908073 \h </w:instrText>
            </w:r>
            <w:r w:rsidR="000B04E1">
              <w:rPr>
                <w:noProof/>
                <w:webHidden/>
              </w:rPr>
            </w:r>
            <w:r w:rsidR="000B04E1">
              <w:rPr>
                <w:noProof/>
                <w:webHidden/>
              </w:rPr>
              <w:fldChar w:fldCharType="separate"/>
            </w:r>
            <w:r w:rsidR="000B04E1">
              <w:rPr>
                <w:noProof/>
                <w:webHidden/>
              </w:rPr>
              <w:t>x</w:t>
            </w:r>
            <w:r w:rsidR="000B04E1">
              <w:rPr>
                <w:noProof/>
                <w:webHidden/>
              </w:rPr>
              <w:fldChar w:fldCharType="end"/>
            </w:r>
          </w:hyperlink>
        </w:p>
        <w:p w14:paraId="486D3656" w14:textId="1CBCA098"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074" w:history="1">
            <w:r w:rsidR="000B04E1" w:rsidRPr="00FA7E57">
              <w:rPr>
                <w:rStyle w:val="Hyperlink"/>
                <w:noProof/>
              </w:rPr>
              <w:t>Introduction</w:t>
            </w:r>
            <w:r w:rsidR="000B04E1">
              <w:rPr>
                <w:noProof/>
                <w:webHidden/>
              </w:rPr>
              <w:tab/>
            </w:r>
            <w:r w:rsidR="000B04E1">
              <w:rPr>
                <w:noProof/>
                <w:webHidden/>
              </w:rPr>
              <w:fldChar w:fldCharType="begin"/>
            </w:r>
            <w:r w:rsidR="000B04E1">
              <w:rPr>
                <w:noProof/>
                <w:webHidden/>
              </w:rPr>
              <w:instrText xml:space="preserve"> PAGEREF _Toc41908074 \h </w:instrText>
            </w:r>
            <w:r w:rsidR="000B04E1">
              <w:rPr>
                <w:noProof/>
                <w:webHidden/>
              </w:rPr>
            </w:r>
            <w:r w:rsidR="000B04E1">
              <w:rPr>
                <w:noProof/>
                <w:webHidden/>
              </w:rPr>
              <w:fldChar w:fldCharType="separate"/>
            </w:r>
            <w:r w:rsidR="000B04E1">
              <w:rPr>
                <w:noProof/>
                <w:webHidden/>
              </w:rPr>
              <w:t>1</w:t>
            </w:r>
            <w:r w:rsidR="000B04E1">
              <w:rPr>
                <w:noProof/>
                <w:webHidden/>
              </w:rPr>
              <w:fldChar w:fldCharType="end"/>
            </w:r>
          </w:hyperlink>
        </w:p>
        <w:p w14:paraId="20CA60A1" w14:textId="3ABE5247"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075" w:history="1">
            <w:r w:rsidR="000B04E1" w:rsidRPr="00FA7E57">
              <w:rPr>
                <w:rStyle w:val="Hyperlink"/>
                <w:noProof/>
              </w:rPr>
              <w:t>Chapter One Quantitatively Partitioning Microbial Genomic Traits among Taxonomic Ranks Across the Microbial Tree of Life</w:t>
            </w:r>
            <w:r w:rsidR="000B04E1">
              <w:rPr>
                <w:noProof/>
                <w:webHidden/>
              </w:rPr>
              <w:tab/>
            </w:r>
            <w:r w:rsidR="000B04E1">
              <w:rPr>
                <w:noProof/>
                <w:webHidden/>
              </w:rPr>
              <w:fldChar w:fldCharType="begin"/>
            </w:r>
            <w:r w:rsidR="000B04E1">
              <w:rPr>
                <w:noProof/>
                <w:webHidden/>
              </w:rPr>
              <w:instrText xml:space="preserve"> PAGEREF _Toc41908075 \h </w:instrText>
            </w:r>
            <w:r w:rsidR="000B04E1">
              <w:rPr>
                <w:noProof/>
                <w:webHidden/>
              </w:rPr>
            </w:r>
            <w:r w:rsidR="000B04E1">
              <w:rPr>
                <w:noProof/>
                <w:webHidden/>
              </w:rPr>
              <w:fldChar w:fldCharType="separate"/>
            </w:r>
            <w:r w:rsidR="000B04E1">
              <w:rPr>
                <w:noProof/>
                <w:webHidden/>
              </w:rPr>
              <w:t>6</w:t>
            </w:r>
            <w:r w:rsidR="000B04E1">
              <w:rPr>
                <w:noProof/>
                <w:webHidden/>
              </w:rPr>
              <w:fldChar w:fldCharType="end"/>
            </w:r>
          </w:hyperlink>
        </w:p>
        <w:p w14:paraId="0EE9BCBC" w14:textId="01B04DC7"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76" w:history="1">
            <w:r w:rsidR="000B04E1" w:rsidRPr="00FA7E57">
              <w:rPr>
                <w:rStyle w:val="Hyperlink"/>
                <w:noProof/>
              </w:rPr>
              <w:t>Abstract</w:t>
            </w:r>
            <w:r w:rsidR="000B04E1">
              <w:rPr>
                <w:noProof/>
                <w:webHidden/>
              </w:rPr>
              <w:tab/>
            </w:r>
            <w:r w:rsidR="000B04E1">
              <w:rPr>
                <w:noProof/>
                <w:webHidden/>
              </w:rPr>
              <w:fldChar w:fldCharType="begin"/>
            </w:r>
            <w:r w:rsidR="000B04E1">
              <w:rPr>
                <w:noProof/>
                <w:webHidden/>
              </w:rPr>
              <w:instrText xml:space="preserve"> PAGEREF _Toc41908076 \h </w:instrText>
            </w:r>
            <w:r w:rsidR="000B04E1">
              <w:rPr>
                <w:noProof/>
                <w:webHidden/>
              </w:rPr>
            </w:r>
            <w:r w:rsidR="000B04E1">
              <w:rPr>
                <w:noProof/>
                <w:webHidden/>
              </w:rPr>
              <w:fldChar w:fldCharType="separate"/>
            </w:r>
            <w:r w:rsidR="000B04E1">
              <w:rPr>
                <w:noProof/>
                <w:webHidden/>
              </w:rPr>
              <w:t>7</w:t>
            </w:r>
            <w:r w:rsidR="000B04E1">
              <w:rPr>
                <w:noProof/>
                <w:webHidden/>
              </w:rPr>
              <w:fldChar w:fldCharType="end"/>
            </w:r>
          </w:hyperlink>
        </w:p>
        <w:p w14:paraId="37FA2D46" w14:textId="3F297368"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77" w:history="1">
            <w:r w:rsidR="000B04E1" w:rsidRPr="00FA7E57">
              <w:rPr>
                <w:rStyle w:val="Hyperlink"/>
                <w:noProof/>
              </w:rPr>
              <w:t>Importance</w:t>
            </w:r>
            <w:r w:rsidR="000B04E1">
              <w:rPr>
                <w:noProof/>
                <w:webHidden/>
              </w:rPr>
              <w:tab/>
            </w:r>
            <w:r w:rsidR="000B04E1">
              <w:rPr>
                <w:noProof/>
                <w:webHidden/>
              </w:rPr>
              <w:fldChar w:fldCharType="begin"/>
            </w:r>
            <w:r w:rsidR="000B04E1">
              <w:rPr>
                <w:noProof/>
                <w:webHidden/>
              </w:rPr>
              <w:instrText xml:space="preserve"> PAGEREF _Toc41908077 \h </w:instrText>
            </w:r>
            <w:r w:rsidR="000B04E1">
              <w:rPr>
                <w:noProof/>
                <w:webHidden/>
              </w:rPr>
            </w:r>
            <w:r w:rsidR="000B04E1">
              <w:rPr>
                <w:noProof/>
                <w:webHidden/>
              </w:rPr>
              <w:fldChar w:fldCharType="separate"/>
            </w:r>
            <w:r w:rsidR="000B04E1">
              <w:rPr>
                <w:noProof/>
                <w:webHidden/>
              </w:rPr>
              <w:t>8</w:t>
            </w:r>
            <w:r w:rsidR="000B04E1">
              <w:rPr>
                <w:noProof/>
                <w:webHidden/>
              </w:rPr>
              <w:fldChar w:fldCharType="end"/>
            </w:r>
          </w:hyperlink>
        </w:p>
        <w:p w14:paraId="13A79A05" w14:textId="70E4B1E6"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78" w:history="1">
            <w:r w:rsidR="000B04E1" w:rsidRPr="00FA7E57">
              <w:rPr>
                <w:rStyle w:val="Hyperlink"/>
                <w:noProof/>
              </w:rPr>
              <w:t>Introduction</w:t>
            </w:r>
            <w:r w:rsidR="000B04E1">
              <w:rPr>
                <w:noProof/>
                <w:webHidden/>
              </w:rPr>
              <w:tab/>
            </w:r>
            <w:r w:rsidR="000B04E1">
              <w:rPr>
                <w:noProof/>
                <w:webHidden/>
              </w:rPr>
              <w:fldChar w:fldCharType="begin"/>
            </w:r>
            <w:r w:rsidR="000B04E1">
              <w:rPr>
                <w:noProof/>
                <w:webHidden/>
              </w:rPr>
              <w:instrText xml:space="preserve"> PAGEREF _Toc41908078 \h </w:instrText>
            </w:r>
            <w:r w:rsidR="000B04E1">
              <w:rPr>
                <w:noProof/>
                <w:webHidden/>
              </w:rPr>
            </w:r>
            <w:r w:rsidR="000B04E1">
              <w:rPr>
                <w:noProof/>
                <w:webHidden/>
              </w:rPr>
              <w:fldChar w:fldCharType="separate"/>
            </w:r>
            <w:r w:rsidR="000B04E1">
              <w:rPr>
                <w:noProof/>
                <w:webHidden/>
              </w:rPr>
              <w:t>8</w:t>
            </w:r>
            <w:r w:rsidR="000B04E1">
              <w:rPr>
                <w:noProof/>
                <w:webHidden/>
              </w:rPr>
              <w:fldChar w:fldCharType="end"/>
            </w:r>
          </w:hyperlink>
        </w:p>
        <w:p w14:paraId="1FCC5F26" w14:textId="46ECBA6C"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79" w:history="1">
            <w:r w:rsidR="000B04E1" w:rsidRPr="00FA7E57">
              <w:rPr>
                <w:rStyle w:val="Hyperlink"/>
                <w:noProof/>
              </w:rPr>
              <w:t>Results</w:t>
            </w:r>
            <w:r w:rsidR="000B04E1">
              <w:rPr>
                <w:noProof/>
                <w:webHidden/>
              </w:rPr>
              <w:tab/>
            </w:r>
            <w:r w:rsidR="000B04E1">
              <w:rPr>
                <w:noProof/>
                <w:webHidden/>
              </w:rPr>
              <w:fldChar w:fldCharType="begin"/>
            </w:r>
            <w:r w:rsidR="000B04E1">
              <w:rPr>
                <w:noProof/>
                <w:webHidden/>
              </w:rPr>
              <w:instrText xml:space="preserve"> PAGEREF _Toc41908079 \h </w:instrText>
            </w:r>
            <w:r w:rsidR="000B04E1">
              <w:rPr>
                <w:noProof/>
                <w:webHidden/>
              </w:rPr>
            </w:r>
            <w:r w:rsidR="000B04E1">
              <w:rPr>
                <w:noProof/>
                <w:webHidden/>
              </w:rPr>
              <w:fldChar w:fldCharType="separate"/>
            </w:r>
            <w:r w:rsidR="000B04E1">
              <w:rPr>
                <w:noProof/>
                <w:webHidden/>
              </w:rPr>
              <w:t>10</w:t>
            </w:r>
            <w:r w:rsidR="000B04E1">
              <w:rPr>
                <w:noProof/>
                <w:webHidden/>
              </w:rPr>
              <w:fldChar w:fldCharType="end"/>
            </w:r>
          </w:hyperlink>
        </w:p>
        <w:p w14:paraId="7E6B0A85" w14:textId="0CAA1ECC"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80" w:history="1">
            <w:r w:rsidR="000B04E1" w:rsidRPr="00FA7E57">
              <w:rPr>
                <w:rStyle w:val="Hyperlink"/>
                <w:noProof/>
              </w:rPr>
              <w:t>Discussion</w:t>
            </w:r>
            <w:r w:rsidR="000B04E1">
              <w:rPr>
                <w:noProof/>
                <w:webHidden/>
              </w:rPr>
              <w:tab/>
            </w:r>
            <w:r w:rsidR="000B04E1">
              <w:rPr>
                <w:noProof/>
                <w:webHidden/>
              </w:rPr>
              <w:fldChar w:fldCharType="begin"/>
            </w:r>
            <w:r w:rsidR="000B04E1">
              <w:rPr>
                <w:noProof/>
                <w:webHidden/>
              </w:rPr>
              <w:instrText xml:space="preserve"> PAGEREF _Toc41908080 \h </w:instrText>
            </w:r>
            <w:r w:rsidR="000B04E1">
              <w:rPr>
                <w:noProof/>
                <w:webHidden/>
              </w:rPr>
            </w:r>
            <w:r w:rsidR="000B04E1">
              <w:rPr>
                <w:noProof/>
                <w:webHidden/>
              </w:rPr>
              <w:fldChar w:fldCharType="separate"/>
            </w:r>
            <w:r w:rsidR="000B04E1">
              <w:rPr>
                <w:noProof/>
                <w:webHidden/>
              </w:rPr>
              <w:t>15</w:t>
            </w:r>
            <w:r w:rsidR="000B04E1">
              <w:rPr>
                <w:noProof/>
                <w:webHidden/>
              </w:rPr>
              <w:fldChar w:fldCharType="end"/>
            </w:r>
          </w:hyperlink>
        </w:p>
        <w:p w14:paraId="6B7F88B9" w14:textId="4DA3C3F9"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81" w:history="1">
            <w:r w:rsidR="000B04E1" w:rsidRPr="00FA7E57">
              <w:rPr>
                <w:rStyle w:val="Hyperlink"/>
                <w:noProof/>
              </w:rPr>
              <w:t>Materials and Methods</w:t>
            </w:r>
            <w:r w:rsidR="000B04E1">
              <w:rPr>
                <w:noProof/>
                <w:webHidden/>
              </w:rPr>
              <w:tab/>
            </w:r>
            <w:r w:rsidR="000B04E1">
              <w:rPr>
                <w:noProof/>
                <w:webHidden/>
              </w:rPr>
              <w:fldChar w:fldCharType="begin"/>
            </w:r>
            <w:r w:rsidR="000B04E1">
              <w:rPr>
                <w:noProof/>
                <w:webHidden/>
              </w:rPr>
              <w:instrText xml:space="preserve"> PAGEREF _Toc41908081 \h </w:instrText>
            </w:r>
            <w:r w:rsidR="000B04E1">
              <w:rPr>
                <w:noProof/>
                <w:webHidden/>
              </w:rPr>
            </w:r>
            <w:r w:rsidR="000B04E1">
              <w:rPr>
                <w:noProof/>
                <w:webHidden/>
              </w:rPr>
              <w:fldChar w:fldCharType="separate"/>
            </w:r>
            <w:r w:rsidR="000B04E1">
              <w:rPr>
                <w:noProof/>
                <w:webHidden/>
              </w:rPr>
              <w:t>20</w:t>
            </w:r>
            <w:r w:rsidR="000B04E1">
              <w:rPr>
                <w:noProof/>
                <w:webHidden/>
              </w:rPr>
              <w:fldChar w:fldCharType="end"/>
            </w:r>
          </w:hyperlink>
        </w:p>
        <w:p w14:paraId="16AD1D84" w14:textId="5DA11EAF"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082" w:history="1">
            <w:r w:rsidR="000B04E1" w:rsidRPr="00FA7E57">
              <w:rPr>
                <w:rStyle w:val="Hyperlink"/>
                <w:noProof/>
                <w:highlight w:val="white"/>
              </w:rPr>
              <w:t>Genome Database Curation</w:t>
            </w:r>
            <w:r w:rsidR="000B04E1">
              <w:rPr>
                <w:noProof/>
                <w:webHidden/>
              </w:rPr>
              <w:tab/>
            </w:r>
            <w:r w:rsidR="000B04E1">
              <w:rPr>
                <w:noProof/>
                <w:webHidden/>
              </w:rPr>
              <w:fldChar w:fldCharType="begin"/>
            </w:r>
            <w:r w:rsidR="000B04E1">
              <w:rPr>
                <w:noProof/>
                <w:webHidden/>
              </w:rPr>
              <w:instrText xml:space="preserve"> PAGEREF _Toc41908082 \h </w:instrText>
            </w:r>
            <w:r w:rsidR="000B04E1">
              <w:rPr>
                <w:noProof/>
                <w:webHidden/>
              </w:rPr>
            </w:r>
            <w:r w:rsidR="000B04E1">
              <w:rPr>
                <w:noProof/>
                <w:webHidden/>
              </w:rPr>
              <w:fldChar w:fldCharType="separate"/>
            </w:r>
            <w:r w:rsidR="000B04E1">
              <w:rPr>
                <w:noProof/>
                <w:webHidden/>
              </w:rPr>
              <w:t>20</w:t>
            </w:r>
            <w:r w:rsidR="000B04E1">
              <w:rPr>
                <w:noProof/>
                <w:webHidden/>
              </w:rPr>
              <w:fldChar w:fldCharType="end"/>
            </w:r>
          </w:hyperlink>
        </w:p>
        <w:p w14:paraId="0A52119F" w14:textId="1593B223"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083" w:history="1">
            <w:r w:rsidR="000B04E1" w:rsidRPr="00FA7E57">
              <w:rPr>
                <w:rStyle w:val="Hyperlink"/>
                <w:noProof/>
                <w:highlight w:val="white"/>
              </w:rPr>
              <w:t>COG Functional Category Identification, Enumeration, and Normalization</w:t>
            </w:r>
            <w:r w:rsidR="000B04E1">
              <w:rPr>
                <w:noProof/>
                <w:webHidden/>
              </w:rPr>
              <w:tab/>
            </w:r>
            <w:r w:rsidR="000B04E1">
              <w:rPr>
                <w:noProof/>
                <w:webHidden/>
              </w:rPr>
              <w:fldChar w:fldCharType="begin"/>
            </w:r>
            <w:r w:rsidR="000B04E1">
              <w:rPr>
                <w:noProof/>
                <w:webHidden/>
              </w:rPr>
              <w:instrText xml:space="preserve"> PAGEREF _Toc41908083 \h </w:instrText>
            </w:r>
            <w:r w:rsidR="000B04E1">
              <w:rPr>
                <w:noProof/>
                <w:webHidden/>
              </w:rPr>
            </w:r>
            <w:r w:rsidR="000B04E1">
              <w:rPr>
                <w:noProof/>
                <w:webHidden/>
              </w:rPr>
              <w:fldChar w:fldCharType="separate"/>
            </w:r>
            <w:r w:rsidR="000B04E1">
              <w:rPr>
                <w:noProof/>
                <w:webHidden/>
              </w:rPr>
              <w:t>21</w:t>
            </w:r>
            <w:r w:rsidR="000B04E1">
              <w:rPr>
                <w:noProof/>
                <w:webHidden/>
              </w:rPr>
              <w:fldChar w:fldCharType="end"/>
            </w:r>
          </w:hyperlink>
        </w:p>
        <w:p w14:paraId="097AAAE0" w14:textId="40E061D0"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084" w:history="1">
            <w:r w:rsidR="000B04E1" w:rsidRPr="00FA7E57">
              <w:rPr>
                <w:rStyle w:val="Hyperlink"/>
                <w:noProof/>
              </w:rPr>
              <w:t>Principal Component Analysis</w:t>
            </w:r>
            <w:r w:rsidR="000B04E1" w:rsidRPr="00FA7E57">
              <w:rPr>
                <w:rStyle w:val="Hyperlink"/>
                <w:noProof/>
                <w:highlight w:val="white"/>
              </w:rPr>
              <w:t xml:space="preserve"> (</w:t>
            </w:r>
            <w:r w:rsidR="000B04E1" w:rsidRPr="00FA7E57">
              <w:rPr>
                <w:rStyle w:val="Hyperlink"/>
                <w:noProof/>
              </w:rPr>
              <w:t>PCA</w:t>
            </w:r>
            <w:r w:rsidR="000B04E1" w:rsidRPr="00FA7E57">
              <w:rPr>
                <w:rStyle w:val="Hyperlink"/>
                <w:noProof/>
                <w:highlight w:val="white"/>
              </w:rPr>
              <w:t>)</w:t>
            </w:r>
            <w:r w:rsidR="000B04E1">
              <w:rPr>
                <w:noProof/>
                <w:webHidden/>
              </w:rPr>
              <w:tab/>
            </w:r>
            <w:r w:rsidR="000B04E1">
              <w:rPr>
                <w:noProof/>
                <w:webHidden/>
              </w:rPr>
              <w:fldChar w:fldCharType="begin"/>
            </w:r>
            <w:r w:rsidR="000B04E1">
              <w:rPr>
                <w:noProof/>
                <w:webHidden/>
              </w:rPr>
              <w:instrText xml:space="preserve"> PAGEREF _Toc41908084 \h </w:instrText>
            </w:r>
            <w:r w:rsidR="000B04E1">
              <w:rPr>
                <w:noProof/>
                <w:webHidden/>
              </w:rPr>
            </w:r>
            <w:r w:rsidR="000B04E1">
              <w:rPr>
                <w:noProof/>
                <w:webHidden/>
              </w:rPr>
              <w:fldChar w:fldCharType="separate"/>
            </w:r>
            <w:r w:rsidR="000B04E1">
              <w:rPr>
                <w:noProof/>
                <w:webHidden/>
              </w:rPr>
              <w:t>22</w:t>
            </w:r>
            <w:r w:rsidR="000B04E1">
              <w:rPr>
                <w:noProof/>
                <w:webHidden/>
              </w:rPr>
              <w:fldChar w:fldCharType="end"/>
            </w:r>
          </w:hyperlink>
        </w:p>
        <w:p w14:paraId="41FA09FF" w14:textId="4A7EBCB1"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085" w:history="1">
            <w:r w:rsidR="000B04E1" w:rsidRPr="00FA7E57">
              <w:rPr>
                <w:rStyle w:val="Hyperlink"/>
                <w:noProof/>
                <w:highlight w:val="white"/>
              </w:rPr>
              <w:t>Quantifying COG-FC Variance Explained by Taxonomic Rank</w:t>
            </w:r>
            <w:r w:rsidR="000B04E1">
              <w:rPr>
                <w:noProof/>
                <w:webHidden/>
              </w:rPr>
              <w:tab/>
            </w:r>
            <w:r w:rsidR="000B04E1">
              <w:rPr>
                <w:noProof/>
                <w:webHidden/>
              </w:rPr>
              <w:fldChar w:fldCharType="begin"/>
            </w:r>
            <w:r w:rsidR="000B04E1">
              <w:rPr>
                <w:noProof/>
                <w:webHidden/>
              </w:rPr>
              <w:instrText xml:space="preserve"> PAGEREF _Toc41908085 \h </w:instrText>
            </w:r>
            <w:r w:rsidR="000B04E1">
              <w:rPr>
                <w:noProof/>
                <w:webHidden/>
              </w:rPr>
            </w:r>
            <w:r w:rsidR="000B04E1">
              <w:rPr>
                <w:noProof/>
                <w:webHidden/>
              </w:rPr>
              <w:fldChar w:fldCharType="separate"/>
            </w:r>
            <w:r w:rsidR="000B04E1">
              <w:rPr>
                <w:noProof/>
                <w:webHidden/>
              </w:rPr>
              <w:t>23</w:t>
            </w:r>
            <w:r w:rsidR="000B04E1">
              <w:rPr>
                <w:noProof/>
                <w:webHidden/>
              </w:rPr>
              <w:fldChar w:fldCharType="end"/>
            </w:r>
          </w:hyperlink>
        </w:p>
        <w:p w14:paraId="305E6570" w14:textId="3594CDBC"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86" w:history="1">
            <w:r w:rsidR="000B04E1" w:rsidRPr="00FA7E57">
              <w:rPr>
                <w:rStyle w:val="Hyperlink"/>
                <w:noProof/>
              </w:rPr>
              <w:t>Appendix One</w:t>
            </w:r>
            <w:r w:rsidR="000B04E1">
              <w:rPr>
                <w:noProof/>
                <w:webHidden/>
              </w:rPr>
              <w:tab/>
            </w:r>
            <w:r w:rsidR="000B04E1">
              <w:rPr>
                <w:noProof/>
                <w:webHidden/>
              </w:rPr>
              <w:fldChar w:fldCharType="begin"/>
            </w:r>
            <w:r w:rsidR="000B04E1">
              <w:rPr>
                <w:noProof/>
                <w:webHidden/>
              </w:rPr>
              <w:instrText xml:space="preserve"> PAGEREF _Toc41908086 \h </w:instrText>
            </w:r>
            <w:r w:rsidR="000B04E1">
              <w:rPr>
                <w:noProof/>
                <w:webHidden/>
              </w:rPr>
            </w:r>
            <w:r w:rsidR="000B04E1">
              <w:rPr>
                <w:noProof/>
                <w:webHidden/>
              </w:rPr>
              <w:fldChar w:fldCharType="separate"/>
            </w:r>
            <w:r w:rsidR="000B04E1">
              <w:rPr>
                <w:noProof/>
                <w:webHidden/>
              </w:rPr>
              <w:t>25</w:t>
            </w:r>
            <w:r w:rsidR="000B04E1">
              <w:rPr>
                <w:noProof/>
                <w:webHidden/>
              </w:rPr>
              <w:fldChar w:fldCharType="end"/>
            </w:r>
          </w:hyperlink>
        </w:p>
        <w:p w14:paraId="30663F72" w14:textId="4DC3CA9E"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087" w:history="1">
            <w:r w:rsidR="000B04E1" w:rsidRPr="00FA7E57">
              <w:rPr>
                <w:rStyle w:val="Hyperlink"/>
                <w:noProof/>
              </w:rPr>
              <w:t>Tables</w:t>
            </w:r>
            <w:r w:rsidR="000B04E1">
              <w:rPr>
                <w:noProof/>
                <w:webHidden/>
              </w:rPr>
              <w:tab/>
            </w:r>
            <w:r w:rsidR="000B04E1">
              <w:rPr>
                <w:noProof/>
                <w:webHidden/>
              </w:rPr>
              <w:fldChar w:fldCharType="begin"/>
            </w:r>
            <w:r w:rsidR="000B04E1">
              <w:rPr>
                <w:noProof/>
                <w:webHidden/>
              </w:rPr>
              <w:instrText xml:space="preserve"> PAGEREF _Toc41908087 \h </w:instrText>
            </w:r>
            <w:r w:rsidR="000B04E1">
              <w:rPr>
                <w:noProof/>
                <w:webHidden/>
              </w:rPr>
            </w:r>
            <w:r w:rsidR="000B04E1">
              <w:rPr>
                <w:noProof/>
                <w:webHidden/>
              </w:rPr>
              <w:fldChar w:fldCharType="separate"/>
            </w:r>
            <w:r w:rsidR="000B04E1">
              <w:rPr>
                <w:noProof/>
                <w:webHidden/>
              </w:rPr>
              <w:t>26</w:t>
            </w:r>
            <w:r w:rsidR="000B04E1">
              <w:rPr>
                <w:noProof/>
                <w:webHidden/>
              </w:rPr>
              <w:fldChar w:fldCharType="end"/>
            </w:r>
          </w:hyperlink>
        </w:p>
        <w:p w14:paraId="5D9CD65F" w14:textId="13C624FE"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088" w:history="1">
            <w:r w:rsidR="000B04E1" w:rsidRPr="00FA7E57">
              <w:rPr>
                <w:rStyle w:val="Hyperlink"/>
                <w:noProof/>
              </w:rPr>
              <w:t>Figures</w:t>
            </w:r>
            <w:r w:rsidR="000B04E1">
              <w:rPr>
                <w:noProof/>
                <w:webHidden/>
              </w:rPr>
              <w:tab/>
            </w:r>
            <w:r w:rsidR="000B04E1">
              <w:rPr>
                <w:noProof/>
                <w:webHidden/>
              </w:rPr>
              <w:fldChar w:fldCharType="begin"/>
            </w:r>
            <w:r w:rsidR="000B04E1">
              <w:rPr>
                <w:noProof/>
                <w:webHidden/>
              </w:rPr>
              <w:instrText xml:space="preserve"> PAGEREF _Toc41908088 \h </w:instrText>
            </w:r>
            <w:r w:rsidR="000B04E1">
              <w:rPr>
                <w:noProof/>
                <w:webHidden/>
              </w:rPr>
            </w:r>
            <w:r w:rsidR="000B04E1">
              <w:rPr>
                <w:noProof/>
                <w:webHidden/>
              </w:rPr>
              <w:fldChar w:fldCharType="separate"/>
            </w:r>
            <w:r w:rsidR="000B04E1">
              <w:rPr>
                <w:noProof/>
                <w:webHidden/>
              </w:rPr>
              <w:t>29</w:t>
            </w:r>
            <w:r w:rsidR="000B04E1">
              <w:rPr>
                <w:noProof/>
                <w:webHidden/>
              </w:rPr>
              <w:fldChar w:fldCharType="end"/>
            </w:r>
          </w:hyperlink>
        </w:p>
        <w:p w14:paraId="64D8F22C" w14:textId="39C10F6E"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089" w:history="1">
            <w:r w:rsidR="000B04E1" w:rsidRPr="00FA7E57">
              <w:rPr>
                <w:rStyle w:val="Hyperlink"/>
                <w:noProof/>
              </w:rPr>
              <w:t>Chapter Two Theoretical and Simulation-based Investigation of the Relationship between Sequencing Effort, Microbial Community Richness, and Diversity in Binning Metagenome-assembled Genomes</w:t>
            </w:r>
            <w:r w:rsidR="000B04E1">
              <w:rPr>
                <w:noProof/>
                <w:webHidden/>
              </w:rPr>
              <w:tab/>
            </w:r>
            <w:r w:rsidR="000B04E1">
              <w:rPr>
                <w:noProof/>
                <w:webHidden/>
              </w:rPr>
              <w:fldChar w:fldCharType="begin"/>
            </w:r>
            <w:r w:rsidR="000B04E1">
              <w:rPr>
                <w:noProof/>
                <w:webHidden/>
              </w:rPr>
              <w:instrText xml:space="preserve"> PAGEREF _Toc41908089 \h </w:instrText>
            </w:r>
            <w:r w:rsidR="000B04E1">
              <w:rPr>
                <w:noProof/>
                <w:webHidden/>
              </w:rPr>
            </w:r>
            <w:r w:rsidR="000B04E1">
              <w:rPr>
                <w:noProof/>
                <w:webHidden/>
              </w:rPr>
              <w:fldChar w:fldCharType="separate"/>
            </w:r>
            <w:r w:rsidR="000B04E1">
              <w:rPr>
                <w:noProof/>
                <w:webHidden/>
              </w:rPr>
              <w:t>37</w:t>
            </w:r>
            <w:r w:rsidR="000B04E1">
              <w:rPr>
                <w:noProof/>
                <w:webHidden/>
              </w:rPr>
              <w:fldChar w:fldCharType="end"/>
            </w:r>
          </w:hyperlink>
        </w:p>
        <w:p w14:paraId="71CF5EE5" w14:textId="0D133B6E"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90" w:history="1">
            <w:r w:rsidR="000B04E1" w:rsidRPr="00FA7E57">
              <w:rPr>
                <w:rStyle w:val="Hyperlink"/>
                <w:noProof/>
              </w:rPr>
              <w:t>Abstract</w:t>
            </w:r>
            <w:r w:rsidR="000B04E1">
              <w:rPr>
                <w:noProof/>
                <w:webHidden/>
              </w:rPr>
              <w:tab/>
            </w:r>
            <w:r w:rsidR="000B04E1">
              <w:rPr>
                <w:noProof/>
                <w:webHidden/>
              </w:rPr>
              <w:fldChar w:fldCharType="begin"/>
            </w:r>
            <w:r w:rsidR="000B04E1">
              <w:rPr>
                <w:noProof/>
                <w:webHidden/>
              </w:rPr>
              <w:instrText xml:space="preserve"> PAGEREF _Toc41908090 \h </w:instrText>
            </w:r>
            <w:r w:rsidR="000B04E1">
              <w:rPr>
                <w:noProof/>
                <w:webHidden/>
              </w:rPr>
            </w:r>
            <w:r w:rsidR="000B04E1">
              <w:rPr>
                <w:noProof/>
                <w:webHidden/>
              </w:rPr>
              <w:fldChar w:fldCharType="separate"/>
            </w:r>
            <w:r w:rsidR="000B04E1">
              <w:rPr>
                <w:noProof/>
                <w:webHidden/>
              </w:rPr>
              <w:t>38</w:t>
            </w:r>
            <w:r w:rsidR="000B04E1">
              <w:rPr>
                <w:noProof/>
                <w:webHidden/>
              </w:rPr>
              <w:fldChar w:fldCharType="end"/>
            </w:r>
          </w:hyperlink>
        </w:p>
        <w:p w14:paraId="3B785A06" w14:textId="4658FD2F"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91" w:history="1">
            <w:r w:rsidR="000B04E1" w:rsidRPr="00FA7E57">
              <w:rPr>
                <w:rStyle w:val="Hyperlink"/>
                <w:noProof/>
              </w:rPr>
              <w:t>Importance</w:t>
            </w:r>
            <w:r w:rsidR="000B04E1">
              <w:rPr>
                <w:noProof/>
                <w:webHidden/>
              </w:rPr>
              <w:tab/>
            </w:r>
            <w:r w:rsidR="000B04E1">
              <w:rPr>
                <w:noProof/>
                <w:webHidden/>
              </w:rPr>
              <w:fldChar w:fldCharType="begin"/>
            </w:r>
            <w:r w:rsidR="000B04E1">
              <w:rPr>
                <w:noProof/>
                <w:webHidden/>
              </w:rPr>
              <w:instrText xml:space="preserve"> PAGEREF _Toc41908091 \h </w:instrText>
            </w:r>
            <w:r w:rsidR="000B04E1">
              <w:rPr>
                <w:noProof/>
                <w:webHidden/>
              </w:rPr>
            </w:r>
            <w:r w:rsidR="000B04E1">
              <w:rPr>
                <w:noProof/>
                <w:webHidden/>
              </w:rPr>
              <w:fldChar w:fldCharType="separate"/>
            </w:r>
            <w:r w:rsidR="000B04E1">
              <w:rPr>
                <w:noProof/>
                <w:webHidden/>
              </w:rPr>
              <w:t>39</w:t>
            </w:r>
            <w:r w:rsidR="000B04E1">
              <w:rPr>
                <w:noProof/>
                <w:webHidden/>
              </w:rPr>
              <w:fldChar w:fldCharType="end"/>
            </w:r>
          </w:hyperlink>
        </w:p>
        <w:p w14:paraId="13226223" w14:textId="545ECD8F"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92" w:history="1">
            <w:r w:rsidR="000B04E1" w:rsidRPr="00FA7E57">
              <w:rPr>
                <w:rStyle w:val="Hyperlink"/>
                <w:noProof/>
              </w:rPr>
              <w:t>Introduction</w:t>
            </w:r>
            <w:r w:rsidR="000B04E1">
              <w:rPr>
                <w:noProof/>
                <w:webHidden/>
              </w:rPr>
              <w:tab/>
            </w:r>
            <w:r w:rsidR="000B04E1">
              <w:rPr>
                <w:noProof/>
                <w:webHidden/>
              </w:rPr>
              <w:fldChar w:fldCharType="begin"/>
            </w:r>
            <w:r w:rsidR="000B04E1">
              <w:rPr>
                <w:noProof/>
                <w:webHidden/>
              </w:rPr>
              <w:instrText xml:space="preserve"> PAGEREF _Toc41908092 \h </w:instrText>
            </w:r>
            <w:r w:rsidR="000B04E1">
              <w:rPr>
                <w:noProof/>
                <w:webHidden/>
              </w:rPr>
            </w:r>
            <w:r w:rsidR="000B04E1">
              <w:rPr>
                <w:noProof/>
                <w:webHidden/>
              </w:rPr>
              <w:fldChar w:fldCharType="separate"/>
            </w:r>
            <w:r w:rsidR="000B04E1">
              <w:rPr>
                <w:noProof/>
                <w:webHidden/>
              </w:rPr>
              <w:t>39</w:t>
            </w:r>
            <w:r w:rsidR="000B04E1">
              <w:rPr>
                <w:noProof/>
                <w:webHidden/>
              </w:rPr>
              <w:fldChar w:fldCharType="end"/>
            </w:r>
          </w:hyperlink>
        </w:p>
        <w:p w14:paraId="291B96E8" w14:textId="4EE122FC"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93" w:history="1">
            <w:r w:rsidR="000B04E1" w:rsidRPr="00FA7E57">
              <w:rPr>
                <w:rStyle w:val="Hyperlink"/>
                <w:rFonts w:eastAsia="Liberation Serif"/>
                <w:noProof/>
              </w:rPr>
              <w:t>Results</w:t>
            </w:r>
            <w:r w:rsidR="000B04E1">
              <w:rPr>
                <w:noProof/>
                <w:webHidden/>
              </w:rPr>
              <w:tab/>
            </w:r>
            <w:r w:rsidR="000B04E1">
              <w:rPr>
                <w:noProof/>
                <w:webHidden/>
              </w:rPr>
              <w:fldChar w:fldCharType="begin"/>
            </w:r>
            <w:r w:rsidR="000B04E1">
              <w:rPr>
                <w:noProof/>
                <w:webHidden/>
              </w:rPr>
              <w:instrText xml:space="preserve"> PAGEREF _Toc41908093 \h </w:instrText>
            </w:r>
            <w:r w:rsidR="000B04E1">
              <w:rPr>
                <w:noProof/>
                <w:webHidden/>
              </w:rPr>
            </w:r>
            <w:r w:rsidR="000B04E1">
              <w:rPr>
                <w:noProof/>
                <w:webHidden/>
              </w:rPr>
              <w:fldChar w:fldCharType="separate"/>
            </w:r>
            <w:r w:rsidR="000B04E1">
              <w:rPr>
                <w:noProof/>
                <w:webHidden/>
              </w:rPr>
              <w:t>41</w:t>
            </w:r>
            <w:r w:rsidR="000B04E1">
              <w:rPr>
                <w:noProof/>
                <w:webHidden/>
              </w:rPr>
              <w:fldChar w:fldCharType="end"/>
            </w:r>
          </w:hyperlink>
        </w:p>
        <w:p w14:paraId="227912FB" w14:textId="548C9C26"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094" w:history="1">
            <w:r w:rsidR="000B04E1" w:rsidRPr="00FA7E57">
              <w:rPr>
                <w:rStyle w:val="Hyperlink"/>
                <w:noProof/>
              </w:rPr>
              <w:t>Theoretical and Numerical Sequencing Effort Simulations</w:t>
            </w:r>
            <w:r w:rsidR="000B04E1">
              <w:rPr>
                <w:noProof/>
                <w:webHidden/>
              </w:rPr>
              <w:tab/>
            </w:r>
            <w:r w:rsidR="000B04E1">
              <w:rPr>
                <w:noProof/>
                <w:webHidden/>
              </w:rPr>
              <w:fldChar w:fldCharType="begin"/>
            </w:r>
            <w:r w:rsidR="000B04E1">
              <w:rPr>
                <w:noProof/>
                <w:webHidden/>
              </w:rPr>
              <w:instrText xml:space="preserve"> PAGEREF _Toc41908094 \h </w:instrText>
            </w:r>
            <w:r w:rsidR="000B04E1">
              <w:rPr>
                <w:noProof/>
                <w:webHidden/>
              </w:rPr>
            </w:r>
            <w:r w:rsidR="000B04E1">
              <w:rPr>
                <w:noProof/>
                <w:webHidden/>
              </w:rPr>
              <w:fldChar w:fldCharType="separate"/>
            </w:r>
            <w:r w:rsidR="000B04E1">
              <w:rPr>
                <w:noProof/>
                <w:webHidden/>
              </w:rPr>
              <w:t>41</w:t>
            </w:r>
            <w:r w:rsidR="000B04E1">
              <w:rPr>
                <w:noProof/>
                <w:webHidden/>
              </w:rPr>
              <w:fldChar w:fldCharType="end"/>
            </w:r>
          </w:hyperlink>
        </w:p>
        <w:p w14:paraId="19D9F2B7" w14:textId="22FAB675"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095" w:history="1">
            <w:r w:rsidR="000B04E1" w:rsidRPr="00FA7E57">
              <w:rPr>
                <w:rStyle w:val="Hyperlink"/>
                <w:noProof/>
              </w:rPr>
              <w:t>Rarefying MAG Binning as a function of sequencing effort</w:t>
            </w:r>
            <w:r w:rsidR="000B04E1">
              <w:rPr>
                <w:noProof/>
                <w:webHidden/>
              </w:rPr>
              <w:tab/>
            </w:r>
            <w:r w:rsidR="000B04E1">
              <w:rPr>
                <w:noProof/>
                <w:webHidden/>
              </w:rPr>
              <w:fldChar w:fldCharType="begin"/>
            </w:r>
            <w:r w:rsidR="000B04E1">
              <w:rPr>
                <w:noProof/>
                <w:webHidden/>
              </w:rPr>
              <w:instrText xml:space="preserve"> PAGEREF _Toc41908095 \h </w:instrText>
            </w:r>
            <w:r w:rsidR="000B04E1">
              <w:rPr>
                <w:noProof/>
                <w:webHidden/>
              </w:rPr>
            </w:r>
            <w:r w:rsidR="000B04E1">
              <w:rPr>
                <w:noProof/>
                <w:webHidden/>
              </w:rPr>
              <w:fldChar w:fldCharType="separate"/>
            </w:r>
            <w:r w:rsidR="000B04E1">
              <w:rPr>
                <w:noProof/>
                <w:webHidden/>
              </w:rPr>
              <w:t>45</w:t>
            </w:r>
            <w:r w:rsidR="000B04E1">
              <w:rPr>
                <w:noProof/>
                <w:webHidden/>
              </w:rPr>
              <w:fldChar w:fldCharType="end"/>
            </w:r>
          </w:hyperlink>
        </w:p>
        <w:p w14:paraId="59410D8D" w14:textId="3A5D7157"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096" w:history="1">
            <w:r w:rsidR="000B04E1" w:rsidRPr="00FA7E57">
              <w:rPr>
                <w:rStyle w:val="Hyperlink"/>
                <w:noProof/>
              </w:rPr>
              <w:t>Constraining MAG Rarefaction Analyses to Community Structure</w:t>
            </w:r>
            <w:r w:rsidR="000B04E1">
              <w:rPr>
                <w:noProof/>
                <w:webHidden/>
              </w:rPr>
              <w:tab/>
            </w:r>
            <w:r w:rsidR="000B04E1">
              <w:rPr>
                <w:noProof/>
                <w:webHidden/>
              </w:rPr>
              <w:fldChar w:fldCharType="begin"/>
            </w:r>
            <w:r w:rsidR="000B04E1">
              <w:rPr>
                <w:noProof/>
                <w:webHidden/>
              </w:rPr>
              <w:instrText xml:space="preserve"> PAGEREF _Toc41908096 \h </w:instrText>
            </w:r>
            <w:r w:rsidR="000B04E1">
              <w:rPr>
                <w:noProof/>
                <w:webHidden/>
              </w:rPr>
            </w:r>
            <w:r w:rsidR="000B04E1">
              <w:rPr>
                <w:noProof/>
                <w:webHidden/>
              </w:rPr>
              <w:fldChar w:fldCharType="separate"/>
            </w:r>
            <w:r w:rsidR="000B04E1">
              <w:rPr>
                <w:noProof/>
                <w:webHidden/>
              </w:rPr>
              <w:t>46</w:t>
            </w:r>
            <w:r w:rsidR="000B04E1">
              <w:rPr>
                <w:noProof/>
                <w:webHidden/>
              </w:rPr>
              <w:fldChar w:fldCharType="end"/>
            </w:r>
          </w:hyperlink>
        </w:p>
        <w:p w14:paraId="2FB1C778" w14:textId="4A38ECBB"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97" w:history="1">
            <w:r w:rsidR="000B04E1" w:rsidRPr="00FA7E57">
              <w:rPr>
                <w:rStyle w:val="Hyperlink"/>
                <w:rFonts w:eastAsia="Liberation Serif"/>
                <w:noProof/>
              </w:rPr>
              <w:t>Discussion</w:t>
            </w:r>
            <w:r w:rsidR="000B04E1">
              <w:rPr>
                <w:noProof/>
                <w:webHidden/>
              </w:rPr>
              <w:tab/>
            </w:r>
            <w:r w:rsidR="000B04E1">
              <w:rPr>
                <w:noProof/>
                <w:webHidden/>
              </w:rPr>
              <w:fldChar w:fldCharType="begin"/>
            </w:r>
            <w:r w:rsidR="000B04E1">
              <w:rPr>
                <w:noProof/>
                <w:webHidden/>
              </w:rPr>
              <w:instrText xml:space="preserve"> PAGEREF _Toc41908097 \h </w:instrText>
            </w:r>
            <w:r w:rsidR="000B04E1">
              <w:rPr>
                <w:noProof/>
                <w:webHidden/>
              </w:rPr>
            </w:r>
            <w:r w:rsidR="000B04E1">
              <w:rPr>
                <w:noProof/>
                <w:webHidden/>
              </w:rPr>
              <w:fldChar w:fldCharType="separate"/>
            </w:r>
            <w:r w:rsidR="000B04E1">
              <w:rPr>
                <w:noProof/>
                <w:webHidden/>
              </w:rPr>
              <w:t>47</w:t>
            </w:r>
            <w:r w:rsidR="000B04E1">
              <w:rPr>
                <w:noProof/>
                <w:webHidden/>
              </w:rPr>
              <w:fldChar w:fldCharType="end"/>
            </w:r>
          </w:hyperlink>
        </w:p>
        <w:p w14:paraId="523E19FD" w14:textId="7B89FC77"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098" w:history="1">
            <w:r w:rsidR="000B04E1" w:rsidRPr="00FA7E57">
              <w:rPr>
                <w:rStyle w:val="Hyperlink"/>
                <w:noProof/>
              </w:rPr>
              <w:t>Materials and Methods</w:t>
            </w:r>
            <w:r w:rsidR="000B04E1">
              <w:rPr>
                <w:noProof/>
                <w:webHidden/>
              </w:rPr>
              <w:tab/>
            </w:r>
            <w:r w:rsidR="000B04E1">
              <w:rPr>
                <w:noProof/>
                <w:webHidden/>
              </w:rPr>
              <w:fldChar w:fldCharType="begin"/>
            </w:r>
            <w:r w:rsidR="000B04E1">
              <w:rPr>
                <w:noProof/>
                <w:webHidden/>
              </w:rPr>
              <w:instrText xml:space="preserve"> PAGEREF _Toc41908098 \h </w:instrText>
            </w:r>
            <w:r w:rsidR="000B04E1">
              <w:rPr>
                <w:noProof/>
                <w:webHidden/>
              </w:rPr>
            </w:r>
            <w:r w:rsidR="000B04E1">
              <w:rPr>
                <w:noProof/>
                <w:webHidden/>
              </w:rPr>
              <w:fldChar w:fldCharType="separate"/>
            </w:r>
            <w:r w:rsidR="000B04E1">
              <w:rPr>
                <w:noProof/>
                <w:webHidden/>
              </w:rPr>
              <w:t>53</w:t>
            </w:r>
            <w:r w:rsidR="000B04E1">
              <w:rPr>
                <w:noProof/>
                <w:webHidden/>
              </w:rPr>
              <w:fldChar w:fldCharType="end"/>
            </w:r>
          </w:hyperlink>
        </w:p>
        <w:p w14:paraId="3377DF1F" w14:textId="165DB8A5"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099" w:history="1">
            <w:r w:rsidR="000B04E1" w:rsidRPr="00FA7E57">
              <w:rPr>
                <w:rStyle w:val="Hyperlink"/>
                <w:noProof/>
              </w:rPr>
              <w:t>Defining the Microbial Metagenome and Sequencing Probability</w:t>
            </w:r>
            <w:r w:rsidR="000B04E1">
              <w:rPr>
                <w:noProof/>
                <w:webHidden/>
              </w:rPr>
              <w:tab/>
            </w:r>
            <w:r w:rsidR="000B04E1">
              <w:rPr>
                <w:noProof/>
                <w:webHidden/>
              </w:rPr>
              <w:fldChar w:fldCharType="begin"/>
            </w:r>
            <w:r w:rsidR="000B04E1">
              <w:rPr>
                <w:noProof/>
                <w:webHidden/>
              </w:rPr>
              <w:instrText xml:space="preserve"> PAGEREF _Toc41908099 \h </w:instrText>
            </w:r>
            <w:r w:rsidR="000B04E1">
              <w:rPr>
                <w:noProof/>
                <w:webHidden/>
              </w:rPr>
            </w:r>
            <w:r w:rsidR="000B04E1">
              <w:rPr>
                <w:noProof/>
                <w:webHidden/>
              </w:rPr>
              <w:fldChar w:fldCharType="separate"/>
            </w:r>
            <w:r w:rsidR="000B04E1">
              <w:rPr>
                <w:noProof/>
                <w:webHidden/>
              </w:rPr>
              <w:t>53</w:t>
            </w:r>
            <w:r w:rsidR="000B04E1">
              <w:rPr>
                <w:noProof/>
                <w:webHidden/>
              </w:rPr>
              <w:fldChar w:fldCharType="end"/>
            </w:r>
          </w:hyperlink>
        </w:p>
        <w:p w14:paraId="18B7646F" w14:textId="653E7A37"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00" w:history="1">
            <w:r w:rsidR="000B04E1" w:rsidRPr="00FA7E57">
              <w:rPr>
                <w:rStyle w:val="Hyperlink"/>
                <w:noProof/>
              </w:rPr>
              <w:t>Modeling Expected Sequences</w:t>
            </w:r>
            <w:r w:rsidR="000B04E1">
              <w:rPr>
                <w:noProof/>
                <w:webHidden/>
              </w:rPr>
              <w:tab/>
            </w:r>
            <w:r w:rsidR="000B04E1">
              <w:rPr>
                <w:noProof/>
                <w:webHidden/>
              </w:rPr>
              <w:fldChar w:fldCharType="begin"/>
            </w:r>
            <w:r w:rsidR="000B04E1">
              <w:rPr>
                <w:noProof/>
                <w:webHidden/>
              </w:rPr>
              <w:instrText xml:space="preserve"> PAGEREF _Toc41908100 \h </w:instrText>
            </w:r>
            <w:r w:rsidR="000B04E1">
              <w:rPr>
                <w:noProof/>
                <w:webHidden/>
              </w:rPr>
            </w:r>
            <w:r w:rsidR="000B04E1">
              <w:rPr>
                <w:noProof/>
                <w:webHidden/>
              </w:rPr>
              <w:fldChar w:fldCharType="separate"/>
            </w:r>
            <w:r w:rsidR="000B04E1">
              <w:rPr>
                <w:noProof/>
                <w:webHidden/>
              </w:rPr>
              <w:t>55</w:t>
            </w:r>
            <w:r w:rsidR="000B04E1">
              <w:rPr>
                <w:noProof/>
                <w:webHidden/>
              </w:rPr>
              <w:fldChar w:fldCharType="end"/>
            </w:r>
          </w:hyperlink>
        </w:p>
        <w:p w14:paraId="4E94A454" w14:textId="5B720883"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01" w:history="1">
            <w:r w:rsidR="000B04E1" w:rsidRPr="00FA7E57">
              <w:rPr>
                <w:rStyle w:val="Hyperlink"/>
                <w:noProof/>
              </w:rPr>
              <w:t>Sequence Data Sources</w:t>
            </w:r>
            <w:r w:rsidR="000B04E1">
              <w:rPr>
                <w:noProof/>
                <w:webHidden/>
              </w:rPr>
              <w:tab/>
            </w:r>
            <w:r w:rsidR="000B04E1">
              <w:rPr>
                <w:noProof/>
                <w:webHidden/>
              </w:rPr>
              <w:fldChar w:fldCharType="begin"/>
            </w:r>
            <w:r w:rsidR="000B04E1">
              <w:rPr>
                <w:noProof/>
                <w:webHidden/>
              </w:rPr>
              <w:instrText xml:space="preserve"> PAGEREF _Toc41908101 \h </w:instrText>
            </w:r>
            <w:r w:rsidR="000B04E1">
              <w:rPr>
                <w:noProof/>
                <w:webHidden/>
              </w:rPr>
            </w:r>
            <w:r w:rsidR="000B04E1">
              <w:rPr>
                <w:noProof/>
                <w:webHidden/>
              </w:rPr>
              <w:fldChar w:fldCharType="separate"/>
            </w:r>
            <w:r w:rsidR="000B04E1">
              <w:rPr>
                <w:noProof/>
                <w:webHidden/>
              </w:rPr>
              <w:t>58</w:t>
            </w:r>
            <w:r w:rsidR="000B04E1">
              <w:rPr>
                <w:noProof/>
                <w:webHidden/>
              </w:rPr>
              <w:fldChar w:fldCharType="end"/>
            </w:r>
          </w:hyperlink>
        </w:p>
        <w:p w14:paraId="37711896" w14:textId="7B5F7CB0"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02" w:history="1">
            <w:r w:rsidR="000B04E1" w:rsidRPr="00FA7E57">
              <w:rPr>
                <w:rStyle w:val="Hyperlink"/>
                <w:noProof/>
              </w:rPr>
              <w:t>MAG Assembly Pipeline</w:t>
            </w:r>
            <w:r w:rsidR="000B04E1">
              <w:rPr>
                <w:noProof/>
                <w:webHidden/>
              </w:rPr>
              <w:tab/>
            </w:r>
            <w:r w:rsidR="000B04E1">
              <w:rPr>
                <w:noProof/>
                <w:webHidden/>
              </w:rPr>
              <w:fldChar w:fldCharType="begin"/>
            </w:r>
            <w:r w:rsidR="000B04E1">
              <w:rPr>
                <w:noProof/>
                <w:webHidden/>
              </w:rPr>
              <w:instrText xml:space="preserve"> PAGEREF _Toc41908102 \h </w:instrText>
            </w:r>
            <w:r w:rsidR="000B04E1">
              <w:rPr>
                <w:noProof/>
                <w:webHidden/>
              </w:rPr>
            </w:r>
            <w:r w:rsidR="000B04E1">
              <w:rPr>
                <w:noProof/>
                <w:webHidden/>
              </w:rPr>
              <w:fldChar w:fldCharType="separate"/>
            </w:r>
            <w:r w:rsidR="000B04E1">
              <w:rPr>
                <w:noProof/>
                <w:webHidden/>
              </w:rPr>
              <w:t>59</w:t>
            </w:r>
            <w:r w:rsidR="000B04E1">
              <w:rPr>
                <w:noProof/>
                <w:webHidden/>
              </w:rPr>
              <w:fldChar w:fldCharType="end"/>
            </w:r>
          </w:hyperlink>
        </w:p>
        <w:p w14:paraId="08C905D1" w14:textId="63195A83"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03" w:history="1">
            <w:r w:rsidR="000B04E1" w:rsidRPr="00FA7E57">
              <w:rPr>
                <w:rStyle w:val="Hyperlink"/>
                <w:noProof/>
              </w:rPr>
              <w:t>Subsampling Sequence Read Datasets</w:t>
            </w:r>
            <w:r w:rsidR="000B04E1">
              <w:rPr>
                <w:noProof/>
                <w:webHidden/>
              </w:rPr>
              <w:tab/>
            </w:r>
            <w:r w:rsidR="000B04E1">
              <w:rPr>
                <w:noProof/>
                <w:webHidden/>
              </w:rPr>
              <w:fldChar w:fldCharType="begin"/>
            </w:r>
            <w:r w:rsidR="000B04E1">
              <w:rPr>
                <w:noProof/>
                <w:webHidden/>
              </w:rPr>
              <w:instrText xml:space="preserve"> PAGEREF _Toc41908103 \h </w:instrText>
            </w:r>
            <w:r w:rsidR="000B04E1">
              <w:rPr>
                <w:noProof/>
                <w:webHidden/>
              </w:rPr>
            </w:r>
            <w:r w:rsidR="000B04E1">
              <w:rPr>
                <w:noProof/>
                <w:webHidden/>
              </w:rPr>
              <w:fldChar w:fldCharType="separate"/>
            </w:r>
            <w:r w:rsidR="000B04E1">
              <w:rPr>
                <w:noProof/>
                <w:webHidden/>
              </w:rPr>
              <w:t>60</w:t>
            </w:r>
            <w:r w:rsidR="000B04E1">
              <w:rPr>
                <w:noProof/>
                <w:webHidden/>
              </w:rPr>
              <w:fldChar w:fldCharType="end"/>
            </w:r>
          </w:hyperlink>
        </w:p>
        <w:p w14:paraId="22F0D5CE" w14:textId="40A62AE2"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04" w:history="1">
            <w:r w:rsidR="000B04E1" w:rsidRPr="00FA7E57">
              <w:rPr>
                <w:rStyle w:val="Hyperlink"/>
                <w:noProof/>
              </w:rPr>
              <w:t>Modeling MAG Response to Sequencing effort</w:t>
            </w:r>
            <w:r w:rsidR="000B04E1">
              <w:rPr>
                <w:noProof/>
                <w:webHidden/>
              </w:rPr>
              <w:tab/>
            </w:r>
            <w:r w:rsidR="000B04E1">
              <w:rPr>
                <w:noProof/>
                <w:webHidden/>
              </w:rPr>
              <w:fldChar w:fldCharType="begin"/>
            </w:r>
            <w:r w:rsidR="000B04E1">
              <w:rPr>
                <w:noProof/>
                <w:webHidden/>
              </w:rPr>
              <w:instrText xml:space="preserve"> PAGEREF _Toc41908104 \h </w:instrText>
            </w:r>
            <w:r w:rsidR="000B04E1">
              <w:rPr>
                <w:noProof/>
                <w:webHidden/>
              </w:rPr>
            </w:r>
            <w:r w:rsidR="000B04E1">
              <w:rPr>
                <w:noProof/>
                <w:webHidden/>
              </w:rPr>
              <w:fldChar w:fldCharType="separate"/>
            </w:r>
            <w:r w:rsidR="000B04E1">
              <w:rPr>
                <w:noProof/>
                <w:webHidden/>
              </w:rPr>
              <w:t>61</w:t>
            </w:r>
            <w:r w:rsidR="000B04E1">
              <w:rPr>
                <w:noProof/>
                <w:webHidden/>
              </w:rPr>
              <w:fldChar w:fldCharType="end"/>
            </w:r>
          </w:hyperlink>
        </w:p>
        <w:p w14:paraId="0C470021" w14:textId="7254A971"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05" w:history="1">
            <w:r w:rsidR="000B04E1" w:rsidRPr="00FA7E57">
              <w:rPr>
                <w:rStyle w:val="Hyperlink"/>
                <w:noProof/>
              </w:rPr>
              <w:t>Relating MAG Response to the Theoretical Sequencing Model</w:t>
            </w:r>
            <w:r w:rsidR="000B04E1">
              <w:rPr>
                <w:noProof/>
                <w:webHidden/>
              </w:rPr>
              <w:tab/>
            </w:r>
            <w:r w:rsidR="000B04E1">
              <w:rPr>
                <w:noProof/>
                <w:webHidden/>
              </w:rPr>
              <w:fldChar w:fldCharType="begin"/>
            </w:r>
            <w:r w:rsidR="000B04E1">
              <w:rPr>
                <w:noProof/>
                <w:webHidden/>
              </w:rPr>
              <w:instrText xml:space="preserve"> PAGEREF _Toc41908105 \h </w:instrText>
            </w:r>
            <w:r w:rsidR="000B04E1">
              <w:rPr>
                <w:noProof/>
                <w:webHidden/>
              </w:rPr>
            </w:r>
            <w:r w:rsidR="000B04E1">
              <w:rPr>
                <w:noProof/>
                <w:webHidden/>
              </w:rPr>
              <w:fldChar w:fldCharType="separate"/>
            </w:r>
            <w:r w:rsidR="000B04E1">
              <w:rPr>
                <w:noProof/>
                <w:webHidden/>
              </w:rPr>
              <w:t>61</w:t>
            </w:r>
            <w:r w:rsidR="000B04E1">
              <w:rPr>
                <w:noProof/>
                <w:webHidden/>
              </w:rPr>
              <w:fldChar w:fldCharType="end"/>
            </w:r>
          </w:hyperlink>
        </w:p>
        <w:p w14:paraId="1ADC9F9F" w14:textId="731C47A0"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06" w:history="1">
            <w:r w:rsidR="000B04E1" w:rsidRPr="00FA7E57">
              <w:rPr>
                <w:rStyle w:val="Hyperlink"/>
                <w:noProof/>
              </w:rPr>
              <w:t>Appendix Two</w:t>
            </w:r>
            <w:r w:rsidR="000B04E1">
              <w:rPr>
                <w:noProof/>
                <w:webHidden/>
              </w:rPr>
              <w:tab/>
            </w:r>
            <w:r w:rsidR="000B04E1">
              <w:rPr>
                <w:noProof/>
                <w:webHidden/>
              </w:rPr>
              <w:fldChar w:fldCharType="begin"/>
            </w:r>
            <w:r w:rsidR="000B04E1">
              <w:rPr>
                <w:noProof/>
                <w:webHidden/>
              </w:rPr>
              <w:instrText xml:space="preserve"> PAGEREF _Toc41908106 \h </w:instrText>
            </w:r>
            <w:r w:rsidR="000B04E1">
              <w:rPr>
                <w:noProof/>
                <w:webHidden/>
              </w:rPr>
            </w:r>
            <w:r w:rsidR="000B04E1">
              <w:rPr>
                <w:noProof/>
                <w:webHidden/>
              </w:rPr>
              <w:fldChar w:fldCharType="separate"/>
            </w:r>
            <w:r w:rsidR="000B04E1">
              <w:rPr>
                <w:noProof/>
                <w:webHidden/>
              </w:rPr>
              <w:t>63</w:t>
            </w:r>
            <w:r w:rsidR="000B04E1">
              <w:rPr>
                <w:noProof/>
                <w:webHidden/>
              </w:rPr>
              <w:fldChar w:fldCharType="end"/>
            </w:r>
          </w:hyperlink>
        </w:p>
        <w:p w14:paraId="1CE461FE" w14:textId="77A18F49"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07" w:history="1">
            <w:r w:rsidR="000B04E1" w:rsidRPr="00FA7E57">
              <w:rPr>
                <w:rStyle w:val="Hyperlink"/>
                <w:noProof/>
              </w:rPr>
              <w:t>Tables</w:t>
            </w:r>
            <w:r w:rsidR="000B04E1">
              <w:rPr>
                <w:noProof/>
                <w:webHidden/>
              </w:rPr>
              <w:tab/>
            </w:r>
            <w:r w:rsidR="000B04E1">
              <w:rPr>
                <w:noProof/>
                <w:webHidden/>
              </w:rPr>
              <w:fldChar w:fldCharType="begin"/>
            </w:r>
            <w:r w:rsidR="000B04E1">
              <w:rPr>
                <w:noProof/>
                <w:webHidden/>
              </w:rPr>
              <w:instrText xml:space="preserve"> PAGEREF _Toc41908107 \h </w:instrText>
            </w:r>
            <w:r w:rsidR="000B04E1">
              <w:rPr>
                <w:noProof/>
                <w:webHidden/>
              </w:rPr>
            </w:r>
            <w:r w:rsidR="000B04E1">
              <w:rPr>
                <w:noProof/>
                <w:webHidden/>
              </w:rPr>
              <w:fldChar w:fldCharType="separate"/>
            </w:r>
            <w:r w:rsidR="000B04E1">
              <w:rPr>
                <w:noProof/>
                <w:webHidden/>
              </w:rPr>
              <w:t>64</w:t>
            </w:r>
            <w:r w:rsidR="000B04E1">
              <w:rPr>
                <w:noProof/>
                <w:webHidden/>
              </w:rPr>
              <w:fldChar w:fldCharType="end"/>
            </w:r>
          </w:hyperlink>
        </w:p>
        <w:p w14:paraId="00900ED7" w14:textId="13C6969F"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08" w:history="1">
            <w:r w:rsidR="000B04E1" w:rsidRPr="00FA7E57">
              <w:rPr>
                <w:rStyle w:val="Hyperlink"/>
                <w:noProof/>
              </w:rPr>
              <w:t>Figures</w:t>
            </w:r>
            <w:r w:rsidR="000B04E1">
              <w:rPr>
                <w:noProof/>
                <w:webHidden/>
              </w:rPr>
              <w:tab/>
            </w:r>
            <w:r w:rsidR="000B04E1">
              <w:rPr>
                <w:noProof/>
                <w:webHidden/>
              </w:rPr>
              <w:fldChar w:fldCharType="begin"/>
            </w:r>
            <w:r w:rsidR="000B04E1">
              <w:rPr>
                <w:noProof/>
                <w:webHidden/>
              </w:rPr>
              <w:instrText xml:space="preserve"> PAGEREF _Toc41908108 \h </w:instrText>
            </w:r>
            <w:r w:rsidR="000B04E1">
              <w:rPr>
                <w:noProof/>
                <w:webHidden/>
              </w:rPr>
            </w:r>
            <w:r w:rsidR="000B04E1">
              <w:rPr>
                <w:noProof/>
                <w:webHidden/>
              </w:rPr>
              <w:fldChar w:fldCharType="separate"/>
            </w:r>
            <w:r w:rsidR="000B04E1">
              <w:rPr>
                <w:noProof/>
                <w:webHidden/>
              </w:rPr>
              <w:t>67</w:t>
            </w:r>
            <w:r w:rsidR="000B04E1">
              <w:rPr>
                <w:noProof/>
                <w:webHidden/>
              </w:rPr>
              <w:fldChar w:fldCharType="end"/>
            </w:r>
          </w:hyperlink>
        </w:p>
        <w:p w14:paraId="3195FF1C" w14:textId="55A87B08"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109" w:history="1">
            <w:r w:rsidR="000B04E1" w:rsidRPr="00FA7E57">
              <w:rPr>
                <w:rStyle w:val="Hyperlink"/>
                <w:noProof/>
              </w:rPr>
              <w:t>Chapter Three A Quantitative Measure of Functional Redundancy in Microbial Ecosystems</w:t>
            </w:r>
            <w:r w:rsidR="000B04E1">
              <w:rPr>
                <w:noProof/>
                <w:webHidden/>
              </w:rPr>
              <w:tab/>
            </w:r>
            <w:r w:rsidR="000B04E1">
              <w:rPr>
                <w:noProof/>
                <w:webHidden/>
              </w:rPr>
              <w:fldChar w:fldCharType="begin"/>
            </w:r>
            <w:r w:rsidR="000B04E1">
              <w:rPr>
                <w:noProof/>
                <w:webHidden/>
              </w:rPr>
              <w:instrText xml:space="preserve"> PAGEREF _Toc41908109 \h </w:instrText>
            </w:r>
            <w:r w:rsidR="000B04E1">
              <w:rPr>
                <w:noProof/>
                <w:webHidden/>
              </w:rPr>
            </w:r>
            <w:r w:rsidR="000B04E1">
              <w:rPr>
                <w:noProof/>
                <w:webHidden/>
              </w:rPr>
              <w:fldChar w:fldCharType="separate"/>
            </w:r>
            <w:r w:rsidR="000B04E1">
              <w:rPr>
                <w:noProof/>
                <w:webHidden/>
              </w:rPr>
              <w:t>76</w:t>
            </w:r>
            <w:r w:rsidR="000B04E1">
              <w:rPr>
                <w:noProof/>
                <w:webHidden/>
              </w:rPr>
              <w:fldChar w:fldCharType="end"/>
            </w:r>
          </w:hyperlink>
        </w:p>
        <w:p w14:paraId="6268A711" w14:textId="2AE9F5C2"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10" w:history="1">
            <w:r w:rsidR="000B04E1" w:rsidRPr="00FA7E57">
              <w:rPr>
                <w:rStyle w:val="Hyperlink"/>
                <w:noProof/>
              </w:rPr>
              <w:t>Abstract</w:t>
            </w:r>
            <w:r w:rsidR="000B04E1">
              <w:rPr>
                <w:noProof/>
                <w:webHidden/>
              </w:rPr>
              <w:tab/>
            </w:r>
            <w:r w:rsidR="000B04E1">
              <w:rPr>
                <w:noProof/>
                <w:webHidden/>
              </w:rPr>
              <w:fldChar w:fldCharType="begin"/>
            </w:r>
            <w:r w:rsidR="000B04E1">
              <w:rPr>
                <w:noProof/>
                <w:webHidden/>
              </w:rPr>
              <w:instrText xml:space="preserve"> PAGEREF _Toc41908110 \h </w:instrText>
            </w:r>
            <w:r w:rsidR="000B04E1">
              <w:rPr>
                <w:noProof/>
                <w:webHidden/>
              </w:rPr>
            </w:r>
            <w:r w:rsidR="000B04E1">
              <w:rPr>
                <w:noProof/>
                <w:webHidden/>
              </w:rPr>
              <w:fldChar w:fldCharType="separate"/>
            </w:r>
            <w:r w:rsidR="000B04E1">
              <w:rPr>
                <w:noProof/>
                <w:webHidden/>
              </w:rPr>
              <w:t>77</w:t>
            </w:r>
            <w:r w:rsidR="000B04E1">
              <w:rPr>
                <w:noProof/>
                <w:webHidden/>
              </w:rPr>
              <w:fldChar w:fldCharType="end"/>
            </w:r>
          </w:hyperlink>
        </w:p>
        <w:p w14:paraId="63DE30F8" w14:textId="3077C003"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11" w:history="1">
            <w:r w:rsidR="000B04E1" w:rsidRPr="00FA7E57">
              <w:rPr>
                <w:rStyle w:val="Hyperlink"/>
                <w:noProof/>
              </w:rPr>
              <w:t>Importance</w:t>
            </w:r>
            <w:r w:rsidR="000B04E1">
              <w:rPr>
                <w:noProof/>
                <w:webHidden/>
              </w:rPr>
              <w:tab/>
            </w:r>
            <w:r w:rsidR="000B04E1">
              <w:rPr>
                <w:noProof/>
                <w:webHidden/>
              </w:rPr>
              <w:fldChar w:fldCharType="begin"/>
            </w:r>
            <w:r w:rsidR="000B04E1">
              <w:rPr>
                <w:noProof/>
                <w:webHidden/>
              </w:rPr>
              <w:instrText xml:space="preserve"> PAGEREF _Toc41908111 \h </w:instrText>
            </w:r>
            <w:r w:rsidR="000B04E1">
              <w:rPr>
                <w:noProof/>
                <w:webHidden/>
              </w:rPr>
            </w:r>
            <w:r w:rsidR="000B04E1">
              <w:rPr>
                <w:noProof/>
                <w:webHidden/>
              </w:rPr>
              <w:fldChar w:fldCharType="separate"/>
            </w:r>
            <w:r w:rsidR="000B04E1">
              <w:rPr>
                <w:noProof/>
                <w:webHidden/>
              </w:rPr>
              <w:t>78</w:t>
            </w:r>
            <w:r w:rsidR="000B04E1">
              <w:rPr>
                <w:noProof/>
                <w:webHidden/>
              </w:rPr>
              <w:fldChar w:fldCharType="end"/>
            </w:r>
          </w:hyperlink>
        </w:p>
        <w:p w14:paraId="5E0990EE" w14:textId="3C758609"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12" w:history="1">
            <w:r w:rsidR="000B04E1" w:rsidRPr="00FA7E57">
              <w:rPr>
                <w:rStyle w:val="Hyperlink"/>
                <w:noProof/>
              </w:rPr>
              <w:t>Introduction</w:t>
            </w:r>
            <w:r w:rsidR="000B04E1">
              <w:rPr>
                <w:noProof/>
                <w:webHidden/>
              </w:rPr>
              <w:tab/>
            </w:r>
            <w:r w:rsidR="000B04E1">
              <w:rPr>
                <w:noProof/>
                <w:webHidden/>
              </w:rPr>
              <w:fldChar w:fldCharType="begin"/>
            </w:r>
            <w:r w:rsidR="000B04E1">
              <w:rPr>
                <w:noProof/>
                <w:webHidden/>
              </w:rPr>
              <w:instrText xml:space="preserve"> PAGEREF _Toc41908112 \h </w:instrText>
            </w:r>
            <w:r w:rsidR="000B04E1">
              <w:rPr>
                <w:noProof/>
                <w:webHidden/>
              </w:rPr>
            </w:r>
            <w:r w:rsidR="000B04E1">
              <w:rPr>
                <w:noProof/>
                <w:webHidden/>
              </w:rPr>
              <w:fldChar w:fldCharType="separate"/>
            </w:r>
            <w:r w:rsidR="000B04E1">
              <w:rPr>
                <w:noProof/>
                <w:webHidden/>
              </w:rPr>
              <w:t>78</w:t>
            </w:r>
            <w:r w:rsidR="000B04E1">
              <w:rPr>
                <w:noProof/>
                <w:webHidden/>
              </w:rPr>
              <w:fldChar w:fldCharType="end"/>
            </w:r>
          </w:hyperlink>
        </w:p>
        <w:p w14:paraId="3009D773" w14:textId="11481994"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13" w:history="1">
            <w:r w:rsidR="000B04E1" w:rsidRPr="00FA7E57">
              <w:rPr>
                <w:rStyle w:val="Hyperlink"/>
                <w:noProof/>
              </w:rPr>
              <w:t>Results and Discussion</w:t>
            </w:r>
            <w:r w:rsidR="000B04E1">
              <w:rPr>
                <w:noProof/>
                <w:webHidden/>
              </w:rPr>
              <w:tab/>
            </w:r>
            <w:r w:rsidR="000B04E1">
              <w:rPr>
                <w:noProof/>
                <w:webHidden/>
              </w:rPr>
              <w:fldChar w:fldCharType="begin"/>
            </w:r>
            <w:r w:rsidR="000B04E1">
              <w:rPr>
                <w:noProof/>
                <w:webHidden/>
              </w:rPr>
              <w:instrText xml:space="preserve"> PAGEREF _Toc41908113 \h </w:instrText>
            </w:r>
            <w:r w:rsidR="000B04E1">
              <w:rPr>
                <w:noProof/>
                <w:webHidden/>
              </w:rPr>
            </w:r>
            <w:r w:rsidR="000B04E1">
              <w:rPr>
                <w:noProof/>
                <w:webHidden/>
              </w:rPr>
              <w:fldChar w:fldCharType="separate"/>
            </w:r>
            <w:r w:rsidR="000B04E1">
              <w:rPr>
                <w:noProof/>
                <w:webHidden/>
              </w:rPr>
              <w:t>82</w:t>
            </w:r>
            <w:r w:rsidR="000B04E1">
              <w:rPr>
                <w:noProof/>
                <w:webHidden/>
              </w:rPr>
              <w:fldChar w:fldCharType="end"/>
            </w:r>
          </w:hyperlink>
        </w:p>
        <w:p w14:paraId="049B1A37" w14:textId="3DF45906"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14" w:history="1">
            <w:r w:rsidR="000B04E1" w:rsidRPr="00FA7E57">
              <w:rPr>
                <w:rStyle w:val="Hyperlink"/>
                <w:noProof/>
              </w:rPr>
              <w:t>Representing microbial communities as taxa abundance, trait abundance, and trait contribution distributions</w:t>
            </w:r>
            <w:r w:rsidR="000B04E1">
              <w:rPr>
                <w:noProof/>
                <w:webHidden/>
              </w:rPr>
              <w:tab/>
            </w:r>
            <w:r w:rsidR="000B04E1">
              <w:rPr>
                <w:noProof/>
                <w:webHidden/>
              </w:rPr>
              <w:fldChar w:fldCharType="begin"/>
            </w:r>
            <w:r w:rsidR="000B04E1">
              <w:rPr>
                <w:noProof/>
                <w:webHidden/>
              </w:rPr>
              <w:instrText xml:space="preserve"> PAGEREF _Toc41908114 \h </w:instrText>
            </w:r>
            <w:r w:rsidR="000B04E1">
              <w:rPr>
                <w:noProof/>
                <w:webHidden/>
              </w:rPr>
            </w:r>
            <w:r w:rsidR="000B04E1">
              <w:rPr>
                <w:noProof/>
                <w:webHidden/>
              </w:rPr>
              <w:fldChar w:fldCharType="separate"/>
            </w:r>
            <w:r w:rsidR="000B04E1">
              <w:rPr>
                <w:noProof/>
                <w:webHidden/>
              </w:rPr>
              <w:t>82</w:t>
            </w:r>
            <w:r w:rsidR="000B04E1">
              <w:rPr>
                <w:noProof/>
                <w:webHidden/>
              </w:rPr>
              <w:fldChar w:fldCharType="end"/>
            </w:r>
          </w:hyperlink>
        </w:p>
        <w:p w14:paraId="4D4975BD" w14:textId="74053ABC"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15" w:history="1">
            <w:r w:rsidR="000B04E1" w:rsidRPr="00FA7E57">
              <w:rPr>
                <w:rStyle w:val="Hyperlink"/>
                <w:noProof/>
              </w:rPr>
              <w:t>Defining and Quantifying Functional Redundancy</w:t>
            </w:r>
            <w:r w:rsidR="000B04E1">
              <w:rPr>
                <w:noProof/>
                <w:webHidden/>
              </w:rPr>
              <w:tab/>
            </w:r>
            <w:r w:rsidR="000B04E1">
              <w:rPr>
                <w:noProof/>
                <w:webHidden/>
              </w:rPr>
              <w:fldChar w:fldCharType="begin"/>
            </w:r>
            <w:r w:rsidR="000B04E1">
              <w:rPr>
                <w:noProof/>
                <w:webHidden/>
              </w:rPr>
              <w:instrText xml:space="preserve"> PAGEREF _Toc41908115 \h </w:instrText>
            </w:r>
            <w:r w:rsidR="000B04E1">
              <w:rPr>
                <w:noProof/>
                <w:webHidden/>
              </w:rPr>
            </w:r>
            <w:r w:rsidR="000B04E1">
              <w:rPr>
                <w:noProof/>
                <w:webHidden/>
              </w:rPr>
              <w:fldChar w:fldCharType="separate"/>
            </w:r>
            <w:r w:rsidR="000B04E1">
              <w:rPr>
                <w:noProof/>
                <w:webHidden/>
              </w:rPr>
              <w:t>83</w:t>
            </w:r>
            <w:r w:rsidR="000B04E1">
              <w:rPr>
                <w:noProof/>
                <w:webHidden/>
              </w:rPr>
              <w:fldChar w:fldCharType="end"/>
            </w:r>
          </w:hyperlink>
        </w:p>
        <w:p w14:paraId="1636B1A0" w14:textId="696508BC"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16" w:history="1">
            <w:r w:rsidR="000B04E1" w:rsidRPr="00FA7E57">
              <w:rPr>
                <w:rStyle w:val="Hyperlink"/>
                <w:noProof/>
              </w:rPr>
              <w:t>Influence on Functional Redundancy from Taxa Lacking the Trait</w:t>
            </w:r>
            <w:r w:rsidR="000B04E1">
              <w:rPr>
                <w:noProof/>
                <w:webHidden/>
              </w:rPr>
              <w:tab/>
            </w:r>
            <w:r w:rsidR="000B04E1">
              <w:rPr>
                <w:noProof/>
                <w:webHidden/>
              </w:rPr>
              <w:fldChar w:fldCharType="begin"/>
            </w:r>
            <w:r w:rsidR="000B04E1">
              <w:rPr>
                <w:noProof/>
                <w:webHidden/>
              </w:rPr>
              <w:instrText xml:space="preserve"> PAGEREF _Toc41908116 \h </w:instrText>
            </w:r>
            <w:r w:rsidR="000B04E1">
              <w:rPr>
                <w:noProof/>
                <w:webHidden/>
              </w:rPr>
            </w:r>
            <w:r w:rsidR="000B04E1">
              <w:rPr>
                <w:noProof/>
                <w:webHidden/>
              </w:rPr>
              <w:fldChar w:fldCharType="separate"/>
            </w:r>
            <w:r w:rsidR="000B04E1">
              <w:rPr>
                <w:noProof/>
                <w:webHidden/>
              </w:rPr>
              <w:t>85</w:t>
            </w:r>
            <w:r w:rsidR="000B04E1">
              <w:rPr>
                <w:noProof/>
                <w:webHidden/>
              </w:rPr>
              <w:fldChar w:fldCharType="end"/>
            </w:r>
          </w:hyperlink>
        </w:p>
        <w:p w14:paraId="4B48F20F" w14:textId="69A00459"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17" w:history="1">
            <w:r w:rsidR="000B04E1" w:rsidRPr="00FA7E57">
              <w:rPr>
                <w:rStyle w:val="Hyperlink"/>
                <w:noProof/>
              </w:rPr>
              <w:t>Functional Redundancy and Trait Resilience to Taxa Extinction</w:t>
            </w:r>
            <w:r w:rsidR="000B04E1">
              <w:rPr>
                <w:noProof/>
                <w:webHidden/>
              </w:rPr>
              <w:tab/>
            </w:r>
            <w:r w:rsidR="000B04E1">
              <w:rPr>
                <w:noProof/>
                <w:webHidden/>
              </w:rPr>
              <w:fldChar w:fldCharType="begin"/>
            </w:r>
            <w:r w:rsidR="000B04E1">
              <w:rPr>
                <w:noProof/>
                <w:webHidden/>
              </w:rPr>
              <w:instrText xml:space="preserve"> PAGEREF _Toc41908117 \h </w:instrText>
            </w:r>
            <w:r w:rsidR="000B04E1">
              <w:rPr>
                <w:noProof/>
                <w:webHidden/>
              </w:rPr>
            </w:r>
            <w:r w:rsidR="000B04E1">
              <w:rPr>
                <w:noProof/>
                <w:webHidden/>
              </w:rPr>
              <w:fldChar w:fldCharType="separate"/>
            </w:r>
            <w:r w:rsidR="000B04E1">
              <w:rPr>
                <w:noProof/>
                <w:webHidden/>
              </w:rPr>
              <w:t>88</w:t>
            </w:r>
            <w:r w:rsidR="000B04E1">
              <w:rPr>
                <w:noProof/>
                <w:webHidden/>
              </w:rPr>
              <w:fldChar w:fldCharType="end"/>
            </w:r>
          </w:hyperlink>
        </w:p>
        <w:p w14:paraId="487B065C" w14:textId="2FF4D344"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18" w:history="1">
            <w:r w:rsidR="000B04E1" w:rsidRPr="00FA7E57">
              <w:rPr>
                <w:rStyle w:val="Hyperlink"/>
                <w:noProof/>
              </w:rPr>
              <w:t>Case Study: Redundancy of Nitrogen Cycle Marker Genes in Marine Microbiomes</w:t>
            </w:r>
            <w:r w:rsidR="000B04E1">
              <w:rPr>
                <w:noProof/>
                <w:webHidden/>
              </w:rPr>
              <w:tab/>
            </w:r>
            <w:r w:rsidR="000B04E1">
              <w:rPr>
                <w:noProof/>
                <w:webHidden/>
              </w:rPr>
              <w:fldChar w:fldCharType="begin"/>
            </w:r>
            <w:r w:rsidR="000B04E1">
              <w:rPr>
                <w:noProof/>
                <w:webHidden/>
              </w:rPr>
              <w:instrText xml:space="preserve"> PAGEREF _Toc41908118 \h </w:instrText>
            </w:r>
            <w:r w:rsidR="000B04E1">
              <w:rPr>
                <w:noProof/>
                <w:webHidden/>
              </w:rPr>
            </w:r>
            <w:r w:rsidR="000B04E1">
              <w:rPr>
                <w:noProof/>
                <w:webHidden/>
              </w:rPr>
              <w:fldChar w:fldCharType="separate"/>
            </w:r>
            <w:r w:rsidR="000B04E1">
              <w:rPr>
                <w:noProof/>
                <w:webHidden/>
              </w:rPr>
              <w:t>90</w:t>
            </w:r>
            <w:r w:rsidR="000B04E1">
              <w:rPr>
                <w:noProof/>
                <w:webHidden/>
              </w:rPr>
              <w:fldChar w:fldCharType="end"/>
            </w:r>
          </w:hyperlink>
        </w:p>
        <w:p w14:paraId="32AFDA41" w14:textId="7464B885"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19" w:history="1">
            <w:r w:rsidR="000B04E1" w:rsidRPr="00FA7E57">
              <w:rPr>
                <w:rStyle w:val="Hyperlink"/>
                <w:noProof/>
              </w:rPr>
              <w:t>Methods and Theory</w:t>
            </w:r>
            <w:r w:rsidR="000B04E1">
              <w:rPr>
                <w:noProof/>
                <w:webHidden/>
              </w:rPr>
              <w:tab/>
            </w:r>
            <w:r w:rsidR="000B04E1">
              <w:rPr>
                <w:noProof/>
                <w:webHidden/>
              </w:rPr>
              <w:fldChar w:fldCharType="begin"/>
            </w:r>
            <w:r w:rsidR="000B04E1">
              <w:rPr>
                <w:noProof/>
                <w:webHidden/>
              </w:rPr>
              <w:instrText xml:space="preserve"> PAGEREF _Toc41908119 \h </w:instrText>
            </w:r>
            <w:r w:rsidR="000B04E1">
              <w:rPr>
                <w:noProof/>
                <w:webHidden/>
              </w:rPr>
            </w:r>
            <w:r w:rsidR="000B04E1">
              <w:rPr>
                <w:noProof/>
                <w:webHidden/>
              </w:rPr>
              <w:fldChar w:fldCharType="separate"/>
            </w:r>
            <w:r w:rsidR="000B04E1">
              <w:rPr>
                <w:noProof/>
                <w:webHidden/>
              </w:rPr>
              <w:t>92</w:t>
            </w:r>
            <w:r w:rsidR="000B04E1">
              <w:rPr>
                <w:noProof/>
                <w:webHidden/>
              </w:rPr>
              <w:fldChar w:fldCharType="end"/>
            </w:r>
          </w:hyperlink>
        </w:p>
        <w:p w14:paraId="1F54B97F" w14:textId="56346818"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20" w:history="1">
            <w:r w:rsidR="000B04E1" w:rsidRPr="00FA7E57">
              <w:rPr>
                <w:rStyle w:val="Hyperlink"/>
                <w:noProof/>
              </w:rPr>
              <w:t>Definition of Functional Redundancy</w:t>
            </w:r>
            <w:r w:rsidR="000B04E1">
              <w:rPr>
                <w:noProof/>
                <w:webHidden/>
              </w:rPr>
              <w:tab/>
            </w:r>
            <w:r w:rsidR="000B04E1">
              <w:rPr>
                <w:noProof/>
                <w:webHidden/>
              </w:rPr>
              <w:fldChar w:fldCharType="begin"/>
            </w:r>
            <w:r w:rsidR="000B04E1">
              <w:rPr>
                <w:noProof/>
                <w:webHidden/>
              </w:rPr>
              <w:instrText xml:space="preserve"> PAGEREF _Toc41908120 \h </w:instrText>
            </w:r>
            <w:r w:rsidR="000B04E1">
              <w:rPr>
                <w:noProof/>
                <w:webHidden/>
              </w:rPr>
            </w:r>
            <w:r w:rsidR="000B04E1">
              <w:rPr>
                <w:noProof/>
                <w:webHidden/>
              </w:rPr>
              <w:fldChar w:fldCharType="separate"/>
            </w:r>
            <w:r w:rsidR="000B04E1">
              <w:rPr>
                <w:noProof/>
                <w:webHidden/>
              </w:rPr>
              <w:t>92</w:t>
            </w:r>
            <w:r w:rsidR="000B04E1">
              <w:rPr>
                <w:noProof/>
                <w:webHidden/>
              </w:rPr>
              <w:fldChar w:fldCharType="end"/>
            </w:r>
          </w:hyperlink>
        </w:p>
        <w:p w14:paraId="105CF45D" w14:textId="7F738609"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21" w:history="1">
            <w:r w:rsidR="000B04E1" w:rsidRPr="00FA7E57">
              <w:rPr>
                <w:rStyle w:val="Hyperlink"/>
                <w:noProof/>
              </w:rPr>
              <w:t>Functional Redundancy’s Dependency on Diversity Continuum</w:t>
            </w:r>
            <w:r w:rsidR="000B04E1">
              <w:rPr>
                <w:noProof/>
                <w:webHidden/>
              </w:rPr>
              <w:tab/>
            </w:r>
            <w:r w:rsidR="000B04E1">
              <w:rPr>
                <w:noProof/>
                <w:webHidden/>
              </w:rPr>
              <w:fldChar w:fldCharType="begin"/>
            </w:r>
            <w:r w:rsidR="000B04E1">
              <w:rPr>
                <w:noProof/>
                <w:webHidden/>
              </w:rPr>
              <w:instrText xml:space="preserve"> PAGEREF _Toc41908121 \h </w:instrText>
            </w:r>
            <w:r w:rsidR="000B04E1">
              <w:rPr>
                <w:noProof/>
                <w:webHidden/>
              </w:rPr>
            </w:r>
            <w:r w:rsidR="000B04E1">
              <w:rPr>
                <w:noProof/>
                <w:webHidden/>
              </w:rPr>
              <w:fldChar w:fldCharType="separate"/>
            </w:r>
            <w:r w:rsidR="000B04E1">
              <w:rPr>
                <w:noProof/>
                <w:webHidden/>
              </w:rPr>
              <w:t>95</w:t>
            </w:r>
            <w:r w:rsidR="000B04E1">
              <w:rPr>
                <w:noProof/>
                <w:webHidden/>
              </w:rPr>
              <w:fldChar w:fldCharType="end"/>
            </w:r>
          </w:hyperlink>
        </w:p>
        <w:p w14:paraId="5917423D" w14:textId="561998DC"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22" w:history="1">
            <w:r w:rsidR="000B04E1" w:rsidRPr="00FA7E57">
              <w:rPr>
                <w:rStyle w:val="Hyperlink"/>
                <w:noProof/>
              </w:rPr>
              <w:t>Functional Redundancy Against Trait Vulnerability Simulations</w:t>
            </w:r>
            <w:r w:rsidR="000B04E1">
              <w:rPr>
                <w:noProof/>
                <w:webHidden/>
              </w:rPr>
              <w:tab/>
            </w:r>
            <w:r w:rsidR="000B04E1">
              <w:rPr>
                <w:noProof/>
                <w:webHidden/>
              </w:rPr>
              <w:fldChar w:fldCharType="begin"/>
            </w:r>
            <w:r w:rsidR="000B04E1">
              <w:rPr>
                <w:noProof/>
                <w:webHidden/>
              </w:rPr>
              <w:instrText xml:space="preserve"> PAGEREF _Toc41908122 \h </w:instrText>
            </w:r>
            <w:r w:rsidR="000B04E1">
              <w:rPr>
                <w:noProof/>
                <w:webHidden/>
              </w:rPr>
            </w:r>
            <w:r w:rsidR="000B04E1">
              <w:rPr>
                <w:noProof/>
                <w:webHidden/>
              </w:rPr>
              <w:fldChar w:fldCharType="separate"/>
            </w:r>
            <w:r w:rsidR="000B04E1">
              <w:rPr>
                <w:noProof/>
                <w:webHidden/>
              </w:rPr>
              <w:t>96</w:t>
            </w:r>
            <w:r w:rsidR="000B04E1">
              <w:rPr>
                <w:noProof/>
                <w:webHidden/>
              </w:rPr>
              <w:fldChar w:fldCharType="end"/>
            </w:r>
          </w:hyperlink>
        </w:p>
        <w:p w14:paraId="6C550FAD" w14:textId="67646F5D"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23" w:history="1">
            <w:r w:rsidR="000B04E1" w:rsidRPr="00FA7E57">
              <w:rPr>
                <w:rStyle w:val="Hyperlink"/>
                <w:noProof/>
              </w:rPr>
              <w:t>A Case Study of Functional Redundancy in the Global Ocean Nitrogen Cycle</w:t>
            </w:r>
            <w:r w:rsidR="000B04E1">
              <w:rPr>
                <w:noProof/>
                <w:webHidden/>
              </w:rPr>
              <w:tab/>
            </w:r>
            <w:r w:rsidR="000B04E1">
              <w:rPr>
                <w:noProof/>
                <w:webHidden/>
              </w:rPr>
              <w:fldChar w:fldCharType="begin"/>
            </w:r>
            <w:r w:rsidR="000B04E1">
              <w:rPr>
                <w:noProof/>
                <w:webHidden/>
              </w:rPr>
              <w:instrText xml:space="preserve"> PAGEREF _Toc41908123 \h </w:instrText>
            </w:r>
            <w:r w:rsidR="000B04E1">
              <w:rPr>
                <w:noProof/>
                <w:webHidden/>
              </w:rPr>
            </w:r>
            <w:r w:rsidR="000B04E1">
              <w:rPr>
                <w:noProof/>
                <w:webHidden/>
              </w:rPr>
              <w:fldChar w:fldCharType="separate"/>
            </w:r>
            <w:r w:rsidR="000B04E1">
              <w:rPr>
                <w:noProof/>
                <w:webHidden/>
              </w:rPr>
              <w:t>98</w:t>
            </w:r>
            <w:r w:rsidR="000B04E1">
              <w:rPr>
                <w:noProof/>
                <w:webHidden/>
              </w:rPr>
              <w:fldChar w:fldCharType="end"/>
            </w:r>
          </w:hyperlink>
        </w:p>
        <w:p w14:paraId="164740CF" w14:textId="62C01A07"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24" w:history="1">
            <w:r w:rsidR="000B04E1" w:rsidRPr="00FA7E57">
              <w:rPr>
                <w:rStyle w:val="Hyperlink"/>
                <w:noProof/>
              </w:rPr>
              <w:t>Appendix Three</w:t>
            </w:r>
            <w:r w:rsidR="000B04E1">
              <w:rPr>
                <w:noProof/>
                <w:webHidden/>
              </w:rPr>
              <w:tab/>
            </w:r>
            <w:r w:rsidR="000B04E1">
              <w:rPr>
                <w:noProof/>
                <w:webHidden/>
              </w:rPr>
              <w:fldChar w:fldCharType="begin"/>
            </w:r>
            <w:r w:rsidR="000B04E1">
              <w:rPr>
                <w:noProof/>
                <w:webHidden/>
              </w:rPr>
              <w:instrText xml:space="preserve"> PAGEREF _Toc41908124 \h </w:instrText>
            </w:r>
            <w:r w:rsidR="000B04E1">
              <w:rPr>
                <w:noProof/>
                <w:webHidden/>
              </w:rPr>
            </w:r>
            <w:r w:rsidR="000B04E1">
              <w:rPr>
                <w:noProof/>
                <w:webHidden/>
              </w:rPr>
              <w:fldChar w:fldCharType="separate"/>
            </w:r>
            <w:r w:rsidR="000B04E1">
              <w:rPr>
                <w:noProof/>
                <w:webHidden/>
              </w:rPr>
              <w:t>99</w:t>
            </w:r>
            <w:r w:rsidR="000B04E1">
              <w:rPr>
                <w:noProof/>
                <w:webHidden/>
              </w:rPr>
              <w:fldChar w:fldCharType="end"/>
            </w:r>
          </w:hyperlink>
        </w:p>
        <w:p w14:paraId="468DFA79" w14:textId="64F42772"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25" w:history="1">
            <w:r w:rsidR="000B04E1" w:rsidRPr="00FA7E57">
              <w:rPr>
                <w:rStyle w:val="Hyperlink"/>
                <w:noProof/>
              </w:rPr>
              <w:t>Tables</w:t>
            </w:r>
            <w:r w:rsidR="000B04E1">
              <w:rPr>
                <w:noProof/>
                <w:webHidden/>
              </w:rPr>
              <w:tab/>
            </w:r>
            <w:r w:rsidR="000B04E1">
              <w:rPr>
                <w:noProof/>
                <w:webHidden/>
              </w:rPr>
              <w:fldChar w:fldCharType="begin"/>
            </w:r>
            <w:r w:rsidR="000B04E1">
              <w:rPr>
                <w:noProof/>
                <w:webHidden/>
              </w:rPr>
              <w:instrText xml:space="preserve"> PAGEREF _Toc41908125 \h </w:instrText>
            </w:r>
            <w:r w:rsidR="000B04E1">
              <w:rPr>
                <w:noProof/>
                <w:webHidden/>
              </w:rPr>
            </w:r>
            <w:r w:rsidR="000B04E1">
              <w:rPr>
                <w:noProof/>
                <w:webHidden/>
              </w:rPr>
              <w:fldChar w:fldCharType="separate"/>
            </w:r>
            <w:r w:rsidR="000B04E1">
              <w:rPr>
                <w:noProof/>
                <w:webHidden/>
              </w:rPr>
              <w:t>100</w:t>
            </w:r>
            <w:r w:rsidR="000B04E1">
              <w:rPr>
                <w:noProof/>
                <w:webHidden/>
              </w:rPr>
              <w:fldChar w:fldCharType="end"/>
            </w:r>
          </w:hyperlink>
        </w:p>
        <w:p w14:paraId="4FCED36A" w14:textId="515811A1"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26" w:history="1">
            <w:r w:rsidR="000B04E1" w:rsidRPr="00FA7E57">
              <w:rPr>
                <w:rStyle w:val="Hyperlink"/>
                <w:noProof/>
              </w:rPr>
              <w:t>Figures</w:t>
            </w:r>
            <w:r w:rsidR="000B04E1">
              <w:rPr>
                <w:noProof/>
                <w:webHidden/>
              </w:rPr>
              <w:tab/>
            </w:r>
            <w:r w:rsidR="000B04E1">
              <w:rPr>
                <w:noProof/>
                <w:webHidden/>
              </w:rPr>
              <w:fldChar w:fldCharType="begin"/>
            </w:r>
            <w:r w:rsidR="000B04E1">
              <w:rPr>
                <w:noProof/>
                <w:webHidden/>
              </w:rPr>
              <w:instrText xml:space="preserve"> PAGEREF _Toc41908126 \h </w:instrText>
            </w:r>
            <w:r w:rsidR="000B04E1">
              <w:rPr>
                <w:noProof/>
                <w:webHidden/>
              </w:rPr>
            </w:r>
            <w:r w:rsidR="000B04E1">
              <w:rPr>
                <w:noProof/>
                <w:webHidden/>
              </w:rPr>
              <w:fldChar w:fldCharType="separate"/>
            </w:r>
            <w:r w:rsidR="000B04E1">
              <w:rPr>
                <w:noProof/>
                <w:webHidden/>
              </w:rPr>
              <w:t>101</w:t>
            </w:r>
            <w:r w:rsidR="000B04E1">
              <w:rPr>
                <w:noProof/>
                <w:webHidden/>
              </w:rPr>
              <w:fldChar w:fldCharType="end"/>
            </w:r>
          </w:hyperlink>
        </w:p>
        <w:p w14:paraId="4C917315" w14:textId="3A6A16DC"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127" w:history="1">
            <w:r w:rsidR="000B04E1" w:rsidRPr="00FA7E57">
              <w:rPr>
                <w:rStyle w:val="Hyperlink"/>
                <w:noProof/>
              </w:rPr>
              <w:t>Chapter Four Linking Organic Geochemistry in White Oak River Estuary, Station H Sediments to Microbial Metabolisms: Revisiting the Sulfur And Carbon Budgets</w:t>
            </w:r>
            <w:r w:rsidR="000B04E1">
              <w:rPr>
                <w:noProof/>
                <w:webHidden/>
              </w:rPr>
              <w:tab/>
            </w:r>
            <w:r w:rsidR="000B04E1">
              <w:rPr>
                <w:noProof/>
                <w:webHidden/>
              </w:rPr>
              <w:fldChar w:fldCharType="begin"/>
            </w:r>
            <w:r w:rsidR="000B04E1">
              <w:rPr>
                <w:noProof/>
                <w:webHidden/>
              </w:rPr>
              <w:instrText xml:space="preserve"> PAGEREF _Toc41908127 \h </w:instrText>
            </w:r>
            <w:r w:rsidR="000B04E1">
              <w:rPr>
                <w:noProof/>
                <w:webHidden/>
              </w:rPr>
            </w:r>
            <w:r w:rsidR="000B04E1">
              <w:rPr>
                <w:noProof/>
                <w:webHidden/>
              </w:rPr>
              <w:fldChar w:fldCharType="separate"/>
            </w:r>
            <w:r w:rsidR="000B04E1">
              <w:rPr>
                <w:noProof/>
                <w:webHidden/>
              </w:rPr>
              <w:t>108</w:t>
            </w:r>
            <w:r w:rsidR="000B04E1">
              <w:rPr>
                <w:noProof/>
                <w:webHidden/>
              </w:rPr>
              <w:fldChar w:fldCharType="end"/>
            </w:r>
          </w:hyperlink>
        </w:p>
        <w:p w14:paraId="02F8C3D9" w14:textId="093EBB24"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28" w:history="1">
            <w:r w:rsidR="000B04E1" w:rsidRPr="00FA7E57">
              <w:rPr>
                <w:rStyle w:val="Hyperlink"/>
                <w:noProof/>
              </w:rPr>
              <w:t>Abstract</w:t>
            </w:r>
            <w:r w:rsidR="000B04E1">
              <w:rPr>
                <w:noProof/>
                <w:webHidden/>
              </w:rPr>
              <w:tab/>
            </w:r>
            <w:r w:rsidR="000B04E1">
              <w:rPr>
                <w:noProof/>
                <w:webHidden/>
              </w:rPr>
              <w:fldChar w:fldCharType="begin"/>
            </w:r>
            <w:r w:rsidR="000B04E1">
              <w:rPr>
                <w:noProof/>
                <w:webHidden/>
              </w:rPr>
              <w:instrText xml:space="preserve"> PAGEREF _Toc41908128 \h </w:instrText>
            </w:r>
            <w:r w:rsidR="000B04E1">
              <w:rPr>
                <w:noProof/>
                <w:webHidden/>
              </w:rPr>
            </w:r>
            <w:r w:rsidR="000B04E1">
              <w:rPr>
                <w:noProof/>
                <w:webHidden/>
              </w:rPr>
              <w:fldChar w:fldCharType="separate"/>
            </w:r>
            <w:r w:rsidR="000B04E1">
              <w:rPr>
                <w:noProof/>
                <w:webHidden/>
              </w:rPr>
              <w:t>109</w:t>
            </w:r>
            <w:r w:rsidR="000B04E1">
              <w:rPr>
                <w:noProof/>
                <w:webHidden/>
              </w:rPr>
              <w:fldChar w:fldCharType="end"/>
            </w:r>
          </w:hyperlink>
        </w:p>
        <w:p w14:paraId="1C7E1FCB" w14:textId="06B79BF4"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29" w:history="1">
            <w:r w:rsidR="000B04E1" w:rsidRPr="00FA7E57">
              <w:rPr>
                <w:rStyle w:val="Hyperlink"/>
                <w:noProof/>
              </w:rPr>
              <w:t>Importance</w:t>
            </w:r>
            <w:r w:rsidR="000B04E1">
              <w:rPr>
                <w:noProof/>
                <w:webHidden/>
              </w:rPr>
              <w:tab/>
            </w:r>
            <w:r w:rsidR="000B04E1">
              <w:rPr>
                <w:noProof/>
                <w:webHidden/>
              </w:rPr>
              <w:fldChar w:fldCharType="begin"/>
            </w:r>
            <w:r w:rsidR="000B04E1">
              <w:rPr>
                <w:noProof/>
                <w:webHidden/>
              </w:rPr>
              <w:instrText xml:space="preserve"> PAGEREF _Toc41908129 \h </w:instrText>
            </w:r>
            <w:r w:rsidR="000B04E1">
              <w:rPr>
                <w:noProof/>
                <w:webHidden/>
              </w:rPr>
            </w:r>
            <w:r w:rsidR="000B04E1">
              <w:rPr>
                <w:noProof/>
                <w:webHidden/>
              </w:rPr>
              <w:fldChar w:fldCharType="separate"/>
            </w:r>
            <w:r w:rsidR="000B04E1">
              <w:rPr>
                <w:noProof/>
                <w:webHidden/>
              </w:rPr>
              <w:t>110</w:t>
            </w:r>
            <w:r w:rsidR="000B04E1">
              <w:rPr>
                <w:noProof/>
                <w:webHidden/>
              </w:rPr>
              <w:fldChar w:fldCharType="end"/>
            </w:r>
          </w:hyperlink>
        </w:p>
        <w:p w14:paraId="2D967EEC" w14:textId="34DBE9DF"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30" w:history="1">
            <w:r w:rsidR="000B04E1" w:rsidRPr="00FA7E57">
              <w:rPr>
                <w:rStyle w:val="Hyperlink"/>
                <w:noProof/>
              </w:rPr>
              <w:t>Introduction</w:t>
            </w:r>
            <w:r w:rsidR="000B04E1">
              <w:rPr>
                <w:noProof/>
                <w:webHidden/>
              </w:rPr>
              <w:tab/>
            </w:r>
            <w:r w:rsidR="000B04E1">
              <w:rPr>
                <w:noProof/>
                <w:webHidden/>
              </w:rPr>
              <w:fldChar w:fldCharType="begin"/>
            </w:r>
            <w:r w:rsidR="000B04E1">
              <w:rPr>
                <w:noProof/>
                <w:webHidden/>
              </w:rPr>
              <w:instrText xml:space="preserve"> PAGEREF _Toc41908130 \h </w:instrText>
            </w:r>
            <w:r w:rsidR="000B04E1">
              <w:rPr>
                <w:noProof/>
                <w:webHidden/>
              </w:rPr>
            </w:r>
            <w:r w:rsidR="000B04E1">
              <w:rPr>
                <w:noProof/>
                <w:webHidden/>
              </w:rPr>
              <w:fldChar w:fldCharType="separate"/>
            </w:r>
            <w:r w:rsidR="000B04E1">
              <w:rPr>
                <w:noProof/>
                <w:webHidden/>
              </w:rPr>
              <w:t>110</w:t>
            </w:r>
            <w:r w:rsidR="000B04E1">
              <w:rPr>
                <w:noProof/>
                <w:webHidden/>
              </w:rPr>
              <w:fldChar w:fldCharType="end"/>
            </w:r>
          </w:hyperlink>
        </w:p>
        <w:p w14:paraId="018FFBDB" w14:textId="361DCA0C"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31" w:history="1">
            <w:r w:rsidR="000B04E1" w:rsidRPr="00FA7E57">
              <w:rPr>
                <w:rStyle w:val="Hyperlink"/>
                <w:noProof/>
              </w:rPr>
              <w:t>Results</w:t>
            </w:r>
            <w:r w:rsidR="000B04E1">
              <w:rPr>
                <w:noProof/>
                <w:webHidden/>
              </w:rPr>
              <w:tab/>
            </w:r>
            <w:r w:rsidR="000B04E1">
              <w:rPr>
                <w:noProof/>
                <w:webHidden/>
              </w:rPr>
              <w:fldChar w:fldCharType="begin"/>
            </w:r>
            <w:r w:rsidR="000B04E1">
              <w:rPr>
                <w:noProof/>
                <w:webHidden/>
              </w:rPr>
              <w:instrText xml:space="preserve"> PAGEREF _Toc41908131 \h </w:instrText>
            </w:r>
            <w:r w:rsidR="000B04E1">
              <w:rPr>
                <w:noProof/>
                <w:webHidden/>
              </w:rPr>
            </w:r>
            <w:r w:rsidR="000B04E1">
              <w:rPr>
                <w:noProof/>
                <w:webHidden/>
              </w:rPr>
              <w:fldChar w:fldCharType="separate"/>
            </w:r>
            <w:r w:rsidR="000B04E1">
              <w:rPr>
                <w:noProof/>
                <w:webHidden/>
              </w:rPr>
              <w:t>112</w:t>
            </w:r>
            <w:r w:rsidR="000B04E1">
              <w:rPr>
                <w:noProof/>
                <w:webHidden/>
              </w:rPr>
              <w:fldChar w:fldCharType="end"/>
            </w:r>
          </w:hyperlink>
        </w:p>
        <w:p w14:paraId="0BBDA50D" w14:textId="02014BC4"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32" w:history="1">
            <w:r w:rsidR="000B04E1" w:rsidRPr="00FA7E57">
              <w:rPr>
                <w:rStyle w:val="Hyperlink"/>
                <w:noProof/>
              </w:rPr>
              <w:t>Porewater Ion Depth Profiles</w:t>
            </w:r>
            <w:r w:rsidR="000B04E1">
              <w:rPr>
                <w:noProof/>
                <w:webHidden/>
              </w:rPr>
              <w:tab/>
            </w:r>
            <w:r w:rsidR="000B04E1">
              <w:rPr>
                <w:noProof/>
                <w:webHidden/>
              </w:rPr>
              <w:fldChar w:fldCharType="begin"/>
            </w:r>
            <w:r w:rsidR="000B04E1">
              <w:rPr>
                <w:noProof/>
                <w:webHidden/>
              </w:rPr>
              <w:instrText xml:space="preserve"> PAGEREF _Toc41908132 \h </w:instrText>
            </w:r>
            <w:r w:rsidR="000B04E1">
              <w:rPr>
                <w:noProof/>
                <w:webHidden/>
              </w:rPr>
            </w:r>
            <w:r w:rsidR="000B04E1">
              <w:rPr>
                <w:noProof/>
                <w:webHidden/>
              </w:rPr>
              <w:fldChar w:fldCharType="separate"/>
            </w:r>
            <w:r w:rsidR="000B04E1">
              <w:rPr>
                <w:noProof/>
                <w:webHidden/>
              </w:rPr>
              <w:t>113</w:t>
            </w:r>
            <w:r w:rsidR="000B04E1">
              <w:rPr>
                <w:noProof/>
                <w:webHidden/>
              </w:rPr>
              <w:fldChar w:fldCharType="end"/>
            </w:r>
          </w:hyperlink>
        </w:p>
        <w:p w14:paraId="0571A8D0" w14:textId="52C26199"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33" w:history="1">
            <w:r w:rsidR="000B04E1" w:rsidRPr="00FA7E57">
              <w:rPr>
                <w:rStyle w:val="Hyperlink"/>
                <w:noProof/>
              </w:rPr>
              <w:t>Organic Carbon Depth Profiles</w:t>
            </w:r>
            <w:r w:rsidR="000B04E1">
              <w:rPr>
                <w:noProof/>
                <w:webHidden/>
              </w:rPr>
              <w:tab/>
            </w:r>
            <w:r w:rsidR="000B04E1">
              <w:rPr>
                <w:noProof/>
                <w:webHidden/>
              </w:rPr>
              <w:fldChar w:fldCharType="begin"/>
            </w:r>
            <w:r w:rsidR="000B04E1">
              <w:rPr>
                <w:noProof/>
                <w:webHidden/>
              </w:rPr>
              <w:instrText xml:space="preserve"> PAGEREF _Toc41908133 \h </w:instrText>
            </w:r>
            <w:r w:rsidR="000B04E1">
              <w:rPr>
                <w:noProof/>
                <w:webHidden/>
              </w:rPr>
            </w:r>
            <w:r w:rsidR="000B04E1">
              <w:rPr>
                <w:noProof/>
                <w:webHidden/>
              </w:rPr>
              <w:fldChar w:fldCharType="separate"/>
            </w:r>
            <w:r w:rsidR="000B04E1">
              <w:rPr>
                <w:noProof/>
                <w:webHidden/>
              </w:rPr>
              <w:t>114</w:t>
            </w:r>
            <w:r w:rsidR="000B04E1">
              <w:rPr>
                <w:noProof/>
                <w:webHidden/>
              </w:rPr>
              <w:fldChar w:fldCharType="end"/>
            </w:r>
          </w:hyperlink>
        </w:p>
        <w:p w14:paraId="7465DE4E" w14:textId="38098083"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34" w:history="1">
            <w:r w:rsidR="000B04E1" w:rsidRPr="00FA7E57">
              <w:rPr>
                <w:rStyle w:val="Hyperlink"/>
                <w:noProof/>
              </w:rPr>
              <w:t>Groundwater Upwelling and Sulfate/Methane Production Rates</w:t>
            </w:r>
            <w:r w:rsidR="000B04E1">
              <w:rPr>
                <w:noProof/>
                <w:webHidden/>
              </w:rPr>
              <w:tab/>
            </w:r>
            <w:r w:rsidR="000B04E1">
              <w:rPr>
                <w:noProof/>
                <w:webHidden/>
              </w:rPr>
              <w:fldChar w:fldCharType="begin"/>
            </w:r>
            <w:r w:rsidR="000B04E1">
              <w:rPr>
                <w:noProof/>
                <w:webHidden/>
              </w:rPr>
              <w:instrText xml:space="preserve"> PAGEREF _Toc41908134 \h </w:instrText>
            </w:r>
            <w:r w:rsidR="000B04E1">
              <w:rPr>
                <w:noProof/>
                <w:webHidden/>
              </w:rPr>
            </w:r>
            <w:r w:rsidR="000B04E1">
              <w:rPr>
                <w:noProof/>
                <w:webHidden/>
              </w:rPr>
              <w:fldChar w:fldCharType="separate"/>
            </w:r>
            <w:r w:rsidR="000B04E1">
              <w:rPr>
                <w:noProof/>
                <w:webHidden/>
              </w:rPr>
              <w:t>115</w:t>
            </w:r>
            <w:r w:rsidR="000B04E1">
              <w:rPr>
                <w:noProof/>
                <w:webHidden/>
              </w:rPr>
              <w:fldChar w:fldCharType="end"/>
            </w:r>
          </w:hyperlink>
        </w:p>
        <w:p w14:paraId="030E5B60" w14:textId="629172CD"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35" w:history="1">
            <w:r w:rsidR="000B04E1" w:rsidRPr="00FA7E57">
              <w:rPr>
                <w:rStyle w:val="Hyperlink"/>
                <w:noProof/>
              </w:rPr>
              <w:t>Carbon and Sulfur Budgets in Station H White Oak River Estuary Sediments</w:t>
            </w:r>
            <w:r w:rsidR="000B04E1">
              <w:rPr>
                <w:noProof/>
                <w:webHidden/>
              </w:rPr>
              <w:tab/>
            </w:r>
            <w:r w:rsidR="000B04E1">
              <w:rPr>
                <w:noProof/>
                <w:webHidden/>
              </w:rPr>
              <w:fldChar w:fldCharType="begin"/>
            </w:r>
            <w:r w:rsidR="000B04E1">
              <w:rPr>
                <w:noProof/>
                <w:webHidden/>
              </w:rPr>
              <w:instrText xml:space="preserve"> PAGEREF _Toc41908135 \h </w:instrText>
            </w:r>
            <w:r w:rsidR="000B04E1">
              <w:rPr>
                <w:noProof/>
                <w:webHidden/>
              </w:rPr>
            </w:r>
            <w:r w:rsidR="000B04E1">
              <w:rPr>
                <w:noProof/>
                <w:webHidden/>
              </w:rPr>
              <w:fldChar w:fldCharType="separate"/>
            </w:r>
            <w:r w:rsidR="000B04E1">
              <w:rPr>
                <w:noProof/>
                <w:webHidden/>
              </w:rPr>
              <w:t>117</w:t>
            </w:r>
            <w:r w:rsidR="000B04E1">
              <w:rPr>
                <w:noProof/>
                <w:webHidden/>
              </w:rPr>
              <w:fldChar w:fldCharType="end"/>
            </w:r>
          </w:hyperlink>
        </w:p>
        <w:p w14:paraId="58D42580" w14:textId="110796FB"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36" w:history="1">
            <w:r w:rsidR="000B04E1" w:rsidRPr="00FA7E57">
              <w:rPr>
                <w:rStyle w:val="Hyperlink"/>
                <w:noProof/>
              </w:rPr>
              <w:t>Discussion</w:t>
            </w:r>
            <w:r w:rsidR="000B04E1">
              <w:rPr>
                <w:noProof/>
                <w:webHidden/>
              </w:rPr>
              <w:tab/>
            </w:r>
            <w:r w:rsidR="000B04E1">
              <w:rPr>
                <w:noProof/>
                <w:webHidden/>
              </w:rPr>
              <w:fldChar w:fldCharType="begin"/>
            </w:r>
            <w:r w:rsidR="000B04E1">
              <w:rPr>
                <w:noProof/>
                <w:webHidden/>
              </w:rPr>
              <w:instrText xml:space="preserve"> PAGEREF _Toc41908136 \h </w:instrText>
            </w:r>
            <w:r w:rsidR="000B04E1">
              <w:rPr>
                <w:noProof/>
                <w:webHidden/>
              </w:rPr>
            </w:r>
            <w:r w:rsidR="000B04E1">
              <w:rPr>
                <w:noProof/>
                <w:webHidden/>
              </w:rPr>
              <w:fldChar w:fldCharType="separate"/>
            </w:r>
            <w:r w:rsidR="000B04E1">
              <w:rPr>
                <w:noProof/>
                <w:webHidden/>
              </w:rPr>
              <w:t>119</w:t>
            </w:r>
            <w:r w:rsidR="000B04E1">
              <w:rPr>
                <w:noProof/>
                <w:webHidden/>
              </w:rPr>
              <w:fldChar w:fldCharType="end"/>
            </w:r>
          </w:hyperlink>
        </w:p>
        <w:p w14:paraId="5DAF7F1C" w14:textId="2563C90D"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37" w:history="1">
            <w:r w:rsidR="000B04E1" w:rsidRPr="00FA7E57">
              <w:rPr>
                <w:rStyle w:val="Hyperlink"/>
                <w:noProof/>
              </w:rPr>
              <w:t>Castle Hayne Aquifer and Ion Dilution in WOR Sediments</w:t>
            </w:r>
            <w:r w:rsidR="000B04E1">
              <w:rPr>
                <w:noProof/>
                <w:webHidden/>
              </w:rPr>
              <w:tab/>
            </w:r>
            <w:r w:rsidR="000B04E1">
              <w:rPr>
                <w:noProof/>
                <w:webHidden/>
              </w:rPr>
              <w:fldChar w:fldCharType="begin"/>
            </w:r>
            <w:r w:rsidR="000B04E1">
              <w:rPr>
                <w:noProof/>
                <w:webHidden/>
              </w:rPr>
              <w:instrText xml:space="preserve"> PAGEREF _Toc41908137 \h </w:instrText>
            </w:r>
            <w:r w:rsidR="000B04E1">
              <w:rPr>
                <w:noProof/>
                <w:webHidden/>
              </w:rPr>
            </w:r>
            <w:r w:rsidR="000B04E1">
              <w:rPr>
                <w:noProof/>
                <w:webHidden/>
              </w:rPr>
              <w:fldChar w:fldCharType="separate"/>
            </w:r>
            <w:r w:rsidR="000B04E1">
              <w:rPr>
                <w:noProof/>
                <w:webHidden/>
              </w:rPr>
              <w:t>119</w:t>
            </w:r>
            <w:r w:rsidR="000B04E1">
              <w:rPr>
                <w:noProof/>
                <w:webHidden/>
              </w:rPr>
              <w:fldChar w:fldCharType="end"/>
            </w:r>
          </w:hyperlink>
        </w:p>
        <w:p w14:paraId="30AC3D53" w14:textId="320C8839"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38" w:history="1">
            <w:r w:rsidR="000B04E1" w:rsidRPr="00FA7E57">
              <w:rPr>
                <w:rStyle w:val="Hyperlink"/>
                <w:noProof/>
              </w:rPr>
              <w:t>Metabolic Alterations to Organic Carbon in WOR Sediments</w:t>
            </w:r>
            <w:r w:rsidR="000B04E1">
              <w:rPr>
                <w:noProof/>
                <w:webHidden/>
              </w:rPr>
              <w:tab/>
            </w:r>
            <w:r w:rsidR="000B04E1">
              <w:rPr>
                <w:noProof/>
                <w:webHidden/>
              </w:rPr>
              <w:fldChar w:fldCharType="begin"/>
            </w:r>
            <w:r w:rsidR="000B04E1">
              <w:rPr>
                <w:noProof/>
                <w:webHidden/>
              </w:rPr>
              <w:instrText xml:space="preserve"> PAGEREF _Toc41908138 \h </w:instrText>
            </w:r>
            <w:r w:rsidR="000B04E1">
              <w:rPr>
                <w:noProof/>
                <w:webHidden/>
              </w:rPr>
            </w:r>
            <w:r w:rsidR="000B04E1">
              <w:rPr>
                <w:noProof/>
                <w:webHidden/>
              </w:rPr>
              <w:fldChar w:fldCharType="separate"/>
            </w:r>
            <w:r w:rsidR="000B04E1">
              <w:rPr>
                <w:noProof/>
                <w:webHidden/>
              </w:rPr>
              <w:t>120</w:t>
            </w:r>
            <w:r w:rsidR="000B04E1">
              <w:rPr>
                <w:noProof/>
                <w:webHidden/>
              </w:rPr>
              <w:fldChar w:fldCharType="end"/>
            </w:r>
          </w:hyperlink>
        </w:p>
        <w:p w14:paraId="5AB95F0F" w14:textId="25949CC3"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39" w:history="1">
            <w:r w:rsidR="000B04E1" w:rsidRPr="00FA7E57">
              <w:rPr>
                <w:rStyle w:val="Hyperlink"/>
                <w:noProof/>
              </w:rPr>
              <w:t>Evaluating the Carbon and Sulfur Budgets at WOR, Station H</w:t>
            </w:r>
            <w:r w:rsidR="000B04E1">
              <w:rPr>
                <w:noProof/>
                <w:webHidden/>
              </w:rPr>
              <w:tab/>
            </w:r>
            <w:r w:rsidR="000B04E1">
              <w:rPr>
                <w:noProof/>
                <w:webHidden/>
              </w:rPr>
              <w:fldChar w:fldCharType="begin"/>
            </w:r>
            <w:r w:rsidR="000B04E1">
              <w:rPr>
                <w:noProof/>
                <w:webHidden/>
              </w:rPr>
              <w:instrText xml:space="preserve"> PAGEREF _Toc41908139 \h </w:instrText>
            </w:r>
            <w:r w:rsidR="000B04E1">
              <w:rPr>
                <w:noProof/>
                <w:webHidden/>
              </w:rPr>
            </w:r>
            <w:r w:rsidR="000B04E1">
              <w:rPr>
                <w:noProof/>
                <w:webHidden/>
              </w:rPr>
              <w:fldChar w:fldCharType="separate"/>
            </w:r>
            <w:r w:rsidR="000B04E1">
              <w:rPr>
                <w:noProof/>
                <w:webHidden/>
              </w:rPr>
              <w:t>122</w:t>
            </w:r>
            <w:r w:rsidR="000B04E1">
              <w:rPr>
                <w:noProof/>
                <w:webHidden/>
              </w:rPr>
              <w:fldChar w:fldCharType="end"/>
            </w:r>
          </w:hyperlink>
        </w:p>
        <w:p w14:paraId="1480AE59" w14:textId="04BC301F"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40" w:history="1">
            <w:r w:rsidR="000B04E1" w:rsidRPr="00FA7E57">
              <w:rPr>
                <w:rStyle w:val="Hyperlink"/>
                <w:noProof/>
              </w:rPr>
              <w:t>Conclusions and Future Directions</w:t>
            </w:r>
            <w:r w:rsidR="000B04E1">
              <w:rPr>
                <w:noProof/>
                <w:webHidden/>
              </w:rPr>
              <w:tab/>
            </w:r>
            <w:r w:rsidR="000B04E1">
              <w:rPr>
                <w:noProof/>
                <w:webHidden/>
              </w:rPr>
              <w:fldChar w:fldCharType="begin"/>
            </w:r>
            <w:r w:rsidR="000B04E1">
              <w:rPr>
                <w:noProof/>
                <w:webHidden/>
              </w:rPr>
              <w:instrText xml:space="preserve"> PAGEREF _Toc41908140 \h </w:instrText>
            </w:r>
            <w:r w:rsidR="000B04E1">
              <w:rPr>
                <w:noProof/>
                <w:webHidden/>
              </w:rPr>
            </w:r>
            <w:r w:rsidR="000B04E1">
              <w:rPr>
                <w:noProof/>
                <w:webHidden/>
              </w:rPr>
              <w:fldChar w:fldCharType="separate"/>
            </w:r>
            <w:r w:rsidR="000B04E1">
              <w:rPr>
                <w:noProof/>
                <w:webHidden/>
              </w:rPr>
              <w:t>125</w:t>
            </w:r>
            <w:r w:rsidR="000B04E1">
              <w:rPr>
                <w:noProof/>
                <w:webHidden/>
              </w:rPr>
              <w:fldChar w:fldCharType="end"/>
            </w:r>
          </w:hyperlink>
        </w:p>
        <w:p w14:paraId="27AD5564" w14:textId="62C660EA"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41" w:history="1">
            <w:r w:rsidR="000B04E1" w:rsidRPr="00FA7E57">
              <w:rPr>
                <w:rStyle w:val="Hyperlink"/>
                <w:noProof/>
              </w:rPr>
              <w:t>Materials and Methods</w:t>
            </w:r>
            <w:r w:rsidR="000B04E1">
              <w:rPr>
                <w:noProof/>
                <w:webHidden/>
              </w:rPr>
              <w:tab/>
            </w:r>
            <w:r w:rsidR="000B04E1">
              <w:rPr>
                <w:noProof/>
                <w:webHidden/>
              </w:rPr>
              <w:fldChar w:fldCharType="begin"/>
            </w:r>
            <w:r w:rsidR="000B04E1">
              <w:rPr>
                <w:noProof/>
                <w:webHidden/>
              </w:rPr>
              <w:instrText xml:space="preserve"> PAGEREF _Toc41908141 \h </w:instrText>
            </w:r>
            <w:r w:rsidR="000B04E1">
              <w:rPr>
                <w:noProof/>
                <w:webHidden/>
              </w:rPr>
            </w:r>
            <w:r w:rsidR="000B04E1">
              <w:rPr>
                <w:noProof/>
                <w:webHidden/>
              </w:rPr>
              <w:fldChar w:fldCharType="separate"/>
            </w:r>
            <w:r w:rsidR="000B04E1">
              <w:rPr>
                <w:noProof/>
                <w:webHidden/>
              </w:rPr>
              <w:t>126</w:t>
            </w:r>
            <w:r w:rsidR="000B04E1">
              <w:rPr>
                <w:noProof/>
                <w:webHidden/>
              </w:rPr>
              <w:fldChar w:fldCharType="end"/>
            </w:r>
          </w:hyperlink>
        </w:p>
        <w:p w14:paraId="3FB194A0" w14:textId="70A8C117"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42" w:history="1">
            <w:r w:rsidR="000B04E1" w:rsidRPr="00FA7E57">
              <w:rPr>
                <w:rStyle w:val="Hyperlink"/>
                <w:noProof/>
              </w:rPr>
              <w:t>Site Description</w:t>
            </w:r>
            <w:r w:rsidR="000B04E1">
              <w:rPr>
                <w:noProof/>
                <w:webHidden/>
              </w:rPr>
              <w:tab/>
            </w:r>
            <w:r w:rsidR="000B04E1">
              <w:rPr>
                <w:noProof/>
                <w:webHidden/>
              </w:rPr>
              <w:fldChar w:fldCharType="begin"/>
            </w:r>
            <w:r w:rsidR="000B04E1">
              <w:rPr>
                <w:noProof/>
                <w:webHidden/>
              </w:rPr>
              <w:instrText xml:space="preserve"> PAGEREF _Toc41908142 \h </w:instrText>
            </w:r>
            <w:r w:rsidR="000B04E1">
              <w:rPr>
                <w:noProof/>
                <w:webHidden/>
              </w:rPr>
            </w:r>
            <w:r w:rsidR="000B04E1">
              <w:rPr>
                <w:noProof/>
                <w:webHidden/>
              </w:rPr>
              <w:fldChar w:fldCharType="separate"/>
            </w:r>
            <w:r w:rsidR="000B04E1">
              <w:rPr>
                <w:noProof/>
                <w:webHidden/>
              </w:rPr>
              <w:t>126</w:t>
            </w:r>
            <w:r w:rsidR="000B04E1">
              <w:rPr>
                <w:noProof/>
                <w:webHidden/>
              </w:rPr>
              <w:fldChar w:fldCharType="end"/>
            </w:r>
          </w:hyperlink>
        </w:p>
        <w:p w14:paraId="1A9F99EA" w14:textId="479C63A0"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43" w:history="1">
            <w:r w:rsidR="000B04E1" w:rsidRPr="00FA7E57">
              <w:rPr>
                <w:rStyle w:val="Hyperlink"/>
                <w:noProof/>
              </w:rPr>
              <w:t>Core Sampling</w:t>
            </w:r>
            <w:r w:rsidR="000B04E1">
              <w:rPr>
                <w:noProof/>
                <w:webHidden/>
              </w:rPr>
              <w:tab/>
            </w:r>
            <w:r w:rsidR="000B04E1">
              <w:rPr>
                <w:noProof/>
                <w:webHidden/>
              </w:rPr>
              <w:fldChar w:fldCharType="begin"/>
            </w:r>
            <w:r w:rsidR="000B04E1">
              <w:rPr>
                <w:noProof/>
                <w:webHidden/>
              </w:rPr>
              <w:instrText xml:space="preserve"> PAGEREF _Toc41908143 \h </w:instrText>
            </w:r>
            <w:r w:rsidR="000B04E1">
              <w:rPr>
                <w:noProof/>
                <w:webHidden/>
              </w:rPr>
            </w:r>
            <w:r w:rsidR="000B04E1">
              <w:rPr>
                <w:noProof/>
                <w:webHidden/>
              </w:rPr>
              <w:fldChar w:fldCharType="separate"/>
            </w:r>
            <w:r w:rsidR="000B04E1">
              <w:rPr>
                <w:noProof/>
                <w:webHidden/>
              </w:rPr>
              <w:t>127</w:t>
            </w:r>
            <w:r w:rsidR="000B04E1">
              <w:rPr>
                <w:noProof/>
                <w:webHidden/>
              </w:rPr>
              <w:fldChar w:fldCharType="end"/>
            </w:r>
          </w:hyperlink>
        </w:p>
        <w:p w14:paraId="77E06D09" w14:textId="19B9C11B"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44" w:history="1">
            <w:r w:rsidR="000B04E1" w:rsidRPr="00FA7E57">
              <w:rPr>
                <w:rStyle w:val="Hyperlink"/>
                <w:noProof/>
              </w:rPr>
              <w:t>Methane Analysis</w:t>
            </w:r>
            <w:r w:rsidR="000B04E1">
              <w:rPr>
                <w:noProof/>
                <w:webHidden/>
              </w:rPr>
              <w:tab/>
            </w:r>
            <w:r w:rsidR="000B04E1">
              <w:rPr>
                <w:noProof/>
                <w:webHidden/>
              </w:rPr>
              <w:fldChar w:fldCharType="begin"/>
            </w:r>
            <w:r w:rsidR="000B04E1">
              <w:rPr>
                <w:noProof/>
                <w:webHidden/>
              </w:rPr>
              <w:instrText xml:space="preserve"> PAGEREF _Toc41908144 \h </w:instrText>
            </w:r>
            <w:r w:rsidR="000B04E1">
              <w:rPr>
                <w:noProof/>
                <w:webHidden/>
              </w:rPr>
            </w:r>
            <w:r w:rsidR="000B04E1">
              <w:rPr>
                <w:noProof/>
                <w:webHidden/>
              </w:rPr>
              <w:fldChar w:fldCharType="separate"/>
            </w:r>
            <w:r w:rsidR="000B04E1">
              <w:rPr>
                <w:noProof/>
                <w:webHidden/>
              </w:rPr>
              <w:t>128</w:t>
            </w:r>
            <w:r w:rsidR="000B04E1">
              <w:rPr>
                <w:noProof/>
                <w:webHidden/>
              </w:rPr>
              <w:fldChar w:fldCharType="end"/>
            </w:r>
          </w:hyperlink>
        </w:p>
        <w:p w14:paraId="77C3F9F6" w14:textId="5640FC6F"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45" w:history="1">
            <w:r w:rsidR="000B04E1" w:rsidRPr="00FA7E57">
              <w:rPr>
                <w:rStyle w:val="Hyperlink"/>
                <w:noProof/>
              </w:rPr>
              <w:t>Porewater Geochemistry</w:t>
            </w:r>
            <w:r w:rsidR="000B04E1">
              <w:rPr>
                <w:noProof/>
                <w:webHidden/>
              </w:rPr>
              <w:tab/>
            </w:r>
            <w:r w:rsidR="000B04E1">
              <w:rPr>
                <w:noProof/>
                <w:webHidden/>
              </w:rPr>
              <w:fldChar w:fldCharType="begin"/>
            </w:r>
            <w:r w:rsidR="000B04E1">
              <w:rPr>
                <w:noProof/>
                <w:webHidden/>
              </w:rPr>
              <w:instrText xml:space="preserve"> PAGEREF _Toc41908145 \h </w:instrText>
            </w:r>
            <w:r w:rsidR="000B04E1">
              <w:rPr>
                <w:noProof/>
                <w:webHidden/>
              </w:rPr>
            </w:r>
            <w:r w:rsidR="000B04E1">
              <w:rPr>
                <w:noProof/>
                <w:webHidden/>
              </w:rPr>
              <w:fldChar w:fldCharType="separate"/>
            </w:r>
            <w:r w:rsidR="000B04E1">
              <w:rPr>
                <w:noProof/>
                <w:webHidden/>
              </w:rPr>
              <w:t>128</w:t>
            </w:r>
            <w:r w:rsidR="000B04E1">
              <w:rPr>
                <w:noProof/>
                <w:webHidden/>
              </w:rPr>
              <w:fldChar w:fldCharType="end"/>
            </w:r>
          </w:hyperlink>
        </w:p>
        <w:p w14:paraId="345950C6" w14:textId="1B569DAF"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46" w:history="1">
            <w:r w:rsidR="000B04E1" w:rsidRPr="00FA7E57">
              <w:rPr>
                <w:rStyle w:val="Hyperlink"/>
                <w:noProof/>
              </w:rPr>
              <w:t>Ion Chromatography</w:t>
            </w:r>
            <w:r w:rsidR="000B04E1">
              <w:rPr>
                <w:noProof/>
                <w:webHidden/>
              </w:rPr>
              <w:tab/>
            </w:r>
            <w:r w:rsidR="000B04E1">
              <w:rPr>
                <w:noProof/>
                <w:webHidden/>
              </w:rPr>
              <w:fldChar w:fldCharType="begin"/>
            </w:r>
            <w:r w:rsidR="000B04E1">
              <w:rPr>
                <w:noProof/>
                <w:webHidden/>
              </w:rPr>
              <w:instrText xml:space="preserve"> PAGEREF _Toc41908146 \h </w:instrText>
            </w:r>
            <w:r w:rsidR="000B04E1">
              <w:rPr>
                <w:noProof/>
                <w:webHidden/>
              </w:rPr>
            </w:r>
            <w:r w:rsidR="000B04E1">
              <w:rPr>
                <w:noProof/>
                <w:webHidden/>
              </w:rPr>
              <w:fldChar w:fldCharType="separate"/>
            </w:r>
            <w:r w:rsidR="000B04E1">
              <w:rPr>
                <w:noProof/>
                <w:webHidden/>
              </w:rPr>
              <w:t>129</w:t>
            </w:r>
            <w:r w:rsidR="000B04E1">
              <w:rPr>
                <w:noProof/>
                <w:webHidden/>
              </w:rPr>
              <w:fldChar w:fldCharType="end"/>
            </w:r>
          </w:hyperlink>
        </w:p>
        <w:p w14:paraId="617C7FE3" w14:textId="0EDD2615"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47" w:history="1">
            <w:r w:rsidR="000B04E1" w:rsidRPr="00FA7E57">
              <w:rPr>
                <w:rStyle w:val="Hyperlink"/>
                <w:noProof/>
              </w:rPr>
              <w:t>DOM Absorption Spectra</w:t>
            </w:r>
            <w:r w:rsidR="000B04E1">
              <w:rPr>
                <w:noProof/>
                <w:webHidden/>
              </w:rPr>
              <w:tab/>
            </w:r>
            <w:r w:rsidR="000B04E1">
              <w:rPr>
                <w:noProof/>
                <w:webHidden/>
              </w:rPr>
              <w:fldChar w:fldCharType="begin"/>
            </w:r>
            <w:r w:rsidR="000B04E1">
              <w:rPr>
                <w:noProof/>
                <w:webHidden/>
              </w:rPr>
              <w:instrText xml:space="preserve"> PAGEREF _Toc41908147 \h </w:instrText>
            </w:r>
            <w:r w:rsidR="000B04E1">
              <w:rPr>
                <w:noProof/>
                <w:webHidden/>
              </w:rPr>
            </w:r>
            <w:r w:rsidR="000B04E1">
              <w:rPr>
                <w:noProof/>
                <w:webHidden/>
              </w:rPr>
              <w:fldChar w:fldCharType="separate"/>
            </w:r>
            <w:r w:rsidR="000B04E1">
              <w:rPr>
                <w:noProof/>
                <w:webHidden/>
              </w:rPr>
              <w:t>131</w:t>
            </w:r>
            <w:r w:rsidR="000B04E1">
              <w:rPr>
                <w:noProof/>
                <w:webHidden/>
              </w:rPr>
              <w:fldChar w:fldCharType="end"/>
            </w:r>
          </w:hyperlink>
        </w:p>
        <w:p w14:paraId="00431E01" w14:textId="7146CD95"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48" w:history="1">
            <w:r w:rsidR="000B04E1" w:rsidRPr="00FA7E57">
              <w:rPr>
                <w:rStyle w:val="Hyperlink"/>
                <w:noProof/>
              </w:rPr>
              <w:t>Total Organic Carbon, Total Organic Nitrogen, and Organic δ</w:t>
            </w:r>
            <w:r w:rsidR="000B04E1" w:rsidRPr="00FA7E57">
              <w:rPr>
                <w:rStyle w:val="Hyperlink"/>
                <w:noProof/>
                <w:vertAlign w:val="superscript"/>
              </w:rPr>
              <w:t>13</w:t>
            </w:r>
            <w:r w:rsidR="000B04E1" w:rsidRPr="00FA7E57">
              <w:rPr>
                <w:rStyle w:val="Hyperlink"/>
                <w:noProof/>
              </w:rPr>
              <w:t>C</w:t>
            </w:r>
            <w:r w:rsidR="000B04E1">
              <w:rPr>
                <w:noProof/>
                <w:webHidden/>
              </w:rPr>
              <w:tab/>
            </w:r>
            <w:r w:rsidR="000B04E1">
              <w:rPr>
                <w:noProof/>
                <w:webHidden/>
              </w:rPr>
              <w:fldChar w:fldCharType="begin"/>
            </w:r>
            <w:r w:rsidR="000B04E1">
              <w:rPr>
                <w:noProof/>
                <w:webHidden/>
              </w:rPr>
              <w:instrText xml:space="preserve"> PAGEREF _Toc41908148 \h </w:instrText>
            </w:r>
            <w:r w:rsidR="000B04E1">
              <w:rPr>
                <w:noProof/>
                <w:webHidden/>
              </w:rPr>
            </w:r>
            <w:r w:rsidR="000B04E1">
              <w:rPr>
                <w:noProof/>
                <w:webHidden/>
              </w:rPr>
              <w:fldChar w:fldCharType="separate"/>
            </w:r>
            <w:r w:rsidR="000B04E1">
              <w:rPr>
                <w:noProof/>
                <w:webHidden/>
              </w:rPr>
              <w:t>132</w:t>
            </w:r>
            <w:r w:rsidR="000B04E1">
              <w:rPr>
                <w:noProof/>
                <w:webHidden/>
              </w:rPr>
              <w:fldChar w:fldCharType="end"/>
            </w:r>
          </w:hyperlink>
        </w:p>
        <w:p w14:paraId="29E2CD7A" w14:textId="438A4384"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49" w:history="1">
            <w:r w:rsidR="000B04E1" w:rsidRPr="00FA7E57">
              <w:rPr>
                <w:rStyle w:val="Hyperlink"/>
                <w:noProof/>
              </w:rPr>
              <w:t>Reaction-Transport Model</w:t>
            </w:r>
            <w:r w:rsidR="000B04E1">
              <w:rPr>
                <w:noProof/>
                <w:webHidden/>
              </w:rPr>
              <w:tab/>
            </w:r>
            <w:r w:rsidR="000B04E1">
              <w:rPr>
                <w:noProof/>
                <w:webHidden/>
              </w:rPr>
              <w:fldChar w:fldCharType="begin"/>
            </w:r>
            <w:r w:rsidR="000B04E1">
              <w:rPr>
                <w:noProof/>
                <w:webHidden/>
              </w:rPr>
              <w:instrText xml:space="preserve"> PAGEREF _Toc41908149 \h </w:instrText>
            </w:r>
            <w:r w:rsidR="000B04E1">
              <w:rPr>
                <w:noProof/>
                <w:webHidden/>
              </w:rPr>
            </w:r>
            <w:r w:rsidR="000B04E1">
              <w:rPr>
                <w:noProof/>
                <w:webHidden/>
              </w:rPr>
              <w:fldChar w:fldCharType="separate"/>
            </w:r>
            <w:r w:rsidR="000B04E1">
              <w:rPr>
                <w:noProof/>
                <w:webHidden/>
              </w:rPr>
              <w:t>133</w:t>
            </w:r>
            <w:r w:rsidR="000B04E1">
              <w:rPr>
                <w:noProof/>
                <w:webHidden/>
              </w:rPr>
              <w:fldChar w:fldCharType="end"/>
            </w:r>
          </w:hyperlink>
        </w:p>
        <w:p w14:paraId="7CF1953D" w14:textId="1BA10C8D"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50" w:history="1">
            <w:r w:rsidR="000B04E1" w:rsidRPr="00FA7E57">
              <w:rPr>
                <w:rStyle w:val="Hyperlink"/>
                <w:noProof/>
              </w:rPr>
              <w:t>Total Organic Carbon, Methane, and Sulfur Budgets</w:t>
            </w:r>
            <w:r w:rsidR="000B04E1">
              <w:rPr>
                <w:noProof/>
                <w:webHidden/>
              </w:rPr>
              <w:tab/>
            </w:r>
            <w:r w:rsidR="000B04E1">
              <w:rPr>
                <w:noProof/>
                <w:webHidden/>
              </w:rPr>
              <w:fldChar w:fldCharType="begin"/>
            </w:r>
            <w:r w:rsidR="000B04E1">
              <w:rPr>
                <w:noProof/>
                <w:webHidden/>
              </w:rPr>
              <w:instrText xml:space="preserve"> PAGEREF _Toc41908150 \h </w:instrText>
            </w:r>
            <w:r w:rsidR="000B04E1">
              <w:rPr>
                <w:noProof/>
                <w:webHidden/>
              </w:rPr>
            </w:r>
            <w:r w:rsidR="000B04E1">
              <w:rPr>
                <w:noProof/>
                <w:webHidden/>
              </w:rPr>
              <w:fldChar w:fldCharType="separate"/>
            </w:r>
            <w:r w:rsidR="000B04E1">
              <w:rPr>
                <w:noProof/>
                <w:webHidden/>
              </w:rPr>
              <w:t>135</w:t>
            </w:r>
            <w:r w:rsidR="000B04E1">
              <w:rPr>
                <w:noProof/>
                <w:webHidden/>
              </w:rPr>
              <w:fldChar w:fldCharType="end"/>
            </w:r>
          </w:hyperlink>
        </w:p>
        <w:p w14:paraId="5AF73E2B" w14:textId="7D5ED9FF" w:rsidR="000B04E1" w:rsidRDefault="002A3883">
          <w:pPr>
            <w:pStyle w:val="TOC2"/>
            <w:tabs>
              <w:tab w:val="right" w:leader="dot" w:pos="8630"/>
            </w:tabs>
            <w:rPr>
              <w:rFonts w:asciiTheme="minorHAnsi" w:eastAsiaTheme="minorEastAsia" w:hAnsiTheme="minorHAnsi" w:cstheme="minorBidi"/>
              <w:noProof/>
              <w:sz w:val="22"/>
              <w:szCs w:val="22"/>
            </w:rPr>
          </w:pPr>
          <w:hyperlink w:anchor="_Toc41908151" w:history="1">
            <w:r w:rsidR="000B04E1" w:rsidRPr="00FA7E57">
              <w:rPr>
                <w:rStyle w:val="Hyperlink"/>
                <w:noProof/>
              </w:rPr>
              <w:t>Appendix Four</w:t>
            </w:r>
            <w:r w:rsidR="000B04E1">
              <w:rPr>
                <w:noProof/>
                <w:webHidden/>
              </w:rPr>
              <w:tab/>
            </w:r>
            <w:r w:rsidR="000B04E1">
              <w:rPr>
                <w:noProof/>
                <w:webHidden/>
              </w:rPr>
              <w:fldChar w:fldCharType="begin"/>
            </w:r>
            <w:r w:rsidR="000B04E1">
              <w:rPr>
                <w:noProof/>
                <w:webHidden/>
              </w:rPr>
              <w:instrText xml:space="preserve"> PAGEREF _Toc41908151 \h </w:instrText>
            </w:r>
            <w:r w:rsidR="000B04E1">
              <w:rPr>
                <w:noProof/>
                <w:webHidden/>
              </w:rPr>
            </w:r>
            <w:r w:rsidR="000B04E1">
              <w:rPr>
                <w:noProof/>
                <w:webHidden/>
              </w:rPr>
              <w:fldChar w:fldCharType="separate"/>
            </w:r>
            <w:r w:rsidR="000B04E1">
              <w:rPr>
                <w:noProof/>
                <w:webHidden/>
              </w:rPr>
              <w:t>137</w:t>
            </w:r>
            <w:r w:rsidR="000B04E1">
              <w:rPr>
                <w:noProof/>
                <w:webHidden/>
              </w:rPr>
              <w:fldChar w:fldCharType="end"/>
            </w:r>
          </w:hyperlink>
        </w:p>
        <w:p w14:paraId="5A18DEF2" w14:textId="4B551784"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52" w:history="1">
            <w:r w:rsidR="000B04E1" w:rsidRPr="00FA7E57">
              <w:rPr>
                <w:rStyle w:val="Hyperlink"/>
                <w:noProof/>
              </w:rPr>
              <w:t>Tables</w:t>
            </w:r>
            <w:r w:rsidR="000B04E1">
              <w:rPr>
                <w:noProof/>
                <w:webHidden/>
              </w:rPr>
              <w:tab/>
            </w:r>
            <w:r w:rsidR="000B04E1">
              <w:rPr>
                <w:noProof/>
                <w:webHidden/>
              </w:rPr>
              <w:fldChar w:fldCharType="begin"/>
            </w:r>
            <w:r w:rsidR="000B04E1">
              <w:rPr>
                <w:noProof/>
                <w:webHidden/>
              </w:rPr>
              <w:instrText xml:space="preserve"> PAGEREF _Toc41908152 \h </w:instrText>
            </w:r>
            <w:r w:rsidR="000B04E1">
              <w:rPr>
                <w:noProof/>
                <w:webHidden/>
              </w:rPr>
            </w:r>
            <w:r w:rsidR="000B04E1">
              <w:rPr>
                <w:noProof/>
                <w:webHidden/>
              </w:rPr>
              <w:fldChar w:fldCharType="separate"/>
            </w:r>
            <w:r w:rsidR="000B04E1">
              <w:rPr>
                <w:noProof/>
                <w:webHidden/>
              </w:rPr>
              <w:t>138</w:t>
            </w:r>
            <w:r w:rsidR="000B04E1">
              <w:rPr>
                <w:noProof/>
                <w:webHidden/>
              </w:rPr>
              <w:fldChar w:fldCharType="end"/>
            </w:r>
          </w:hyperlink>
        </w:p>
        <w:p w14:paraId="072DD644" w14:textId="34452025" w:rsidR="000B04E1" w:rsidRDefault="002A3883">
          <w:pPr>
            <w:pStyle w:val="TOC3"/>
            <w:tabs>
              <w:tab w:val="right" w:leader="dot" w:pos="8630"/>
            </w:tabs>
            <w:rPr>
              <w:rFonts w:asciiTheme="minorHAnsi" w:eastAsiaTheme="minorEastAsia" w:hAnsiTheme="minorHAnsi" w:cstheme="minorBidi"/>
              <w:noProof/>
              <w:sz w:val="22"/>
              <w:szCs w:val="22"/>
            </w:rPr>
          </w:pPr>
          <w:hyperlink w:anchor="_Toc41908153" w:history="1">
            <w:r w:rsidR="000B04E1" w:rsidRPr="00FA7E57">
              <w:rPr>
                <w:rStyle w:val="Hyperlink"/>
                <w:noProof/>
              </w:rPr>
              <w:t>Figures</w:t>
            </w:r>
            <w:r w:rsidR="000B04E1">
              <w:rPr>
                <w:noProof/>
                <w:webHidden/>
              </w:rPr>
              <w:tab/>
            </w:r>
            <w:r w:rsidR="000B04E1">
              <w:rPr>
                <w:noProof/>
                <w:webHidden/>
              </w:rPr>
              <w:fldChar w:fldCharType="begin"/>
            </w:r>
            <w:r w:rsidR="000B04E1">
              <w:rPr>
                <w:noProof/>
                <w:webHidden/>
              </w:rPr>
              <w:instrText xml:space="preserve"> PAGEREF _Toc41908153 \h </w:instrText>
            </w:r>
            <w:r w:rsidR="000B04E1">
              <w:rPr>
                <w:noProof/>
                <w:webHidden/>
              </w:rPr>
            </w:r>
            <w:r w:rsidR="000B04E1">
              <w:rPr>
                <w:noProof/>
                <w:webHidden/>
              </w:rPr>
              <w:fldChar w:fldCharType="separate"/>
            </w:r>
            <w:r w:rsidR="000B04E1">
              <w:rPr>
                <w:noProof/>
                <w:webHidden/>
              </w:rPr>
              <w:t>139</w:t>
            </w:r>
            <w:r w:rsidR="000B04E1">
              <w:rPr>
                <w:noProof/>
                <w:webHidden/>
              </w:rPr>
              <w:fldChar w:fldCharType="end"/>
            </w:r>
          </w:hyperlink>
        </w:p>
        <w:p w14:paraId="048194D8" w14:textId="28E55C2B"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154" w:history="1">
            <w:r w:rsidR="000B04E1" w:rsidRPr="00FA7E57">
              <w:rPr>
                <w:rStyle w:val="Hyperlink"/>
                <w:noProof/>
              </w:rPr>
              <w:t>Conclusion</w:t>
            </w:r>
            <w:r w:rsidR="000B04E1">
              <w:rPr>
                <w:noProof/>
                <w:webHidden/>
              </w:rPr>
              <w:tab/>
            </w:r>
            <w:r w:rsidR="000B04E1">
              <w:rPr>
                <w:noProof/>
                <w:webHidden/>
              </w:rPr>
              <w:fldChar w:fldCharType="begin"/>
            </w:r>
            <w:r w:rsidR="000B04E1">
              <w:rPr>
                <w:noProof/>
                <w:webHidden/>
              </w:rPr>
              <w:instrText xml:space="preserve"> PAGEREF _Toc41908154 \h </w:instrText>
            </w:r>
            <w:r w:rsidR="000B04E1">
              <w:rPr>
                <w:noProof/>
                <w:webHidden/>
              </w:rPr>
            </w:r>
            <w:r w:rsidR="000B04E1">
              <w:rPr>
                <w:noProof/>
                <w:webHidden/>
              </w:rPr>
              <w:fldChar w:fldCharType="separate"/>
            </w:r>
            <w:r w:rsidR="000B04E1">
              <w:rPr>
                <w:noProof/>
                <w:webHidden/>
              </w:rPr>
              <w:t>148</w:t>
            </w:r>
            <w:r w:rsidR="000B04E1">
              <w:rPr>
                <w:noProof/>
                <w:webHidden/>
              </w:rPr>
              <w:fldChar w:fldCharType="end"/>
            </w:r>
          </w:hyperlink>
        </w:p>
        <w:p w14:paraId="7A37E766" w14:textId="3EFA6414"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155" w:history="1">
            <w:r w:rsidR="000B04E1" w:rsidRPr="00FA7E57">
              <w:rPr>
                <w:rStyle w:val="Hyperlink"/>
                <w:noProof/>
              </w:rPr>
              <w:t>List of References</w:t>
            </w:r>
            <w:r w:rsidR="000B04E1">
              <w:rPr>
                <w:noProof/>
                <w:webHidden/>
              </w:rPr>
              <w:tab/>
            </w:r>
            <w:r w:rsidR="000B04E1">
              <w:rPr>
                <w:noProof/>
                <w:webHidden/>
              </w:rPr>
              <w:fldChar w:fldCharType="begin"/>
            </w:r>
            <w:r w:rsidR="000B04E1">
              <w:rPr>
                <w:noProof/>
                <w:webHidden/>
              </w:rPr>
              <w:instrText xml:space="preserve"> PAGEREF _Toc41908155 \h </w:instrText>
            </w:r>
            <w:r w:rsidR="000B04E1">
              <w:rPr>
                <w:noProof/>
                <w:webHidden/>
              </w:rPr>
            </w:r>
            <w:r w:rsidR="000B04E1">
              <w:rPr>
                <w:noProof/>
                <w:webHidden/>
              </w:rPr>
              <w:fldChar w:fldCharType="separate"/>
            </w:r>
            <w:r w:rsidR="000B04E1">
              <w:rPr>
                <w:noProof/>
                <w:webHidden/>
              </w:rPr>
              <w:t>151</w:t>
            </w:r>
            <w:r w:rsidR="000B04E1">
              <w:rPr>
                <w:noProof/>
                <w:webHidden/>
              </w:rPr>
              <w:fldChar w:fldCharType="end"/>
            </w:r>
          </w:hyperlink>
        </w:p>
        <w:p w14:paraId="4DB53874" w14:textId="77FF5CF4" w:rsidR="000B04E1" w:rsidRDefault="002A3883">
          <w:pPr>
            <w:pStyle w:val="TOC1"/>
            <w:tabs>
              <w:tab w:val="right" w:leader="dot" w:pos="8630"/>
            </w:tabs>
            <w:rPr>
              <w:rFonts w:asciiTheme="minorHAnsi" w:eastAsiaTheme="minorEastAsia" w:hAnsiTheme="minorHAnsi" w:cstheme="minorBidi"/>
              <w:noProof/>
              <w:sz w:val="22"/>
              <w:szCs w:val="22"/>
            </w:rPr>
          </w:pPr>
          <w:hyperlink w:anchor="_Toc41908156" w:history="1">
            <w:r w:rsidR="000B04E1" w:rsidRPr="00FA7E57">
              <w:rPr>
                <w:rStyle w:val="Hyperlink"/>
                <w:noProof/>
              </w:rPr>
              <w:t>Vita</w:t>
            </w:r>
            <w:r w:rsidR="000B04E1">
              <w:rPr>
                <w:noProof/>
                <w:webHidden/>
              </w:rPr>
              <w:tab/>
            </w:r>
            <w:r w:rsidR="000B04E1">
              <w:rPr>
                <w:noProof/>
                <w:webHidden/>
              </w:rPr>
              <w:fldChar w:fldCharType="begin"/>
            </w:r>
            <w:r w:rsidR="000B04E1">
              <w:rPr>
                <w:noProof/>
                <w:webHidden/>
              </w:rPr>
              <w:instrText xml:space="preserve"> PAGEREF _Toc41908156 \h </w:instrText>
            </w:r>
            <w:r w:rsidR="000B04E1">
              <w:rPr>
                <w:noProof/>
                <w:webHidden/>
              </w:rPr>
            </w:r>
            <w:r w:rsidR="000B04E1">
              <w:rPr>
                <w:noProof/>
                <w:webHidden/>
              </w:rPr>
              <w:fldChar w:fldCharType="separate"/>
            </w:r>
            <w:r w:rsidR="000B04E1">
              <w:rPr>
                <w:noProof/>
                <w:webHidden/>
              </w:rPr>
              <w:t>173</w:t>
            </w:r>
            <w:r w:rsidR="000B04E1">
              <w:rPr>
                <w:noProof/>
                <w:webHidden/>
              </w:rPr>
              <w:fldChar w:fldCharType="end"/>
            </w:r>
          </w:hyperlink>
        </w:p>
        <w:p w14:paraId="5D33BE02" w14:textId="61BBEAEC"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b/>
              <w:bCs/>
              <w:noProof/>
            </w:rPr>
            <w:fldChar w:fldCharType="end"/>
          </w:r>
        </w:p>
      </w:sdtContent>
    </w:sdt>
    <w:p w14:paraId="250D3C3A" w14:textId="77777777" w:rsidR="00365526" w:rsidRPr="00F23F20" w:rsidRDefault="00365526" w:rsidP="00365526">
      <w:pPr>
        <w:spacing w:line="480" w:lineRule="auto"/>
        <w:rPr>
          <w:rFonts w:ascii="Times New Roman" w:hAnsi="Times New Roman" w:cs="Times New Roman"/>
        </w:rPr>
      </w:pPr>
    </w:p>
    <w:p w14:paraId="07CC4D53" w14:textId="77777777" w:rsidR="00365526" w:rsidRPr="00F23F20" w:rsidRDefault="00365526" w:rsidP="00365526">
      <w:pPr>
        <w:spacing w:line="480" w:lineRule="auto"/>
        <w:rPr>
          <w:rFonts w:ascii="Times New Roman" w:hAnsi="Times New Roman" w:cs="Times New Roman"/>
          <w:b/>
          <w:bCs/>
        </w:rPr>
      </w:pPr>
      <w:r w:rsidRPr="00F23F20">
        <w:rPr>
          <w:rFonts w:ascii="Times New Roman" w:hAnsi="Times New Roman" w:cs="Times New Roman"/>
          <w:b/>
          <w:bCs/>
        </w:rPr>
        <w:br w:type="page"/>
      </w:r>
    </w:p>
    <w:p w14:paraId="43BF0ADF" w14:textId="77777777" w:rsidR="00365526" w:rsidRPr="00F23F20" w:rsidRDefault="00365526" w:rsidP="00365526">
      <w:pPr>
        <w:pStyle w:val="AltHeading1"/>
      </w:pPr>
      <w:bookmarkStart w:id="4" w:name="_Toc41908072"/>
      <w:r w:rsidRPr="00F23F20">
        <w:lastRenderedPageBreak/>
        <w:t>L</w:t>
      </w:r>
      <w:r>
        <w:t>ist</w:t>
      </w:r>
      <w:r w:rsidRPr="00F23F20">
        <w:t xml:space="preserve"> </w:t>
      </w:r>
      <w:r>
        <w:t>of</w:t>
      </w:r>
      <w:r w:rsidRPr="00F23F20">
        <w:t xml:space="preserve"> T</w:t>
      </w:r>
      <w:r>
        <w:t>ables</w:t>
      </w:r>
      <w:bookmarkEnd w:id="4"/>
    </w:p>
    <w:p w14:paraId="0E5352B1" w14:textId="43CE10C7" w:rsidR="00365526" w:rsidRPr="00CF01A8" w:rsidRDefault="00365526" w:rsidP="00CF01A8">
      <w:pPr>
        <w:pStyle w:val="TableofFigures"/>
        <w:tabs>
          <w:tab w:val="right" w:leader="dot" w:pos="8630"/>
        </w:tabs>
        <w:ind w:left="475" w:hanging="475"/>
        <w:rPr>
          <w:rFonts w:ascii="Times New Roman" w:eastAsiaTheme="minorEastAsia" w:hAnsi="Times New Roman" w:cs="Times New Roman"/>
          <w:noProof/>
        </w:rPr>
      </w:pPr>
      <w:r w:rsidRPr="00F23F20">
        <w:rPr>
          <w:rFonts w:ascii="Times New Roman" w:hAnsi="Times New Roman" w:cs="Times New Roman"/>
        </w:rPr>
        <w:fldChar w:fldCharType="begin"/>
      </w:r>
      <w:r w:rsidRPr="00F23F20">
        <w:rPr>
          <w:rFonts w:ascii="Times New Roman" w:hAnsi="Times New Roman" w:cs="Times New Roman"/>
        </w:rPr>
        <w:instrText xml:space="preserve"> TOC \h \z \c "Table" </w:instrText>
      </w:r>
      <w:r w:rsidRPr="00F23F20">
        <w:rPr>
          <w:rFonts w:ascii="Times New Roman" w:hAnsi="Times New Roman" w:cs="Times New Roman"/>
        </w:rPr>
        <w:fldChar w:fldCharType="separate"/>
      </w:r>
      <w:hyperlink w:anchor="_Toc428278253" w:history="1">
        <w:r w:rsidRPr="00CF01A8">
          <w:rPr>
            <w:rStyle w:val="Hyperlink"/>
            <w:rFonts w:ascii="Times New Roman" w:hAnsi="Times New Roman" w:cs="Times New Roman"/>
            <w:noProof/>
          </w:rPr>
          <w:t xml:space="preserve">Table </w:t>
        </w:r>
        <w:r w:rsidR="007A342F" w:rsidRPr="00CF01A8">
          <w:rPr>
            <w:rStyle w:val="Hyperlink"/>
            <w:rFonts w:ascii="Times New Roman" w:hAnsi="Times New Roman" w:cs="Times New Roman"/>
            <w:noProof/>
          </w:rPr>
          <w:t>1</w:t>
        </w:r>
        <w:r w:rsidRPr="00CF01A8">
          <w:rPr>
            <w:rStyle w:val="Hyperlink"/>
            <w:rFonts w:ascii="Times New Roman" w:hAnsi="Times New Roman" w:cs="Times New Roman"/>
            <w:noProof/>
          </w:rPr>
          <w:t xml:space="preserve">.1. </w:t>
        </w:r>
        <w:r w:rsidR="00CF01A8" w:rsidRPr="00CF01A8">
          <w:rPr>
            <w:rFonts w:ascii="Times New Roman" w:eastAsia="WenQuanYi Zen Hei Sharp" w:hAnsi="Times New Roman" w:cs="Times New Roman"/>
            <w:kern w:val="3"/>
            <w:lang w:eastAsia="zh-CN" w:bidi="hi-IN"/>
          </w:rPr>
          <w:t>A summary of the custom-curated genome database used in this work.</w:t>
        </w:r>
        <w:r w:rsidRPr="00CF01A8">
          <w:rPr>
            <w:rFonts w:ascii="Times New Roman" w:hAnsi="Times New Roman" w:cs="Times New Roman"/>
            <w:noProof/>
            <w:webHidden/>
          </w:rPr>
          <w:tab/>
        </w:r>
        <w:r w:rsidR="004A3F68">
          <w:rPr>
            <w:rFonts w:ascii="Times New Roman" w:hAnsi="Times New Roman" w:cs="Times New Roman"/>
            <w:noProof/>
            <w:webHidden/>
          </w:rPr>
          <w:t>26</w:t>
        </w:r>
      </w:hyperlink>
    </w:p>
    <w:p w14:paraId="2D9812B0" w14:textId="06B1A922" w:rsidR="00365526" w:rsidRPr="00CF01A8" w:rsidRDefault="002A3883" w:rsidP="00CF01A8">
      <w:pPr>
        <w:pStyle w:val="TableofFigures"/>
        <w:tabs>
          <w:tab w:val="right" w:leader="dot" w:pos="8630"/>
        </w:tabs>
        <w:rPr>
          <w:rFonts w:ascii="Times New Roman" w:hAnsi="Times New Roman" w:cs="Times New Roman"/>
          <w:noProof/>
        </w:rPr>
      </w:pPr>
      <w:hyperlink w:anchor="_Toc428278254" w:history="1">
        <w:r w:rsidR="00365526" w:rsidRPr="00CF01A8">
          <w:rPr>
            <w:rStyle w:val="Hyperlink"/>
            <w:rFonts w:ascii="Times New Roman" w:hAnsi="Times New Roman" w:cs="Times New Roman"/>
            <w:noProof/>
          </w:rPr>
          <w:t xml:space="preserve">Table </w:t>
        </w:r>
        <w:r w:rsidR="007A342F" w:rsidRPr="00CF01A8">
          <w:rPr>
            <w:rStyle w:val="Hyperlink"/>
            <w:rFonts w:ascii="Times New Roman" w:hAnsi="Times New Roman" w:cs="Times New Roman"/>
            <w:noProof/>
          </w:rPr>
          <w:t>1</w:t>
        </w:r>
        <w:r w:rsidR="00365526" w:rsidRPr="00CF01A8">
          <w:rPr>
            <w:rStyle w:val="Hyperlink"/>
            <w:rFonts w:ascii="Times New Roman" w:hAnsi="Times New Roman" w:cs="Times New Roman"/>
            <w:noProof/>
          </w:rPr>
          <w:t>.</w:t>
        </w:r>
        <w:r w:rsidR="007A342F" w:rsidRPr="00CF01A8">
          <w:rPr>
            <w:rStyle w:val="Hyperlink"/>
            <w:rFonts w:ascii="Times New Roman" w:hAnsi="Times New Roman" w:cs="Times New Roman"/>
            <w:noProof/>
          </w:rPr>
          <w:t>2</w:t>
        </w:r>
        <w:r w:rsidR="00365526" w:rsidRPr="00CF01A8">
          <w:rPr>
            <w:rStyle w:val="Hyperlink"/>
            <w:rFonts w:ascii="Times New Roman" w:hAnsi="Times New Roman" w:cs="Times New Roman"/>
            <w:noProof/>
          </w:rPr>
          <w:t xml:space="preserve">. </w:t>
        </w:r>
        <w:r w:rsidR="00CF01A8" w:rsidRPr="00CF01A8">
          <w:rPr>
            <w:rFonts w:ascii="Times New Roman" w:eastAsia="Calibri" w:hAnsi="Times New Roman" w:cs="Times New Roman"/>
            <w:lang w:eastAsia="zh-CN" w:bidi="hi-IN"/>
          </w:rPr>
          <w:t>Fit statistics for GAM regressions modeling COG-FC abundance as a function of genome size</w:t>
        </w:r>
        <w:r w:rsidR="00365526" w:rsidRPr="00CF01A8">
          <w:rPr>
            <w:rStyle w:val="Hyperlink"/>
            <w:rFonts w:ascii="Times New Roman" w:hAnsi="Times New Roman" w:cs="Times New Roman"/>
            <w:noProof/>
          </w:rPr>
          <w:t>.</w:t>
        </w:r>
        <w:r w:rsidR="00365526" w:rsidRPr="00CF01A8">
          <w:rPr>
            <w:rFonts w:ascii="Times New Roman" w:hAnsi="Times New Roman" w:cs="Times New Roman"/>
            <w:noProof/>
            <w:webHidden/>
          </w:rPr>
          <w:tab/>
        </w:r>
        <w:r w:rsidR="004A3F68">
          <w:rPr>
            <w:rFonts w:ascii="Times New Roman" w:hAnsi="Times New Roman" w:cs="Times New Roman"/>
            <w:noProof/>
            <w:webHidden/>
          </w:rPr>
          <w:t>27</w:t>
        </w:r>
      </w:hyperlink>
    </w:p>
    <w:p w14:paraId="67794786" w14:textId="68B23FBC" w:rsidR="007A342F" w:rsidRPr="00CF01A8" w:rsidRDefault="002A3883" w:rsidP="00CF01A8">
      <w:pPr>
        <w:tabs>
          <w:tab w:val="right" w:leader="dot" w:pos="8640"/>
        </w:tabs>
        <w:ind w:left="450" w:hanging="450"/>
        <w:rPr>
          <w:rFonts w:ascii="Times New Roman" w:hAnsi="Times New Roman" w:cs="Times New Roman"/>
          <w:noProof/>
        </w:rPr>
      </w:pPr>
      <w:hyperlink w:anchor="_Toc428278254" w:history="1">
        <w:r w:rsidR="007A342F" w:rsidRPr="00CF01A8">
          <w:rPr>
            <w:rStyle w:val="Hyperlink"/>
            <w:rFonts w:ascii="Times New Roman" w:hAnsi="Times New Roman" w:cs="Times New Roman"/>
            <w:noProof/>
          </w:rPr>
          <w:t xml:space="preserve">Table 1.3. </w:t>
        </w:r>
        <w:r w:rsidR="00CF01A8" w:rsidRPr="00CF01A8">
          <w:rPr>
            <w:rFonts w:ascii="Times New Roman" w:eastAsia="WenQuanYi Zen Hei Sharp" w:hAnsi="Times New Roman" w:cs="Times New Roman"/>
            <w:bCs/>
            <w:kern w:val="3"/>
            <w:lang w:eastAsia="zh-CN" w:bidi="hi-IN"/>
          </w:rPr>
          <w:t xml:space="preserve">Phylum highly enriched </w:t>
        </w:r>
        <w:r w:rsidR="00CF01A8" w:rsidRPr="00CF01A8">
          <w:rPr>
            <w:rFonts w:ascii="Times New Roman" w:eastAsia="WenQuanYi Zen Hei Sharp" w:hAnsi="Times New Roman" w:cs="Times New Roman"/>
            <w:kern w:val="3"/>
            <w:lang w:eastAsia="zh-CN" w:bidi="hi-IN"/>
          </w:rPr>
          <w:t>(&gt;85</w:t>
        </w:r>
        <w:r w:rsidR="00CF01A8" w:rsidRPr="00CF01A8">
          <w:rPr>
            <w:rFonts w:ascii="Times New Roman" w:eastAsia="WenQuanYi Zen Hei Sharp" w:hAnsi="Times New Roman" w:cs="Times New Roman"/>
            <w:kern w:val="3"/>
            <w:vertAlign w:val="superscript"/>
            <w:lang w:eastAsia="zh-CN" w:bidi="hi-IN"/>
          </w:rPr>
          <w:t>th</w:t>
        </w:r>
        <w:r w:rsidR="00CF01A8" w:rsidRPr="00CF01A8">
          <w:rPr>
            <w:rFonts w:ascii="Times New Roman" w:eastAsia="WenQuanYi Zen Hei Sharp" w:hAnsi="Times New Roman" w:cs="Times New Roman"/>
            <w:kern w:val="3"/>
            <w:lang w:eastAsia="zh-CN" w:bidi="hi-IN"/>
          </w:rPr>
          <w:t xml:space="preserve"> percentile)</w:t>
        </w:r>
        <w:r w:rsidR="00CF01A8" w:rsidRPr="00CF01A8">
          <w:rPr>
            <w:rFonts w:ascii="Times New Roman" w:eastAsia="WenQuanYi Zen Hei Sharp" w:hAnsi="Times New Roman" w:cs="Times New Roman"/>
            <w:bCs/>
            <w:kern w:val="3"/>
            <w:lang w:eastAsia="zh-CN" w:bidi="hi-IN"/>
          </w:rPr>
          <w:t xml:space="preserve"> or depleted </w:t>
        </w:r>
        <w:r w:rsidR="00CF01A8" w:rsidRPr="00CF01A8">
          <w:rPr>
            <w:rFonts w:ascii="Times New Roman" w:eastAsia="WenQuanYi Zen Hei Sharp" w:hAnsi="Times New Roman" w:cs="Times New Roman"/>
            <w:kern w:val="3"/>
            <w:lang w:eastAsia="zh-CN" w:bidi="hi-IN"/>
          </w:rPr>
          <w:t>(&lt;15</w:t>
        </w:r>
        <w:r w:rsidR="00CF01A8" w:rsidRPr="00CF01A8">
          <w:rPr>
            <w:rFonts w:ascii="Times New Roman" w:eastAsia="WenQuanYi Zen Hei Sharp" w:hAnsi="Times New Roman" w:cs="Times New Roman"/>
            <w:kern w:val="3"/>
            <w:vertAlign w:val="superscript"/>
            <w:lang w:eastAsia="zh-CN" w:bidi="hi-IN"/>
          </w:rPr>
          <w:t>th</w:t>
        </w:r>
        <w:r w:rsidR="00CF01A8" w:rsidRPr="00CF01A8">
          <w:rPr>
            <w:rFonts w:ascii="Times New Roman" w:eastAsia="WenQuanYi Zen Hei Sharp" w:hAnsi="Times New Roman" w:cs="Times New Roman"/>
            <w:kern w:val="3"/>
            <w:lang w:eastAsia="zh-CN" w:bidi="hi-IN"/>
          </w:rPr>
          <w:t xml:space="preserve"> percentile) </w:t>
        </w:r>
        <w:r w:rsidR="00CF01A8" w:rsidRPr="00CF01A8">
          <w:rPr>
            <w:rFonts w:ascii="Times New Roman" w:eastAsia="WenQuanYi Zen Hei Sharp" w:hAnsi="Times New Roman" w:cs="Times New Roman"/>
            <w:bCs/>
            <w:kern w:val="3"/>
            <w:lang w:eastAsia="zh-CN" w:bidi="hi-IN"/>
          </w:rPr>
          <w:t>in</w:t>
        </w:r>
        <w:r w:rsidR="00CF01A8" w:rsidRPr="00CF01A8">
          <w:rPr>
            <w:rFonts w:ascii="Times New Roman" w:eastAsia="WenQuanYi Zen Hei Sharp" w:hAnsi="Times New Roman" w:cs="Times New Roman"/>
            <w:b/>
            <w:kern w:val="3"/>
            <w:lang w:eastAsia="zh-CN" w:bidi="hi-IN"/>
          </w:rPr>
          <w:t xml:space="preserve"> </w:t>
        </w:r>
        <w:r w:rsidR="00CF01A8" w:rsidRPr="00CF01A8">
          <w:rPr>
            <w:rFonts w:ascii="Times New Roman" w:eastAsia="WenQuanYi Zen Hei Sharp" w:hAnsi="Times New Roman" w:cs="Times New Roman"/>
            <w:bCs/>
            <w:kern w:val="3"/>
            <w:lang w:eastAsia="zh-CN" w:bidi="hi-IN"/>
          </w:rPr>
          <w:t>COG</w:t>
        </w:r>
        <w:r w:rsidR="00CF01A8" w:rsidRPr="00CF01A8">
          <w:rPr>
            <w:rFonts w:ascii="Times New Roman" w:eastAsia="WenQuanYi Zen Hei Sharp" w:hAnsi="Times New Roman" w:cs="Times New Roman"/>
            <w:kern w:val="3"/>
            <w:lang w:eastAsia="zh-CN" w:bidi="hi-IN"/>
          </w:rPr>
          <w:t>-FCs and depletion. All reported categories are statistically significant.</w:t>
        </w:r>
        <w:r w:rsidR="007A342F" w:rsidRPr="00CF01A8">
          <w:rPr>
            <w:rFonts w:ascii="Times New Roman" w:hAnsi="Times New Roman" w:cs="Times New Roman"/>
            <w:noProof/>
            <w:webHidden/>
          </w:rPr>
          <w:tab/>
        </w:r>
        <w:r w:rsidR="004A3F68">
          <w:rPr>
            <w:rFonts w:ascii="Times New Roman" w:hAnsi="Times New Roman" w:cs="Times New Roman"/>
            <w:noProof/>
            <w:webHidden/>
          </w:rPr>
          <w:t>2</w:t>
        </w:r>
        <w:r w:rsidR="007A342F" w:rsidRPr="00CF01A8">
          <w:rPr>
            <w:rFonts w:ascii="Times New Roman" w:hAnsi="Times New Roman" w:cs="Times New Roman"/>
            <w:noProof/>
            <w:webHidden/>
          </w:rPr>
          <w:fldChar w:fldCharType="begin"/>
        </w:r>
        <w:r w:rsidR="007A342F" w:rsidRPr="00CF01A8">
          <w:rPr>
            <w:rFonts w:ascii="Times New Roman" w:hAnsi="Times New Roman" w:cs="Times New Roman"/>
            <w:noProof/>
            <w:webHidden/>
          </w:rPr>
          <w:instrText xml:space="preserve"> PAGEREF _Toc428278254 \h </w:instrText>
        </w:r>
        <w:r w:rsidR="007A342F" w:rsidRPr="00CF01A8">
          <w:rPr>
            <w:rFonts w:ascii="Times New Roman" w:hAnsi="Times New Roman" w:cs="Times New Roman"/>
            <w:noProof/>
            <w:webHidden/>
          </w:rPr>
        </w:r>
        <w:r w:rsidR="007A342F" w:rsidRPr="00CF01A8">
          <w:rPr>
            <w:rFonts w:ascii="Times New Roman" w:hAnsi="Times New Roman" w:cs="Times New Roman"/>
            <w:noProof/>
            <w:webHidden/>
          </w:rPr>
          <w:fldChar w:fldCharType="separate"/>
        </w:r>
        <w:r w:rsidR="007A342F" w:rsidRPr="00CF01A8">
          <w:rPr>
            <w:rFonts w:ascii="Times New Roman" w:hAnsi="Times New Roman" w:cs="Times New Roman"/>
            <w:noProof/>
            <w:webHidden/>
          </w:rPr>
          <w:t>8</w:t>
        </w:r>
        <w:r w:rsidR="007A342F" w:rsidRPr="00CF01A8">
          <w:rPr>
            <w:rFonts w:ascii="Times New Roman" w:hAnsi="Times New Roman" w:cs="Times New Roman"/>
            <w:noProof/>
            <w:webHidden/>
          </w:rPr>
          <w:fldChar w:fldCharType="end"/>
        </w:r>
      </w:hyperlink>
    </w:p>
    <w:p w14:paraId="06142C4C" w14:textId="11B3992C" w:rsidR="00CF01A8" w:rsidRPr="00CF01A8" w:rsidRDefault="007A342F" w:rsidP="00F47B74">
      <w:pPr>
        <w:widowControl w:val="0"/>
        <w:pBdr>
          <w:top w:val="nil"/>
          <w:left w:val="nil"/>
          <w:bottom w:val="nil"/>
          <w:right w:val="nil"/>
          <w:between w:val="nil"/>
        </w:pBdr>
        <w:ind w:left="450" w:hanging="450"/>
        <w:rPr>
          <w:rFonts w:ascii="Times New Roman" w:hAnsi="Times New Roman" w:cs="Times New Roman"/>
          <w:color w:val="000000"/>
        </w:rPr>
      </w:pPr>
      <w:r w:rsidRPr="00CF01A8">
        <w:rPr>
          <w:rFonts w:ascii="Times New Roman" w:hAnsi="Times New Roman" w:cs="Times New Roman"/>
        </w:rPr>
        <w:fldChar w:fldCharType="begin"/>
      </w:r>
      <w:r w:rsidRPr="00CF01A8">
        <w:rPr>
          <w:rFonts w:ascii="Times New Roman" w:hAnsi="Times New Roman" w:cs="Times New Roman"/>
        </w:rPr>
        <w:instrText xml:space="preserve"> HYPERLINK \l "_Toc428278254" </w:instrText>
      </w:r>
      <w:r w:rsidRPr="00CF01A8">
        <w:rPr>
          <w:rFonts w:ascii="Times New Roman" w:hAnsi="Times New Roman" w:cs="Times New Roman"/>
        </w:rPr>
        <w:fldChar w:fldCharType="separate"/>
      </w:r>
      <w:r w:rsidRPr="00CF01A8">
        <w:rPr>
          <w:rStyle w:val="Hyperlink"/>
          <w:rFonts w:ascii="Times New Roman" w:hAnsi="Times New Roman" w:cs="Times New Roman"/>
          <w:noProof/>
        </w:rPr>
        <w:t xml:space="preserve">Table 2.1. </w:t>
      </w:r>
      <w:r w:rsidR="00CF01A8" w:rsidRPr="00CF01A8">
        <w:rPr>
          <w:rFonts w:ascii="Times New Roman" w:hAnsi="Times New Roman" w:cs="Times New Roman"/>
          <w:color w:val="000000"/>
        </w:rPr>
        <w:t>Estimates of fit coefficients for the Gompertz equation (equation 2.12) for the sum of high-quality and medium-quality MAGs as a function of sequencing depth in</w:t>
      </w:r>
      <w:r w:rsidR="00F47B74">
        <w:rPr>
          <w:rFonts w:ascii="Times New Roman" w:hAnsi="Times New Roman" w:cs="Times New Roman"/>
          <w:color w:val="000000"/>
        </w:rPr>
        <w:t xml:space="preserve"> </w:t>
      </w:r>
      <w:r w:rsidR="00CF01A8" w:rsidRPr="00CF01A8">
        <w:rPr>
          <w:rFonts w:ascii="Times New Roman" w:hAnsi="Times New Roman" w:cs="Times New Roman"/>
          <w:color w:val="000000"/>
        </w:rPr>
        <w:t>published data sets from ocean surface water, estuarine sediment, maize soil, and the</w:t>
      </w:r>
    </w:p>
    <w:p w14:paraId="6CD17BA6" w14:textId="56DC2817" w:rsidR="007A342F" w:rsidRPr="00CF01A8" w:rsidRDefault="00CF01A8" w:rsidP="00F47B74">
      <w:pPr>
        <w:tabs>
          <w:tab w:val="right" w:leader="dot" w:pos="8640"/>
        </w:tabs>
        <w:ind w:left="450"/>
        <w:rPr>
          <w:rFonts w:ascii="Times New Roman" w:hAnsi="Times New Roman" w:cs="Times New Roman"/>
          <w:noProof/>
        </w:rPr>
      </w:pPr>
      <w:r w:rsidRPr="00CF01A8">
        <w:rPr>
          <w:rFonts w:ascii="Times New Roman" w:hAnsi="Times New Roman" w:cs="Times New Roman"/>
          <w:color w:val="000000"/>
        </w:rPr>
        <w:t>human gut</w:t>
      </w:r>
      <w:r w:rsidRPr="00CF01A8">
        <w:rPr>
          <w:rFonts w:ascii="Times New Roman" w:hAnsi="Times New Roman" w:cs="Times New Roman"/>
          <w:color w:val="000000"/>
          <w:vertAlign w:val="superscript"/>
        </w:rPr>
        <w:t>*</w:t>
      </w:r>
      <w:r w:rsidRPr="00CF01A8">
        <w:rPr>
          <w:rFonts w:ascii="Times New Roman" w:hAnsi="Times New Roman" w:cs="Times New Roman"/>
          <w:color w:val="000000"/>
        </w:rPr>
        <w:t>.</w:t>
      </w:r>
      <w:r w:rsidR="007A342F" w:rsidRPr="00CF01A8">
        <w:rPr>
          <w:rFonts w:ascii="Times New Roman" w:hAnsi="Times New Roman" w:cs="Times New Roman"/>
          <w:noProof/>
          <w:webHidden/>
        </w:rPr>
        <w:tab/>
      </w:r>
      <w:r w:rsidR="004A3F68">
        <w:rPr>
          <w:rFonts w:ascii="Times New Roman" w:hAnsi="Times New Roman" w:cs="Times New Roman"/>
          <w:noProof/>
          <w:webHidden/>
        </w:rPr>
        <w:t>64</w:t>
      </w:r>
      <w:r w:rsidR="007A342F" w:rsidRPr="00CF01A8">
        <w:rPr>
          <w:rFonts w:ascii="Times New Roman" w:hAnsi="Times New Roman" w:cs="Times New Roman"/>
          <w:noProof/>
        </w:rPr>
        <w:fldChar w:fldCharType="end"/>
      </w:r>
    </w:p>
    <w:p w14:paraId="3A54EB99" w14:textId="282B6BB0" w:rsidR="007A342F" w:rsidRPr="00CF01A8" w:rsidRDefault="002A3883" w:rsidP="00CF01A8">
      <w:pPr>
        <w:tabs>
          <w:tab w:val="right" w:leader="dot" w:pos="8640"/>
        </w:tabs>
        <w:rPr>
          <w:rFonts w:ascii="Times New Roman" w:hAnsi="Times New Roman" w:cs="Times New Roman"/>
          <w:noProof/>
        </w:rPr>
      </w:pPr>
      <w:hyperlink w:anchor="_Toc428278254" w:history="1">
        <w:r w:rsidR="007A342F" w:rsidRPr="00CF01A8">
          <w:rPr>
            <w:rStyle w:val="Hyperlink"/>
            <w:rFonts w:ascii="Times New Roman" w:hAnsi="Times New Roman" w:cs="Times New Roman"/>
            <w:noProof/>
          </w:rPr>
          <w:t xml:space="preserve">Table 2.2. </w:t>
        </w:r>
        <w:r w:rsidR="00CF01A8" w:rsidRPr="00CF01A8">
          <w:rPr>
            <w:rFonts w:ascii="Times New Roman" w:hAnsi="Times New Roman" w:cs="Times New Roman"/>
            <w:color w:val="000000"/>
          </w:rPr>
          <w:t>Summary of sequence datasets analyzed with the MAG pipeline.</w:t>
        </w:r>
        <w:r w:rsidR="007A342F" w:rsidRPr="00CF01A8">
          <w:rPr>
            <w:rFonts w:ascii="Times New Roman" w:hAnsi="Times New Roman" w:cs="Times New Roman"/>
            <w:noProof/>
            <w:webHidden/>
          </w:rPr>
          <w:tab/>
        </w:r>
        <w:r w:rsidR="004A3F68">
          <w:rPr>
            <w:rFonts w:ascii="Times New Roman" w:hAnsi="Times New Roman" w:cs="Times New Roman"/>
            <w:noProof/>
            <w:webHidden/>
          </w:rPr>
          <w:t>65</w:t>
        </w:r>
      </w:hyperlink>
    </w:p>
    <w:p w14:paraId="092FDA0D" w14:textId="74DCBE02" w:rsidR="007A342F" w:rsidRPr="00CF01A8" w:rsidRDefault="002A3883" w:rsidP="00F47B74">
      <w:pPr>
        <w:tabs>
          <w:tab w:val="right" w:leader="dot" w:pos="8640"/>
        </w:tabs>
        <w:ind w:left="450" w:hanging="450"/>
        <w:rPr>
          <w:rFonts w:ascii="Times New Roman" w:hAnsi="Times New Roman" w:cs="Times New Roman"/>
          <w:noProof/>
        </w:rPr>
      </w:pPr>
      <w:hyperlink w:anchor="_Toc428278254" w:history="1">
        <w:r w:rsidR="007A342F" w:rsidRPr="00CF01A8">
          <w:rPr>
            <w:rStyle w:val="Hyperlink"/>
            <w:rFonts w:ascii="Times New Roman" w:hAnsi="Times New Roman" w:cs="Times New Roman"/>
            <w:noProof/>
          </w:rPr>
          <w:t xml:space="preserve">Table 3.1. </w:t>
        </w:r>
        <w:r w:rsidR="00CF01A8" w:rsidRPr="00CF01A8">
          <w:rPr>
            <w:rFonts w:ascii="Times New Roman" w:hAnsi="Times New Roman" w:cs="Times New Roman"/>
            <w:bCs/>
          </w:rPr>
          <w:t xml:space="preserve">A summary of marker gene sequences used in the BLASTP analysis of </w:t>
        </w:r>
        <w:r w:rsidR="00CF01A8" w:rsidRPr="00CF01A8">
          <w:rPr>
            <w:rFonts w:ascii="Times New Roman" w:hAnsi="Times New Roman" w:cs="Times New Roman"/>
            <w:bCs/>
            <w:i/>
          </w:rPr>
          <w:t>TARA Oceans</w:t>
        </w:r>
        <w:r w:rsidR="00CF01A8" w:rsidRPr="00CF01A8">
          <w:rPr>
            <w:rFonts w:ascii="Times New Roman" w:hAnsi="Times New Roman" w:cs="Times New Roman"/>
            <w:bCs/>
          </w:rPr>
          <w:t xml:space="preserve"> MAGs. All marker genes were downloaded from Swiss-Prot.</w:t>
        </w:r>
        <w:r w:rsidR="007A342F" w:rsidRPr="00CF01A8">
          <w:rPr>
            <w:rFonts w:ascii="Times New Roman" w:hAnsi="Times New Roman" w:cs="Times New Roman"/>
            <w:noProof/>
            <w:webHidden/>
          </w:rPr>
          <w:tab/>
        </w:r>
        <w:r w:rsidR="004A3F68">
          <w:rPr>
            <w:rFonts w:ascii="Times New Roman" w:hAnsi="Times New Roman" w:cs="Times New Roman"/>
            <w:noProof/>
            <w:webHidden/>
          </w:rPr>
          <w:t>100</w:t>
        </w:r>
      </w:hyperlink>
    </w:p>
    <w:p w14:paraId="66B8D6C1" w14:textId="6D683762" w:rsidR="007A342F" w:rsidRPr="00CF01A8" w:rsidRDefault="002A3883" w:rsidP="00F47B74">
      <w:pPr>
        <w:tabs>
          <w:tab w:val="right" w:leader="dot" w:pos="8640"/>
        </w:tabs>
        <w:ind w:left="450" w:hanging="450"/>
        <w:rPr>
          <w:rFonts w:ascii="Times New Roman" w:hAnsi="Times New Roman" w:cs="Times New Roman"/>
          <w:noProof/>
        </w:rPr>
      </w:pPr>
      <w:hyperlink w:anchor="_Toc428278254" w:history="1">
        <w:r w:rsidR="007A342F" w:rsidRPr="00CF01A8">
          <w:rPr>
            <w:rStyle w:val="Hyperlink"/>
            <w:rFonts w:ascii="Times New Roman" w:hAnsi="Times New Roman" w:cs="Times New Roman"/>
            <w:noProof/>
          </w:rPr>
          <w:t xml:space="preserve">Table 4.1. </w:t>
        </w:r>
        <w:r w:rsidR="00CF01A8" w:rsidRPr="00CF01A8">
          <w:rPr>
            <w:rFonts w:ascii="Times New Roman" w:hAnsi="Times New Roman" w:cs="Times New Roman"/>
            <w:bCs/>
          </w:rPr>
          <w:t>A summary of carbon and sulfur budgets in sediments at WOR estuary, Station H.</w:t>
        </w:r>
        <w:r w:rsidR="007A342F" w:rsidRPr="00CF01A8">
          <w:rPr>
            <w:rFonts w:ascii="Times New Roman" w:hAnsi="Times New Roman" w:cs="Times New Roman"/>
            <w:noProof/>
            <w:webHidden/>
          </w:rPr>
          <w:tab/>
        </w:r>
        <w:r w:rsidR="004A3F68">
          <w:rPr>
            <w:rFonts w:ascii="Times New Roman" w:hAnsi="Times New Roman" w:cs="Times New Roman"/>
            <w:noProof/>
            <w:webHidden/>
          </w:rPr>
          <w:t>137</w:t>
        </w:r>
      </w:hyperlink>
    </w:p>
    <w:p w14:paraId="582EBA89" w14:textId="77777777" w:rsidR="007A342F" w:rsidRPr="007A342F" w:rsidRDefault="007A342F" w:rsidP="007A342F">
      <w:pPr>
        <w:tabs>
          <w:tab w:val="right" w:leader="dot" w:pos="8640"/>
        </w:tabs>
        <w:rPr>
          <w:rFonts w:eastAsiaTheme="minorEastAsia"/>
        </w:rPr>
      </w:pPr>
    </w:p>
    <w:p w14:paraId="3E11C13B" w14:textId="77777777" w:rsidR="00365526" w:rsidRPr="00F23F20" w:rsidRDefault="00365526" w:rsidP="00365526">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rPr>
      </w:pPr>
      <w:r w:rsidRPr="00F23F20">
        <w:rPr>
          <w:rFonts w:ascii="Times New Roman" w:hAnsi="Times New Roman" w:cs="Times New Roman"/>
        </w:rPr>
        <w:fldChar w:fldCharType="end"/>
      </w:r>
    </w:p>
    <w:p w14:paraId="4A2EBF5D" w14:textId="77777777" w:rsidR="00365526" w:rsidRPr="00F23F20" w:rsidRDefault="00365526" w:rsidP="00365526">
      <w:pPr>
        <w:spacing w:line="480" w:lineRule="auto"/>
        <w:rPr>
          <w:rFonts w:ascii="Times New Roman" w:hAnsi="Times New Roman" w:cs="Times New Roman"/>
        </w:rPr>
      </w:pPr>
    </w:p>
    <w:p w14:paraId="7E701ED5" w14:textId="77777777" w:rsidR="00365526" w:rsidRPr="00F23F20" w:rsidRDefault="00365526" w:rsidP="00365526">
      <w:pPr>
        <w:spacing w:line="480" w:lineRule="auto"/>
        <w:rPr>
          <w:rFonts w:ascii="Times New Roman" w:hAnsi="Times New Roman" w:cs="Times New Roman"/>
        </w:rPr>
      </w:pPr>
    </w:p>
    <w:p w14:paraId="2E5BDF98" w14:textId="77777777" w:rsidR="00365526" w:rsidRPr="00F23F20" w:rsidRDefault="00365526" w:rsidP="00365526">
      <w:pPr>
        <w:pStyle w:val="Level1"/>
        <w:tabs>
          <w:tab w:val="right" w:leader="dot" w:pos="8228"/>
        </w:tabs>
        <w:spacing w:line="480" w:lineRule="auto"/>
        <w:ind w:left="0"/>
        <w:rPr>
          <w:rFonts w:cs="Times New Roman"/>
          <w:b/>
          <w:bCs/>
        </w:rPr>
      </w:pPr>
    </w:p>
    <w:p w14:paraId="159D9AC5" w14:textId="77777777" w:rsidR="00365526" w:rsidRPr="00F23F20" w:rsidRDefault="00365526" w:rsidP="00365526">
      <w:pPr>
        <w:pStyle w:val="AltHeading1"/>
      </w:pPr>
      <w:r w:rsidRPr="00F23F20">
        <w:br w:type="page"/>
      </w:r>
      <w:bookmarkStart w:id="5" w:name="_Toc41908073"/>
      <w:r w:rsidRPr="00F23F20">
        <w:lastRenderedPageBreak/>
        <w:t>L</w:t>
      </w:r>
      <w:r>
        <w:t>ist</w:t>
      </w:r>
      <w:r w:rsidRPr="00F23F20">
        <w:t xml:space="preserve"> </w:t>
      </w:r>
      <w:r>
        <w:t>of</w:t>
      </w:r>
      <w:r w:rsidRPr="00F23F20">
        <w:t xml:space="preserve"> F</w:t>
      </w:r>
      <w:r>
        <w:t>igures</w:t>
      </w:r>
      <w:bookmarkEnd w:id="5"/>
    </w:p>
    <w:p w14:paraId="3DD34EC0" w14:textId="43B7DD95" w:rsidR="00365526" w:rsidRPr="002F3E17" w:rsidRDefault="00365526" w:rsidP="002F3E17">
      <w:pPr>
        <w:pStyle w:val="TableofFigures"/>
        <w:tabs>
          <w:tab w:val="right" w:leader="dot" w:pos="8630"/>
        </w:tabs>
        <w:rPr>
          <w:rFonts w:ascii="Times New Roman" w:hAnsi="Times New Roman" w:cs="Times New Roman"/>
          <w:noProof/>
        </w:rPr>
      </w:pPr>
      <w:r w:rsidRPr="00F23F20">
        <w:rPr>
          <w:rFonts w:ascii="Times New Roman" w:hAnsi="Times New Roman" w:cs="Times New Roman"/>
        </w:rPr>
        <w:fldChar w:fldCharType="begin"/>
      </w:r>
      <w:r w:rsidRPr="00F23F20">
        <w:rPr>
          <w:rFonts w:ascii="Times New Roman" w:hAnsi="Times New Roman" w:cs="Times New Roman"/>
        </w:rPr>
        <w:instrText xml:space="preserve"> TOC \h \z \c "Figure" </w:instrText>
      </w:r>
      <w:r w:rsidRPr="00F23F20">
        <w:rPr>
          <w:rFonts w:ascii="Times New Roman" w:hAnsi="Times New Roman" w:cs="Times New Roman"/>
        </w:rPr>
        <w:fldChar w:fldCharType="separate"/>
      </w:r>
      <w:hyperlink w:anchor="_Toc428278255" w:history="1">
        <w:r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1</w:t>
        </w:r>
        <w:r w:rsidRPr="002F3E17">
          <w:rPr>
            <w:rStyle w:val="Hyperlink"/>
            <w:rFonts w:ascii="Times New Roman" w:hAnsi="Times New Roman" w:cs="Times New Roman"/>
            <w:noProof/>
          </w:rPr>
          <w:t xml:space="preserve">.1. </w:t>
        </w:r>
        <w:r w:rsidR="00883C2C" w:rsidRPr="002F3E17">
          <w:rPr>
            <w:rFonts w:ascii="Times New Roman" w:hAnsi="Times New Roman" w:cs="Times New Roman"/>
            <w:color w:val="000000"/>
            <w:shd w:val="clear" w:color="auto" w:fill="FFFFFF"/>
          </w:rPr>
          <w:t>Violin plots showing the distribution for the ratio of total COG-FC annotations in a genome to the total number of open reading frames for each phylum.</w:t>
        </w:r>
        <w:r w:rsidRPr="002F3E17">
          <w:rPr>
            <w:rFonts w:ascii="Times New Roman" w:hAnsi="Times New Roman" w:cs="Times New Roman"/>
            <w:noProof/>
            <w:webHidden/>
          </w:rPr>
          <w:tab/>
        </w:r>
        <w:r w:rsidR="002D432E">
          <w:rPr>
            <w:rFonts w:ascii="Times New Roman" w:hAnsi="Times New Roman" w:cs="Times New Roman"/>
            <w:noProof/>
            <w:webHidden/>
          </w:rPr>
          <w:t>29</w:t>
        </w:r>
      </w:hyperlink>
    </w:p>
    <w:p w14:paraId="587ACC5F" w14:textId="4249E4F6"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1</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2</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PCA plots of COG-FC abundances (A) and relative abundances (B and C). Individual data points are colored by genome size in panels A and B. The data presented in panel A were not normalized by genome size, while the data in panels B and C were normalized by genome size. Black contours on panels B and C correspond to density plots for all genomes shown in panel B. Colored contours in panel C correspond to the respective lineage labels. For panel A, PC1 explained 71% and PC2 explained 7.0% of the variance. For panels B and C, PC1 explained 21% and PC2 explained 16% of the variance. Panel C corresponds to only the top 10 most abundant phyla analyzed as described for Table 1.1.</w:t>
        </w:r>
        <w:r w:rsidR="00A97099" w:rsidRPr="002F3E17">
          <w:rPr>
            <w:rFonts w:ascii="Times New Roman" w:hAnsi="Times New Roman" w:cs="Times New Roman"/>
            <w:noProof/>
            <w:webHidden/>
          </w:rPr>
          <w:tab/>
        </w:r>
        <w:r w:rsidR="002D432E">
          <w:rPr>
            <w:rFonts w:ascii="Times New Roman" w:hAnsi="Times New Roman" w:cs="Times New Roman"/>
            <w:noProof/>
            <w:webHidden/>
          </w:rPr>
          <w:t>30</w:t>
        </w:r>
      </w:hyperlink>
    </w:p>
    <w:p w14:paraId="79FF3725" w14:textId="4262BBA5"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1</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3</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GAM regressions modeling COG-FC normalized abundance (standardized) as a function of genome size. Solid red lines correspond to mean fit. Upper and lower red dashed lines correspond to 95th percentile confidence intervals.</w:t>
        </w:r>
        <w:r w:rsidR="00A97099" w:rsidRPr="002F3E17">
          <w:rPr>
            <w:rFonts w:ascii="Times New Roman" w:hAnsi="Times New Roman" w:cs="Times New Roman"/>
            <w:noProof/>
            <w:webHidden/>
          </w:rPr>
          <w:tab/>
        </w:r>
        <w:r w:rsidR="002D432E">
          <w:rPr>
            <w:rFonts w:ascii="Times New Roman" w:hAnsi="Times New Roman" w:cs="Times New Roman"/>
            <w:noProof/>
            <w:webHidden/>
          </w:rPr>
          <w:t>31</w:t>
        </w:r>
      </w:hyperlink>
    </w:p>
    <w:p w14:paraId="4EF37017" w14:textId="58CD8CA3"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1</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4</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The average variance in COG-FC enrichment explained by different taxonomic ranks (bars) and the cumulative variance explained by taxonomic ranks (lines). All variance explained by taxonomic ranks was significant (</w:t>
        </w:r>
        <w:r w:rsidR="00883C2C" w:rsidRPr="002F3E17">
          <w:rPr>
            <w:rFonts w:ascii="Times New Roman" w:hAnsi="Times New Roman" w:cs="Times New Roman"/>
            <w:i/>
          </w:rPr>
          <w:t>p</w:t>
        </w:r>
        <w:r w:rsidR="00883C2C" w:rsidRPr="002F3E17">
          <w:rPr>
            <w:rFonts w:ascii="Times New Roman" w:hAnsi="Times New Roman" w:cs="Times New Roman"/>
          </w:rPr>
          <w:t xml:space="preserve">&lt;0.001). The </w:t>
        </w:r>
        <w:r w:rsidR="00883C2C" w:rsidRPr="002F3E17">
          <w:rPr>
            <w:rFonts w:ascii="Times New Roman" w:hAnsi="Times New Roman" w:cs="Times New Roman"/>
            <w:i/>
          </w:rPr>
          <w:t>F</w:t>
        </w:r>
        <w:r w:rsidR="00883C2C" w:rsidRPr="002F3E17">
          <w:rPr>
            <w:rFonts w:ascii="Times New Roman" w:hAnsi="Times New Roman" w:cs="Times New Roman"/>
          </w:rPr>
          <w:t>-value for domain, phylum, class, order, family, and genus, was 726.0, 128.8, 38.76, 34.4, 11.2, and 5.1, respectively.</w:t>
        </w:r>
        <w:r w:rsidR="00A97099" w:rsidRPr="002F3E17">
          <w:rPr>
            <w:rFonts w:ascii="Times New Roman" w:hAnsi="Times New Roman" w:cs="Times New Roman"/>
            <w:noProof/>
            <w:webHidden/>
          </w:rPr>
          <w:tab/>
        </w:r>
        <w:r w:rsidR="002D432E">
          <w:rPr>
            <w:rFonts w:ascii="Times New Roman" w:hAnsi="Times New Roman" w:cs="Times New Roman"/>
            <w:noProof/>
            <w:webHidden/>
          </w:rPr>
          <w:t>32</w:t>
        </w:r>
      </w:hyperlink>
    </w:p>
    <w:p w14:paraId="6C2000B0" w14:textId="1A345F81"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1</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5</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Violin plots showing the distribution in log</w:t>
        </w:r>
        <w:r w:rsidR="00883C2C" w:rsidRPr="002F3E17">
          <w:rPr>
            <w:rFonts w:ascii="Times New Roman" w:hAnsi="Times New Roman" w:cs="Times New Roman"/>
            <w:vertAlign w:val="subscript"/>
          </w:rPr>
          <w:t>10</w:t>
        </w:r>
        <w:r w:rsidR="00883C2C" w:rsidRPr="002F3E17">
          <w:rPr>
            <w:rFonts w:ascii="Times New Roman" w:hAnsi="Times New Roman" w:cs="Times New Roman"/>
          </w:rPr>
          <w:t>-distance for lineages from their respective phyla mean COG-FC centroid (A) and average log</w:t>
        </w:r>
        <w:r w:rsidR="00883C2C" w:rsidRPr="002F3E17">
          <w:rPr>
            <w:rFonts w:ascii="Times New Roman" w:hAnsi="Times New Roman" w:cs="Times New Roman"/>
            <w:vertAlign w:val="subscript"/>
          </w:rPr>
          <w:t>10</w:t>
        </w:r>
        <w:r w:rsidR="00883C2C" w:rsidRPr="002F3E17">
          <w:rPr>
            <w:rFonts w:ascii="Times New Roman" w:hAnsi="Times New Roman" w:cs="Times New Roman"/>
          </w:rPr>
          <w:t xml:space="preserve">-distance to phyla mean COG-FC centroid as a function of number of lineages in a given phylum (B). Coefficients in panel B correspond to fit parameters from eq 1. The * symbols denote significance as defined in the text. We note three outliers: the </w:t>
        </w:r>
        <w:r w:rsidR="00883C2C" w:rsidRPr="002F3E17">
          <w:rPr>
            <w:rFonts w:ascii="Times New Roman" w:hAnsi="Times New Roman" w:cs="Times New Roman"/>
            <w:i/>
            <w:iCs/>
          </w:rPr>
          <w:t>Crenarhaeota</w:t>
        </w:r>
        <w:r w:rsidR="00883C2C" w:rsidRPr="002F3E17">
          <w:rPr>
            <w:rFonts w:ascii="Times New Roman" w:hAnsi="Times New Roman" w:cs="Times New Roman"/>
          </w:rPr>
          <w:t xml:space="preserve"> are characterized by unusually high diversity of COG-FCs distributions, and the </w:t>
        </w:r>
        <w:r w:rsidR="00883C2C" w:rsidRPr="002F3E17">
          <w:rPr>
            <w:rFonts w:ascii="Times New Roman" w:hAnsi="Times New Roman" w:cs="Times New Roman"/>
            <w:i/>
            <w:iCs/>
          </w:rPr>
          <w:t>Synergistota</w:t>
        </w:r>
        <w:r w:rsidR="00883C2C" w:rsidRPr="002F3E17">
          <w:rPr>
            <w:rFonts w:ascii="Times New Roman" w:hAnsi="Times New Roman" w:cs="Times New Roman"/>
          </w:rPr>
          <w:t xml:space="preserve"> and </w:t>
        </w:r>
        <w:r w:rsidR="00883C2C" w:rsidRPr="002F3E17">
          <w:rPr>
            <w:rFonts w:ascii="Times New Roman" w:hAnsi="Times New Roman" w:cs="Times New Roman"/>
            <w:i/>
            <w:iCs/>
          </w:rPr>
          <w:t>Fibrobacterota</w:t>
        </w:r>
        <w:r w:rsidR="00883C2C" w:rsidRPr="002F3E17">
          <w:rPr>
            <w:rFonts w:ascii="Times New Roman" w:hAnsi="Times New Roman" w:cs="Times New Roman"/>
          </w:rPr>
          <w:t xml:space="preserve"> are characterized by an unusually low diversity of COG-FC distributions.</w:t>
        </w:r>
        <w:r w:rsidR="00A97099" w:rsidRPr="002F3E17">
          <w:rPr>
            <w:rFonts w:ascii="Times New Roman" w:hAnsi="Times New Roman" w:cs="Times New Roman"/>
            <w:noProof/>
            <w:webHidden/>
          </w:rPr>
          <w:tab/>
        </w:r>
        <w:r w:rsidR="002D432E">
          <w:rPr>
            <w:rFonts w:ascii="Times New Roman" w:hAnsi="Times New Roman" w:cs="Times New Roman"/>
            <w:noProof/>
            <w:webHidden/>
          </w:rPr>
          <w:t>33</w:t>
        </w:r>
      </w:hyperlink>
    </w:p>
    <w:p w14:paraId="22C75414" w14:textId="5774EF1F"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1</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6</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A heat map showing the average COG-FC enrichment for all archaeal (A) and bacterial (B) genera. Categories were arranged from left to right along the x axis in order of decreasing total variance in enrichment across all lineages. Clades were organized along the y axis using phylogenetic relatedness based on the reported concatenated protein sequence alignments in</w:t>
        </w:r>
        <w:r w:rsidR="006E187E">
          <w:rPr>
            <w:rFonts w:ascii="Times New Roman" w:hAnsi="Times New Roman" w:cs="Times New Roman"/>
          </w:rPr>
          <w:t xml:space="preserve"> (</w:t>
        </w:r>
        <w:r w:rsidR="009B0F6D">
          <w:rPr>
            <w:rFonts w:ascii="Times New Roman" w:hAnsi="Times New Roman" w:cs="Times New Roman"/>
          </w:rPr>
          <w:t>10</w:t>
        </w:r>
        <w:r w:rsidR="006E187E">
          <w:rPr>
            <w:rFonts w:ascii="Times New Roman" w:hAnsi="Times New Roman" w:cs="Times New Roman"/>
          </w:rPr>
          <w:t>)</w:t>
        </w:r>
        <w:r w:rsidR="00883C2C" w:rsidRPr="002F3E17">
          <w:rPr>
            <w:rFonts w:ascii="Times New Roman" w:hAnsi="Times New Roman" w:cs="Times New Roman"/>
          </w:rPr>
          <w:t>.</w:t>
        </w:r>
        <w:r w:rsidR="00A97099" w:rsidRPr="002F3E17">
          <w:rPr>
            <w:rFonts w:ascii="Times New Roman" w:hAnsi="Times New Roman" w:cs="Times New Roman"/>
            <w:noProof/>
            <w:webHidden/>
          </w:rPr>
          <w:tab/>
        </w:r>
        <w:r w:rsidR="002D432E">
          <w:rPr>
            <w:rFonts w:ascii="Times New Roman" w:hAnsi="Times New Roman" w:cs="Times New Roman"/>
            <w:noProof/>
            <w:webHidden/>
          </w:rPr>
          <w:t>34</w:t>
        </w:r>
      </w:hyperlink>
    </w:p>
    <w:p w14:paraId="53F14BB8" w14:textId="2262244F"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1</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7</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color w:val="000000"/>
            <w:lang w:eastAsia="zh-CN" w:bidi="hi-IN"/>
          </w:rPr>
          <w:t>Results from a variance component model. Lineage was used as a nested random effect (intercept) for all COG-FCs. The proportion of variance explained is partitioned by phylum (A), class (B), order (C), family (D), and genus (E). Box plots correspond to the variability in variance explained from the bootstrap analysis, red dashed lines correspond to 95% confidence intervals calculated from the bootstrap analysis, and red circles correspond to the variance explained by analysis of all data in Table 1.1. Note that the titles for COG-FCs are shortened; the full category names are shown in Figure 1.6 and Table 1.2.</w:t>
        </w:r>
        <w:r w:rsidR="00A97099" w:rsidRPr="002F3E17">
          <w:rPr>
            <w:rFonts w:ascii="Times New Roman" w:hAnsi="Times New Roman" w:cs="Times New Roman"/>
            <w:noProof/>
            <w:webHidden/>
          </w:rPr>
          <w:tab/>
        </w:r>
        <w:r w:rsidR="002D432E">
          <w:rPr>
            <w:rFonts w:ascii="Times New Roman" w:hAnsi="Times New Roman" w:cs="Times New Roman"/>
            <w:noProof/>
            <w:webHidden/>
          </w:rPr>
          <w:t>35</w:t>
        </w:r>
      </w:hyperlink>
    </w:p>
    <w:p w14:paraId="0EB9762A" w14:textId="7936F5FA"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2</w:t>
        </w:r>
        <w:r w:rsidR="00A97099" w:rsidRPr="002F3E17">
          <w:rPr>
            <w:rStyle w:val="Hyperlink"/>
            <w:rFonts w:ascii="Times New Roman" w:hAnsi="Times New Roman" w:cs="Times New Roman"/>
            <w:noProof/>
          </w:rPr>
          <w:t xml:space="preserve">.1. </w:t>
        </w:r>
        <w:r w:rsidR="00883C2C" w:rsidRPr="002F3E17">
          <w:rPr>
            <w:rFonts w:ascii="Times New Roman" w:hAnsi="Times New Roman" w:cs="Times New Roman"/>
          </w:rPr>
          <w:t>A flow diagram illustrating the workflow for sequencing experiments.</w:t>
        </w:r>
        <w:r w:rsidR="00A97099" w:rsidRPr="002F3E17">
          <w:rPr>
            <w:rFonts w:ascii="Times New Roman" w:hAnsi="Times New Roman" w:cs="Times New Roman"/>
            <w:noProof/>
            <w:webHidden/>
          </w:rPr>
          <w:tab/>
        </w:r>
        <w:r w:rsidR="002D432E">
          <w:rPr>
            <w:rFonts w:ascii="Times New Roman" w:hAnsi="Times New Roman" w:cs="Times New Roman"/>
            <w:noProof/>
            <w:webHidden/>
          </w:rPr>
          <w:t>67</w:t>
        </w:r>
      </w:hyperlink>
    </w:p>
    <w:p w14:paraId="43D6A624" w14:textId="4C877CF8"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2</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2</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 xml:space="preserve">Sequencing effort, with units of log of sequence reads, required to fully sequence four different community structures, one with relatively high community evenness (A), relatively moderate community evenness (B), relatively low community evenness (C), and one with a lognormal community structure (D), were predicted using linear regressions (E) and the log of metagenome size (total possible </w:t>
        </w:r>
        <w:r w:rsidR="00883C2C" w:rsidRPr="002F3E17">
          <w:rPr>
            <w:rFonts w:ascii="Times New Roman" w:hAnsi="Times New Roman" w:cs="Times New Roman"/>
            <w:i/>
            <w:iCs/>
          </w:rPr>
          <w:t>k</w:t>
        </w:r>
        <w:r w:rsidR="00883C2C" w:rsidRPr="002F3E17">
          <w:rPr>
            <w:rFonts w:ascii="Times New Roman" w:hAnsi="Times New Roman" w:cs="Times New Roman"/>
          </w:rPr>
          <w:t>-mers) as a predictor.</w:t>
        </w:r>
        <w:r w:rsidR="00A97099" w:rsidRPr="002F3E17">
          <w:rPr>
            <w:rFonts w:ascii="Times New Roman" w:hAnsi="Times New Roman" w:cs="Times New Roman"/>
            <w:noProof/>
            <w:webHidden/>
          </w:rPr>
          <w:tab/>
        </w:r>
        <w:r w:rsidR="002D432E">
          <w:rPr>
            <w:rFonts w:ascii="Times New Roman" w:hAnsi="Times New Roman" w:cs="Times New Roman"/>
            <w:noProof/>
            <w:webHidden/>
          </w:rPr>
          <w:t>6</w:t>
        </w:r>
        <w:r w:rsidR="00A97099" w:rsidRPr="002F3E17">
          <w:rPr>
            <w:rFonts w:ascii="Times New Roman" w:hAnsi="Times New Roman" w:cs="Times New Roman"/>
            <w:noProof/>
            <w:webHidden/>
          </w:rPr>
          <w:fldChar w:fldCharType="begin"/>
        </w:r>
        <w:r w:rsidR="00A97099" w:rsidRPr="002F3E17">
          <w:rPr>
            <w:rFonts w:ascii="Times New Roman" w:hAnsi="Times New Roman" w:cs="Times New Roman"/>
            <w:noProof/>
            <w:webHidden/>
          </w:rPr>
          <w:instrText xml:space="preserve"> PAGEREF _Toc428278255 \h </w:instrText>
        </w:r>
        <w:r w:rsidR="00A97099" w:rsidRPr="002F3E17">
          <w:rPr>
            <w:rFonts w:ascii="Times New Roman" w:hAnsi="Times New Roman" w:cs="Times New Roman"/>
            <w:noProof/>
            <w:webHidden/>
          </w:rPr>
        </w:r>
        <w:r w:rsidR="00A97099" w:rsidRPr="002F3E17">
          <w:rPr>
            <w:rFonts w:ascii="Times New Roman" w:hAnsi="Times New Roman" w:cs="Times New Roman"/>
            <w:noProof/>
            <w:webHidden/>
          </w:rPr>
          <w:fldChar w:fldCharType="separate"/>
        </w:r>
        <w:r w:rsidR="00A97099" w:rsidRPr="002F3E17">
          <w:rPr>
            <w:rFonts w:ascii="Times New Roman" w:hAnsi="Times New Roman" w:cs="Times New Roman"/>
            <w:noProof/>
            <w:webHidden/>
          </w:rPr>
          <w:t>8</w:t>
        </w:r>
        <w:r w:rsidR="00A97099" w:rsidRPr="002F3E17">
          <w:rPr>
            <w:rFonts w:ascii="Times New Roman" w:hAnsi="Times New Roman" w:cs="Times New Roman"/>
            <w:noProof/>
            <w:webHidden/>
          </w:rPr>
          <w:fldChar w:fldCharType="end"/>
        </w:r>
      </w:hyperlink>
    </w:p>
    <w:p w14:paraId="1CB09709" w14:textId="277C5AFE"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2</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3</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Sequencing effort, with units of log sequence reads, necessary to reach variable target sequencing depths (colors) for four different community structures, one with relatively high community evenness (A), relatively moderate community evenness (B), relatively low community evenness (C), and one with a lognormal community structure (D). Red translucent lines correspond with linear regression curves for the respective community in Figure 2.3E.</w:t>
        </w:r>
        <w:r w:rsidR="00A97099" w:rsidRPr="002F3E17">
          <w:rPr>
            <w:rFonts w:ascii="Times New Roman" w:hAnsi="Times New Roman" w:cs="Times New Roman"/>
            <w:noProof/>
            <w:webHidden/>
          </w:rPr>
          <w:tab/>
        </w:r>
        <w:r w:rsidR="002D432E">
          <w:rPr>
            <w:rFonts w:ascii="Times New Roman" w:hAnsi="Times New Roman" w:cs="Times New Roman"/>
            <w:noProof/>
            <w:webHidden/>
          </w:rPr>
          <w:t>69</w:t>
        </w:r>
      </w:hyperlink>
    </w:p>
    <w:p w14:paraId="3D9EF396" w14:textId="5D706DEE"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2</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4</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 xml:space="preserve">Numerical sequencing simulations applied to 6 hypothetical communities with different lognormal distributions that were defined by the parameter, </w:t>
        </w:r>
        <w:r w:rsidR="00883C2C" w:rsidRPr="002F3E17">
          <w:rPr>
            <w:rFonts w:ascii="Times New Roman" w:hAnsi="Times New Roman" w:cs="Times New Roman"/>
            <w:i/>
          </w:rPr>
          <w:t>a</w:t>
        </w:r>
        <w:r w:rsidR="00883C2C" w:rsidRPr="002F3E17">
          <w:rPr>
            <w:rFonts w:ascii="Times New Roman" w:hAnsi="Times New Roman" w:cs="Times New Roman"/>
          </w:rPr>
          <w:t>, from equation 2.7 (A). The sequencing effort, with units of log of sequence reads, necessary to sequence a target fraction of</w:t>
        </w:r>
        <m:oMath>
          <m:r>
            <m:rPr>
              <m:sty m:val="p"/>
            </m:rPr>
            <w:rPr>
              <w:rFonts w:ascii="Cambria Math" w:hAnsi="Cambria Math" w:cs="Times New Roman"/>
            </w:rPr>
            <m:t xml:space="preserve"> </m:t>
          </m:r>
        </m:oMath>
        <w:r w:rsidR="00883C2C" w:rsidRPr="002F3E17">
          <w:rPr>
            <w:rFonts w:ascii="Times New Roman" w:hAnsi="Times New Roman" w:cs="Times New Roman"/>
          </w:rPr>
          <w:t xml:space="preserve">exhaustion (dashed contours) as a function of the Pielou evenness index, </w:t>
        </w:r>
        <w:r w:rsidR="00883C2C" w:rsidRPr="002F3E17">
          <w:rPr>
            <w:rFonts w:ascii="Times New Roman" w:hAnsi="Times New Roman" w:cs="Times New Roman"/>
            <w:i/>
          </w:rPr>
          <w:t>J</w:t>
        </w:r>
        <w:r w:rsidR="00883C2C" w:rsidRPr="002F3E17">
          <w:rPr>
            <w:rFonts w:ascii="Times New Roman" w:hAnsi="Times New Roman" w:cs="Times New Roman"/>
          </w:rPr>
          <w:t>, for a given lognormal community structure (B).</w:t>
        </w:r>
        <w:r w:rsidR="00A97099" w:rsidRPr="002F3E17">
          <w:rPr>
            <w:rFonts w:ascii="Times New Roman" w:hAnsi="Times New Roman" w:cs="Times New Roman"/>
            <w:noProof/>
            <w:webHidden/>
          </w:rPr>
          <w:tab/>
        </w:r>
        <w:r w:rsidR="002D432E">
          <w:rPr>
            <w:rFonts w:ascii="Times New Roman" w:hAnsi="Times New Roman" w:cs="Times New Roman"/>
            <w:noProof/>
            <w:webHidden/>
          </w:rPr>
          <w:t>70</w:t>
        </w:r>
      </w:hyperlink>
    </w:p>
    <w:p w14:paraId="15F387A1" w14:textId="55511CC8"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2</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5</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Numerical sequencing simulations show the number of bases (color bar) required to sequence a target fraction of a genome as a function of that genome’s relative abundance in the community metagenome. Genomes evaluated were 0.5×10</w:t>
        </w:r>
        <w:r w:rsidR="00883C2C" w:rsidRPr="002F3E17">
          <w:rPr>
            <w:rFonts w:ascii="Times New Roman" w:hAnsi="Times New Roman" w:cs="Times New Roman"/>
            <w:vertAlign w:val="superscript"/>
          </w:rPr>
          <w:t>6</w:t>
        </w:r>
        <w:r w:rsidR="00883C2C" w:rsidRPr="002F3E17">
          <w:rPr>
            <w:rFonts w:ascii="Times New Roman" w:hAnsi="Times New Roman" w:cs="Times New Roman"/>
          </w:rPr>
          <w:t xml:space="preserve"> (A), 2×10</w:t>
        </w:r>
        <w:r w:rsidR="00883C2C" w:rsidRPr="002F3E17">
          <w:rPr>
            <w:rFonts w:ascii="Times New Roman" w:hAnsi="Times New Roman" w:cs="Times New Roman"/>
            <w:vertAlign w:val="superscript"/>
          </w:rPr>
          <w:t>6</w:t>
        </w:r>
        <w:r w:rsidR="00883C2C" w:rsidRPr="002F3E17">
          <w:rPr>
            <w:rFonts w:ascii="Times New Roman" w:hAnsi="Times New Roman" w:cs="Times New Roman"/>
          </w:rPr>
          <w:t xml:space="preserve"> (B), 5×10</w:t>
        </w:r>
        <w:r w:rsidR="00883C2C" w:rsidRPr="002F3E17">
          <w:rPr>
            <w:rFonts w:ascii="Times New Roman" w:hAnsi="Times New Roman" w:cs="Times New Roman"/>
            <w:vertAlign w:val="superscript"/>
          </w:rPr>
          <w:t xml:space="preserve">6 </w:t>
        </w:r>
        <w:r w:rsidR="00883C2C" w:rsidRPr="002F3E17">
          <w:rPr>
            <w:rFonts w:ascii="Times New Roman" w:hAnsi="Times New Roman" w:cs="Times New Roman"/>
          </w:rPr>
          <w:t>(C), 10×10</w:t>
        </w:r>
        <w:r w:rsidR="00883C2C" w:rsidRPr="002F3E17">
          <w:rPr>
            <w:rFonts w:ascii="Times New Roman" w:hAnsi="Times New Roman" w:cs="Times New Roman"/>
            <w:vertAlign w:val="superscript"/>
          </w:rPr>
          <w:t xml:space="preserve">6 </w:t>
        </w:r>
        <w:r w:rsidR="00883C2C" w:rsidRPr="002F3E17">
          <w:rPr>
            <w:rFonts w:ascii="Times New Roman" w:hAnsi="Times New Roman" w:cs="Times New Roman"/>
          </w:rPr>
          <w:t>(D), and 20×10</w:t>
        </w:r>
        <w:r w:rsidR="00883C2C" w:rsidRPr="002F3E17">
          <w:rPr>
            <w:rFonts w:ascii="Times New Roman" w:hAnsi="Times New Roman" w:cs="Times New Roman"/>
            <w:vertAlign w:val="superscript"/>
          </w:rPr>
          <w:t xml:space="preserve">6 </w:t>
        </w:r>
        <w:r w:rsidR="00883C2C" w:rsidRPr="002F3E17">
          <w:rPr>
            <w:rFonts w:ascii="Times New Roman" w:hAnsi="Times New Roman" w:cs="Times New Roman"/>
          </w:rPr>
          <w:t>(E) base pairs long.</w:t>
        </w:r>
        <w:r w:rsidR="00A97099" w:rsidRPr="002F3E17">
          <w:rPr>
            <w:rFonts w:ascii="Times New Roman" w:hAnsi="Times New Roman" w:cs="Times New Roman"/>
            <w:noProof/>
            <w:webHidden/>
          </w:rPr>
          <w:tab/>
        </w:r>
        <w:r w:rsidR="002D432E">
          <w:rPr>
            <w:rFonts w:ascii="Times New Roman" w:hAnsi="Times New Roman" w:cs="Times New Roman"/>
            <w:noProof/>
            <w:webHidden/>
          </w:rPr>
          <w:t>71</w:t>
        </w:r>
      </w:hyperlink>
    </w:p>
    <w:p w14:paraId="3AA6DF90" w14:textId="1B8A37BA"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2</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6</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 xml:space="preserve">The influence that the parameters </w:t>
        </w:r>
        <w:r w:rsidR="00883C2C" w:rsidRPr="002F3E17">
          <w:rPr>
            <w:rFonts w:ascii="Times New Roman" w:hAnsi="Times New Roman" w:cs="Times New Roman"/>
            <w:i/>
          </w:rPr>
          <w:t>A</w:t>
        </w:r>
        <w:r w:rsidR="00883C2C" w:rsidRPr="002F3E17">
          <w:rPr>
            <w:rFonts w:ascii="Times New Roman" w:hAnsi="Times New Roman" w:cs="Times New Roman"/>
          </w:rPr>
          <w:t xml:space="preserve">, </w:t>
        </w:r>
        <w:r w:rsidR="00883C2C" w:rsidRPr="002F3E17">
          <w:rPr>
            <w:rFonts w:ascii="Times New Roman" w:hAnsi="Times New Roman" w:cs="Times New Roman"/>
            <w:i/>
          </w:rPr>
          <w:t>µ</w:t>
        </w:r>
        <w:r w:rsidR="00883C2C" w:rsidRPr="002F3E17">
          <w:rPr>
            <w:rFonts w:ascii="Times New Roman" w:hAnsi="Times New Roman" w:cs="Times New Roman"/>
          </w:rPr>
          <w:t xml:space="preserve">, and </w:t>
        </w:r>
        <w:r w:rsidR="00883C2C" w:rsidRPr="002F3E17">
          <w:rPr>
            <w:rFonts w:ascii="Times New Roman" w:hAnsi="Times New Roman" w:cs="Times New Roman"/>
            <w:i/>
          </w:rPr>
          <w:t>λ</w:t>
        </w:r>
        <w:r w:rsidR="00883C2C" w:rsidRPr="002F3E17">
          <w:rPr>
            <w:rFonts w:ascii="Times New Roman" w:hAnsi="Times New Roman" w:cs="Times New Roman"/>
          </w:rPr>
          <w:t xml:space="preserve"> had on the Gompertz equation (A). The property of the Gompertz equation that each parameter influences is colored red. The sum of medium quality and high quality (quality MAGs) as a function of sequencing effort for the gut (B), soil (C), surface ocean (D), and sediment (E) communities. Solid lines in (B-E) correspond to nonlinear least squares fits of the Gompertz equation to the respective environmental dataset.</w:t>
        </w:r>
        <w:r w:rsidR="00A97099" w:rsidRPr="002F3E17">
          <w:rPr>
            <w:rFonts w:ascii="Times New Roman" w:hAnsi="Times New Roman" w:cs="Times New Roman"/>
            <w:noProof/>
            <w:webHidden/>
          </w:rPr>
          <w:tab/>
        </w:r>
        <w:r w:rsidR="002D432E">
          <w:rPr>
            <w:rFonts w:ascii="Times New Roman" w:hAnsi="Times New Roman" w:cs="Times New Roman"/>
            <w:noProof/>
            <w:webHidden/>
          </w:rPr>
          <w:t>72</w:t>
        </w:r>
      </w:hyperlink>
    </w:p>
    <w:p w14:paraId="2EDB7A5E" w14:textId="2B3CD1F7"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2</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7</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Quality MAGs (medium and high quality) as a function of rarest genome sequenced to 50% exhaustion for human gut, maize soil, estuarian sediment, and surface ocean sequence datasets. Sequencing effort was converted to genome relative abundance sequenced to target fraction using the GAM presented in Figure 2.5. The translucent shaded areas correspond to uncertainty from the target genome size (1 Mbp, or the lower-bound, to 20 Mbp, or the upper-bound) while the solid lines correspond to genome sizes 5 Mbp.</w:t>
        </w:r>
        <w:r w:rsidR="00A97099" w:rsidRPr="002F3E17">
          <w:rPr>
            <w:rFonts w:ascii="Times New Roman" w:hAnsi="Times New Roman" w:cs="Times New Roman"/>
            <w:noProof/>
            <w:webHidden/>
          </w:rPr>
          <w:tab/>
        </w:r>
        <w:r w:rsidR="002D432E">
          <w:rPr>
            <w:rFonts w:ascii="Times New Roman" w:hAnsi="Times New Roman" w:cs="Times New Roman"/>
            <w:noProof/>
            <w:webHidden/>
          </w:rPr>
          <w:t>73</w:t>
        </w:r>
      </w:hyperlink>
    </w:p>
    <w:p w14:paraId="34F246EF" w14:textId="29AE56BD"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2</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8</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color w:val="000000"/>
          </w:rPr>
          <w:t>A cartoon illustrating an example microbial community (</w:t>
        </w:r>
        <w:r w:rsidR="00883C2C" w:rsidRPr="002F3E17">
          <w:rPr>
            <w:rFonts w:ascii="Times New Roman" w:hAnsi="Times New Roman" w:cs="Times New Roman"/>
            <w:i/>
            <w:color w:val="000000"/>
          </w:rPr>
          <w:t>G</w:t>
        </w:r>
        <w:r w:rsidR="00883C2C" w:rsidRPr="002F3E17">
          <w:rPr>
            <w:rFonts w:ascii="Times New Roman" w:hAnsi="Times New Roman" w:cs="Times New Roman"/>
            <w:color w:val="000000"/>
          </w:rPr>
          <w:t>), the metagenomes for genomes (</w:t>
        </w:r>
        <w:r w:rsidR="00883C2C" w:rsidRPr="002F3E17">
          <w:rPr>
            <w:rFonts w:ascii="Times New Roman" w:hAnsi="Times New Roman" w:cs="Times New Roman"/>
            <w:i/>
            <w:color w:val="000000"/>
          </w:rPr>
          <w:t>g</w:t>
        </w:r>
        <w:r w:rsidR="00883C2C" w:rsidRPr="002F3E17">
          <w:rPr>
            <w:rFonts w:ascii="Times New Roman" w:hAnsi="Times New Roman" w:cs="Times New Roman"/>
            <w:color w:val="000000"/>
            <w:vertAlign w:val="subscript"/>
          </w:rPr>
          <w:t>MG,i</w:t>
        </w:r>
        <w:r w:rsidR="00883C2C" w:rsidRPr="002F3E17">
          <w:rPr>
            <w:rFonts w:ascii="Times New Roman" w:hAnsi="Times New Roman" w:cs="Times New Roman"/>
            <w:color w:val="000000"/>
          </w:rPr>
          <w:t xml:space="preserve">) (as defined in equation 2.2) within </w:t>
        </w:r>
        <w:r w:rsidR="00883C2C" w:rsidRPr="002F3E17">
          <w:rPr>
            <w:rFonts w:ascii="Times New Roman" w:hAnsi="Times New Roman" w:cs="Times New Roman"/>
            <w:i/>
            <w:color w:val="000000"/>
          </w:rPr>
          <w:t>G</w:t>
        </w:r>
        <w:r w:rsidR="00883C2C" w:rsidRPr="002F3E17">
          <w:rPr>
            <w:rFonts w:ascii="Times New Roman" w:hAnsi="Times New Roman" w:cs="Times New Roman"/>
            <w:color w:val="000000"/>
          </w:rPr>
          <w:t>, and the overall metagenome for the given microbial community (</w:t>
        </w:r>
        <w:r w:rsidR="00883C2C" w:rsidRPr="002F3E17">
          <w:rPr>
            <w:rFonts w:ascii="Times New Roman" w:hAnsi="Times New Roman" w:cs="Times New Roman"/>
            <w:i/>
            <w:color w:val="000000"/>
          </w:rPr>
          <w:t>G</w:t>
        </w:r>
        <w:r w:rsidR="00883C2C" w:rsidRPr="002F3E17">
          <w:rPr>
            <w:rFonts w:ascii="Times New Roman" w:hAnsi="Times New Roman" w:cs="Times New Roman"/>
            <w:color w:val="000000"/>
            <w:vertAlign w:val="subscript"/>
          </w:rPr>
          <w:t>MG</w:t>
        </w:r>
        <w:r w:rsidR="00883C2C" w:rsidRPr="002F3E17">
          <w:rPr>
            <w:rFonts w:ascii="Times New Roman" w:hAnsi="Times New Roman" w:cs="Times New Roman"/>
            <w:color w:val="000000"/>
          </w:rPr>
          <w:t>). In this example, there are 6 genomes (</w:t>
        </w:r>
        <w:r w:rsidR="00883C2C" w:rsidRPr="002F3E17">
          <w:rPr>
            <w:rFonts w:ascii="Times New Roman" w:hAnsi="Times New Roman" w:cs="Times New Roman"/>
            <w:i/>
            <w:color w:val="000000"/>
          </w:rPr>
          <w:t>s</w:t>
        </w:r>
        <w:r w:rsidR="00883C2C" w:rsidRPr="002F3E17">
          <w:rPr>
            <w:rFonts w:ascii="Times New Roman" w:hAnsi="Times New Roman" w:cs="Times New Roman"/>
            <w:color w:val="000000"/>
          </w:rPr>
          <w:t xml:space="preserve">=6) and a total of 13 individual microbes. (A) Black circles represent individual microbes whose genomes are averaged together, </w:t>
        </w:r>
        <w:r w:rsidR="00883C2C" w:rsidRPr="002F3E17">
          <w:rPr>
            <w:rFonts w:ascii="Times New Roman" w:hAnsi="Times New Roman" w:cs="Times New Roman"/>
            <w:i/>
            <w:color w:val="000000"/>
          </w:rPr>
          <w:t>g</w:t>
        </w:r>
        <w:r w:rsidR="00883C2C" w:rsidRPr="002F3E17">
          <w:rPr>
            <w:rFonts w:ascii="Times New Roman" w:hAnsi="Times New Roman" w:cs="Times New Roman"/>
            <w:color w:val="000000"/>
          </w:rPr>
          <w:t xml:space="preserve">. The average genome, </w:t>
        </w:r>
        <w:r w:rsidR="00883C2C" w:rsidRPr="002F3E17">
          <w:rPr>
            <w:rFonts w:ascii="Times New Roman" w:hAnsi="Times New Roman" w:cs="Times New Roman"/>
            <w:i/>
            <w:color w:val="000000"/>
          </w:rPr>
          <w:t>g</w:t>
        </w:r>
        <w:r w:rsidR="00883C2C" w:rsidRPr="002F3E17">
          <w:rPr>
            <w:rFonts w:ascii="Times New Roman" w:hAnsi="Times New Roman" w:cs="Times New Roman"/>
            <w:color w:val="000000"/>
          </w:rPr>
          <w:t xml:space="preserve">, are indicated by different color inner-circles. (B) Individual average genomes can be sequenced at </w:t>
        </w:r>
        <w:r w:rsidR="00883C2C" w:rsidRPr="002F3E17">
          <w:rPr>
            <w:rFonts w:ascii="Times New Roman" w:hAnsi="Times New Roman" w:cs="Times New Roman"/>
            <w:i/>
            <w:color w:val="000000"/>
          </w:rPr>
          <w:t>K</w:t>
        </w:r>
        <w:r w:rsidR="00883C2C" w:rsidRPr="002F3E17">
          <w:rPr>
            <w:rFonts w:ascii="Times New Roman" w:hAnsi="Times New Roman" w:cs="Times New Roman"/>
            <w:color w:val="000000"/>
          </w:rPr>
          <w:t xml:space="preserve"> unique positions depending on the characteristic read length, </w:t>
        </w:r>
        <w:r w:rsidR="00883C2C" w:rsidRPr="002F3E17">
          <w:rPr>
            <w:rFonts w:ascii="Times New Roman" w:hAnsi="Times New Roman" w:cs="Times New Roman"/>
            <w:i/>
            <w:color w:val="000000"/>
          </w:rPr>
          <w:t>k</w:t>
        </w:r>
        <w:r w:rsidR="00883C2C" w:rsidRPr="002F3E17">
          <w:rPr>
            <w:rFonts w:ascii="Times New Roman" w:hAnsi="Times New Roman" w:cs="Times New Roman"/>
            <w:color w:val="000000"/>
          </w:rPr>
          <w:t xml:space="preserve">, of a sequencer. (C) All unique positions that can be sequenced for a given genome, </w:t>
        </w:r>
        <w:r w:rsidR="00883C2C" w:rsidRPr="002F3E17">
          <w:rPr>
            <w:rFonts w:ascii="Times New Roman" w:hAnsi="Times New Roman" w:cs="Times New Roman"/>
            <w:i/>
            <w:color w:val="000000"/>
          </w:rPr>
          <w:t>g</w:t>
        </w:r>
        <w:r w:rsidR="00883C2C" w:rsidRPr="002F3E17">
          <w:rPr>
            <w:rFonts w:ascii="Times New Roman" w:hAnsi="Times New Roman" w:cs="Times New Roman"/>
            <w:color w:val="000000"/>
          </w:rPr>
          <w:t xml:space="preserve">, defines the metagenome, </w:t>
        </w:r>
        <w:r w:rsidR="00883C2C" w:rsidRPr="002F3E17">
          <w:rPr>
            <w:rFonts w:ascii="Times New Roman" w:hAnsi="Times New Roman" w:cs="Times New Roman"/>
            <w:i/>
            <w:color w:val="000000"/>
          </w:rPr>
          <w:t>g</w:t>
        </w:r>
        <w:r w:rsidR="00883C2C" w:rsidRPr="002F3E17">
          <w:rPr>
            <w:rFonts w:ascii="Times New Roman" w:hAnsi="Times New Roman" w:cs="Times New Roman"/>
            <w:color w:val="000000"/>
            <w:vertAlign w:val="subscript"/>
          </w:rPr>
          <w:t>MG</w:t>
        </w:r>
        <w:r w:rsidR="00883C2C" w:rsidRPr="002F3E17">
          <w:rPr>
            <w:rFonts w:ascii="Times New Roman" w:hAnsi="Times New Roman" w:cs="Times New Roman"/>
            <w:color w:val="000000"/>
          </w:rPr>
          <w:t xml:space="preserve">, for the </w:t>
        </w:r>
        <w:r w:rsidR="00883C2C" w:rsidRPr="002F3E17">
          <w:rPr>
            <w:rFonts w:ascii="Times New Roman" w:hAnsi="Times New Roman" w:cs="Times New Roman"/>
            <w:i/>
            <w:color w:val="000000"/>
          </w:rPr>
          <w:t>i</w:t>
        </w:r>
        <w:r w:rsidR="00883C2C" w:rsidRPr="002F3E17">
          <w:rPr>
            <w:rFonts w:ascii="Times New Roman" w:hAnsi="Times New Roman" w:cs="Times New Roman"/>
            <w:color w:val="000000"/>
            <w:vertAlign w:val="superscript"/>
          </w:rPr>
          <w:t>th</w:t>
        </w:r>
        <w:r w:rsidR="00883C2C" w:rsidRPr="002F3E17">
          <w:rPr>
            <w:rFonts w:ascii="Times New Roman" w:hAnsi="Times New Roman" w:cs="Times New Roman"/>
            <w:color w:val="000000"/>
          </w:rPr>
          <w:t xml:space="preserve"> genome, </w:t>
        </w:r>
        <w:r w:rsidR="00883C2C" w:rsidRPr="002F3E17">
          <w:rPr>
            <w:rFonts w:ascii="Times New Roman" w:hAnsi="Times New Roman" w:cs="Times New Roman"/>
            <w:i/>
            <w:color w:val="000000"/>
          </w:rPr>
          <w:t>g</w:t>
        </w:r>
        <w:r w:rsidR="00883C2C" w:rsidRPr="002F3E17">
          <w:rPr>
            <w:rFonts w:ascii="Times New Roman" w:hAnsi="Times New Roman" w:cs="Times New Roman"/>
            <w:i/>
            <w:color w:val="000000"/>
            <w:vertAlign w:val="subscript"/>
          </w:rPr>
          <w:t>i</w:t>
        </w:r>
        <w:r w:rsidR="00883C2C" w:rsidRPr="002F3E17">
          <w:rPr>
            <w:rFonts w:ascii="Times New Roman" w:hAnsi="Times New Roman" w:cs="Times New Roman"/>
            <w:color w:val="000000"/>
          </w:rPr>
          <w:t xml:space="preserve">. (D) Replacing all individual </w:t>
        </w:r>
        <w:r w:rsidR="00883C2C" w:rsidRPr="002F3E17">
          <w:rPr>
            <w:rFonts w:ascii="Times New Roman" w:hAnsi="Times New Roman" w:cs="Times New Roman"/>
            <w:color w:val="000000"/>
          </w:rPr>
          <w:lastRenderedPageBreak/>
          <w:t xml:space="preserve">genomes in (A) with metagenomes, </w:t>
        </w:r>
        <w:r w:rsidR="00883C2C" w:rsidRPr="002F3E17">
          <w:rPr>
            <w:rFonts w:ascii="Times New Roman" w:hAnsi="Times New Roman" w:cs="Times New Roman"/>
            <w:i/>
            <w:color w:val="000000"/>
          </w:rPr>
          <w:t>g</w:t>
        </w:r>
        <w:r w:rsidR="00883C2C" w:rsidRPr="002F3E17">
          <w:rPr>
            <w:rFonts w:ascii="Times New Roman" w:hAnsi="Times New Roman" w:cs="Times New Roman"/>
            <w:color w:val="000000"/>
            <w:vertAlign w:val="subscript"/>
          </w:rPr>
          <w:t>MG</w:t>
        </w:r>
        <w:r w:rsidR="00883C2C" w:rsidRPr="002F3E17">
          <w:rPr>
            <w:rFonts w:ascii="Times New Roman" w:hAnsi="Times New Roman" w:cs="Times New Roman"/>
            <w:color w:val="000000"/>
          </w:rPr>
          <w:t xml:space="preserve">, gives the metagenome of the microbial community, </w:t>
        </w:r>
        <w:r w:rsidR="00883C2C" w:rsidRPr="002F3E17">
          <w:rPr>
            <w:rFonts w:ascii="Times New Roman" w:hAnsi="Times New Roman" w:cs="Times New Roman"/>
            <w:i/>
            <w:color w:val="000000"/>
          </w:rPr>
          <w:t>G</w:t>
        </w:r>
        <w:r w:rsidR="00883C2C" w:rsidRPr="002F3E17">
          <w:rPr>
            <w:rFonts w:ascii="Times New Roman" w:hAnsi="Times New Roman" w:cs="Times New Roman"/>
            <w:color w:val="000000"/>
            <w:vertAlign w:val="subscript"/>
          </w:rPr>
          <w:t>MG</w:t>
        </w:r>
        <w:r w:rsidR="00883C2C" w:rsidRPr="002F3E17">
          <w:rPr>
            <w:rFonts w:ascii="Times New Roman" w:hAnsi="Times New Roman" w:cs="Times New Roman"/>
            <w:color w:val="000000"/>
          </w:rPr>
          <w:t>.</w:t>
        </w:r>
        <w:r w:rsidR="00A97099" w:rsidRPr="002F3E17">
          <w:rPr>
            <w:rFonts w:ascii="Times New Roman" w:hAnsi="Times New Roman" w:cs="Times New Roman"/>
            <w:noProof/>
            <w:webHidden/>
          </w:rPr>
          <w:tab/>
        </w:r>
        <w:r w:rsidR="002D432E">
          <w:rPr>
            <w:rFonts w:ascii="Times New Roman" w:hAnsi="Times New Roman" w:cs="Times New Roman"/>
            <w:noProof/>
            <w:webHidden/>
          </w:rPr>
          <w:t>74</w:t>
        </w:r>
      </w:hyperlink>
    </w:p>
    <w:p w14:paraId="4D98100C" w14:textId="703F9DD0"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3.1. </w:t>
        </w:r>
        <w:r w:rsidR="00883C2C" w:rsidRPr="002F3E17">
          <w:rPr>
            <w:rFonts w:ascii="Times New Roman" w:hAnsi="Times New Roman" w:cs="Times New Roman"/>
          </w:rPr>
          <w:t>The interplay between environmental parameters and microbial community composition requires an understanding of both community taxa abundances as well as trait levels for respective taxa (A). Community taxa abundance and relative trait level are scalable and provide a measure for the contribution that different taxa have to the total community level trait (B).</w:t>
        </w:r>
        <w:r w:rsidR="00A97099" w:rsidRPr="002F3E17">
          <w:rPr>
            <w:rFonts w:ascii="Times New Roman" w:hAnsi="Times New Roman" w:cs="Times New Roman"/>
            <w:noProof/>
            <w:webHidden/>
          </w:rPr>
          <w:tab/>
        </w:r>
        <w:r w:rsidR="002D432E">
          <w:rPr>
            <w:rFonts w:ascii="Times New Roman" w:hAnsi="Times New Roman" w:cs="Times New Roman"/>
            <w:noProof/>
            <w:webHidden/>
          </w:rPr>
          <w:t>101</w:t>
        </w:r>
      </w:hyperlink>
    </w:p>
    <w:p w14:paraId="5DAC724D" w14:textId="75574EDD"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Figure 3.</w:t>
        </w:r>
        <w:r w:rsidR="00293346" w:rsidRPr="002F3E17">
          <w:rPr>
            <w:rStyle w:val="Hyperlink"/>
            <w:rFonts w:ascii="Times New Roman" w:hAnsi="Times New Roman" w:cs="Times New Roman"/>
            <w:noProof/>
          </w:rPr>
          <w:t>2</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 xml:space="preserve">The sensitivity in functional redundancy in response changing </w:t>
        </w:r>
        <w:r w:rsidR="00883C2C" w:rsidRPr="002F3E17">
          <w:rPr>
            <w:rFonts w:ascii="Times New Roman" w:hAnsi="Times New Roman" w:cs="Times New Roman"/>
            <w:i/>
          </w:rPr>
          <w:t>α</w:t>
        </w:r>
        <w:r w:rsidR="00883C2C" w:rsidRPr="002F3E17">
          <w:rPr>
            <w:rFonts w:ascii="Times New Roman" w:hAnsi="Times New Roman" w:cs="Times New Roman"/>
          </w:rPr>
          <w:t xml:space="preserve"> in equation 3.5 (</w:t>
        </w:r>
        <w:r w:rsidR="00883C2C" w:rsidRPr="002F3E17">
          <w:rPr>
            <w:rFonts w:ascii="Times New Roman" w:hAnsi="Times New Roman" w:cs="Times New Roman"/>
            <w:bCs/>
          </w:rPr>
          <w:t>A</w:t>
        </w:r>
        <w:r w:rsidR="00883C2C" w:rsidRPr="002F3E17">
          <w:rPr>
            <w:rFonts w:ascii="Times New Roman" w:hAnsi="Times New Roman" w:cs="Times New Roman"/>
          </w:rPr>
          <w:t>). Contours correspond to increasing community richness (</w:t>
        </w:r>
        <w:r w:rsidR="00883C2C" w:rsidRPr="002F3E17">
          <w:rPr>
            <w:rFonts w:ascii="Times New Roman" w:hAnsi="Times New Roman" w:cs="Times New Roman"/>
            <w:i/>
          </w:rPr>
          <w:t>n</w:t>
        </w:r>
        <w:r w:rsidR="00883C2C" w:rsidRPr="002F3E17">
          <w:rPr>
            <w:rFonts w:ascii="Times New Roman" w:hAnsi="Times New Roman" w:cs="Times New Roman"/>
          </w:rPr>
          <w:t>) while maintaining the structure of the trait-containing community. Comparisons between contours from (</w:t>
        </w:r>
        <w:r w:rsidR="00883C2C" w:rsidRPr="002F3E17">
          <w:rPr>
            <w:rFonts w:ascii="Times New Roman" w:hAnsi="Times New Roman" w:cs="Times New Roman"/>
            <w:bCs/>
          </w:rPr>
          <w:t>A</w:t>
        </w:r>
        <w:r w:rsidR="00883C2C" w:rsidRPr="002F3E17">
          <w:rPr>
            <w:rFonts w:ascii="Times New Roman" w:hAnsi="Times New Roman" w:cs="Times New Roman"/>
          </w:rPr>
          <w:t xml:space="preserve">) when </w:t>
        </w:r>
        <w:r w:rsidR="00883C2C" w:rsidRPr="002F3E17">
          <w:rPr>
            <w:rFonts w:ascii="Times New Roman" w:hAnsi="Times New Roman" w:cs="Times New Roman"/>
            <w:i/>
          </w:rPr>
          <w:t>α</w:t>
        </w:r>
        <w:r w:rsidR="00883C2C" w:rsidRPr="002F3E17">
          <w:rPr>
            <w:rFonts w:ascii="Times New Roman" w:hAnsi="Times New Roman" w:cs="Times New Roman"/>
          </w:rPr>
          <w:t xml:space="preserve">=0.5 and </w:t>
        </w:r>
        <w:r w:rsidR="00883C2C" w:rsidRPr="002F3E17">
          <w:rPr>
            <w:rFonts w:ascii="Times New Roman" w:hAnsi="Times New Roman" w:cs="Times New Roman"/>
            <w:i/>
          </w:rPr>
          <w:t>α</w:t>
        </w:r>
        <w:r w:rsidR="00883C2C" w:rsidRPr="002F3E17">
          <w:rPr>
            <w:rFonts w:ascii="Times New Roman" w:hAnsi="Times New Roman" w:cs="Times New Roman"/>
          </w:rPr>
          <w:t>=2 (</w:t>
        </w:r>
        <w:r w:rsidR="00883C2C" w:rsidRPr="002F3E17">
          <w:rPr>
            <w:rFonts w:ascii="Times New Roman" w:hAnsi="Times New Roman" w:cs="Times New Roman"/>
            <w:bCs/>
          </w:rPr>
          <w:t>B</w:t>
        </w:r>
        <w:r w:rsidR="00883C2C" w:rsidRPr="002F3E17">
          <w:rPr>
            <w:rFonts w:ascii="Times New Roman" w:hAnsi="Times New Roman" w:cs="Times New Roman"/>
          </w:rPr>
          <w:t xml:space="preserve">) as well as when </w:t>
        </w:r>
        <w:r w:rsidR="00883C2C" w:rsidRPr="002F3E17">
          <w:rPr>
            <w:rFonts w:ascii="Times New Roman" w:hAnsi="Times New Roman" w:cs="Times New Roman"/>
            <w:i/>
          </w:rPr>
          <w:t>α</w:t>
        </w:r>
        <w:r w:rsidR="00883C2C" w:rsidRPr="002F3E17">
          <w:rPr>
            <w:rFonts w:ascii="Times New Roman" w:hAnsi="Times New Roman" w:cs="Times New Roman"/>
          </w:rPr>
          <w:t xml:space="preserve">=0.5 and </w:t>
        </w:r>
        <w:r w:rsidR="00883C2C" w:rsidRPr="002F3E17">
          <w:rPr>
            <w:rFonts w:ascii="Times New Roman" w:hAnsi="Times New Roman" w:cs="Times New Roman"/>
            <w:i/>
          </w:rPr>
          <w:t>α</w:t>
        </w:r>
        <w:r w:rsidR="00883C2C" w:rsidRPr="002F3E17">
          <w:rPr>
            <w:rFonts w:ascii="Times New Roman" w:hAnsi="Times New Roman" w:cs="Times New Roman"/>
          </w:rPr>
          <w:t>=1 (</w:t>
        </w:r>
        <w:r w:rsidR="00883C2C" w:rsidRPr="002F3E17">
          <w:rPr>
            <w:rFonts w:ascii="Times New Roman" w:hAnsi="Times New Roman" w:cs="Times New Roman"/>
            <w:bCs/>
          </w:rPr>
          <w:t>C</w:t>
        </w:r>
        <w:r w:rsidR="00883C2C" w:rsidRPr="002F3E17">
          <w:rPr>
            <w:rFonts w:ascii="Times New Roman" w:hAnsi="Times New Roman" w:cs="Times New Roman"/>
          </w:rPr>
          <w:t>).</w:t>
        </w:r>
        <w:r w:rsidR="00A97099" w:rsidRPr="002F3E17">
          <w:rPr>
            <w:rFonts w:ascii="Times New Roman" w:hAnsi="Times New Roman" w:cs="Times New Roman"/>
            <w:noProof/>
            <w:webHidden/>
          </w:rPr>
          <w:tab/>
        </w:r>
        <w:r w:rsidR="002D432E">
          <w:rPr>
            <w:rFonts w:ascii="Times New Roman" w:hAnsi="Times New Roman" w:cs="Times New Roman"/>
            <w:noProof/>
            <w:webHidden/>
          </w:rPr>
          <w:t>102</w:t>
        </w:r>
      </w:hyperlink>
    </w:p>
    <w:p w14:paraId="3BA9DAED" w14:textId="01C3B154"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Figure 3.</w:t>
        </w:r>
        <w:r w:rsidR="00293346" w:rsidRPr="002F3E17">
          <w:rPr>
            <w:rStyle w:val="Hyperlink"/>
            <w:rFonts w:ascii="Times New Roman" w:hAnsi="Times New Roman" w:cs="Times New Roman"/>
            <w:noProof/>
          </w:rPr>
          <w:t>3</w:t>
        </w:r>
        <w:r w:rsidR="00A97099" w:rsidRPr="002F3E17">
          <w:rPr>
            <w:rStyle w:val="Hyperlink"/>
            <w:rFonts w:ascii="Times New Roman" w:hAnsi="Times New Roman" w:cs="Times New Roman"/>
            <w:noProof/>
          </w:rPr>
          <w:t xml:space="preserve">. </w:t>
        </w:r>
        <w:r w:rsidR="00883C2C" w:rsidRPr="002F3E17">
          <w:rPr>
            <w:rFonts w:ascii="Times New Roman" w:hAnsi="Times New Roman" w:cs="Times New Roman"/>
          </w:rPr>
          <w:t xml:space="preserve">The dynamic range in functional redundancy for randomly generated artificial communities as a function of </w:t>
        </w:r>
        <w:r w:rsidR="00883C2C" w:rsidRPr="002F3E17">
          <w:rPr>
            <w:rFonts w:ascii="Times New Roman" w:hAnsi="Times New Roman" w:cs="Times New Roman"/>
            <w:i/>
          </w:rPr>
          <w:t>α</w:t>
        </w:r>
        <w:r w:rsidR="00883C2C" w:rsidRPr="002F3E17">
          <w:rPr>
            <w:rFonts w:ascii="Times New Roman" w:hAnsi="Times New Roman" w:cs="Times New Roman"/>
          </w:rPr>
          <w:t xml:space="preserve"> selected for equation 3.5. Contours correspond to the fraction of the community containing a trait. Note that at </w:t>
        </w:r>
        <w:r w:rsidR="00883C2C" w:rsidRPr="002F3E17">
          <w:rPr>
            <w:rFonts w:ascii="Times New Roman" w:hAnsi="Times New Roman" w:cs="Times New Roman"/>
            <w:i/>
          </w:rPr>
          <w:t>α</w:t>
        </w:r>
        <w:r w:rsidR="00883C2C" w:rsidRPr="002F3E17">
          <w:rPr>
            <w:rFonts w:ascii="Times New Roman" w:hAnsi="Times New Roman" w:cs="Times New Roman"/>
          </w:rPr>
          <w:t xml:space="preserve"> = 1 and the fraction of community was 20%, the dynamic range was smoothed due to precision error from the log-transformation in equation 3.5 when calculating function redundancy. All other data reflect results from artificial communities.</w:t>
        </w:r>
        <w:bookmarkStart w:id="6" w:name="_GoBack"/>
        <w:bookmarkEnd w:id="6"/>
        <w:r w:rsidR="00A97099" w:rsidRPr="002F3E17">
          <w:rPr>
            <w:rFonts w:ascii="Times New Roman" w:hAnsi="Times New Roman" w:cs="Times New Roman"/>
            <w:noProof/>
            <w:webHidden/>
          </w:rPr>
          <w:tab/>
        </w:r>
        <w:r w:rsidR="002D432E">
          <w:rPr>
            <w:rFonts w:ascii="Times New Roman" w:hAnsi="Times New Roman" w:cs="Times New Roman"/>
            <w:noProof/>
            <w:webHidden/>
          </w:rPr>
          <w:t>103</w:t>
        </w:r>
      </w:hyperlink>
    </w:p>
    <w:p w14:paraId="7E407F99" w14:textId="59CD7E03"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Figure 3.</w:t>
        </w:r>
        <w:r w:rsidR="00293346" w:rsidRPr="002F3E17">
          <w:rPr>
            <w:rStyle w:val="Hyperlink"/>
            <w:rFonts w:ascii="Times New Roman" w:hAnsi="Times New Roman" w:cs="Times New Roman"/>
            <w:noProof/>
          </w:rPr>
          <w:t>4</w:t>
        </w:r>
        <w:r w:rsidR="00A97099" w:rsidRPr="002F3E17">
          <w:rPr>
            <w:rStyle w:val="Hyperlink"/>
            <w:rFonts w:ascii="Times New Roman" w:hAnsi="Times New Roman" w:cs="Times New Roman"/>
            <w:noProof/>
          </w:rPr>
          <w:t xml:space="preserve">. </w:t>
        </w:r>
        <w:r w:rsidR="005061E0" w:rsidRPr="002F3E17">
          <w:rPr>
            <w:rFonts w:ascii="Times New Roman" w:hAnsi="Times New Roman" w:cs="Times New Roman"/>
          </w:rPr>
          <w:t>A comparison of functional redundancy versus the fraction of community richness that goes randomly extinct prior to a 95% of trait level being lost on the community level. Functional redundancy was calculated with equations 3.1-3.7 (α=0.5) (</w:t>
        </w:r>
        <w:r w:rsidR="005061E0" w:rsidRPr="002F3E17">
          <w:rPr>
            <w:rFonts w:ascii="Times New Roman" w:hAnsi="Times New Roman" w:cs="Times New Roman"/>
            <w:bCs/>
          </w:rPr>
          <w:t>A</w:t>
        </w:r>
        <w:r w:rsidR="005061E0" w:rsidRPr="002F3E17">
          <w:rPr>
            <w:rFonts w:ascii="Times New Roman" w:hAnsi="Times New Roman" w:cs="Times New Roman"/>
          </w:rPr>
          <w:t>) as well as using the method in</w:t>
        </w:r>
        <w:r w:rsidR="00DD34E3">
          <w:rPr>
            <w:rFonts w:ascii="Times New Roman" w:hAnsi="Times New Roman" w:cs="Times New Roman"/>
          </w:rPr>
          <w:t xml:space="preserve"> (9</w:t>
        </w:r>
        <w:r w:rsidR="009B0F6D">
          <w:rPr>
            <w:rFonts w:ascii="Times New Roman" w:hAnsi="Times New Roman" w:cs="Times New Roman"/>
          </w:rPr>
          <w:t>1</w:t>
        </w:r>
        <w:r w:rsidR="00DD34E3">
          <w:rPr>
            <w:rFonts w:ascii="Times New Roman" w:hAnsi="Times New Roman" w:cs="Times New Roman"/>
          </w:rPr>
          <w:t>)</w:t>
        </w:r>
        <w:r w:rsidR="005061E0" w:rsidRPr="002F3E17">
          <w:rPr>
            <w:rFonts w:ascii="Times New Roman" w:hAnsi="Times New Roman" w:cs="Times New Roman"/>
          </w:rPr>
          <w:t xml:space="preserve"> (</w:t>
        </w:r>
        <w:r w:rsidR="005061E0" w:rsidRPr="002F3E17">
          <w:rPr>
            <w:rFonts w:ascii="Times New Roman" w:hAnsi="Times New Roman" w:cs="Times New Roman"/>
            <w:bCs/>
          </w:rPr>
          <w:t>B</w:t>
        </w:r>
        <w:r w:rsidR="005061E0" w:rsidRPr="002F3E17">
          <w:rPr>
            <w:rFonts w:ascii="Times New Roman" w:hAnsi="Times New Roman" w:cs="Times New Roman"/>
          </w:rPr>
          <w:t>).</w:t>
        </w:r>
        <w:r w:rsidR="00A97099" w:rsidRPr="002F3E17">
          <w:rPr>
            <w:rFonts w:ascii="Times New Roman" w:hAnsi="Times New Roman" w:cs="Times New Roman"/>
            <w:noProof/>
            <w:webHidden/>
          </w:rPr>
          <w:tab/>
        </w:r>
        <w:r w:rsidR="002D432E">
          <w:rPr>
            <w:rFonts w:ascii="Times New Roman" w:hAnsi="Times New Roman" w:cs="Times New Roman"/>
            <w:noProof/>
            <w:webHidden/>
          </w:rPr>
          <w:t>104</w:t>
        </w:r>
      </w:hyperlink>
    </w:p>
    <w:p w14:paraId="0B6C180E" w14:textId="18BAF40E"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Figure 3.</w:t>
        </w:r>
        <w:r w:rsidR="00293346" w:rsidRPr="002F3E17">
          <w:rPr>
            <w:rStyle w:val="Hyperlink"/>
            <w:rFonts w:ascii="Times New Roman" w:hAnsi="Times New Roman" w:cs="Times New Roman"/>
            <w:noProof/>
          </w:rPr>
          <w:t>5</w:t>
        </w:r>
        <w:r w:rsidR="00A97099" w:rsidRPr="002F3E17">
          <w:rPr>
            <w:rStyle w:val="Hyperlink"/>
            <w:rFonts w:ascii="Times New Roman" w:hAnsi="Times New Roman" w:cs="Times New Roman"/>
            <w:noProof/>
          </w:rPr>
          <w:t xml:space="preserve">. </w:t>
        </w:r>
        <w:r w:rsidR="005061E0" w:rsidRPr="002F3E17">
          <w:rPr>
            <w:rFonts w:ascii="Times New Roman" w:hAnsi="Times New Roman" w:cs="Times New Roman"/>
          </w:rPr>
          <w:t>Same as Figure 3.4A but functional redundancy was calculated with equations 3.1-3.7 such that α=0.1 (A), α=1 (B), and α=2 (C).</w:t>
        </w:r>
        <w:r w:rsidR="00A97099" w:rsidRPr="002F3E17">
          <w:rPr>
            <w:rFonts w:ascii="Times New Roman" w:hAnsi="Times New Roman" w:cs="Times New Roman"/>
            <w:noProof/>
            <w:webHidden/>
          </w:rPr>
          <w:tab/>
        </w:r>
        <w:r w:rsidR="002D432E">
          <w:rPr>
            <w:rFonts w:ascii="Times New Roman" w:hAnsi="Times New Roman" w:cs="Times New Roman"/>
            <w:noProof/>
            <w:webHidden/>
          </w:rPr>
          <w:t>105</w:t>
        </w:r>
      </w:hyperlink>
    </w:p>
    <w:p w14:paraId="4CE39425" w14:textId="7E80CACC"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Figure 3.</w:t>
        </w:r>
        <w:r w:rsidR="00293346" w:rsidRPr="002F3E17">
          <w:rPr>
            <w:rStyle w:val="Hyperlink"/>
            <w:rFonts w:ascii="Times New Roman" w:hAnsi="Times New Roman" w:cs="Times New Roman"/>
            <w:noProof/>
          </w:rPr>
          <w:t>6</w:t>
        </w:r>
        <w:r w:rsidR="00A97099" w:rsidRPr="002F3E17">
          <w:rPr>
            <w:rStyle w:val="Hyperlink"/>
            <w:rFonts w:ascii="Times New Roman" w:hAnsi="Times New Roman" w:cs="Times New Roman"/>
            <w:noProof/>
          </w:rPr>
          <w:t xml:space="preserve">. </w:t>
        </w:r>
        <w:r w:rsidR="005061E0" w:rsidRPr="002F3E17">
          <w:rPr>
            <w:rFonts w:ascii="Times New Roman" w:hAnsi="Times New Roman" w:cs="Times New Roman"/>
          </w:rPr>
          <w:t xml:space="preserve">Boxplots showing functional redundancy calculated for eight nitrogen-transforming pathways in </w:t>
        </w:r>
        <w:r w:rsidR="005061E0" w:rsidRPr="002F3E17">
          <w:rPr>
            <w:rFonts w:ascii="Times New Roman" w:hAnsi="Times New Roman" w:cs="Times New Roman"/>
            <w:i/>
          </w:rPr>
          <w:t>TARA Oceans</w:t>
        </w:r>
        <w:r w:rsidR="005061E0" w:rsidRPr="002F3E17">
          <w:rPr>
            <w:rFonts w:ascii="Times New Roman" w:hAnsi="Times New Roman" w:cs="Times New Roman"/>
          </w:rPr>
          <w:t xml:space="preserve"> draft MAGs. Different colors correspond to sample depth. Whiskers correspond to 150% of the inter-quantile region.</w:t>
        </w:r>
        <w:r w:rsidR="00A97099" w:rsidRPr="002F3E17">
          <w:rPr>
            <w:rFonts w:ascii="Times New Roman" w:hAnsi="Times New Roman" w:cs="Times New Roman"/>
            <w:noProof/>
            <w:webHidden/>
          </w:rPr>
          <w:tab/>
        </w:r>
        <w:r w:rsidR="002D432E">
          <w:rPr>
            <w:rFonts w:ascii="Times New Roman" w:hAnsi="Times New Roman" w:cs="Times New Roman"/>
            <w:noProof/>
            <w:webHidden/>
          </w:rPr>
          <w:t>106</w:t>
        </w:r>
      </w:hyperlink>
    </w:p>
    <w:p w14:paraId="51B73F15" w14:textId="0E97814C"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4</w:t>
        </w:r>
        <w:r w:rsidR="00A97099" w:rsidRPr="002F3E17">
          <w:rPr>
            <w:rStyle w:val="Hyperlink"/>
            <w:rFonts w:ascii="Times New Roman" w:hAnsi="Times New Roman" w:cs="Times New Roman"/>
            <w:noProof/>
          </w:rPr>
          <w:t xml:space="preserve">.1. </w:t>
        </w:r>
        <w:r w:rsidR="005061E0" w:rsidRPr="002F3E17">
          <w:rPr>
            <w:rFonts w:ascii="Times New Roman" w:hAnsi="Times New Roman" w:cs="Times New Roman"/>
          </w:rPr>
          <w:t>A flow diagram showing sample processing and analyzes performed on sediments.</w:t>
        </w:r>
        <w:r w:rsidR="00A97099" w:rsidRPr="002F3E17">
          <w:rPr>
            <w:rFonts w:ascii="Times New Roman" w:hAnsi="Times New Roman" w:cs="Times New Roman"/>
            <w:noProof/>
            <w:webHidden/>
          </w:rPr>
          <w:tab/>
        </w:r>
        <w:r w:rsidR="002D432E">
          <w:rPr>
            <w:rFonts w:ascii="Times New Roman" w:hAnsi="Times New Roman" w:cs="Times New Roman"/>
            <w:noProof/>
            <w:webHidden/>
          </w:rPr>
          <w:t>13</w:t>
        </w:r>
        <w:r w:rsidR="00A97099" w:rsidRPr="002F3E17">
          <w:rPr>
            <w:rFonts w:ascii="Times New Roman" w:hAnsi="Times New Roman" w:cs="Times New Roman"/>
            <w:noProof/>
            <w:webHidden/>
          </w:rPr>
          <w:fldChar w:fldCharType="begin"/>
        </w:r>
        <w:r w:rsidR="00A97099" w:rsidRPr="002F3E17">
          <w:rPr>
            <w:rFonts w:ascii="Times New Roman" w:hAnsi="Times New Roman" w:cs="Times New Roman"/>
            <w:noProof/>
            <w:webHidden/>
          </w:rPr>
          <w:instrText xml:space="preserve"> PAGEREF _Toc428278255 \h </w:instrText>
        </w:r>
        <w:r w:rsidR="00A97099" w:rsidRPr="002F3E17">
          <w:rPr>
            <w:rFonts w:ascii="Times New Roman" w:hAnsi="Times New Roman" w:cs="Times New Roman"/>
            <w:noProof/>
            <w:webHidden/>
          </w:rPr>
        </w:r>
        <w:r w:rsidR="00A97099" w:rsidRPr="002F3E17">
          <w:rPr>
            <w:rFonts w:ascii="Times New Roman" w:hAnsi="Times New Roman" w:cs="Times New Roman"/>
            <w:noProof/>
            <w:webHidden/>
          </w:rPr>
          <w:fldChar w:fldCharType="separate"/>
        </w:r>
        <w:r w:rsidR="00A97099" w:rsidRPr="002F3E17">
          <w:rPr>
            <w:rFonts w:ascii="Times New Roman" w:hAnsi="Times New Roman" w:cs="Times New Roman"/>
            <w:noProof/>
            <w:webHidden/>
          </w:rPr>
          <w:t>8</w:t>
        </w:r>
        <w:r w:rsidR="00A97099" w:rsidRPr="002F3E17">
          <w:rPr>
            <w:rFonts w:ascii="Times New Roman" w:hAnsi="Times New Roman" w:cs="Times New Roman"/>
            <w:noProof/>
            <w:webHidden/>
          </w:rPr>
          <w:fldChar w:fldCharType="end"/>
        </w:r>
      </w:hyperlink>
    </w:p>
    <w:p w14:paraId="7DFBFB31" w14:textId="111C74EB"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4</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2</w:t>
        </w:r>
        <w:r w:rsidR="00A97099" w:rsidRPr="002F3E17">
          <w:rPr>
            <w:rStyle w:val="Hyperlink"/>
            <w:rFonts w:ascii="Times New Roman" w:hAnsi="Times New Roman" w:cs="Times New Roman"/>
            <w:noProof/>
          </w:rPr>
          <w:t xml:space="preserve">. </w:t>
        </w:r>
        <w:r w:rsidR="005061E0" w:rsidRPr="002F3E17">
          <w:rPr>
            <w:rFonts w:ascii="Times New Roman" w:hAnsi="Times New Roman" w:cs="Times New Roman"/>
          </w:rPr>
          <w:t>Porewater concentration profiles (mM) for Br</w:t>
        </w:r>
        <w:r w:rsidR="005061E0" w:rsidRPr="002F3E17">
          <w:rPr>
            <w:rFonts w:ascii="Times New Roman" w:hAnsi="Times New Roman" w:cs="Times New Roman"/>
            <w:vertAlign w:val="superscript"/>
          </w:rPr>
          <w:t>-</w:t>
        </w:r>
        <w:r w:rsidR="005061E0" w:rsidRPr="002F3E17">
          <w:rPr>
            <w:rFonts w:ascii="Times New Roman" w:hAnsi="Times New Roman" w:cs="Times New Roman"/>
          </w:rPr>
          <w:t xml:space="preserve"> (A), Br</w:t>
        </w:r>
        <w:r w:rsidR="005061E0" w:rsidRPr="002F3E17">
          <w:rPr>
            <w:rFonts w:ascii="Times New Roman" w:hAnsi="Times New Roman" w:cs="Times New Roman"/>
            <w:vertAlign w:val="superscript"/>
          </w:rPr>
          <w:t>-</w:t>
        </w:r>
        <w:r w:rsidR="005061E0" w:rsidRPr="002F3E17">
          <w:rPr>
            <w:rFonts w:ascii="Times New Roman" w:hAnsi="Times New Roman" w:cs="Times New Roman"/>
          </w:rPr>
          <w:t xml:space="preserve"> (A), Ca</w:t>
        </w:r>
        <w:r w:rsidR="005061E0" w:rsidRPr="002F3E17">
          <w:rPr>
            <w:rFonts w:ascii="Times New Roman" w:hAnsi="Times New Roman" w:cs="Times New Roman"/>
            <w:vertAlign w:val="superscript"/>
          </w:rPr>
          <w:t>2+</w:t>
        </w:r>
        <w:r w:rsidR="005061E0" w:rsidRPr="002F3E17">
          <w:rPr>
            <w:rFonts w:ascii="Times New Roman" w:hAnsi="Times New Roman" w:cs="Times New Roman"/>
          </w:rPr>
          <w:t xml:space="preserve"> (B), Cl</w:t>
        </w:r>
        <w:r w:rsidR="005061E0" w:rsidRPr="002F3E17">
          <w:rPr>
            <w:rFonts w:ascii="Times New Roman" w:hAnsi="Times New Roman" w:cs="Times New Roman"/>
            <w:vertAlign w:val="superscript"/>
          </w:rPr>
          <w:t>-</w:t>
        </w:r>
        <w:r w:rsidR="005061E0" w:rsidRPr="002F3E17">
          <w:rPr>
            <w:rFonts w:ascii="Times New Roman" w:hAnsi="Times New Roman" w:cs="Times New Roman"/>
          </w:rPr>
          <w:t xml:space="preserve"> (C), K</w:t>
        </w:r>
        <w:r w:rsidR="005061E0" w:rsidRPr="002F3E17">
          <w:rPr>
            <w:rFonts w:ascii="Times New Roman" w:hAnsi="Times New Roman" w:cs="Times New Roman"/>
            <w:vertAlign w:val="superscript"/>
          </w:rPr>
          <w:t>+</w:t>
        </w:r>
        <w:r w:rsidR="005061E0" w:rsidRPr="002F3E17">
          <w:rPr>
            <w:rFonts w:ascii="Times New Roman" w:hAnsi="Times New Roman" w:cs="Times New Roman"/>
          </w:rPr>
          <w:t xml:space="preserve"> (D), Mg</w:t>
        </w:r>
        <w:r w:rsidR="005061E0" w:rsidRPr="002F3E17">
          <w:rPr>
            <w:rFonts w:ascii="Times New Roman" w:hAnsi="Times New Roman" w:cs="Times New Roman"/>
            <w:vertAlign w:val="superscript"/>
          </w:rPr>
          <w:t>2+</w:t>
        </w:r>
        <w:r w:rsidR="005061E0" w:rsidRPr="002F3E17">
          <w:rPr>
            <w:rFonts w:ascii="Times New Roman" w:hAnsi="Times New Roman" w:cs="Times New Roman"/>
          </w:rPr>
          <w:t xml:space="preserve"> (E), Na</w:t>
        </w:r>
        <w:r w:rsidR="005061E0" w:rsidRPr="002F3E17">
          <w:rPr>
            <w:rFonts w:ascii="Times New Roman" w:hAnsi="Times New Roman" w:cs="Times New Roman"/>
            <w:vertAlign w:val="superscript"/>
          </w:rPr>
          <w:t>+</w:t>
        </w:r>
        <w:r w:rsidR="005061E0" w:rsidRPr="002F3E17">
          <w:rPr>
            <w:rFonts w:ascii="Times New Roman" w:hAnsi="Times New Roman" w:cs="Times New Roman"/>
          </w:rPr>
          <w:t xml:space="preserve"> (F), NH</w:t>
        </w:r>
        <w:r w:rsidR="005061E0" w:rsidRPr="002F3E17">
          <w:rPr>
            <w:rFonts w:ascii="Times New Roman" w:hAnsi="Times New Roman" w:cs="Times New Roman"/>
            <w:vertAlign w:val="subscript"/>
          </w:rPr>
          <w:t>4</w:t>
        </w:r>
        <w:r w:rsidR="005061E0" w:rsidRPr="002F3E17">
          <w:rPr>
            <w:rFonts w:ascii="Times New Roman" w:hAnsi="Times New Roman" w:cs="Times New Roman"/>
            <w:vertAlign w:val="superscript"/>
          </w:rPr>
          <w:t>+</w:t>
        </w:r>
        <w:r w:rsidR="005061E0" w:rsidRPr="002F3E17">
          <w:rPr>
            <w:rFonts w:ascii="Times New Roman" w:hAnsi="Times New Roman" w:cs="Times New Roman"/>
          </w:rPr>
          <w:t xml:space="preserve"> (G), PO</w:t>
        </w:r>
        <w:r w:rsidR="005061E0" w:rsidRPr="002F3E17">
          <w:rPr>
            <w:rFonts w:ascii="Times New Roman" w:hAnsi="Times New Roman" w:cs="Times New Roman"/>
            <w:vertAlign w:val="subscript"/>
          </w:rPr>
          <w:t>4</w:t>
        </w:r>
        <w:r w:rsidR="005061E0" w:rsidRPr="002F3E17">
          <w:rPr>
            <w:rFonts w:ascii="Times New Roman" w:hAnsi="Times New Roman" w:cs="Times New Roman"/>
            <w:vertAlign w:val="superscript"/>
          </w:rPr>
          <w:t>3-</w:t>
        </w:r>
        <w:r w:rsidR="005061E0" w:rsidRPr="002F3E17">
          <w:rPr>
            <w:rFonts w:ascii="Times New Roman" w:hAnsi="Times New Roman" w:cs="Times New Roman"/>
          </w:rPr>
          <w:t xml:space="preserve"> (H), and SO</w:t>
        </w:r>
        <w:r w:rsidR="005061E0" w:rsidRPr="002F3E17">
          <w:rPr>
            <w:rFonts w:ascii="Times New Roman" w:hAnsi="Times New Roman" w:cs="Times New Roman"/>
            <w:vertAlign w:val="subscript"/>
          </w:rPr>
          <w:t>4</w:t>
        </w:r>
        <w:r w:rsidR="005061E0" w:rsidRPr="002F3E17">
          <w:rPr>
            <w:rFonts w:ascii="Times New Roman" w:hAnsi="Times New Roman" w:cs="Times New Roman"/>
            <w:vertAlign w:val="superscript"/>
          </w:rPr>
          <w:t>2-</w:t>
        </w:r>
        <w:r w:rsidR="005061E0" w:rsidRPr="002F3E17">
          <w:rPr>
            <w:rFonts w:ascii="Times New Roman" w:hAnsi="Times New Roman" w:cs="Times New Roman"/>
          </w:rPr>
          <w:t xml:space="preserve"> (I).</w:t>
        </w:r>
        <w:r w:rsidR="00A97099" w:rsidRPr="002F3E17">
          <w:rPr>
            <w:rFonts w:ascii="Times New Roman" w:hAnsi="Times New Roman" w:cs="Times New Roman"/>
            <w:noProof/>
            <w:webHidden/>
          </w:rPr>
          <w:tab/>
        </w:r>
        <w:r w:rsidR="002D432E">
          <w:rPr>
            <w:rFonts w:ascii="Times New Roman" w:hAnsi="Times New Roman" w:cs="Times New Roman"/>
            <w:noProof/>
            <w:webHidden/>
          </w:rPr>
          <w:t>139</w:t>
        </w:r>
      </w:hyperlink>
    </w:p>
    <w:p w14:paraId="46E07C97" w14:textId="2178904B"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4</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3</w:t>
        </w:r>
        <w:r w:rsidR="00A97099" w:rsidRPr="002F3E17">
          <w:rPr>
            <w:rStyle w:val="Hyperlink"/>
            <w:rFonts w:ascii="Times New Roman" w:hAnsi="Times New Roman" w:cs="Times New Roman"/>
            <w:noProof/>
          </w:rPr>
          <w:t xml:space="preserve">. </w:t>
        </w:r>
        <w:r w:rsidR="005061E0" w:rsidRPr="002F3E17">
          <w:rPr>
            <w:rFonts w:ascii="Times New Roman" w:hAnsi="Times New Roman" w:cs="Times New Roman"/>
          </w:rPr>
          <w:t>Organic carbon</w:t>
        </w:r>
        <w:r w:rsidR="005061E0" w:rsidRPr="002F3E17">
          <w:rPr>
            <w:rFonts w:ascii="Times New Roman" w:hAnsi="Times New Roman" w:cs="Times New Roman"/>
            <w:b/>
            <w:bCs/>
          </w:rPr>
          <w:t xml:space="preserve"> </w:t>
        </w:r>
        <w:r w:rsidR="005061E0" w:rsidRPr="002F3E17">
          <w:rPr>
            <w:rFonts w:ascii="Times New Roman" w:hAnsi="Times New Roman" w:cs="Times New Roman"/>
          </w:rPr>
          <w:t>concentration profiles for CH</w:t>
        </w:r>
        <w:r w:rsidR="005061E0" w:rsidRPr="002F3E17">
          <w:rPr>
            <w:rFonts w:ascii="Times New Roman" w:hAnsi="Times New Roman" w:cs="Times New Roman"/>
            <w:vertAlign w:val="subscript"/>
          </w:rPr>
          <w:t>4</w:t>
        </w:r>
        <w:r w:rsidR="005061E0" w:rsidRPr="002F3E17">
          <w:rPr>
            <w:rFonts w:ascii="Times New Roman" w:hAnsi="Times New Roman" w:cs="Times New Roman"/>
          </w:rPr>
          <w:t xml:space="preserve"> (mmol cm</w:t>
        </w:r>
        <w:r w:rsidR="005061E0" w:rsidRPr="002F3E17">
          <w:rPr>
            <w:rFonts w:ascii="Times New Roman" w:hAnsi="Times New Roman" w:cs="Times New Roman"/>
            <w:vertAlign w:val="superscript"/>
          </w:rPr>
          <w:t>-3</w:t>
        </w:r>
        <w:r w:rsidR="005061E0" w:rsidRPr="002F3E17">
          <w:rPr>
            <w:rFonts w:ascii="Times New Roman" w:hAnsi="Times New Roman" w:cs="Times New Roman"/>
          </w:rPr>
          <w:t xml:space="preserve">) (A), </w:t>
        </w:r>
        <w:r w:rsidR="005061E0" w:rsidRPr="002F3E17">
          <w:rPr>
            <w:rFonts w:ascii="Times New Roman" w:hAnsi="Times New Roman" w:cs="Times New Roman"/>
            <w:i/>
            <w:iCs/>
          </w:rPr>
          <w:t>δ</w:t>
        </w:r>
        <w:r w:rsidR="005061E0" w:rsidRPr="002F3E17">
          <w:rPr>
            <w:rFonts w:ascii="Times New Roman" w:hAnsi="Times New Roman" w:cs="Times New Roman"/>
            <w:vertAlign w:val="superscript"/>
          </w:rPr>
          <w:t>13</w:t>
        </w:r>
        <w:r w:rsidR="005061E0" w:rsidRPr="002F3E17">
          <w:rPr>
            <w:rFonts w:ascii="Times New Roman" w:hAnsi="Times New Roman" w:cs="Times New Roman"/>
          </w:rPr>
          <w:t>C</w:t>
        </w:r>
        <w:r w:rsidR="005061E0" w:rsidRPr="002F3E17">
          <w:rPr>
            <w:rFonts w:ascii="Times New Roman" w:hAnsi="Times New Roman" w:cs="Times New Roman"/>
            <w:vertAlign w:val="subscript"/>
          </w:rPr>
          <w:t>organic</w:t>
        </w:r>
        <w:r w:rsidR="005061E0" w:rsidRPr="002F3E17">
          <w:rPr>
            <w:rFonts w:ascii="Times New Roman" w:hAnsi="Times New Roman" w:cs="Times New Roman"/>
          </w:rPr>
          <w:t xml:space="preserve"> (</w:t>
        </w:r>
        <w:r w:rsidR="005061E0" w:rsidRPr="002F3E17">
          <w:rPr>
            <w:rFonts w:ascii="Times New Roman" w:hAnsi="Times New Roman" w:cs="Times New Roman"/>
            <w:color w:val="222222"/>
            <w:shd w:val="clear" w:color="auto" w:fill="FFFFFF"/>
          </w:rPr>
          <w:t>‰ with respect to VPDB</w:t>
        </w:r>
        <w:r w:rsidR="005061E0" w:rsidRPr="002F3E17">
          <w:rPr>
            <w:rFonts w:ascii="Times New Roman" w:hAnsi="Times New Roman" w:cs="Times New Roman"/>
          </w:rPr>
          <w:t>) (B), TOC (mmol cm</w:t>
        </w:r>
        <w:r w:rsidR="005061E0" w:rsidRPr="002F3E17">
          <w:rPr>
            <w:rFonts w:ascii="Times New Roman" w:hAnsi="Times New Roman" w:cs="Times New Roman"/>
            <w:vertAlign w:val="superscript"/>
          </w:rPr>
          <w:t>-3</w:t>
        </w:r>
        <w:r w:rsidR="005061E0" w:rsidRPr="002F3E17">
          <w:rPr>
            <w:rFonts w:ascii="Times New Roman" w:hAnsi="Times New Roman" w:cs="Times New Roman"/>
          </w:rPr>
          <w:t>) (C), TON (mmol cm</w:t>
        </w:r>
        <w:r w:rsidR="005061E0" w:rsidRPr="002F3E17">
          <w:rPr>
            <w:rFonts w:ascii="Times New Roman" w:hAnsi="Times New Roman" w:cs="Times New Roman"/>
            <w:vertAlign w:val="superscript"/>
          </w:rPr>
          <w:t>-3</w:t>
        </w:r>
        <w:r w:rsidR="005061E0" w:rsidRPr="002F3E17">
          <w:rPr>
            <w:rFonts w:ascii="Times New Roman" w:hAnsi="Times New Roman" w:cs="Times New Roman"/>
          </w:rPr>
          <w:t>) (D), carbon to nitrogen ratio (E), and DOM spectral slope (F).</w:t>
        </w:r>
        <w:r w:rsidR="00A97099" w:rsidRPr="002F3E17">
          <w:rPr>
            <w:rFonts w:ascii="Times New Roman" w:hAnsi="Times New Roman" w:cs="Times New Roman"/>
            <w:noProof/>
            <w:webHidden/>
          </w:rPr>
          <w:tab/>
        </w:r>
        <w:r w:rsidR="002D432E">
          <w:rPr>
            <w:rFonts w:ascii="Times New Roman" w:hAnsi="Times New Roman" w:cs="Times New Roman"/>
            <w:noProof/>
            <w:webHidden/>
          </w:rPr>
          <w:t>140</w:t>
        </w:r>
      </w:hyperlink>
    </w:p>
    <w:p w14:paraId="2D187503" w14:textId="532ED435"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4</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4</w:t>
        </w:r>
        <w:r w:rsidR="00A97099" w:rsidRPr="002F3E17">
          <w:rPr>
            <w:rStyle w:val="Hyperlink"/>
            <w:rFonts w:ascii="Times New Roman" w:hAnsi="Times New Roman" w:cs="Times New Roman"/>
            <w:noProof/>
          </w:rPr>
          <w:t xml:space="preserve">. </w:t>
        </w:r>
        <w:r w:rsidR="005061E0" w:rsidRPr="002F3E17">
          <w:rPr>
            <w:rFonts w:ascii="Times New Roman" w:hAnsi="Times New Roman" w:cs="Times New Roman"/>
          </w:rPr>
          <w:t>Generalized additive model (GAM) fits for SO</w:t>
        </w:r>
        <w:r w:rsidR="005061E0" w:rsidRPr="002F3E17">
          <w:rPr>
            <w:rFonts w:ascii="Times New Roman" w:hAnsi="Times New Roman" w:cs="Times New Roman"/>
            <w:vertAlign w:val="subscript"/>
          </w:rPr>
          <w:t>4</w:t>
        </w:r>
        <w:r w:rsidR="005061E0" w:rsidRPr="002F3E17">
          <w:rPr>
            <w:rFonts w:ascii="Times New Roman" w:hAnsi="Times New Roman" w:cs="Times New Roman"/>
            <w:vertAlign w:val="superscript"/>
          </w:rPr>
          <w:t>2-</w:t>
        </w:r>
        <w:r w:rsidR="005061E0" w:rsidRPr="002F3E17">
          <w:rPr>
            <w:rFonts w:ascii="Times New Roman" w:hAnsi="Times New Roman" w:cs="Times New Roman"/>
          </w:rPr>
          <w:t xml:space="preserve"> depth profiles (mM) (A) and CH</w:t>
        </w:r>
        <w:r w:rsidR="005061E0" w:rsidRPr="002F3E17">
          <w:rPr>
            <w:rFonts w:ascii="Times New Roman" w:hAnsi="Times New Roman" w:cs="Times New Roman"/>
            <w:vertAlign w:val="subscript"/>
          </w:rPr>
          <w:t>4</w:t>
        </w:r>
        <w:r w:rsidR="005061E0" w:rsidRPr="002F3E17">
          <w:rPr>
            <w:rFonts w:ascii="Times New Roman" w:hAnsi="Times New Roman" w:cs="Times New Roman"/>
          </w:rPr>
          <w:t xml:space="preserve"> (mM) (B) used for reactive-transport modeling.</w:t>
        </w:r>
        <w:r w:rsidR="00A97099" w:rsidRPr="002F3E17">
          <w:rPr>
            <w:rFonts w:ascii="Times New Roman" w:hAnsi="Times New Roman" w:cs="Times New Roman"/>
            <w:noProof/>
            <w:webHidden/>
          </w:rPr>
          <w:tab/>
        </w:r>
        <w:r w:rsidR="002D432E">
          <w:rPr>
            <w:rFonts w:ascii="Times New Roman" w:hAnsi="Times New Roman" w:cs="Times New Roman"/>
            <w:noProof/>
            <w:webHidden/>
          </w:rPr>
          <w:t>141</w:t>
        </w:r>
      </w:hyperlink>
    </w:p>
    <w:p w14:paraId="1E4DCADC" w14:textId="37C42B96"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4</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5</w:t>
        </w:r>
        <w:r w:rsidR="00A97099" w:rsidRPr="002F3E17">
          <w:rPr>
            <w:rStyle w:val="Hyperlink"/>
            <w:rFonts w:ascii="Times New Roman" w:hAnsi="Times New Roman" w:cs="Times New Roman"/>
            <w:noProof/>
          </w:rPr>
          <w:t xml:space="preserve">. </w:t>
        </w:r>
        <w:r w:rsidR="005061E0" w:rsidRPr="002F3E17">
          <w:rPr>
            <w:rFonts w:ascii="Times New Roman" w:hAnsi="Times New Roman" w:cs="Times New Roman"/>
          </w:rPr>
          <w:t>Model results for SO</w:t>
        </w:r>
        <w:r w:rsidR="005061E0" w:rsidRPr="002F3E17">
          <w:rPr>
            <w:rFonts w:ascii="Times New Roman" w:hAnsi="Times New Roman" w:cs="Times New Roman"/>
            <w:vertAlign w:val="subscript"/>
          </w:rPr>
          <w:t>4</w:t>
        </w:r>
        <w:r w:rsidR="005061E0" w:rsidRPr="002F3E17">
          <w:rPr>
            <w:rFonts w:ascii="Times New Roman" w:hAnsi="Times New Roman" w:cs="Times New Roman"/>
            <w:vertAlign w:val="superscript"/>
          </w:rPr>
          <w:t>2-</w:t>
        </w:r>
        <w:r w:rsidR="005061E0" w:rsidRPr="002F3E17">
          <w:rPr>
            <w:rFonts w:ascii="Times New Roman" w:hAnsi="Times New Roman" w:cs="Times New Roman"/>
          </w:rPr>
          <w:t xml:space="preserve"> (A) and CH</w:t>
        </w:r>
        <w:r w:rsidR="005061E0" w:rsidRPr="002F3E17">
          <w:rPr>
            <w:rFonts w:ascii="Times New Roman" w:hAnsi="Times New Roman" w:cs="Times New Roman"/>
            <w:vertAlign w:val="subscript"/>
          </w:rPr>
          <w:t>4</w:t>
        </w:r>
        <w:r w:rsidR="005061E0" w:rsidRPr="002F3E17">
          <w:rPr>
            <w:rFonts w:ascii="Times New Roman" w:hAnsi="Times New Roman" w:cs="Times New Roman"/>
          </w:rPr>
          <w:t xml:space="preserve"> (B) from the reaction-transport model. Contours correspond to different assumed rates (cm yr</w:t>
        </w:r>
        <w:r w:rsidR="005061E0" w:rsidRPr="002F3E17">
          <w:rPr>
            <w:rFonts w:ascii="Times New Roman" w:hAnsi="Times New Roman" w:cs="Times New Roman"/>
            <w:vertAlign w:val="superscript"/>
          </w:rPr>
          <w:t>-1</w:t>
        </w:r>
        <w:r w:rsidR="005061E0" w:rsidRPr="002F3E17">
          <w:rPr>
            <w:rFonts w:ascii="Times New Roman" w:hAnsi="Times New Roman" w:cs="Times New Roman"/>
          </w:rPr>
          <w:t>) of groundwater upwelling.</w:t>
        </w:r>
        <w:r w:rsidR="00A97099" w:rsidRPr="002F3E17">
          <w:rPr>
            <w:rFonts w:ascii="Times New Roman" w:hAnsi="Times New Roman" w:cs="Times New Roman"/>
            <w:noProof/>
            <w:webHidden/>
          </w:rPr>
          <w:tab/>
        </w:r>
        <w:r w:rsidR="002D432E">
          <w:rPr>
            <w:rFonts w:ascii="Times New Roman" w:hAnsi="Times New Roman" w:cs="Times New Roman"/>
            <w:noProof/>
            <w:webHidden/>
          </w:rPr>
          <w:t>142</w:t>
        </w:r>
      </w:hyperlink>
    </w:p>
    <w:p w14:paraId="296C1A70" w14:textId="1AB95551"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4</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6</w:t>
        </w:r>
        <w:r w:rsidR="00A97099" w:rsidRPr="002F3E17">
          <w:rPr>
            <w:rStyle w:val="Hyperlink"/>
            <w:rFonts w:ascii="Times New Roman" w:hAnsi="Times New Roman" w:cs="Times New Roman"/>
            <w:noProof/>
          </w:rPr>
          <w:t xml:space="preserve">. </w:t>
        </w:r>
        <w:r w:rsidR="00F464FC" w:rsidRPr="002F3E17">
          <w:rPr>
            <w:rFonts w:ascii="Times New Roman" w:hAnsi="Times New Roman" w:cs="Times New Roman"/>
          </w:rPr>
          <w:t>A linear regression fit of TOC loss as a function of time assuming an average sedimentation rate of 0.31 cm yr</w:t>
        </w:r>
        <w:r w:rsidR="00F464FC" w:rsidRPr="002F3E17">
          <w:rPr>
            <w:rFonts w:ascii="Times New Roman" w:hAnsi="Times New Roman" w:cs="Times New Roman"/>
            <w:vertAlign w:val="superscript"/>
          </w:rPr>
          <w:t>-1</w:t>
        </w:r>
        <w:r w:rsidR="006E187E">
          <w:rPr>
            <w:rFonts w:ascii="Times New Roman" w:hAnsi="Times New Roman" w:cs="Times New Roman"/>
          </w:rPr>
          <w:t xml:space="preserve"> </w:t>
        </w:r>
        <w:r w:rsidR="005B30E0" w:rsidRPr="005B30E0">
          <w:rPr>
            <w:rFonts w:ascii="Times New Roman" w:hAnsi="Times New Roman" w:cs="Times New Roman"/>
          </w:rPr>
          <w:t>(1</w:t>
        </w:r>
        <w:r w:rsidR="009B0F6D">
          <w:rPr>
            <w:rFonts w:ascii="Times New Roman" w:hAnsi="Times New Roman" w:cs="Times New Roman"/>
          </w:rPr>
          <w:t>7</w:t>
        </w:r>
        <w:r w:rsidR="005B30E0" w:rsidRPr="005B30E0">
          <w:rPr>
            <w:rFonts w:ascii="Times New Roman" w:hAnsi="Times New Roman" w:cs="Times New Roman"/>
          </w:rPr>
          <w:t>, 11</w:t>
        </w:r>
        <w:r w:rsidR="009B0F6D">
          <w:rPr>
            <w:rFonts w:ascii="Times New Roman" w:hAnsi="Times New Roman" w:cs="Times New Roman"/>
          </w:rPr>
          <w:t>6</w:t>
        </w:r>
        <w:r w:rsidR="005B30E0" w:rsidRPr="005B30E0">
          <w:rPr>
            <w:rFonts w:ascii="Times New Roman" w:hAnsi="Times New Roman" w:cs="Times New Roman"/>
          </w:rPr>
          <w:t>, 11</w:t>
        </w:r>
        <w:r w:rsidR="009B0F6D">
          <w:rPr>
            <w:rFonts w:ascii="Times New Roman" w:hAnsi="Times New Roman" w:cs="Times New Roman"/>
          </w:rPr>
          <w:t>7</w:t>
        </w:r>
        <w:r w:rsidR="005B30E0" w:rsidRPr="005B30E0">
          <w:rPr>
            <w:rFonts w:ascii="Times New Roman" w:hAnsi="Times New Roman" w:cs="Times New Roman"/>
          </w:rPr>
          <w:t>)</w:t>
        </w:r>
        <w:r w:rsidR="00F464FC" w:rsidRPr="002F3E17">
          <w:rPr>
            <w:rFonts w:ascii="Times New Roman" w:hAnsi="Times New Roman" w:cs="Times New Roman"/>
          </w:rPr>
          <w:t>.</w:t>
        </w:r>
        <w:r w:rsidR="00A97099" w:rsidRPr="002F3E17">
          <w:rPr>
            <w:rFonts w:ascii="Times New Roman" w:hAnsi="Times New Roman" w:cs="Times New Roman"/>
            <w:noProof/>
            <w:webHidden/>
          </w:rPr>
          <w:tab/>
        </w:r>
        <w:r w:rsidR="002D432E">
          <w:rPr>
            <w:rFonts w:ascii="Times New Roman" w:hAnsi="Times New Roman" w:cs="Times New Roman"/>
            <w:noProof/>
            <w:webHidden/>
          </w:rPr>
          <w:t>143</w:t>
        </w:r>
      </w:hyperlink>
    </w:p>
    <w:p w14:paraId="333EFD3A" w14:textId="406741BA"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4</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7</w:t>
        </w:r>
        <w:r w:rsidR="00A97099" w:rsidRPr="002F3E17">
          <w:rPr>
            <w:rStyle w:val="Hyperlink"/>
            <w:rFonts w:ascii="Times New Roman" w:hAnsi="Times New Roman" w:cs="Times New Roman"/>
            <w:noProof/>
          </w:rPr>
          <w:t xml:space="preserve">. </w:t>
        </w:r>
        <w:r w:rsidR="00F464FC" w:rsidRPr="002F3E17">
          <w:rPr>
            <w:rFonts w:ascii="Times New Roman" w:hAnsi="Times New Roman" w:cs="Times New Roman"/>
          </w:rPr>
          <w:t>Column integrated CH</w:t>
        </w:r>
        <w:r w:rsidR="00F464FC" w:rsidRPr="002F3E17">
          <w:rPr>
            <w:rFonts w:ascii="Times New Roman" w:hAnsi="Times New Roman" w:cs="Times New Roman"/>
            <w:vertAlign w:val="subscript"/>
          </w:rPr>
          <w:t>4</w:t>
        </w:r>
        <w:r w:rsidR="00F464FC" w:rsidRPr="002F3E17">
          <w:rPr>
            <w:rFonts w:ascii="Times New Roman" w:hAnsi="Times New Roman" w:cs="Times New Roman"/>
          </w:rPr>
          <w:t xml:space="preserve"> production (nmol cm</w:t>
        </w:r>
        <w:r w:rsidR="00F464FC" w:rsidRPr="002F3E17">
          <w:rPr>
            <w:rFonts w:ascii="Times New Roman" w:hAnsi="Times New Roman" w:cs="Times New Roman"/>
            <w:vertAlign w:val="superscript"/>
          </w:rPr>
          <w:t>-2</w:t>
        </w:r>
        <w:r w:rsidR="00F464FC" w:rsidRPr="002F3E17">
          <w:rPr>
            <w:rFonts w:ascii="Times New Roman" w:hAnsi="Times New Roman" w:cs="Times New Roman"/>
          </w:rPr>
          <w:t xml:space="preserve"> d</w:t>
        </w:r>
        <w:r w:rsidR="00F464FC" w:rsidRPr="002F3E17">
          <w:rPr>
            <w:rFonts w:ascii="Times New Roman" w:hAnsi="Times New Roman" w:cs="Times New Roman"/>
            <w:vertAlign w:val="superscript"/>
          </w:rPr>
          <w:t>-1</w:t>
        </w:r>
        <w:r w:rsidR="00F464FC" w:rsidRPr="002F3E17">
          <w:rPr>
            <w:rFonts w:ascii="Times New Roman" w:hAnsi="Times New Roman" w:cs="Times New Roman"/>
          </w:rPr>
          <w:t>) predicted from the reaction-transport model (Figure 4.4B) as a function of groundwater upwelling (cm yr</w:t>
        </w:r>
        <w:r w:rsidR="00F464FC" w:rsidRPr="002F3E17">
          <w:rPr>
            <w:rFonts w:ascii="Times New Roman" w:hAnsi="Times New Roman" w:cs="Times New Roman"/>
            <w:vertAlign w:val="superscript"/>
          </w:rPr>
          <w:t>-1</w:t>
        </w:r>
        <w:r w:rsidR="00F464FC" w:rsidRPr="002F3E17">
          <w:rPr>
            <w:rFonts w:ascii="Times New Roman" w:hAnsi="Times New Roman" w:cs="Times New Roman"/>
          </w:rPr>
          <w:t>).</w:t>
        </w:r>
        <w:r w:rsidR="00A97099" w:rsidRPr="002F3E17">
          <w:rPr>
            <w:rFonts w:ascii="Times New Roman" w:hAnsi="Times New Roman" w:cs="Times New Roman"/>
            <w:noProof/>
            <w:webHidden/>
          </w:rPr>
          <w:tab/>
        </w:r>
        <w:r w:rsidR="002D432E">
          <w:rPr>
            <w:rFonts w:ascii="Times New Roman" w:hAnsi="Times New Roman" w:cs="Times New Roman"/>
            <w:noProof/>
            <w:webHidden/>
          </w:rPr>
          <w:t>144</w:t>
        </w:r>
      </w:hyperlink>
    </w:p>
    <w:p w14:paraId="128558F0" w14:textId="76E0B7BE" w:rsidR="00A97099" w:rsidRPr="002F3E17" w:rsidRDefault="002A3883" w:rsidP="002F3E17">
      <w:pPr>
        <w:pStyle w:val="TableofFigures"/>
        <w:tabs>
          <w:tab w:val="right" w:leader="dot" w:pos="8630"/>
        </w:tabs>
        <w:rPr>
          <w:rFonts w:ascii="Times New Roman" w:hAnsi="Times New Roman" w:cs="Times New Roman"/>
          <w:noProof/>
        </w:rPr>
      </w:pPr>
      <w:hyperlink w:anchor="_Toc428278255" w:history="1">
        <w:r w:rsidR="00A97099" w:rsidRPr="002F3E17">
          <w:rPr>
            <w:rStyle w:val="Hyperlink"/>
            <w:rFonts w:ascii="Times New Roman" w:hAnsi="Times New Roman" w:cs="Times New Roman"/>
            <w:noProof/>
          </w:rPr>
          <w:t xml:space="preserve">Figure </w:t>
        </w:r>
        <w:r w:rsidR="00293346" w:rsidRPr="002F3E17">
          <w:rPr>
            <w:rStyle w:val="Hyperlink"/>
            <w:rFonts w:ascii="Times New Roman" w:hAnsi="Times New Roman" w:cs="Times New Roman"/>
            <w:noProof/>
          </w:rPr>
          <w:t>4</w:t>
        </w:r>
        <w:r w:rsidR="00A97099" w:rsidRPr="002F3E17">
          <w:rPr>
            <w:rStyle w:val="Hyperlink"/>
            <w:rFonts w:ascii="Times New Roman" w:hAnsi="Times New Roman" w:cs="Times New Roman"/>
            <w:noProof/>
          </w:rPr>
          <w:t>.</w:t>
        </w:r>
        <w:r w:rsidR="00293346" w:rsidRPr="002F3E17">
          <w:rPr>
            <w:rStyle w:val="Hyperlink"/>
            <w:rFonts w:ascii="Times New Roman" w:hAnsi="Times New Roman" w:cs="Times New Roman"/>
            <w:noProof/>
          </w:rPr>
          <w:t>8</w:t>
        </w:r>
        <w:r w:rsidR="00A97099" w:rsidRPr="002F3E17">
          <w:rPr>
            <w:rStyle w:val="Hyperlink"/>
            <w:rFonts w:ascii="Times New Roman" w:hAnsi="Times New Roman" w:cs="Times New Roman"/>
            <w:noProof/>
          </w:rPr>
          <w:t xml:space="preserve">. </w:t>
        </w:r>
        <w:r w:rsidR="002F3E17" w:rsidRPr="002F3E17">
          <w:rPr>
            <w:rFonts w:ascii="Times New Roman" w:hAnsi="Times New Roman" w:cs="Times New Roman"/>
          </w:rPr>
          <w:t>Column integrated SO</w:t>
        </w:r>
        <w:r w:rsidR="002F3E17" w:rsidRPr="002F3E17">
          <w:rPr>
            <w:rFonts w:ascii="Times New Roman" w:hAnsi="Times New Roman" w:cs="Times New Roman"/>
            <w:vertAlign w:val="subscript"/>
          </w:rPr>
          <w:t>4</w:t>
        </w:r>
        <w:r w:rsidR="002F3E17" w:rsidRPr="002F3E17">
          <w:rPr>
            <w:rFonts w:ascii="Times New Roman" w:hAnsi="Times New Roman" w:cs="Times New Roman"/>
            <w:vertAlign w:val="superscript"/>
          </w:rPr>
          <w:t>2-</w:t>
        </w:r>
        <w:r w:rsidR="002F3E17" w:rsidRPr="002F3E17">
          <w:rPr>
            <w:rFonts w:ascii="Times New Roman" w:hAnsi="Times New Roman" w:cs="Times New Roman"/>
          </w:rPr>
          <w:t xml:space="preserve"> production (nmol cm</w:t>
        </w:r>
        <w:r w:rsidR="002F3E17" w:rsidRPr="002F3E17">
          <w:rPr>
            <w:rFonts w:ascii="Times New Roman" w:hAnsi="Times New Roman" w:cs="Times New Roman"/>
            <w:vertAlign w:val="superscript"/>
          </w:rPr>
          <w:t>-2</w:t>
        </w:r>
        <w:r w:rsidR="002F3E17" w:rsidRPr="002F3E17">
          <w:rPr>
            <w:rFonts w:ascii="Times New Roman" w:hAnsi="Times New Roman" w:cs="Times New Roman"/>
          </w:rPr>
          <w:t xml:space="preserve"> d</w:t>
        </w:r>
        <w:r w:rsidR="002F3E17" w:rsidRPr="002F3E17">
          <w:rPr>
            <w:rFonts w:ascii="Times New Roman" w:hAnsi="Times New Roman" w:cs="Times New Roman"/>
            <w:vertAlign w:val="superscript"/>
          </w:rPr>
          <w:t>-1</w:t>
        </w:r>
        <w:r w:rsidR="002F3E17" w:rsidRPr="002F3E17">
          <w:rPr>
            <w:rFonts w:ascii="Times New Roman" w:hAnsi="Times New Roman" w:cs="Times New Roman"/>
          </w:rPr>
          <w:t>) predicted from the reaction-transport model (Figure 4.4A) as a function of groundwater upwelling (cm yr</w:t>
        </w:r>
        <w:r w:rsidR="002F3E17" w:rsidRPr="002F3E17">
          <w:rPr>
            <w:rFonts w:ascii="Times New Roman" w:hAnsi="Times New Roman" w:cs="Times New Roman"/>
            <w:vertAlign w:val="superscript"/>
          </w:rPr>
          <w:t>-1</w:t>
        </w:r>
        <w:r w:rsidR="002F3E17" w:rsidRPr="002F3E17">
          <w:rPr>
            <w:rFonts w:ascii="Times New Roman" w:hAnsi="Times New Roman" w:cs="Times New Roman"/>
          </w:rPr>
          <w:t>). The dashed red line corresponds to the groundwater upwelling velocity where WOR sediments at Station H become a source for SO</w:t>
        </w:r>
        <w:r w:rsidR="002F3E17" w:rsidRPr="002F3E17">
          <w:rPr>
            <w:rFonts w:ascii="Times New Roman" w:hAnsi="Times New Roman" w:cs="Times New Roman"/>
            <w:vertAlign w:val="subscript"/>
          </w:rPr>
          <w:t>4</w:t>
        </w:r>
        <w:r w:rsidR="002F3E17" w:rsidRPr="002F3E17">
          <w:rPr>
            <w:rFonts w:ascii="Times New Roman" w:hAnsi="Times New Roman" w:cs="Times New Roman"/>
            <w:vertAlign w:val="superscript"/>
          </w:rPr>
          <w:t>2-</w:t>
        </w:r>
        <w:r w:rsidR="002F3E17" w:rsidRPr="002F3E17">
          <w:rPr>
            <w:rFonts w:ascii="Times New Roman" w:hAnsi="Times New Roman" w:cs="Times New Roman"/>
          </w:rPr>
          <w:t>.</w:t>
        </w:r>
        <w:r w:rsidR="00A97099" w:rsidRPr="002F3E17">
          <w:rPr>
            <w:rFonts w:ascii="Times New Roman" w:hAnsi="Times New Roman" w:cs="Times New Roman"/>
            <w:noProof/>
            <w:webHidden/>
          </w:rPr>
          <w:tab/>
        </w:r>
        <w:r w:rsidR="002D432E">
          <w:rPr>
            <w:rFonts w:ascii="Times New Roman" w:hAnsi="Times New Roman" w:cs="Times New Roman"/>
            <w:noProof/>
            <w:webHidden/>
          </w:rPr>
          <w:t>145</w:t>
        </w:r>
      </w:hyperlink>
    </w:p>
    <w:p w14:paraId="4925A278" w14:textId="77777777" w:rsidR="00A97099" w:rsidRPr="00A97099" w:rsidRDefault="00A97099" w:rsidP="00A97099"/>
    <w:p w14:paraId="1B2396E9" w14:textId="77777777" w:rsidR="00A97099" w:rsidRPr="00A97099" w:rsidRDefault="00A97099" w:rsidP="00A97099"/>
    <w:p w14:paraId="6E80F630" w14:textId="77777777" w:rsidR="00365526" w:rsidRDefault="00365526" w:rsidP="00365526">
      <w:pPr>
        <w:sectPr w:rsidR="00365526" w:rsidSect="004B1BB6">
          <w:headerReference w:type="even" r:id="rId8"/>
          <w:headerReference w:type="default" r:id="rId9"/>
          <w:footerReference w:type="default" r:id="rId10"/>
          <w:footerReference w:type="first" r:id="rId11"/>
          <w:pgSz w:w="12240" w:h="15840" w:code="1"/>
          <w:pgMar w:top="1440" w:right="1800" w:bottom="1872" w:left="1800" w:header="720" w:footer="1440" w:gutter="0"/>
          <w:pgNumType w:fmt="lowerRoman" w:start="1"/>
          <w:cols w:space="720"/>
          <w:noEndnote/>
          <w:titlePg/>
          <w:docGrid w:linePitch="326"/>
        </w:sectPr>
      </w:pPr>
      <w:r>
        <w:rPr>
          <w:rFonts w:ascii="Times New Roman" w:hAnsi="Times New Roman" w:cs="Times New Roman"/>
          <w:noProof/>
        </w:rPr>
        <w:br w:type="page"/>
      </w:r>
      <w:r w:rsidRPr="00F23F20">
        <w:fldChar w:fldCharType="end"/>
      </w:r>
    </w:p>
    <w:p w14:paraId="6471727E" w14:textId="77777777" w:rsidR="00365526" w:rsidRDefault="00365526" w:rsidP="00AC32FD">
      <w:pPr>
        <w:pStyle w:val="Heading1"/>
        <w:numPr>
          <w:ilvl w:val="0"/>
          <w:numId w:val="0"/>
        </w:numPr>
      </w:pPr>
      <w:bookmarkStart w:id="7" w:name="_Toc41908074"/>
      <w:r w:rsidRPr="00402BF9">
        <w:lastRenderedPageBreak/>
        <w:t>Introduction</w:t>
      </w:r>
      <w:bookmarkEnd w:id="7"/>
    </w:p>
    <w:p w14:paraId="0612E382" w14:textId="5584D6FD" w:rsidR="002C73E4" w:rsidRPr="00CF3C8F" w:rsidRDefault="002C73E4" w:rsidP="002C73E4">
      <w:pPr>
        <w:spacing w:line="480" w:lineRule="auto"/>
        <w:ind w:firstLine="720"/>
        <w:rPr>
          <w:rFonts w:ascii="Times New Roman" w:hAnsi="Times New Roman" w:cs="Times New Roman"/>
        </w:rPr>
      </w:pPr>
      <w:r w:rsidRPr="00CF3C8F">
        <w:rPr>
          <w:rFonts w:ascii="Times New Roman" w:hAnsi="Times New Roman" w:cs="Times New Roman"/>
        </w:rPr>
        <w:t xml:space="preserve">An integral link exists between geochemistry and microbial ecology. Through networks of traits, or metabolisms, microbial life mediates chemical reactions to harvest energy and build biomass from nutrients. It is these reactions which drive biogeochemical fluxes </w:t>
      </w:r>
      <w:r w:rsidRPr="00CF3C8F">
        <w:rPr>
          <w:rFonts w:ascii="Times New Roman" w:hAnsi="Times New Roman" w:cs="Times New Roman"/>
        </w:rPr>
        <w:fldChar w:fldCharType="begin" w:fldLock="1"/>
      </w:r>
      <w:r w:rsidRPr="00CF3C8F">
        <w:rPr>
          <w:rFonts w:ascii="Times New Roman" w:hAnsi="Times New Roman" w:cs="Times New Roman"/>
        </w:rPr>
        <w:instrText>ADDIN CSL_CITATION {"citationItems":[{"id":"ITEM-1","itemData":{"DOI":"10.1126/science.1153213","ISBN":"0036-8075","ISSN":"0036-8075","PMID":"18497287","abstract":"Virtually all nonequilibrium electron transfers on Earth are driven by a set of nanobiological machines composed largely of multimeric protein complexes associated with a small number of prosthetic groups. These machines evolved exclusively in microbes early in our planet's history yet, despite their antiquity, are highly conserved. Hence, although there is enormous genetic diversity in nature, there remains a relatively stable set of core genes coding for the major redox reactions essential for life and biogeochemical cycles. These genes created and coevolved with biogeochemical cycles and were passed from microbe to microbe primarily by horizontal gene transfer. A major challenge in the coming decades is to understand how these machines evolved, how they work, and the processes that control their activity on both molecular and planetary scales.","author":[{"dropping-particle":"","family":"Falkowski","given":"P. G.","non-dropping-particle":"","parse-names":false,"suffix":""},{"dropping-particle":"","family":"Fenchel","given":"T.","non-dropping-particle":"","parse-names":false,"suffix":""},{"dropping-particle":"","family":"Delong","given":"E. F.","non-dropping-particle":"","parse-names":false,"suffix":""}],"container-title":"Science","id":"ITEM-1","issue":"5879","issued":{"date-parts":[["2008"]]},"page":"1034-1039","title":"The Microbial Engines That Drive Earth's Biogeochemical Cycles","type":"article-journal","volume":"320"},"uris":["http://www.mendeley.com/documents/?uuid=4148f691-61c5-439c-9bf4-6f280523b3cd"]}],"mendeley":{"formattedCitation":"(1)","plainTextFormattedCitation":"(1)","previouslyFormattedCitation":"(1)"},"properties":{"noteIndex":0},"schema":"https://github.com/citation-style-language/schema/raw/master/csl-citation.json"}</w:instrText>
      </w:r>
      <w:r w:rsidRPr="00CF3C8F">
        <w:rPr>
          <w:rFonts w:ascii="Times New Roman" w:hAnsi="Times New Roman" w:cs="Times New Roman"/>
        </w:rPr>
        <w:fldChar w:fldCharType="separate"/>
      </w:r>
      <w:r w:rsidRPr="00CF3C8F">
        <w:rPr>
          <w:rFonts w:ascii="Times New Roman" w:hAnsi="Times New Roman" w:cs="Times New Roman"/>
          <w:noProof/>
        </w:rPr>
        <w:t>(1)</w:t>
      </w:r>
      <w:r w:rsidRPr="00CF3C8F">
        <w:rPr>
          <w:rFonts w:ascii="Times New Roman" w:hAnsi="Times New Roman" w:cs="Times New Roman"/>
        </w:rPr>
        <w:fldChar w:fldCharType="end"/>
      </w:r>
      <w:r w:rsidRPr="00CF3C8F">
        <w:rPr>
          <w:rFonts w:ascii="Times New Roman" w:hAnsi="Times New Roman" w:cs="Times New Roman"/>
        </w:rPr>
        <w:t>. Heterogenous element distributions and speciation necessitates plasticity from microbial life in accessing essential nutrients. Only microbes capable of metabolizing the available nutrients will subsist in a</w:t>
      </w:r>
      <w:r>
        <w:rPr>
          <w:rFonts w:ascii="Times New Roman" w:hAnsi="Times New Roman" w:cs="Times New Roman"/>
        </w:rPr>
        <w:t xml:space="preserve"> given</w:t>
      </w:r>
      <w:r w:rsidRPr="00CF3C8F">
        <w:rPr>
          <w:rFonts w:ascii="Times New Roman" w:hAnsi="Times New Roman" w:cs="Times New Roman"/>
        </w:rPr>
        <w:t xml:space="preserve"> environment. </w:t>
      </w:r>
      <w:r>
        <w:rPr>
          <w:rFonts w:ascii="Times New Roman" w:hAnsi="Times New Roman" w:cs="Times New Roman"/>
        </w:rPr>
        <w:t>Thus</w:t>
      </w:r>
      <w:r w:rsidR="00787753">
        <w:rPr>
          <w:rFonts w:ascii="Times New Roman" w:hAnsi="Times New Roman" w:cs="Times New Roman"/>
        </w:rPr>
        <w:t>,</w:t>
      </w:r>
      <w:r w:rsidR="00972124">
        <w:rPr>
          <w:rFonts w:ascii="Times New Roman" w:hAnsi="Times New Roman" w:cs="Times New Roman"/>
        </w:rPr>
        <w:t xml:space="preserve"> </w:t>
      </w:r>
      <w:r w:rsidR="005418C0">
        <w:rPr>
          <w:rFonts w:ascii="Times New Roman" w:hAnsi="Times New Roman" w:cs="Times New Roman"/>
        </w:rPr>
        <w:t>a</w:t>
      </w:r>
      <w:r w:rsidR="00972124">
        <w:rPr>
          <w:rFonts w:ascii="Times New Roman" w:hAnsi="Times New Roman" w:cs="Times New Roman"/>
        </w:rPr>
        <w:t xml:space="preserve"> </w:t>
      </w:r>
      <w:r w:rsidR="00787753">
        <w:rPr>
          <w:rFonts w:ascii="Times New Roman" w:hAnsi="Times New Roman" w:cs="Times New Roman"/>
        </w:rPr>
        <w:t>prerequisite</w:t>
      </w:r>
      <w:r w:rsidR="00972124">
        <w:rPr>
          <w:rFonts w:ascii="Times New Roman" w:hAnsi="Times New Roman" w:cs="Times New Roman"/>
        </w:rPr>
        <w:t xml:space="preserve"> </w:t>
      </w:r>
      <w:r w:rsidR="00787753">
        <w:rPr>
          <w:rFonts w:ascii="Times New Roman" w:hAnsi="Times New Roman" w:cs="Times New Roman"/>
        </w:rPr>
        <w:t xml:space="preserve">for linking </w:t>
      </w:r>
      <w:r>
        <w:rPr>
          <w:rFonts w:ascii="Times New Roman" w:hAnsi="Times New Roman" w:cs="Times New Roman"/>
        </w:rPr>
        <w:t>p</w:t>
      </w:r>
      <w:r w:rsidRPr="00CF3C8F">
        <w:rPr>
          <w:rFonts w:ascii="Times New Roman" w:hAnsi="Times New Roman" w:cs="Times New Roman"/>
        </w:rPr>
        <w:t xml:space="preserve">redictive </w:t>
      </w:r>
      <w:r w:rsidR="00787753">
        <w:rPr>
          <w:rFonts w:ascii="Times New Roman" w:hAnsi="Times New Roman" w:cs="Times New Roman"/>
        </w:rPr>
        <w:t xml:space="preserve">geochemistry with </w:t>
      </w:r>
      <w:r w:rsidRPr="00CF3C8F">
        <w:rPr>
          <w:rFonts w:ascii="Times New Roman" w:hAnsi="Times New Roman" w:cs="Times New Roman"/>
        </w:rPr>
        <w:t xml:space="preserve">ecological modeling </w:t>
      </w:r>
      <w:r w:rsidR="00787753">
        <w:rPr>
          <w:rFonts w:ascii="Times New Roman" w:hAnsi="Times New Roman" w:cs="Times New Roman"/>
        </w:rPr>
        <w:t>is a</w:t>
      </w:r>
      <w:r w:rsidRPr="00CF3C8F">
        <w:rPr>
          <w:rFonts w:ascii="Times New Roman" w:hAnsi="Times New Roman" w:cs="Times New Roman"/>
        </w:rPr>
        <w:t xml:space="preserve"> fundamental characterization of the metabolisms driving biogeochemistry </w:t>
      </w:r>
      <w:r w:rsidRPr="00CF3C8F">
        <w:rPr>
          <w:rFonts w:ascii="Times New Roman" w:hAnsi="Times New Roman" w:cs="Times New Roman"/>
        </w:rPr>
        <w:fldChar w:fldCharType="begin" w:fldLock="1"/>
      </w:r>
      <w:r w:rsidR="00972124">
        <w:rPr>
          <w:rFonts w:ascii="Times New Roman" w:hAnsi="Times New Roman" w:cs="Times New Roman"/>
        </w:rPr>
        <w:instrText>ADDIN CSL_CITATION {"citationItems":[{"id":"ITEM-1","itemData":{"DOI":"10.1038/ismej.2016.45","ISSN":"17517370","PMID":"27022995","abstract":"The importance of microbial communities (MCs) cannot be overstated. MCs underpin the biogeochemical cycles of the earth's soil, oceans and the atmosphere, and perform ecosystem functions that impact plants, animals and humans. Yet our ability to predict and manage the function of these highly complex, dynamically changing communities is limited. Building predictive models that link MC composition to function is a key emerging challenge in microbial ecology. Here, we argue that addressing this challenge requires close coordination of experimental data collection and method development with mathematical model building. We discuss specific examples where model-experiment integration has already resulted in important insights into MC function and structure. We also highlight key research questions that still demand better integration of experiments and models. We argue that such integration is needed to achieve significant progress in our understanding of MC dynamics and function, and we make specific practical suggestions as to how this could be achieved.","author":[{"dropping-particle":"","family":"Widder","given":"Stefanie","non-dropping-particle":"","parse-names":false,"suffix":""},{"dropping-particle":"","family":"Allen","given":"Rosalind J.","non-dropping-particle":"","parse-names":false,"suffix":""},{"dropping-particle":"","family":"Pfeiffer","given":"Thomas","non-dropping-particle":"","parse-names":false,"suffix":""},{"dropping-particle":"","family":"Curtis","given":"Thomas P.","non-dropping-particle":"","parse-names":false,"suffix":""},{"dropping-particle":"","family":"Wiuf","given":"Carsten","non-dropping-particle":"","parse-names":false,"suffix":""},{"dropping-particle":"","family":"Sloan","given":"William T.","non-dropping-particle":"","parse-names":false,"suffix":""},{"dropping-particle":"","family":"Cordero","given":"Otto X.","non-dropping-particle":"","parse-names":false,"suffix":""},{"dropping-particle":"","family":"Brown","given":"Sam P.","non-dropping-particle":"","parse-names":false,"suffix":""},{"dropping-particle":"","family":"Momeni","given":"Babak","non-dropping-particle":"","parse-names":false,"suffix":""},{"dropping-particle":"","family":"Shou","given":"Wenying","non-dropping-particle":"","parse-names":false,"suffix":""},{"dropping-particle":"","family":"Kettle","given":"Helen","non-dropping-particle":"","parse-names":false,"suffix":""},{"dropping-particle":"","family":"Flint","given":"Harry J.","non-dropping-particle":"","parse-names":false,"suffix":""},{"dropping-particle":"","family":"Haas","given":"Andreas F.","non-dropping-particle":"","parse-names":false,"suffix":""},{"dropping-particle":"","family":"Laroche","given":"Béatrice","non-dropping-particle":"","parse-names":false,"suffix":""},{"dropping-particle":"","family":"Kreft","given":"Jan Ulrich","non-dropping-particle":"","parse-names":false,"suffix":""},{"dropping-particle":"","family":"Rainey","given":"Paul B.","non-dropping-particle":"","parse-names":false,"suffix":""},{"dropping-particle":"","family":"Freilich","given":"Shiri","non-dropping-particle":"","parse-names":false,"suffix":""},{"dropping-particle":"","family":"Schuster","given":"Stefan","non-dropping-particle":"","parse-names":false,"suffix":""},{"dropping-particle":"","family":"Milferstedt","given":"Kim","non-dropping-particle":"","parse-names":false,"suffix":""},{"dropping-particle":"","family":"Meer","given":"Jan R.","non-dropping-particle":"Van Der","parse-names":false,"suffix":""},{"dropping-particle":"","family":"Grobkopf","given":"Tobias","non-dropping-particle":"","parse-names":false,"suffix":""},{"dropping-particle":"","family":"Huisman","given":"Jef","non-dropping-particle":"","parse-names":false,"suffix":""},{"dropping-particle":"","family":"Free","given":"Andrew","non-dropping-particle":"","parse-names":false,"suffix":""},{"dropping-particle":"","family":"Picioreanu","given":"Cristian","non-dropping-particle":"","parse-names":false,"suffix":""},{"dropping-particle":"","family":"Quince","given":"Christopher","non-dropping-particle":"","parse-names":false,"suffix":""},{"dropping-particle":"","family":"Klapper","given":"Isaac","non-dropping-particle":"","parse-names":false,"suffix":""},{"dropping-particle":"","family":"Labarthe","given":"Simon","non-dropping-particle":"","parse-names":false,"suffix":""},{"dropping-particle":"","family":"Smets","given":"Barth F.","non-dropping-particle":"","parse-names":false,"suffix":""},{"dropping-particle":"","family":"Wang","given":"Harris","non-dropping-particle":"","parse-names":false,"suffix":""},{"dropping-particle":"","family":"Soyer","given":"Orkun S.","non-dropping-particle":"","parse-names":false,"suffix":""},{"dropping-particle":"","family":"Allison","given":"Steven D.","non-dropping-particle":"","parse-names":false,"suffix":""},{"dropping-particle":"","family":"Chong","given":"James","non-dropping-particle":"","parse-names":false,"suffix":""},{"dropping-particle":"","family":"Lagomarsino","given":"Marco Cosentino","non-dropping-particle":"","parse-names":false,"suffix":""},{"dropping-particle":"","family":"Croze","given":"Ottavio A.","non-dropping-particle":"","parse-names":false,"suffix":""},{"dropping-particle":"","family":"Hamelin","given":"Jérôme","non-dropping-particle":"","parse-names":false,"suffix":""},{"dropping-particle":"","family":"Harmand","given":"Jérôme","non-dropping-particle":"","parse-names":false,"suffix":""},{"dropping-particle":"","family":"Hoyle","given":"Rebecca","non-dropping-particle":"","parse-names":false,"suffix":""},{"dropping-particle":"","family":"Hwa","given":"Terence T.","non-dropping-particle":"","parse-names":false,"suffix":""},{"dropping-particle":"","family":"Jin","given":"Qusheng","non-dropping-particle":"","parse-names":false,"suffix":""},{"dropping-particle":"","family":"Johnson","given":"David R.","non-dropping-particle":"","parse-names":false,"suffix":""},{"dropping-particle":"","family":"Lorenzo","given":"Víctor","non-dropping-particle":"de","parse-names":false,"suffix":""},{"dropping-particle":"","family":"Mobilia","given":"Mauro","non-dropping-particle":"","parse-names":false,"suffix":""},{"dropping-particle":"","family":"Murphy","given":"Barry","non-dropping-particle":"","parse-names":false,"suffix":""},{"dropping-particle":"","family":"Peaudecerf","given":"François","non-dropping-particle":"","parse-names":false,"suffix":""},{"dropping-particle":"","family":"Prosser","given":"James I.","non-dropping-particle":"","parse-names":false,"suffix":""},{"dropping-particle":"","family":"Quinn","given":"Robert A.","non-dropping-particle":"","parse-names":false,"suffix":""},{"dropping-particle":"","family":"Ralser","given":"Markus","non-dropping-particle":"","parse-names":false,"suffix":""},{"dropping-particle":"","family":"Smith","given":"Alison G.","non-dropping-particle":"","parse-names":false,"suffix":""},{"dropping-particle":"","family":"Steyer","given":"Jean Philippe","non-dropping-particle":"","parse-names":false,"suffix":""},{"dropping-particle":"","family":"Swainston","given":"Neil","non-dropping-particle":"","parse-names":false,"suffix":""},{"dropping-particle":"","family":"Tarnita","given":"Corina E.","non-dropping-particle":"","parse-names":false,"suffix":""},{"dropping-particle":"","family":"Trably","given":"Eric","non-dropping-particle":"","parse-names":false,"suffix":""},{"dropping-particle":"","family":"Warren","given":"Patrick B.","non-dropping-particle":"","parse-names":false,"suffix":""},{"dropping-particle":"","family":"Wilmes","given":"Paul","non-dropping-particle":"","parse-names":false,"suffix":""}],"container-title":"ISME Journal","id":"ITEM-1","issue":"11","issued":{"date-parts":[["2016"]]},"page":"2557-2568","title":"Challenges in microbial ecology: Building predictive understanding of community function and dynamics","type":"article-journal","volume":"10"},"uris":["http://www.mendeley.com/documents/?uuid=4a3d933d-7dd7-466b-98dc-14348791d81e"]}],"mendeley":{"formattedCitation":"(2)","plainTextFormattedCitation":"(2)","previouslyFormattedCitation":"(2)"},"properties":{"noteIndex":0},"schema":"https://github.com/citation-style-language/schema/raw/master/csl-citation.json"}</w:instrText>
      </w:r>
      <w:r w:rsidRPr="00CF3C8F">
        <w:rPr>
          <w:rFonts w:ascii="Times New Roman" w:hAnsi="Times New Roman" w:cs="Times New Roman"/>
        </w:rPr>
        <w:fldChar w:fldCharType="separate"/>
      </w:r>
      <w:r w:rsidR="000B4859" w:rsidRPr="000B4859">
        <w:rPr>
          <w:rFonts w:ascii="Times New Roman" w:hAnsi="Times New Roman" w:cs="Times New Roman"/>
          <w:noProof/>
        </w:rPr>
        <w:t>(2)</w:t>
      </w:r>
      <w:r w:rsidRPr="00CF3C8F">
        <w:rPr>
          <w:rFonts w:ascii="Times New Roman" w:hAnsi="Times New Roman" w:cs="Times New Roman"/>
        </w:rPr>
        <w:fldChar w:fldCharType="end"/>
      </w:r>
      <w:r w:rsidRPr="00CF3C8F">
        <w:rPr>
          <w:rFonts w:ascii="Times New Roman" w:hAnsi="Times New Roman" w:cs="Times New Roman"/>
        </w:rPr>
        <w:t xml:space="preserve">. </w:t>
      </w:r>
    </w:p>
    <w:p w14:paraId="1DAEA5C8" w14:textId="5329CA7D" w:rsidR="002C73E4" w:rsidRDefault="002C73E4" w:rsidP="002C73E4">
      <w:pPr>
        <w:spacing w:line="480" w:lineRule="auto"/>
        <w:ind w:firstLine="720"/>
        <w:rPr>
          <w:rFonts w:ascii="Times New Roman" w:hAnsi="Times New Roman" w:cs="Times New Roman"/>
        </w:rPr>
      </w:pPr>
      <w:r w:rsidRPr="00CF3C8F">
        <w:rPr>
          <w:rFonts w:ascii="Times New Roman" w:hAnsi="Times New Roman" w:cs="Times New Roman"/>
        </w:rPr>
        <w:t xml:space="preserve">Constraining the diversity of microbial metabolisms—How many metabolisms? What is the </w:t>
      </w:r>
      <w:bookmarkStart w:id="8" w:name="_Hlk41979473"/>
      <w:r w:rsidRPr="00CF3C8F">
        <w:rPr>
          <w:rFonts w:ascii="Times New Roman" w:hAnsi="Times New Roman" w:cs="Times New Roman"/>
        </w:rPr>
        <w:t>spatiotemporal</w:t>
      </w:r>
      <w:bookmarkEnd w:id="8"/>
      <w:r w:rsidRPr="00CF3C8F">
        <w:rPr>
          <w:rFonts w:ascii="Times New Roman" w:hAnsi="Times New Roman" w:cs="Times New Roman"/>
        </w:rPr>
        <w:t xml:space="preserve"> presence of metabolisms? What elemental speciation is </w:t>
      </w:r>
      <w:r>
        <w:rPr>
          <w:rFonts w:ascii="Times New Roman" w:hAnsi="Times New Roman" w:cs="Times New Roman"/>
        </w:rPr>
        <w:t xml:space="preserve">being </w:t>
      </w:r>
      <w:r w:rsidRPr="00CF3C8F">
        <w:rPr>
          <w:rFonts w:ascii="Times New Roman" w:hAnsi="Times New Roman" w:cs="Times New Roman"/>
        </w:rPr>
        <w:t>metabolized? —is an ongoing research topic in microbiology. New metabolisms are regularly theorized based on thermodynamics, only to be later discovered in nature. A prominent example is anaerobic oxidation of ammonium (anammox)</w:t>
      </w:r>
      <w:r>
        <w:rPr>
          <w:rFonts w:ascii="Times New Roman" w:hAnsi="Times New Roman" w:cs="Times New Roman"/>
        </w:rPr>
        <w:t>.</w:t>
      </w:r>
      <w:r w:rsidRPr="00CF3C8F">
        <w:rPr>
          <w:rFonts w:ascii="Times New Roman" w:hAnsi="Times New Roman" w:cs="Times New Roman"/>
        </w:rPr>
        <w:t xml:space="preserve"> </w:t>
      </w:r>
      <w:r>
        <w:rPr>
          <w:rFonts w:ascii="Times New Roman" w:hAnsi="Times New Roman" w:cs="Times New Roman"/>
        </w:rPr>
        <w:t>T</w:t>
      </w:r>
      <w:r w:rsidRPr="00CF3C8F">
        <w:rPr>
          <w:rFonts w:ascii="Times New Roman" w:hAnsi="Times New Roman" w:cs="Times New Roman"/>
        </w:rPr>
        <w:t>heorized in the 1970s using thermodynamics</w:t>
      </w:r>
      <w:r>
        <w:rPr>
          <w:rFonts w:ascii="Times New Roman" w:hAnsi="Times New Roman" w:cs="Times New Roman"/>
        </w:rPr>
        <w:t>, an anammox</w:t>
      </w:r>
      <w:r w:rsidRPr="00CF3C8F">
        <w:rPr>
          <w:rFonts w:ascii="Times New Roman" w:hAnsi="Times New Roman" w:cs="Times New Roman"/>
        </w:rPr>
        <w:t xml:space="preserve"> </w:t>
      </w:r>
      <w:r>
        <w:rPr>
          <w:rFonts w:ascii="Times New Roman" w:hAnsi="Times New Roman" w:cs="Times New Roman"/>
        </w:rPr>
        <w:t xml:space="preserve">metabolism was </w:t>
      </w:r>
      <w:r w:rsidRPr="00CF3C8F">
        <w:rPr>
          <w:rFonts w:ascii="Times New Roman" w:hAnsi="Times New Roman" w:cs="Times New Roman"/>
        </w:rPr>
        <w:t xml:space="preserve">not observed in nature until 2003 </w:t>
      </w:r>
      <w:r w:rsidRPr="00CF3C8F">
        <w:rPr>
          <w:rFonts w:ascii="Times New Roman" w:hAnsi="Times New Roman" w:cs="Times New Roman"/>
        </w:rPr>
        <w:fldChar w:fldCharType="begin" w:fldLock="1"/>
      </w:r>
      <w:r w:rsidR="00972124">
        <w:rPr>
          <w:rFonts w:ascii="Times New Roman" w:hAnsi="Times New Roman" w:cs="Times New Roman"/>
        </w:rPr>
        <w:instrText>ADDIN CSL_CITATION {"citationItems":[{"id":"ITEM-1","itemData":{"DOI":"10.1038/nature01472","ISSN":"0028-0836","author":[{"dropping-particle":"","family":"Kuypers","given":"Marcel M. M.","non-dropping-particle":"","parse-names":false,"suffix":""},{"dropping-particle":"","family":"Sliekers","given":"A. Olav","non-dropping-particle":"","parse-names":false,"suffix":""},{"dropping-particle":"","family":"Lavik","given":"Gaute","non-dropping-particle":"","parse-names":false,"suffix":""},{"dropping-particle":"","family":"Schmid","given":"Markus","non-dropping-particle":"","parse-names":false,"suffix":""},{"dropping-particle":"","family":"Jørgensen","given":"Bo Barker","non-dropping-particle":"","parse-names":false,"suffix":""},{"dropping-particle":"","family":"Kuenen","given":"J. Gijs","non-dropping-particle":"","parse-names":false,"suffix":""},{"dropping-particle":"","family":"Sinninghe Damsté","given":"Jaap S.","non-dropping-particle":"","parse-names":false,"suffix":""},{"dropping-particle":"","family":"Strous","given":"Marc","non-dropping-particle":"","parse-names":false,"suffix":""},{"dropping-particle":"","family":"Jetten","given":"Mike S. M.","non-dropping-particle":"","parse-names":false,"suffix":""}],"container-title":"Nature","id":"ITEM-1","issue":"6932","issued":{"date-parts":[["2003","4","10"]]},"page":"608-611","publisher":"Nature Publishing Group","title":"Anaerobic ammonium oxidation by anammox bacteria in the Black Sea","type":"article-journal","volume":"422"},"uris":["http://www.mendeley.com/documents/?uuid=63fbae6d-529f-39ba-b07d-5c4df9f29251"]},{"id":"ITEM-2","itemData":{"DOI":"10.1038/nature01526","ISSN":"0028-0836","author":[{"dropping-particle":"","family":"Dalsgaard","given":"Tage","non-dropping-particle":"","parse-names":false,"suffix":""},{"dropping-particle":"","family":"Canfield","given":"Donald E.","non-dropping-particle":"","parse-names":false,"suffix":""},{"dropping-particle":"","family":"Petersen","given":"Jan","non-dropping-particle":"","parse-names":false,"suffix":""},{"dropping-particle":"","family":"Thamdrup","given":"Bo","non-dropping-particle":"","parse-names":false,"suffix":""},{"dropping-particle":"","family":"Acuña-González","given":"Jenaro","non-dropping-particle":"","parse-names":false,"suffix":""}],"container-title":"Nature","id":"ITEM-2","issue":"6932","issued":{"date-parts":[["2003","4","10"]]},"page":"606-608","publisher":"Nature Publishing Group","title":"N2 production by the anammox reaction in the anoxic water column of Golfo Dulce, Costa Rica","type":"article-journal","volume":"422"},"uris":["http://www.mendeley.com/documents/?uuid=29055916-161f-3982-a93d-f591ff45af9f"]}],"mendeley":{"formattedCitation":"(3, 4)","plainTextFormattedCitation":"(3, 4)","previouslyFormattedCitation":"(3, 4)"},"properties":{"noteIndex":0},"schema":"https://github.com/citation-style-language/schema/raw/master/csl-citation.json"}</w:instrText>
      </w:r>
      <w:r w:rsidRPr="00CF3C8F">
        <w:rPr>
          <w:rFonts w:ascii="Times New Roman" w:hAnsi="Times New Roman" w:cs="Times New Roman"/>
        </w:rPr>
        <w:fldChar w:fldCharType="separate"/>
      </w:r>
      <w:r w:rsidR="000B4859" w:rsidRPr="000B4859">
        <w:rPr>
          <w:rFonts w:ascii="Times New Roman" w:hAnsi="Times New Roman" w:cs="Times New Roman"/>
          <w:noProof/>
        </w:rPr>
        <w:t>(3, 4)</w:t>
      </w:r>
      <w:r w:rsidRPr="00CF3C8F">
        <w:rPr>
          <w:rFonts w:ascii="Times New Roman" w:hAnsi="Times New Roman" w:cs="Times New Roman"/>
        </w:rPr>
        <w:fldChar w:fldCharType="end"/>
      </w:r>
      <w:r w:rsidRPr="00CF3C8F">
        <w:rPr>
          <w:rFonts w:ascii="Times New Roman" w:hAnsi="Times New Roman" w:cs="Times New Roman"/>
        </w:rPr>
        <w:t xml:space="preserve">. The theoretical </w:t>
      </w:r>
      <w:r>
        <w:rPr>
          <w:rFonts w:ascii="Times New Roman" w:hAnsi="Times New Roman" w:cs="Times New Roman"/>
        </w:rPr>
        <w:t xml:space="preserve">diversity </w:t>
      </w:r>
      <w:r w:rsidRPr="00CF3C8F">
        <w:rPr>
          <w:rFonts w:ascii="Times New Roman" w:hAnsi="Times New Roman" w:cs="Times New Roman"/>
        </w:rPr>
        <w:t>for microbial metabolism</w:t>
      </w:r>
      <w:r>
        <w:rPr>
          <w:rFonts w:ascii="Times New Roman" w:hAnsi="Times New Roman" w:cs="Times New Roman"/>
        </w:rPr>
        <w:t>s</w:t>
      </w:r>
      <w:r w:rsidRPr="00CF3C8F">
        <w:rPr>
          <w:rFonts w:ascii="Times New Roman" w:hAnsi="Times New Roman" w:cs="Times New Roman"/>
        </w:rPr>
        <w:t xml:space="preserve"> is </w:t>
      </w:r>
      <w:r>
        <w:rPr>
          <w:rFonts w:ascii="Times New Roman" w:hAnsi="Times New Roman" w:cs="Times New Roman"/>
        </w:rPr>
        <w:t xml:space="preserve">seemingly boundless, with the primary constraints being the number of </w:t>
      </w:r>
      <w:r w:rsidRPr="00CF3C8F">
        <w:rPr>
          <w:rFonts w:ascii="Times New Roman" w:hAnsi="Times New Roman" w:cs="Times New Roman"/>
        </w:rPr>
        <w:t>chemical compound</w:t>
      </w:r>
      <w:r>
        <w:rPr>
          <w:rFonts w:ascii="Times New Roman" w:hAnsi="Times New Roman" w:cs="Times New Roman"/>
        </w:rPr>
        <w:t>s</w:t>
      </w:r>
      <w:r w:rsidRPr="00CF3C8F">
        <w:rPr>
          <w:rFonts w:ascii="Times New Roman" w:hAnsi="Times New Roman" w:cs="Times New Roman"/>
        </w:rPr>
        <w:t xml:space="preserve"> and the physical </w:t>
      </w:r>
      <w:r>
        <w:rPr>
          <w:rFonts w:ascii="Times New Roman" w:hAnsi="Times New Roman" w:cs="Times New Roman"/>
        </w:rPr>
        <w:t xml:space="preserve">limitations </w:t>
      </w:r>
      <w:r w:rsidRPr="00CF3C8F">
        <w:rPr>
          <w:rFonts w:ascii="Times New Roman" w:hAnsi="Times New Roman" w:cs="Times New Roman"/>
        </w:rPr>
        <w:t>of life (nutrients, temperature, pressure, pH, etc.). Specifically, a small activity product and high temperatures can shift a</w:t>
      </w:r>
      <w:r>
        <w:rPr>
          <w:rFonts w:ascii="Times New Roman" w:hAnsi="Times New Roman" w:cs="Times New Roman"/>
        </w:rPr>
        <w:t>ny</w:t>
      </w:r>
      <w:r w:rsidRPr="00CF3C8F">
        <w:rPr>
          <w:rFonts w:ascii="Times New Roman" w:hAnsi="Times New Roman" w:cs="Times New Roman"/>
        </w:rPr>
        <w:t xml:space="preserve"> positive standard Gibbs energy to a negative overall Gibbs energy</w:t>
      </w:r>
      <w:r>
        <w:rPr>
          <w:rFonts w:ascii="Times New Roman" w:hAnsi="Times New Roman" w:cs="Times New Roman"/>
        </w:rPr>
        <w:t xml:space="preserve">, even if standard Gibbs energy is positive </w:t>
      </w:r>
      <w:r w:rsidRPr="00CF3C8F">
        <w:rPr>
          <w:rFonts w:ascii="Times New Roman" w:hAnsi="Times New Roman" w:cs="Times New Roman"/>
        </w:rPr>
        <w:fldChar w:fldCharType="begin" w:fldLock="1"/>
      </w:r>
      <w:r w:rsidR="00972124">
        <w:rPr>
          <w:rFonts w:ascii="Times New Roman" w:hAnsi="Times New Roman" w:cs="Times New Roman"/>
        </w:rPr>
        <w:instrText>ADDIN CSL_CITATION {"citationItems":[{"id":"ITEM-1","itemData":{"DOI":"10.1111/1462-2920.14778","ISSN":"14622920","abstract":"The biology literature is rife with misleading information on how to quantify catabolic reaction energetics. The principal misconception is that the sign and value of the standard Gibbs energy ((Formula presented.)) define the direction and energy yield of a reaction; they do not. (Formula presented.) is one part of the actual Gibbs energy of a reaction (ΔGr), with a second part accounting for deviations from the standard composition. It is also frequently assumed that (Formula presented.) applies only to 25 °C and 1 bar; it does not. (Formula presented.) is a function of temperature and pressure. Here, we review how to determine ΔGr as a function of temperature, pressure and chemical composition for microbial catabolic reactions, including a discussion of the effects of ionic strength on ΔGr and highlighting the large effects when multi-valent ions are part of the reaction. We also calculate ΔGr for five example catabolisms at specific environmental conditions: aerobic respiration of glucose in freshwater, anaerobic respiration of acetate in marine sediment, hydrogenotrophic methanogenesis in a laboratory batch reactor, anaerobic ammonia oxidation in a wastewater reactor and aerobic pyrite oxidation in acid mine drainage. These examples serve as templates to determine the energy yields of other catabolic reactions at environmentally relevant conditions.","author":[{"dropping-particle":"","family":"Amend","given":"Jan P.","non-dropping-particle":"","parse-names":false,"suffix":""},{"dropping-particle":"","family":"LaRowe","given":"Douglas E.","non-dropping-particle":"","parse-names":false,"suffix":""}],"container-title":"Environmental Microbiology","id":"ITEM-1","issue":"10","issued":{"date-parts":[["2019"]]},"page":"3539-3547","title":"Minireview: demystifying microbial reaction energetics","type":"article-journal","volume":"21"},"uris":["http://www.mendeley.com/documents/?uuid=cf283c51-8183-401e-8378-52d990f57d5b"]}],"mendeley":{"formattedCitation":"(5)","plainTextFormattedCitation":"(5)","previouslyFormattedCitation":"(5)"},"properties":{"noteIndex":0},"schema":"https://github.com/citation-style-language/schema/raw/master/csl-citation.json"}</w:instrText>
      </w:r>
      <w:r w:rsidRPr="00CF3C8F">
        <w:rPr>
          <w:rFonts w:ascii="Times New Roman" w:hAnsi="Times New Roman" w:cs="Times New Roman"/>
        </w:rPr>
        <w:fldChar w:fldCharType="separate"/>
      </w:r>
      <w:r w:rsidR="000B4859" w:rsidRPr="000B4859">
        <w:rPr>
          <w:rFonts w:ascii="Times New Roman" w:hAnsi="Times New Roman" w:cs="Times New Roman"/>
          <w:noProof/>
        </w:rPr>
        <w:t>(5)</w:t>
      </w:r>
      <w:r w:rsidRPr="00CF3C8F">
        <w:rPr>
          <w:rFonts w:ascii="Times New Roman" w:hAnsi="Times New Roman" w:cs="Times New Roman"/>
        </w:rPr>
        <w:fldChar w:fldCharType="end"/>
      </w:r>
      <w:r w:rsidRPr="00CF3C8F">
        <w:rPr>
          <w:rFonts w:ascii="Times New Roman" w:hAnsi="Times New Roman" w:cs="Times New Roman"/>
        </w:rPr>
        <w:t>. As a practical matter, activation energy barriers regulate the kinetics for energetically favorable reactions. It is through</w:t>
      </w:r>
      <w:r>
        <w:rPr>
          <w:rFonts w:ascii="Times New Roman" w:hAnsi="Times New Roman" w:cs="Times New Roman"/>
        </w:rPr>
        <w:t xml:space="preserve"> individual</w:t>
      </w:r>
      <w:r w:rsidRPr="00CF3C8F">
        <w:rPr>
          <w:rFonts w:ascii="Times New Roman" w:hAnsi="Times New Roman" w:cs="Times New Roman"/>
        </w:rPr>
        <w:t xml:space="preserve"> enzymes that microbes reduce the</w:t>
      </w:r>
      <w:r w:rsidR="00F74F65">
        <w:rPr>
          <w:rFonts w:ascii="Times New Roman" w:hAnsi="Times New Roman" w:cs="Times New Roman"/>
        </w:rPr>
        <w:t>se</w:t>
      </w:r>
      <w:r w:rsidRPr="00CF3C8F">
        <w:rPr>
          <w:rFonts w:ascii="Times New Roman" w:hAnsi="Times New Roman" w:cs="Times New Roman"/>
        </w:rPr>
        <w:t xml:space="preserve"> kinetic barriers. </w:t>
      </w:r>
    </w:p>
    <w:p w14:paraId="501A9BEF" w14:textId="3F5F4808" w:rsidR="002C73E4" w:rsidRPr="00CF3C8F" w:rsidRDefault="002C73E4" w:rsidP="002C73E4">
      <w:pPr>
        <w:spacing w:line="480" w:lineRule="auto"/>
        <w:ind w:firstLine="720"/>
        <w:rPr>
          <w:rFonts w:ascii="Times New Roman" w:hAnsi="Times New Roman" w:cs="Times New Roman"/>
        </w:rPr>
      </w:pPr>
      <w:r>
        <w:rPr>
          <w:rFonts w:ascii="Times New Roman" w:hAnsi="Times New Roman" w:cs="Times New Roman"/>
        </w:rPr>
        <w:lastRenderedPageBreak/>
        <w:t xml:space="preserve">Ideally, </w:t>
      </w:r>
      <w:r w:rsidR="00902CDD">
        <w:rPr>
          <w:rFonts w:ascii="Times New Roman" w:hAnsi="Times New Roman" w:cs="Times New Roman"/>
        </w:rPr>
        <w:t xml:space="preserve">discerning </w:t>
      </w:r>
      <w:r w:rsidR="008C013C">
        <w:rPr>
          <w:rFonts w:ascii="Times New Roman" w:hAnsi="Times New Roman" w:cs="Times New Roman"/>
        </w:rPr>
        <w:t>whether a</w:t>
      </w:r>
      <w:r w:rsidR="0078280C">
        <w:rPr>
          <w:rFonts w:ascii="Times New Roman" w:hAnsi="Times New Roman" w:cs="Times New Roman"/>
        </w:rPr>
        <w:t xml:space="preserve"> </w:t>
      </w:r>
      <w:r w:rsidRPr="00CF3C8F">
        <w:rPr>
          <w:rFonts w:ascii="Times New Roman" w:hAnsi="Times New Roman" w:cs="Times New Roman"/>
        </w:rPr>
        <w:t>microbe</w:t>
      </w:r>
      <w:r w:rsidR="0078280C">
        <w:rPr>
          <w:rFonts w:ascii="Times New Roman" w:hAnsi="Times New Roman" w:cs="Times New Roman"/>
        </w:rPr>
        <w:t xml:space="preserve"> </w:t>
      </w:r>
      <w:r w:rsidR="008C013C">
        <w:rPr>
          <w:rFonts w:ascii="Times New Roman" w:hAnsi="Times New Roman" w:cs="Times New Roman"/>
        </w:rPr>
        <w:t xml:space="preserve">can </w:t>
      </w:r>
      <w:r>
        <w:rPr>
          <w:rFonts w:ascii="Times New Roman" w:hAnsi="Times New Roman" w:cs="Times New Roman"/>
        </w:rPr>
        <w:t xml:space="preserve">mediate </w:t>
      </w:r>
      <w:r w:rsidR="0078280C">
        <w:rPr>
          <w:rFonts w:ascii="Times New Roman" w:hAnsi="Times New Roman" w:cs="Times New Roman"/>
        </w:rPr>
        <w:t xml:space="preserve">a </w:t>
      </w:r>
      <w:r w:rsidRPr="00CF3C8F">
        <w:rPr>
          <w:rFonts w:ascii="Times New Roman" w:hAnsi="Times New Roman" w:cs="Times New Roman"/>
        </w:rPr>
        <w:t>reaction</w:t>
      </w:r>
      <w:r w:rsidR="0078280C">
        <w:rPr>
          <w:rFonts w:ascii="Times New Roman" w:hAnsi="Times New Roman" w:cs="Times New Roman"/>
        </w:rPr>
        <w:t>, or possess</w:t>
      </w:r>
      <w:r w:rsidR="008C013C">
        <w:rPr>
          <w:rFonts w:ascii="Times New Roman" w:hAnsi="Times New Roman" w:cs="Times New Roman"/>
        </w:rPr>
        <w:t>es</w:t>
      </w:r>
      <w:r w:rsidR="0078280C">
        <w:rPr>
          <w:rFonts w:ascii="Times New Roman" w:hAnsi="Times New Roman" w:cs="Times New Roman"/>
        </w:rPr>
        <w:t xml:space="preserve"> a metabolism</w:t>
      </w:r>
      <w:r w:rsidR="000B4859">
        <w:rPr>
          <w:rFonts w:ascii="Times New Roman" w:hAnsi="Times New Roman" w:cs="Times New Roman"/>
        </w:rPr>
        <w:t xml:space="preserve"> type</w:t>
      </w:r>
      <w:r w:rsidR="0078280C">
        <w:rPr>
          <w:rFonts w:ascii="Times New Roman" w:hAnsi="Times New Roman" w:cs="Times New Roman"/>
        </w:rPr>
        <w:t>,</w:t>
      </w:r>
      <w:r w:rsidRPr="00CF3C8F">
        <w:rPr>
          <w:rFonts w:ascii="Times New Roman" w:hAnsi="Times New Roman" w:cs="Times New Roman"/>
        </w:rPr>
        <w:t xml:space="preserve"> </w:t>
      </w:r>
      <w:r>
        <w:rPr>
          <w:rFonts w:ascii="Times New Roman" w:hAnsi="Times New Roman" w:cs="Times New Roman"/>
        </w:rPr>
        <w:t xml:space="preserve">is </w:t>
      </w:r>
      <w:r w:rsidR="00902CDD">
        <w:rPr>
          <w:rFonts w:ascii="Times New Roman" w:hAnsi="Times New Roman" w:cs="Times New Roman"/>
        </w:rPr>
        <w:t xml:space="preserve">an exercise </w:t>
      </w:r>
      <w:r w:rsidR="0078280C">
        <w:rPr>
          <w:rFonts w:ascii="Times New Roman" w:hAnsi="Times New Roman" w:cs="Times New Roman"/>
        </w:rPr>
        <w:t xml:space="preserve">of observing </w:t>
      </w:r>
      <w:r w:rsidR="007A1053">
        <w:rPr>
          <w:rFonts w:ascii="Times New Roman" w:hAnsi="Times New Roman" w:cs="Times New Roman"/>
        </w:rPr>
        <w:t>a</w:t>
      </w:r>
      <w:r w:rsidR="000B4859">
        <w:rPr>
          <w:rFonts w:ascii="Times New Roman" w:hAnsi="Times New Roman" w:cs="Times New Roman"/>
        </w:rPr>
        <w:t xml:space="preserve"> reaction in </w:t>
      </w:r>
      <w:r w:rsidR="007A1053">
        <w:rPr>
          <w:rFonts w:ascii="Times New Roman" w:hAnsi="Times New Roman" w:cs="Times New Roman"/>
        </w:rPr>
        <w:t xml:space="preserve">conjunction </w:t>
      </w:r>
      <w:r w:rsidR="000B4859">
        <w:rPr>
          <w:rFonts w:ascii="Times New Roman" w:hAnsi="Times New Roman" w:cs="Times New Roman"/>
        </w:rPr>
        <w:t xml:space="preserve">with </w:t>
      </w:r>
      <w:r w:rsidR="007A1053">
        <w:rPr>
          <w:rFonts w:ascii="Times New Roman" w:hAnsi="Times New Roman" w:cs="Times New Roman"/>
        </w:rPr>
        <w:t>a microbial isolate</w:t>
      </w:r>
      <w:r>
        <w:rPr>
          <w:rFonts w:ascii="Times New Roman" w:hAnsi="Times New Roman" w:cs="Times New Roman"/>
        </w:rPr>
        <w:t>. In practice, most microbial lineages lack cultured representatives</w:t>
      </w:r>
      <w:r w:rsidR="000B4859">
        <w:rPr>
          <w:rFonts w:ascii="Times New Roman" w:hAnsi="Times New Roman" w:cs="Times New Roman"/>
        </w:rPr>
        <w:t xml:space="preserve"> </w:t>
      </w:r>
      <w:r w:rsidR="000B4859">
        <w:rPr>
          <w:rFonts w:ascii="Times New Roman" w:hAnsi="Times New Roman" w:cs="Times New Roman"/>
        </w:rPr>
        <w:fldChar w:fldCharType="begin" w:fldLock="1"/>
      </w:r>
      <w:r w:rsidR="00972124">
        <w:rPr>
          <w:rFonts w:ascii="Times New Roman" w:hAnsi="Times New Roman" w:cs="Times New Roman"/>
        </w:rPr>
        <w:instrText>ADDIN CSL_CITATION {"citationItems":[{"id":"ITEM-1","itemData":{"DOI":"10.1128/mSystems.00055-18","ISBN":"2379-5077 (Print) 2379-5077 (Linking)","ISSN":"2379-5077","PMID":"30273414","abstract":"&lt;p&gt; To describe a microbe’s physiology, including its metabolism, environmental roles, and growth characteristics, it must be grown in a laboratory culture. Unfortunately, many phylogenetically novel groups have never been cultured, so their physiologies have only been inferred from genomics and environmental characteristics. Although the diversity, or number of different taxonomic groups, of uncultured clades has been studied well, their global abundances, or numbers of cells in any given environment, have not been assessed. We quantified the degree of similarity of 16S rRNA gene sequences from diverse environments in publicly available metagenome and metatranscriptome databases, which we show have far less of the culture bias present in primer-amplified 16S rRNA gene surveys, to those of their nearest cultured relatives. Whether normalized to scaffold read depths or not, the highest abundances of metagenomic 16S rRNA gene sequences belong to phylogenetically novel uncultured groups in seawater, freshwater, terrestrial subsurface, soil, hypersaline environments, marine sediment, hot springs, hydrothermal vents, nonhuman hosts, snow, and bioreactors (22% to 87% uncultured genera to classes and 0% to 64% uncultured phyla). The exceptions were human and human-associated environments, which were dominated by cultured genera (45% to 97%). We estimate that uncultured genera and phyla could comprise 7.3 × 10 &lt;sup&gt;29&lt;/sup&gt; (81%) and 2.2 × 10 &lt;sup&gt;29&lt;/sup&gt; (25%) of microbial cells, respectively. Uncultured phyla were overrepresented in metatranscriptomes relative to metagenomes (46% to 84% of sequences in a given environment), suggesting that they are viable. Therefore, uncultured microbes, often from deeply phylogenetically divergent groups, dominate nonhuman environments on Earth, and their undiscovered physiologies may matter for Earth systems. &lt;/p&gt;","author":[{"dropping-particle":"","family":"Lloyd","given":"Karen G.","non-dropping-particle":"","parse-names":false,"suffix":""},{"dropping-particle":"","family":"Steen","given":"Andrew D.","non-dropping-particle":"","parse-names":false,"suffix":""},{"dropping-particle":"","family":"Ladau","given":"Joshua","non-dropping-particle":"","parse-names":false,"suffix":""},{"dropping-particle":"","family":"Yin","given":"Junqi","non-dropping-particle":"","parse-names":false,"suffix":""},{"dropping-particle":"","family":"Crosby","given":"Lonnie","non-dropping-particle":"","parse-names":false,"suffix":""}],"container-title":"mSystems","id":"ITEM-1","issue":"5","issued":{"date-parts":[["2018"]]},"page":"1-12","title":"Phylogenetically Novel Uncultured Microbial Cells Dominate Earth Microbiomes","type":"article-journal","volume":"3"},"uris":["http://www.mendeley.com/documents/?uuid=cbe35562-7a0a-4fc0-afb3-f48ebed5c158"]}],"mendeley":{"formattedCitation":"(6)","plainTextFormattedCitation":"(6)","previouslyFormattedCitation":"(6)"},"properties":{"noteIndex":0},"schema":"https://github.com/citation-style-language/schema/raw/master/csl-citation.json"}</w:instrText>
      </w:r>
      <w:r w:rsidR="000B4859">
        <w:rPr>
          <w:rFonts w:ascii="Times New Roman" w:hAnsi="Times New Roman" w:cs="Times New Roman"/>
        </w:rPr>
        <w:fldChar w:fldCharType="separate"/>
      </w:r>
      <w:r w:rsidR="000B4859" w:rsidRPr="000B4859">
        <w:rPr>
          <w:rFonts w:ascii="Times New Roman" w:hAnsi="Times New Roman" w:cs="Times New Roman"/>
          <w:noProof/>
        </w:rPr>
        <w:t>(6)</w:t>
      </w:r>
      <w:r w:rsidR="000B4859">
        <w:rPr>
          <w:rFonts w:ascii="Times New Roman" w:hAnsi="Times New Roman" w:cs="Times New Roman"/>
        </w:rPr>
        <w:fldChar w:fldCharType="end"/>
      </w:r>
      <w:r w:rsidR="007A1053">
        <w:rPr>
          <w:rFonts w:ascii="Times New Roman" w:hAnsi="Times New Roman" w:cs="Times New Roman"/>
        </w:rPr>
        <w:t xml:space="preserve">. This necessitates the use of culture-independent techniques to identify </w:t>
      </w:r>
      <w:r w:rsidR="00902CDD">
        <w:rPr>
          <w:rFonts w:ascii="Times New Roman" w:hAnsi="Times New Roman" w:cs="Times New Roman"/>
        </w:rPr>
        <w:t>proxies, or traits,</w:t>
      </w:r>
      <w:r w:rsidR="00692CAE">
        <w:rPr>
          <w:rFonts w:ascii="Times New Roman" w:hAnsi="Times New Roman" w:cs="Times New Roman"/>
        </w:rPr>
        <w:t xml:space="preserve"> which subsequently indicate whether a microbe has a </w:t>
      </w:r>
      <w:r w:rsidR="00902CDD">
        <w:rPr>
          <w:rFonts w:ascii="Times New Roman" w:hAnsi="Times New Roman" w:cs="Times New Roman"/>
        </w:rPr>
        <w:t xml:space="preserve">metabolism. </w:t>
      </w:r>
      <w:r w:rsidR="00915835">
        <w:rPr>
          <w:rFonts w:ascii="Times New Roman" w:hAnsi="Times New Roman" w:cs="Times New Roman"/>
        </w:rPr>
        <w:t xml:space="preserve">In particular, </w:t>
      </w:r>
      <w:r w:rsidR="00692CAE">
        <w:rPr>
          <w:rFonts w:ascii="Times New Roman" w:hAnsi="Times New Roman" w:cs="Times New Roman"/>
        </w:rPr>
        <w:t>‘</w:t>
      </w:r>
      <w:r w:rsidR="00915835">
        <w:rPr>
          <w:rFonts w:ascii="Times New Roman" w:hAnsi="Times New Roman" w:cs="Times New Roman"/>
        </w:rPr>
        <w:t>o</w:t>
      </w:r>
      <w:r w:rsidR="00692CAE">
        <w:rPr>
          <w:rFonts w:ascii="Times New Roman" w:hAnsi="Times New Roman" w:cs="Times New Roman"/>
        </w:rPr>
        <w:t xml:space="preserve">mics sequencing technologies </w:t>
      </w:r>
      <w:r w:rsidR="00915835">
        <w:rPr>
          <w:rFonts w:ascii="Times New Roman" w:hAnsi="Times New Roman" w:cs="Times New Roman"/>
        </w:rPr>
        <w:t xml:space="preserve">have become </w:t>
      </w:r>
      <w:r w:rsidR="00692CAE">
        <w:rPr>
          <w:rFonts w:ascii="Times New Roman" w:hAnsi="Times New Roman" w:cs="Times New Roman"/>
        </w:rPr>
        <w:t xml:space="preserve">mainstay </w:t>
      </w:r>
      <w:r w:rsidR="00915835">
        <w:rPr>
          <w:rFonts w:ascii="Times New Roman" w:hAnsi="Times New Roman" w:cs="Times New Roman"/>
        </w:rPr>
        <w:t>approaches for identifying microbial traits</w:t>
      </w:r>
      <w:r w:rsidR="004620D1">
        <w:rPr>
          <w:rFonts w:ascii="Times New Roman" w:hAnsi="Times New Roman" w:cs="Times New Roman"/>
        </w:rPr>
        <w:t xml:space="preserve">. </w:t>
      </w:r>
      <w:r w:rsidR="00F74F65">
        <w:rPr>
          <w:rFonts w:ascii="Times New Roman" w:hAnsi="Times New Roman" w:cs="Times New Roman"/>
        </w:rPr>
        <w:t>With sequencing, t</w:t>
      </w:r>
      <w:r w:rsidR="004620D1">
        <w:rPr>
          <w:rFonts w:ascii="Times New Roman" w:hAnsi="Times New Roman" w:cs="Times New Roman"/>
        </w:rPr>
        <w:t>raits are readily linked to specific microbial lineages and infer complex geochemical cycling</w:t>
      </w:r>
      <w:r w:rsidR="00C21EC3">
        <w:rPr>
          <w:rFonts w:ascii="Times New Roman" w:hAnsi="Times New Roman" w:cs="Times New Roman"/>
        </w:rPr>
        <w:t xml:space="preserve">. For instance, genomic sequencing has linked sulfur, nitrogen, carbon, and iron cycles via metabolic </w:t>
      </w:r>
      <w:proofErr w:type="spellStart"/>
      <w:r w:rsidR="00C21EC3">
        <w:rPr>
          <w:rFonts w:ascii="Times New Roman" w:hAnsi="Times New Roman" w:cs="Times New Roman"/>
        </w:rPr>
        <w:t>syntrophy</w:t>
      </w:r>
      <w:proofErr w:type="spellEnd"/>
      <w:r w:rsidR="00C21EC3">
        <w:rPr>
          <w:rFonts w:ascii="Times New Roman" w:hAnsi="Times New Roman" w:cs="Times New Roman"/>
        </w:rPr>
        <w:t xml:space="preserve"> in aquifers and estuary sediments</w:t>
      </w:r>
      <w:r w:rsidR="004620D1">
        <w:rPr>
          <w:rFonts w:ascii="Times New Roman" w:hAnsi="Times New Roman" w:cs="Times New Roman"/>
        </w:rPr>
        <w:t xml:space="preserve"> </w:t>
      </w:r>
      <w:r w:rsidR="004620D1">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{"citationItems":[{"id":"ITEM-1","itemData":{"DOI":"10.1038/ncomms13219","ISSN":"2041-1723","abstract":"&lt;p&gt;Microorganisms from the terrestrial subsurface are understudied. Here, Anantharaman &lt;i&gt;et al&lt;/i&gt;. analyse aquifer sediments and groundwater by genome-resolved metagenomics and reconstruct 2,540 genomes representing the majority of known bacterial phyla as well as 47 new p&amp;hellip;&lt;/p&gt;","author":[{"dropping-particle":"","family":"Anantharaman","given":"Karthik","non-dropping-particle":"","parse-names":false,"suffix":""},{"dropping-particle":"","family":"Brown","given":"Christopher T.","non-dropping-particle":"","parse-names":false,"suffix":""},{"dropping-particle":"","family":"Hug","given":"Laura A.","non-dropping-particle":"","parse-names":false,"suffix":""},{"dropping-particle":"","family":"Sharon","given":"Itai","non-dropping-particle":"","parse-names":false,"suffix":""},{"dropping-particle":"","family":"Castelle","given":"Cindy J.","non-dropping-particle":"","parse-names":false,"suffix":""},{"dropping-particle":"","family":"Probst","given":"Alexander J.","non-dropping-particle":"","parse-names":false,"suffix":""},{"dropping-particle":"","family":"Thomas","given":"Brian C.","non-dropping-particle":"","parse-names":false,"suffix":""},{"dropping-particle":"","family":"Singh","given":"Andrea","non-dropping-particle":"","parse-names":false,"suffix":""},{"dropping-particle":"","family":"Wilkins","given":"Michael J.","non-dropping-particle":"","parse-names":false,"suffix":""},{"dropping-particle":"","family":"Karaoz","given":"Ulas","non-dropping-particle":"","parse-names":false,"suffix":""},{"dropping-particle":"","family":"Brodie","given":"Eoin L.","non-dropping-particle":"","parse-names":false,"suffix":""},{"dropping-particle":"","family":"Williams","given":"Kenneth H.","non-dropping-particle":"","parse-names":false,"suffix":""},{"dropping-particle":"","family":"Hubbard","given":"Susan S.","non-dropping-particle":"","parse-names":false,"suffix":""},{"dropping-particle":"","family":"Banfield","given":"Jillian F.","non-dropping-particle":"","parse-names":false,"suffix":""}],"container-title":"Nature Communications","id":"ITEM-1","issued":{"date-parts":[["2016","10","24"]]},"page":"13219","publisher":"Nature Publishing Group","title":"Thousands of microbial genomes shed light on interconnected biogeochemical processes in an aquifer system","type":"article-journal","volume":"7"},"uris":["http://www.mendeley.com/documents/?uuid=9855ca4e-a03f-3c99-a688-b8838d09983a"]},{"id":"ITEM-2","itemData":{"DOI":"10.1186/s40168-015-0077-6","ISSN":"2049-2618","abstract":"Estuaries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J","non-dropping-particle":"","parse-names":false,"suffix":""}],"container-title":"Microbiome","id":"ITEM-2","issue":"1","issued":{"date-parts":[["2015","12","13"]]},"page":"14","publisher":"BioMed Central","title":"Genomic resolution of linkages in carbon, nitrogen, and sulfur cycling among widespread estuary sediment bacteria","type":"article-journal","volume":"3"},"uris":["http://www.mendeley.com/documents/?uuid=9a188f01-0081-3e79-a3ab-79086163d314"]}],"mendeley":{"formattedCitation":"(7, 8)","plainTextFormattedCitation":"(7, 8)","previouslyFormattedCitation":"(7, 8)"},"properties":{"noteIndex":0},"schema":"https://github.com/citation-style-language/schema/raw/master/csl-citation.json"}</w:instrText>
      </w:r>
      <w:r w:rsidR="004620D1">
        <w:rPr>
          <w:rFonts w:ascii="Times New Roman" w:hAnsi="Times New Roman" w:cs="Times New Roman"/>
        </w:rPr>
        <w:fldChar w:fldCharType="separate"/>
      </w:r>
      <w:r w:rsidR="004620D1" w:rsidRPr="004620D1">
        <w:rPr>
          <w:rFonts w:ascii="Times New Roman" w:hAnsi="Times New Roman" w:cs="Times New Roman"/>
          <w:noProof/>
        </w:rPr>
        <w:t>(7, 8)</w:t>
      </w:r>
      <w:r w:rsidR="004620D1">
        <w:rPr>
          <w:rFonts w:ascii="Times New Roman" w:hAnsi="Times New Roman" w:cs="Times New Roman"/>
        </w:rPr>
        <w:fldChar w:fldCharType="end"/>
      </w:r>
      <w:r w:rsidR="00571265">
        <w:rPr>
          <w:rFonts w:ascii="Times New Roman" w:hAnsi="Times New Roman" w:cs="Times New Roman"/>
        </w:rPr>
        <w:t>.</w:t>
      </w:r>
      <w:r w:rsidR="000F607C">
        <w:rPr>
          <w:rFonts w:ascii="Times New Roman" w:hAnsi="Times New Roman" w:cs="Times New Roman"/>
        </w:rPr>
        <w:t xml:space="preserve"> </w:t>
      </w:r>
    </w:p>
    <w:p w14:paraId="27DCF518" w14:textId="77777777" w:rsidR="002C73E4" w:rsidRPr="00CF3C8F" w:rsidRDefault="002C73E4" w:rsidP="002C73E4">
      <w:pPr>
        <w:spacing w:line="480" w:lineRule="auto"/>
        <w:ind w:firstLine="720"/>
        <w:rPr>
          <w:rFonts w:ascii="Times New Roman" w:hAnsi="Times New Roman" w:cs="Times New Roman"/>
        </w:rPr>
      </w:pPr>
      <w:r w:rsidRPr="00CF3C8F">
        <w:rPr>
          <w:rFonts w:ascii="Times New Roman" w:hAnsi="Times New Roman" w:cs="Times New Roman"/>
        </w:rPr>
        <w:t xml:space="preserve"> Numerous challenges exist in identifying and characterizing microbial traits. The four chapters presented here attempt to address some quantitative and theoretical limitations associated with measuring microbial metabolic diversity. </w:t>
      </w:r>
    </w:p>
    <w:p w14:paraId="62B36851" w14:textId="02933983" w:rsidR="002C73E4" w:rsidRPr="00CF3C8F" w:rsidRDefault="002C73E4" w:rsidP="002C73E4">
      <w:pPr>
        <w:pStyle w:val="ListParagraph"/>
        <w:numPr>
          <w:ilvl w:val="0"/>
          <w:numId w:val="19"/>
        </w:numPr>
        <w:spacing w:after="160" w:line="480" w:lineRule="auto"/>
        <w:rPr>
          <w:rFonts w:ascii="Times New Roman" w:hAnsi="Times New Roman" w:cs="Times New Roman"/>
        </w:rPr>
      </w:pPr>
      <w:r w:rsidRPr="00CF3C8F">
        <w:rPr>
          <w:rFonts w:ascii="Times New Roman" w:hAnsi="Times New Roman" w:cs="Times New Roman"/>
        </w:rPr>
        <w:t>Chapter One</w:t>
      </w:r>
      <w:r>
        <w:rPr>
          <w:rFonts w:ascii="Times New Roman" w:hAnsi="Times New Roman" w:cs="Times New Roman"/>
        </w:rPr>
        <w:t>, now published as Quantitatively Partitioning Microbial Genomic Traits Among Taxonomic Ranks Across the Microbial Tree of Life,</w:t>
      </w:r>
      <w:r w:rsidRPr="00CF3C8F">
        <w:rPr>
          <w:rFonts w:ascii="Times New Roman" w:hAnsi="Times New Roman" w:cs="Times New Roman"/>
        </w:rPr>
        <w:t xml:space="preserve"> focuses on one of the outstanding questions in microbiology: how does phylogenetic diversity </w:t>
      </w:r>
      <w:r>
        <w:rPr>
          <w:rFonts w:ascii="Times New Roman" w:hAnsi="Times New Roman" w:cs="Times New Roman"/>
        </w:rPr>
        <w:t>correspond to</w:t>
      </w:r>
      <w:r w:rsidRPr="00CF3C8F">
        <w:rPr>
          <w:rFonts w:ascii="Times New Roman" w:hAnsi="Times New Roman" w:cs="Times New Roman"/>
        </w:rPr>
        <w:t xml:space="preserve"> metabolic diversity </w:t>
      </w:r>
      <w:r w:rsidRPr="00CF3C8F">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{"citationItems":[{"id":"ITEM-1","itemData":{"DOI":"10.1126/science.aac9323","ISBN":"1095-9203 (Electronic)\\r0036-8075 (Linking)","ISSN":"0036-8075","PMID":"26542581","abstract":"A focus on the phenotypic characteristics of microorganisms-their traits-offers a path for interpreting the growing amount of microbiome data. We review key aspects of microbial traits, as well as approaches used to assay their phylogenetic distribution. Recent studies reveal that microbial traits are differentially conserved across the tree of life and appear to be conserved in a hierarchical fashion, possibly linked to their biochemical complexity. These results suggest a predictive framework whereby the genetic (or taxonomic) resolution of microbiome variation among samples provides information about the traits under selection. The organizational parallels seen among human and free-living microbiomes seem to support this idea. Developments in this framework may offer predictions not only for how microbial composition responds to changing environmental conditions, but also for how these changes may alter the health or functioning in human, engineered, and environmental systems.","author":[{"dropping-particle":"","family":"Martiny","given":"J. B. H.","non-dropping-particle":"","parse-names":false,"suffix":""},{"dropping-particle":"","family":"Jones","given":"S. E.","non-dropping-particle":"","parse-names":false,"suffix":""},{"dropping-particle":"","family":"Lennon","given":"J. T.","non-dropping-particle":"","parse-names":false,"suffix":""},{"dropping-particle":"","family":"Martiny","given":"A. C.","non-dropping-particle":"","parse-names":false,"suffix":""}],"container-title":"Science","id":"ITEM-1","issue":"6261","issued":{"date-parts":[["2015"]]},"page":"aac9323","title":"Microbiomes in light of traits: A phylogenetic perspective","type":"article-journal","volume":"350"},"uris":["http://www.mendeley.com/documents/?uuid=a0f446dc-f646-4cf2-bbaa-9cf0f73bbf3e"]}],"mendeley":{"formattedCitation":"(9)","plainTextFormattedCitation":"(9)","previouslyFormattedCitation":"(9)"},"properties":{"noteIndex":0},"schema":"https://github.com/citation-style-language/schema/raw/master/csl-citation.json"}</w:instrText>
      </w:r>
      <w:r w:rsidRPr="00CF3C8F">
        <w:rPr>
          <w:rFonts w:ascii="Times New Roman" w:hAnsi="Times New Roman" w:cs="Times New Roman"/>
        </w:rPr>
        <w:fldChar w:fldCharType="separate"/>
      </w:r>
      <w:r w:rsidR="004620D1" w:rsidRPr="004620D1">
        <w:rPr>
          <w:rFonts w:ascii="Times New Roman" w:hAnsi="Times New Roman" w:cs="Times New Roman"/>
          <w:noProof/>
        </w:rPr>
        <w:t>(9)</w:t>
      </w:r>
      <w:r w:rsidRPr="00CF3C8F">
        <w:rPr>
          <w:rFonts w:ascii="Times New Roman" w:hAnsi="Times New Roman" w:cs="Times New Roman"/>
        </w:rPr>
        <w:fldChar w:fldCharType="end"/>
      </w:r>
      <w:r w:rsidRPr="00CF3C8F">
        <w:rPr>
          <w:rFonts w:ascii="Times New Roman" w:hAnsi="Times New Roman" w:cs="Times New Roman"/>
        </w:rPr>
        <w:t xml:space="preserve">? Is there a correlation between phylogenetic relatedness and metabolism? The recently proposed Genome Taxonomy Database (GTDB) taxonomy is the first taxonomic system quantifying relative evolutionary divergence exclusively based </w:t>
      </w:r>
      <w:r>
        <w:rPr>
          <w:rFonts w:ascii="Times New Roman" w:hAnsi="Times New Roman" w:cs="Times New Roman"/>
        </w:rPr>
        <w:t xml:space="preserve">solely on </w:t>
      </w:r>
      <w:r w:rsidRPr="00CF3C8F">
        <w:rPr>
          <w:rFonts w:ascii="Times New Roman" w:hAnsi="Times New Roman" w:cs="Times New Roman"/>
        </w:rPr>
        <w:t>conserved marker gene sets</w:t>
      </w:r>
      <w:r>
        <w:rPr>
          <w:rFonts w:ascii="Times New Roman" w:hAnsi="Times New Roman" w:cs="Times New Roman"/>
        </w:rPr>
        <w:t xml:space="preserve"> </w:t>
      </w:r>
      <w:r w:rsidRPr="00CF3C8F">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{"citationItems":[{"id":"ITEM-1","itemData":{"DOI":"10.1038/nbt.4229","ISBN":"1101-1262","ISSN":"1087-0156","PMID":"30148503","abstract":"Taxonomy is a fundamental organizing principle of biology, which ideally should be based on evolutionary relationships. Microbial taxonomy has been greatly restricted by the inability to obtain most microorganisms in pure culture and, to a lesser degree, the historical use of phenotypic properties as the basis for classification. However, we are now at the point of obtaining genome sequences broadly representative of microbial diversity by using culture-independent techniques, which provide the opportunity to develop a comprehensive genome-based taxonomy. Here we propose a standardized bacterial taxonomy based on a concatenated protein phylogeny that conservatively removes polyphyletic groups and normalizes ranks based on relative evolutionary divergence. From 94,759 bacterial genomes, 99 phyla are described including six major normalized monophyletic units from the subdivision of the Proteobacteria, and amalgamation of the Candidate Phyla Radiation into the single phylum Patescibacteria. In total, 73% of taxa had one or more changes to their existing taxonomy.","author":[{"dropping-particle":"","family":"Parks","given":"Donovan H","non-dropping-particle":"","parse-names":false,"suffix":""},{"dropping-particle":"","family":"Chuvochina","given":"Maria","non-dropping-particle":"","parse-names":false,"suffix":""},{"dropping-particle":"","family":"Waite","given":"David W","non-dropping-particle":"","parse-names":false,"suffix":""},{"dropping-particle":"","family":"Rinke","given":"Christian","non-dropping-particle":"","parse-names":false,"suffix":""},{"dropping-particle":"","family":"Skarshewski","given":"Adam","non-dropping-particle":"","parse-names":false,"suffix":""},{"dropping-particle":"","family":"Chaumeil","given":"Pierre-Alain","non-dropping-particle":"","parse-names":false,"suffix":""},{"dropping-particle":"","family":"Hugenholtz","given":"Philip","non-dropping-particle":"","parse-names":false,"suffix":""}],"container-title":"Nature Biotechnology","id":"ITEM-1","issue":"10","issued":{"date-parts":[["2018"]]},"page":"996-1004","title":"A standardized bacterial taxonomy based on genome phylogeny substantially revises the tree of life","type":"article-journal","volume":"36"},"uris":["http://www.mendeley.com/documents/?uuid=c230d0f1-0711-4b60-bb3c-207f7cf49c63"]}],"mendeley":{"formattedCitation":"(10)","plainTextFormattedCitation":"(10)","previouslyFormattedCitation":"(10)"},"properties":{"noteIndex":0},"schema":"https://github.com/citation-style-language/schema/raw/master/csl-citation.json"}</w:instrText>
      </w:r>
      <w:r w:rsidRPr="00CF3C8F">
        <w:rPr>
          <w:rFonts w:ascii="Times New Roman" w:hAnsi="Times New Roman" w:cs="Times New Roman"/>
        </w:rPr>
        <w:fldChar w:fldCharType="separate"/>
      </w:r>
      <w:r w:rsidR="004620D1" w:rsidRPr="004620D1">
        <w:rPr>
          <w:rFonts w:ascii="Times New Roman" w:hAnsi="Times New Roman" w:cs="Times New Roman"/>
          <w:noProof/>
        </w:rPr>
        <w:t>(10)</w:t>
      </w:r>
      <w:r w:rsidRPr="00CF3C8F">
        <w:rPr>
          <w:rFonts w:ascii="Times New Roman" w:hAnsi="Times New Roman" w:cs="Times New Roman"/>
        </w:rPr>
        <w:fldChar w:fldCharType="end"/>
      </w:r>
      <w:r w:rsidRPr="00CF3C8F">
        <w:rPr>
          <w:rFonts w:ascii="Times New Roman" w:hAnsi="Times New Roman" w:cs="Times New Roman"/>
        </w:rPr>
        <w:t xml:space="preserve">. Metabolic diversity among GTDB taxonomic ranks, phylum through genus, was quantified with cluster of orthologous groups in genomes </w:t>
      </w:r>
      <w:r w:rsidRPr="00CF3C8F">
        <w:rPr>
          <w:rFonts w:ascii="Times New Roman" w:hAnsi="Times New Roman" w:cs="Times New Roman"/>
        </w:rPr>
        <w:lastRenderedPageBreak/>
        <w:t xml:space="preserve">from </w:t>
      </w:r>
      <w:proofErr w:type="spellStart"/>
      <w:r w:rsidRPr="00CF3C8F">
        <w:rPr>
          <w:rFonts w:ascii="Times New Roman" w:hAnsi="Times New Roman" w:cs="Times New Roman"/>
        </w:rPr>
        <w:t>RefSeq</w:t>
      </w:r>
      <w:proofErr w:type="spellEnd"/>
      <w:r w:rsidRPr="00CF3C8F">
        <w:rPr>
          <w:rFonts w:ascii="Times New Roman" w:hAnsi="Times New Roman" w:cs="Times New Roman"/>
        </w:rPr>
        <w:t xml:space="preserve"> v92 </w:t>
      </w:r>
      <w:r w:rsidRPr="00CF3C8F">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{"citationItems":[{"id":"ITEM-1","itemData":{"DOI":"10.1093/nar/gkv1189","ISBN":"1362-4962 (Electronic) 0305-1048 (Linking)","ISSN":"13624962","PMID":"26553804","abstract":"The RefSeq project at the National Center for Biotech- nology Information (NCBI) maintains and curates a publicly available database of annotated genomic, transcript, and protein sequence records (http:// www.ncbi.nlm.nih.gov/refseq/). The RefSeq project leverages the data submitted to the International Nu- cleotide Sequence Database Collaboration (INSDC) against a combination of computation, manual cu- ration, and collaboration to produce a standard set of stable, non-redundant reference sequences. The RefSeq project augments these reference sequences with current knowledge including publications, func- tional features and informative nomenclature. The database currently represents sequences from more than 55 000 organisms (&gt;4800 viruses, &gt;40 000 prokaryotes and &gt;10 000 eukaryotes; RefSeq re- lease 71), ranging from a single record to complete genomes. This paper summarizes the current sta- tus of the viral, prokaryotic, and eukaryotic branches of the RefSeq project, reports on improvements to data access and details efforts to further expand the taxonomic representation of the collection. We also highlight diverse functional curation initiatives that support multiple uses of RefSeq data including tax- onomic validation, genome annotation, comparative genomics, and clinical testing. We summarize our approach to utilizing available RNA-Seq and other data types in our manual curation process for verte- brate, plant, and other species, and describe a new direction for prokaryotic genomes and protein name management.","author":[{"dropping-particle":"","family":"O'Leary","given":"Nuala A.","non-dropping-particle":"","parse-names":false,"suffix":""},{"dropping-particle":"","family":"Wright","given":"Mathew W.","non-dropping-particle":"","parse-names":false,"suffix":""},{"dropping-particle":"","family":"Brister","given":"J. Rodney","non-dropping-particle":"","parse-names":false,"suffix":""},{"dropping-particle":"","family":"Ciufo","given":"Stacy","non-dropping-particle":"","parse-names":false,"suffix":""},{"dropping-particle":"","family":"Haddad","given":"Diana","non-dropping-particle":"","parse-names":false,"suffix":""},{"dropping-particle":"","family":"McVeigh","given":"Rich","non-dropping-particle":"","parse-names":false,"suffix":""},{"dropping-particle":"","family":"Rajput","given":"Bhanu","non-dropping-particle":"","parse-names":false,"suffix":""},{"dropping-particle":"","family":"Robbertse","given":"Barbara","non-dropping-particle":"","parse-names":false,"suffix":""},{"dropping-particle":"","family":"Smith-White","given":"Brian","non-dropping-particle":"","parse-names":false,"suffix":""},{"dropping-particle":"","family":"Ako-Adjei","given":"Danso","non-dropping-particle":"","parse-names":false,"suffix":""},{"dropping-particle":"","family":"Astashyn","given":"Alexander","non-dropping-particle":"","parse-names":false,"suffix":""},{"dropping-particle":"","family":"Badretdin","given":"Azat","non-dropping-particle":"","parse-names":false,"suffix":""},{"dropping-particle":"","family":"Bao","given":"Yiming","non-dropping-particle":"","parse-names":false,"suffix":""},{"dropping-particle":"","family":"Blinkova","given":"Olga","non-dropping-particle":"","parse-names":false,"suffix":""},{"dropping-particle":"","family":"Brover","given":"Vyacheslav","non-dropping-particle":"","parse-names":false,"suffix":""},{"dropping-particle":"","family":"Chetvernin","given":"Vyacheslav","non-dropping-particle":"","parse-names":false,"suffix":""},{"dropping-particle":"","family":"Choi","given":"Jinna","non-dropping-particle":"","parse-names":false,"suffix":""},{"dropping-particle":"","family":"Cox","given":"Eric","non-dropping-particle":"","parse-names":false,"suffix":""},{"dropping-particle":"","family":"Ermolaeva","given":"Olga","non-dropping-particle":"","parse-names":false,"suffix":""},{"dropping-particle":"","family":"Farrell","given":"Catherine M.","non-dropping-particle":"","parse-names":false,"suffix":""},{"dropping-particle":"","family":"Goldfarb","given":"Tamara","non-dropping-particle":"","parse-names":false,"suffix":""},{"dropping-particle":"","family":"Gupta","given":"Tripti","non-dropping-particle":"","parse-names":false,"suffix":""},{"dropping-particle":"","family":"Haft","given":"Daniel","non-dropping-particle":"","parse-names":false,"suffix":""},{"dropping-particle":"","family":"Hatcher","given":"Eneida","non-dropping-particle":"","parse-names":false,"suffix":""},{"dropping-particle":"","family":"Hlavina","given":"Wratko","non-dropping-particle":"","parse-names":false,"suffix":""},{"dropping-particle":"","family":"Joardar","given":"Vinita S.","non-dropping-particle":"","parse-names":false,"suffix":""},{"dropping-particle":"","family":"Kodali","given":"Vamsi K.","non-dropping-particle":"","parse-names":false,"suffix":""},{"dropping-particle":"","family":"Li","given":"Wenjun","non-dropping-particle":"","parse-names":false,"suffix":""},{"dropping-particle":"","family":"Maglott","given":"Donna","non-dropping-particle":"","parse-names":false,"suffix":""},{"dropping-particle":"","family":"Masterson","given":"Patrick","non-dropping-particle":"","parse-names":false,"suffix":""},{"dropping-particle":"","family":"McGarvey","given":"Kelly M.","non-dropping-particle":"","parse-names":false,"suffix":""},{"dropping-particle":"","family":"Murphy","given":"Michael R.","non-dropping-particle":"","parse-names":false,"suffix":""},{"dropping-particle":"","family":"O'Neill","given":"Kathleen","non-dropping-particle":"","parse-names":false,"suffix":""},{"dropping-particle":"","family":"Pujar","given":"Shashikant","non-dropping-particle":"","parse-names":false,"suffix":""},{"dropping-particle":"","family":"Rangwala","given":"Sanjida H.","non-dropping-particle":"","parse-names":false,"suffix":""},{"dropping-particle":"","family":"Rausch","given":"Daniel","non-dropping-particle":"","parse-names":false,"suffix":""},{"dropping-particle":"","family":"Riddick","given":"Lillian D.","non-dropping-particle":"","parse-names":false,"suffix":""},{"dropping-particle":"","family":"Schoch","given":"Conrad","non-dropping-particle":"","parse-names":false,"suffix":""},{"dropping-particle":"","family":"Shkeda","given":"Andrei","non-dropping-particle":"","parse-names":false,"suffix":""},{"dropping-particle":"","family":"Storz","given":"Susan S.","non-dropping-particle":"","parse-names":false,"suffix":""},{"dropping-particle":"","family":"Sun","given":"Hanzhen","non-dropping-particle":"","parse-names":false,"suffix":""},{"dropping-particle":"","family":"Thibaud-Nissen","given":"Francoise","non-dropping-particle":"","parse-names":false,"suffix":""},{"dropping-particle":"","family":"Tolstoy","given":"Igor","non-dropping-particle":"","parse-names":false,"suffix":""},{"dropping-particle":"","family":"Tully","given":"Raymond E.","non-dropping-particle":"","parse-names":false,"suffix":""},{"dropping-particle":"","family":"Vatsan","given":"Anjana R.","non-dropping-particle":"","parse-names":false,"suffix":""},{"dropping-particle":"","family":"Wallin","given":"Craig","non-dropping-particle":"","parse-names":false,"suffix":""},{"dropping-particle":"","family":"Webb","given":"David","non-dropping-particle":"","parse-names":false,"suffix":""},{"dropping-particle":"","family":"Wu","given":"Wendy","non-dropping-particle":"","parse-names":false,"suffix":""},{"dropping-particle":"","family":"Landrum","given":"Melissa J.","non-dropping-particle":"","parse-names":false,"suffix":""},{"dropping-particle":"","family":"Kimchi","given":"Avi","non-dropping-particle":"","parse-names":false,"suffix":""},{"dropping-particle":"","family":"Tatusova","given":"Tatiana","non-dropping-particle":"","parse-names":false,"suffix":""},{"dropping-particle":"","family":"DiCuccio","given":"Michael","non-dropping-particle":"","parse-names":false,"suffix":""},{"dropping-particle":"","family":"Kitts","given":"Paul","non-dropping-particle":"","parse-names":false,"suffix":""},{"dropping-particle":"","family":"Murphy","given":"Terence D.","non-dropping-particle":"","parse-names":false,"suffix":""},{"dropping-particle":"","family":"Pruitt","given":"Kim D.","non-dropping-particle":"","parse-names":false,"suffix":""}],"container-title":"Nucleic Acids Research","id":"ITEM-1","issue":"D1","issued":{"date-parts":[["2016"]]},"page":"D733-D745","title":"Reference sequence (RefSeq) database at NCBI: Current status, taxonomic expansion, and functional annotation","type":"article-journal","volume":"44"},"uris":["http://www.mendeley.com/documents/?uuid=c4e86200-d062-4c96-9740-0945d434249f"]}],"mendeley":{"formattedCitation":"(11)","plainTextFormattedCitation":"(11)","previouslyFormattedCitation":"(11)"},"properties":{"noteIndex":0},"schema":"https://github.com/citation-style-language/schema/raw/master/csl-citation.json"}</w:instrText>
      </w:r>
      <w:r w:rsidRPr="00CF3C8F">
        <w:rPr>
          <w:rFonts w:ascii="Times New Roman" w:hAnsi="Times New Roman" w:cs="Times New Roman"/>
        </w:rPr>
        <w:fldChar w:fldCharType="separate"/>
      </w:r>
      <w:r w:rsidR="004620D1" w:rsidRPr="004620D1">
        <w:rPr>
          <w:rFonts w:ascii="Times New Roman" w:hAnsi="Times New Roman" w:cs="Times New Roman"/>
          <w:noProof/>
        </w:rPr>
        <w:t>(11)</w:t>
      </w:r>
      <w:r w:rsidRPr="00CF3C8F">
        <w:rPr>
          <w:rFonts w:ascii="Times New Roman" w:hAnsi="Times New Roman" w:cs="Times New Roman"/>
        </w:rPr>
        <w:fldChar w:fldCharType="end"/>
      </w:r>
      <w:r w:rsidRPr="00CF3C8F">
        <w:rPr>
          <w:rFonts w:ascii="Times New Roman" w:hAnsi="Times New Roman" w:cs="Times New Roman"/>
        </w:rPr>
        <w:t xml:space="preserve">, the JGI Integrated Microbial Genomes and Microbiomes (IMG/M) database, and uncultivated bacterial and archaeal genomes from GenBank </w:t>
      </w:r>
      <w:r w:rsidRPr="00CF3C8F">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{"citationItems":[{"id":"ITEM-1","itemData":{"DOI":"10.1038/s41564-017-0012-7","ISBN":"4156401700127","ISSN":"2058-5276","PMID":"28894102","author":[{"dropping-particle":"","family":"Parks","given":"Donovan H.","non-dropping-particle":"","parse-names":false,"suffix":""},{"dropping-particle":"","family":"Rinke","given":"Christian","non-dropping-particle":"","parse-names":false,"suffix":""},{"dropping-particle":"","family":"Chuvochina","given":"Maria","non-dropping-particle":"","parse-names":false,"suffix":""},{"dropping-particle":"","family":"Chaumeil","given":"Pierre-Alain","non-dropping-particle":"","parse-names":false,"suffix":""},{"dropping-particle":"","family":"Woodcroft","given":"Ben J.","non-dropping-particle":"","parse-names":false,"suffix":""},{"dropping-particle":"","family":"Evans","given":"Paul N.","non-dropping-particle":"","parse-names":false,"suffix":""},{"dropping-particle":"","family":"Hugenholtz","given":"Philip","non-dropping-particle":"","parse-names":false,"suffix":""},{"dropping-particle":"","family":"Tyson","given":"Gene W.","non-dropping-particle":"","parse-names":false,"suffix":""}],"container-title":"Nature Microbiology","id":"ITEM-1","issued":{"date-parts":[["2017"]]},"page":"1533-1542","publisher":"Springer US","title":"Recovery of nearly 8,000 metagenome-assembled genomes substantially expands the tree of life","type":"article-journal","volume":"2"},"uris":["http://www.mendeley.com/documents/?uuid=6477865e-4c52-4bb4-b716-2b234e0bf7ea"]}],"mendeley":{"formattedCitation":"(12)","plainTextFormattedCitation":"(12)","previouslyFormattedCitation":"(12)"},"properties":{"noteIndex":0},"schema":"https://github.com/citation-style-language/schema/raw/master/csl-citation.json"}</w:instrText>
      </w:r>
      <w:r w:rsidRPr="00CF3C8F">
        <w:rPr>
          <w:rFonts w:ascii="Times New Roman" w:hAnsi="Times New Roman" w:cs="Times New Roman"/>
        </w:rPr>
        <w:fldChar w:fldCharType="separate"/>
      </w:r>
      <w:r w:rsidR="004620D1" w:rsidRPr="004620D1">
        <w:rPr>
          <w:rFonts w:ascii="Times New Roman" w:hAnsi="Times New Roman" w:cs="Times New Roman"/>
          <w:noProof/>
        </w:rPr>
        <w:t>(12)</w:t>
      </w:r>
      <w:r w:rsidRPr="00CF3C8F">
        <w:rPr>
          <w:rFonts w:ascii="Times New Roman" w:hAnsi="Times New Roman" w:cs="Times New Roman"/>
        </w:rPr>
        <w:fldChar w:fldCharType="end"/>
      </w:r>
      <w:r w:rsidRPr="00CF3C8F">
        <w:rPr>
          <w:rFonts w:ascii="Times New Roman" w:hAnsi="Times New Roman" w:cs="Times New Roman"/>
        </w:rPr>
        <w:t xml:space="preserve">. </w:t>
      </w:r>
    </w:p>
    <w:p w14:paraId="17B5DA06" w14:textId="240D3118" w:rsidR="002C73E4" w:rsidRPr="00CF3C8F" w:rsidRDefault="002C73E4" w:rsidP="002C73E4">
      <w:pPr>
        <w:pStyle w:val="ListParagraph"/>
        <w:numPr>
          <w:ilvl w:val="0"/>
          <w:numId w:val="19"/>
        </w:numPr>
        <w:spacing w:after="160" w:line="480" w:lineRule="auto"/>
        <w:rPr>
          <w:rFonts w:ascii="Times New Roman" w:hAnsi="Times New Roman" w:cs="Times New Roman"/>
        </w:rPr>
      </w:pPr>
      <w:r w:rsidRPr="00CF3C8F">
        <w:rPr>
          <w:rFonts w:ascii="Times New Roman" w:hAnsi="Times New Roman" w:cs="Times New Roman"/>
        </w:rPr>
        <w:t>Chapter Two</w:t>
      </w:r>
      <w:r>
        <w:rPr>
          <w:rFonts w:ascii="Times New Roman" w:hAnsi="Times New Roman" w:cs="Times New Roman"/>
        </w:rPr>
        <w:t>, now published as Theoretical and Simulation-Based Investigation of the Relationship between Sequencing Effort, Microbial Community Richness, and Diversity in Binning Metagenome-assembled Genomes,</w:t>
      </w:r>
      <w:r w:rsidRPr="00CF3C8F">
        <w:rPr>
          <w:rFonts w:ascii="Times New Roman" w:hAnsi="Times New Roman" w:cs="Times New Roman"/>
        </w:rPr>
        <w:t xml:space="preserve"> explores the relationship between sequencing effort </w:t>
      </w:r>
      <w:r>
        <w:rPr>
          <w:rFonts w:ascii="Times New Roman" w:hAnsi="Times New Roman" w:cs="Times New Roman"/>
        </w:rPr>
        <w:t xml:space="preserve">in </w:t>
      </w:r>
      <w:r w:rsidRPr="00CF3C8F">
        <w:rPr>
          <w:rFonts w:ascii="Times New Roman" w:hAnsi="Times New Roman" w:cs="Times New Roman"/>
        </w:rPr>
        <w:t xml:space="preserve">whole-genome shotgun metagenomic sequencing experiments, community diversity, and metagenome-assembled genome (MAG) discovery rates. A disproportionate number of microbial lineages lack cultured representatives </w:t>
      </w:r>
      <w:r w:rsidRPr="00CF3C8F">
        <w:rPr>
          <w:rFonts w:ascii="Times New Roman" w:hAnsi="Times New Roman" w:cs="Times New Roman"/>
        </w:rPr>
        <w:fldChar w:fldCharType="begin" w:fldLock="1"/>
      </w:r>
      <w:r w:rsidR="00972124">
        <w:rPr>
          <w:rFonts w:ascii="Times New Roman" w:hAnsi="Times New Roman" w:cs="Times New Roman"/>
        </w:rPr>
        <w:instrText>ADDIN CSL_CITATION {"citationItems":[{"id":"ITEM-1","itemData":{"DOI":"10.1128/mSystems.00055-18","ISBN":"2379-5077 (Print) 2379-5077 (Linking)","ISSN":"2379-5077","PMID":"30273414","abstract":"&lt;p&gt; To describe a microbe’s physiology, including its metabolism, environmental roles, and growth characteristics, it must be grown in a laboratory culture. Unfortunately, many phylogenetically novel groups have never been cultured, so their physiologies have only been inferred from genomics and environmental characteristics. Although the diversity, or number of different taxonomic groups, of uncultured clades has been studied well, their global abundances, or numbers of cells in any given environment, have not been assessed. We quantified the degree of similarity of 16S rRNA gene sequences from diverse environments in publicly available metagenome and metatranscriptome databases, which we show have far less of the culture bias present in primer-amplified 16S rRNA gene surveys, to those of their nearest cultured relatives. Whether normalized to scaffold read depths or not, the highest abundances of metagenomic 16S rRNA gene sequences belong to phylogenetically novel uncultured groups in seawater, freshwater, terrestrial subsurface, soil, hypersaline environments, marine sediment, hot springs, hydrothermal vents, nonhuman hosts, snow, and bioreactors (22% to 87% uncultured genera to classes and 0% to 64% uncultured phyla). The exceptions were human and human-associated environments, which were dominated by cultured genera (45% to 97%). We estimate that uncultured genera and phyla could comprise 7.3 × 10 &lt;sup&gt;29&lt;/sup&gt; (81%) and 2.2 × 10 &lt;sup&gt;29&lt;/sup&gt; (25%) of microbial cells, respectively. Uncultured phyla were overrepresented in metatranscriptomes relative to metagenomes (46% to 84% of sequences in a given environment), suggesting that they are viable. Therefore, uncultured microbes, often from deeply phylogenetically divergent groups, dominate nonhuman environments on Earth, and their undiscovered physiologies may matter for Earth systems. &lt;/p&gt;","author":[{"dropping-particle":"","family":"Lloyd","given":"Karen G.","non-dropping-particle":"","parse-names":false,"suffix":""},{"dropping-particle":"","family":"Steen","given":"Andrew D.","non-dropping-particle":"","parse-names":false,"suffix":""},{"dropping-particle":"","family":"Ladau","given":"Joshua","non-dropping-particle":"","parse-names":false,"suffix":""},{"dropping-particle":"","family":"Yin","given":"Junqi","non-dropping-particle":"","parse-names":false,"suffix":""},{"dropping-particle":"","family":"Crosby","given":"Lonnie","non-dropping-particle":"","parse-names":false,"suffix":""}],"container-title":"mSystems","id":"ITEM-1","issue":"5","issued":{"date-parts":[["2018"]]},"page":"1-12","title":"Phylogenetically Novel Uncultured Microbial Cells Dominate Earth Microbiomes","type":"article-journal","volume":"3"},"uris":["http://www.mendeley.com/documents/?uuid=cbe35562-7a0a-4fc0-afb3-f48ebed5c158"]}],"mendeley":{"formattedCitation":"(6)","plainTextFormattedCitation":"(6)","previouslyFormattedCitation":"(6)"},"properties":{"noteIndex":0},"schema":"https://github.com/citation-style-language/schema/raw/master/csl-citation.json"}</w:instrText>
      </w:r>
      <w:r w:rsidRPr="00CF3C8F">
        <w:rPr>
          <w:rFonts w:ascii="Times New Roman" w:hAnsi="Times New Roman" w:cs="Times New Roman"/>
        </w:rPr>
        <w:fldChar w:fldCharType="separate"/>
      </w:r>
      <w:r w:rsidR="000B4859" w:rsidRPr="000B4859">
        <w:rPr>
          <w:rFonts w:ascii="Times New Roman" w:hAnsi="Times New Roman" w:cs="Times New Roman"/>
          <w:noProof/>
        </w:rPr>
        <w:t>(6)</w:t>
      </w:r>
      <w:r w:rsidRPr="00CF3C8F">
        <w:rPr>
          <w:rFonts w:ascii="Times New Roman" w:hAnsi="Times New Roman" w:cs="Times New Roman"/>
        </w:rPr>
        <w:fldChar w:fldCharType="end"/>
      </w:r>
      <w:r w:rsidRPr="00CF3C8F">
        <w:rPr>
          <w:rFonts w:ascii="Times New Roman" w:hAnsi="Times New Roman" w:cs="Times New Roman"/>
        </w:rPr>
        <w:t xml:space="preserve">, which creates a reliance on culture-independent techniques for characterizing the presence of traits. High-throughput sequencing technological has become a mainstay in the microbial ecology literature for characterizing the genomic content from lineages lacking cultured representative, yet quantitative guidance on the necessary sequencing effort as a function of targeted genome rareness is lacking in the literature </w:t>
      </w:r>
      <w:r w:rsidRPr="00CF3C8F">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10.1038/nbt.3935","ISSN":"1087-0156","PMID":"28898207","author":[{"dropping-particle":"","family":"Quince","given":"Christopher","non-dropping-particle":"","parse-names":false,"suffix":""},{"dropping-particle":"","family":"Walker","given":"Alan W","non-dropping-particle":"","parse-names":false,"suffix":""},{"dropping-particle":"","family":"Simpson","given":"Jared T","non-dropping-particle":"","parse-names":false,"suffix":""},{"dropping-particle":"","family":"Loman","given":"Nicholas J","non-dropping-particle":"","parse-names":false,"suffix":""},{"dropping-particle":"","family":"Segata","given":"Nicola","non-dropping-particle":"","parse-names":false,"suffix":""}],"container-title":"Nature Biotechnology","id":"ITEM-1","issue":"9","issued":{"date-parts":[["2017"]]},"page":"833-844","title":"Shotgun metagenomics, from sampling to analysis","type":"article-journal","volume":"35"},"uris":["http://www.mendeley.com/documents/?uuid=78aad938-6674-4359-8f6a-c29e9c8a01c5"]}],"mendeley":{"formattedCitation":"(13)","plainTextFormattedCitation":"(13)","previouslyFormattedCitation":"(13)"},"properties":{"noteIndex":0},"schema":"https://github.com/citation-style-language/schema/raw/master/csl-citation.json"}</w:instrText>
      </w:r>
      <w:r w:rsidRPr="00CF3C8F">
        <w:rPr>
          <w:rFonts w:ascii="Times New Roman" w:hAnsi="Times New Roman" w:cs="Times New Roman"/>
        </w:rPr>
        <w:fldChar w:fldCharType="separate"/>
      </w:r>
      <w:r w:rsidR="004620D1" w:rsidRPr="004620D1">
        <w:rPr>
          <w:rFonts w:ascii="Times New Roman" w:hAnsi="Times New Roman" w:cs="Times New Roman"/>
          <w:noProof/>
        </w:rPr>
        <w:t>(13)</w:t>
      </w:r>
      <w:r w:rsidRPr="00CF3C8F">
        <w:rPr>
          <w:rFonts w:ascii="Times New Roman" w:hAnsi="Times New Roman" w:cs="Times New Roman"/>
        </w:rPr>
        <w:fldChar w:fldCharType="end"/>
      </w:r>
      <w:r w:rsidRPr="00CF3C8F">
        <w:rPr>
          <w:rFonts w:ascii="Times New Roman" w:hAnsi="Times New Roman" w:cs="Times New Roman"/>
        </w:rPr>
        <w:t xml:space="preserve">. A theoretical model, based on a coupon collector sampling model, is proposed and related to MAG discovery rates for sequencing experiments performed on sediment, soil, human gut, and surface ocean microbial communities. </w:t>
      </w:r>
    </w:p>
    <w:p w14:paraId="3679CF8D" w14:textId="625D2590" w:rsidR="002C73E4" w:rsidRPr="00CF3C8F" w:rsidRDefault="002C73E4" w:rsidP="002C73E4">
      <w:pPr>
        <w:pStyle w:val="ListParagraph"/>
        <w:numPr>
          <w:ilvl w:val="0"/>
          <w:numId w:val="19"/>
        </w:numPr>
        <w:spacing w:after="160" w:line="480" w:lineRule="auto"/>
        <w:rPr>
          <w:rFonts w:ascii="Times New Roman" w:hAnsi="Times New Roman" w:cs="Times New Roman"/>
        </w:rPr>
      </w:pPr>
      <w:r w:rsidRPr="00CF3C8F">
        <w:rPr>
          <w:rFonts w:ascii="Times New Roman" w:hAnsi="Times New Roman" w:cs="Times New Roman"/>
        </w:rPr>
        <w:t xml:space="preserve">Chapter Three presents theory for a novel measure of microbial trait functional redundancy. ‘Omics technology accessibility and utility has increased for microbial ecology studies, leading to the observation that ecosystem functions are frequently performed simultaneously by different taxa in the same community </w:t>
      </w:r>
      <w:r w:rsidRPr="00CF3C8F">
        <w:rPr>
          <w:rFonts w:ascii="Times New Roman" w:hAnsi="Times New Roman" w:cs="Times New Roman"/>
        </w:rPr>
        <w:lastRenderedPageBreak/>
        <w:fldChar w:fldCharType="begin" w:fldLock="1"/>
      </w:r>
      <w:r w:rsidR="00F74F65">
        <w:rPr>
          <w:rFonts w:ascii="Times New Roman" w:hAnsi="Times New Roman" w:cs="Times New Roman"/>
        </w:rPr>
        <w:instrText>ADDIN CSL_CITATION {"citationItems":[{"id":"ITEM-1","itemData":{"author":[{"dropping-particle":"","family":"Louca","given":"Stilianos","non-dropping-particle":"","parse-names":false,"suffix":""},{"dropping-particle":"","family":"Martiny","given":"Adam C","non-dropping-particle":"","parse-names":false,"suffix":""},{"dropping-particle":"","family":"Polz","given":"Martin F","non-dropping-particle":"","parse-names":false,"suffix":""},{"dropping-particle":"","family":"Doolittle","given":"W Ford","non-dropping-particle":"","parse-names":false,"suffix":""},{"dropping-particle":"","family":"Nelson","given":"Michaeline B","non-dropping-particle":"","parse-names":false,"suffix":""},{"dropping-particle":"","family":"Hahn","given":"Aria S","non-dropping-particle":"","parse-names":false,"suffix":""},{"dropping-particle":"","family":"Rubin","given":"Ilan","non-dropping-particle":"","parse-names":false,"suffix":""},{"dropping-particle":"","family":"Mazel","given":"Florent","non-dropping-particle":"","parse-names":false,"suffix":""},{"dropping-particle":"","family":"Hawley","given":"Alyse K","non-dropping-particle":"","parse-names":false,"suffix":""},{"dropping-particle":"","family":"Connor","given":"Mary I O","non-dropping-particle":"","parse-names":false,"suffix":""},{"dropping-particle":"","family":"Crowe","given":"Sean A","non-dropping-particle":"","parse-names":false,"suffix":""},{"dropping-particle":"","family":"Hallam","given":"Steven J","non-dropping-particle":"","parse-names":false,"suffix":""}],"container-title":"Nature Ecology and Evolution","id":"ITEM-1","issued":{"date-parts":[["2018"]]},"page":"936-943","title":"Function and functional redundancy in microbial communities","type":"article-journal","volume":"2"},"uris":["http://www.mendeley.com/documents/?uuid=83e0bd05-1a8f-4ab2-ad0c-a2fe894f91d2"]}],"mendeley":{"formattedCitation":"(14)","plainTextFormattedCitation":"(14)","previouslyFormattedCitation":"(14)"},"properties":{"noteIndex":0},"schema":"https://github.com/citation-style-language/schema/raw/master/csl-citation.json"}</w:instrText>
      </w:r>
      <w:r w:rsidRPr="00CF3C8F">
        <w:rPr>
          <w:rFonts w:ascii="Times New Roman" w:hAnsi="Times New Roman" w:cs="Times New Roman"/>
        </w:rPr>
        <w:fldChar w:fldCharType="separate"/>
      </w:r>
      <w:r w:rsidR="004620D1" w:rsidRPr="004620D1">
        <w:rPr>
          <w:rFonts w:ascii="Times New Roman" w:hAnsi="Times New Roman" w:cs="Times New Roman"/>
          <w:noProof/>
        </w:rPr>
        <w:t>(14)</w:t>
      </w:r>
      <w:r w:rsidRPr="00CF3C8F">
        <w:rPr>
          <w:rFonts w:ascii="Times New Roman" w:hAnsi="Times New Roman" w:cs="Times New Roman"/>
        </w:rPr>
        <w:fldChar w:fldCharType="end"/>
      </w:r>
      <w:r w:rsidRPr="00CF3C8F">
        <w:rPr>
          <w:rFonts w:ascii="Times New Roman" w:hAnsi="Times New Roman" w:cs="Times New Roman"/>
        </w:rPr>
        <w:t>. The ecological role of functional redundancy is a community is not clear; however, a metric that is comparable between different communities and with respect to time is necessary</w:t>
      </w:r>
      <w:r>
        <w:rPr>
          <w:rFonts w:ascii="Times New Roman" w:hAnsi="Times New Roman" w:cs="Times New Roman"/>
        </w:rPr>
        <w:t xml:space="preserve"> in studying functional redundancy</w:t>
      </w:r>
      <w:r w:rsidRPr="00CF3C8F">
        <w:rPr>
          <w:rFonts w:ascii="Times New Roman" w:hAnsi="Times New Roman" w:cs="Times New Roman"/>
        </w:rPr>
        <w:t xml:space="preserve">. The proposed measure for functional redundancy builds on traditional diversity theory and defines functional redundancy as the evenness in relative trait contribution by community members. </w:t>
      </w:r>
    </w:p>
    <w:p w14:paraId="7A1C36FA" w14:textId="5EB75279" w:rsidR="002C73E4" w:rsidRPr="00CF3C8F" w:rsidRDefault="002C73E4" w:rsidP="002C73E4">
      <w:pPr>
        <w:pStyle w:val="ListParagraph"/>
        <w:numPr>
          <w:ilvl w:val="0"/>
          <w:numId w:val="19"/>
        </w:numPr>
        <w:spacing w:after="160" w:line="480" w:lineRule="auto"/>
        <w:rPr>
          <w:rFonts w:ascii="Times New Roman" w:hAnsi="Times New Roman" w:cs="Times New Roman"/>
        </w:rPr>
      </w:pPr>
      <w:r w:rsidRPr="00CF3C8F">
        <w:rPr>
          <w:rFonts w:ascii="Times New Roman" w:hAnsi="Times New Roman" w:cs="Times New Roman"/>
        </w:rPr>
        <w:t>Chapter Four presents a porewater and bulk sediment geochemical analysis of White Oak River (WOR) estuary sediments.</w:t>
      </w:r>
      <w:r w:rsidR="00FF4FF0">
        <w:rPr>
          <w:rFonts w:ascii="Times New Roman" w:hAnsi="Times New Roman" w:cs="Times New Roman"/>
        </w:rPr>
        <w:t xml:space="preserve"> </w:t>
      </w:r>
      <w:r w:rsidRPr="00CF3C8F">
        <w:rPr>
          <w:rFonts w:ascii="Times New Roman" w:hAnsi="Times New Roman" w:cs="Times New Roman"/>
        </w:rPr>
        <w:t xml:space="preserve">The WOR estuary may provide a good model system for studying microbial ecology with respect to geochemistry due to the rapid change in redox reactant zonation </w:t>
      </w:r>
      <w:r w:rsidRPr="00CF3C8F">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{"citationItems":[{"id":"ITEM-1","itemData":{"DOI":"10.1007/978-3-030-10822-9","ISBN":"978-3-030-10821-2","abstract":"Biogeochemistry, a branch of Earth System Sciences, focusses on the two-way interactions between organisms and their environment, including the cycling of energy and elements and the functioning of organisms and ecosystems. To this end, physical, chemical, biological and geological processes are studied using field observations, experiments, modelling and theory. The discipline of biogeochemistry has grown to such an extent that sub-disciplines have emerged. Consequently, producing a single comprehensive textbook covering all aspects, e.g., terrestrial, freshwater and marine domains, biogeochemical cycles and budgets of the major biological relevant elements, reconstruction of biogeochemical cycles in the past, earth system modelling, microbiological, organic and inorganic geochemical methods, theory and models, has become unworkable. This book provides a concise treatment of the main concepts in ocean carbon cycling research. It focusses on marine biogeochemical processes impacting the cycling of particulate carbon, in particular organic carbon. Other biogeochemical processes impacting nitrogen, phosphorus, sulphur, etc., and the identity of the organisms involved are only covered where needed to understand carbon biogeochemistry. Moreover, chemical and biological processes relevant to carbon cycling are central, i.e. for physical processes, the reader might consult the excellent ocean biogeochemical dynamics textbooks of Sarmiento and Gruber (2006; Princeton University Press) and Williams and Follows (2011; Cambridge University Press). My text aims to provide graduate students in marine and earth sciences a conceptual understanding of ocean carbon biogeochemistry, so that they are better equipped to read palaeorecords, can improve carbon biogeochemical models and generate more accurate projections of the functioning of the future ocean. Because the book is targeted at students having a background in environmental and earth sciences, some basic biological concepts are explained. Some basic understanding of calculus is expected. Simple mathematical models are used to highlight the most important factors governing carbon cycling in the ocean. The material here is based on a selection of lectures in my Utrecht University master course on Microbes and Biogeochemical Cycles. This first draft of this book was written during a three-month sabbatical stay at Department of Geosciences, Princeton University (April–June 2018). I thank Bess Ward, chair of that dep…","author":[{"dropping-particle":"","family":"Middelburg","given":"Jack J","non-dropping-particle":"","parse-names":false,"suffix":""}],"container-title":"Springer Briefs in Earth System Sciences","id":"ITEM-1","issued":{"date-parts":[["2019"]]},"number-of-pages":"126","title":"Marine Carbon Biogeochemistry: A Primer for Earth System Scientists","type":"book"},"uris":["http://www.mendeley.com/documents/?uuid=6d31ac80-18e0-4629-ada7-09f55767ae6f"]}],"mendeley":{"formattedCitation":"(15)","plainTextFormattedCitation":"(15)","previouslyFormattedCitation":"(15)"},"properties":{"noteIndex":0},"schema":"https://github.com/citation-style-language/schema/raw/master/csl-citation.json"}</w:instrText>
      </w:r>
      <w:r w:rsidRPr="00CF3C8F">
        <w:rPr>
          <w:rFonts w:ascii="Times New Roman" w:hAnsi="Times New Roman" w:cs="Times New Roman"/>
        </w:rPr>
        <w:fldChar w:fldCharType="separate"/>
      </w:r>
      <w:r w:rsidR="004620D1" w:rsidRPr="004620D1">
        <w:rPr>
          <w:rFonts w:ascii="Times New Roman" w:hAnsi="Times New Roman" w:cs="Times New Roman"/>
          <w:noProof/>
        </w:rPr>
        <w:t>(15)</w:t>
      </w:r>
      <w:r w:rsidRPr="00CF3C8F">
        <w:rPr>
          <w:rFonts w:ascii="Times New Roman" w:hAnsi="Times New Roman" w:cs="Times New Roman"/>
        </w:rPr>
        <w:fldChar w:fldCharType="end"/>
      </w:r>
      <w:r w:rsidR="00E26364">
        <w:rPr>
          <w:rFonts w:ascii="Times New Roman" w:hAnsi="Times New Roman" w:cs="Times New Roman"/>
        </w:rPr>
        <w:t xml:space="preserve"> and since estuaries acts a conduits for terrestrial carbon transport to marine environments, the global carbon sink</w:t>
      </w:r>
      <w:r w:rsidR="00307058">
        <w:rPr>
          <w:rFonts w:ascii="Times New Roman" w:hAnsi="Times New Roman" w:cs="Times New Roman"/>
        </w:rPr>
        <w:t xml:space="preserve"> </w:t>
      </w:r>
      <w:r w:rsidR="00307058">
        <w:rPr>
          <w:rFonts w:ascii="Times New Roman" w:hAnsi="Times New Roman" w:cs="Times New Roman"/>
        </w:rPr>
        <w:fldChar w:fldCharType="begin" w:fldLock="1"/>
      </w:r>
      <w:r w:rsidR="00307058">
        <w:rPr>
          <w:rFonts w:ascii="Times New Roman" w:hAnsi="Times New Roman" w:cs="Times New Roman"/>
        </w:rPr>
        <w:instrText>ADDIN CSL_CITATION {"citationItems":[{"id":"ITEM-1","itemData":{"author":[{"dropping-particle":"","family":"Houghtons","given":"R. A.","non-dropping-particle":"","parse-names":false,"suffix":""}],"chapter-number":"8.10","container-title":"Biogeochemistry: Treatise on Geochemistry, Volume 8","id":"ITEM-1","issued":{"date-parts":[["2003"]]},"title":"The Contemporary Carbon Cycle","type":"chapter"},"uris":["http://www.mendeley.com/documents/?uuid=364bdb09-e10b-4529-a0c3-1b3ed0d4ab75"]}],"mendeley":{"formattedCitation":"(16)","plainTextFormattedCitation":"(16)"},"properties":{"noteIndex":0},"schema":"https://github.com/citation-style-language/schema/raw/master/csl-citation.json"}</w:instrText>
      </w:r>
      <w:r w:rsidR="00307058">
        <w:rPr>
          <w:rFonts w:ascii="Times New Roman" w:hAnsi="Times New Roman" w:cs="Times New Roman"/>
        </w:rPr>
        <w:fldChar w:fldCharType="separate"/>
      </w:r>
      <w:r w:rsidR="00307058" w:rsidRPr="00307058">
        <w:rPr>
          <w:rFonts w:ascii="Times New Roman" w:hAnsi="Times New Roman" w:cs="Times New Roman"/>
          <w:noProof/>
        </w:rPr>
        <w:t>(16)</w:t>
      </w:r>
      <w:r w:rsidR="00307058">
        <w:rPr>
          <w:rFonts w:ascii="Times New Roman" w:hAnsi="Times New Roman" w:cs="Times New Roman"/>
        </w:rPr>
        <w:fldChar w:fldCharType="end"/>
      </w:r>
      <w:r w:rsidRPr="00CF3C8F">
        <w:rPr>
          <w:rFonts w:ascii="Times New Roman" w:hAnsi="Times New Roman" w:cs="Times New Roman"/>
        </w:rPr>
        <w:t>.</w:t>
      </w:r>
      <w:r w:rsidR="00636C2F">
        <w:rPr>
          <w:rFonts w:ascii="Times New Roman" w:hAnsi="Times New Roman" w:cs="Times New Roman"/>
        </w:rPr>
        <w:t xml:space="preserve"> </w:t>
      </w:r>
      <w:r w:rsidRPr="00CF3C8F">
        <w:rPr>
          <w:rFonts w:ascii="Times New Roman" w:hAnsi="Times New Roman" w:cs="Times New Roman"/>
        </w:rPr>
        <w:t xml:space="preserve">However, temporal variance in major geochemical reservoirs for carbon and sulfur, major sources for electron acceptors and donors in WOR sediments, have not been evaluated &gt;20 years </w:t>
      </w:r>
      <w:r w:rsidRPr="00CF3C8F">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Research","id":"ITEM-1","issue":"14-15","issued":{"date-parts":[["1998"]]},"page":"1771-1793","title":"Biogeochemical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Sediments","type":"article-journal","volume":"18"},"uris":["http://www.mendeley.com/documents/?uuid=f58213f7-2aba-41a0-ad11-b3deae1e2092"]},{"id":"ITEM-2","itemData":{"DOI":"10.1016/S0278-4343(98)00056-9","ISSN":"02784343","abstract":"A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Research","id":"ITEM-2","issue":"14-15","issued":{"date-parts":[["1998"]]},"page":"1741-1770","title":"Biogeochemical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transport","type":"article-journal","volume":"18"},"uris":["http://www.mendeley.com/documents/?uuid=958789dd-a429-4c22-bcfc-7a6b933ed55a"]}],"mendeley":{"formattedCitation":"(17, 18)","plainTextFormattedCitation":"(17, 18)","previouslyFormattedCitation":"(16, 17)"},"properties":{"noteIndex":0},"schema":"https://github.com/citation-style-language/schema/raw/master/csl-citation.json"}</w:instrText>
      </w:r>
      <w:r w:rsidRPr="00CF3C8F">
        <w:rPr>
          <w:rFonts w:ascii="Times New Roman" w:hAnsi="Times New Roman" w:cs="Times New Roman"/>
        </w:rPr>
        <w:fldChar w:fldCharType="separate"/>
      </w:r>
      <w:r w:rsidR="00307058" w:rsidRPr="00307058">
        <w:rPr>
          <w:rFonts w:ascii="Times New Roman" w:hAnsi="Times New Roman" w:cs="Times New Roman"/>
          <w:noProof/>
        </w:rPr>
        <w:t>(17, 18)</w:t>
      </w:r>
      <w:r w:rsidRPr="00CF3C8F">
        <w:rPr>
          <w:rFonts w:ascii="Times New Roman" w:hAnsi="Times New Roman" w:cs="Times New Roman"/>
        </w:rPr>
        <w:fldChar w:fldCharType="end"/>
      </w:r>
      <w:r w:rsidRPr="00CF3C8F">
        <w:rPr>
          <w:rFonts w:ascii="Times New Roman" w:hAnsi="Times New Roman" w:cs="Times New Roman"/>
        </w:rPr>
        <w:t>. Thus, carbon and sulfur budgets were re-evaluated based on recent measurements and reaction-transport modeling based on recent measurements. Geochemical changes were then related to microbial metabolisms known to exist in WOR sediments</w:t>
      </w:r>
      <w:r w:rsidR="00662E11">
        <w:rPr>
          <w:rFonts w:ascii="Times New Roman" w:hAnsi="Times New Roman" w:cs="Times New Roman"/>
        </w:rPr>
        <w:t>.</w:t>
      </w:r>
    </w:p>
    <w:p w14:paraId="2775FE19" w14:textId="46F3F0B0" w:rsidR="002C73E4" w:rsidRPr="004C65A7" w:rsidRDefault="002C73E4" w:rsidP="002C73E4">
      <w:pPr>
        <w:spacing w:line="480" w:lineRule="auto"/>
        <w:rPr>
          <w:rFonts w:ascii="Times New Roman" w:hAnsi="Times New Roman" w:cs="Times New Roman"/>
        </w:rPr>
      </w:pPr>
      <w:r>
        <w:rPr>
          <w:rFonts w:ascii="Times New Roman" w:hAnsi="Times New Roman" w:cs="Times New Roman"/>
        </w:rPr>
        <w:t xml:space="preserve">Thus, the chapters presented here provide </w:t>
      </w:r>
      <w:r w:rsidR="00211F5F">
        <w:rPr>
          <w:rFonts w:ascii="Times New Roman" w:hAnsi="Times New Roman" w:cs="Times New Roman"/>
        </w:rPr>
        <w:t xml:space="preserve">a </w:t>
      </w:r>
      <w:r>
        <w:rPr>
          <w:rFonts w:ascii="Times New Roman" w:hAnsi="Times New Roman" w:cs="Times New Roman"/>
        </w:rPr>
        <w:t xml:space="preserve">framework </w:t>
      </w:r>
      <w:r w:rsidR="0046660F">
        <w:rPr>
          <w:rFonts w:ascii="Times New Roman" w:hAnsi="Times New Roman" w:cs="Times New Roman"/>
        </w:rPr>
        <w:t>for identifying and comparing microbial traits</w:t>
      </w:r>
      <w:r w:rsidR="00211F5F">
        <w:rPr>
          <w:rFonts w:ascii="Times New Roman" w:hAnsi="Times New Roman" w:cs="Times New Roman"/>
        </w:rPr>
        <w:t xml:space="preserve">. </w:t>
      </w:r>
      <w:r w:rsidR="00CE778C">
        <w:rPr>
          <w:rFonts w:ascii="Times New Roman" w:hAnsi="Times New Roman" w:cs="Times New Roman"/>
        </w:rPr>
        <w:t>T</w:t>
      </w:r>
      <w:r w:rsidR="00211F5F">
        <w:rPr>
          <w:rFonts w:ascii="Times New Roman" w:hAnsi="Times New Roman" w:cs="Times New Roman"/>
        </w:rPr>
        <w:t xml:space="preserve">hese approaches </w:t>
      </w:r>
      <w:r w:rsidR="00CE778C">
        <w:rPr>
          <w:rFonts w:ascii="Times New Roman" w:hAnsi="Times New Roman" w:cs="Times New Roman"/>
        </w:rPr>
        <w:t xml:space="preserve">will </w:t>
      </w:r>
      <w:r w:rsidR="00211F5F">
        <w:rPr>
          <w:rFonts w:ascii="Times New Roman" w:hAnsi="Times New Roman" w:cs="Times New Roman"/>
        </w:rPr>
        <w:t xml:space="preserve">aid in linking WOR estuary sediment geochemistry with in WOR estuary sediment </w:t>
      </w:r>
      <w:r w:rsidR="0046660F">
        <w:rPr>
          <w:rFonts w:ascii="Times New Roman" w:hAnsi="Times New Roman" w:cs="Times New Roman"/>
        </w:rPr>
        <w:t>microbial</w:t>
      </w:r>
      <w:r w:rsidR="00211F5F">
        <w:rPr>
          <w:rFonts w:ascii="Times New Roman" w:hAnsi="Times New Roman" w:cs="Times New Roman"/>
        </w:rPr>
        <w:t xml:space="preserve"> ecosystems</w:t>
      </w:r>
      <w:r w:rsidR="0046660F">
        <w:rPr>
          <w:rFonts w:ascii="Times New Roman" w:hAnsi="Times New Roman" w:cs="Times New Roman"/>
        </w:rPr>
        <w:t>.</w:t>
      </w:r>
    </w:p>
    <w:p w14:paraId="39BFCBA0" w14:textId="77777777" w:rsidR="00146500" w:rsidRDefault="00146500">
      <w:pPr>
        <w:rPr>
          <w:rFonts w:ascii="Times New Roman" w:hAnsi="Times New Roman" w:cs="Times New Roman"/>
        </w:rPr>
      </w:pPr>
      <w:r>
        <w:rPr>
          <w:rFonts w:ascii="Times New Roman" w:hAnsi="Times New Roman" w:cs="Times New Roman"/>
        </w:rPr>
        <w:br w:type="page"/>
      </w:r>
    </w:p>
    <w:p w14:paraId="3AA0D78E" w14:textId="1AE762A3"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lastRenderedPageBreak/>
        <w:t xml:space="preserve">  </w:t>
      </w:r>
    </w:p>
    <w:p w14:paraId="477A41E5" w14:textId="77777777" w:rsidR="00365526" w:rsidRDefault="00365526" w:rsidP="00365526">
      <w:pPr>
        <w:spacing w:line="480" w:lineRule="auto"/>
        <w:ind w:firstLine="720"/>
        <w:rPr>
          <w:rFonts w:ascii="Times New Roman" w:hAnsi="Times New Roman" w:cs="Times New Roman"/>
        </w:rPr>
      </w:pPr>
    </w:p>
    <w:p w14:paraId="383EC9D4" w14:textId="77777777" w:rsidR="00365526" w:rsidRPr="00F573F7" w:rsidRDefault="00365526" w:rsidP="00365526">
      <w:pPr>
        <w:spacing w:line="480" w:lineRule="auto"/>
        <w:ind w:firstLine="720"/>
        <w:rPr>
          <w:rFonts w:ascii="Times New Roman" w:hAnsi="Times New Roman" w:cs="Times New Roman"/>
        </w:rPr>
        <w:sectPr w:rsidR="00365526" w:rsidRPr="00F573F7" w:rsidSect="004B1BB6">
          <w:pgSz w:w="12240" w:h="15840" w:code="1"/>
          <w:pgMar w:top="1440" w:right="1800" w:bottom="1872" w:left="1800" w:header="720" w:footer="1440" w:gutter="0"/>
          <w:pgNumType w:start="1"/>
          <w:cols w:space="720"/>
          <w:noEndnote/>
          <w:docGrid w:linePitch="326"/>
        </w:sectPr>
      </w:pPr>
    </w:p>
    <w:p w14:paraId="5BD1A979" w14:textId="77777777" w:rsidR="00365526" w:rsidRPr="00F23F20" w:rsidRDefault="00365526" w:rsidP="00365526">
      <w:pPr>
        <w:pStyle w:val="Heading1"/>
      </w:pPr>
      <w:r w:rsidRPr="00F23F20">
        <w:lastRenderedPageBreak/>
        <w:br/>
      </w:r>
      <w:bookmarkStart w:id="9" w:name="_Toc41908075"/>
      <w:r w:rsidRPr="00F23F20">
        <w:t xml:space="preserve">Quantitatively </w:t>
      </w:r>
      <w:r w:rsidRPr="00F30DBA">
        <w:t>Partitioning</w:t>
      </w:r>
      <w:r w:rsidRPr="00F23F20">
        <w:t xml:space="preserve"> Microbial Genomic Traits among Taxonomic Ranks </w:t>
      </w:r>
      <w:r>
        <w:t>A</w:t>
      </w:r>
      <w:r w:rsidRPr="00F23F20">
        <w:t>cross the Microbial Tree of Life</w:t>
      </w:r>
      <w:bookmarkEnd w:id="9"/>
    </w:p>
    <w:p w14:paraId="155F7089" w14:textId="77777777" w:rsidR="00365526" w:rsidRPr="00F23F20" w:rsidRDefault="00365526" w:rsidP="00365526">
      <w:pPr>
        <w:rPr>
          <w:rFonts w:ascii="Times New Roman" w:hAnsi="Times New Roman" w:cs="Times New Roman"/>
        </w:rPr>
      </w:pPr>
      <w:r w:rsidRPr="00F23F20">
        <w:rPr>
          <w:rFonts w:ascii="Times New Roman" w:hAnsi="Times New Roman" w:cs="Times New Roman"/>
        </w:rPr>
        <w:br w:type="page"/>
      </w:r>
    </w:p>
    <w:p w14:paraId="096CE8A0" w14:textId="30DE01C7" w:rsidR="00365526" w:rsidRPr="00F077A3" w:rsidRDefault="00365526" w:rsidP="00365526">
      <w:pPr>
        <w:rPr>
          <w:rFonts w:ascii="Times New Roman" w:hAnsi="Times New Roman" w:cs="Times New Roman"/>
        </w:rPr>
      </w:pPr>
      <w:r>
        <w:rPr>
          <w:rFonts w:ascii="Times New Roman" w:hAnsi="Times New Roman" w:cs="Times New Roman"/>
        </w:rPr>
        <w:lastRenderedPageBreak/>
        <w:t>T</w:t>
      </w:r>
      <w:r w:rsidRPr="00F077A3">
        <w:rPr>
          <w:rFonts w:ascii="Times New Roman" w:hAnsi="Times New Roman" w:cs="Times New Roman"/>
        </w:rPr>
        <w:t xml:space="preserve">his chapter </w:t>
      </w:r>
      <w:r w:rsidR="00E45AA5">
        <w:rPr>
          <w:rFonts w:ascii="Times New Roman" w:hAnsi="Times New Roman" w:cs="Times New Roman"/>
        </w:rPr>
        <w:t xml:space="preserve">is </w:t>
      </w:r>
      <w:r w:rsidRPr="00F077A3">
        <w:rPr>
          <w:rFonts w:ascii="Times New Roman" w:hAnsi="Times New Roman" w:cs="Times New Roman"/>
        </w:rPr>
        <w:t xml:space="preserve">published in </w:t>
      </w:r>
      <w:proofErr w:type="spellStart"/>
      <w:r w:rsidRPr="00F077A3">
        <w:rPr>
          <w:rFonts w:ascii="Times New Roman" w:hAnsi="Times New Roman" w:cs="Times New Roman"/>
        </w:rPr>
        <w:t>mSphere</w:t>
      </w:r>
      <w:proofErr w:type="spellEnd"/>
      <w:r w:rsidRPr="00F077A3">
        <w:rPr>
          <w:rFonts w:ascii="Times New Roman" w:hAnsi="Times New Roman" w:cs="Times New Roman"/>
        </w:rPr>
        <w:t xml:space="preserve"> </w:t>
      </w:r>
      <w:r w:rsidR="00E45AA5">
        <w:rPr>
          <w:rFonts w:ascii="Times New Roman" w:hAnsi="Times New Roman" w:cs="Times New Roman"/>
        </w:rPr>
        <w:t>by Taylor M. Royalty and Andrew D. Steen.</w:t>
      </w:r>
      <w:r w:rsidR="00122D7B">
        <w:rPr>
          <w:rFonts w:ascii="Times New Roman" w:hAnsi="Times New Roman" w:cs="Times New Roman"/>
        </w:rPr>
        <w:t xml:space="preserve"> Andrew D. Steen aided in analysis, interpretation, and idea conception.</w:t>
      </w:r>
      <w:r w:rsidR="00E45AA5">
        <w:rPr>
          <w:rFonts w:ascii="Times New Roman" w:hAnsi="Times New Roman" w:cs="Times New Roman"/>
        </w:rPr>
        <w:t xml:space="preserve"> A version </w:t>
      </w:r>
      <w:r w:rsidR="007916F1">
        <w:rPr>
          <w:rFonts w:ascii="Times New Roman" w:hAnsi="Times New Roman" w:cs="Times New Roman"/>
        </w:rPr>
        <w:t xml:space="preserve">is available at </w:t>
      </w:r>
      <w:hyperlink r:id="rId12" w:history="1">
        <w:r w:rsidR="007916F1" w:rsidRPr="006E1606">
          <w:rPr>
            <w:rStyle w:val="Hyperlink"/>
            <w:rFonts w:ascii="Times New Roman" w:hAnsi="Times New Roman" w:cs="Times New Roman"/>
          </w:rPr>
          <w:t>https://doi.org/10.1128/mSphere.00446-19</w:t>
        </w:r>
      </w:hyperlink>
      <w:r w:rsidR="007916F1">
        <w:rPr>
          <w:rFonts w:ascii="Times New Roman" w:hAnsi="Times New Roman" w:cs="Times New Roman"/>
        </w:rPr>
        <w:t xml:space="preserve"> </w:t>
      </w:r>
      <w:r w:rsidR="007916F1">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{"citationItems":[{"id":"ITEM-1","itemData":{"DOI":"10.1128/mSphere.00446-19","author":[{"dropping-particle":"","family":"Royalty","given":"Taylor M","non-dropping-particle":"","parse-names":false,"suffix":""},{"dropping-particle":"","family":"Steen","given":"Andrew D.","non-dropping-particle":"","parse-names":false,"suffix":""}],"container-title":"mSphere","id":"ITEM-1","issue":"4","issued":{"date-parts":[["2019"]]},"page":"e00446-19","title":"Quantitatively Partitioning Microbial Genomic Traits among Taxonomic Ranks across the Microbial Tree of Life","type":"article-journal","volume":"4"},"uris":["http://www.mendeley.com/documents/?uuid=df6cbc9e-12c8-4dfc-8963-710a4034e653"]}],"mendeley":{"formattedCitation":"(19)","plainTextFormattedCitation":"(19)","previouslyFormattedCitation":"(18)"},"properties":{"noteIndex":0},"schema":"https://github.com/citation-style-language/schema/raw/master/csl-citation.json"}</w:instrText>
      </w:r>
      <w:r w:rsidR="007916F1">
        <w:rPr>
          <w:rFonts w:ascii="Times New Roman" w:hAnsi="Times New Roman" w:cs="Times New Roman"/>
        </w:rPr>
        <w:fldChar w:fldCharType="separate"/>
      </w:r>
      <w:r w:rsidR="00307058" w:rsidRPr="00307058">
        <w:rPr>
          <w:rFonts w:ascii="Times New Roman" w:hAnsi="Times New Roman" w:cs="Times New Roman"/>
          <w:noProof/>
        </w:rPr>
        <w:t>(19)</w:t>
      </w:r>
      <w:r w:rsidR="007916F1">
        <w:rPr>
          <w:rFonts w:ascii="Times New Roman" w:hAnsi="Times New Roman" w:cs="Times New Roman"/>
        </w:rPr>
        <w:fldChar w:fldCharType="end"/>
      </w:r>
      <w:r>
        <w:rPr>
          <w:rFonts w:ascii="Times New Roman" w:hAnsi="Times New Roman" w:cs="Times New Roman"/>
        </w:rPr>
        <w:t>.</w:t>
      </w:r>
    </w:p>
    <w:p w14:paraId="32250616" w14:textId="77777777" w:rsidR="00365526" w:rsidRPr="00F23F20" w:rsidRDefault="00365526" w:rsidP="00365526">
      <w:pPr>
        <w:pStyle w:val="Heading2"/>
      </w:pPr>
      <w:bookmarkStart w:id="10" w:name="_Toc41908076"/>
      <w:r w:rsidRPr="00F23F20">
        <w:t>Abstract</w:t>
      </w:r>
      <w:bookmarkEnd w:id="10"/>
    </w:p>
    <w:p w14:paraId="51674A2A" w14:textId="77777777"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Widely used microbial taxonomies, such as the NCBI taxonomy, are based on a combination of sequence homology among conserved genes and historically accepted taxonomies, which were developed based on observable traits such as morphology and physiology. A recently proposed alternative taxonomy database, the Genome Taxonomy Database (GTDB), incorporates only sequence homology of conserved genes and attempts to partition taxonomic ranks such that each rank implies the same amount of evolutionary distance, regardless of its position on the phylogenetic tree. This provides the first opportunity to completely separate taxonomy from traits and therefore to quantify how taxonomic rank corresponds to traits across the microbial tree of life. We quantified the relative abundances of clusters of orthologous group functional categories (COG-FCs) as a proxy for traits within the lineages of 13,735 cultured and uncultured microbial lineages from a custom-curated genome database. On average, 41.4% of the variation in COG-FC relative abundance is explained by taxonomic rank, with domain, phylum, class, order, family, and genus explaining, on average, 3.2%, 14.6%, 4.1%, 9.2%, 4.8%, and 5.5% of the variance, respectively (</w:t>
      </w:r>
      <w:r w:rsidRPr="00F23F20">
        <w:rPr>
          <w:rFonts w:ascii="Times New Roman" w:hAnsi="Times New Roman" w:cs="Times New Roman"/>
          <w:i/>
          <w:iCs/>
        </w:rPr>
        <w:t>p</w:t>
      </w:r>
      <w:r w:rsidRPr="00F23F20">
        <w:rPr>
          <w:rFonts w:ascii="Times New Roman" w:hAnsi="Times New Roman" w:cs="Times New Roman"/>
        </w:rPr>
        <w:t xml:space="preserve">&lt;0.001 for all). To our knowledge, this is the first work to quantify the variance in metabolic potential contributed by individual taxonomic ranks. A qualitative comparison between the COG-FC relative abundances and genus-level phylogenies, generated from published concatenated protein sequence alignments, further supports the idea that metabolic potential is taxonomically </w:t>
      </w:r>
      <w:r w:rsidRPr="00F23F20">
        <w:rPr>
          <w:rFonts w:ascii="Times New Roman" w:hAnsi="Times New Roman" w:cs="Times New Roman"/>
        </w:rPr>
        <w:lastRenderedPageBreak/>
        <w:t>coherent at higher taxonomic ranks. The quantitative analyses presented here characterize the integral relationship between diversification of microbial lineages and the metabolisms which they host.</w:t>
      </w:r>
    </w:p>
    <w:p w14:paraId="029514BD" w14:textId="77777777" w:rsidR="00365526" w:rsidRPr="00F23F20" w:rsidRDefault="00365526" w:rsidP="00365526">
      <w:pPr>
        <w:pStyle w:val="Heading2"/>
      </w:pPr>
      <w:bookmarkStart w:id="11" w:name="_Toc41908077"/>
      <w:r w:rsidRPr="00F23F20">
        <w:t>Importance</w:t>
      </w:r>
      <w:bookmarkEnd w:id="11"/>
    </w:p>
    <w:p w14:paraId="2C494438" w14:textId="77777777" w:rsidR="00365526" w:rsidRPr="00F23F20" w:rsidRDefault="00365526" w:rsidP="00501C73">
      <w:pPr>
        <w:spacing w:line="480" w:lineRule="auto"/>
        <w:ind w:firstLine="720"/>
        <w:rPr>
          <w:rFonts w:ascii="Times New Roman" w:hAnsi="Times New Roman" w:cs="Times New Roman"/>
        </w:rPr>
      </w:pPr>
      <w:r w:rsidRPr="00F23F20">
        <w:rPr>
          <w:rFonts w:ascii="Times New Roman" w:hAnsi="Times New Roman" w:cs="Times New Roman"/>
        </w:rPr>
        <w:t>Recently, there has been great progress in defining a complete taxonomy of bacteria and archaea, which has been enabled by improvements in DNA sequencing technology and new bioinformatic techniques. A new, algorithmically defined microbial tree of life describes those linkages, relying solely on genetic data, which raises the issue of how microbial traits relate to taxonomy. Here, we adopted cluster of orthologous group functional categories as a scheme to describe the genomic contents of microbes, a method that can be applied to any microbial lineage for which genomes are available. This simple approach allows quantitative comparisons between microbial genomes with different gene compositions from across the microbial tree of life. Our observations demonstrate statistically significant patterns in cluster of orthologous group functional categories at taxonomic levels that span the range from domain to genus.</w:t>
      </w:r>
    </w:p>
    <w:p w14:paraId="11CADC9C" w14:textId="77777777" w:rsidR="00365526" w:rsidRPr="00F23F20" w:rsidRDefault="00365526" w:rsidP="00365526">
      <w:pPr>
        <w:pStyle w:val="Heading2"/>
      </w:pPr>
      <w:bookmarkStart w:id="12" w:name="_Toc41908078"/>
      <w:r w:rsidRPr="00F23F20">
        <w:t>Introduction</w:t>
      </w:r>
      <w:bookmarkEnd w:id="12"/>
    </w:p>
    <w:p w14:paraId="2E7E02FF" w14:textId="0696A18C" w:rsidR="00365526" w:rsidRPr="00F23F20" w:rsidRDefault="00365526" w:rsidP="00365526">
      <w:pPr>
        <w:pStyle w:val="LO-normal"/>
      </w:pPr>
      <w:r w:rsidRPr="00F23F20">
        <w:t xml:space="preserve">The relationship between microbial taxonomy and function is a longstanding problem in microbiology </w:t>
      </w:r>
      <w:r w:rsidRPr="00F23F20">
        <w:fldChar w:fldCharType="begin" w:fldLock="1"/>
      </w:r>
      <w:r w:rsidR="00307058">
        <w:instrText>ADDIN CSL_CITATION {"citationItems":[{"id":"ITEM-1","itemData":{"DOI":"10.1126/science.aac9323","ISBN":"1095-9203 (Electronic)\\r0036-8075 (Linking)","ISSN":"0036-8075","PMID":"26542581","abstract":"A focus on the phenotypic characteristics of microorganisms-their traits-offers a path for interpreting the growing amount of microbiome data. We review key aspects of microbial traits, as well as approaches used to assay their phylogenetic distribution. Recent studies reveal that microbial traits are differentially conserved across the tree of life and appear to be conserved in a hierarchical fashion, possibly linked to their biochemical complexity. These results suggest a predictive framework whereby the genetic (or taxonomic) resolution of microbiome variation among samples provides information about the traits under selection. The organizational parallels seen among human and free-living microbiomes seem to support this idea. Developments in this framework may offer predictions not only for how microbial composition responds to changing environmental conditions, but also for how these changes may alter the health or functioning in human, engineered, and environmental systems.","author":[{"dropping-particle":"","family":"Martiny","given":"J. B. H.","non-dropping-particle":"","parse-names":false,"suffix":""},{"dropping-particle":"","family":"Jones","given":"S. E.","non-dropping-particle":"","parse-names":false,"suffix":""},{"dropping-particle":"","family":"Lennon","given":"J. T.","non-dropping-particle":"","parse-names":false,"suffix":""},{"dropping-particle":"","family":"Martiny","given":"A. C.","non-dropping-particle":"","parse-names":false,"suffix":""}],"container-title":"Science","id":"ITEM-1","issue":"6261","issued":{"date-parts":[["2015"]]},"page":"aac9323","title":"Microbiomes in light of traits: A phylogenetic perspective","type":"article-journal","volume":"350"},"uris":["http://www.mendeley.com/documents/?uuid=a0f446dc-f646-4cf2-bbaa-9cf0f73bbf3e"]},{"id":"ITEM-2","itemData":{"DOI":"10.1038/ismej.2012.160","ISBN":"1751-7370 (Electronic)\\r1751-7362 (Linking)","ISSN":"17517362","PMID":"23235290","abstract":"A central question in biology is how biodiversity influences ecosystem functioning. Underlying this is the relationship between organismal phylogeny and the presence of specific functional traits. The relationship is complicated by gene loss and convergent evolution, resulting in the polyphyletic distribution of many traits. In microorganisms, lateral gene transfer can further distort the linkage between phylogeny and the presence of specific functional traits. To identify the phylogenetic conservation of specific traits in microorganisms, we developed a new phylogenetic metric-consenTRAIT-to estimate the clade depth where organisms share a trait. We then analyzed the distribution of 89 functional traits across a broad range of Bacteria and Archaea using genotypic and phenotypic data. A total of 93% of the traits were significantly non-randomly distributed, which suggested that vertical inheritance was generally important for the phylogenetic dispersion of functional traits in microorganisms. Further, traits in microbes were associated with a continuum of trait depths (τD), ranging from a few deep to many shallow clades (average τD: 0.101-0.0011 rRNA sequence dissimilarity). Next, we demonstrated that the dispersion and the depth of clades that contain a trait is correlated with the trait's complexity. Specifically, complex traits encoded by many genes like photosynthesis and methanogenesis were found in a few deep clusters, whereas the ability to use simple carbon substrates was highly phylogenetically dispersed. On the basis of these results, we propose a framework for predicting the phylogenetic conservatism of functional traits depending on the complexity of the trait. This framework enables predicting how variation in microbial composition may affect microbially-mediated ecosystem processes as well as linking phylogenetic and trait-based patterns of biogeography.","author":[{"dropping-particle":"","family":"Martiny","given":"Adam C.","non-dropping-particle":"","parse-names":false,"suffix":""},{"dropping-particle":"","family":"Treseder","given":"Kathleen","non-dropping-particle":"","parse-names":false,"suffix":""},{"dropping-particle":"","family":"Pusch","given":"Gordon","non-dropping-particle":"","parse-names":false,"suffix":""}],"container-title":"ISME Journal","id":"ITEM-2","issue":"4","issued":{"date-parts":[["2013"]]},"page":"830-838","publisher":"Nature Publishing Group","title":"Phylogenetic conservatism of functional traits in microorganisms","type":"article-journal","volume":"7"},"uris":["http://www.mendeley.com/documents/?uuid=678b7b71-712f-461d-aa29-33d3abc93f1a"]},{"id":"ITEM-3","itemData":{"DOI":"10.1038/ismej.2012.176","ISSN":"1751-7370","PMID":"23303371","abstract":"Understanding the relationship between prokaryotic traits and phylogeny is important for predicting and modeling ecological processes. Microbial extracellular enzymes have a pivotal role in nutrient cycling and the decomposition of organic matter, yet little is known about the phylogenetic distribution of genes encoding these enzymes. In this study, we analyzed 3058 annotated prokaryotic genomes to determine which taxa have the genetic potential to produce alkaline phosphatase, chitinase and β-N-acetyl-glucosaminidase enzymes. We then evaluated the relationship between the genetic potential for enzyme production and 16S rRNA phylogeny using the consenTRAIT algorithm, which calculated the phylogenetic depth and corresponding 16S rRNA sequence identity of clades of potential enzyme producers. Nearly half (49.2%) of the genomes analyzed were found to be capable of extracellular enzyme production, and these were non-randomly distributed across most prokaryotic phyla. On average, clades of potential enzyme-producing organisms had a maximum phylogenetic depth of 0.008004-0.009780, though individual clades varied broadly in both size and depth. These values correspond to a minimum 16S rRNA sequence identity of 98.04-98.40%. The distribution pattern we found is an indication of microdiversity, the occurrence of ecologically or physiologically distinct populations within phylogenetically related groups. Additionally, we found positive correlations among the genes encoding different extracellular enzymes. Our results suggest that the capacity to produce extracellular enzymes varies at relatively fine-scale phylogenetic resolution. This variation is consistent with other traits that require a small number of genes and provides insight into the relationship between taxonomy and traits that may be useful for predicting ecological function.","author":[{"dropping-particle":"","family":"Zimmerman","given":"Amy E","non-dropping-particle":"","parse-names":false,"suffix":""},{"dropping-particle":"","family":"Martiny","given":"Adam C","non-dropping-particle":"","parse-names":false,"suffix":""},{"dropping-particle":"","family":"Allison","given":"Steven D","non-dropping-particle":"","parse-names":false,"suffix":""}],"container-title":"The ISME Journal","id":"ITEM-3","issued":{"date-parts":[["2013","6"]]},"page":"1187-1199","publisher":"Nature Publishing Group","title":"Microdiversity of extracellular enzyme genes among sequenced prokaryotic genomes","type":"article-journal","volume":"7"},"uris":["http://www.mendeley.com/documents/?uuid=85dbff36-7dd0-30ae-85f6-6a67f26bdbc8"]}],"mendeley":{"formattedCitation":"(9, 20, 21)","plainTextFormattedCitation":"(9, 20, 21)","previouslyFormattedCitation":"(9, 19, 20)"},"properties":{"noteIndex":0},"schema":"https://github.com/citation-style-language/schema/raw/master/csl-citation.json"}</w:instrText>
      </w:r>
      <w:r w:rsidRPr="00F23F20">
        <w:fldChar w:fldCharType="separate"/>
      </w:r>
      <w:bookmarkStart w:id="13" w:name="__Fieldmark__24_3131557954"/>
      <w:bookmarkStart w:id="14" w:name="__Fieldmark__32_2938955102"/>
      <w:r w:rsidR="00307058" w:rsidRPr="00307058">
        <w:rPr>
          <w:noProof/>
        </w:rPr>
        <w:t>(9, 20, 21)</w:t>
      </w:r>
      <w:r w:rsidRPr="00F23F20">
        <w:fldChar w:fldCharType="end"/>
      </w:r>
      <w:bookmarkEnd w:id="13"/>
      <w:bookmarkEnd w:id="14"/>
      <w:r w:rsidRPr="00F23F20">
        <w:t xml:space="preserve">. Prior to the identification of the 16S rRNA gene as a taxonomic marker, microbial phylogenetic relationships were defined by traits such as morphology, behavior, and metabolic capacity. Cheap DNA sequencing has provided the ability to fortify those phenotype-based taxonomies with quantitative determinations of </w:t>
      </w:r>
      <w:r w:rsidRPr="00F23F20">
        <w:lastRenderedPageBreak/>
        <w:t xml:space="preserve">differences between marker genes, but canonical taxonomies such as the NCBI taxonomy continue to “reflect the current consensus in the systematic literature,” which ultimately derives from trait-based taxonomies </w:t>
      </w:r>
      <w:r w:rsidRPr="00F23F20">
        <w:fldChar w:fldCharType="begin" w:fldLock="1"/>
      </w:r>
      <w:r w:rsidR="00307058">
        <w:instrText>ADDIN CSL_CITATION {"citationItems":[{"id":"ITEM-1","itemData":{"DOI":"10.1093/nar/gkr1178","ISSN":"03051048","abstract":"The NCBI Taxonomy database (http://www.ncbi.nlm.nih.gov/taxonomy) is the standard nomenclature and classification repository for the International Nucleotide Sequence Database Collaboration (INSDC), comprising the GenBank, ENA (EMBL) and DDBJ databases. It includes organism names and taxonomic lineages for each of the sequences represented in the INSDC's nucleotide and protein sequence databases. The taxonomy database is manually curated by a small group of scientists at the NCBI who use the current taxonomic literature to maintain a phylogenetic taxonomy for the source organisms represented in the sequence databases. The taxonomy database is a central organizing hub for many of the resources at the NCBI, and provides a means for clustering elements within other domains of NCBI web site, for internal linking between domains of the Entrez system and for linking out to taxon-specific external resources on the web. Our primary purpose is to index the domain of sequences as conveniently as possible for our user community.","author":[{"dropping-particle":"","family":"Federhen","given":"Scott","non-dropping-particle":"","parse-names":false,"suffix":""}],"container-title":"Nucleic Acids Research","id":"ITEM-1","issue":"D1","issued":{"date-parts":[["2012"]]},"page":"136-143","title":"The NCBI Taxonomy database","type":"article-journal","volume":"40"},"uris":["http://www.mendeley.com/documents/?uuid=6264de8b-087f-468d-86e2-83dbf62d86ac"]}],"mendeley":{"formattedCitation":"(22)","plainTextFormattedCitation":"(22)","previouslyFormattedCitation":"(21)"},"properties":{"noteIndex":0},"schema":"https://github.com/citation-style-language/schema/raw/master/csl-citation.json"}</w:instrText>
      </w:r>
      <w:r w:rsidRPr="00F23F20">
        <w:fldChar w:fldCharType="separate"/>
      </w:r>
      <w:bookmarkStart w:id="15" w:name="__Fieldmark__31_3131557954"/>
      <w:bookmarkStart w:id="16" w:name="__Fieldmark__47_2938955102"/>
      <w:r w:rsidR="00307058" w:rsidRPr="00307058">
        <w:rPr>
          <w:noProof/>
        </w:rPr>
        <w:t>(22)</w:t>
      </w:r>
      <w:r w:rsidRPr="00F23F20">
        <w:fldChar w:fldCharType="end"/>
      </w:r>
      <w:bookmarkEnd w:id="15"/>
      <w:bookmarkEnd w:id="16"/>
      <w:r w:rsidRPr="00F23F20">
        <w:t xml:space="preserve">. Recently, </w:t>
      </w:r>
      <w:r w:rsidRPr="00F23F20">
        <w:fldChar w:fldCharType="begin" w:fldLock="1"/>
      </w:r>
      <w:r w:rsidR="00F74F65">
        <w:instrText>ADDIN CSL_CITATION {"citationItems":[{"id":"ITEM-1","itemData":{"DOI":"10.1038/nbt.4229","ISBN":"1101-1262","ISSN":"1087-0156","PMID":"30148503","abstract":"Taxonomy is a fundamental organizing principle of biology, which ideally should be based on evolutionary relationships. Microbial taxonomy has been greatly restricted by the inability to obtain most microorganisms in pure culture and, to a lesser degree, the historical use of phenotypic properties as the basis for classification. However, we are now at the point of obtaining genome sequences broadly representative of microbial diversity by using culture-independent techniques, which provide the opportunity to develop a comprehensive genome-based taxonomy. Here we propose a standardized bacterial taxonomy based on a concatenated protein phylogeny that conservatively removes polyphyletic groups and normalizes ranks based on relative evolutionary divergence. From 94,759 bacterial genomes, 99 phyla are described including six major normalized monophyletic units from the subdivision of the Proteobacteria, and amalgamation of the Candidate Phyla Radiation into the single phylum Patescibacteria. In total, 73% of taxa had one or more changes to their existing taxonomy.","author":[{"dropping-particle":"","family":"Parks","given":"Donovan H","non-dropping-particle":"","parse-names":false,"suffix":""},{"dropping-particle":"","family":"Chuvochina","given":"Maria","non-dropping-particle":"","parse-names":false,"suffix":""},{"dropping-particle":"","family":"Waite","given":"David W","non-dropping-particle":"","parse-names":false,"suffix":""},{"dropping-particle":"","family":"Rinke","given":"Christian","non-dropping-particle":"","parse-names":false,"suffix":""},{"dropping-particle":"","family":"Skarshewski","given":"Adam","non-dropping-particle":"","parse-names":false,"suffix":""},{"dropping-particle":"","family":"Chaumeil","given":"Pierre-Alain","non-dropping-particle":"","parse-names":false,"suffix":""},{"dropping-particle":"","family":"Hugenholtz","given":"Philip","non-dropping-particle":"","parse-names":false,"suffix":""}],"container-title":"Nature Biotechnology","id":"ITEM-1","issue":"10","issued":{"date-parts":[["2018"]]},"page":"996-1004","title":"A standardized bacterial taxonomy based on genome phylogeny substantially revises the tree of life","type":"article-journal","volume":"36"},"uris":["http://www.mendeley.com/documents/?uuid=c230d0f1-0711-4b60-bb3c-207f7cf49c63"]}],"mendeley":{"formattedCitation":"(10)","plainTextFormattedCitation":"(10)","previouslyFormattedCitation":"(10)"},"properties":{"noteIndex":0},"schema":"https://github.com/citation-style-language/schema/raw/master/csl-citation.json"}</w:instrText>
      </w:r>
      <w:r w:rsidRPr="00F23F20">
        <w:fldChar w:fldCharType="separate"/>
      </w:r>
      <w:bookmarkStart w:id="17" w:name="__Fieldmark__38_3131557954"/>
      <w:bookmarkStart w:id="18" w:name="__Fieldmark__53_2938955102"/>
      <w:r w:rsidR="004620D1" w:rsidRPr="004620D1">
        <w:rPr>
          <w:noProof/>
        </w:rPr>
        <w:t>(10)</w:t>
      </w:r>
      <w:r w:rsidRPr="00F23F20">
        <w:fldChar w:fldCharType="end"/>
      </w:r>
      <w:bookmarkEnd w:id="17"/>
      <w:bookmarkEnd w:id="18"/>
      <w:r w:rsidRPr="00F23F20">
        <w:t xml:space="preserve"> formalized the genome taxonomy database (GTDB), a phylogeny in which taxonomic ranks are </w:t>
      </w:r>
      <w:bookmarkStart w:id="19" w:name="_Hlk41460560"/>
      <w:r w:rsidRPr="00F23F20">
        <w:t>defined by “relative evolutionary divergence” in order to create taxonomic ranks that have uniform evolutionary meaning across the microbial tree of lif</w:t>
      </w:r>
      <w:bookmarkEnd w:id="19"/>
      <w:r w:rsidRPr="00F23F20">
        <w:t xml:space="preserve">e </w:t>
      </w:r>
      <w:r w:rsidRPr="00F23F20">
        <w:fldChar w:fldCharType="begin" w:fldLock="1"/>
      </w:r>
      <w:r w:rsidR="00F74F65">
        <w:instrText>ADDIN CSL_CITATION {"citationItems":[{"id":"ITEM-1","itemData":{"DOI":"10.1038/nbt.4229","ISBN":"1101-1262","ISSN":"1087-0156","PMID":"30148503","abstract":"Taxonomy is a fundamental organizing principle of biology, which ideally should be based on evolutionary relationships. Microbial taxonomy has been greatly restricted by the inability to obtain most microorganisms in pure culture and, to a lesser degree, the historical use of phenotypic properties as the basis for classification. However, we are now at the point of obtaining genome sequences broadly representative of microbial diversity by using culture-independent techniques, which provide the opportunity to develop a comprehensive genome-based taxonomy. Here we propose a standardized bacterial taxonomy based on a concatenated protein phylogeny that conservatively removes polyphyletic groups and normalizes ranks based on relative evolutionary divergence. From 94,759 bacterial genomes, 99 phyla are described including six major normalized monophyletic units from the subdivision of the Proteobacteria, and amalgamation of the Candidate Phyla Radiation into the single phylum Patescibacteria. In total, 73% of taxa had one or more changes to their existing taxonomy.","author":[{"dropping-particle":"","family":"Parks","given":"Donovan H","non-dropping-particle":"","parse-names":false,"suffix":""},{"dropping-particle":"","family":"Chuvochina","given":"Maria","non-dropping-particle":"","parse-names":false,"suffix":""},{"dropping-particle":"","family":"Waite","given":"David W","non-dropping-particle":"","parse-names":false,"suffix":""},{"dropping-particle":"","family":"Rinke","given":"Christian","non-dropping-particle":"","parse-names":false,"suffix":""},{"dropping-particle":"","family":"Skarshewski","given":"Adam","non-dropping-particle":"","parse-names":false,"suffix":""},{"dropping-particle":"","family":"Chaumeil","given":"Pierre-Alain","non-dropping-particle":"","parse-names":false,"suffix":""},{"dropping-particle":"","family":"Hugenholtz","given":"Philip","non-dropping-particle":"","parse-names":false,"suffix":""}],"container-title":"Nature Biotechnology","id":"ITEM-1","issue":"10","issued":{"date-parts":[["2018"]]},"page":"996-1004","title":"A standardized bacterial taxonomy based on genome phylogeny substantially revises the tree of life","type":"article-journal","volume":"36"},"uris":["http://www.mendeley.com/documents/?uuid=c230d0f1-0711-4b60-bb3c-207f7cf49c63"]}],"mendeley":{"formattedCitation":"(10)","plainTextFormattedCitation":"(10)","previouslyFormattedCitation":"(10)"},"properties":{"noteIndex":0},"schema":"https://github.com/citation-style-language/schema/raw/master/csl-citation.json"}</w:instrText>
      </w:r>
      <w:r w:rsidRPr="00F23F20">
        <w:fldChar w:fldCharType="separate"/>
      </w:r>
      <w:bookmarkStart w:id="20" w:name="__Fieldmark__45_3131557954"/>
      <w:bookmarkStart w:id="21" w:name="__Fieldmark__74_2938955102"/>
      <w:r w:rsidR="004620D1" w:rsidRPr="004620D1">
        <w:rPr>
          <w:noProof/>
        </w:rPr>
        <w:t>(10)</w:t>
      </w:r>
      <w:r w:rsidRPr="00F23F20">
        <w:fldChar w:fldCharType="end"/>
      </w:r>
      <w:bookmarkEnd w:id="20"/>
      <w:bookmarkEnd w:id="21"/>
      <w:r w:rsidRPr="00F23F20">
        <w:t xml:space="preserve">. </w:t>
      </w:r>
      <w:r w:rsidRPr="00F23F20">
        <w:rPr>
          <w:color w:val="000000" w:themeColor="text1"/>
        </w:rPr>
        <w:t xml:space="preserve">This approach removes phenotype or traits entirely from taxonomic assignment as evolutionary distance is calculated from the alignment of 120 and 122 concatenated, universal proteins found in all bacterial and archaeal lineages, respectively. An investigation of the relationship between traits and phylogeny has not been possible until the recent publication of a microbial tree of life that is based solely on evolutionary distance. Thus, we ask the question: to what extent does GTDB phylogeny predict microbial traits? </w:t>
      </w:r>
    </w:p>
    <w:p w14:paraId="3345BE90" w14:textId="4434DA9D" w:rsidR="00365526" w:rsidRPr="00F23F20" w:rsidRDefault="00365526" w:rsidP="00365526">
      <w:pPr>
        <w:pStyle w:val="LO-normal"/>
      </w:pPr>
      <w:r w:rsidRPr="00F23F20">
        <w:t xml:space="preserve">Comparing phenotypic characteristics of microorganisms across the tree of life is not currently possible, because most organisms and lineages currently lack cultured representatives </w:t>
      </w:r>
      <w:r w:rsidRPr="00F23F20">
        <w:fldChar w:fldCharType="begin" w:fldLock="1"/>
      </w:r>
      <w:r w:rsidR="00307058">
        <w:instrText>ADDIN CSL_CITATION {"citationItems":[{"id":"ITEM-1","itemData":{"DOI":"10.1128/mSystems.00055-18","ISBN":"2379-5077 (Print) 2379-5077 (Linking)","ISSN":"2379-5077","PMID":"30273414","abstract":"&lt;p&gt; To describe a microbe’s physiology, including its metabolism, environmental roles, and growth characteristics, it must be grown in a laboratory culture. Unfortunately, many phylogenetically novel groups have never been cultured, so their physiologies have only been inferred from genomics and environmental characteristics. Although the diversity, or number of different taxonomic groups, of uncultured clades has been studied well, their global abundances, or numbers of cells in any given environment, have not been assessed. We quantified the degree of similarity of 16S rRNA gene sequences from diverse environments in publicly available metagenome and metatranscriptome databases, which we show have far less of the culture bias present in primer-amplified 16S rRNA gene surveys, to those of their nearest cultured relatives. Whether normalized to scaffold read depths or not, the highest abundances of metagenomic 16S rRNA gene sequences belong to phylogenetically novel uncultured groups in seawater, freshwater, terrestrial subsurface, soil, hypersaline environments, marine sediment, hot springs, hydrothermal vents, nonhuman hosts, snow, and bioreactors (22% to 87% uncultured genera to classes and 0% to 64% uncultured phyla). The exceptions were human and human-associated environments, which were dominated by cultured genera (45% to 97%). We estimate that uncultured genera and phyla could comprise 7.3 × 10 &lt;sup&gt;29&lt;/sup&gt; (81%) and 2.2 × 10 &lt;sup&gt;29&lt;/sup&gt; (25%) of microbial cells, respectively. Uncultured phyla were overrepresented in metatranscriptomes relative to metagenomes (46% to 84% of sequences in a given environment), suggesting that they are viable. Therefore, uncultured microbes, often from deeply phylogenetically divergent groups, dominate nonhuman environments on Earth, and their undiscovered physiologies may matter for Earth systems. &lt;/p&gt;","author":[{"dropping-particle":"","family":"Lloyd","given":"Karen G.","non-dropping-particle":"","parse-names":false,"suffix":""},{"dropping-particle":"","family":"Steen","given":"Andrew D.","non-dropping-particle":"","parse-names":false,"suffix":""},{"dropping-particle":"","family":"Ladau","given":"Joshua","non-dropping-particle":"","parse-names":false,"suffix":""},{"dropping-particle":"","family":"Yin","given":"Junqi","non-dropping-particle":"","parse-names":false,"suffix":""},{"dropping-particle":"","family":"Crosby","given":"Lonnie","non-dropping-particle":"","parse-names":false,"suffix":""}],"container-title":"mSystems","id":"ITEM-1","issue":"5","issued":{"date-parts":[["2018"]]},"page":"1-12","title":"Phylogenetically Novel Uncultured Microbial Cells Dominate Earth Microbiomes","type":"article-journal","volume":"3"},"uris":["http://www.mendeley.com/documents/?uuid=cbe35562-7a0a-4fc0-afb3-f48ebed5c158"]},{"id":"ITEM-2","itemData":{"DOI":"10.1038/nmicrobiol.2016.48","ISBN":"1471-0064 (Electronic)","ISSN":"2058-5276","PMID":"26399914","abstract":"The tree of life is one of the most important organizing prin- ciples in biology1. Gene surveys suggest the existence of an enormous number of branches2, but even an approximation of the full scale of the tree has remained elusive. Recent depic- tions of the tree of life have focused either on the nature of deep evolutionary relationships3–5 or on the known, well-classi- fied diversity of life with an emphasis on eukaryotes6. These approaches overlook the dramatic change in our understanding of life’s diversity resulting fromgenomic sampling of previously unexamined environments. New methods to generate genome sequences illuminate the identity of organisms and their meta- bolic capacities, placing them in community and ecosystem con- texts7,8. Here, we use new genomic data from over 1,000 uncultivated and little known organisms, together with pub- lished sequences, to infer a dramatically expanded version of the tree of life, with Bacteria, Archaea and Eukarya included. The depiction is both a global overview and a snapshot of the diversity within each major lineage. The results reveal the dom- inance of bacterial diversification and underline the importance of organisms lacking isolated representatives, with substantial evolution concentrated in a major radiation of such organisms. This tree highlights major lineages currently underrepresented in biogeochemical models and identifies radiations that are probably important for future evolutionary analyses.","author":[{"dropping-particle":"","family":"Hug","given":"Laura A.","non-dropping-particle":"","parse-names":false,"suffix":""},{"dropping-particle":"","family":"Baker","given":"Brett J.","non-dropping-particle":"","parse-names":false,"suffix":""},{"dropping-particle":"","family":"Anantharaman","given":"Karthik","non-dropping-particle":"","parse-names":false,"suffix":""},{"dropping-particle":"","family":"Brown","given":"Christopher T.","non-dropping-particle":"","parse-names":false,"suffix":""},{"dropping-particle":"","family":"Probst","given":"Alexander J.","non-dropping-particle":"","parse-names":false,"suffix":""},{"dropping-particle":"","family":"Castelle","given":"Cindy J.","non-dropping-particle":"","parse-names":false,"suffix":""},{"dropping-particle":"","family":"Butterfield","given":"Cristina N.","non-dropping-particle":"","parse-names":false,"suffix":""},{"dropping-particle":"","family":"Hernsdorf","given":"Alex W.","non-dropping-particle":"","parse-names":false,"suffix":""},{"dropping-particle":"","family":"Amano","given":"Yuki","non-dropping-particle":"","parse-names":false,"suffix":""},{"dropping-particle":"","family":"Ise","given":"Kotaro","non-dropping-particle":"","parse-names":false,"suffix":""},{"dropping-particle":"","family":"Suzuki","given":"Yohey","non-dropping-particle":"","parse-names":false,"suffix":""},{"dropping-particle":"","family":"Dudek","given":"Natasha","non-dropping-particle":"","parse-names":false,"suffix":""},{"dropping-particle":"","family":"Relman","given":"David A.","non-dropping-particle":"","parse-names":false,"suffix":""},{"dropping-particle":"","family":"Finstad","given":"Kari M.","non-dropping-particle":"","parse-names":false,"suffix":""},{"dropping-particle":"","family":"Amundson","given":"Ronald","non-dropping-particle":"","parse-names":false,"suffix":""},{"dropping-particle":"","family":"Thomas","given":"Brian C.","non-dropping-particle":"","parse-names":false,"suffix":""},{"dropping-particle":"","family":"Banfield","given":"Jillian F.","non-dropping-particle":"","parse-names":false,"suffix":""}],"container-title":"Nature Microbiology","id":"ITEM-2","issue":"5","issued":{"date-parts":[["2016"]]},"page":"1-6","title":"A new view of the tree of life","type":"article-journal","volume":"1"},"uris":["http://www.mendeley.com/documents/?uuid=a9a9c71b-aafe-4c32-acf9-b21de02e12bc"]}],"mendeley":{"formattedCitation":"(6, 23)","plainTextFormattedCitation":"(6, 23)","previouslyFormattedCitation":"(6, 22)"},"properties":{"noteIndex":0},"schema":"https://github.com/citation-style-language/schema/raw/master/csl-citation.json"}</w:instrText>
      </w:r>
      <w:r w:rsidRPr="00F23F20">
        <w:fldChar w:fldCharType="separate"/>
      </w:r>
      <w:bookmarkStart w:id="22" w:name="__Fieldmark__55_3131557954"/>
      <w:bookmarkStart w:id="23" w:name="__Fieldmark__93_2938955102"/>
      <w:r w:rsidR="00307058" w:rsidRPr="00307058">
        <w:rPr>
          <w:noProof/>
        </w:rPr>
        <w:t>(6, 23)</w:t>
      </w:r>
      <w:r w:rsidRPr="00F23F20">
        <w:fldChar w:fldCharType="end"/>
      </w:r>
      <w:bookmarkEnd w:id="22"/>
      <w:bookmarkEnd w:id="23"/>
      <w:r w:rsidRPr="00F23F20">
        <w:t xml:space="preserve">. We therefore used the abundance of different clusters of orthologous groups (COGs) in microbial genomes, a proxy for phenotype which is available for all microorganisms for which genomes are available. Clusters of orthologous groups (COGs) are a classification scheme that defines protein domains based on groups of proteins sharing high sequence homology </w:t>
      </w:r>
      <w:r w:rsidRPr="00F23F20">
        <w:fldChar w:fldCharType="begin" w:fldLock="1"/>
      </w:r>
      <w:r w:rsidR="00307058">
        <w:instrText>ADDIN CSL_CITATION {"citationItems":[{"id":"ITEM-1","itemData":{"DOI":"10.1093/nar/28.1.33","ISBN":"0305-1048 (Print)\\n0305-1048 (Linking)","ISSN":"13624962","PMID":"10592175","abstract":"Rational classification of proteins encoded in sequenced genomes is critical for making the genome sequences maximally useful for functional and evolutionary studies. The database of Clusters of Orthologous Groups of proteins (COGs) is an attempt on a phylogenetic classification of the proteins encoded in 21 complete genomes of bacteria, archaea and eukaryotes (http://www. ncbi.nlm. nih.gov/COG). The COGs were constructed by applying the criterion of consistency of genome-specific best hits to the results of an exhaustive comparison of all protein sequences from these genomes. The database comprises 2091 COGs that include 56-83% of the gene products from each of the complete bacterial and archaeal genomes and approximately 35% of those from the yeast Saccharomyces cerevisiae genome. The COG database is accompanied by the COGNITOR program that is used to fit new proteins into the COGs and can be applied to functional and phylogenetic annotation of newly sequenced genomes.","author":[{"dropping-particle":"","family":"Tatusov","given":"Roman L.","non-dropping-particle":"","parse-names":false,"suffix":""},{"dropping-particle":"","family":"Galperin","given":"Michael Y.","non-dropping-particle":"","parse-names":false,"suffix":""},{"dropping-particle":"","family":"Natale","given":"Darren A.","non-dropping-particle":"","parse-names":false,"suffix":""},{"dropping-particle":"V.","family":"Koonin","given":"Eugene","non-dropping-particle":"","parse-names":false,"suffix":""}],"container-title":"Nucleic Acids Research","id":"ITEM-1","issue":"1","issued":{"date-parts":[["2000"]]},"page":"33-36","title":"The COG database: a tool for genome-scale analysis of protein functions and evolution","type":"article-journal","volume":"28"},"uris":["http://www.mendeley.com/documents/?uuid=e0fbbb96-460b-4b22-9b4e-bf0e2218af6f"]}],"mendeley":{"formattedCitation":"(24)","plainTextFormattedCitation":"(24)","previouslyFormattedCitation":"(23)"},"properties":{"noteIndex":0},"schema":"https://github.com/citation-style-language/schema/raw/master/csl-citation.json"}</w:instrText>
      </w:r>
      <w:r w:rsidRPr="00F23F20">
        <w:fldChar w:fldCharType="separate"/>
      </w:r>
      <w:bookmarkStart w:id="24" w:name="__Fieldmark__62_3131557954"/>
      <w:bookmarkStart w:id="25" w:name="__Fieldmark__108_2938955102"/>
      <w:r w:rsidR="00307058" w:rsidRPr="00307058">
        <w:rPr>
          <w:noProof/>
        </w:rPr>
        <w:t>(24)</w:t>
      </w:r>
      <w:r w:rsidRPr="00F23F20">
        <w:fldChar w:fldCharType="end"/>
      </w:r>
      <w:bookmarkEnd w:id="24"/>
      <w:bookmarkEnd w:id="25"/>
      <w:r w:rsidRPr="00F23F20">
        <w:t xml:space="preserve">. More than ~5,700 COGs have been identified to date. COGs are placed into one of 25 metabolic functional categories (COG-FCs), which represents a generalized metabolic function (e.g., “Lipid Transport and Metabolism” or “Chromatin Structure and Dynamics”). Our analyses </w:t>
      </w:r>
      <w:r w:rsidRPr="00F23F20">
        <w:lastRenderedPageBreak/>
        <w:t xml:space="preserve">quantify the degree to which taxonomic rank (genus through domain) predicts the COG-FC content of genomes, and illustrate which lineages are relatively enriched or depleted in specific COG-FCs. These analyses constitute a step towards better understanding how evolutionary processes influence the distribution of metabolic traits across taxonomy as well as being able to probabilistically predict the metabolic or functional similarity of microbes given their taxonomic classification. </w:t>
      </w:r>
    </w:p>
    <w:p w14:paraId="15AC708F" w14:textId="77777777" w:rsidR="00365526" w:rsidRPr="00F23F20" w:rsidRDefault="00365526" w:rsidP="00365526">
      <w:pPr>
        <w:pStyle w:val="Heading2"/>
      </w:pPr>
      <w:bookmarkStart w:id="26" w:name="_Toc41908079"/>
      <w:r w:rsidRPr="00F23F20">
        <w:t>Results</w:t>
      </w:r>
      <w:bookmarkEnd w:id="26"/>
    </w:p>
    <w:p w14:paraId="1366D40D" w14:textId="58269B9B" w:rsidR="00365526" w:rsidRPr="00F23F20" w:rsidRDefault="00365526" w:rsidP="00365526">
      <w:pPr>
        <w:pStyle w:val="LO-normal"/>
      </w:pPr>
      <w:r w:rsidRPr="00F23F20">
        <w:t xml:space="preserve">The genomes analyzed in this work were compiled from a variety of different sources, including </w:t>
      </w:r>
      <w:proofErr w:type="spellStart"/>
      <w:r w:rsidRPr="00F23F20">
        <w:t>RefSeq</w:t>
      </w:r>
      <w:proofErr w:type="spellEnd"/>
      <w:r w:rsidRPr="00F23F20">
        <w:t xml:space="preserve"> v92, </w:t>
      </w:r>
      <w:bookmarkStart w:id="27" w:name="_Hlk41460817"/>
      <w:r w:rsidRPr="00F23F20">
        <w:t>the JGI Integrated Microbial Genomes and Microbiomes (IMG/M) database, and GenBank</w:t>
      </w:r>
      <w:bookmarkEnd w:id="27"/>
      <w:r w:rsidRPr="00F23F20">
        <w:t xml:space="preserve">, in order to include genomes created using diverse sequencing and assembly techniques. The integration of the </w:t>
      </w:r>
      <w:proofErr w:type="spellStart"/>
      <w:r w:rsidRPr="00F23F20">
        <w:t>RefSeq</w:t>
      </w:r>
      <w:proofErr w:type="spellEnd"/>
      <w:r w:rsidRPr="00F23F20">
        <w:t xml:space="preserve"> v92, JGI IMG/M, and GenBank databases resulted in a total of 119,852 genomes within the custom-curated database. Raw data, GTDB taxonomy, and associated accession numbers are provided in at https://zenodo.org/record/3361565. Among these genomes, we included only those that satisfied a set of criteria designed to ensure that each genus contained enough genomes to allow statistically robust analysis. This resulted in a set of 13,735 lineages, representing 22 bacterial phyla and 4 archaeal phyla, 67% of which have been grown in culture (Table 1.1). Most predicted open reading frames for most lineages could be assigned to a COG-FC. Across all phyla, an average of 84.3% </w:t>
      </w:r>
      <w:r w:rsidRPr="00F23F20">
        <w:rPr>
          <w:u w:val="single"/>
        </w:rPr>
        <w:t>+</w:t>
      </w:r>
      <w:r w:rsidRPr="00F23F20">
        <w:t xml:space="preserve"> 7.8% of open reading frames were assigned to a COG-FC (Figure 1.1). Genomes of the same phylum tended to group together in an initial principal component analysis (PCA) of raw COG-FC abundance (Figure 1.2A). Since this analysis was based on absolute abundance of COG-FCs in genomes, rather </w:t>
      </w:r>
      <w:r w:rsidRPr="00F23F20">
        <w:lastRenderedPageBreak/>
        <w:t xml:space="preserve">than relative abundance, we hypothesized that the relationship between COG-FC abundance and phylum was largely a consequence of genome size, which is phylogenetically conserved </w:t>
      </w:r>
      <w:r w:rsidRPr="00F23F20">
        <w:fldChar w:fldCharType="begin" w:fldLock="1"/>
      </w:r>
      <w:r w:rsidR="00307058">
        <w:instrText>ADDIN CSL_CITATION {"citationItems":[{"id":"ITEM-1","itemData":{"DOI":"10.1038/nrmicro2367","ISBN":"1740-1534 (Electronic)\\n1740-1526 (Linking)","ISSN":"17401526","PMID":"20531276","abstract":"The species is a fundamental unit of biological organization, but its relevance for Bacteria and Archaea is still hotly debated. Even more controversial is whether the deeper branches of the ribosomal RNA-derived phylogenetic tree, such as the phyla, have ecological importance. Here, we discuss the ecological coherence of high bacterial taxa in the light of genome analyses and present examples of niche differentiation between deeply diverging groups in terrestrial and aquatic systems. The ecological relevance of high bacterial taxa has implications for bacterial taxonomy, evolution and ecology.","author":[{"dropping-particle":"","family":"Philippot","given":"Laurent","non-dropping-particle":"","parse-names":false,"suffix":""},{"dropping-particle":"","family":"Andersson","given":"Siv G.E.","non-dropping-particle":"","parse-names":false,"suffix":""},{"dropping-particle":"","family":"Battin","given":"Tom J.","non-dropping-particle":"","parse-names":false,"suffix":""},{"dropping-particle":"","family":"Prosser","given":"James I.","non-dropping-particle":"","parse-names":false,"suffix":""},{"dropping-particle":"","family":"Schimel","given":"Joshua P.","non-dropping-particle":"","parse-names":false,"suffix":""},{"dropping-particle":"","family":"Whitman","given":"William B.","non-dropping-particle":"","parse-names":false,"suffix":""},{"dropping-particle":"","family":"Hallin","given":"Sara","non-dropping-particle":"","parse-names":false,"suffix":""}],"container-title":"Nature Reviews Microbiology","id":"ITEM-1","issue":"7","issued":{"date-parts":[["2010"]]},"page":"523-529","publisher":"Nature Publishing Group","title":"The ecological coherence of high bacterial taxonomic ranks","type":"article-journal","volume":"8"},"uris":["http://www.mendeley.com/documents/?uuid=02994b84-682b-4f87-a2f8-204c96f34e0d"]}],"mendeley":{"formattedCitation":"(25)","plainTextFormattedCitation":"(25)","previouslyFormattedCitation":"(24)"},"properties":{"noteIndex":0},"schema":"https://github.com/citation-style-language/schema/raw/master/csl-citation.json"}</w:instrText>
      </w:r>
      <w:r w:rsidRPr="00F23F20">
        <w:fldChar w:fldCharType="separate"/>
      </w:r>
      <w:bookmarkStart w:id="28" w:name="__Fieldmark__82_3131557954"/>
      <w:bookmarkStart w:id="29" w:name="__Fieldmark__192_2938955102"/>
      <w:r w:rsidR="00307058" w:rsidRPr="00307058">
        <w:rPr>
          <w:noProof/>
        </w:rPr>
        <w:t>(25)</w:t>
      </w:r>
      <w:r w:rsidRPr="00F23F20">
        <w:fldChar w:fldCharType="end"/>
      </w:r>
      <w:bookmarkEnd w:id="28"/>
      <w:bookmarkEnd w:id="29"/>
      <w:r w:rsidRPr="00F23F20">
        <w:t>. Consistent with this possibility, position on PC 1 correlated closely with genome size (</w:t>
      </w:r>
      <w:r w:rsidRPr="00F23F20">
        <w:rPr>
          <w:i/>
          <w:iCs/>
        </w:rPr>
        <w:t>r</w:t>
      </w:r>
      <w:r w:rsidRPr="00F23F20">
        <w:rPr>
          <w:vertAlign w:val="superscript"/>
        </w:rPr>
        <w:t>2</w:t>
      </w:r>
      <w:r w:rsidRPr="00F23F20">
        <w:t>=0.88; Figure 1.2B). We therefore normalized each COG-FC abundance, for each genome, to a prediction of COG-FC abundance as a function of genome size derived from a generalized additive model (GAM; Figure 1.3; summary statistics in Table 1.2). Each GAM model was statistically significant (</w:t>
      </w:r>
      <w:r w:rsidRPr="00F23F20">
        <w:rPr>
          <w:i/>
        </w:rPr>
        <w:t>p</w:t>
      </w:r>
      <w:r w:rsidRPr="00F23F20">
        <w:t xml:space="preserve">&lt;0.001), and all but five COG-FCs had deviance explained (analogous to adjusted </w:t>
      </w:r>
      <w:r w:rsidRPr="00F23F20">
        <w:rPr>
          <w:i/>
          <w:iCs/>
        </w:rPr>
        <w:t>r</w:t>
      </w:r>
      <w:r w:rsidRPr="00F23F20">
        <w:rPr>
          <w:vertAlign w:val="superscript"/>
        </w:rPr>
        <w:t>2</w:t>
      </w:r>
      <w:r w:rsidRPr="00F23F20">
        <w:t xml:space="preserve">) of more than 50%. We interpret analyses of these genome size-normalized datasets as reflecting the enrichment or depletion of COG-FC abundance, relative to that expected for a given genome size, and thus, are defined as COG-FC relative abundances. PCA of these COG-FC relative abundances showed that species-level lineages still tended to group by phylum, even though the inter-phyla gradients in genome size were no longer apparent (Figure 1.2B, C). Note that attempts were made to normalize by genome size alone; however, these attempts failed to properly remove the influence of genome size. We hypothesize this was due to the nonlinear response in COG-FC abundances as a function of genome size. </w:t>
      </w:r>
    </w:p>
    <w:p w14:paraId="6AE1AFBE" w14:textId="77777777" w:rsidR="00365526" w:rsidRPr="00F23F20" w:rsidRDefault="00365526" w:rsidP="00365526">
      <w:pPr>
        <w:pStyle w:val="LO-normal"/>
      </w:pPr>
      <w:r w:rsidRPr="00F23F20">
        <w:t xml:space="preserve">To quantify the degree to which taxonomic rank explains the distribution of COG-FC relative abundances among individual genomes, we performed a permutation multivariate ANOVA (PERMANOVA) using the following taxonomic ranks: domain, phylum, class, order, family, and genus, as well as culture-status (cultured versus uncultured lineage) (Figure 1.4). The rank of species was excluded from the analysis as </w:t>
      </w:r>
      <w:r w:rsidRPr="00F23F20">
        <w:lastRenderedPageBreak/>
        <w:t>every lineage was unique, and thus, species would explain 100% of the data. Every rank significantly influenced the distribution of COG-FC relative abundance (</w:t>
      </w:r>
      <w:r w:rsidRPr="00F23F20">
        <w:rPr>
          <w:i/>
        </w:rPr>
        <w:t xml:space="preserve">p </w:t>
      </w:r>
      <w:r w:rsidRPr="00F23F20">
        <w:t>&lt; 0.001), but the fraction of variance that each rank explained differed substantially: phylum explained the most variance (14.6%), followed by order (9.2%), genus (5.5%), family (4.8%), and class (4.1%). Domain explained only 3.1% of variance in COG-FC relative abundance, the least of any taxonomic rank. Culture-status was a significant correlate of COG-FC abundance (</w:t>
      </w:r>
      <w:r w:rsidRPr="00F23F20">
        <w:rPr>
          <w:i/>
        </w:rPr>
        <w:t xml:space="preserve">p </w:t>
      </w:r>
      <w:r w:rsidRPr="00F23F20">
        <w:t xml:space="preserve">&lt; 0.001) but had virtually no explanatory power, with variance explained &lt;0.001%. This observation is consistent with no particular COG-FC relative abundance being systematically higher or lower in uncultured microbes relative to cultured microbes. </w:t>
      </w:r>
    </w:p>
    <w:p w14:paraId="6F1FEEA0" w14:textId="77777777" w:rsidR="00365526" w:rsidRPr="00F23F20" w:rsidRDefault="00365526" w:rsidP="00365526">
      <w:pPr>
        <w:pStyle w:val="LO-normal"/>
      </w:pPr>
      <w:r w:rsidRPr="00F23F20">
        <w:t xml:space="preserve">The variability in COG-FC relative abundances across different phyla was explored in addition to mean COG-FC composition for individual phyla (Figure 1.5). The evolutionary distance in COG-FC content was measured for all lineages in respect to the phylum COG-FC centroid (Figure 1.5A). The variations in calculated distances for all lineages within a given phylum were compared across the entire phylum (Figure 1.5A). Among all phyla, the </w:t>
      </w:r>
      <w:proofErr w:type="spellStart"/>
      <w:r w:rsidRPr="00F23F20">
        <w:rPr>
          <w:i/>
          <w:iCs/>
        </w:rPr>
        <w:t>Crenarchaeota</w:t>
      </w:r>
      <w:proofErr w:type="spellEnd"/>
      <w:r w:rsidRPr="00F23F20">
        <w:t xml:space="preserve"> differed the most from the phylum centroid, indicating the largest amount of genomic variation in terms of COG-FC content, followed by </w:t>
      </w:r>
      <w:proofErr w:type="spellStart"/>
      <w:r w:rsidRPr="00F23F20">
        <w:rPr>
          <w:i/>
          <w:iCs/>
        </w:rPr>
        <w:t>Patescibacteria</w:t>
      </w:r>
      <w:proofErr w:type="spellEnd"/>
      <w:r w:rsidRPr="00F23F20">
        <w:t xml:space="preserve"> and </w:t>
      </w:r>
      <w:proofErr w:type="spellStart"/>
      <w:r w:rsidRPr="00F23F20">
        <w:rPr>
          <w:i/>
          <w:iCs/>
        </w:rPr>
        <w:t>Cyanobacterota</w:t>
      </w:r>
      <w:proofErr w:type="spellEnd"/>
      <w:r w:rsidRPr="00F23F20">
        <w:t xml:space="preserve">. The least variable phyla were the </w:t>
      </w:r>
      <w:proofErr w:type="spellStart"/>
      <w:r w:rsidRPr="00F23F20">
        <w:rPr>
          <w:i/>
          <w:iCs/>
        </w:rPr>
        <w:t>Synergistota</w:t>
      </w:r>
      <w:proofErr w:type="spellEnd"/>
      <w:r w:rsidRPr="00F23F20">
        <w:t xml:space="preserve">, </w:t>
      </w:r>
      <w:proofErr w:type="spellStart"/>
      <w:r w:rsidRPr="00F23F20">
        <w:rPr>
          <w:i/>
          <w:iCs/>
        </w:rPr>
        <w:t>Marinisomatota</w:t>
      </w:r>
      <w:proofErr w:type="spellEnd"/>
      <w:r w:rsidRPr="00F23F20">
        <w:t xml:space="preserve">, and </w:t>
      </w:r>
      <w:proofErr w:type="spellStart"/>
      <w:r w:rsidRPr="00F23F20">
        <w:rPr>
          <w:i/>
          <w:iCs/>
        </w:rPr>
        <w:t>Fibrobacterota</w:t>
      </w:r>
      <w:proofErr w:type="spellEnd"/>
      <w:r w:rsidRPr="00F23F20">
        <w:t xml:space="preserve"> phyla, respectively (Figure 1.5A). We explored the possibility that the amount of variance in lineages from the phylum centroid was a function of the number of lineages in the phylum. In other words, did the COG-FC content of some genomes seem less variable simply because they had been </w:t>
      </w:r>
      <w:proofErr w:type="spellStart"/>
      <w:r w:rsidRPr="00F23F20">
        <w:lastRenderedPageBreak/>
        <w:t>undersampled</w:t>
      </w:r>
      <w:proofErr w:type="spellEnd"/>
      <w:r w:rsidRPr="00F23F20">
        <w:t>? A plot of the average distance of lineages from their phylum’s centroid (i.e., the center of the mass of all genomes in the trait space) versus the number of lineages in the phylum reveals that increased sampling caused an apparent increase in the variability of traits within a phylum. This increase in variability across the phylum began to resemble an asymptotic line after approximately 100 genomes were sampled (Figure 1.5B). We modeled the data using both a saturating model (equation 1.1) and a linear model to test this observation. The saturating model described the relationship substantially better than a linear regression, as determined by the Akaike information criterion (AIC; ΔAIC=10.5). Coefficient A of the saturating model, which represents the value of the asymptote, was estimated to be 0.75</w:t>
      </w:r>
      <w:r w:rsidRPr="00F23F20">
        <w:rPr>
          <w:u w:val="single"/>
        </w:rPr>
        <w:t>+</w:t>
      </w:r>
      <w:r w:rsidRPr="00F23F20">
        <w:t>0.15 (</w:t>
      </w:r>
      <w:r w:rsidRPr="00F23F20">
        <w:rPr>
          <w:i/>
          <w:iCs/>
        </w:rPr>
        <w:t>p</w:t>
      </w:r>
      <w:r w:rsidRPr="00F23F20">
        <w:t>&lt;0.001). Coefficient B, which represents how quickly the function approaches the asymptote, was 0.43</w:t>
      </w:r>
      <w:r w:rsidRPr="00F23F20">
        <w:rPr>
          <w:u w:val="single"/>
        </w:rPr>
        <w:t>+</w:t>
      </w:r>
      <w:r w:rsidRPr="00F23F20">
        <w:t>0.30 (</w:t>
      </w:r>
      <w:r w:rsidRPr="00F23F20">
        <w:rPr>
          <w:i/>
          <w:iCs/>
        </w:rPr>
        <w:t>p</w:t>
      </w:r>
      <w:r w:rsidRPr="00F23F20">
        <w:t>=0.17). Coefficient C, representing an offset employed to address the fact that all the log-transformed distances have negative values, was -1.63</w:t>
      </w:r>
      <w:r w:rsidRPr="00F23F20">
        <w:rPr>
          <w:u w:val="single"/>
        </w:rPr>
        <w:t>+</w:t>
      </w:r>
      <w:r w:rsidRPr="00F23F20">
        <w:t>0.14 (</w:t>
      </w:r>
      <w:r w:rsidRPr="00F23F20">
        <w:rPr>
          <w:i/>
          <w:iCs/>
        </w:rPr>
        <w:t>P</w:t>
      </w:r>
      <w:r w:rsidRPr="00F23F20">
        <w:t>&lt;0.001). This means that observing approximately 100 lineages in a phylum is sufficient to assess the variance in trait space representing half of all potential variance for that phylum (0.13). Note that this represents the effect of incorporation of the shift parameter, coefficient C.</w:t>
      </w:r>
    </w:p>
    <w:p w14:paraId="371271D4" w14:textId="7580AB36" w:rsidR="00365526" w:rsidRPr="00F23F20" w:rsidRDefault="00365526" w:rsidP="00365526">
      <w:pPr>
        <w:pStyle w:val="LO-normal"/>
      </w:pPr>
      <w:r w:rsidRPr="00F23F20">
        <w:t xml:space="preserve">We sought a qualitative sense of how the distribution of COG-FC relative abundance related to phylogeny. To achieve this, we quantified the average COG-FC relative abundance for each COG-FC in each genus These values were then visualized on a genus-level phylogenetic tree (Figure 1.6) utilizing concatenated ribosomal protein sequences published by </w:t>
      </w:r>
      <w:r w:rsidRPr="00F23F20">
        <w:fldChar w:fldCharType="begin" w:fldLock="1"/>
      </w:r>
      <w:r w:rsidR="00F74F65">
        <w:instrText>ADDIN CSL_CITATION {"citationItems":[{"id":"ITEM-1","itemData":{"DOI":"10.1038/nbt.4229","ISBN":"1101-1262","ISSN":"1087-0156","PMID":"30148503","abstract":"Taxonomy is a fundamental organizing principle of biology, which ideally should be based on evolutionary relationships. Microbial taxonomy has been greatly restricted by the inability to obtain most microorganisms in pure culture and, to a lesser degree, the historical use of phenotypic properties as the basis for classification. However, we are now at the point of obtaining genome sequences broadly representative of microbial diversity by using culture-independent techniques, which provide the opportunity to develop a comprehensive genome-based taxonomy. Here we propose a standardized bacterial taxonomy based on a concatenated protein phylogeny that conservatively removes polyphyletic groups and normalizes ranks based on relative evolutionary divergence. From 94,759 bacterial genomes, 99 phyla are described including six major normalized monophyletic units from the subdivision of the Proteobacteria, and amalgamation of the Candidate Phyla Radiation into the single phylum Patescibacteria. In total, 73% of taxa had one or more changes to their existing taxonomy.","author":[{"dropping-particle":"","family":"Parks","given":"Donovan H","non-dropping-particle":"","parse-names":false,"suffix":""},{"dropping-particle":"","family":"Chuvochina","given":"Maria","non-dropping-particle":"","parse-names":false,"suffix":""},{"dropping-particle":"","family":"Waite","given":"David W","non-dropping-particle":"","parse-names":false,"suffix":""},{"dropping-particle":"","family":"Rinke","given":"Christian","non-dropping-particle":"","parse-names":false,"suffix":""},{"dropping-particle":"","family":"Skarshewski","given":"Adam","non-dropping-particle":"","parse-names":false,"suffix":""},{"dropping-particle":"","family":"Chaumeil","given":"Pierre-Alain","non-dropping-particle":"","parse-names":false,"suffix":""},{"dropping-particle":"","family":"Hugenholtz","given":"Philip","non-dropping-particle":"","parse-names":false,"suffix":""}],"container-title":"Nature Biotechnology","id":"ITEM-1","issue":"10","issued":{"date-parts":[["2018"]]},"page":"996-1004","title":"A standardized bacterial taxonomy based on genome phylogeny substantially revises the tree of life","type":"article-journal","volume":"36"},"uris":["http://www.mendeley.com/documents/?uuid=c230d0f1-0711-4b60-bb3c-207f7cf49c63"]}],"mendeley":{"formattedCitation":"(10)","plainTextFormattedCitation":"(10)","previouslyFormattedCitation":"(10)"},"properties":{"noteIndex":0},"schema":"https://github.com/citation-style-language/schema/raw/master/csl-citation.json"}</w:instrText>
      </w:r>
      <w:r w:rsidRPr="00F23F20">
        <w:fldChar w:fldCharType="separate"/>
      </w:r>
      <w:bookmarkStart w:id="30" w:name="__Fieldmark__124_3131557954"/>
      <w:bookmarkStart w:id="31" w:name="__Fieldmark__313_2938955102"/>
      <w:r w:rsidR="004620D1" w:rsidRPr="004620D1">
        <w:rPr>
          <w:noProof/>
        </w:rPr>
        <w:t>(10)</w:t>
      </w:r>
      <w:r w:rsidRPr="00F23F20">
        <w:fldChar w:fldCharType="end"/>
      </w:r>
      <w:bookmarkEnd w:id="30"/>
      <w:bookmarkEnd w:id="31"/>
      <w:r w:rsidRPr="00F23F20">
        <w:t xml:space="preserve">. Several notable features appear in COG-FC relative abundance at the phylum level. For example, among the four Archaeal phyla represented </w:t>
      </w:r>
      <w:r w:rsidRPr="00F23F20">
        <w:lastRenderedPageBreak/>
        <w:t xml:space="preserve">here, </w:t>
      </w:r>
      <w:proofErr w:type="spellStart"/>
      <w:r w:rsidRPr="00F23F20">
        <w:rPr>
          <w:i/>
        </w:rPr>
        <w:t>Thermoplasmatota</w:t>
      </w:r>
      <w:proofErr w:type="spellEnd"/>
      <w:r w:rsidRPr="00F23F20">
        <w:t xml:space="preserve"> appears unique, with high COG-FC relative abundances in cell motility and depletion in every other category. In general, the COG-FC content of bacterial lineages appeared more variable than the archaeal lineages at all taxonomic resolutions. The clade consisting of </w:t>
      </w:r>
      <w:proofErr w:type="spellStart"/>
      <w:r w:rsidRPr="00F23F20">
        <w:rPr>
          <w:i/>
        </w:rPr>
        <w:t>Bacteroidota</w:t>
      </w:r>
      <w:proofErr w:type="spellEnd"/>
      <w:r w:rsidRPr="00F23F20">
        <w:t xml:space="preserve">, </w:t>
      </w:r>
      <w:proofErr w:type="spellStart"/>
      <w:r w:rsidRPr="00F23F20">
        <w:rPr>
          <w:i/>
        </w:rPr>
        <w:t>Spirochaetota</w:t>
      </w:r>
      <w:proofErr w:type="spellEnd"/>
      <w:r w:rsidRPr="00F23F20">
        <w:t xml:space="preserve">, and </w:t>
      </w:r>
      <w:proofErr w:type="spellStart"/>
      <w:r w:rsidRPr="00F23F20">
        <w:rPr>
          <w:i/>
        </w:rPr>
        <w:t>Verrucomicrobiota</w:t>
      </w:r>
      <w:proofErr w:type="spellEnd"/>
      <w:r w:rsidRPr="00F23F20">
        <w:t xml:space="preserve"> were notably depleted in the less-variable COG-FCs, including energy production and conversion, amino acid transport and metabolism, and carbohydrate transport and metabolism, among others. Another prominent feature is the near-ubiquitous elevation in COG-FC relative abundance of cell motility, secondary metabolites biosynthesis, transport, and catabolism, lipid transport and metabolism, and intracellular trafficking, secretion, and vesicular transport COGs in Proteobacteria. A notable dichotomy in the COG-FC relative abundance of RNA processing and modification within the </w:t>
      </w:r>
      <w:r w:rsidRPr="00F23F20">
        <w:rPr>
          <w:i/>
        </w:rPr>
        <w:t>Proteobacteria</w:t>
      </w:r>
      <w:r w:rsidRPr="00F23F20">
        <w:t xml:space="preserve"> mirrors the division of the two largest clades within the proteobacteria. Overall, relative abundance data qualitatively appears consistent with phylogenetic relationships, albeit, occurring on different taxonomic levels. </w:t>
      </w:r>
    </w:p>
    <w:p w14:paraId="59A595AD" w14:textId="7F54E3B0" w:rsidR="00365526" w:rsidRPr="00F23F20" w:rsidRDefault="00365526" w:rsidP="00365526">
      <w:pPr>
        <w:pStyle w:val="LO-normal"/>
      </w:pPr>
      <w:r w:rsidRPr="00F23F20">
        <w:t xml:space="preserve">The relationship between individual COG-FC relative abundances and taxonomic ranks was appeared largely variable (Figure 1.6). For instance, most variation in RNA Processing and Modification occurred at higher taxonomic ranks such as phylum and class while Secondary Metabolites Biosynthesis, Transport, and Catabolism varied at lower ranks such as order. To quantify this relationship, we applied a variance components model to proportion the variance explained by different taxonomic ranks (Figure 1.7). Domain and culture-status was excluded from this analysis as variance explained becomes imprecise when a factor has less than 5 groups </w:t>
      </w:r>
      <w:r w:rsidR="00CC6610">
        <w:fldChar w:fldCharType="begin" w:fldLock="1"/>
      </w:r>
      <w:r w:rsidR="00307058">
        <w:instrText>ADDIN CSL_CITATION {"citationItems":[{"id":"ITEM-1","itemData":{"DOI":"10.7717/peerj.4794","abstract":"The use of linear mixed effects models (LMMs) is increasingly common in the analysis of biological data. Whilst LMMs offer a flexible approach to modelling a broad range of data types, ecological data are often complex and require complex model structures, and the fitting and interpretation of such models is not always straightforward. The ability to achieve robust biological inference requires that practitioners know how and when to apply these tools. Here, we provide a general overview of current methods for the application of LMMs to biological data, and highlight the typical pitfalls that can be encountered in the statistical modelling process. We tackle several issues regarding methods of model selection, with particular reference to the use of information theory and multi-model inference in ecology. We offer practical solutions and direct the reader to key references that provide further technical detail for those seeking a deeper understanding. This overview should serve as a widely accessible code of best practice for applying LMMs to complex biological problems and model structures, and in doing so improve the robustness of conclusions drawn from studies investigating ecological and evolutionary questions.","author":[{"dropping-particle":"","family":"Harrison","given":"Xavier A.","non-dropping-particle":"","parse-names":false,"suffix":""},{"dropping-particle":"","family":"Donaldson","given":"Lynda","non-dropping-particle":"","parse-names":false,"suffix":""},{"dropping-particle":"","family":"Correa-Cano","given":"Maria Eugenia","non-dropping-particle":"","parse-names":false,"suffix":""},{"dropping-particle":"","family":"Evans","given":"Julian","non-dropping-particle":"","parse-names":false,"suffix":""},{"dropping-particle":"","family":"Fisher","given":"David N.","non-dropping-particle":"","parse-names":false,"suffix":""},{"dropping-particle":"","family":"Goodwin","given":"Cecily E.D.","non-dropping-particle":"","parse-names":false,"suffix":""},{"dropping-particle":"","family":"Robinson","given":"Beth S.","non-dropping-particle":"","parse-names":false,"suffix":""},{"dropping-particle":"","family":"Hodgson","given":"David J.","non-dropping-particle":"","parse-names":false,"suffix":""},{"dropping-particle":"","family":"Inger","given":"Richard","non-dropping-particle":"","parse-names":false,"suffix":""}],"container-title":"PeerJ","id":"ITEM-1","issued":{"date-parts":[["2018"]]},"page":"e4794","title":"A brief introduction to mixed effects modelling and multi-model inference in ecology","type":"article-journal","volume":"6"},"uris":["http://www.mendeley.com/documents/?uuid=722d2406-c30e-4cdf-9866-ddaafce395ef"]}],"mendeley":{"formattedCitation":"(26)","plainTextFormattedCitation":"(26)","previouslyFormattedCitation":"(25)"},"properties":{"noteIndex":0},"schema":"https://github.com/citation-style-language/schema/raw/master/csl-citation.json"}</w:instrText>
      </w:r>
      <w:r w:rsidR="00CC6610">
        <w:fldChar w:fldCharType="separate"/>
      </w:r>
      <w:r w:rsidR="00307058" w:rsidRPr="00307058">
        <w:rPr>
          <w:noProof/>
        </w:rPr>
        <w:t>(26)</w:t>
      </w:r>
      <w:r w:rsidR="00CC6610">
        <w:fldChar w:fldCharType="end"/>
      </w:r>
      <w:r w:rsidRPr="00F23F20">
        <w:t xml:space="preserve">. Consistent with </w:t>
      </w:r>
      <w:r w:rsidRPr="00F23F20">
        <w:lastRenderedPageBreak/>
        <w:t>the PERMANOVA results (Figure 1.4), COG-FC relative abundances were best explained by the taxonomic rank, phylum. In contrast to the PERMANOVA, the taxonomic rank, class, appeared to have reasonable explanatory power for a select set of COG-FCs. In general, the overall explanatory power for taxonomic rank appears to decrease at lower taxonomic ranks.</w:t>
      </w:r>
    </w:p>
    <w:p w14:paraId="406BE883" w14:textId="77777777" w:rsidR="00365526" w:rsidRPr="00F23F20" w:rsidRDefault="00365526" w:rsidP="00365526">
      <w:pPr>
        <w:pStyle w:val="LO-normal"/>
      </w:pPr>
      <w:r w:rsidRPr="00F23F20">
        <w:t>Lastly, to gain a sense of “notable” COG-FCs associated with different phyla, we calculated the mean COG-FC across all lineages in a given phyla and compared these values against the 85</w:t>
      </w:r>
      <w:r w:rsidRPr="00F23F20">
        <w:rPr>
          <w:vertAlign w:val="superscript"/>
        </w:rPr>
        <w:t>th</w:t>
      </w:r>
      <w:r w:rsidRPr="00F23F20">
        <w:t xml:space="preserve"> and 15</w:t>
      </w:r>
      <w:r w:rsidRPr="00F23F20">
        <w:rPr>
          <w:vertAlign w:val="superscript"/>
        </w:rPr>
        <w:t>th</w:t>
      </w:r>
      <w:r w:rsidRPr="00F23F20">
        <w:t xml:space="preserve"> percentiles for all lineages in our custom-curated database. All COG-FCs which were significantly (</w:t>
      </w:r>
      <w:r w:rsidRPr="00F23F20">
        <w:rPr>
          <w:i/>
          <w:iCs/>
        </w:rPr>
        <w:t>p</w:t>
      </w:r>
      <w:r w:rsidRPr="00F23F20">
        <w:t>&lt;0.05; based on a 10</w:t>
      </w:r>
      <w:r w:rsidRPr="00F23F20">
        <w:rPr>
          <w:vertAlign w:val="superscript"/>
        </w:rPr>
        <w:t>5</w:t>
      </w:r>
      <w:r w:rsidRPr="00F23F20">
        <w:t>-iteration bootstrap analysis) greater or less than the 85</w:t>
      </w:r>
      <w:r w:rsidRPr="00F23F20">
        <w:rPr>
          <w:vertAlign w:val="superscript"/>
        </w:rPr>
        <w:t>th</w:t>
      </w:r>
      <w:r w:rsidRPr="00F23F20">
        <w:t xml:space="preserve"> and 15</w:t>
      </w:r>
      <w:r w:rsidRPr="00F23F20">
        <w:rPr>
          <w:vertAlign w:val="superscript"/>
        </w:rPr>
        <w:t>th</w:t>
      </w:r>
      <w:r w:rsidRPr="00F23F20">
        <w:t xml:space="preserve"> percentiles, respectively, are shown in Table 1.3. Each archaeal phylum was enriched or depleted three-to-nine COG-FCs, whereas most bacterial phyla were enriched or depleted in in three to four COG-FCs.  A few exceptions arose, such as </w:t>
      </w:r>
      <w:proofErr w:type="spellStart"/>
      <w:r w:rsidRPr="00F23F20">
        <w:rPr>
          <w:i/>
        </w:rPr>
        <w:t>Fibrobacterota</w:t>
      </w:r>
      <w:proofErr w:type="spellEnd"/>
      <w:r w:rsidRPr="00F23F20">
        <w:t xml:space="preserve"> was deplete in eight COG-FCs, </w:t>
      </w:r>
      <w:proofErr w:type="spellStart"/>
      <w:r w:rsidRPr="00F23F20">
        <w:rPr>
          <w:i/>
        </w:rPr>
        <w:t>Nitrospirota</w:t>
      </w:r>
      <w:proofErr w:type="spellEnd"/>
      <w:r w:rsidRPr="00F23F20">
        <w:t xml:space="preserve"> A was enriched in four and depleted in five, and </w:t>
      </w:r>
      <w:r w:rsidRPr="00F23F20">
        <w:rPr>
          <w:i/>
        </w:rPr>
        <w:t>Proteobacteria</w:t>
      </w:r>
      <w:r w:rsidRPr="00F23F20">
        <w:t xml:space="preserve"> was the only phylum not heavily enriched or depleted in any COG-FCs.</w:t>
      </w:r>
    </w:p>
    <w:p w14:paraId="06C3BB31" w14:textId="77777777" w:rsidR="00365526" w:rsidRPr="00F23F20" w:rsidRDefault="00365526" w:rsidP="00365526">
      <w:pPr>
        <w:pStyle w:val="Heading2"/>
      </w:pPr>
      <w:bookmarkStart w:id="32" w:name="_Toc41908080"/>
      <w:r w:rsidRPr="00F23F20">
        <w:t>Discussion</w:t>
      </w:r>
      <w:bookmarkEnd w:id="32"/>
    </w:p>
    <w:p w14:paraId="1DF0F2DC" w14:textId="2FC1EF6A" w:rsidR="00365526" w:rsidRPr="00F23F20" w:rsidRDefault="00365526" w:rsidP="00365526">
      <w:pPr>
        <w:pStyle w:val="LO-normal"/>
      </w:pPr>
      <w:r w:rsidRPr="00F23F20">
        <w:t>We observed that the abundance of COG-FCs within individual lineages tentatively grouped according to phyla after variable reduction via PCA (data not shown). Furthermore, PCA scores along PC1 correlated strongly with genome size (</w:t>
      </w:r>
      <w:r w:rsidRPr="00F23F20">
        <w:rPr>
          <w:i/>
          <w:iCs/>
        </w:rPr>
        <w:t>r</w:t>
      </w:r>
      <w:r w:rsidRPr="00F23F20">
        <w:rPr>
          <w:vertAlign w:val="superscript"/>
        </w:rPr>
        <w:t>2</w:t>
      </w:r>
      <w:r w:rsidRPr="00F23F20">
        <w:t xml:space="preserve">=0.88; Figure 1.2A). The conserved nature of genome size across phylogeny </w:t>
      </w:r>
      <w:r w:rsidR="007953D6">
        <w:fldChar w:fldCharType="begin" w:fldLock="1"/>
      </w:r>
      <w:r w:rsidR="00307058">
        <w:instrText>ADDIN CSL_CITATION {"citationItems":[{"id":"ITEM-1","itemData":{"DOI":"10.1038/nrmicro2367","ISBN":"1740-1534 (Electronic)\\n1740-1526 (Linking)","ISSN":"17401526","PMID":"20531276","abstract":"The species is a fundamental unit of biological organization, but its relevance for Bacteria and Archaea is still hotly debated. Even more controversial is whether the deeper branches of the ribosomal RNA-derived phylogenetic tree, such as the phyla, have ecological importance. Here, we discuss the ecological coherence of high bacterial taxa in the light of genome analyses and present examples of niche differentiation between deeply diverging groups in terrestrial and aquatic systems. The ecological relevance of high bacterial taxa has implications for bacterial taxonomy, evolution and ecology.","author":[{"dropping-particle":"","family":"Philippot","given":"Laurent","non-dropping-particle":"","parse-names":false,"suffix":""},{"dropping-particle":"","family":"Andersson","given":"Siv G.E.","non-dropping-particle":"","parse-names":false,"suffix":""},{"dropping-particle":"","family":"Battin","given":"Tom J.","non-dropping-particle":"","parse-names":false,"suffix":""},{"dropping-particle":"","family":"Prosser","given":"James I.","non-dropping-particle":"","parse-names":false,"suffix":""},{"dropping-particle":"","family":"Schimel","given":"Joshua P.","non-dropping-particle":"","parse-names":false,"suffix":""},{"dropping-particle":"","family":"Whitman","given":"William B.","non-dropping-particle":"","parse-names":false,"suffix":""},{"dropping-particle":"","family":"Hallin","given":"Sara","non-dropping-particle":"","parse-names":false,"suffix":""}],"container-title":"Nature Reviews Microbiology","id":"ITEM-1","issue":"7","issued":{"date-parts":[["2010"]]},"page":"523-529","publisher":"Nature Publishing Group","title":"The ecological coherence of high bacterial taxonomic ranks","type":"article-journal","volume":"8"},"uris":["http://www.mendeley.com/documents/?uuid=02994b84-682b-4f87-a2f8-204c96f34e0d"]}],"mendeley":{"formattedCitation":"(25)","plainTextFormattedCitation":"(25)","previouslyFormattedCitation":"(24)"},"properties":{"noteIndex":0},"schema":"https://github.com/citation-style-language/schema/raw/master/csl-citation.json"}</w:instrText>
      </w:r>
      <w:r w:rsidR="007953D6">
        <w:fldChar w:fldCharType="separate"/>
      </w:r>
      <w:r w:rsidR="00307058" w:rsidRPr="00307058">
        <w:rPr>
          <w:noProof/>
        </w:rPr>
        <w:t>(25)</w:t>
      </w:r>
      <w:r w:rsidR="007953D6">
        <w:fldChar w:fldCharType="end"/>
      </w:r>
      <w:r w:rsidRPr="00F23F20">
        <w:t xml:space="preserve"> implied that phylogenic groupings may be an artifact of genome size. Thus, the normalization of </w:t>
      </w:r>
      <w:r w:rsidRPr="00F23F20">
        <w:lastRenderedPageBreak/>
        <w:t>COG-FC abundances by genome size to properly characterize the relationship between COG-FC and phylogeny. We performed the normalization using the slope from a GAM regression which modeled COG-FC abundance as a function of genome size. The COG-FC normalization removed the influence of genome size (</w:t>
      </w:r>
      <w:r w:rsidRPr="00F23F20">
        <w:rPr>
          <w:i/>
          <w:iCs/>
        </w:rPr>
        <w:t>r</w:t>
      </w:r>
      <w:r w:rsidRPr="00F23F20">
        <w:rPr>
          <w:vertAlign w:val="superscript"/>
        </w:rPr>
        <w:t>2</w:t>
      </w:r>
      <w:r w:rsidRPr="00F23F20">
        <w:t>=0; Figure 1.2B) while retaining phylogenic groupings (Figure 1.2C).</w:t>
      </w:r>
    </w:p>
    <w:p w14:paraId="3FA1B445" w14:textId="1D3FE3C6" w:rsidR="00365526" w:rsidRPr="00F23F20" w:rsidRDefault="00365526" w:rsidP="00365526">
      <w:pPr>
        <w:pStyle w:val="LO-normal"/>
      </w:pPr>
      <w:r w:rsidRPr="00F23F20">
        <w:t xml:space="preserve">The PERMANOVA (Figure 1.4) and analysis of diversity of genomic composition within phyla (Figure 1.5) showed that microbial lineages exhibit characteristic relative abundances of COG-FC, and that the extent of variation varies among taxonomic ranks. Of all the taxonomic ranks, phylum was the most powerful predictor of COG-FC relative abundances, which is consistent with observations that phylum can be informative of microbial function </w:t>
      </w:r>
      <w:r w:rsidRPr="00F23F20">
        <w:fldChar w:fldCharType="begin" w:fldLock="1"/>
      </w:r>
      <w:r w:rsidR="00307058">
        <w:instrText>ADDIN CSL_CITATION {"citationItems":[{"id":"ITEM-1","itemData":{"DOI":"10.1186/s40168-017-0331-1","ISBN":"0378-1097 (Print)","ISSN":"2049-2618","PMID":"28865481","abstract":"BACKGROUND The Candidate Phyla Radiation (CPR) is a recently described expansion of the tree of life that represents more than 15% of all bacterial diversity and potentially contains over 70 different phyla. Despite this broad phylogenetic variation, these microorganisms appear to feature little functional diversity, with members generally characterized as obligate fermenters. Additionally, much of the data describing CPR phyla has been generated from a limited number of environments, constraining our knowledge of their functional roles and biogeographical distribution. To expand our understanding of subsurface CPR microorganisms, we sampled four separate groundwater wells over 2 years across three Ohio counties. RESULTS Samples were analyzed using 16S rRNA gene amplicon and shotgun metagenomic sequencing. Amplicon results indicated that CPR members comprised between 2 and 20% of the microbial communities with relative abundances stable through time in Athens and Greene samples but dynamic in Licking groundwater. Shotgun metagenomic analyses generated 71 putative CPR genomes, representing roughly 32 known phyla and 2 putative new phyla, Candidatus Brownbacteria and Candidatus Hugbacteria. While these genomes largely mirrored metabolic characteristics of known CPR members, some features were previously uncharacterized. For instance, nitrite reductase, encoded by nirK, was found in four of our Parcubacteria genomes and multiple CPR genomes from other studies, indicating a potentially undescribed role for these microorganisms in denitrification. Additionally, glycoside hydrolase (GH) family profiles for our 71 genomes and over 2000 other CPR genomes were analyzed to characterize their carbon-processing potential. Although common trends were present throughout the radiation, differences highlighted potential mechanisms that could allow microorganisms across the CPR to occupy various subsurface niches. For example, members of the Microgenomates superphylum appear to potentially degrade a wider range of carbon substrates than other CPR phyla. CONCLUSIONS CPR members are present across a range of environments and often constitute a significant fraction of the microbial population in groundwater systems, particularly. Further sampling of such environments will resolve this portion of the tree of life at finer taxonomic levels, which is essential to solidify functional differences between members that populate this phylogenetically broad region of the tree of life.","author":[{"dropping-particle":"","family":"Danczak","given":"R. E.","non-dropping-particle":"","parse-names":false,"suffix":""},{"dropping-particle":"","family":"Johnston","given":"M. D.","non-dropping-particle":"","parse-names":false,"suffix":""},{"dropping-particle":"","family":"Kenah","given":"C.","non-dropping-particle":"","parse-names":false,"suffix":""},{"dropping-particle":"","family":"Slattery","given":"M.","non-dropping-particle":"","parse-names":false,"suffix":""},{"dropping-particle":"","family":"Wrighton","given":"K. C.","non-dropping-particle":"","parse-names":false,"suffix":""},{"dropping-particle":"","family":"Wilkins","given":"M. J.","non-dropping-particle":"","parse-names":false,"suffix":""}],"container-title":"Microbiome","id":"ITEM-1","issue":"1","issued":{"date-parts":[["2017"]]},"page":"112","publisher":"Microbiome","title":"Members of the Candidate Phyla Radiation are functionally differentiated by carbon- and nitrogen-cycling capabilities","type":"article-journal","volume":"5"},"uris":["http://www.mendeley.com/documents/?uuid=5bf14df9-dd4d-4e35-bdbf-4c42529bb6b7"]},{"id":"ITEM-2","itemData":{"DOI":"10.1146/annurev.micro.112408.134208","ISBN":"0066-4227","ISSN":"0066-4227","PMID":"20565252","abstract":"In the 1830s, iron bacteria were among the first groups of microbes to be recognized for carrying out a fundamental geological process, namely the oxidation of iron. Due to lingering questions about their metabolism, coupled with difficulties in culturing important community members, studies of Fe-oxidizing bacteria (FeOB) have lagged behind those of other important microbial lithotrophic metabolisms. Recently, research on lithotrophic, oxygen-dependent FeOB that grow at circumneutral pH has accelerated. This work is driven by several factors including the recognition by both microbiologists and geoscientists of the role FeOB play in the biogeochemistry of iron and other elements. The isolation of new strains of obligate FeOB allowed a better understanding of their physiology and phylogeny and the realization that FeOB are abundant at certain deep-sea hydrothermal vents. These ancient microorganisms offer new opportunities to learn about fundamental biological processes that can be of practical importance.","author":[{"dropping-particle":"","family":"Emerson","given":"David","non-dropping-particle":"","parse-names":false,"suffix":""},{"dropping-particle":"","family":"Fleming","given":"Emily J.","non-dropping-particle":"","parse-names":false,"suffix":""},{"dropping-particle":"","family":"McBeth","given":"Joyce M.","non-dropping-particle":"","parse-names":false,"suffix":""}],"container-title":"Annual Review of Microbiology","id":"ITEM-2","issue":"1","issued":{"date-parts":[["2010"]]},"page":"561-583","title":"Iron-Oxidizing Bacteria: An Environmental and Genomic Perspective","type":"article-journal","volume":"64"},"uris":["http://www.mendeley.com/documents/?uuid=39c3034a-8bfa-475e-9196-5f99a19584e9"]},{"id":"ITEM-3","itemData":{"DOI":"10.1128/JB.01084-08","ISSN":"00219193","abstract":"The emerging coverage of diverse habitats by metagenomic shotgun data opens new avenues of discovering functional novelty using computational tools. Here, we apply three different concepts for predicting novel functions within light-mediated microbial pathways in five diverse environments. Using phylogenetic approaches, we discovered two novel deep-branching subfamilies of photolyases (involved in light-mediated repair) distributed abundantly in high-UV environments. Using neighborhood approaches, we were able to assign seven novel functional partners in luciferase synthesis, nitrogen metabolism, and quorum sensing to BLUF domain-containing proteins (involved in light sensing). Finally, by domain analysis, for RcaE proteins (involved in chromatic adaptation), we predict 16 novel domain architectures that indicate novel functionalities in habitats with little or no light. Quantification of protein abundance in the various environments supports our findings that bacteria utilize light for sensing, repair, and adaptation far more widely than previously thought. While the discoveries illustrate the opportunities in function discovery, we also discuss the immense conceptual and practical challenges that come along with this new type of data.","author":[{"dropping-particle":"","family":"Singh","given":"Amoolya H.","non-dropping-particle":"","parse-names":false,"suffix":""},{"dropping-particle":"","family":"Doerks","given":"Tobias","non-dropping-particle":"","parse-names":false,"suffix":""},{"dropping-particle":"","family":"Letunic","given":"Ivica","non-dropping-particle":"","parse-names":false,"suffix":""},{"dropping-particle":"","family":"Raes","given":"Jeroen","non-dropping-particle":"","parse-names":false,"suffix":""},{"dropping-particle":"","family":"Bork","given":"Peer","non-dropping-particle":"","parse-names":false,"suffix":""}],"container-title":"Journal of Bacteriology","id":"ITEM-3","issue":"1","issued":{"date-parts":[["2009"]]},"page":"32-41","title":"Discovering functional novelty in metagenomes: Examples from light-mediated processes","type":"article-journal","volume":"91"},"uris":["http://www.mendeley.com/documents/?uuid=108f9b5d-e2d7-488d-a5cb-6b5547a049c7"]}],"mendeley":{"formattedCitation":"(27–29)","manualFormatting":"(e.g., 24–26)","plainTextFormattedCitation":"(27–29)","previouslyFormattedCitation":"(26–28)"},"properties":{"noteIndex":0},"schema":"https://github.com/citation-style-language/schema/raw/master/csl-citation.json"}</w:instrText>
      </w:r>
      <w:r w:rsidRPr="00F23F20">
        <w:fldChar w:fldCharType="separate"/>
      </w:r>
      <w:bookmarkStart w:id="33" w:name="__Fieldmark__165_3131557954"/>
      <w:bookmarkStart w:id="34" w:name="__Fieldmark__408_2938955102"/>
      <w:r w:rsidR="00CA1A07" w:rsidRPr="00CA1A07">
        <w:rPr>
          <w:noProof/>
        </w:rPr>
        <w:t>(</w:t>
      </w:r>
      <w:r w:rsidR="00CA1A07">
        <w:rPr>
          <w:noProof/>
        </w:rPr>
        <w:t xml:space="preserve">e.g., </w:t>
      </w:r>
      <w:r w:rsidR="00CA1A07" w:rsidRPr="00CA1A07">
        <w:rPr>
          <w:noProof/>
        </w:rPr>
        <w:t>24–26)</w:t>
      </w:r>
      <w:r w:rsidRPr="00F23F20">
        <w:fldChar w:fldCharType="end"/>
      </w:r>
      <w:bookmarkEnd w:id="33"/>
      <w:bookmarkEnd w:id="34"/>
      <w:r w:rsidRPr="00F23F20">
        <w:t xml:space="preserve">. Lower taxonomic ranks such as genus and family had approximately half the explanatory power of the taxonomic rank, phylum. Many studies focus on metabolic coherence of individual traits and regularly find traits conserved on the family level </w:t>
      </w:r>
      <w:r w:rsidRPr="00F23F20">
        <w:fldChar w:fldCharType="begin" w:fldLock="1"/>
      </w:r>
      <w:r w:rsidR="00307058">
        <w:instrText>ADDIN CSL_CITATION {"citationItems":[{"id":"ITEM-1","itemData":{"DOI":"10.1038/ismej.2012.160","ISBN":"1751-7370 (Electronic)\\r1751-7362 (Linking)","ISSN":"17517362","PMID":"23235290","abstract":"A central question in biology is how biodiversity influences ecosystem functioning. Underlying this is the relationship between organismal phylogeny and the presence of specific functional traits. The relationship is complicated by gene loss and convergent evolution, resulting in the polyphyletic distribution of many traits. In microorganisms, lateral gene transfer can further distort the linkage between phylogeny and the presence of specific functional traits. To identify the phylogenetic conservation of specific traits in microorganisms, we developed a new phylogenetic metric-consenTRAIT-to estimate the clade depth where organisms share a trait. We then analyzed the distribution of 89 functional traits across a broad range of Bacteria and Archaea using genotypic and phenotypic data. A total of 93% of the traits were significantly non-randomly distributed, which suggested that vertical inheritance was generally important for the phylogenetic dispersion of functional traits in microorganisms. Further, traits in microbes were associated with a continuum of trait depths (τD), ranging from a few deep to many shallow clades (average τD: 0.101-0.0011 rRNA sequence dissimilarity). Next, we demonstrated that the dispersion and the depth of clades that contain a trait is correlated with the trait's complexity. Specifically, complex traits encoded by many genes like photosynthesis and methanogenesis were found in a few deep clusters, whereas the ability to use simple carbon substrates was highly phylogenetically dispersed. On the basis of these results, we propose a framework for predicting the phylogenetic conservatism of functional traits depending on the complexity of the trait. This framework enables predicting how variation in microbial composition may affect microbially-mediated ecosystem processes as well as linking phylogenetic and trait-based patterns of biogeography.","author":[{"dropping-particle":"","family":"Martiny","given":"Adam C.","non-dropping-particle":"","parse-names":false,"suffix":""},{"dropping-particle":"","family":"Treseder","given":"Kathleen","non-dropping-particle":"","parse-names":false,"suffix":""},{"dropping-particle":"","family":"Pusch","given":"Gordon","non-dropping-particle":"","parse-names":false,"suffix":""}],"container-title":"ISME Journal","id":"ITEM-1","issue":"4","issued":{"date-parts":[["2013"]]},"page":"830-838","publisher":"Nature Publishing Group","title":"Phylogenetic conservatism of functional traits in microorganisms","type":"article-journal","volume":"7"},"uris":["http://www.mendeley.com/documents/?uuid=678b7b71-712f-461d-aa29-33d3abc93f1a"]},{"id":"ITEM-2","itemData":{"DOI":"10.1038/ismej.2012.176","ISSN":"1751-7370","PMID":"23303371","abstract":"Understanding the relationship between prokaryotic traits and phylogeny is important for predicting and modeling ecological processes. Microbial extracellular enzymes have a pivotal role in nutrient cycling and the decomposition of organic matter, yet little is known about the phylogenetic distribution of genes encoding these enzymes. In this study, we analyzed 3058 annotated prokaryotic genomes to determine which taxa have the genetic potential to produce alkaline phosphatase, chitinase and β-N-acetyl-glucosaminidase enzymes. We then evaluated the relationship between the genetic potential for enzyme production and 16S rRNA phylogeny using the consenTRAIT algorithm, which calculated the phylogenetic depth and corresponding 16S rRNA sequence identity of clades of potential enzyme producers. Nearly half (49.2%) of the genomes analyzed were found to be capable of extracellular enzyme production, and these were non-randomly distributed across most prokaryotic phyla. On average, clades of potential enzyme-producing organisms had a maximum phylogenetic depth of 0.008004-0.009780, though individual clades varied broadly in both size and depth. These values correspond to a minimum 16S rRNA sequence identity of 98.04-98.40%. The distribution pattern we found is an indication of microdiversity, the occurrence of ecologically or physiologically distinct populations within phylogenetically related groups. Additionally, we found positive correlations among the genes encoding different extracellular enzymes. Our results suggest that the capacity to produce extracellular enzymes varies at relatively fine-scale phylogenetic resolution. This variation is consistent with other traits that require a small number of genes and provides insight into the relationship between taxonomy and traits that may be useful for predicting ecological function.","author":[{"dropping-particle":"","family":"Zimmerman","given":"Amy E","non-dropping-particle":"","parse-names":false,"suffix":""},{"dropping-particle":"","family":"Martiny","given":"Adam C","non-dropping-particle":"","parse-names":false,"suffix":""},{"dropping-particle":"","family":"Allison","given":"Steven D","non-dropping-particle":"","parse-names":false,"suffix":""}],"container-title":"The ISME Journal","id":"ITEM-2","issued":{"date-parts":[["2013","6"]]},"page":"1187-1199","publisher":"Nature Publishing Group","title":"Microdiversity of extracellular enzyme genes among sequenced prokaryotic genomes","type":"article-journal","volume":"7"},"uris":["http://www.mendeley.com/documents/?uuid=85dbff36-7dd0-30ae-85f6-6a67f26bdbc8"]},{"id":"ITEM-3","itemData":{"DOI":"10.1093/nar/gkz246","ISSN":"0305-1048","abstract":"Bacterial genomics has revolutionized our understanding of the microbial tree of life; however, mapping and visualizing the distribution of functional traits across bacteria remains a challenge. Here, we introduce AnnoTree - an interactive, functionally annotated bacterial tree of life that integrates taxonomic, phylogenetic, and functional annotation data from nearly 24,000 bacterial genomes. AnnoTree enables visualization of millions of precomputed genome annotations across the bacterial phylogeny, thereby allowing users to explore gene distributions as well as patterns of gene gain and loss across bacteria. Using AnnoTree, we examined the phylogenomic distributions of 28,311 gene/protein families, and measured their phylogenetic conservation, patchiness, and lineage-specificity. Our analyses revealed widespread phylogenetic patchiness among bacterial gene families, reflecting the dynamic evolution of prokaryotic genomes. Genes involved in phage infection/defense, mobile elements, and antibiotic resistance dominated the list of most patchy traits, as well as numerous intriguing metabolic enzymes that appear to have undergone frequent horizontal transfer. We anticipate that AnnoTree will be a valuable resource for exploring gene histories across bacteria, and will act as a catalyst for biological and evolutionary hypothesis generation.","author":[{"dropping-particle":"","family":"Mendler","given":"Kerrin","non-dropping-particle":"","parse-names":false,"suffix":""},{"dropping-particle":"","family":"Chen","given":"Han","non-dropping-particle":"","parse-names":false,"suffix":""},{"dropping-particle":"","family":"Parks","given":"Donovan H","non-dropping-particle":"","parse-names":false,"suffix":""},{"dropping-particle":"","family":"Lobb","given":"Briallen","non-dropping-particle":"","parse-names":false,"suffix":""},{"dropping-particle":"","family":"Hug","given":"Laura A","non-dropping-particle":"","parse-names":false,"suffix":""},{"dropping-particle":"","family":"Doxey","given":"Andrew C","non-dropping-particle":"","parse-names":false,"suffix":""}],"container-title":"Nucleic Acids Research","id":"ITEM-3","issued":{"date-parts":[["2019"]]},"page":"1-7","publisher":"Oxford University Press","title":"AnnoTree: visualization and exploration of a functionally annotated microbial tree of life","type":"article-journal","volume":"4567"},"uris":["http://www.mendeley.com/documents/?uuid=d0c8ce53-2129-4aa0-8207-9e5d76116f25"]}],"mendeley":{"formattedCitation":"(20, 21, 30)","plainTextFormattedCitation":"(20, 21, 30)","previouslyFormattedCitation":"(19, 20, 29)"},"properties":{"noteIndex":0},"schema":"https://github.com/citation-style-language/schema/raw/master/csl-citation.json"}</w:instrText>
      </w:r>
      <w:r w:rsidRPr="00F23F20">
        <w:fldChar w:fldCharType="separate"/>
      </w:r>
      <w:bookmarkStart w:id="35" w:name="__Fieldmark__172_3131557954"/>
      <w:bookmarkStart w:id="36" w:name="__Fieldmark__417_2938955102"/>
      <w:r w:rsidR="00307058" w:rsidRPr="00307058">
        <w:rPr>
          <w:noProof/>
        </w:rPr>
        <w:t>(20, 21, 30)</w:t>
      </w:r>
      <w:r w:rsidRPr="00F23F20">
        <w:fldChar w:fldCharType="end"/>
      </w:r>
      <w:bookmarkEnd w:id="35"/>
      <w:bookmarkEnd w:id="36"/>
      <w:r w:rsidRPr="00F23F20">
        <w:t xml:space="preserve">. The discrepancy between previous observations and our observation likely relates to how we characterize patterns in metabolic potential. These studies characterize trait function based on phenotype observation, protein structures, and pathway components. Such characterizations are effective metrics for characterizing finer units of taxonomy, such as genus, but do not scale to coarser units of taxonomy, such as phylum. In contrast, COG-FCs provide a coarse metabolic description which scales with coarser units of taxonomy </w:t>
      </w:r>
      <w:r w:rsidR="004E3998">
        <w:fldChar w:fldCharType="begin" w:fldLock="1"/>
      </w:r>
      <w:r w:rsidR="00307058">
        <w:instrText>ADDIN CSL_CITATION {"citationItems":[{"id":"ITEM-1","itemData":{"DOI":"10.1093/nar/gkz246","ISSN":"0305-1048","abstract":"Bacterial genomics has revolutionized our understanding of the microbial tree of life; however, mapping and visualizing the distribution of functional traits across bacteria remains a challenge. Here, we introduce AnnoTree - an interactive, functionally annotated bacterial tree of life that integrates taxonomic, phylogenetic, and functional annotation data from nearly 24,000 bacterial genomes. AnnoTree enables visualization of millions of precomputed genome annotations across the bacterial phylogeny, thereby allowing users to explore gene distributions as well as patterns of gene gain and loss across bacteria. Using AnnoTree, we examined the phylogenomic distributions of 28,311 gene/protein families, and measured their phylogenetic conservation, patchiness, and lineage-specificity. Our analyses revealed widespread phylogenetic patchiness among bacterial gene families, reflecting the dynamic evolution of prokaryotic genomes. Genes involved in phage infection/defense, mobile elements, and antibiotic resistance dominated the list of most patchy traits, as well as numerous intriguing metabolic enzymes that appear to have undergone frequent horizontal transfer. We anticipate that AnnoTree will be a valuable resource for exploring gene histories across bacteria, and will act as a catalyst for biological and evolutionary hypothesis generation.","author":[{"dropping-particle":"","family":"Mendler","given":"Kerrin","non-dropping-particle":"","parse-names":false,"suffix":""},{"dropping-particle":"","family":"Chen","given":"Han","non-dropping-particle":"","parse-names":false,"suffix":""},{"dropping-particle":"","family":"Parks","given":"Donovan H","non-dropping-particle":"","parse-names":false,"suffix":""},{"dropping-particle":"","family":"Lobb","given":"Briallen","non-dropping-particle":"","parse-names":false,"suffix":""},{"dropping-particle":"","family":"Hug","given":"Laura A","non-dropping-particle":"","parse-names":false,"suffix":""},{"dropping-particle":"","family":"Doxey","given":"Andrew C","non-dropping-particle":"","parse-names":false,"suffix":""}],"container-title":"Nucleic Acids Research","id":"ITEM-1","issued":{"date-parts":[["2019"]]},"page":"1-7","publisher":"Oxford University Press","title":"AnnoTree: visualization and exploration of a functionally annotated microbial tree of life","type":"article-journal","volume":"4567"},"uris":["http://www.mendeley.com/documents/?uuid=d0c8ce53-2129-4aa0-8207-9e5d76116f25"]}],"mendeley":{"formattedCitation":"(30)","plainTextFormattedCitation":"(30)","previouslyFormattedCitation":"(29)"},"properties":{"noteIndex":0},"schema":"https://github.com/citation-style-language/schema/raw/master/csl-citation.json"}</w:instrText>
      </w:r>
      <w:r w:rsidR="004E3998">
        <w:fldChar w:fldCharType="separate"/>
      </w:r>
      <w:r w:rsidR="00307058" w:rsidRPr="00307058">
        <w:rPr>
          <w:noProof/>
        </w:rPr>
        <w:t>(30)</w:t>
      </w:r>
      <w:r w:rsidR="004E3998">
        <w:fldChar w:fldCharType="end"/>
      </w:r>
      <w:r w:rsidRPr="00F23F20">
        <w:t xml:space="preserve">. The tradeoff of the approach used here is that, by analyzing COG-FCs, we lose information about specific genes or potential metabolic functions but gain the ability to apply a </w:t>
      </w:r>
      <w:r w:rsidRPr="00F23F20">
        <w:lastRenderedPageBreak/>
        <w:t xml:space="preserve">consistent analysis across an entire genome and across the entire microbial tree of life. Thus, the extent that observed patterns (Figure 1.2) reflect phenotypically-expressed differences among lineages is unknown. Nonetheless, the statistical robustness of the relationship between all taxonomic ranks and COG-FC patterns suggests that evolutionary processes (e.g., horizontal gene transfer, vertical gene transfer, duplications, deletions, etc.) control the preponderance of different COG-FCs across lineages. </w:t>
      </w:r>
    </w:p>
    <w:p w14:paraId="398D8672" w14:textId="39F183B9" w:rsidR="00365526" w:rsidRPr="00F23F20" w:rsidRDefault="00365526" w:rsidP="00365526">
      <w:pPr>
        <w:pStyle w:val="LO-normal"/>
      </w:pPr>
      <w:r w:rsidRPr="00F23F20">
        <w:t xml:space="preserve">The role that individual evolutionary processes play in influencing COG-FC relative abundances at a given taxonomic rank is likely variable. For instance, horizontal gene transfer is more common among more closely related lineages </w:t>
      </w:r>
      <w:r w:rsidRPr="00F23F20">
        <w:fldChar w:fldCharType="begin" w:fldLock="1"/>
      </w:r>
      <w:r w:rsidR="00307058">
        <w:instrText>ADDIN CSL_CITATION {"citationItems":[{"id":"ITEM-1","itemData":{"DOI":"10.1038/nrg3962","ISSN":"14710064","abstract":"© 2015 Macmillan Publishers Limited. All rights reserved. Horizontal gene transfer (HGT) is the sharing of genetic material between organisms that are not in a parent-offspring relationship. HGT is a widely recognized mechanism for adaptation in bacteria and archaea. Microbial antibiotic resistance and pathogenicity are often associated with HGT, but the scope of HGT extends far beyond disease-causing organisms. In this Review, we describe how HGT has shaped the web of life using examples of HGT among prokaryotes, between prokaryotes and eukaryotes, and even between multicellular eukaryotes. We discuss replacement and additive HGT, the proposed mechanisms of HGT, selective forces that influence HGT, and the evolutionary impact of HGT on ancestral populations and existing populations such as the human microbiome.","author":[{"dropping-particle":"","family":"Soucy","given":"Shannon M.","non-dropping-particle":"","parse-names":false,"suffix":""},{"dropping-particle":"","family":"Huang","given":"Jinling","non-dropping-particle":"","parse-names":false,"suffix":""},{"dropping-particle":"","family":"Gogarten","given":"Johann Peter","non-dropping-particle":"","parse-names":false,"suffix":""}],"container-title":"Nature Reviews Genetics","id":"ITEM-1","issue":"8","issued":{"date-parts":[["2015"]]},"page":"472-482","publisher":"Nature Publishing Group","title":"Horizontal gene transfer: Building the web of life","type":"article-journal","volume":"16"},"uris":["http://www.mendeley.com/documents/?uuid=f0c55736-8bfb-4c2f-9fc5-40146ef69055"]}],"mendeley":{"formattedCitation":"(31)","plainTextFormattedCitation":"(31)","previouslyFormattedCitation":"(30)"},"properties":{"noteIndex":0},"schema":"https://github.com/citation-style-language/schema/raw/master/csl-citation.json"}</w:instrText>
      </w:r>
      <w:r w:rsidRPr="00F23F20">
        <w:fldChar w:fldCharType="separate"/>
      </w:r>
      <w:bookmarkStart w:id="37" w:name="__Fieldmark__181_3131557954"/>
      <w:bookmarkStart w:id="38" w:name="__Fieldmark__442_2938955102"/>
      <w:r w:rsidR="00307058" w:rsidRPr="00307058">
        <w:rPr>
          <w:noProof/>
        </w:rPr>
        <w:t>(31)</w:t>
      </w:r>
      <w:r w:rsidRPr="00F23F20">
        <w:fldChar w:fldCharType="end"/>
      </w:r>
      <w:bookmarkEnd w:id="37"/>
      <w:bookmarkEnd w:id="38"/>
      <w:r w:rsidRPr="00F23F20">
        <w:t xml:space="preserve"> and thus, likely promotes increased levels of similarity at lower taxonomic ranks. At higher taxonomic ranks, vertical processes may be more important. The asymptote in the mean log</w:t>
      </w:r>
      <w:r w:rsidRPr="00F23F20">
        <w:rPr>
          <w:vertAlign w:val="subscript"/>
        </w:rPr>
        <w:t>10</w:t>
      </w:r>
      <w:r w:rsidRPr="00F23F20">
        <w:t xml:space="preserve">-distance from the centroid as function of lineages in a phylum suggests that identifying more lineages for more poorly represented lineages should expand the diversity of COG-FCs that are found, whereas phyla that were adequately sampled (at least ~1000 lineages) exhibited comparable variability in COG-FC distributions (Figure 1.5B). Since many more than ~1000 distinct lineages of each phylum are likely to exist </w:t>
      </w:r>
      <w:r w:rsidRPr="00F23F20">
        <w:fldChar w:fldCharType="begin" w:fldLock="1"/>
      </w:r>
      <w:r w:rsidR="00307058">
        <w:instrText>ADDIN CSL_CITATION {"citationItems":[{"id":"ITEM-1","itemData":{"DOI":"10.1016/S0168-6445(00)00051-6","ISSN":"01686445","abstract":"Using high resolution molecular fingerprinting techniques like random amplification of polymorphic DNA, repetitive extragenic palindromic PCR and multilocus enzyme electrophoresis, a high bacterial diversity below the species and subspecies level (microdiversity) is revealed. It became apparent that bacteria of a certain species living in close association with different plants either as associated rhizosphere bacteria or as plant pathogens or symbiotic organisms, typically reflect this relationship in their genetic relatedness. The strain composition within a population of soil bacterial species at a given field site, which can be identified by these high resolution fingerprinting techniques, was markedly influenced by soil management and soil features. The observed bacterial microdiversity reflected the conditions of the habitat, which select for better adapted forms. In addition, influences of spatial separation on specific groupings of bacteria were found, which argue for the occurrence of isolated microevolution. In this review, examples are presented of bacterial microdiversity as influenced by different ecological factors, with the main emphasis on bacteria from the natural environment. In addition, information available from some of the first complete genome sequences of bacteria (Helicobacter pylori and Escherichia coli) was used to highlight possible mechanisms of molecular evolution through which mutations are created; these include mutator enzymes. Definitions of bacterial species and subspecies ranks are discussed in the light of detailed information from whole genome typing approaches. (C) 2000 Federation of European Microbiological Societies.","author":[{"dropping-particle":"","family":"Schloter","given":"Michael","non-dropping-particle":"","parse-names":false,"suffix":""},{"dropping-particle":"","family":"Lebuhn","given":"Michael","non-dropping-particle":"","parse-names":false,"suffix":""},{"dropping-particle":"","family":"Heulin","given":"Thierry","non-dropping-particle":"","parse-names":false,"suffix":""},{"dropping-particle":"","family":"Hartmann","given":"Anton","non-dropping-particle":"","parse-names":false,"suffix":""}],"container-title":"FEMS Microbiology Reviews","id":"ITEM-1","issue":"5","issued":{"date-parts":[["2000"]]},"page":"647-660","title":"Ecology and evolution of bacterial microdiversity","type":"article-journal","volume":"24"},"uris":["http://www.mendeley.com/documents/?uuid=7073da52-2d5b-4cef-b041-ee2c6dad93c8"]}],"mendeley":{"formattedCitation":"(32)","plainTextFormattedCitation":"(32)","previouslyFormattedCitation":"(31)"},"properties":{"noteIndex":0},"schema":"https://github.com/citation-style-language/schema/raw/master/csl-citation.json"}</w:instrText>
      </w:r>
      <w:r w:rsidRPr="00F23F20">
        <w:fldChar w:fldCharType="separate"/>
      </w:r>
      <w:bookmarkStart w:id="39" w:name="__Fieldmark__190_3131557954"/>
      <w:bookmarkStart w:id="40" w:name="__Fieldmark__455_2938955102"/>
      <w:r w:rsidR="00307058" w:rsidRPr="00307058">
        <w:rPr>
          <w:noProof/>
        </w:rPr>
        <w:t>(32)</w:t>
      </w:r>
      <w:r w:rsidRPr="00F23F20">
        <w:fldChar w:fldCharType="end"/>
      </w:r>
      <w:bookmarkEnd w:id="39"/>
      <w:bookmarkEnd w:id="40"/>
      <w:r w:rsidRPr="00F23F20">
        <w:t xml:space="preserve">, we propose that the taxonomic rank of phylum implies a fairly consistent degree of diversity in COG-FC distribution. To the extent that phenotype matches genotype at the level of COG-FC distributions, therefore, we expect that typical phyla exhibit similar phenotypic diversity. A notable exception is the phylum </w:t>
      </w:r>
      <w:proofErr w:type="spellStart"/>
      <w:r w:rsidRPr="00F23F20">
        <w:rPr>
          <w:i/>
        </w:rPr>
        <w:t>Crenarchaeota</w:t>
      </w:r>
      <w:proofErr w:type="spellEnd"/>
      <w:r w:rsidRPr="00F23F20">
        <w:t xml:space="preserve">, which were far more diverse than would be expected based on the number of lineages sampled. The </w:t>
      </w:r>
      <w:proofErr w:type="spellStart"/>
      <w:r w:rsidRPr="00F23F20">
        <w:rPr>
          <w:i/>
        </w:rPr>
        <w:t>Crenarchaeota</w:t>
      </w:r>
      <w:proofErr w:type="spellEnd"/>
      <w:r w:rsidRPr="00F23F20">
        <w:t xml:space="preserve">, as defined in the GTDB, collapsed members of several phyla that had been designated </w:t>
      </w:r>
      <w:r w:rsidRPr="00F23F20">
        <w:lastRenderedPageBreak/>
        <w:t xml:space="preserve">separately under previous taxonomies, including lineages that had previously been assigned as </w:t>
      </w:r>
      <w:proofErr w:type="spellStart"/>
      <w:r w:rsidRPr="00F23F20">
        <w:rPr>
          <w:i/>
        </w:rPr>
        <w:t>Crenarchaeota</w:t>
      </w:r>
      <w:proofErr w:type="spellEnd"/>
      <w:r w:rsidRPr="00F23F20">
        <w:t xml:space="preserve">, </w:t>
      </w:r>
      <w:proofErr w:type="spellStart"/>
      <w:r w:rsidRPr="00F23F20">
        <w:rPr>
          <w:i/>
        </w:rPr>
        <w:t>Thaumarchaeota</w:t>
      </w:r>
      <w:proofErr w:type="spellEnd"/>
      <w:r w:rsidRPr="00F23F20">
        <w:t xml:space="preserve">, </w:t>
      </w:r>
      <w:proofErr w:type="spellStart"/>
      <w:r w:rsidRPr="00F23F20">
        <w:rPr>
          <w:i/>
        </w:rPr>
        <w:t>Euryarchaeota</w:t>
      </w:r>
      <w:proofErr w:type="spellEnd"/>
      <w:r w:rsidRPr="00F23F20">
        <w:t xml:space="preserve">, </w:t>
      </w:r>
      <w:proofErr w:type="spellStart"/>
      <w:r w:rsidRPr="00F23F20">
        <w:rPr>
          <w:i/>
        </w:rPr>
        <w:t>Verstraetearchaeota</w:t>
      </w:r>
      <w:proofErr w:type="spellEnd"/>
      <w:r w:rsidRPr="00F23F20">
        <w:t xml:space="preserve">, </w:t>
      </w:r>
      <w:proofErr w:type="spellStart"/>
      <w:r w:rsidRPr="00F23F20">
        <w:rPr>
          <w:i/>
        </w:rPr>
        <w:t>Korarchaeota</w:t>
      </w:r>
      <w:proofErr w:type="spellEnd"/>
      <w:r w:rsidRPr="00F23F20">
        <w:t xml:space="preserve">, and </w:t>
      </w:r>
      <w:proofErr w:type="spellStart"/>
      <w:r w:rsidRPr="00F23F20">
        <w:rPr>
          <w:i/>
        </w:rPr>
        <w:t>Bathyarchaeota</w:t>
      </w:r>
      <w:proofErr w:type="spellEnd"/>
      <w:r w:rsidRPr="00F23F20">
        <w:t xml:space="preserve"> </w:t>
      </w:r>
      <w:r w:rsidRPr="00F23F20">
        <w:fldChar w:fldCharType="begin" w:fldLock="1"/>
      </w:r>
      <w:r w:rsidR="00F74F65">
        <w:instrText>ADDIN CSL_CITATION {"citationItems":[{"id":"ITEM-1","itemData":{"DOI":"10.1038/nbt.4229","ISBN":"1101-1262","ISSN":"1087-0156","PMID":"30148503","abstract":"Taxonomy is a fundamental organizing principle of biology, which ideally should be based on evolutionary relationships. Microbial taxonomy has been greatly restricted by the inability to obtain most microorganisms in pure culture and, to a lesser degree, the historical use of phenotypic properties as the basis for classification. However, we are now at the point of obtaining genome sequences broadly representative of microbial diversity by using culture-independent techniques, which provide the opportunity to develop a comprehensive genome-based taxonomy. Here we propose a standardized bacterial taxonomy based on a concatenated protein phylogeny that conservatively removes polyphyletic groups and normalizes ranks based on relative evolutionary divergence. From 94,759 bacterial genomes, 99 phyla are described including six major normalized monophyletic units from the subdivision of the Proteobacteria, and amalgamation of the Candidate Phyla Radiation into the single phylum Patescibacteria. In total, 73% of taxa had one or more changes to their existing taxonomy.","author":[{"dropping-particle":"","family":"Parks","given":"Donovan H","non-dropping-particle":"","parse-names":false,"suffix":""},{"dropping-particle":"","family":"Chuvochina","given":"Maria","non-dropping-particle":"","parse-names":false,"suffix":""},{"dropping-particle":"","family":"Waite","given":"David W","non-dropping-particle":"","parse-names":false,"suffix":""},{"dropping-particle":"","family":"Rinke","given":"Christian","non-dropping-particle":"","parse-names":false,"suffix":""},{"dropping-particle":"","family":"Skarshewski","given":"Adam","non-dropping-particle":"","parse-names":false,"suffix":""},{"dropping-particle":"","family":"Chaumeil","given":"Pierre-Alain","non-dropping-particle":"","parse-names":false,"suffix":""},{"dropping-particle":"","family":"Hugenholtz","given":"Philip","non-dropping-particle":"","parse-names":false,"suffix":""}],"container-title":"Nature Biotechnology","id":"ITEM-1","issue":"10","issued":{"date-parts":[["2018"]]},"page":"996-1004","title":"A standardized bacterial taxonomy based on genome phylogeny substantially revises the tree of life","type":"article-journal","volume":"36"},"uris":["http://www.mendeley.com/documents/?uuid=c230d0f1-0711-4b60-bb3c-207f7cf49c63"]}],"mendeley":{"formattedCitation":"(10)","plainTextFormattedCitation":"(10)","previouslyFormattedCitation":"(10)"},"properties":{"noteIndex":0},"schema":"https://github.com/citation-style-language/schema/raw/master/csl-citation.json"}</w:instrText>
      </w:r>
      <w:r w:rsidRPr="00F23F20">
        <w:fldChar w:fldCharType="separate"/>
      </w:r>
      <w:bookmarkStart w:id="41" w:name="__Fieldmark__213_3131557954"/>
      <w:bookmarkStart w:id="42" w:name="__Fieldmark__488_2938955102"/>
      <w:r w:rsidR="004620D1" w:rsidRPr="004620D1">
        <w:rPr>
          <w:noProof/>
        </w:rPr>
        <w:t>(10)</w:t>
      </w:r>
      <w:r w:rsidRPr="00F23F20">
        <w:fldChar w:fldCharType="end"/>
      </w:r>
      <w:bookmarkEnd w:id="41"/>
      <w:bookmarkEnd w:id="42"/>
      <w:r w:rsidRPr="00F23F20">
        <w:t xml:space="preserve">. It is possible that the relationship between marker genes used in the GTDB and the rest of the genome is unusual for this clade, compared to other phyla, or that the GTDB classification of </w:t>
      </w:r>
      <w:proofErr w:type="spellStart"/>
      <w:r w:rsidRPr="00F23F20">
        <w:rPr>
          <w:i/>
        </w:rPr>
        <w:t>Crenarchaeota</w:t>
      </w:r>
      <w:proofErr w:type="spellEnd"/>
      <w:r w:rsidRPr="00F23F20">
        <w:t xml:space="preserve"> is lacking in some other way. </w:t>
      </w:r>
    </w:p>
    <w:p w14:paraId="056B92EB" w14:textId="5672B96C" w:rsidR="00365526" w:rsidRPr="00F23F20" w:rsidRDefault="00365526" w:rsidP="00365526">
      <w:pPr>
        <w:pStyle w:val="LO-normal"/>
      </w:pPr>
      <w:r w:rsidRPr="00F23F20">
        <w:t xml:space="preserve">Although the ranks, genus and family, explained relatively little of the variance in COG-FC distribution, examples of consistent colored blocks were evident at every taxonomic resolution in Figure 1.6, indicating higher or lower relative abundances of specific COG-FCs were conserved across each taxonomic rank in some parts of the phylogenetic tree. This is explained by ‘distantly’ (i.e., non-sister clades) related clades occupying similar COG-FC trait-space. Our variance components model accounted for the hierarchical nature of taxonomic lineage by partitioning the explanatory power that individual taxonomic ranks had for individual COG-FC relative abundances (Figure 1.7). Consistent with Figure 1.5, different COG-FCs appeared most controlled at different taxonomic ranks. For instance, the COG-FC, Coenzyme Transport and Metabolism, was almost entirely explained by the taxonomic rank, phylum. This observation is consistent with previous assessments suggesting that enzyme cofactors are deeply conserved at the phylum level </w:t>
      </w:r>
      <w:r w:rsidR="004E3998">
        <w:fldChar w:fldCharType="begin" w:fldLock="1"/>
      </w:r>
      <w:r w:rsidR="00307058">
        <w:instrText>ADDIN CSL_CITATION {"citationItems":[{"id":"ITEM-1","itemData":{"DOI":"10.1038/ngeo3006","ISSN":"17520908","abstract":"Microbial metabolisms depend on enzymes that contain trace metals. A synthesis of molecular and geochemical data shows that these metabolic pathways evolved alongside changing marine availability of trace metals during the Precambrian.","author":[{"dropping-particle":"","family":"Moore","given":"Eli K.","non-dropping-particle":"","parse-names":false,"suffix":""},{"dropping-particle":"","family":"Jelen","given":"Benjamin I.","non-dropping-particle":"","parse-names":false,"suffix":""},{"dropping-particle":"","family":"Giovannelli","given":"Donato","non-dropping-particle":"","parse-names":false,"suffix":""},{"dropping-particle":"","family":"Raanan","given":"Hagai","non-dropping-particle":"","parse-names":false,"suffix":""},{"dropping-particle":"","family":"Falkowski","given":"Paul G.","non-dropping-particle":"","parse-names":false,"suffix":""}],"container-title":"Nature Geoscience","id":"ITEM-1","issue":"9","issued":{"date-parts":[["2017"]]},"page":"629-636","publisher":"Nature Publishing Group","title":"Metal availability and the expanding network of microbial metabolisms in the Archaean eon","type":"article-journal","volume":"10"},"uris":["http://www.mendeley.com/documents/?uuid=af7728a6-b4f4-406d-9411-89206664df77"]},{"id":"ITEM-2","itemData":{"DOI":"10.1111/j.1574-6941.2012.01387.x","ISBN":"0168-6496","ISSN":"01686496","PMID":"22486161","abstract":"Bacteria comprise an essential element of all ecosystems, including those present on and within the human body. Understanding bacterial diversity therefore offers enormous scientific and medical benefit, but significant questions remain regarding how best to characterize that diversity and organize it into biologically meaningful units. Bacterial communities are routinely characterized based on the relative abundances of taxa at the genus or even the phylum level, but the ecological coherence of these high-level taxonomic units is uncertain. Using human microbiota from the skin and gut as our model systems, we tested the ecological coherence of bacteria by investigating the habitat associations of bacteria at all levels of the taxonomic hierarchy. We observed four distinct taxonomic patterns of habitat association, reflecting different levels of ecological coherence among taxa. Our results support the hypothesis that deep-branch bacterial clades could be ecologically coherent and suggest that the phylogenetic depth of ecological coherence varies among the bacterial lineages and is an important factor to consider in studies of human microbiome associations.","author":[{"dropping-particle":"","family":"Koeppel","given":"Alexander F.","non-dropping-particle":"","parse-names":false,"suffix":""},{"dropping-particle":"","family":"Wu","given":"Martin","non-dropping-particle":"","parse-names":false,"suffix":""}],"container-title":"FEMS Microbiology Ecology","id":"ITEM-2","issued":{"date-parts":[["2012"]]},"page":"574-582","title":"Lineage-dependent ecological coherence in bacteria","type":"article-journal","volume":"81"},"uris":["http://www.mendeley.com/documents/?uuid=c2336788-1a83-4ba2-876f-a6d6f3879332"]}],"mendeley":{"formattedCitation":"(33, 34)","plainTextFormattedCitation":"(33, 34)","previouslyFormattedCitation":"(32, 33)"},"properties":{"noteIndex":0},"schema":"https://github.com/citation-style-language/schema/raw/master/csl-citation.json"}</w:instrText>
      </w:r>
      <w:r w:rsidR="004E3998">
        <w:fldChar w:fldCharType="separate"/>
      </w:r>
      <w:r w:rsidR="00307058" w:rsidRPr="00307058">
        <w:rPr>
          <w:noProof/>
        </w:rPr>
        <w:t>(33, 34)</w:t>
      </w:r>
      <w:r w:rsidR="004E3998">
        <w:fldChar w:fldCharType="end"/>
      </w:r>
      <w:r w:rsidRPr="00F23F20">
        <w:t xml:space="preserve">. Similarly, the COG-FC, Carbohydrate Transport and Metabolism, was best explained the taxonomic ranks, genus and family, which is consistent with previous observations that large amounts of variability exist for hydrolase traits at lower taxonomic ranks </w:t>
      </w:r>
      <w:r w:rsidR="004E3998">
        <w:fldChar w:fldCharType="begin" w:fldLock="1"/>
      </w:r>
      <w:r w:rsidR="00307058">
        <w:instrText>ADDIN CSL_CITATION {"citationItems":[{"id":"ITEM-1","itemData":{"DOI":"10.1126/science.aac9323","ISBN":"1095-9203 (Electronic)\\r0036-8075 (Linking)","ISSN":"0036-8075","PMID":"26542581","abstract":"A focus on the phenotypic characteristics of microorganisms-their traits-offers a path for interpreting the growing amount of microbiome data. We review key aspects of microbial traits, as well as approaches used to assay their phylogenetic distribution. Recent studies reveal that microbial traits are differentially conserved across the tree of life and appear to be conserved in a hierarchical fashion, possibly linked to their biochemical complexity. These results suggest a predictive framework whereby the genetic (or taxonomic) resolution of microbiome variation among samples provides information about the traits under selection. The organizational parallels seen among human and free-living microbiomes seem to support this idea. Developments in this framework may offer predictions not only for how microbial composition responds to changing environmental conditions, but also for how these changes may alter the health or functioning in human, engineered, and environmental systems.","author":[{"dropping-particle":"","family":"Martiny","given":"J. B. H.","non-dropping-particle":"","parse-names":false,"suffix":""},{"dropping-particle":"","family":"Jones","given":"S. E.","non-dropping-particle":"","parse-names":false,"suffix":""},{"dropping-particle":"","family":"Lennon","given":"J. T.","non-dropping-particle":"","parse-names":false,"suffix":""},{"dropping-particle":"","family":"Martiny","given":"A. C.","non-dropping-particle":"","parse-names":false,"suffix":""}],"container-title":"Science","id":"ITEM-1","issue":"6261","issued":{"date-parts":[["2015"]]},"page":"aac9323","title":"Microbiomes in light of traits: A phylogenetic perspective","type":"article-journal","volume":"350"},"uris":["http://www.mendeley.com/documents/?uuid=a0f446dc-f646-4cf2-bbaa-9cf0f73bbf3e"]},{"id":"ITEM-2","itemData":{"DOI":"10.1038/ismej.2012.160","ISBN":"1751-7370 (Electronic)\\r1751-7362 (Linking)","ISSN":"17517362","PMID":"23235290","abstract":"A central question in biology is how biodiversity influences ecosystem functioning. Underlying this is the relationship between organismal phylogeny and the presence of specific functional traits. The relationship is complicated by gene loss and convergent evolution, resulting in the polyphyletic distribution of many traits. In microorganisms, lateral gene transfer can further distort the linkage between phylogeny and the presence of specific functional traits. To identify the phylogenetic conservation of specific traits in microorganisms, we developed a new phylogenetic metric-consenTRAIT-to estimate the clade depth where organisms share a trait. We then analyzed the distribution of 89 functional traits across a broad range of Bacteria and Archaea using genotypic and phenotypic data. A total of 93% of the traits were significantly non-randomly distributed, which suggested that vertical inheritance was generally important for the phylogenetic dispersion of functional traits in microorganisms. Further, traits in microbes were associated with a continuum of trait depths (τD), ranging from a few deep to many shallow clades (average τD: 0.101-0.0011 rRNA sequence dissimilarity). Next, we demonstrated that the dispersion and the depth of clades that contain a trait is correlated with the trait's complexity. Specifically, complex traits encoded by many genes like photosynthesis and methanogenesis were found in a few deep clusters, whereas the ability to use simple carbon substrates was highly phylogenetically dispersed. On the basis of these results, we propose a framework for predicting the phylogenetic conservatism of functional traits depending on the complexity of the trait. This framework enables predicting how variation in microbial composition may affect microbially-mediated ecosystem processes as well as linking phylogenetic and trait-based patterns of biogeography.","author":[{"dropping-particle":"","family":"Martiny","given":"Adam C.","non-dropping-particle":"","parse-names":false,"suffix":""},{"dropping-particle":"","family":"Treseder","given":"Kathleen","non-dropping-particle":"","parse-names":false,"suffix":""},{"dropping-particle":"","family":"Pusch","given":"Gordon","non-dropping-particle":"","parse-names":false,"suffix":""}],"container-title":"ISME Journal","id":"ITEM-2","issue":"4","issued":{"date-parts":[["2013"]]},"page":"830-838","publisher":"Nature Publishing Group","title":"Phylogenetic conservatism of functional traits in microorganisms","type":"article-journal","volume":"7"},"uris":["http://www.mendeley.com/documents/?uuid=678b7b71-712f-461d-aa29-33d3abc93f1a"]},{"id":"ITEM-3","itemData":{"DOI":"10.1038/ismej.2012.176","ISSN":"1751-7370","PMID":"23303371","abstract":"Understanding the relationship between prokaryotic traits and phylogeny is important for predicting and modeling ecological processes. Microbial extracellular enzymes have a pivotal role in nutrient cycling and the decomposition of organic matter, yet little is known about the phylogenetic distribution of genes encoding these enzymes. In this study, we analyzed 3058 annotated prokaryotic genomes to determine which taxa have the genetic potential to produce alkaline phosphatase, chitinase and β-N-acetyl-glucosaminidase enzymes. We then evaluated the relationship between the genetic potential for enzyme production and 16S rRNA phylogeny using the consenTRAIT algorithm, which calculated the phylogenetic depth and corresponding 16S rRNA sequence identity of clades of potential enzyme producers. Nearly half (49.2%) of the genomes analyzed were found to be capable of extracellular enzyme production, and these were non-randomly distributed across most prokaryotic phyla. On average, clades of potential enzyme-producing organisms had a maximum phylogenetic depth of 0.008004-0.009780, though individual clades varied broadly in both size and depth. These values correspond to a minimum 16S rRNA sequence identity of 98.04-98.40%. The distribution pattern we found is an indication of microdiversity, the occurrence of ecologically or physiologically distinct populations within phylogenetically related groups. Additionally, we found positive correlations among the genes encoding different extracellular enzymes. Our results suggest that the capacity to produce extracellular enzymes varies at relatively fine-scale phylogenetic resolution. This variation is consistent with other traits that require a small number of genes and provides insight into the relationship between taxonomy and traits that may be useful for predicting ecological function.","author":[{"dropping-particle":"","family":"Zimmerman","given":"Amy E","non-dropping-particle":"","parse-names":false,"suffix":""},{"dropping-particle":"","family":"Martiny","given":"Adam C","non-dropping-particle":"","parse-names":false,"suffix":""},{"dropping-particle":"","family":"Allison","given":"Steven D","non-dropping-particle":"","parse-names":false,"suffix":""}],"container-title":"The ISME Journal","id":"ITEM-3","issued":{"date-parts":[["2013","6"]]},"page":"1187-1199","publisher":"Nature Publishing Group","title":"Microdiversity of extracellular enzyme genes among sequenced prokaryotic genomes","type":"article-journal","volume":"7"},"uris":["http://www.mendeley.com/documents/?uuid=85dbff36-7dd0-30ae-85f6-6a67f26bdbc8"]}],"mendeley":{"formattedCitation":"(9, 20, 21)","plainTextFormattedCitation":"(9, 20, 21)","previouslyFormattedCitation":"(9, 19, 20)"},"properties":{"noteIndex":0},"schema":"https://github.com/citation-style-language/schema/raw/master/csl-citation.json"}</w:instrText>
      </w:r>
      <w:r w:rsidR="004E3998">
        <w:fldChar w:fldCharType="separate"/>
      </w:r>
      <w:r w:rsidR="00307058" w:rsidRPr="00307058">
        <w:rPr>
          <w:noProof/>
        </w:rPr>
        <w:t>(9, 20, 21)</w:t>
      </w:r>
      <w:r w:rsidR="004E3998">
        <w:fldChar w:fldCharType="end"/>
      </w:r>
      <w:r w:rsidRPr="00F23F20">
        <w:t>. Ultimately, the variability in explanatory power on COG-</w:t>
      </w:r>
      <w:r w:rsidRPr="00F23F20">
        <w:lastRenderedPageBreak/>
        <w:t>FCs by different taxonomic ranks supports the notion that evolutionary processes operate on microbial metabolisms at different timescales depending on which component of the metabolism is in question.</w:t>
      </w:r>
    </w:p>
    <w:p w14:paraId="0AEFEA23" w14:textId="6DFD6E9B" w:rsidR="00365526" w:rsidRPr="00F23F20" w:rsidRDefault="00365526" w:rsidP="00365526">
      <w:pPr>
        <w:pStyle w:val="LO-normal"/>
      </w:pPr>
      <w:r w:rsidRPr="00F23F20">
        <w:t xml:space="preserve">The coherence in metabolic potential at higher taxonomic ranks may help explain the distribution of microbial clades across ecological niches. Analyses of habitat associations </w:t>
      </w:r>
      <w:r w:rsidR="00A713A4">
        <w:fldChar w:fldCharType="begin" w:fldLock="1"/>
      </w:r>
      <w:r w:rsidR="00307058">
        <w:instrText>ADDIN CSL_CITATION {"citationItems":[{"id":"ITEM-1","itemData":{"DOI":"10.1126/science.aac9323","ISBN":"1095-9203 (Electronic)\\r0036-8075 (Linking)","ISSN":"0036-8075","PMID":"26542581","abstract":"A focus on the phenotypic characteristics of microorganisms-their traits-offers a path for interpreting the growing amount of microbiome data. We review key aspects of microbial traits, as well as approaches used to assay their phylogenetic distribution. Recent studies reveal that microbial traits are differentially conserved across the tree of life and appear to be conserved in a hierarchical fashion, possibly linked to their biochemical complexity. These results suggest a predictive framework whereby the genetic (or taxonomic) resolution of microbiome variation among samples provides information about the traits under selection. The organizational parallels seen among human and free-living microbiomes seem to support this idea. Developments in this framework may offer predictions not only for how microbial composition responds to changing environmental conditions, but also for how these changes may alter the health or functioning in human, engineered, and environmental systems.","author":[{"dropping-particle":"","family":"Martiny","given":"J. B. H.","non-dropping-particle":"","parse-names":false,"suffix":""},{"dropping-particle":"","family":"Jones","given":"S. E.","non-dropping-particle":"","parse-names":false,"suffix":""},{"dropping-particle":"","family":"Lennon","given":"J. T.","non-dropping-particle":"","parse-names":false,"suffix":""},{"dropping-particle":"","family":"Martiny","given":"A. C.","non-dropping-particle":"","parse-names":false,"suffix":""}],"container-title":"Science","id":"ITEM-1","issue":"6261","issued":{"date-parts":[["2015"]]},"page":"aac9323","title":"Microbiomes in light of traits: A phylogenetic perspective","type":"article-journal","volume":"350"},"uris":["http://www.mendeley.com/documents/?uuid=a0f446dc-f646-4cf2-bbaa-9cf0f73bbf3e"]},{"id":"ITEM-2","itemData":{"DOI":"10.1038/nrmicro2367","ISBN":"1740-1534 (Electronic)\\n1740-1526 (Linking)","ISSN":"17401526","PMID":"20531276","abstract":"The species is a fundamental unit of biological organization, but its relevance for Bacteria and Archaea is still hotly debated. Even more controversial is whether the deeper branches of the ribosomal RNA-derived phylogenetic tree, such as the phyla, have ecological importance. Here, we discuss the ecological coherence of high bacterial taxa in the light of genome analyses and present examples of niche differentiation between deeply diverging groups in terrestrial and aquatic systems. The ecological relevance of high bacterial taxa has implications for bacterial taxonomy, evolution and ecology.","author":[{"dropping-particle":"","family":"Philippot","given":"Laurent","non-dropping-particle":"","parse-names":false,"suffix":""},{"dropping-particle":"","family":"Andersson","given":"Siv G.E.","non-dropping-particle":"","parse-names":false,"suffix":""},{"dropping-particle":"","family":"Battin","given":"Tom J.","non-dropping-particle":"","parse-names":false,"suffix":""},{"dropping-particle":"","family":"Prosser","given":"James I.","non-dropping-particle":"","parse-names":false,"suffix":""},{"dropping-particle":"","family":"Schimel","given":"Joshua P.","non-dropping-particle":"","parse-names":false,"suffix":""},{"dropping-particle":"","family":"Whitman","given":"William B.","non-dropping-particle":"","parse-names":false,"suffix":""},{"dropping-particle":"","family":"Hallin","given":"Sara","non-dropping-particle":"","parse-names":false,"suffix":""}],"container-title":"Nature Reviews Microbiology","id":"ITEM-2","issue":"7","issued":{"date-parts":[["2010"]]},"page":"523-529","publisher":"Nature Publishing Group","title":"The ecological coherence of high bacterial taxonomic ranks","type":"article-journal","volume":"8"},"uris":["http://www.mendeley.com/documents/?uuid=02994b84-682b-4f87-a2f8-204c96f34e0d"]},{"id":"ITEM-3","itemData":{"DOI":"10.1111/j.1574-6941.2012.01387.x","ISBN":"0168-6496","ISSN":"01686496","PMID":"22486161","abstract":"Bacteria comprise an essential element of all ecosystems, including those present on and within the human body. Understanding bacterial diversity therefore offers enormous scientific and medical benefit, but significant questions remain regarding how best to characterize that diversity and organize it into biologically meaningful units. Bacterial communities are routinely characterized based on the relative abundances of taxa at the genus or even the phylum level, but the ecological coherence of these high-level taxonomic units is uncertain. Using human microbiota from the skin and gut as our model systems, we tested the ecological coherence of bacteria by investigating the habitat associations of bacteria at all levels of the taxonomic hierarchy. We observed four distinct taxonomic patterns of habitat association, reflecting different levels of ecological coherence among taxa. Our results support the hypothesis that deep-branch bacterial clades could be ecologically coherent and suggest that the phylogenetic depth of ecological coherence varies among the bacterial lineages and is an important factor to consider in studies of human microbiome associations.","author":[{"dropping-particle":"","family":"Koeppel","given":"Alexander F.","non-dropping-particle":"","parse-names":false,"suffix":""},{"dropping-particle":"","family":"Wu","given":"Martin","non-dropping-particle":"","parse-names":false,"suffix":""}],"container-title":"FEMS Microbiology Ecology","id":"ITEM-3","issued":{"date-parts":[["2012"]]},"page":"574-582","title":"Lineage-dependent ecological coherence in bacteria","type":"article-journal","volume":"81"},"uris":["http://www.mendeley.com/documents/?uuid=c2336788-1a83-4ba2-876f-a6d6f3879332"]}],"mendeley":{"formattedCitation":"(9, 25, 34)","plainTextFormattedCitation":"(9, 25, 34)","previouslyFormattedCitation":"(9, 24, 33)"},"properties":{"noteIndex":0},"schema":"https://github.com/citation-style-language/schema/raw/master/csl-citation.json"}</w:instrText>
      </w:r>
      <w:r w:rsidR="00A713A4">
        <w:fldChar w:fldCharType="separate"/>
      </w:r>
      <w:r w:rsidR="00307058" w:rsidRPr="00307058">
        <w:rPr>
          <w:noProof/>
        </w:rPr>
        <w:t>(9, 25, 34)</w:t>
      </w:r>
      <w:r w:rsidR="00A713A4">
        <w:fldChar w:fldCharType="end"/>
      </w:r>
      <w:r w:rsidRPr="00F23F20">
        <w:t xml:space="preserve"> found phylum-level patterns in lineages occupying niches which supports the idea that there is a relationship between higher taxonomic ranks, metabolism, and niche.</w:t>
      </w:r>
      <w:r w:rsidRPr="00F23F20">
        <w:fldChar w:fldCharType="begin"/>
      </w:r>
      <w:bookmarkStart w:id="43" w:name="__Fieldmark__2039_3131557954"/>
      <w:r w:rsidRPr="00F23F20">
        <w:fldChar w:fldCharType="separate"/>
      </w:r>
      <w:r w:rsidRPr="00F23F20">
        <w:fldChar w:fldCharType="begin"/>
      </w:r>
      <w:r w:rsidRPr="00F23F20">
        <w:fldChar w:fldCharType="separate"/>
      </w:r>
      <w:r w:rsidRPr="00F23F20">
        <w:fldChar w:fldCharType="begin"/>
      </w:r>
      <w:bookmarkStart w:id="44" w:name="__Fieldmark__505_29389551021111111111111"/>
      <w:r w:rsidRPr="00F23F20">
        <w:fldChar w:fldCharType="separate"/>
      </w:r>
      <w:r w:rsidRPr="00F23F20">
        <w:fldChar w:fldCharType="begin"/>
      </w:r>
      <w:r w:rsidRPr="00F23F20">
        <w:fldChar w:fldCharType="separate"/>
      </w:r>
      <w:r w:rsidRPr="00F23F20">
        <w:fldChar w:fldCharType="begin"/>
      </w:r>
      <w:r w:rsidRPr="00F23F20">
        <w:fldChar w:fldCharType="separate"/>
      </w:r>
      <w:r w:rsidRPr="00F23F20">
        <w:fldChar w:fldCharType="begin"/>
      </w:r>
      <w:r w:rsidRPr="00F23F20">
        <w:fldChar w:fldCharType="separate"/>
      </w:r>
      <w:r w:rsidRPr="00F23F20">
        <w:fldChar w:fldCharType="begin"/>
      </w:r>
      <w:r w:rsidRPr="00F23F20">
        <w:fldChar w:fldCharType="separate"/>
      </w:r>
      <w:r w:rsidRPr="00F23F20">
        <w:fldChar w:fldCharType="begin"/>
      </w:r>
      <w:r w:rsidRPr="00F23F20">
        <w:fldChar w:fldCharType="separate"/>
      </w:r>
      <w:r w:rsidRPr="00F23F20">
        <w:fldChar w:fldCharType="begin"/>
      </w:r>
      <w:r w:rsidRPr="00F23F20">
        <w:fldChar w:fldCharType="separate"/>
      </w:r>
      <w:r w:rsidRPr="00F23F20">
        <w:fldChar w:fldCharType="begin"/>
      </w:r>
      <w:bookmarkEnd w:id="44"/>
      <w:r w:rsidRPr="00F23F20">
        <w:fldChar w:fldCharType="separate"/>
      </w:r>
      <w:r w:rsidRPr="00F23F20">
        <w:fldChar w:fldCharType="begin"/>
      </w:r>
      <w:r w:rsidRPr="00F23F20">
        <w:fldChar w:fldCharType="separate"/>
      </w:r>
      <w:r w:rsidRPr="00F23F20">
        <w:fldChar w:fldCharType="begin"/>
      </w:r>
      <w:r w:rsidRPr="00F23F20">
        <w:fldChar w:fldCharType="separate"/>
      </w:r>
      <w:r w:rsidRPr="00F23F20">
        <w:fldChar w:fldCharType="begin"/>
      </w:r>
      <w:r w:rsidRPr="00F23F20">
        <w:fldChar w:fldCharType="separate"/>
      </w:r>
      <w:r w:rsidRPr="00F23F20">
        <w:fldChar w:fldCharType="begin"/>
      </w:r>
      <w:r w:rsidRPr="00F23F20">
        <w:fldChar w:fldCharType="end"/>
      </w:r>
      <w:r w:rsidRPr="00F23F20">
        <w:fldChar w:fldCharType="end"/>
      </w:r>
      <w:r w:rsidRPr="00F23F20">
        <w:fldChar w:fldCharType="end"/>
      </w:r>
      <w:r w:rsidRPr="00F23F20">
        <w:fldChar w:fldCharType="begin"/>
      </w:r>
      <w:bookmarkStart w:id="45" w:name="__Fieldmark__2041_3131557954"/>
      <w:r w:rsidRPr="00F23F20">
        <w:fldChar w:fldCharType="separate"/>
      </w:r>
      <w:r w:rsidRPr="00F23F20">
        <w:fldChar w:fldCharType="begin"/>
      </w:r>
      <w:bookmarkStart w:id="46" w:name="__Fieldmark__510_29389551021111111111111"/>
      <w:r w:rsidRPr="00F23F20">
        <w:fldChar w:fldCharType="separate"/>
      </w:r>
      <w:r w:rsidRPr="00F23F20">
        <w:fldChar w:fldCharType="begin"/>
      </w:r>
      <w:r w:rsidRPr="00F23F20">
        <w:fldChar w:fldCharType="end"/>
      </w:r>
      <w:r w:rsidRPr="00F23F20">
        <w:fldChar w:fldCharType="begin"/>
      </w:r>
      <w:bookmarkEnd w:id="46"/>
      <w:r w:rsidRPr="00F23F20">
        <w:fldChar w:fldCharType="separate"/>
      </w:r>
      <w:r w:rsidRPr="00F23F20">
        <w:fldChar w:fldCharType="begin"/>
      </w:r>
      <w:r w:rsidRPr="00F23F20">
        <w:fldChar w:fldCharType="separate"/>
      </w:r>
      <w:r w:rsidRPr="00F23F20">
        <w:fldChar w:fldCharType="begin"/>
      </w:r>
      <w:r w:rsidRPr="00F23F20">
        <w:fldChar w:fldCharType="end"/>
      </w:r>
      <w:r w:rsidRPr="00F23F20">
        <w:fldChar w:fldCharType="begin"/>
      </w:r>
      <w:r w:rsidRPr="00F23F20">
        <w:fldChar w:fldCharType="separate"/>
      </w:r>
      <w:r w:rsidRPr="00F23F20">
        <w:fldChar w:fldCharType="begin"/>
      </w:r>
      <w:r w:rsidRPr="00F23F20">
        <w:fldChar w:fldCharType="separate"/>
      </w:r>
      <w:r w:rsidRPr="00F23F20">
        <w:fldChar w:fldCharType="begin"/>
      </w:r>
      <w:r w:rsidRPr="00F23F20">
        <w:fldChar w:fldCharType="end"/>
      </w:r>
      <w:r w:rsidRPr="00F23F20">
        <w:fldChar w:fldCharType="begin"/>
      </w:r>
      <w:r w:rsidRPr="00F23F20">
        <w:fldChar w:fldCharType="end"/>
      </w:r>
      <w:r w:rsidRPr="00F23F20">
        <w:fldChar w:fldCharType="begin"/>
      </w:r>
      <w:r w:rsidRPr="00F23F20">
        <w:fldChar w:fldCharType="end"/>
      </w:r>
      <w:r w:rsidRPr="00F23F20">
        <w:fldChar w:fldCharType="begin"/>
      </w:r>
      <w:r w:rsidRPr="00F23F20">
        <w:fldChar w:fldCharType="end"/>
      </w:r>
      <w:r w:rsidRPr="00F23F20">
        <w:fldChar w:fldCharType="begin"/>
      </w:r>
      <w:r w:rsidRPr="00F23F20">
        <w:fldChar w:fldCharType="end"/>
      </w:r>
      <w:r w:rsidRPr="00F23F20">
        <w:fldChar w:fldCharType="begin"/>
      </w:r>
      <w:r w:rsidRPr="00F23F20">
        <w:fldChar w:fldCharType="end"/>
      </w:r>
      <w:r w:rsidRPr="00F23F20">
        <w:fldChar w:fldCharType="end"/>
      </w:r>
      <w:r w:rsidRPr="00F23F20">
        <w:fldChar w:fldCharType="end"/>
      </w:r>
      <w:r w:rsidRPr="00F23F20">
        <w:fldChar w:fldCharType="end"/>
      </w:r>
      <w:r w:rsidRPr="00F23F20">
        <w:fldChar w:fldCharType="end"/>
      </w:r>
      <w:r w:rsidRPr="00F23F20">
        <w:fldChar w:fldCharType="end"/>
      </w:r>
      <w:r w:rsidRPr="00F23F20">
        <w:fldChar w:fldCharType="end"/>
      </w:r>
      <w:r w:rsidRPr="00F23F20">
        <w:fldChar w:fldCharType="end"/>
      </w:r>
      <w:r w:rsidRPr="00F23F20">
        <w:fldChar w:fldCharType="end"/>
      </w:r>
      <w:bookmarkEnd w:id="43"/>
      <w:r w:rsidRPr="00F23F20">
        <w:fldChar w:fldCharType="end"/>
      </w:r>
      <w:r w:rsidRPr="00F23F20">
        <w:fldChar w:fldCharType="end"/>
      </w:r>
      <w:r w:rsidRPr="00F23F20">
        <w:fldChar w:fldCharType="end"/>
      </w:r>
      <w:r w:rsidRPr="00F23F20">
        <w:fldChar w:fldCharType="end"/>
      </w:r>
      <w:r w:rsidRPr="00F23F20">
        <w:fldChar w:fldCharType="end"/>
      </w:r>
      <w:r w:rsidRPr="00F23F20">
        <w:fldChar w:fldCharType="end"/>
      </w:r>
      <w:r w:rsidRPr="00F23F20">
        <w:fldChar w:fldCharType="end"/>
      </w:r>
      <w:r w:rsidRPr="00F23F20">
        <w:fldChar w:fldCharType="end"/>
      </w:r>
      <w:r w:rsidRPr="00F23F20">
        <w:fldChar w:fldCharType="end"/>
      </w:r>
      <w:bookmarkEnd w:id="45"/>
      <w:r w:rsidRPr="00F23F20">
        <w:t xml:space="preserve"> Our analysis provides quantitative evidence to this idea by demonstrating coherence in metabolic potential with broad-scale patterns in genomic data. The question remains: how well do the observed COG-FC relative abundances reflect expressed functional traits (i.e., phenotype) across these lineages? It is difficult to address this question systematically, but some of the relative abundances and depletions here appear consistent with known physiologies of clades. For instance, </w:t>
      </w:r>
      <w:proofErr w:type="spellStart"/>
      <w:r w:rsidRPr="00F23F20">
        <w:rPr>
          <w:i/>
        </w:rPr>
        <w:t>Rickettsiales</w:t>
      </w:r>
      <w:proofErr w:type="spellEnd"/>
      <w:r w:rsidRPr="00F23F20">
        <w:t xml:space="preserve"> were depleted in nucleotide metabolism and transport, consistent with previously observed lack of a metabolic pathway for purine synthesis among five example </w:t>
      </w:r>
      <w:proofErr w:type="spellStart"/>
      <w:r w:rsidRPr="00F23F20">
        <w:rPr>
          <w:i/>
        </w:rPr>
        <w:t>Rickettsiales</w:t>
      </w:r>
      <w:proofErr w:type="spellEnd"/>
      <w:r w:rsidRPr="00F23F20">
        <w:t xml:space="preserve"> </w:t>
      </w:r>
      <w:r w:rsidRPr="00F23F20">
        <w:fldChar w:fldCharType="begin" w:fldLock="1"/>
      </w:r>
      <w:r w:rsidR="00307058">
        <w:instrText>ADDIN CSL_CITATION {"citationItems":[{"id":"ITEM-1","itemData":{"DOI":"10.1155/2008/623145","ISBN":"1531-6912\\r1532-6268","ISSN":"15316912","PMID":"18528528","abstract":"Orientia tsutsugamushi, the causative agent of scrub typhus, is an obligate intracellular bacterium that belongs to the order of Rickettsiales. Recently, we have reported that O. tsutsugamushi has a unique genomic structure, consisting of highly repetitive sequences, and suggested that it may provide valuable insight into the evolution of intracellular bacteria. Here, we have used genomic information to construct the major metabolic pathways of O. tsutsugamushi and performed a comparative analysis of the metabolic genes and pathways of O. tsutsugamushi with other members of the Rickettsiales order. While O. tsutsugamushi has the largest genome among the members of this order, mainly due to the presence of repeated sequences, its metabolic pathways have been highly streamlined. Overall, the metabolic pathways of O. tsutsugamushi were similar to Rickettsia but there were notable differences in several pathways including carbohydrate metabolism, the TCA cycle, and the synthesis of cell wall components as well as in the transport systems. Our results will provide a useful guide to the postgenomic analysis of O. tsutsugamushi and lead to a better understanding of the virulence and physiology of this intracellular pathogen.","author":[{"dropping-particle":"","family":"Min","given":"Chan Ki","non-dropping-particle":"","parse-names":false,"suffix":""},{"dropping-particle":"","family":"Yang","given":"Jae Seong","non-dropping-particle":"","parse-names":false,"suffix":""},{"dropping-particle":"","family":"Kim","given":"Sanguk","non-dropping-particle":"","parse-names":false,"suffix":""},{"dropping-particle":"","family":"Choi","given":"Myung Sik","non-dropping-particle":"","parse-names":false,"suffix":""},{"dropping-particle":"","family":"Kim","given":"Ik Sang","non-dropping-particle":"","parse-names":false,"suffix":""},{"dropping-particle":"","family":"Cho","given":"Nam Hyuk","non-dropping-particle":"","parse-names":false,"suffix":""}],"container-title":"Comparative and Functional Genomics","id":"ITEM-1","issued":{"date-parts":[["2008"]]},"title":"Genome-based construction of the metabolic pathways of Orientia tsutsugamushi and comparative analysis within the Rickettsiales order","type":"article-journal","volume":"2008"},"uris":["http://www.mendeley.com/documents/?uuid=cfcc273e-c739-4606-a22e-04bcecc6f014"]}],"mendeley":{"formattedCitation":"(35)","plainTextFormattedCitation":"(35)","previouslyFormattedCitation":"(34)"},"properties":{"noteIndex":0},"schema":"https://github.com/citation-style-language/schema/raw/master/csl-citation.json"}</w:instrText>
      </w:r>
      <w:r w:rsidRPr="00F23F20">
        <w:fldChar w:fldCharType="separate"/>
      </w:r>
      <w:bookmarkStart w:id="47" w:name="__Fieldmark__242_3131557954"/>
      <w:bookmarkStart w:id="48" w:name="__Fieldmark__519_2938955102"/>
      <w:r w:rsidR="00307058" w:rsidRPr="00307058">
        <w:rPr>
          <w:noProof/>
        </w:rPr>
        <w:t>(35)</w:t>
      </w:r>
      <w:r w:rsidRPr="00F23F20">
        <w:fldChar w:fldCharType="end"/>
      </w:r>
      <w:bookmarkEnd w:id="47"/>
      <w:bookmarkEnd w:id="48"/>
      <w:r w:rsidRPr="00F23F20">
        <w:t xml:space="preserve">. Another example is the depletion in the COG-FCs for energy production and conversion, amino acid transport and metabolism, and carbohydrate transport and metabolism within the </w:t>
      </w:r>
      <w:r w:rsidRPr="00F23F20">
        <w:rPr>
          <w:i/>
        </w:rPr>
        <w:t>Bacteroidetes</w:t>
      </w:r>
      <w:r w:rsidRPr="00F23F20">
        <w:t xml:space="preserve">, </w:t>
      </w:r>
      <w:proofErr w:type="spellStart"/>
      <w:r w:rsidRPr="00F23F20">
        <w:rPr>
          <w:i/>
        </w:rPr>
        <w:t>Spirochaetes</w:t>
      </w:r>
      <w:proofErr w:type="spellEnd"/>
      <w:r w:rsidRPr="00F23F20">
        <w:t xml:space="preserve">, and </w:t>
      </w:r>
      <w:proofErr w:type="spellStart"/>
      <w:r w:rsidRPr="00F23F20">
        <w:rPr>
          <w:i/>
        </w:rPr>
        <w:t>Chlamydiales</w:t>
      </w:r>
      <w:proofErr w:type="spellEnd"/>
      <w:r w:rsidRPr="00F23F20">
        <w:t xml:space="preserve"> clade. This clade is known to contain many host-dependent pathogens and symbionts </w:t>
      </w:r>
      <w:r w:rsidRPr="00F23F20">
        <w:fldChar w:fldCharType="begin" w:fldLock="1"/>
      </w:r>
      <w:r w:rsidR="00307058">
        <w:instrText>ADDIN CSL_CITATION {"citationItems":[{"id":"ITEM-1","itemData":{"DOI":"10.1016/j.semcdb.2015.10.015.Flagellar","author":[{"dropping-particle":"","family":"Wolgemuth","given":"Charles W","non-dropping-particle":"","parse-names":false,"suffix":""}],"container-title":"Semin Cell Dev Biol.","id":"ITEM-1","issued":{"date-parts":[["2015"]]},"page":"104–112","title":"Flagellar motility of the pathogenic spirochetes","type":"article-journal","volume":"46"},"uris":["http://www.mendeley.com/documents/?uuid=fda7396d-0697-4335-8d6e-a584f31f17ed"]},{"id":"ITEM-2","itemData":{"DOI":"10.1093/femspd/ftu013","ISBN":"2049-632X (Electronic)\\r2049-632X (Linking)","ISSN":"2049632X","PMID":"25854001","abstract":"One-sentence summary: Using a pan-Chlamydiales PCR followed by sequencing, Chlamydiales from four different family-level lineages were detected in Swiss ruminant farms indicating a high prevalence and biodiversity of Chlamydiales in this setting and the value of this broad-range pan-Chlamydiales PCR for epidemiological survey. Editor: Viviane Bremer ABSTRACT Chlamydia and Chlamydia-related bacteria are known to infect various organisms and may cause a wide range of diseases, especially in ruminants. To gain insight into the prevalence of these bacteria in the ruminant environment, we applied a pan-Chlamydiales PCR followed by sequencing to 72 ruminant environmental samples from water, feed bunks and floors. Chlamydiales from four family-level lineages were detected indicating a high biodiversity of Chlamydiales in ruminant farms. Parachlamydiaceae were detected in all three types of environmental samples and was the most abundant family-level taxon (60%). In contrast, only one bacterium from each of the following family-level lineages was identified: Chlamydiaceae, Criblamydiaceae and Simkaniaceae. The observed high prevalence of Parachlamydiaceae in water samples may suggest water as the main source of contamination for ruminants as well as their environment due to spoilage. The absence of reported infections in the investigated ruminant farms might indicate that either detected Chlamydiales are of reduced pathogenicity or infective doses have not been reached.","author":[{"dropping-particle":"","family":"Dreyer","given":"Margaux","non-dropping-particle":"","parse-names":false,"suffix":""},{"dropping-particle":"","family":"Aeby","given":"Sébastien","non-dropping-particle":"","parse-names":false,"suffix":""},{"dropping-particle":"","family":"Oevermann","given":"Anna","non-dropping-particle":"","parse-names":false,"suffix":""},{"dropping-particle":"","family":"Greub","given":"Gilbert","non-dropping-particle":"","parse-names":false,"suffix":""}],"container-title":"Pathogens and Disease","id":"ITEM-2","issue":"1","issued":{"date-parts":[["2015"]]},"page":"1-4","title":"Prevalence and diversity of Chlamydiales in Swiss ruminant farms","type":"article-journal","volume":"73"},"uris":["http://www.mendeley.com/documents/?uuid=9663e988-7dd8-4155-902b-0ee7964d00db"]},{"id":"ITEM-3","itemData":{"DOI":"10.1128/CMR.00008-07","ISBN":"1095-564X (Electronic)\\r0012-1606 (Linking)","ISSN":"08938512","PMID":"17934076","abstract":"SUMMARY Bacteroides species are significant clinical pathogens and are found in most anaerobic infections, with an associated mortality of more than 19%. The bacteria maintain a complex and generally beneficial relationship with the host when retained in the gut, but when they escape this environment they can cause significant pathology, including bacteremia and abscess formation in multiple body sites. Genomic and proteomic analyses have vastly added to our understanding of the manner in which Bacteroides species adapt to, and thrive in, the human gut. A few examples are (i) complex systems to sense and adapt to nutrient availability, (ii) multiple pump systems to expel toxic substances, and (iii) the ability to influence the host immune system so that it controls other (competing) pathogens. B. fragilis, which accounts for only 0.5% of the human colonic flora, is the most commonly isolated anaerobic pathogen due, in part, to its potent virulence factors. Species of the genus Bacteroides have the most antibiotic resistance mechanisms and the highest resistance rates of all anaerobic pathogens. Clinically, Bacteroides species have exhibited increasing resistance to many antibiotics, including cefoxitin, clindamycin, metronidazole, carbapenems, and fluoroquinolones (e.g., gatifloxacin, levofloxacin, and moxifloxacin).","author":[{"dropping-particle":"","family":"Wexler","given":"Hannah M.","non-dropping-particle":"","parse-names":false,"suffix":""}],"container-title":"Clinical Microbiology Reviews","id":"ITEM-3","issue":"4","issued":{"date-parts":[["2007"]]},"page":"593-621","title":"Bacteroides: The good, the bad, and the nitty-gritty","type":"article-journal","volume":"20"},"uris":["http://www.mendeley.com/documents/?uuid=c0d96821-d24e-4339-ad01-6bcddb0f06b5"]}],"mendeley":{"formattedCitation":"(36–38)","plainTextFormattedCitation":"(36–38)","previouslyFormattedCitation":"(35–37)"},"properties":{"noteIndex":0},"schema":"https://github.com/citation-style-language/schema/raw/master/csl-citation.json"}</w:instrText>
      </w:r>
      <w:r w:rsidRPr="00F23F20">
        <w:fldChar w:fldCharType="separate"/>
      </w:r>
      <w:bookmarkStart w:id="49" w:name="__Fieldmark__255_3131557954"/>
      <w:bookmarkStart w:id="50" w:name="__Fieldmark__530_2938955102"/>
      <w:r w:rsidR="00307058" w:rsidRPr="00307058">
        <w:rPr>
          <w:noProof/>
        </w:rPr>
        <w:t>(36–38)</w:t>
      </w:r>
      <w:r w:rsidRPr="00F23F20">
        <w:fldChar w:fldCharType="end"/>
      </w:r>
      <w:bookmarkEnd w:id="49"/>
      <w:bookmarkEnd w:id="50"/>
      <w:r w:rsidRPr="00F23F20">
        <w:t xml:space="preserve">, which are often depleted in these COG-FCs </w:t>
      </w:r>
      <w:r w:rsidRPr="00F23F20">
        <w:fldChar w:fldCharType="begin" w:fldLock="1"/>
      </w:r>
      <w:r w:rsidR="00307058">
        <w:instrText>ADDIN CSL_CITATION {"citationItems":[{"id":"ITEM-1","itemData":{"DOI":"10.1016/S0092-8674(02)00665-7","ISBN":"0092-8674 (Print)\\r0092-8674 (Linking)","ISSN":"00928674","PMID":"11893328","abstract":"When bacterial lineages make the transition from free-living or facultatively parasitic life cycles to permanent associations with hosts, they undergo a major loss of genes and DNA. Complete genome sequences are providing an understanding of how extreme genome reduction affects evolutionary directions and metabolic capabilities of obligate pathogens and symbionts.","author":[{"dropping-particle":"","family":"Moran","given":"Nancy A.","non-dropping-particle":"","parse-names":false,"suffix":""}],"container-title":"Cell","id":"ITEM-1","issue":"5","issued":{"date-parts":[["2002"]]},"page":"583-586","title":"Microbial Minimalism: Genome Reduction in Bacterial Pathogens","type":"article-journal","volume":"108"},"uris":["http://www.mendeley.com/documents/?uuid=62580512-d870-448e-87d1-93564fd9a5b8"]}],"mendeley":{"formattedCitation":"(39)","plainTextFormattedCitation":"(39)","previouslyFormattedCitation":"(38)"},"properties":{"noteIndex":0},"schema":"https://github.com/citation-style-language/schema/raw/master/csl-citation.json"}</w:instrText>
      </w:r>
      <w:r w:rsidRPr="00F23F20">
        <w:fldChar w:fldCharType="separate"/>
      </w:r>
      <w:bookmarkStart w:id="51" w:name="__Fieldmark__262_3131557954"/>
      <w:bookmarkStart w:id="52" w:name="__Fieldmark__535_2938955102"/>
      <w:r w:rsidR="00307058" w:rsidRPr="00307058">
        <w:rPr>
          <w:noProof/>
        </w:rPr>
        <w:t>(39)</w:t>
      </w:r>
      <w:r w:rsidRPr="00F23F20">
        <w:fldChar w:fldCharType="end"/>
      </w:r>
      <w:bookmarkEnd w:id="51"/>
      <w:bookmarkEnd w:id="52"/>
      <w:r w:rsidRPr="00F23F20">
        <w:t>.</w:t>
      </w:r>
    </w:p>
    <w:p w14:paraId="30F5ED00" w14:textId="3FC0FF75" w:rsidR="00365526" w:rsidRPr="00F23F20" w:rsidRDefault="00365526" w:rsidP="00365526">
      <w:pPr>
        <w:pStyle w:val="LO-normal"/>
      </w:pPr>
      <w:r w:rsidRPr="00F23F20">
        <w:rPr>
          <w:highlight w:val="white"/>
        </w:rPr>
        <w:t>The GTDB classification is the first fully algorithmic and quantitatively self-consistent microbial taxonomy that can be applied across the tree of life</w:t>
      </w:r>
      <w:r w:rsidRPr="00F23F20">
        <w:t xml:space="preserve"> </w:t>
      </w:r>
      <w:r w:rsidRPr="00F23F20">
        <w:fldChar w:fldCharType="begin" w:fldLock="1"/>
      </w:r>
      <w:r w:rsidR="00F74F65">
        <w:instrText>ADDIN CSL_CITATION {"citationItems":[{"id":"ITEM-1","itemData":{"DOI":"10.1038/nbt.4229","ISBN":"1101-1262","ISSN":"1087-0156","PMID":"30148503","abstract":"Taxonomy is a fundamental organizing principle of biology, which ideally should be based on evolutionary relationships. Microbial taxonomy has been greatly restricted by the inability to obtain most microorganisms in pure culture and, to a lesser degree, the historical use of phenotypic properties as the basis for classification. However, we are now at the point of obtaining genome sequences broadly representative of microbial diversity by using culture-independent techniques, which provide the opportunity to develop a comprehensive genome-based taxonomy. Here we propose a standardized bacterial taxonomy based on a concatenated protein phylogeny that conservatively removes polyphyletic groups and normalizes ranks based on relative evolutionary divergence. From 94,759 bacterial genomes, 99 phyla are described including six major normalized monophyletic units from the subdivision of the Proteobacteria, and amalgamation of the Candidate Phyla Radiation into the single phylum Patescibacteria. In total, 73% of taxa had one or more changes to their existing taxonomy.","author":[{"dropping-particle":"","family":"Parks","given":"Donovan H","non-dropping-particle":"","parse-names":false,"suffix":""},{"dropping-particle":"","family":"Chuvochina","given":"Maria","non-dropping-particle":"","parse-names":false,"suffix":""},{"dropping-particle":"","family":"Waite","given":"David W","non-dropping-particle":"","parse-names":false,"suffix":""},{"dropping-particle":"","family":"Rinke","given":"Christian","non-dropping-particle":"","parse-names":false,"suffix":""},{"dropping-particle":"","family":"Skarshewski","given":"Adam","non-dropping-particle":"","parse-names":false,"suffix":""},{"dropping-particle":"","family":"Chaumeil","given":"Pierre-Alain","non-dropping-particle":"","parse-names":false,"suffix":""},{"dropping-particle":"","family":"Hugenholtz","given":"Philip","non-dropping-particle":"","parse-names":false,"suffix":""}],"container-title":"Nature Biotechnology","id":"ITEM-1","issue":"10","issued":{"date-parts":[["2018"]]},"page":"996-1004","title":"A standardized bacterial taxonomy based on genome phylogeny substantially revises the tree of life","type":"article-journal","volume":"36"},"uris":["http://www.mendeley.com/documents/?uuid=c230d0f1-0711-4b60-bb3c-207f7cf49c63"]}],"mendeley":{"formattedCitation":"(10)","plainTextFormattedCitation":"(10)","previouslyFormattedCitation":"(10)"},"properties":{"noteIndex":0},"schema":"https://github.com/citation-style-language/schema/raw/master/csl-citation.json"}</w:instrText>
      </w:r>
      <w:r w:rsidRPr="00F23F20">
        <w:fldChar w:fldCharType="separate"/>
      </w:r>
      <w:bookmarkStart w:id="53" w:name="__Fieldmark__272_3131557954"/>
      <w:bookmarkStart w:id="54" w:name="__Fieldmark__543_2938955102"/>
      <w:r w:rsidR="004620D1" w:rsidRPr="004620D1">
        <w:rPr>
          <w:noProof/>
        </w:rPr>
        <w:t>(10)</w:t>
      </w:r>
      <w:r w:rsidRPr="00F23F20">
        <w:fldChar w:fldCharType="end"/>
      </w:r>
      <w:bookmarkEnd w:id="53"/>
      <w:bookmarkEnd w:id="54"/>
      <w:r w:rsidRPr="00F23F20">
        <w:t xml:space="preserve">. </w:t>
      </w:r>
      <w:r w:rsidRPr="00F23F20">
        <w:rPr>
          <w:highlight w:val="white"/>
        </w:rPr>
        <w:t xml:space="preserve">By </w:t>
      </w:r>
      <w:r w:rsidRPr="00F23F20">
        <w:rPr>
          <w:highlight w:val="white"/>
        </w:rPr>
        <w:lastRenderedPageBreak/>
        <w:t>standardizing the meaning of taxonomic ranks, it creates an objective basis on which to compare microbial functionality to phylogeny. The analyses presented here demonstrate compositional patterns exist for genomic traits which can be explained by different taxonomic ranks. Furthermore, the proportion of variance explained for individual COG-FCs was partitioned as a function of taxonomic ranks. These quantitative relationships elude to the idea that evolutionary processes operate on different timescales for different components of microbial metabolisms and supports previous notions that a relationship exists between higher taxonomic ranks, metabolism, and ecological niches.</w:t>
      </w:r>
    </w:p>
    <w:p w14:paraId="6591D9E3" w14:textId="77777777" w:rsidR="00365526" w:rsidRPr="00F23F20" w:rsidRDefault="00365526" w:rsidP="00365526">
      <w:pPr>
        <w:pStyle w:val="Heading2"/>
      </w:pPr>
      <w:r w:rsidRPr="00F23F20">
        <w:t xml:space="preserve"> </w:t>
      </w:r>
      <w:bookmarkStart w:id="55" w:name="_Toc41908081"/>
      <w:r w:rsidRPr="00F23F20">
        <w:t>Materials and Methods</w:t>
      </w:r>
      <w:bookmarkEnd w:id="55"/>
    </w:p>
    <w:p w14:paraId="2760BED8" w14:textId="77777777" w:rsidR="00365526" w:rsidRPr="00F23F20" w:rsidRDefault="00365526" w:rsidP="00365526">
      <w:pPr>
        <w:pStyle w:val="Heading3"/>
        <w:rPr>
          <w:highlight w:val="white"/>
        </w:rPr>
      </w:pPr>
      <w:bookmarkStart w:id="56" w:name="_Toc41908082"/>
      <w:r w:rsidRPr="00F23F20">
        <w:rPr>
          <w:highlight w:val="white"/>
        </w:rPr>
        <w:t>Genome Database Curation</w:t>
      </w:r>
      <w:bookmarkEnd w:id="56"/>
    </w:p>
    <w:p w14:paraId="45863517" w14:textId="6B6B86B7" w:rsidR="00365526" w:rsidRPr="00F23F20" w:rsidRDefault="00365526" w:rsidP="00365526">
      <w:pPr>
        <w:pStyle w:val="LO-normal"/>
      </w:pPr>
      <w:r w:rsidRPr="00F23F20">
        <w:rPr>
          <w:highlight w:val="white"/>
        </w:rPr>
        <w:t xml:space="preserve">All bacterial and archaeal genomes from the </w:t>
      </w:r>
      <w:proofErr w:type="spellStart"/>
      <w:r w:rsidRPr="00F23F20">
        <w:rPr>
          <w:highlight w:val="white"/>
        </w:rPr>
        <w:t>RefSeq</w:t>
      </w:r>
      <w:proofErr w:type="spellEnd"/>
      <w:r w:rsidRPr="00F23F20">
        <w:rPr>
          <w:highlight w:val="white"/>
        </w:rPr>
        <w:t xml:space="preserve"> database v92 </w:t>
      </w:r>
      <w:r w:rsidR="004E3998">
        <w:rPr>
          <w:highlight w:val="white"/>
        </w:rPr>
        <w:fldChar w:fldCharType="begin" w:fldLock="1"/>
      </w:r>
      <w:r w:rsidR="00F74F65">
        <w:rPr>
          <w:highlight w:val="white"/>
        </w:rPr>
        <w:instrText>ADDIN CSL_CITATION {"citationItems":[{"id":"ITEM-1","itemData":{"DOI":"10.1093/nar/gkv1189","ISBN":"1362-4962 (Electronic) 0305-1048 (Linking)","ISSN":"13624962","PMID":"26553804","abstract":"The RefSeq project at the National Center for Biotech- nology Information (NCBI) maintains and curates a publicly available database of annotated genomic, transcript, and protein sequence records (http:// www.ncbi.nlm.nih.gov/refseq/). The RefSeq project leverages the data submitted to the International Nu- cleotide Sequence Database Collaboration (INSDC) against a combination of computation, manual cu- ration, and collaboration to produce a standard set of stable, non-redundant reference sequences. The RefSeq project augments these reference sequences with current knowledge including publications, func- tional features and informative nomenclature. The database currently represents sequences from more than 55 000 organisms (&gt;4800 viruses, &gt;40 000 prokaryotes and &gt;10 000 eukaryotes; RefSeq re- lease 71), ranging from a single record to complete genomes. This paper summarizes the current sta- tus of the viral, prokaryotic, and eukaryotic branches of the RefSeq project, reports on improvements to data access and details efforts to further expand the taxonomic representation of the collection. We also highlight diverse functional curation initiatives that support multiple uses of RefSeq data including tax- onomic validation, genome annotation, comparative genomics, and clinical testing. We summarize our approach to utilizing available RNA-Seq and other data types in our manual curation process for verte- brate, plant, and other species, and describe a new direction for prokaryotic genomes and protein name management.","author":[{"dropping-particle":"","family":"O'Leary","given":"Nuala A.","non-dropping-particle":"","parse-names":false,"suffix":""},{"dropping-particle":"","family":"Wright","given":"Mathew W.","non-dropping-particle":"","parse-names":false,"suffix":""},{"dropping-particle":"","family":"Brister","given":"J. Rodney","non-dropping-particle":"","parse-names":false,"suffix":""},{"dropping-particle":"","family":"Ciufo","given":"Stacy","non-dropping-particle":"","parse-names":false,"suffix":""},{"dropping-particle":"","family":"Haddad","given":"Diana","non-dropping-particle":"","parse-names":false,"suffix":""},{"dropping-particle":"","family":"McVeigh","given":"Rich","non-dropping-particle":"","parse-names":false,"suffix":""},{"dropping-particle":"","family":"Rajput","given":"Bhanu","non-dropping-particle":"","parse-names":false,"suffix":""},{"dropping-particle":"","family":"Robbertse","given":"Barbara","non-dropping-particle":"","parse-names":false,"suffix":""},{"dropping-particle":"","family":"Smith-White","given":"Brian","non-dropping-particle":"","parse-names":false,"suffix":""},{"dropping-particle":"","family":"Ako-Adjei","given":"Danso","non-dropping-particle":"","parse-names":false,"suffix":""},{"dropping-particle":"","family":"Astashyn","given":"Alexander","non-dropping-particle":"","parse-names":false,"suffix":""},{"dropping-particle":"","family":"Badretdin","given":"Azat","non-dropping-particle":"","parse-names":false,"suffix":""},{"dropping-particle":"","family":"Bao","given":"Yiming","non-dropping-particle":"","parse-names":false,"suffix":""},{"dropping-particle":"","family":"Blinkova","given":"Olga","non-dropping-particle":"","parse-names":false,"suffix":""},{"dropping-particle":"","family":"Brover","given":"Vyacheslav","non-dropping-particle":"","parse-names":false,"suffix":""},{"dropping-particle":"","family":"Chetvernin","given":"Vyacheslav","non-dropping-particle":"","parse-names":false,"suffix":""},{"dropping-particle":"","family":"Choi","given":"Jinna","non-dropping-particle":"","parse-names":false,"suffix":""},{"dropping-particle":"","family":"Cox","given":"Eric","non-dropping-particle":"","parse-names":false,"suffix":""},{"dropping-particle":"","family":"Ermolaeva","given":"Olga","non-dropping-particle":"","parse-names":false,"suffix":""},{"dropping-particle":"","family":"Farrell","given":"Catherine M.","non-dropping-particle":"","parse-names":false,"suffix":""},{"dropping-particle":"","family":"Goldfarb","given":"Tamara","non-dropping-particle":"","parse-names":false,"suffix":""},{"dropping-particle":"","family":"Gupta","given":"Tripti","non-dropping-particle":"","parse-names":false,"suffix":""},{"dropping-particle":"","family":"Haft","given":"Daniel","non-dropping-particle":"","parse-names":false,"suffix":""},{"dropping-particle":"","family":"Hatcher","given":"Eneida","non-dropping-particle":"","parse-names":false,"suffix":""},{"dropping-particle":"","family":"Hlavina","given":"Wratko","non-dropping-particle":"","parse-names":false,"suffix":""},{"dropping-particle":"","family":"Joardar","given":"Vinita S.","non-dropping-particle":"","parse-names":false,"suffix":""},{"dropping-particle":"","family":"Kodali","given":"Vamsi K.","non-dropping-particle":"","parse-names":false,"suffix":""},{"dropping-particle":"","family":"Li","given":"Wenjun","non-dropping-particle":"","parse-names":false,"suffix":""},{"dropping-particle":"","family":"Maglott","given":"Donna","non-dropping-particle":"","parse-names":false,"suffix":""},{"dropping-particle":"","family":"Masterson","given":"Patrick","non-dropping-particle":"","parse-names":false,"suffix":""},{"dropping-particle":"","family":"McGarvey","given":"Kelly M.","non-dropping-particle":"","parse-names":false,"suffix":""},{"dropping-particle":"","family":"Murphy","given":"Michael R.","non-dropping-particle":"","parse-names":false,"suffix":""},{"dropping-particle":"","family":"O'Neill","given":"Kathleen","non-dropping-particle":"","parse-names":false,"suffix":""},{"dropping-particle":"","family":"Pujar","given":"Shashikant","non-dropping-particle":"","parse-names":false,"suffix":""},{"dropping-particle":"","family":"Rangwala","given":"Sanjida H.","non-dropping-particle":"","parse-names":false,"suffix":""},{"dropping-particle":"","family":"Rausch","given":"Daniel","non-dropping-particle":"","parse-names":false,"suffix":""},{"dropping-particle":"","family":"Riddick","given":"Lillian D.","non-dropping-particle":"","parse-names":false,"suffix":""},{"dropping-particle":"","family":"Schoch","given":"Conrad","non-dropping-particle":"","parse-names":false,"suffix":""},{"dropping-particle":"","family":"Shkeda","given":"Andrei","non-dropping-particle":"","parse-names":false,"suffix":""},{"dropping-particle":"","family":"Storz","given":"Susan S.","non-dropping-particle":"","parse-names":false,"suffix":""},{"dropping-particle":"","family":"Sun","given":"Hanzhen","non-dropping-particle":"","parse-names":false,"suffix":""},{"dropping-particle":"","family":"Thibaud-Nissen","given":"Francoise","non-dropping-particle":"","parse-names":false,"suffix":""},{"dropping-particle":"","family":"Tolstoy","given":"Igor","non-dropping-particle":"","parse-names":false,"suffix":""},{"dropping-particle":"","family":"Tully","given":"Raymond E.","non-dropping-particle":"","parse-names":false,"suffix":""},{"dropping-particle":"","family":"Vatsan","given":"Anjana R.","non-dropping-particle":"","parse-names":false,"suffix":""},{"dropping-particle":"","family":"Wallin","given":"Craig","non-dropping-particle":"","parse-names":false,"suffix":""},{"dropping-particle":"","family":"Webb","given":"David","non-dropping-particle":"","parse-names":false,"suffix":""},{"dropping-particle":"","family":"Wu","given":"Wendy","non-dropping-particle":"","parse-names":false,"suffix":""},{"dropping-particle":"","family":"Landrum","given":"Melissa J.","non-dropping-particle":"","parse-names":false,"suffix":""},{"dropping-particle":"","family":"Kimchi","given":"Avi","non-dropping-particle":"","parse-names":false,"suffix":""},{"dropping-particle":"","family":"Tatusova","given":"Tatiana","non-dropping-particle":"","parse-names":false,"suffix":""},{"dropping-particle":"","family":"DiCuccio","given":"Michael","non-dropping-particle":"","parse-names":false,"suffix":""},{"dropping-particle":"","family":"Kitts","given":"Paul","non-dropping-particle":"","parse-names":false,"suffix":""},{"dropping-particle":"","family":"Murphy","given":"Terence D.","non-dropping-particle":"","parse-names":false,"suffix":""},{"dropping-particle":"","family":"Pruitt","given":"Kim D.","non-dropping-particle":"","parse-names":false,"suffix":""}],"container-title":"Nucleic Acids Research","id":"ITEM-1","issue":"D1","issued":{"date-parts":[["2016"]]},"page":"D733-D745","title":"Reference sequence (RefSeq) database at NCBI: Current status, taxonomic expansion, and functional annotation","type":"article-journal","volume":"44"},"uris":["http://www.mendeley.com/documents/?uuid=c4e86200-d062-4c96-9740-0945d434249f"]}],"mendeley":{"formattedCitation":"(11)","plainTextFormattedCitation":"(11)","previouslyFormattedCitation":"(11)"},"properties":{"noteIndex":0},"schema":"https://github.com/citation-style-language/schema/raw/master/csl-citation.json"}</w:instrText>
      </w:r>
      <w:r w:rsidR="004E3998">
        <w:rPr>
          <w:highlight w:val="white"/>
        </w:rPr>
        <w:fldChar w:fldCharType="separate"/>
      </w:r>
      <w:r w:rsidR="004620D1" w:rsidRPr="004620D1">
        <w:rPr>
          <w:noProof/>
          <w:highlight w:val="white"/>
        </w:rPr>
        <w:t>(11)</w:t>
      </w:r>
      <w:r w:rsidR="004E3998">
        <w:rPr>
          <w:highlight w:val="white"/>
        </w:rPr>
        <w:fldChar w:fldCharType="end"/>
      </w:r>
      <w:r w:rsidRPr="00F23F20">
        <w:rPr>
          <w:highlight w:val="white"/>
        </w:rPr>
        <w:t xml:space="preserve">, uncultured bacterial and archaeal (UBA) metagenome-assembled genomes (MAGs) reported in </w:t>
      </w:r>
      <w:r w:rsidRPr="00F23F20">
        <w:fldChar w:fldCharType="begin" w:fldLock="1"/>
      </w:r>
      <w:r w:rsidR="00F74F65">
        <w:instrText>ADDIN CSL_CITATION {"citationItems":[{"id":"ITEM-1","itemData":{"DOI":"10.1038/nbt.4229","ISBN":"1101-1262","ISSN":"1087-0156","PMID":"30148503","abstract":"Taxonomy is a fundamental organizing principle of biology, which ideally should be based on evolutionary relationships. Microbial taxonomy has been greatly restricted by the inability to obtain most microorganisms in pure culture and, to a lesser degree, the historical use of phenotypic properties as the basis for classification. However, we are now at the point of obtaining genome sequences broadly representative of microbial diversity by using culture-independent techniques, which provide the opportunity to develop a comprehensive genome-based taxonomy. Here we propose a standardized bacterial taxonomy based on a concatenated protein phylogeny that conservatively removes polyphyletic groups and normalizes ranks based on relative evolutionary divergence. From 94,759 bacterial genomes, 99 phyla are described including six major normalized monophyletic units from the subdivision of the Proteobacteria, and amalgamation of the Candidate Phyla Radiation into the single phylum Patescibacteria. In total, 73% of taxa had one or more changes to their existing taxonomy.","author":[{"dropping-particle":"","family":"Parks","given":"Donovan H","non-dropping-particle":"","parse-names":false,"suffix":""},{"dropping-particle":"","family":"Chuvochina","given":"Maria","non-dropping-particle":"","parse-names":false,"suffix":""},{"dropping-particle":"","family":"Waite","given":"David W","non-dropping-particle":"","parse-names":false,"suffix":""},{"dropping-particle":"","family":"Rinke","given":"Christian","non-dropping-particle":"","parse-names":false,"suffix":""},{"dropping-particle":"","family":"Skarshewski","given":"Adam","non-dropping-particle":"","parse-names":false,"suffix":""},{"dropping-particle":"","family":"Chaumeil","given":"Pierre-Alain","non-dropping-particle":"","parse-names":false,"suffix":""},{"dropping-particle":"","family":"Hugenholtz","given":"Philip","non-dropping-particle":"","parse-names":false,"suffix":""}],"container-title":"Nature Biotechnology","id":"ITEM-1","issue":"10","issued":{"date-parts":[["2018"]]},"page":"996-1004","title":"A standardized bacterial taxonomy based on genome phylogeny substantially revises the tree of life","type":"article-journal","volume":"36"},"uris":["http://www.mendeley.com/documents/?uuid=c230d0f1-0711-4b60-bb3c-207f7cf49c63"]},{"id":"ITEM-2","itemData":{"DOI":"10.1038/s41564-017-0012-7","ISBN":"4156401700127","ISSN":"2058-5276","PMID":"28894102","author":[{"dropping-particle":"","family":"Parks","given":"Donovan H.","non-dropping-particle":"","parse-names":false,"suffix":""},{"dropping-particle":"","family":"Rinke","given":"Christian","non-dropping-particle":"","parse-names":false,"suffix":""},{"dropping-particle":"","family":"Chuvochina","given":"Maria","non-dropping-particle":"","parse-names":false,"suffix":""},{"dropping-particle":"","family":"Chaumeil","given":"Pierre-Alain","non-dropping-particle":"","parse-names":false,"suffix":""},{"dropping-particle":"","family":"Woodcroft","given":"Ben J.","non-dropping-particle":"","parse-names":false,"suffix":""},{"dropping-particle":"","family":"Evans","given":"Paul N.","non-dropping-particle":"","parse-names":false,"suffix":""},{"dropping-particle":"","family":"Hugenholtz","given":"Philip","non-dropping-particle":"","parse-names":false,"suffix":""},{"dropping-particle":"","family":"Tyson","given":"Gene W.","non-dropping-particle":"","parse-names":false,"suffix":""}],"container-title":"Nature Microbiology","id":"ITEM-2","issued":{"date-parts":[["2017"]]},"page":"1533-1542","publisher":"Springer US","title":"Recovery of nearly 8,000 metagenome-assembled genomes substantially expands the tree of life","type":"article-journal","volume":"2"},"uris":["http://www.mendeley.com/documents/?uuid=6477865e-4c52-4bb4-b716-2b234e0bf7ea"]}],"mendeley":{"formattedCitation":"(10, 12)","plainTextFormattedCitation":"(10, 12)","previouslyFormattedCitation":"(10, 12)"},"properties":{"noteIndex":0},"schema":"https://github.com/citation-style-language/schema/raw/master/csl-citation.json"}</w:instrText>
      </w:r>
      <w:r w:rsidRPr="00F23F20">
        <w:fldChar w:fldCharType="separate"/>
      </w:r>
      <w:bookmarkStart w:id="57" w:name="__Fieldmark__314_3131557954"/>
      <w:bookmarkStart w:id="58" w:name="__Fieldmark__565_2938955102"/>
      <w:r w:rsidR="004620D1" w:rsidRPr="004620D1">
        <w:rPr>
          <w:noProof/>
        </w:rPr>
        <w:t>(10, 12)</w:t>
      </w:r>
      <w:r w:rsidRPr="00F23F20">
        <w:fldChar w:fldCharType="end"/>
      </w:r>
      <w:bookmarkEnd w:id="57"/>
      <w:bookmarkEnd w:id="58"/>
      <w:r w:rsidRPr="00F23F20">
        <w:rPr>
          <w:highlight w:val="white"/>
        </w:rPr>
        <w:t>, bacterial and archaeal MAGs from Integrated Microbial Genomes and Microbiomes (IMG/M), and bacterial and archaeal single amplified genomes (SAGs) from IMG/M were curated into a single database. All genomic content within the curated database is referred to as “genome(s)” for simplicity. Genomes were assigned taxonomy consistent with the Genome Taxonomy Database (GTDB) using the GTDB toolkit (GTDB-Tk) v0.2.1</w:t>
      </w:r>
      <w:r w:rsidRPr="00F23F20">
        <w:t xml:space="preserve"> </w:t>
      </w:r>
      <w:r w:rsidRPr="00F23F20">
        <w:fldChar w:fldCharType="begin" w:fldLock="1"/>
      </w:r>
      <w:r w:rsidR="00F74F65">
        <w:instrText>ADDIN CSL_CITATION {"citationItems":[{"id":"ITEM-1","itemData":{"DOI":"10.1038/nbt.4229","ISBN":"1101-1262","ISSN":"1087-0156","PMID":"30148503","abstract":"Taxonomy is a fundamental organizing principle of biology, which ideally should be based on evolutionary relationships. Microbial taxonomy has been greatly restricted by the inability to obtain most microorganisms in pure culture and, to a lesser degree, the historical use of phenotypic properties as the basis for classification. However, we are now at the point of obtaining genome sequences broadly representative of microbial diversity by using culture-independent techniques, which provide the opportunity to develop a comprehensive genome-based taxonomy. Here we propose a standardized bacterial taxonomy based on a concatenated protein phylogeny that conservatively removes polyphyletic groups and normalizes ranks based on relative evolutionary divergence. From 94,759 bacterial genomes, 99 phyla are described including six major normalized monophyletic units from the subdivision of the Proteobacteria, and amalgamation of the Candidate Phyla Radiation into the single phylum Patescibacteria. In total, 73% of taxa had one or more changes to their existing taxonomy.","author":[{"dropping-particle":"","family":"Parks","given":"Donovan H","non-dropping-particle":"","parse-names":false,"suffix":""},{"dropping-particle":"","family":"Chuvochina","given":"Maria","non-dropping-particle":"","parse-names":false,"suffix":""},{"dropping-particle":"","family":"Waite","given":"David W","non-dropping-particle":"","parse-names":false,"suffix":""},{"dropping-particle":"","family":"Rinke","given":"Christian","non-dropping-particle":"","parse-names":false,"suffix":""},{"dropping-particle":"","family":"Skarshewski","given":"Adam","non-dropping-particle":"","parse-names":false,"suffix":""},{"dropping-particle":"","family":"Chaumeil","given":"Pierre-Alain","non-dropping-particle":"","parse-names":false,"suffix":""},{"dropping-particle":"","family":"Hugenholtz","given":"Philip","non-dropping-particle":"","parse-names":false,"suffix":""}],"container-title":"Nature Biotechnology","id":"ITEM-1","issue":"10","issued":{"date-parts":[["2018"]]},"page":"996-1004","title":"A standardized bacterial taxonomy based on genome phylogeny substantially revises the tree of life","type":"article-journal","volume":"36"},"uris":["http://www.mendeley.com/documents/?uuid=c230d0f1-0711-4b60-bb3c-207f7cf49c63"]}],"mendeley":{"formattedCitation":"(10)","plainTextFormattedCitation":"(10)","previouslyFormattedCitation":"(10)"},"properties":{"noteIndex":0},"schema":"https://github.com/citation-style-language/schema/raw/master/csl-citation.json"}</w:instrText>
      </w:r>
      <w:r w:rsidRPr="00F23F20">
        <w:fldChar w:fldCharType="separate"/>
      </w:r>
      <w:bookmarkStart w:id="59" w:name="__Fieldmark__322_3131557954"/>
      <w:bookmarkStart w:id="60" w:name="__Fieldmark__573_2938955102"/>
      <w:r w:rsidR="004620D1" w:rsidRPr="004620D1">
        <w:rPr>
          <w:noProof/>
        </w:rPr>
        <w:t>(10)</w:t>
      </w:r>
      <w:r w:rsidRPr="00F23F20">
        <w:fldChar w:fldCharType="end"/>
      </w:r>
      <w:bookmarkEnd w:id="59"/>
      <w:bookmarkEnd w:id="60"/>
      <w:r w:rsidRPr="00F23F20">
        <w:rPr>
          <w:highlight w:val="white"/>
        </w:rPr>
        <w:t xml:space="preserve">. The GTDB-Tk taxonomic assignments were consistent with reference package GTDB r86. Lineages which did not receive a genus classification, due to the absence of a reference lineage were excluded from analyses. In total, 6.1% of the total number of genomes from the initial database met this condition. Due to bias in the </w:t>
      </w:r>
      <w:r w:rsidRPr="00F23F20">
        <w:rPr>
          <w:highlight w:val="white"/>
        </w:rPr>
        <w:lastRenderedPageBreak/>
        <w:t xml:space="preserve">abundance of strains in specific clades (e.g., </w:t>
      </w:r>
      <w:r w:rsidRPr="00F23F20">
        <w:rPr>
          <w:i/>
          <w:highlight w:val="white"/>
        </w:rPr>
        <w:t>E. coli</w:t>
      </w:r>
      <w:r w:rsidRPr="00F23F20">
        <w:rPr>
          <w:highlight w:val="white"/>
        </w:rPr>
        <w:t xml:space="preserve">), the lowest taxonomic rank considered during our analysis was species. The COG-FC relative abundances (see below) were averaged together for all strains within a given species. An exception was made for lineages which shared a genus classification but lacked a species classification. In this scenario, each genome was treated as an independent lineage. In total, 10.9% of the total number genomes analyzed (i.e., had a genus assignment) met this condition. Lastly, only genomes belonging to genera with at least ten unique species in the database were retained. This criterion ensured enough data to generate meaningful statistics during our PERMANOVA. The final database is summarized in Table 1.1. The genus-level phylogenetic tree was generated from concatenated protein sequence alignments published in </w:t>
      </w:r>
      <w:r w:rsidRPr="00F23F20">
        <w:fldChar w:fldCharType="begin" w:fldLock="1"/>
      </w:r>
      <w:r w:rsidR="00F74F65">
        <w:instrText>ADDIN CSL_CITATION {"citationItems":[{"id":"ITEM-1","itemData":{"DOI":"10.1038/nbt.4229","ISBN":"1101-1262","ISSN":"1087-0156","PMID":"30148503","abstract":"Taxonomy is a fundamental organizing principle of biology, which ideally should be based on evolutionary relationships. Microbial taxonomy has been greatly restricted by the inability to obtain most microorganisms in pure culture and, to a lesser degree, the historical use of phenotypic properties as the basis for classification. However, we are now at the point of obtaining genome sequences broadly representative of microbial diversity by using culture-independent techniques, which provide the opportunity to develop a comprehensive genome-based taxonomy. Here we propose a standardized bacterial taxonomy based on a concatenated protein phylogeny that conservatively removes polyphyletic groups and normalizes ranks based on relative evolutionary divergence. From 94,759 bacterial genomes, 99 phyla are described including six major normalized monophyletic units from the subdivision of the Proteobacteria, and amalgamation of the Candidate Phyla Radiation into the single phylum Patescibacteria. In total, 73% of taxa had one or more changes to their existing taxonomy.","author":[{"dropping-particle":"","family":"Parks","given":"Donovan H","non-dropping-particle":"","parse-names":false,"suffix":""},{"dropping-particle":"","family":"Chuvochina","given":"Maria","non-dropping-particle":"","parse-names":false,"suffix":""},{"dropping-particle":"","family":"Waite","given":"David W","non-dropping-particle":"","parse-names":false,"suffix":""},{"dropping-particle":"","family":"Rinke","given":"Christian","non-dropping-particle":"","parse-names":false,"suffix":""},{"dropping-particle":"","family":"Skarshewski","given":"Adam","non-dropping-particle":"","parse-names":false,"suffix":""},{"dropping-particle":"","family":"Chaumeil","given":"Pierre-Alain","non-dropping-particle":"","parse-names":false,"suffix":""},{"dropping-particle":"","family":"Hugenholtz","given":"Philip","non-dropping-particle":"","parse-names":false,"suffix":""}],"container-title":"Nature Biotechnology","id":"ITEM-1","issue":"10","issued":{"date-parts":[["2018"]]},"page":"996-1004","title":"A standardized bacterial taxonomy based on genome phylogeny substantially revises the tree of life","type":"article-journal","volume":"36"},"uris":["http://www.mendeley.com/documents/?uuid=c230d0f1-0711-4b60-bb3c-207f7cf49c63"]}],"mendeley":{"formattedCitation":"(10)","plainTextFormattedCitation":"(10)","previouslyFormattedCitation":"(10)"},"properties":{"noteIndex":0},"schema":"https://github.com/citation-style-language/schema/raw/master/csl-citation.json"}</w:instrText>
      </w:r>
      <w:r w:rsidRPr="00F23F20">
        <w:fldChar w:fldCharType="separate"/>
      </w:r>
      <w:bookmarkStart w:id="61" w:name="__Fieldmark__338_3131557954"/>
      <w:bookmarkStart w:id="62" w:name="__Fieldmark__584_2938955102"/>
      <w:r w:rsidR="004620D1" w:rsidRPr="004620D1">
        <w:rPr>
          <w:noProof/>
        </w:rPr>
        <w:t>(10)</w:t>
      </w:r>
      <w:r w:rsidRPr="00F23F20">
        <w:fldChar w:fldCharType="end"/>
      </w:r>
      <w:bookmarkEnd w:id="61"/>
      <w:bookmarkEnd w:id="62"/>
      <w:r w:rsidRPr="00F23F20">
        <w:t>.</w:t>
      </w:r>
    </w:p>
    <w:p w14:paraId="48AF9E47" w14:textId="77777777" w:rsidR="00365526" w:rsidRPr="00F23F20" w:rsidRDefault="00365526" w:rsidP="00365526">
      <w:pPr>
        <w:pStyle w:val="Heading3"/>
        <w:rPr>
          <w:highlight w:val="white"/>
        </w:rPr>
      </w:pPr>
      <w:bookmarkStart w:id="63" w:name="_Toc41908083"/>
      <w:r w:rsidRPr="00F23F20">
        <w:rPr>
          <w:highlight w:val="white"/>
        </w:rPr>
        <w:t>COG Functional Category Identification, Enumeration, and Normalization</w:t>
      </w:r>
      <w:bookmarkEnd w:id="63"/>
      <w:r w:rsidRPr="00F23F20">
        <w:rPr>
          <w:highlight w:val="white"/>
        </w:rPr>
        <w:t xml:space="preserve"> </w:t>
      </w:r>
    </w:p>
    <w:p w14:paraId="1457EB5A" w14:textId="3653941B" w:rsidR="00365526" w:rsidRPr="00F23F20" w:rsidRDefault="00365526" w:rsidP="00365526">
      <w:pPr>
        <w:pStyle w:val="LO-normal"/>
      </w:pPr>
      <w:r w:rsidRPr="00F23F20">
        <w:rPr>
          <w:highlight w:val="white"/>
        </w:rPr>
        <w:t xml:space="preserve">Genes were predicted from individual genomes and translated into protein sequences using Prodigal v.2.6.3 </w:t>
      </w:r>
      <w:r w:rsidRPr="00F23F20">
        <w:fldChar w:fldCharType="begin" w:fldLock="1"/>
      </w:r>
      <w:r w:rsidR="00307058">
        <w:instrText>ADDIN CSL_CITATION {"citationItems":[{"id":"ITEM-1","itemData":{"DOI":"10.1186/1471-2105-11-119","ISBN":"1471-2105 (Electronic)\\r1471-2105 (Linking)","ISSN":"1471-2105","PMID":"20211023","abstract":"BACKGROUND The quality of automated gene prediction in microbial organisms has improved steadily over the past decade, but there is still room for improvement. Increasing the number of correct identifications, both of genes and of the translation initiation sites for each gene, and reducing the overall number of false positives, are all desirable goals. RESULTS With our years of experience in manually curating genomes for the Joint Genome Institute, we developed a new gene prediction algorithm called Prodigal (PROkaryotic DYnamic programming Gene-finding ALgorithm). With Prodigal, we focused specifically on the three goals of improved gene structure prediction, improved translation initiation site recognition, and reduced false positives. We compared the results of Prodigal to existing gene-finding methods to demonstrate that it met each of these objectives. CONCLUSION We built a fast, lightweight, open source gene prediction program called Prodigal http://compbio.ornl.gov/prodigal/. Prodigal achieved good results compared to existing methods, and we believe it will be a valuable asset to automated microbial annotation pipelines.","author":[{"dropping-particle":"","family":"Hyatt","given":"Doug","non-dropping-particle":"","parse-names":false,"suffix":""},{"dropping-particle":"","family":"Chen","given":"Gwo-Liang","non-dropping-particle":"","parse-names":false,"suffix":""},{"dropping-particle":"","family":"LoCascio","given":"Philip F","non-dropping-particle":"","parse-names":false,"suffix":""},{"dropping-particle":"","family":"Land","given":"Miriam L","non-dropping-particle":"","parse-names":false,"suffix":""},{"dropping-particle":"","family":"Larimer","given":"Frank W","non-dropping-particle":"","parse-names":false,"suffix":""},{"dropping-particle":"","family":"Hauser","given":"Loren J","non-dropping-particle":"","parse-names":false,"suffix":""}],"container-title":"BMC Bioinformatics","id":"ITEM-1","issue":"1","issued":{"date-parts":[["2010"]]},"page":"119","title":"Prodigal: prokaryotic gene recognition and translation initiation site identification","type":"article-journal","volume":"11"},"uris":["http://www.mendeley.com/documents/?uuid=0971cbe3-f831-46fe-b489-cecbaa48c5c5"]}],"mendeley":{"formattedCitation":"(40)","plainTextFormattedCitation":"(40)","previouslyFormattedCitation":"(39)"},"properties":{"noteIndex":0},"schema":"https://github.com/citation-style-language/schema/raw/master/csl-citation.json"}</w:instrText>
      </w:r>
      <w:r w:rsidRPr="00F23F20">
        <w:fldChar w:fldCharType="separate"/>
      </w:r>
      <w:bookmarkStart w:id="64" w:name="__Fieldmark__348_3131557954"/>
      <w:bookmarkStart w:id="65" w:name="__Fieldmark__593_2938955102"/>
      <w:r w:rsidR="00307058" w:rsidRPr="00307058">
        <w:rPr>
          <w:noProof/>
          <w:highlight w:val="white"/>
        </w:rPr>
        <w:t>(40)</w:t>
      </w:r>
      <w:r w:rsidRPr="00F23F20">
        <w:fldChar w:fldCharType="end"/>
      </w:r>
      <w:bookmarkEnd w:id="64"/>
      <w:bookmarkEnd w:id="65"/>
      <w:r w:rsidRPr="00F23F20">
        <w:rPr>
          <w:highlight w:val="white"/>
        </w:rPr>
        <w:t xml:space="preserve">. The resulting protein sequences were analyzed for COGs </w:t>
      </w:r>
      <w:r w:rsidRPr="00F23F20">
        <w:fldChar w:fldCharType="begin" w:fldLock="1"/>
      </w:r>
      <w:r w:rsidR="00307058">
        <w:instrText>ADDIN CSL_CITATION {"citationItems":[{"id":"ITEM-1","itemData":{"DOI":"10.1093/nar/28.1.33","ISBN":"0305-1048 (Print)\\n0305-1048 (Linking)","ISSN":"13624962","PMID":"10592175","abstract":"Rational classification of proteins encoded in sequenced genomes is critical for making the genome sequences maximally useful for functional and evolutionary studies. The database of Clusters of Orthologous Groups of proteins (COGs) is an attempt on a phylogenetic classification of the proteins encoded in 21 complete genomes of bacteria, archaea and eukaryotes (http://www. ncbi.nlm. nih.gov/COG). The COGs were constructed by applying the criterion of consistency of genome-specific best hits to the results of an exhaustive comparison of all protein sequences from these genomes. The database comprises 2091 COGs that include 56-83% of the gene products from each of the complete bacterial and archaeal genomes and approximately 35% of those from the yeast Saccharomyces cerevisiae genome. The COG database is accompanied by the COGNITOR program that is used to fit new proteins into the COGs and can be applied to functional and phylogenetic annotation of newly sequenced genomes.","author":[{"dropping-particle":"","family":"Tatusov","given":"Roman L.","non-dropping-particle":"","parse-names":false,"suffix":""},{"dropping-particle":"","family":"Galperin","given":"Michael Y.","non-dropping-particle":"","parse-names":false,"suffix":""},{"dropping-particle":"","family":"Natale","given":"Darren A.","non-dropping-particle":"","parse-names":false,"suffix":""},{"dropping-particle":"V.","family":"Koonin","given":"Eugene","non-dropping-particle":"","parse-names":false,"suffix":""}],"container-title":"Nucleic Acids Research","id":"ITEM-1","issue":"1","issued":{"date-parts":[["2000"]]},"page":"33-36","title":"The COG database: a tool for genome-scale analysis of protein functions and evolution","type":"article-journal","volume":"28"},"uris":["http://www.mendeley.com/documents/?uuid=e0fbbb96-460b-4b22-9b4e-bf0e2218af6f"]}],"mendeley":{"formattedCitation":"(24)","plainTextFormattedCitation":"(24)","previouslyFormattedCitation":"(23)"},"properties":{"noteIndex":0},"schema":"https://github.com/citation-style-language/schema/raw/master/csl-citation.json"}</w:instrText>
      </w:r>
      <w:r w:rsidRPr="00F23F20">
        <w:fldChar w:fldCharType="separate"/>
      </w:r>
      <w:bookmarkStart w:id="66" w:name="__Fieldmark__355_3131557954"/>
      <w:bookmarkStart w:id="67" w:name="__Fieldmark__599_2938955102"/>
      <w:r w:rsidR="00307058" w:rsidRPr="00307058">
        <w:rPr>
          <w:noProof/>
          <w:highlight w:val="white"/>
        </w:rPr>
        <w:t>(24)</w:t>
      </w:r>
      <w:r w:rsidRPr="00F23F20">
        <w:fldChar w:fldCharType="end"/>
      </w:r>
      <w:bookmarkEnd w:id="66"/>
      <w:bookmarkEnd w:id="67"/>
      <w:r w:rsidRPr="00F23F20">
        <w:rPr>
          <w:highlight w:val="white"/>
        </w:rPr>
        <w:t xml:space="preserve">. COG position-specific scoring matrices (PSSMs) were downloaded from NCBI’s Conserved Domain Database (27 March 2017 definitions). COG PSSMs were </w:t>
      </w:r>
      <w:proofErr w:type="spellStart"/>
      <w:r w:rsidRPr="00F23F20">
        <w:rPr>
          <w:highlight w:val="white"/>
        </w:rPr>
        <w:t>BLASTed</w:t>
      </w:r>
      <w:proofErr w:type="spellEnd"/>
      <w:r w:rsidRPr="00F23F20">
        <w:rPr>
          <w:highlight w:val="white"/>
        </w:rPr>
        <w:t xml:space="preserve"> against protein sequences with the Reverse Position Specific-BLAST (RPS-BLAST) algorithm </w:t>
      </w:r>
      <w:r w:rsidRPr="00F23F20">
        <w:fldChar w:fldCharType="begin" w:fldLock="1"/>
      </w:r>
      <w:r w:rsidR="00307058">
        <w:instrText>ADDIN CSL_CITATION {"citationItems":[{"id":"ITEM-1","itemData":{"DOI":"10.1093/nar/gkh454","ISBN":"1362-4962 (Electronic)\\r0305-1048 (Linking)","ISSN":"03051048","PMID":"15215404","abstract":"We describe the Conserved Domain Search service (CD-Search), a web-based tool for the detection of structural and functional domains in protein sequences. CD-Search uses BLAST(R) heuristics to provide a fast, interactive service, and searches a comprehensive collection of domain models. Search results are displayed as domain architecture cartoons and pairwise alignments between the query and domain-model consensus sequences. Search results may be visualized in further detail by embedding the query sequence into multiple alignment displays and by mapping onto three-dimensional molecular graphic displays of known structures within the domain family. CD-Search can be accessed at http://www.ncbi.nlm.nih.gov/Structure/cdd/wrpsb.cgi.","author":[{"dropping-particle":"","family":"Marchler-Bauer","given":"Aron","non-dropping-particle":"","parse-names":false,"suffix":""},{"dropping-particle":"","family":"Bryant","given":"Stephen H.","non-dropping-particle":"","parse-names":false,"suffix":""}],"container-title":"Nucleic Acids Research","id":"ITEM-1","issue":"WEB SERVER ISS.","issued":{"date-parts":[["2004"]]},"page":"W327-W331","title":"CD-Search: Protein domain annotations on the fly","type":"article-journal","volume":"32"},"uris":["http://www.mendeley.com/documents/?uuid=b7135aa1-439b-4b2e-89b6-63268727e157"]}],"mendeley":{"formattedCitation":"(41)","plainTextFormattedCitation":"(41)","previouslyFormattedCitation":"(40)"},"properties":{"noteIndex":0},"schema":"https://github.com/citation-style-language/schema/raw/master/csl-citation.json"}</w:instrText>
      </w:r>
      <w:r w:rsidRPr="00F23F20">
        <w:fldChar w:fldCharType="separate"/>
      </w:r>
      <w:bookmarkStart w:id="68" w:name="__Fieldmark__362_3131557954"/>
      <w:bookmarkStart w:id="69" w:name="__Fieldmark__607_2938955102"/>
      <w:r w:rsidR="00307058" w:rsidRPr="00307058">
        <w:rPr>
          <w:noProof/>
          <w:highlight w:val="white"/>
        </w:rPr>
        <w:t>(41)</w:t>
      </w:r>
      <w:r w:rsidRPr="00F23F20">
        <w:fldChar w:fldCharType="end"/>
      </w:r>
      <w:bookmarkEnd w:id="68"/>
      <w:bookmarkEnd w:id="69"/>
      <w:r w:rsidRPr="00F23F20">
        <w:rPr>
          <w:highlight w:val="white"/>
        </w:rPr>
        <w:t>. Following previously a reported protocol</w:t>
      </w:r>
      <w:r w:rsidR="00133AC0">
        <w:rPr>
          <w:highlight w:val="white"/>
        </w:rPr>
        <w:t xml:space="preserve"> </w:t>
      </w:r>
      <w:r w:rsidR="00133AC0">
        <w:rPr>
          <w:highlight w:val="white"/>
        </w:rPr>
        <w:fldChar w:fldCharType="begin" w:fldLock="1"/>
      </w:r>
      <w:r w:rsidR="00307058">
        <w:rPr>
          <w:highlight w:val="white"/>
        </w:rPr>
        <w:instrText>ADDIN CSL_CITATION {"citationItems":[{"id":"ITEM-1","itemData":{"DOI":"10.1093/nar/gkh454","ISBN":"1362-4962 (Electronic)\\r0305-1048 (Linking)","ISSN":"03051048","PMID":"15215404","abstract":"We describe the Conserved Domain Search service (CD-Search), a web-based tool for the detection of structural and functional domains in protein sequences. CD-Search uses BLAST(R) heuristics to provide a fast, interactive service, and searches a comprehensive collection of domain models. Search results are displayed as domain architecture cartoons and pairwise alignments between the query and domain-model consensus sequences. Search results may be visualized in further detail by embedding the query sequence into multiple alignment displays and by mapping onto three-dimensional molecular graphic displays of known structures within the domain family. CD-Search can be accessed at http://www.ncbi.nlm.nih.gov/Structure/cdd/wrpsb.cgi.","author":[{"dropping-particle":"","family":"Marchler-Bauer","given":"Aron","non-dropping-particle":"","parse-names":false,"suffix":""},{"dropping-particle":"","family":"Bryant","given":"Stephen H.","non-dropping-particle":"","parse-names":false,"suffix":""}],"container-title":"Nucleic Acids Research","id":"ITEM-1","issue":"WEB SERVER ISS.","issued":{"date-parts":[["2004"]]},"page":"W327-W331","title":"CD-Search: Protein domain annotations on the fly","type":"article-journal","volume":"32"},"uris":["http://www.mendeley.com/documents/?uuid=b7135aa1-439b-4b2e-89b6-63268727e157"]}],"mendeley":{"formattedCitation":"(41)","plainTextFormattedCitation":"(41)","previouslyFormattedCitation":"(40)"},"properties":{"noteIndex":0},"schema":"https://github.com/citation-style-language/schema/raw/master/csl-citation.json"}</w:instrText>
      </w:r>
      <w:r w:rsidR="00133AC0">
        <w:rPr>
          <w:highlight w:val="white"/>
        </w:rPr>
        <w:fldChar w:fldCharType="separate"/>
      </w:r>
      <w:r w:rsidR="00307058" w:rsidRPr="00307058">
        <w:rPr>
          <w:noProof/>
          <w:highlight w:val="white"/>
        </w:rPr>
        <w:t>(41)</w:t>
      </w:r>
      <w:r w:rsidR="00133AC0">
        <w:rPr>
          <w:highlight w:val="white"/>
        </w:rPr>
        <w:fldChar w:fldCharType="end"/>
      </w:r>
      <w:r w:rsidRPr="00F23F20">
        <w:rPr>
          <w:highlight w:val="white"/>
        </w:rPr>
        <w:t xml:space="preserve">, we used an E-value cutoff of 0.01 to assign COGs with RPS-BLAST. The retrieved COGs were assigned to their respective COG functional categories (COG-FCs; 25 in total) and the abundance of each functional category was tabulated using cdd2cog </w:t>
      </w:r>
      <w:r w:rsidRPr="00F23F20">
        <w:fldChar w:fldCharType="begin" w:fldLock="1"/>
      </w:r>
      <w:r w:rsidR="00307058">
        <w:instrText>ADDIN CSL_CITATION {"citationItems":[{"id":"ITEM-1","itemData":{"DOI":"10.1128/genomeA.00753-16","ISSN":"2169-8287","PMID":"27469942","abstract":"&lt;p&gt; The bovine gastrointestinal tract is a natural reservoir for commensal and pathogenic &lt;italic&gt;Escherichia coli&lt;/italic&gt; strains with the ability to cause mastitis. Here, we report the whole-genome sequences of six &lt;italic&gt;E. coli&lt;/italic&gt; isolates from acute mastitis cases and six &lt;italic&gt;E. coli&lt;/italic&gt; isolates from the feces of udder-healthy cows. &lt;/p&gt;","author":[{"dropping-particle":"","family":"Leimbach","given":"Andreas","non-dropping-particle":"","parse-names":false,"suffix":""},{"dropping-particle":"","family":"Poehlein","given":"Anja","non-dropping-particle":"","parse-names":false,"suffix":""},{"dropping-particle":"","family":"Witten","given":"Anika","non-dropping-particle":"","parse-names":false,"suffix":""},{"dropping-particle":"","family":"Wellnitz","given":"Olga","non-dropping-particle":"","parse-names":false,"suffix":""},{"dropping-particle":"","family":"Shpigel","given":"Nahum","non-dropping-particle":"","parse-names":false,"suffix":""},{"dropping-particle":"","family":"Petzl","given":"Wolfram","non-dropping-particle":"","parse-names":false,"suffix":""},{"dropping-particle":"","family":"Zerbe","given":"Holm","non-dropping-particle":"","parse-names":false,"suffix":""},{"dropping-particle":"","family":"Daniel","given":"Rolf","non-dropping-particle":"","parse-names":false,"suffix":""},{"dropping-particle":"","family":"Dobrindt","given":"Ulrich","non-dropping-particle":"","parse-names":false,"suffix":""}],"container-title":"Genome Announcements","id":"ITEM-1","issue":"4","issued":{"date-parts":[["2016"]]},"page":"e00753-16","title":"Whole-Genome Draft Sequences of Six Commensal Fecal and Six Mastitis-Associated &lt;i&gt;Escherichia coli&lt;/i&gt; Strains of Bovine Origin: TABLE 1","type":"article-journal","volume":"4"},"uris":["http://www.mendeley.com/documents/?uuid=0e823276-baaf-4d0b-93a6-2fdcefdcc161"]}],"mendeley":{"formattedCitation":"(42)","plainTextFormattedCitation":"(42)","previouslyFormattedCitation":"(41)"},"properties":{"noteIndex":0},"schema":"https://github.com/citation-style-language/schema/raw/master/csl-citation.json"}</w:instrText>
      </w:r>
      <w:r w:rsidRPr="00F23F20">
        <w:fldChar w:fldCharType="separate"/>
      </w:r>
      <w:bookmarkStart w:id="70" w:name="__Fieldmark__371_3131557954"/>
      <w:bookmarkStart w:id="71" w:name="__Fieldmark__615_2938955102"/>
      <w:r w:rsidR="00307058" w:rsidRPr="00307058">
        <w:rPr>
          <w:noProof/>
          <w:highlight w:val="white"/>
        </w:rPr>
        <w:t>(42)</w:t>
      </w:r>
      <w:r w:rsidRPr="00F23F20">
        <w:fldChar w:fldCharType="end"/>
      </w:r>
      <w:bookmarkEnd w:id="70"/>
      <w:bookmarkEnd w:id="71"/>
      <w:r w:rsidRPr="00F23F20">
        <w:rPr>
          <w:highlight w:val="white"/>
        </w:rPr>
        <w:t xml:space="preserve"> for each genome. The abundance for individual COG-FCs was normalized by the respective </w:t>
      </w:r>
      <w:r w:rsidRPr="00F23F20">
        <w:rPr>
          <w:highlight w:val="white"/>
        </w:rPr>
        <w:lastRenderedPageBreak/>
        <w:t xml:space="preserve">COG-FC standard deviation across all lineages. For the COG-FCs, extracellular structures and nuclear structures, the standard deviation was 0. Consequently, data could not be normalized, and thus, these two categories were discarded from all analyses. </w:t>
      </w:r>
    </w:p>
    <w:p w14:paraId="0BECA235" w14:textId="797E5A3E" w:rsidR="00365526" w:rsidRPr="00F23F20" w:rsidRDefault="00365526" w:rsidP="00365526">
      <w:pPr>
        <w:pStyle w:val="LO-normal"/>
      </w:pPr>
      <w:r w:rsidRPr="00F23F20">
        <w:rPr>
          <w:highlight w:val="white"/>
        </w:rPr>
        <w:t xml:space="preserve">COG-FC abundances were normalized by their respective regression slopes of COG-FC abundance for a given genome as a function of genome size. COG-FC abundances were modelled as a function of genome size for individual categories using a generalized additive model (GAM) with a smoothing term due to the pairwise response to genome size (Figure 1.3). We used the gam function from the R package, </w:t>
      </w:r>
      <w:proofErr w:type="spellStart"/>
      <w:r w:rsidRPr="00F23F20">
        <w:rPr>
          <w:highlight w:val="white"/>
        </w:rPr>
        <w:t>mgcv</w:t>
      </w:r>
      <w:proofErr w:type="spellEnd"/>
      <w:r w:rsidRPr="00F23F20">
        <w:rPr>
          <w:highlight w:val="white"/>
        </w:rPr>
        <w:t xml:space="preserve"> </w:t>
      </w:r>
      <w:r w:rsidRPr="00F23F20">
        <w:fldChar w:fldCharType="begin" w:fldLock="1"/>
      </w:r>
      <w:r w:rsidR="00307058">
        <w:instrText>ADDIN CSL_CITATION {"citationItems":[{"id":"ITEM-1","itemData":{"author":[{"dropping-particle":"","family":"Wood","given":"Simon","non-dropping-particle":"","parse-names":false,"suffix":""}],"id":"ITEM-1","issued":{"date-parts":[["2017"]]},"title":"mgcv: Mixed GAM Computation Vehicle with GCV/AIC/REML Smoothness Estimation","type":"article-journal"},"uris":["http://www.mendeley.com/documents/?uuid=b347a87a-0d41-44da-8a48-af52dcd7fbb0"]}],"mendeley":{"formattedCitation":"(43)","plainTextFormattedCitation":"(43)","previouslyFormattedCitation":"(42)"},"properties":{"noteIndex":0},"schema":"https://github.com/citation-style-language/schema/raw/master/csl-citation.json"}</w:instrText>
      </w:r>
      <w:r w:rsidRPr="00F23F20">
        <w:fldChar w:fldCharType="separate"/>
      </w:r>
      <w:bookmarkStart w:id="72" w:name="__Fieldmark__380_3131557954"/>
      <w:bookmarkStart w:id="73" w:name="__Fieldmark__624_2938955102"/>
      <w:r w:rsidR="00307058" w:rsidRPr="00307058">
        <w:rPr>
          <w:noProof/>
          <w:highlight w:val="white"/>
        </w:rPr>
        <w:t>(43)</w:t>
      </w:r>
      <w:r w:rsidRPr="00F23F20">
        <w:fldChar w:fldCharType="end"/>
      </w:r>
      <w:bookmarkEnd w:id="72"/>
      <w:bookmarkEnd w:id="73"/>
      <w:r w:rsidRPr="00F23F20">
        <w:rPr>
          <w:highlight w:val="white"/>
        </w:rPr>
        <w:t xml:space="preserve">. In some instances, regression fits were visibly skewed by high-leverage data points. High-leverage data were filtered using the </w:t>
      </w:r>
      <w:proofErr w:type="spellStart"/>
      <w:r w:rsidRPr="00F23F20">
        <w:rPr>
          <w:highlight w:val="white"/>
        </w:rPr>
        <w:t>influence.gam</w:t>
      </w:r>
      <w:proofErr w:type="spellEnd"/>
      <w:r w:rsidRPr="00F23F20">
        <w:rPr>
          <w:highlight w:val="white"/>
        </w:rPr>
        <w:t xml:space="preserve"> function in the </w:t>
      </w:r>
      <w:proofErr w:type="spellStart"/>
      <w:r w:rsidRPr="00F23F20">
        <w:rPr>
          <w:highlight w:val="white"/>
        </w:rPr>
        <w:t>mgcv</w:t>
      </w:r>
      <w:proofErr w:type="spellEnd"/>
      <w:r w:rsidRPr="00F23F20">
        <w:rPr>
          <w:highlight w:val="white"/>
        </w:rPr>
        <w:t xml:space="preserve"> package. Data in the 99.5% percentile for influence were excluded when performing regression analysis but were included in all downstream analyses. All regressions were significant with </w:t>
      </w:r>
      <w:r w:rsidRPr="00F23F20">
        <w:rPr>
          <w:i/>
          <w:highlight w:val="white"/>
        </w:rPr>
        <w:t>p</w:t>
      </w:r>
      <w:r w:rsidRPr="00F23F20">
        <w:rPr>
          <w:highlight w:val="white"/>
        </w:rPr>
        <w:t>&lt;0.001.</w:t>
      </w:r>
    </w:p>
    <w:p w14:paraId="10177BD0" w14:textId="77777777" w:rsidR="00365526" w:rsidRPr="00F23F20" w:rsidRDefault="00365526" w:rsidP="00365526">
      <w:pPr>
        <w:pStyle w:val="Heading3"/>
        <w:rPr>
          <w:highlight w:val="white"/>
        </w:rPr>
      </w:pPr>
      <w:bookmarkStart w:id="74" w:name="_Toc41908084"/>
      <w:r w:rsidRPr="00F23F20">
        <w:t>Principal Component Analysis</w:t>
      </w:r>
      <w:r w:rsidRPr="00F23F20">
        <w:rPr>
          <w:highlight w:val="white"/>
        </w:rPr>
        <w:t xml:space="preserve"> (</w:t>
      </w:r>
      <w:r w:rsidRPr="00F23F20">
        <w:t>PCA</w:t>
      </w:r>
      <w:r w:rsidRPr="00F23F20">
        <w:rPr>
          <w:highlight w:val="white"/>
        </w:rPr>
        <w:t>)</w:t>
      </w:r>
      <w:bookmarkEnd w:id="74"/>
    </w:p>
    <w:p w14:paraId="6FF582A6" w14:textId="1B8DAF48" w:rsidR="00365526" w:rsidRPr="00F23F20" w:rsidRDefault="00365526" w:rsidP="00365526">
      <w:pPr>
        <w:pStyle w:val="LO-normal"/>
      </w:pPr>
      <w:r w:rsidRPr="00F23F20">
        <w:rPr>
          <w:highlight w:val="white"/>
        </w:rPr>
        <w:t xml:space="preserve">We performed </w:t>
      </w:r>
      <w:r w:rsidRPr="00F23F20">
        <w:t>PCA</w:t>
      </w:r>
      <w:r w:rsidRPr="00F23F20">
        <w:rPr>
          <w:highlight w:val="white"/>
        </w:rPr>
        <w:t xml:space="preserve"> on the normalized COG-FC abundances and relative abundances. Prior to </w:t>
      </w:r>
      <w:r w:rsidRPr="00F23F20">
        <w:t>PCA</w:t>
      </w:r>
      <w:r w:rsidRPr="00F23F20">
        <w:rPr>
          <w:highlight w:val="white"/>
        </w:rPr>
        <w:t xml:space="preserve">, </w:t>
      </w:r>
      <w:r w:rsidRPr="00F23F20">
        <w:t xml:space="preserve">assumptions of normality were achieved by performing a </w:t>
      </w:r>
      <w:proofErr w:type="spellStart"/>
      <w:r w:rsidRPr="00F23F20">
        <w:t>boxcox</w:t>
      </w:r>
      <w:proofErr w:type="spellEnd"/>
      <w:r w:rsidRPr="00F23F20">
        <w:t xml:space="preserve"> transformation on individual COG-FC abundance and relative abundance distributions with the </w:t>
      </w:r>
      <w:proofErr w:type="spellStart"/>
      <w:r w:rsidRPr="00F23F20">
        <w:t>boxcox</w:t>
      </w:r>
      <w:proofErr w:type="spellEnd"/>
      <w:r w:rsidRPr="00F23F20">
        <w:t xml:space="preserve"> function from the R Package, MASS </w:t>
      </w:r>
      <w:r w:rsidRPr="00F23F20">
        <w:fldChar w:fldCharType="begin" w:fldLock="1"/>
      </w:r>
      <w:r w:rsidR="00307058">
        <w:instrText>ADDIN CSL_CITATION {"citationItems":[{"id":"ITEM-1","itemData":{"author":[{"dropping-particle":"","family":"Venables","given":"W.N.","non-dropping-particle":"","parse-names":false,"suffix":""},{"dropping-particle":"","family":"Ripley","given":"B.D.","non-dropping-particle":"","parse-names":false,"suffix":""}],"id":"ITEM-1","issued":{"date-parts":[["2002"]]},"number":"7.3.49","publisher":"Springer","publisher-place":"New York","title":"Modern Applied Statistics with S","type":"article"},"uris":["http://www.mendeley.com/documents/?uuid=f6439aca-47e7-45ac-af29-52c064fae245"]}],"mendeley":{"formattedCitation":"(44)","plainTextFormattedCitation":"(44)","previouslyFormattedCitation":"(43)"},"properties":{"noteIndex":0},"schema":"https://github.com/citation-style-language/schema/raw/master/csl-citation.json"}</w:instrText>
      </w:r>
      <w:r w:rsidRPr="00F23F20">
        <w:fldChar w:fldCharType="separate"/>
      </w:r>
      <w:bookmarkStart w:id="75" w:name="__Fieldmark__400_3131557954"/>
      <w:bookmarkStart w:id="76" w:name="__Fieldmark__659_2938955102"/>
      <w:r w:rsidR="00307058" w:rsidRPr="00307058">
        <w:rPr>
          <w:noProof/>
        </w:rPr>
        <w:t>(44)</w:t>
      </w:r>
      <w:r w:rsidRPr="00F23F20">
        <w:fldChar w:fldCharType="end"/>
      </w:r>
      <w:bookmarkEnd w:id="75"/>
      <w:bookmarkEnd w:id="76"/>
      <w:r w:rsidRPr="00F23F20">
        <w:t xml:space="preserve">. </w:t>
      </w:r>
      <w:r w:rsidRPr="00F23F20">
        <w:rPr>
          <w:highlight w:val="white"/>
        </w:rPr>
        <w:t xml:space="preserve">The resulting </w:t>
      </w:r>
      <w:r w:rsidRPr="00F23F20">
        <w:t>distributions</w:t>
      </w:r>
      <w:r w:rsidRPr="00F23F20">
        <w:rPr>
          <w:highlight w:val="white"/>
        </w:rPr>
        <w:t xml:space="preserve"> were then scaled by the respective </w:t>
      </w:r>
      <w:r w:rsidRPr="00F23F20">
        <w:t>COG-FC</w:t>
      </w:r>
      <w:r w:rsidRPr="00F23F20">
        <w:rPr>
          <w:highlight w:val="white"/>
        </w:rPr>
        <w:t xml:space="preserve"> standard deviation calculated</w:t>
      </w:r>
      <w:r w:rsidRPr="00F23F20">
        <w:t xml:space="preserve"> from </w:t>
      </w:r>
      <w:r w:rsidRPr="00F23F20">
        <w:rPr>
          <w:highlight w:val="white"/>
        </w:rPr>
        <w:t xml:space="preserve">all genomes. </w:t>
      </w:r>
      <w:r w:rsidRPr="00F23F20">
        <w:t>PCA</w:t>
      </w:r>
      <w:r w:rsidRPr="00F23F20">
        <w:rPr>
          <w:highlight w:val="white"/>
        </w:rPr>
        <w:t xml:space="preserve"> was performed using the </w:t>
      </w:r>
      <w:proofErr w:type="spellStart"/>
      <w:r w:rsidRPr="00F23F20">
        <w:t>princomp</w:t>
      </w:r>
      <w:proofErr w:type="spellEnd"/>
      <w:r w:rsidRPr="00F23F20">
        <w:rPr>
          <w:highlight w:val="white"/>
        </w:rPr>
        <w:t xml:space="preserve"> function from the R package, </w:t>
      </w:r>
      <w:r w:rsidRPr="00F23F20">
        <w:t>stats</w:t>
      </w:r>
      <w:r w:rsidRPr="00F23F20">
        <w:rPr>
          <w:highlight w:val="white"/>
        </w:rPr>
        <w:t xml:space="preserve"> </w:t>
      </w:r>
      <w:r w:rsidRPr="00F23F20">
        <w:fldChar w:fldCharType="begin" w:fldLock="1"/>
      </w:r>
      <w:r w:rsidR="00307058">
        <w:instrText>ADDIN CSL_CITATION {"citationItems":[{"id":"ITEM-1","itemData":{"author":[{"dropping-particle":"","family":"R Core Team","given":"","non-dropping-particle":"","parse-names":false,"suffix":""}],"id":"ITEM-1","issued":{"date-parts":[["2018"]]},"publisher-place":"Vienna, Austria","title":"R: A Language and Environmen for Statistical Computing","type":"article"},"uris":["http://www.mendeley.com/documents/?uuid=a00ae3db-0995-41de-8dde-5afa9f37b8d9"]}],"mendeley":{"formattedCitation":"(45)","plainTextFormattedCitation":"(45)","previouslyFormattedCitation":"(44)"},"properties":{"noteIndex":0},"schema":"https://github.com/citation-style-language/schema/raw/master/csl-citation.json"}</w:instrText>
      </w:r>
      <w:r w:rsidRPr="00F23F20">
        <w:fldChar w:fldCharType="separate"/>
      </w:r>
      <w:bookmarkStart w:id="77" w:name="__Fieldmark__420_3131557954"/>
      <w:bookmarkStart w:id="78" w:name="__Fieldmark__677_2938955102"/>
      <w:r w:rsidR="00307058" w:rsidRPr="00307058">
        <w:rPr>
          <w:noProof/>
          <w:highlight w:val="white"/>
        </w:rPr>
        <w:t>(45)</w:t>
      </w:r>
      <w:r w:rsidRPr="00F23F20">
        <w:fldChar w:fldCharType="end"/>
      </w:r>
      <w:bookmarkEnd w:id="77"/>
      <w:bookmarkEnd w:id="78"/>
      <w:r w:rsidRPr="00F23F20">
        <w:rPr>
          <w:highlight w:val="white"/>
        </w:rPr>
        <w:t xml:space="preserve">. </w:t>
      </w:r>
    </w:p>
    <w:p w14:paraId="38A1FAF7" w14:textId="77777777" w:rsidR="00365526" w:rsidRPr="00F23F20" w:rsidRDefault="00365526" w:rsidP="00365526">
      <w:pPr>
        <w:pStyle w:val="Heading3"/>
        <w:rPr>
          <w:highlight w:val="white"/>
        </w:rPr>
      </w:pPr>
      <w:bookmarkStart w:id="79" w:name="_Toc41908085"/>
      <w:r w:rsidRPr="00F23F20">
        <w:rPr>
          <w:highlight w:val="white"/>
        </w:rPr>
        <w:lastRenderedPageBreak/>
        <w:t>Quantifying COG-FC Variance Explained by Taxonomic Rank</w:t>
      </w:r>
      <w:bookmarkEnd w:id="79"/>
      <w:r w:rsidRPr="00F23F20">
        <w:rPr>
          <w:highlight w:val="white"/>
        </w:rPr>
        <w:t xml:space="preserve"> </w:t>
      </w:r>
    </w:p>
    <w:p w14:paraId="3925957F" w14:textId="784B05F0" w:rsidR="00365526" w:rsidRPr="00F23F20" w:rsidRDefault="00365526" w:rsidP="00365526">
      <w:pPr>
        <w:pStyle w:val="LO-normal"/>
      </w:pPr>
      <w:r w:rsidRPr="00F23F20">
        <w:rPr>
          <w:highlight w:val="white"/>
        </w:rPr>
        <w:t xml:space="preserve">We performed permutational multivariate analysis of variance (PERMANOVA) using the </w:t>
      </w:r>
      <w:proofErr w:type="spellStart"/>
      <w:r w:rsidRPr="00F23F20">
        <w:rPr>
          <w:highlight w:val="white"/>
        </w:rPr>
        <w:t>adonis</w:t>
      </w:r>
      <w:proofErr w:type="spellEnd"/>
      <w:r w:rsidRPr="00F23F20">
        <w:rPr>
          <w:highlight w:val="white"/>
        </w:rPr>
        <w:t xml:space="preserve"> function from the R package, vegan </w:t>
      </w:r>
      <w:r w:rsidRPr="00F23F20">
        <w:fldChar w:fldCharType="begin" w:fldLock="1"/>
      </w:r>
      <w:r w:rsidR="00307058">
        <w:instrText>ADDIN CSL_CITATION {"citationItems":[{"id":"ITEM-1","itemData":{"DOI":"10.1111/j.1654-1103.2003.tb02228.x","ISBN":"1515294404","author":[{"dropping-particle":"","family":"Philip","given":"Dixon","non-dropping-particle":"","parse-names":false,"suffix":""}],"container-title":"Journal of Vegetation Science","id":"ITEM-1","issued":{"date-parts":[["2003"]]},"page":"927-930","title":"Computer program review VEGAN , a package of R functions for community ecology","type":"article-journal","volume":"14"},"uris":["http://www.mendeley.com/documents/?uuid=69662946-e0a9-4aac-a689-3e9d9445ab1f"]}],"mendeley":{"formattedCitation":"(46)","plainTextFormattedCitation":"(46)","previouslyFormattedCitation":"(45)"},"properties":{"noteIndex":0},"schema":"https://github.com/citation-style-language/schema/raw/master/csl-citation.json"}</w:instrText>
      </w:r>
      <w:r w:rsidRPr="00F23F20">
        <w:fldChar w:fldCharType="separate"/>
      </w:r>
      <w:bookmarkStart w:id="80" w:name="__Fieldmark__430_3131557954"/>
      <w:bookmarkStart w:id="81" w:name="__Fieldmark__691_2938955102"/>
      <w:r w:rsidR="00307058" w:rsidRPr="00307058">
        <w:rPr>
          <w:noProof/>
          <w:highlight w:val="white"/>
        </w:rPr>
        <w:t>(46)</w:t>
      </w:r>
      <w:r w:rsidRPr="00F23F20">
        <w:fldChar w:fldCharType="end"/>
      </w:r>
      <w:bookmarkEnd w:id="80"/>
      <w:bookmarkEnd w:id="81"/>
      <w:r w:rsidRPr="00F23F20">
        <w:rPr>
          <w:highlight w:val="white"/>
        </w:rPr>
        <w:t xml:space="preserve">. The taxonomic ranks domain, phylum, class, order, family, and genus as well as cultured-status were used as test </w:t>
      </w:r>
      <w:r w:rsidRPr="00F23F20">
        <w:t>categorical</w:t>
      </w:r>
      <w:r w:rsidRPr="00F23F20">
        <w:rPr>
          <w:highlight w:val="white"/>
        </w:rPr>
        <w:t xml:space="preserve"> variables for quantifying variance in COG-FC relative abundance explained by the mean taxonomic rank centroids. The default, 999 permutations test, was performed using each categorical variable. Distances were calculated between mean phyla COG-FC relative abundance centroids and the respective genomes within that phyla by performing an analysis of multivariate homogeneity of groups dispersions with the </w:t>
      </w:r>
      <w:proofErr w:type="spellStart"/>
      <w:r w:rsidRPr="00F23F20">
        <w:rPr>
          <w:highlight w:val="white"/>
        </w:rPr>
        <w:t>betadisper</w:t>
      </w:r>
      <w:proofErr w:type="spellEnd"/>
      <w:r w:rsidRPr="00F23F20">
        <w:rPr>
          <w:highlight w:val="white"/>
        </w:rPr>
        <w:t xml:space="preserve"> function from the R package, vegan</w:t>
      </w:r>
      <w:r w:rsidR="00133AC0">
        <w:rPr>
          <w:highlight w:val="white"/>
        </w:rPr>
        <w:t xml:space="preserve"> </w:t>
      </w:r>
      <w:r w:rsidR="00133AC0">
        <w:rPr>
          <w:highlight w:val="white"/>
        </w:rPr>
        <w:fldChar w:fldCharType="begin" w:fldLock="1"/>
      </w:r>
      <w:r w:rsidR="00307058">
        <w:rPr>
          <w:highlight w:val="white"/>
        </w:rPr>
        <w:instrText>ADDIN CSL_CITATION {"citationItems":[{"id":"ITEM-1","itemData":{"DOI":"10.1111/j.1654-1103.2003.tb02228.x","ISBN":"1515294404","author":[{"dropping-particle":"","family":"Philip","given":"Dixon","non-dropping-particle":"","parse-names":false,"suffix":""}],"container-title":"Journal of Vegetation Science","id":"ITEM-1","issued":{"date-parts":[["2003"]]},"page":"927-930","title":"Computer program review VEGAN , a package of R functions for community ecology","type":"article-journal","volume":"14"},"uris":["http://www.mendeley.com/documents/?uuid=69662946-e0a9-4aac-a689-3e9d9445ab1f"]}],"mendeley":{"formattedCitation":"(46)","plainTextFormattedCitation":"(46)","previouslyFormattedCitation":"(45)"},"properties":{"noteIndex":0},"schema":"https://github.com/citation-style-language/schema/raw/master/csl-citation.json"}</w:instrText>
      </w:r>
      <w:r w:rsidR="00133AC0">
        <w:rPr>
          <w:highlight w:val="white"/>
        </w:rPr>
        <w:fldChar w:fldCharType="separate"/>
      </w:r>
      <w:r w:rsidR="00307058" w:rsidRPr="00307058">
        <w:rPr>
          <w:noProof/>
          <w:highlight w:val="white"/>
        </w:rPr>
        <w:t>(46)</w:t>
      </w:r>
      <w:r w:rsidR="00133AC0">
        <w:rPr>
          <w:highlight w:val="white"/>
        </w:rPr>
        <w:fldChar w:fldCharType="end"/>
      </w:r>
      <w:r w:rsidRPr="00F23F20">
        <w:rPr>
          <w:highlight w:val="white"/>
        </w:rPr>
        <w:t xml:space="preserve">. The distance matrix used for both the </w:t>
      </w:r>
      <w:proofErr w:type="spellStart"/>
      <w:r w:rsidRPr="00F23F20">
        <w:rPr>
          <w:highlight w:val="white"/>
        </w:rPr>
        <w:t>adonis</w:t>
      </w:r>
      <w:proofErr w:type="spellEnd"/>
      <w:r w:rsidRPr="00F23F20">
        <w:rPr>
          <w:highlight w:val="white"/>
        </w:rPr>
        <w:t xml:space="preserve"> and </w:t>
      </w:r>
      <w:proofErr w:type="spellStart"/>
      <w:r w:rsidRPr="00F23F20">
        <w:rPr>
          <w:highlight w:val="white"/>
        </w:rPr>
        <w:t>betadisper</w:t>
      </w:r>
      <w:proofErr w:type="spellEnd"/>
      <w:r w:rsidRPr="00F23F20">
        <w:rPr>
          <w:highlight w:val="white"/>
        </w:rPr>
        <w:t xml:space="preserve"> analyses was generated calculating Euclidean distance on the normalized COG-FC relative abundance. </w:t>
      </w:r>
    </w:p>
    <w:p w14:paraId="71E4F2B7" w14:textId="77777777" w:rsidR="00365526" w:rsidRPr="00F23F20" w:rsidRDefault="00365526" w:rsidP="00365526">
      <w:pPr>
        <w:pStyle w:val="LO-normal"/>
      </w:pPr>
      <w:r w:rsidRPr="00F23F20">
        <w:t>The mean log</w:t>
      </w:r>
      <w:r w:rsidRPr="00F23F20">
        <w:rPr>
          <w:vertAlign w:val="subscript"/>
        </w:rPr>
        <w:t>10</w:t>
      </w:r>
      <w:r w:rsidRPr="00F23F20">
        <w:t>-distance from phylum centroid for each phylum and modeled with the following equation, which represents a hyperbola shifted on the x-axis to ensure that mean distance is zero when n = 1:</w:t>
      </w:r>
    </w:p>
    <w:p w14:paraId="77403E8E" w14:textId="77777777" w:rsidR="00365526" w:rsidRPr="00F23F20" w:rsidRDefault="002A3883" w:rsidP="00365526">
      <w:pPr>
        <w:pStyle w:val="LO-normal"/>
        <w:ind w:firstLine="0"/>
      </w:pPr>
      <m:oMath>
        <m:sSub>
          <m:sSubPr>
            <m:ctrlPr>
              <w:rPr>
                <w:rFonts w:ascii="Cambria Math" w:hAnsi="Cambria Math"/>
              </w:rPr>
            </m:ctrlPr>
          </m:sSubPr>
          <m:e>
            <m:r>
              <w:rPr>
                <w:rFonts w:ascii="Cambria Math" w:hAnsi="Cambria Math"/>
              </w:rPr>
              <m:t>log</m:t>
            </m:r>
          </m:e>
          <m:sub>
            <m:r>
              <w:rPr>
                <w:rFonts w:ascii="Cambria Math" w:hAnsi="Cambria Math"/>
              </w:rPr>
              <m:t>10</m:t>
            </m:r>
          </m:sub>
        </m:sSub>
        <m:d>
          <m:dPr>
            <m:ctrlPr>
              <w:rPr>
                <w:rFonts w:ascii="Cambria Math" w:hAnsi="Cambria Math"/>
              </w:rPr>
            </m:ctrlPr>
          </m:dPr>
          <m:e>
            <m:r>
              <w:rPr>
                <w:rFonts w:ascii="Cambria Math" w:hAnsi="Cambria Math"/>
              </w:rPr>
              <m:t>MeanDistance</m:t>
            </m:r>
          </m:e>
        </m:d>
        <m:r>
          <w:rPr>
            <w:rFonts w:ascii="Cambria Math" w:hAnsi="Cambria Math"/>
          </w:rPr>
          <m:t>=</m:t>
        </m:r>
        <m:f>
          <m:fPr>
            <m:ctrlPr>
              <w:rPr>
                <w:rFonts w:ascii="Cambria Math" w:hAnsi="Cambria Math"/>
              </w:rPr>
            </m:ctrlPr>
          </m:fPr>
          <m:num>
            <m:r>
              <w:rPr>
                <w:rFonts w:ascii="Cambria Math" w:hAnsi="Cambria Math"/>
              </w:rPr>
              <m:t>A</m:t>
            </m:r>
            <m:d>
              <m:dPr>
                <m:ctrlPr>
                  <w:rPr>
                    <w:rFonts w:ascii="Cambria Math" w:hAnsi="Cambria Math"/>
                  </w:rPr>
                </m:ctrlPr>
              </m:dPr>
              <m:e>
                <m:sSub>
                  <m:sSubPr>
                    <m:ctrlPr>
                      <w:rPr>
                        <w:rFonts w:ascii="Cambria Math" w:hAnsi="Cambria Math"/>
                      </w:rPr>
                    </m:ctrlPr>
                  </m:sSubPr>
                  <m:e>
                    <m:r>
                      <w:rPr>
                        <w:rFonts w:ascii="Cambria Math" w:hAnsi="Cambria Math"/>
                      </w:rPr>
                      <m:t>log</m:t>
                    </m:r>
                  </m:e>
                  <m:sub>
                    <m:r>
                      <w:rPr>
                        <w:rFonts w:ascii="Cambria Math" w:hAnsi="Cambria Math"/>
                      </w:rPr>
                      <m:t>10</m:t>
                    </m:r>
                  </m:sub>
                </m:sSub>
                <m:d>
                  <m:dPr>
                    <m:ctrlPr>
                      <w:rPr>
                        <w:rFonts w:ascii="Cambria Math" w:hAnsi="Cambria Math"/>
                      </w:rPr>
                    </m:ctrlPr>
                  </m:dPr>
                  <m:e>
                    <m:r>
                      <w:rPr>
                        <w:rFonts w:ascii="Cambria Math" w:hAnsi="Cambria Math"/>
                      </w:rPr>
                      <m:t>n</m:t>
                    </m:r>
                  </m:e>
                </m:d>
                <m:r>
                  <w:rPr>
                    <w:rFonts w:ascii="Cambria Math" w:hAnsi="Cambria Math"/>
                  </w:rPr>
                  <m:t>-1</m:t>
                </m:r>
              </m:e>
            </m:d>
          </m:num>
          <m:den>
            <m:sSub>
              <m:sSubPr>
                <m:ctrlPr>
                  <w:rPr>
                    <w:rFonts w:ascii="Cambria Math" w:hAnsi="Cambria Math"/>
                  </w:rPr>
                </m:ctrlPr>
              </m:sSubPr>
              <m:e>
                <m:r>
                  <w:rPr>
                    <w:rFonts w:ascii="Cambria Math" w:hAnsi="Cambria Math"/>
                  </w:rPr>
                  <m:t>B+log</m:t>
                </m:r>
              </m:e>
              <m:sub>
                <m:r>
                  <w:rPr>
                    <w:rFonts w:ascii="Cambria Math" w:hAnsi="Cambria Math"/>
                  </w:rPr>
                  <m:t>10</m:t>
                </m:r>
              </m:sub>
            </m:sSub>
            <m:d>
              <m:dPr>
                <m:ctrlPr>
                  <w:rPr>
                    <w:rFonts w:ascii="Cambria Math" w:hAnsi="Cambria Math"/>
                  </w:rPr>
                </m:ctrlPr>
              </m:dPr>
              <m:e>
                <m:r>
                  <w:rPr>
                    <w:rFonts w:ascii="Cambria Math" w:hAnsi="Cambria Math"/>
                  </w:rPr>
                  <m:t>n</m:t>
                </m:r>
              </m:e>
            </m:d>
            <m:r>
              <w:rPr>
                <w:rFonts w:ascii="Cambria Math" w:hAnsi="Cambria Math"/>
              </w:rPr>
              <m:t>-1</m:t>
            </m:r>
          </m:den>
        </m:f>
        <m:r>
          <w:rPr>
            <w:rFonts w:ascii="Cambria Math" w:hAnsi="Cambria Math"/>
          </w:rPr>
          <m:t>+C</m:t>
        </m:r>
      </m:oMath>
      <w:r w:rsidR="00365526" w:rsidRPr="00F23F20">
        <w:tab/>
      </w:r>
      <w:r w:rsidR="00365526" w:rsidRPr="00F23F20">
        <w:tab/>
      </w:r>
      <w:r w:rsidR="00365526" w:rsidRPr="00F23F20">
        <w:tab/>
      </w:r>
      <w:r w:rsidR="00365526" w:rsidRPr="00F23F20">
        <w:tab/>
      </w:r>
      <w:r w:rsidR="00365526" w:rsidRPr="00F23F20">
        <w:tab/>
      </w:r>
      <w:r w:rsidR="00365526" w:rsidRPr="00F23F20">
        <w:tab/>
        <w:t xml:space="preserve">     (1.1</w:t>
      </w:r>
    </w:p>
    <w:p w14:paraId="76ACB2F6" w14:textId="2905DF97" w:rsidR="00365526" w:rsidRPr="00F23F20" w:rsidRDefault="00365526" w:rsidP="00365526">
      <w:pPr>
        <w:pStyle w:val="LO-normal"/>
        <w:ind w:firstLine="0"/>
      </w:pPr>
      <w:r w:rsidRPr="00F23F20">
        <w:t xml:space="preserve">where </w:t>
      </w:r>
      <w:r w:rsidRPr="00F23F20">
        <w:rPr>
          <w:i/>
        </w:rPr>
        <w:t>A</w:t>
      </w:r>
      <w:r w:rsidRPr="00F23F20">
        <w:t xml:space="preserve">, </w:t>
      </w:r>
      <w:r w:rsidRPr="00F23F20">
        <w:rPr>
          <w:i/>
        </w:rPr>
        <w:t>B</w:t>
      </w:r>
      <w:r w:rsidRPr="00F23F20">
        <w:t xml:space="preserve">, and </w:t>
      </w:r>
      <w:r w:rsidRPr="00F23F20">
        <w:rPr>
          <w:i/>
        </w:rPr>
        <w:t>C</w:t>
      </w:r>
      <w:r w:rsidRPr="00F23F20">
        <w:t xml:space="preserve"> are fit coefficients and </w:t>
      </w:r>
      <w:r w:rsidRPr="00F23F20">
        <w:rPr>
          <w:i/>
        </w:rPr>
        <w:t>n</w:t>
      </w:r>
      <w:r w:rsidRPr="00F23F20">
        <w:t xml:space="preserve"> is the total number of lineages in the given phylum. The Akaike Information Criterion was calculated with the fit from eq 1 using the AIC function from the R package, stats </w:t>
      </w:r>
      <w:r w:rsidRPr="00F23F20">
        <w:fldChar w:fldCharType="begin" w:fldLock="1"/>
      </w:r>
      <w:r w:rsidR="00307058">
        <w:instrText>ADDIN CSL_CITATION {"citationItems":[{"id":"ITEM-1","itemData":{"author":[{"dropping-particle":"","family":"R Core Team","given":"","non-dropping-particle":"","parse-names":false,"suffix":""}],"id":"ITEM-1","issued":{"date-parts":[["2018"]]},"publisher-place":"Vienna, Austria","title":"R: A Language and Environmen for Statistical Computing","type":"article"},"uris":["http://www.mendeley.com/documents/?uuid=a00ae3db-0995-41de-8dde-5afa9f37b8d9"]}],"mendeley":{"formattedCitation":"(45)","plainTextFormattedCitation":"(45)","previouslyFormattedCitation":"(44)"},"properties":{"noteIndex":0},"schema":"https://github.com/citation-style-language/schema/raw/master/csl-citation.json"}</w:instrText>
      </w:r>
      <w:r w:rsidRPr="00F23F20">
        <w:fldChar w:fldCharType="separate"/>
      </w:r>
      <w:bookmarkStart w:id="82" w:name="__Fieldmark__462_3131557954"/>
      <w:bookmarkStart w:id="83" w:name="__Fieldmark__731_2938955102"/>
      <w:r w:rsidR="00307058" w:rsidRPr="00307058">
        <w:rPr>
          <w:noProof/>
        </w:rPr>
        <w:t>(45)</w:t>
      </w:r>
      <w:r w:rsidRPr="00F23F20">
        <w:fldChar w:fldCharType="end"/>
      </w:r>
      <w:bookmarkEnd w:id="82"/>
      <w:bookmarkEnd w:id="83"/>
      <w:r w:rsidRPr="00F23F20">
        <w:t>.</w:t>
      </w:r>
    </w:p>
    <w:p w14:paraId="5A5A7E6D" w14:textId="5B1F7048" w:rsidR="00365526" w:rsidRPr="00F23F20" w:rsidRDefault="00365526" w:rsidP="00365526">
      <w:pPr>
        <w:pStyle w:val="LO-normal"/>
        <w:ind w:firstLine="0"/>
      </w:pPr>
      <w:r w:rsidRPr="00F23F20">
        <w:tab/>
        <w:t xml:space="preserve">A variance component model was performed using the </w:t>
      </w:r>
      <w:proofErr w:type="spellStart"/>
      <w:r w:rsidRPr="00F23F20">
        <w:t>lme</w:t>
      </w:r>
      <w:proofErr w:type="spellEnd"/>
      <w:r w:rsidRPr="00F23F20">
        <w:t xml:space="preserve"> function from the R package, </w:t>
      </w:r>
      <w:proofErr w:type="spellStart"/>
      <w:r w:rsidRPr="00F23F20">
        <w:t>nlme</w:t>
      </w:r>
      <w:proofErr w:type="spellEnd"/>
      <w:r w:rsidR="00133AC0">
        <w:t xml:space="preserve"> </w:t>
      </w:r>
      <w:r w:rsidR="00133AC0">
        <w:fldChar w:fldCharType="begin" w:fldLock="1"/>
      </w:r>
      <w:r w:rsidR="00307058">
        <w:instrText>ADDIN CSL_CITATION {"citationItems":[{"id":"ITEM-1","itemData":{"author":[{"dropping-particle":"","family":"J","given":"Pinheiro","non-dropping-particle":"","parse-names":false,"suffix":""},{"dropping-particle":"","family":"Bates D","given":"","non-dropping-particle":"","parse-names":false,"suffix":""},{"dropping-particle":"","family":"S","given":"DebRoy","non-dropping-particle":"","parse-names":false,"suffix":""},{"dropping-particle":"","family":"D","given":"Sakar","non-dropping-particle":"","parse-names":false,"suffix":""},{"dropping-particle":"","family":"R Core Team","given":"","non-dropping-particle":"","parse-names":false,"suffix":""}],"id":"ITEM-1","issued":{"date-parts":[["2019"]]},"number":"R package version 3.1-141.","title":"nlme: linear and nonlinear mixed effects models.","type":"article"},"uris":["http://www.mendeley.com/documents/?uuid=6ef339fc-084e-453f-a8dc-d46f5fde7992"]}],"mendeley":{"formattedCitation":"(47)","plainTextFormattedCitation":"(47)","previouslyFormattedCitation":"(46)"},"properties":{"noteIndex":0},"schema":"https://github.com/citation-style-language/schema/raw/master/csl-citation.json"}</w:instrText>
      </w:r>
      <w:r w:rsidR="00133AC0">
        <w:fldChar w:fldCharType="separate"/>
      </w:r>
      <w:r w:rsidR="00307058" w:rsidRPr="00307058">
        <w:rPr>
          <w:noProof/>
        </w:rPr>
        <w:t>(47)</w:t>
      </w:r>
      <w:r w:rsidR="00133AC0">
        <w:fldChar w:fldCharType="end"/>
      </w:r>
      <w:r w:rsidRPr="00F23F20">
        <w:t xml:space="preserve">. The proportion of variance explained by the taxonomic ranks, </w:t>
      </w:r>
      <w:r w:rsidRPr="00F23F20">
        <w:lastRenderedPageBreak/>
        <w:t>phylum, class, order, family, and genus, was determined for each individual COG-FC. Domain and culture-status were not evaluated due to imprecise results generated from factors that only have 2 groups</w:t>
      </w:r>
      <w:r w:rsidR="0043443F">
        <w:t xml:space="preserve"> </w:t>
      </w:r>
      <w:r w:rsidR="0043443F">
        <w:fldChar w:fldCharType="begin" w:fldLock="1"/>
      </w:r>
      <w:r w:rsidR="00307058">
        <w:instrText>ADDIN CSL_CITATION {"citationItems":[{"id":"ITEM-1","itemData":{"DOI":"10.7717/peerj.4794","abstract":"The use of linear mixed effects models (LMMs) is increasingly common in the analysis of biological data. Whilst LMMs offer a flexible approach to modelling a broad range of data types, ecological data are often complex and require complex model structures, and the fitting and interpretation of such models is not always straightforward. The ability to achieve robust biological inference requires that practitioners know how and when to apply these tools. Here, we provide a general overview of current methods for the application of LMMs to biological data, and highlight the typical pitfalls that can be encountered in the statistical modelling process. We tackle several issues regarding methods of model selection, with particular reference to the use of information theory and multi-model inference in ecology. We offer practical solutions and direct the reader to key references that provide further technical detail for those seeking a deeper understanding. This overview should serve as a widely accessible code of best practice for applying LMMs to complex biological problems and model structures, and in doing so improve the robustness of conclusions drawn from studies investigating ecological and evolutionary questions.","author":[{"dropping-particle":"","family":"Harrison","given":"Xavier A.","non-dropping-particle":"","parse-names":false,"suffix":""},{"dropping-particle":"","family":"Donaldson","given":"Lynda","non-dropping-particle":"","parse-names":false,"suffix":""},{"dropping-particle":"","family":"Correa-Cano","given":"Maria Eugenia","non-dropping-particle":"","parse-names":false,"suffix":""},{"dropping-particle":"","family":"Evans","given":"Julian","non-dropping-particle":"","parse-names":false,"suffix":""},{"dropping-particle":"","family":"Fisher","given":"David N.","non-dropping-particle":"","parse-names":false,"suffix":""},{"dropping-particle":"","family":"Goodwin","given":"Cecily E.D.","non-dropping-particle":"","parse-names":false,"suffix":""},{"dropping-particle":"","family":"Robinson","given":"Beth S.","non-dropping-particle":"","parse-names":false,"suffix":""},{"dropping-particle":"","family":"Hodgson","given":"David J.","non-dropping-particle":"","parse-names":false,"suffix":""},{"dropping-particle":"","family":"Inger","given":"Richard","non-dropping-particle":"","parse-names":false,"suffix":""}],"container-title":"PeerJ","id":"ITEM-1","issued":{"date-parts":[["2018"]]},"page":"e4794","title":"A brief introduction to mixed effects modelling and multi-model inference in ecology","type":"article-journal","volume":"6"},"uris":["http://www.mendeley.com/documents/?uuid=722d2406-c30e-4cdf-9866-ddaafce395ef"]}],"mendeley":{"formattedCitation":"(26)","plainTextFormattedCitation":"(26)","previouslyFormattedCitation":"(25)"},"properties":{"noteIndex":0},"schema":"https://github.com/citation-style-language/schema/raw/master/csl-citation.json"}</w:instrText>
      </w:r>
      <w:r w:rsidR="0043443F">
        <w:fldChar w:fldCharType="separate"/>
      </w:r>
      <w:r w:rsidR="00307058" w:rsidRPr="00307058">
        <w:rPr>
          <w:noProof/>
        </w:rPr>
        <w:t>(26)</w:t>
      </w:r>
      <w:r w:rsidR="0043443F">
        <w:fldChar w:fldCharType="end"/>
      </w:r>
      <w:r w:rsidRPr="00F23F20">
        <w:t>. Lineage was treated as a random intercept, where individual taxonomic ranks were nested within one another in a hierarchical manner (R notation: ~1|phylum/class/order/family/genus). Confidence intervals were determined by performing a 500-iteration bootstrap analysis with the variance component model. During the bootstrap analysis, genomes were randomly sampled with replacement.</w:t>
      </w:r>
    </w:p>
    <w:p w14:paraId="5CB10D90" w14:textId="77777777" w:rsidR="00365526" w:rsidRPr="00F23F20" w:rsidRDefault="00365526" w:rsidP="00365526">
      <w:pPr>
        <w:spacing w:line="480" w:lineRule="auto"/>
        <w:rPr>
          <w:rFonts w:ascii="Times New Roman" w:hAnsi="Times New Roman" w:cs="Times New Roman"/>
          <w:color w:val="000000"/>
          <w:lang w:eastAsia="zh-CN" w:bidi="hi-IN"/>
        </w:rPr>
      </w:pPr>
      <w:r w:rsidRPr="00F23F20">
        <w:rPr>
          <w:rFonts w:ascii="Times New Roman" w:hAnsi="Times New Roman" w:cs="Times New Roman"/>
        </w:rPr>
        <w:br w:type="page"/>
      </w:r>
    </w:p>
    <w:p w14:paraId="0F6231B8" w14:textId="77777777" w:rsidR="00365526" w:rsidRPr="00F23F20" w:rsidRDefault="00365526" w:rsidP="00365526">
      <w:pPr>
        <w:pStyle w:val="Heading2"/>
      </w:pPr>
      <w:bookmarkStart w:id="84" w:name="_Toc427156484"/>
      <w:bookmarkStart w:id="85" w:name="_Toc41908086"/>
      <w:bookmarkStart w:id="86" w:name="_Toc420995899"/>
      <w:bookmarkStart w:id="87" w:name="_Toc422997486"/>
      <w:bookmarkStart w:id="88" w:name="_Toc427156469"/>
      <w:r w:rsidRPr="00F23F20">
        <w:lastRenderedPageBreak/>
        <w:t>Appendix</w:t>
      </w:r>
      <w:bookmarkEnd w:id="84"/>
      <w:r w:rsidRPr="00F23F20">
        <w:t xml:space="preserve"> One</w:t>
      </w:r>
      <w:bookmarkEnd w:id="85"/>
    </w:p>
    <w:p w14:paraId="37F807A4" w14:textId="77777777" w:rsidR="00010D50" w:rsidRPr="00F23F20" w:rsidRDefault="00365526" w:rsidP="00010D50">
      <w:pPr>
        <w:pStyle w:val="Heading3"/>
        <w:numPr>
          <w:ilvl w:val="0"/>
          <w:numId w:val="0"/>
        </w:numPr>
        <w:rPr>
          <w:color w:val="000000"/>
          <w:lang w:eastAsia="zh-CN" w:bidi="hi-IN"/>
        </w:rPr>
      </w:pPr>
      <w:r w:rsidRPr="00F23F20">
        <w:br w:type="page"/>
      </w:r>
      <w:bookmarkStart w:id="89" w:name="_Toc41908087"/>
      <w:r w:rsidR="00010D50" w:rsidRPr="00F23F20">
        <w:lastRenderedPageBreak/>
        <w:t>Tables</w:t>
      </w:r>
      <w:bookmarkEnd w:id="89"/>
    </w:p>
    <w:p w14:paraId="4149FBB7" w14:textId="77777777" w:rsidR="00010D50" w:rsidRPr="00F23F20" w:rsidRDefault="00010D50" w:rsidP="00010D50">
      <w:pPr>
        <w:widowControl w:val="0"/>
        <w:suppressAutoHyphens/>
        <w:autoSpaceDN w:val="0"/>
        <w:spacing w:line="480" w:lineRule="auto"/>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b/>
          <w:kern w:val="3"/>
          <w:lang w:eastAsia="zh-CN" w:bidi="hi-IN"/>
        </w:rPr>
        <w:t xml:space="preserve">Table 1.1. </w:t>
      </w:r>
      <w:r w:rsidRPr="00F23F20">
        <w:rPr>
          <w:rFonts w:ascii="Times New Roman" w:eastAsia="WenQuanYi Zen Hei Sharp" w:hAnsi="Times New Roman" w:cs="Times New Roman"/>
          <w:kern w:val="3"/>
          <w:lang w:eastAsia="zh-CN" w:bidi="hi-IN"/>
        </w:rPr>
        <w:t>A summary of the custom-curated genome database used in this work.</w:t>
      </w:r>
    </w:p>
    <w:tbl>
      <w:tblPr>
        <w:tblW w:w="11070" w:type="dxa"/>
        <w:jc w:val="center"/>
        <w:tblBorders>
          <w:bottom w:val="single" w:sz="18" w:space="0" w:color="auto"/>
        </w:tblBorders>
        <w:tblLayout w:type="fixed"/>
        <w:tblLook w:val="04A0" w:firstRow="1" w:lastRow="0" w:firstColumn="1" w:lastColumn="0" w:noHBand="0" w:noVBand="1"/>
      </w:tblPr>
      <w:tblGrid>
        <w:gridCol w:w="1170"/>
        <w:gridCol w:w="2070"/>
        <w:gridCol w:w="990"/>
        <w:gridCol w:w="990"/>
        <w:gridCol w:w="1080"/>
        <w:gridCol w:w="990"/>
        <w:gridCol w:w="1170"/>
        <w:gridCol w:w="1260"/>
        <w:gridCol w:w="1350"/>
      </w:tblGrid>
      <w:tr w:rsidR="00010D50" w:rsidRPr="00F23F20" w14:paraId="6C37EC14" w14:textId="77777777" w:rsidTr="00E14F7B">
        <w:trPr>
          <w:jc w:val="center"/>
        </w:trPr>
        <w:tc>
          <w:tcPr>
            <w:tcW w:w="1170" w:type="dxa"/>
            <w:tcBorders>
              <w:top w:val="single" w:sz="18" w:space="0" w:color="auto"/>
              <w:bottom w:val="single" w:sz="18" w:space="0" w:color="auto"/>
            </w:tcBorders>
            <w:vAlign w:val="center"/>
          </w:tcPr>
          <w:p w14:paraId="4E4A6CD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Unique</w:t>
            </w:r>
          </w:p>
          <w:p w14:paraId="183ECB1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Domains</w:t>
            </w:r>
          </w:p>
        </w:tc>
        <w:tc>
          <w:tcPr>
            <w:tcW w:w="2070" w:type="dxa"/>
            <w:tcBorders>
              <w:top w:val="single" w:sz="18" w:space="0" w:color="auto"/>
              <w:bottom w:val="single" w:sz="18" w:space="0" w:color="auto"/>
            </w:tcBorders>
            <w:vAlign w:val="center"/>
          </w:tcPr>
          <w:p w14:paraId="3C01769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Unique</w:t>
            </w:r>
          </w:p>
          <w:p w14:paraId="1F302F4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Phyla</w:t>
            </w:r>
          </w:p>
        </w:tc>
        <w:tc>
          <w:tcPr>
            <w:tcW w:w="990" w:type="dxa"/>
            <w:tcBorders>
              <w:top w:val="single" w:sz="18" w:space="0" w:color="auto"/>
              <w:bottom w:val="single" w:sz="18" w:space="0" w:color="auto"/>
            </w:tcBorders>
            <w:vAlign w:val="center"/>
          </w:tcPr>
          <w:p w14:paraId="169303F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Unique Classes</w:t>
            </w:r>
          </w:p>
        </w:tc>
        <w:tc>
          <w:tcPr>
            <w:tcW w:w="990" w:type="dxa"/>
            <w:tcBorders>
              <w:top w:val="single" w:sz="18" w:space="0" w:color="auto"/>
              <w:bottom w:val="single" w:sz="18" w:space="0" w:color="auto"/>
            </w:tcBorders>
            <w:vAlign w:val="center"/>
          </w:tcPr>
          <w:p w14:paraId="210B417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Unique</w:t>
            </w:r>
          </w:p>
          <w:p w14:paraId="47DC4BC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Orders</w:t>
            </w:r>
          </w:p>
        </w:tc>
        <w:tc>
          <w:tcPr>
            <w:tcW w:w="1080" w:type="dxa"/>
            <w:tcBorders>
              <w:top w:val="single" w:sz="18" w:space="0" w:color="auto"/>
              <w:bottom w:val="single" w:sz="18" w:space="0" w:color="auto"/>
            </w:tcBorders>
            <w:vAlign w:val="center"/>
          </w:tcPr>
          <w:p w14:paraId="6954C6D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Unique</w:t>
            </w:r>
          </w:p>
          <w:p w14:paraId="745C4DD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Families</w:t>
            </w:r>
          </w:p>
        </w:tc>
        <w:tc>
          <w:tcPr>
            <w:tcW w:w="990" w:type="dxa"/>
            <w:tcBorders>
              <w:top w:val="single" w:sz="18" w:space="0" w:color="auto"/>
              <w:bottom w:val="single" w:sz="18" w:space="0" w:color="auto"/>
            </w:tcBorders>
            <w:vAlign w:val="center"/>
          </w:tcPr>
          <w:p w14:paraId="14230BF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Unique</w:t>
            </w:r>
          </w:p>
          <w:p w14:paraId="1F8FF5D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Genera</w:t>
            </w:r>
          </w:p>
        </w:tc>
        <w:tc>
          <w:tcPr>
            <w:tcW w:w="1170" w:type="dxa"/>
            <w:tcBorders>
              <w:top w:val="single" w:sz="18" w:space="0" w:color="auto"/>
              <w:bottom w:val="single" w:sz="18" w:space="0" w:color="auto"/>
            </w:tcBorders>
            <w:vAlign w:val="center"/>
          </w:tcPr>
          <w:p w14:paraId="70D7793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Unique</w:t>
            </w:r>
          </w:p>
          <w:p w14:paraId="15524F0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Lineages</w:t>
            </w:r>
          </w:p>
        </w:tc>
        <w:tc>
          <w:tcPr>
            <w:tcW w:w="1260" w:type="dxa"/>
            <w:tcBorders>
              <w:top w:val="single" w:sz="18" w:space="0" w:color="auto"/>
              <w:bottom w:val="single" w:sz="18" w:space="0" w:color="auto"/>
            </w:tcBorders>
            <w:vAlign w:val="center"/>
          </w:tcPr>
          <w:p w14:paraId="11AFB3B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Cultured</w:t>
            </w:r>
          </w:p>
          <w:p w14:paraId="1C8E2EF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Lineages</w:t>
            </w:r>
          </w:p>
        </w:tc>
        <w:tc>
          <w:tcPr>
            <w:tcW w:w="1350" w:type="dxa"/>
            <w:tcBorders>
              <w:top w:val="single" w:sz="18" w:space="0" w:color="auto"/>
              <w:bottom w:val="single" w:sz="18" w:space="0" w:color="auto"/>
            </w:tcBorders>
            <w:vAlign w:val="center"/>
          </w:tcPr>
          <w:p w14:paraId="15ACE8D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Uncultured</w:t>
            </w:r>
          </w:p>
          <w:p w14:paraId="256D468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Lineages</w:t>
            </w:r>
          </w:p>
        </w:tc>
      </w:tr>
      <w:tr w:rsidR="00010D50" w:rsidRPr="00F23F20" w14:paraId="5B21164C" w14:textId="77777777" w:rsidTr="00E14F7B">
        <w:trPr>
          <w:jc w:val="center"/>
        </w:trPr>
        <w:tc>
          <w:tcPr>
            <w:tcW w:w="1170" w:type="dxa"/>
            <w:vMerge w:val="restart"/>
            <w:tcBorders>
              <w:top w:val="single" w:sz="18" w:space="0" w:color="auto"/>
            </w:tcBorders>
            <w:vAlign w:val="center"/>
          </w:tcPr>
          <w:p w14:paraId="3868B43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Bacteria</w:t>
            </w:r>
          </w:p>
        </w:tc>
        <w:tc>
          <w:tcPr>
            <w:tcW w:w="2070" w:type="dxa"/>
            <w:tcBorders>
              <w:top w:val="single" w:sz="18" w:space="0" w:color="auto"/>
            </w:tcBorders>
            <w:vAlign w:val="center"/>
          </w:tcPr>
          <w:p w14:paraId="23D5E8F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Actinobacteriota</w:t>
            </w:r>
            <w:proofErr w:type="spellEnd"/>
          </w:p>
        </w:tc>
        <w:tc>
          <w:tcPr>
            <w:tcW w:w="990" w:type="dxa"/>
            <w:tcBorders>
              <w:top w:val="single" w:sz="18" w:space="0" w:color="auto"/>
            </w:tcBorders>
            <w:vAlign w:val="center"/>
          </w:tcPr>
          <w:p w14:paraId="6056F67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w:t>
            </w:r>
          </w:p>
        </w:tc>
        <w:tc>
          <w:tcPr>
            <w:tcW w:w="990" w:type="dxa"/>
            <w:tcBorders>
              <w:top w:val="single" w:sz="18" w:space="0" w:color="auto"/>
            </w:tcBorders>
            <w:vAlign w:val="center"/>
          </w:tcPr>
          <w:p w14:paraId="0339151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9</w:t>
            </w:r>
          </w:p>
        </w:tc>
        <w:tc>
          <w:tcPr>
            <w:tcW w:w="1080" w:type="dxa"/>
            <w:tcBorders>
              <w:top w:val="single" w:sz="18" w:space="0" w:color="auto"/>
            </w:tcBorders>
            <w:vAlign w:val="center"/>
          </w:tcPr>
          <w:p w14:paraId="3FE9A94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22</w:t>
            </w:r>
          </w:p>
        </w:tc>
        <w:tc>
          <w:tcPr>
            <w:tcW w:w="990" w:type="dxa"/>
            <w:tcBorders>
              <w:top w:val="single" w:sz="18" w:space="0" w:color="auto"/>
            </w:tcBorders>
            <w:vAlign w:val="center"/>
          </w:tcPr>
          <w:p w14:paraId="020FF7E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50</w:t>
            </w:r>
          </w:p>
        </w:tc>
        <w:tc>
          <w:tcPr>
            <w:tcW w:w="1170" w:type="dxa"/>
            <w:tcBorders>
              <w:top w:val="single" w:sz="18" w:space="0" w:color="auto"/>
            </w:tcBorders>
            <w:vAlign w:val="center"/>
          </w:tcPr>
          <w:p w14:paraId="39A6A4C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2286</w:t>
            </w:r>
          </w:p>
        </w:tc>
        <w:tc>
          <w:tcPr>
            <w:tcW w:w="1260" w:type="dxa"/>
            <w:tcBorders>
              <w:top w:val="single" w:sz="18" w:space="0" w:color="auto"/>
            </w:tcBorders>
            <w:vAlign w:val="center"/>
          </w:tcPr>
          <w:p w14:paraId="490D095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2115</w:t>
            </w:r>
          </w:p>
        </w:tc>
        <w:tc>
          <w:tcPr>
            <w:tcW w:w="1350" w:type="dxa"/>
            <w:tcBorders>
              <w:top w:val="single" w:sz="18" w:space="0" w:color="auto"/>
            </w:tcBorders>
            <w:vAlign w:val="center"/>
          </w:tcPr>
          <w:p w14:paraId="142B45C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171</w:t>
            </w:r>
          </w:p>
        </w:tc>
      </w:tr>
      <w:tr w:rsidR="00010D50" w:rsidRPr="00F23F20" w14:paraId="11624377" w14:textId="77777777" w:rsidTr="00E14F7B">
        <w:trPr>
          <w:jc w:val="center"/>
        </w:trPr>
        <w:tc>
          <w:tcPr>
            <w:tcW w:w="1170" w:type="dxa"/>
            <w:vMerge/>
            <w:vAlign w:val="center"/>
          </w:tcPr>
          <w:p w14:paraId="1F61392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6FD9607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Bacteroidota</w:t>
            </w:r>
            <w:proofErr w:type="spellEnd"/>
          </w:p>
        </w:tc>
        <w:tc>
          <w:tcPr>
            <w:tcW w:w="990" w:type="dxa"/>
            <w:vAlign w:val="center"/>
          </w:tcPr>
          <w:p w14:paraId="01564E8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w:t>
            </w:r>
          </w:p>
        </w:tc>
        <w:tc>
          <w:tcPr>
            <w:tcW w:w="990" w:type="dxa"/>
            <w:vAlign w:val="center"/>
          </w:tcPr>
          <w:p w14:paraId="671086B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w:t>
            </w:r>
          </w:p>
        </w:tc>
        <w:tc>
          <w:tcPr>
            <w:tcW w:w="1080" w:type="dxa"/>
            <w:vAlign w:val="center"/>
          </w:tcPr>
          <w:p w14:paraId="000CC7E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19</w:t>
            </w:r>
          </w:p>
        </w:tc>
        <w:tc>
          <w:tcPr>
            <w:tcW w:w="990" w:type="dxa"/>
            <w:vAlign w:val="center"/>
          </w:tcPr>
          <w:p w14:paraId="055D379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50</w:t>
            </w:r>
          </w:p>
        </w:tc>
        <w:tc>
          <w:tcPr>
            <w:tcW w:w="1170" w:type="dxa"/>
            <w:vAlign w:val="center"/>
          </w:tcPr>
          <w:p w14:paraId="642B6E4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1606</w:t>
            </w:r>
          </w:p>
        </w:tc>
        <w:tc>
          <w:tcPr>
            <w:tcW w:w="1260" w:type="dxa"/>
            <w:vAlign w:val="center"/>
          </w:tcPr>
          <w:p w14:paraId="71339FE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741</w:t>
            </w:r>
          </w:p>
        </w:tc>
        <w:tc>
          <w:tcPr>
            <w:tcW w:w="1350" w:type="dxa"/>
            <w:vAlign w:val="center"/>
          </w:tcPr>
          <w:p w14:paraId="6489B14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865</w:t>
            </w:r>
          </w:p>
        </w:tc>
      </w:tr>
      <w:tr w:rsidR="00010D50" w:rsidRPr="00F23F20" w14:paraId="3EBB659F" w14:textId="77777777" w:rsidTr="00E14F7B">
        <w:trPr>
          <w:jc w:val="center"/>
        </w:trPr>
        <w:tc>
          <w:tcPr>
            <w:tcW w:w="1170" w:type="dxa"/>
            <w:vMerge/>
            <w:vAlign w:val="center"/>
          </w:tcPr>
          <w:p w14:paraId="01C2E3D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2CAB0D5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Campylobacterota</w:t>
            </w:r>
            <w:proofErr w:type="spellEnd"/>
          </w:p>
        </w:tc>
        <w:tc>
          <w:tcPr>
            <w:tcW w:w="990" w:type="dxa"/>
            <w:vAlign w:val="center"/>
          </w:tcPr>
          <w:p w14:paraId="392A92F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3155544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080" w:type="dxa"/>
            <w:vAlign w:val="center"/>
          </w:tcPr>
          <w:p w14:paraId="318F820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w:t>
            </w:r>
          </w:p>
        </w:tc>
        <w:tc>
          <w:tcPr>
            <w:tcW w:w="990" w:type="dxa"/>
            <w:vAlign w:val="center"/>
          </w:tcPr>
          <w:p w14:paraId="697D57D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8</w:t>
            </w:r>
          </w:p>
        </w:tc>
        <w:tc>
          <w:tcPr>
            <w:tcW w:w="1170" w:type="dxa"/>
            <w:vAlign w:val="center"/>
          </w:tcPr>
          <w:p w14:paraId="08A067A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270</w:t>
            </w:r>
          </w:p>
        </w:tc>
        <w:tc>
          <w:tcPr>
            <w:tcW w:w="1260" w:type="dxa"/>
            <w:vAlign w:val="center"/>
          </w:tcPr>
          <w:p w14:paraId="0CB5CF4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203</w:t>
            </w:r>
          </w:p>
        </w:tc>
        <w:tc>
          <w:tcPr>
            <w:tcW w:w="1350" w:type="dxa"/>
            <w:vAlign w:val="center"/>
          </w:tcPr>
          <w:p w14:paraId="35DEC86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67</w:t>
            </w:r>
          </w:p>
        </w:tc>
      </w:tr>
      <w:tr w:rsidR="00010D50" w:rsidRPr="00F23F20" w14:paraId="4600D772" w14:textId="77777777" w:rsidTr="00E14F7B">
        <w:trPr>
          <w:jc w:val="center"/>
        </w:trPr>
        <w:tc>
          <w:tcPr>
            <w:tcW w:w="1170" w:type="dxa"/>
            <w:vMerge/>
            <w:vAlign w:val="center"/>
          </w:tcPr>
          <w:p w14:paraId="363659C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5E2013E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Cyanobacteriota</w:t>
            </w:r>
            <w:proofErr w:type="spellEnd"/>
          </w:p>
        </w:tc>
        <w:tc>
          <w:tcPr>
            <w:tcW w:w="990" w:type="dxa"/>
            <w:vAlign w:val="center"/>
          </w:tcPr>
          <w:p w14:paraId="0FA80CC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vAlign w:val="center"/>
          </w:tcPr>
          <w:p w14:paraId="3CFF57A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w:t>
            </w:r>
          </w:p>
        </w:tc>
        <w:tc>
          <w:tcPr>
            <w:tcW w:w="1080" w:type="dxa"/>
            <w:vAlign w:val="center"/>
          </w:tcPr>
          <w:p w14:paraId="2AD1A8C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w:t>
            </w:r>
          </w:p>
        </w:tc>
        <w:tc>
          <w:tcPr>
            <w:tcW w:w="990" w:type="dxa"/>
            <w:vAlign w:val="center"/>
          </w:tcPr>
          <w:p w14:paraId="4845E79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w:t>
            </w:r>
          </w:p>
        </w:tc>
        <w:tc>
          <w:tcPr>
            <w:tcW w:w="1170" w:type="dxa"/>
            <w:vAlign w:val="center"/>
          </w:tcPr>
          <w:p w14:paraId="3CD15B6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119</w:t>
            </w:r>
          </w:p>
        </w:tc>
        <w:tc>
          <w:tcPr>
            <w:tcW w:w="1260" w:type="dxa"/>
            <w:vAlign w:val="center"/>
          </w:tcPr>
          <w:p w14:paraId="46AC3AF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84</w:t>
            </w:r>
          </w:p>
        </w:tc>
        <w:tc>
          <w:tcPr>
            <w:tcW w:w="1350" w:type="dxa"/>
            <w:vAlign w:val="center"/>
          </w:tcPr>
          <w:p w14:paraId="585EC03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35</w:t>
            </w:r>
          </w:p>
        </w:tc>
      </w:tr>
      <w:tr w:rsidR="00010D50" w:rsidRPr="00F23F20" w14:paraId="5E8D28AE" w14:textId="77777777" w:rsidTr="00E14F7B">
        <w:trPr>
          <w:jc w:val="center"/>
        </w:trPr>
        <w:tc>
          <w:tcPr>
            <w:tcW w:w="1170" w:type="dxa"/>
            <w:vMerge/>
            <w:vAlign w:val="center"/>
          </w:tcPr>
          <w:p w14:paraId="2956059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6421F94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Deinococcota</w:t>
            </w:r>
            <w:proofErr w:type="spellEnd"/>
          </w:p>
        </w:tc>
        <w:tc>
          <w:tcPr>
            <w:tcW w:w="990" w:type="dxa"/>
            <w:vAlign w:val="center"/>
          </w:tcPr>
          <w:p w14:paraId="0665F1B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0FF5CA4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080" w:type="dxa"/>
            <w:vAlign w:val="center"/>
          </w:tcPr>
          <w:p w14:paraId="635EABE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vAlign w:val="center"/>
          </w:tcPr>
          <w:p w14:paraId="41F4FAF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1170" w:type="dxa"/>
            <w:vAlign w:val="center"/>
          </w:tcPr>
          <w:p w14:paraId="6E4D4F0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44</w:t>
            </w:r>
          </w:p>
        </w:tc>
        <w:tc>
          <w:tcPr>
            <w:tcW w:w="1260" w:type="dxa"/>
            <w:vAlign w:val="center"/>
          </w:tcPr>
          <w:p w14:paraId="26DD328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44</w:t>
            </w:r>
          </w:p>
        </w:tc>
        <w:tc>
          <w:tcPr>
            <w:tcW w:w="1350" w:type="dxa"/>
            <w:vAlign w:val="center"/>
          </w:tcPr>
          <w:p w14:paraId="0EE767F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0</w:t>
            </w:r>
          </w:p>
        </w:tc>
      </w:tr>
      <w:tr w:rsidR="00010D50" w:rsidRPr="00F23F20" w14:paraId="41BF7DCB" w14:textId="77777777" w:rsidTr="00E14F7B">
        <w:trPr>
          <w:jc w:val="center"/>
        </w:trPr>
        <w:tc>
          <w:tcPr>
            <w:tcW w:w="1170" w:type="dxa"/>
            <w:vMerge/>
            <w:vAlign w:val="center"/>
          </w:tcPr>
          <w:p w14:paraId="685E77E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0B2A807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Desulfobacterota</w:t>
            </w:r>
            <w:proofErr w:type="spellEnd"/>
          </w:p>
        </w:tc>
        <w:tc>
          <w:tcPr>
            <w:tcW w:w="990" w:type="dxa"/>
            <w:vAlign w:val="center"/>
          </w:tcPr>
          <w:p w14:paraId="788FC4E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vAlign w:val="center"/>
          </w:tcPr>
          <w:p w14:paraId="3E82948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1080" w:type="dxa"/>
            <w:vAlign w:val="center"/>
          </w:tcPr>
          <w:p w14:paraId="328A117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vAlign w:val="center"/>
          </w:tcPr>
          <w:p w14:paraId="75CD8C3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w:t>
            </w:r>
          </w:p>
        </w:tc>
        <w:tc>
          <w:tcPr>
            <w:tcW w:w="1170" w:type="dxa"/>
            <w:vAlign w:val="center"/>
          </w:tcPr>
          <w:p w14:paraId="6989602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43</w:t>
            </w:r>
          </w:p>
        </w:tc>
        <w:tc>
          <w:tcPr>
            <w:tcW w:w="1260" w:type="dxa"/>
            <w:vAlign w:val="center"/>
          </w:tcPr>
          <w:p w14:paraId="563B160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23</w:t>
            </w:r>
          </w:p>
        </w:tc>
        <w:tc>
          <w:tcPr>
            <w:tcW w:w="1350" w:type="dxa"/>
            <w:vAlign w:val="center"/>
          </w:tcPr>
          <w:p w14:paraId="33C9048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20</w:t>
            </w:r>
          </w:p>
        </w:tc>
      </w:tr>
      <w:tr w:rsidR="00010D50" w:rsidRPr="00F23F20" w14:paraId="50EDD0D3" w14:textId="77777777" w:rsidTr="00E14F7B">
        <w:trPr>
          <w:jc w:val="center"/>
        </w:trPr>
        <w:tc>
          <w:tcPr>
            <w:tcW w:w="1170" w:type="dxa"/>
            <w:vMerge/>
            <w:vAlign w:val="center"/>
          </w:tcPr>
          <w:p w14:paraId="6A49AAE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272EA88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Elusimicrobiota</w:t>
            </w:r>
            <w:proofErr w:type="spellEnd"/>
          </w:p>
        </w:tc>
        <w:tc>
          <w:tcPr>
            <w:tcW w:w="990" w:type="dxa"/>
            <w:vAlign w:val="center"/>
          </w:tcPr>
          <w:p w14:paraId="44031A0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46097A9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080" w:type="dxa"/>
            <w:vAlign w:val="center"/>
          </w:tcPr>
          <w:p w14:paraId="74B0F81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4429EF7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170" w:type="dxa"/>
            <w:vAlign w:val="center"/>
          </w:tcPr>
          <w:p w14:paraId="17D42D6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22</w:t>
            </w:r>
          </w:p>
        </w:tc>
        <w:tc>
          <w:tcPr>
            <w:tcW w:w="1260" w:type="dxa"/>
            <w:vAlign w:val="center"/>
          </w:tcPr>
          <w:p w14:paraId="41DE905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0</w:t>
            </w:r>
          </w:p>
        </w:tc>
        <w:tc>
          <w:tcPr>
            <w:tcW w:w="1350" w:type="dxa"/>
            <w:vAlign w:val="center"/>
          </w:tcPr>
          <w:p w14:paraId="12548E8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22</w:t>
            </w:r>
          </w:p>
        </w:tc>
      </w:tr>
      <w:tr w:rsidR="00010D50" w:rsidRPr="00F23F20" w14:paraId="7697B1FE" w14:textId="77777777" w:rsidTr="00E14F7B">
        <w:trPr>
          <w:jc w:val="center"/>
        </w:trPr>
        <w:tc>
          <w:tcPr>
            <w:tcW w:w="1170" w:type="dxa"/>
            <w:vMerge/>
            <w:vAlign w:val="center"/>
          </w:tcPr>
          <w:p w14:paraId="4E71166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6376436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Fibrobacterota</w:t>
            </w:r>
            <w:proofErr w:type="spellEnd"/>
          </w:p>
        </w:tc>
        <w:tc>
          <w:tcPr>
            <w:tcW w:w="990" w:type="dxa"/>
            <w:vAlign w:val="center"/>
          </w:tcPr>
          <w:p w14:paraId="4B042D7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7A511BC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080" w:type="dxa"/>
            <w:vAlign w:val="center"/>
          </w:tcPr>
          <w:p w14:paraId="14A36A3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5C2DF65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170" w:type="dxa"/>
            <w:vAlign w:val="center"/>
          </w:tcPr>
          <w:p w14:paraId="6A4FB92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34</w:t>
            </w:r>
          </w:p>
        </w:tc>
        <w:tc>
          <w:tcPr>
            <w:tcW w:w="1260" w:type="dxa"/>
            <w:vAlign w:val="center"/>
          </w:tcPr>
          <w:p w14:paraId="0F7ECF5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22</w:t>
            </w:r>
          </w:p>
        </w:tc>
        <w:tc>
          <w:tcPr>
            <w:tcW w:w="1350" w:type="dxa"/>
            <w:vAlign w:val="center"/>
          </w:tcPr>
          <w:p w14:paraId="0EE4B24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12</w:t>
            </w:r>
          </w:p>
        </w:tc>
      </w:tr>
      <w:tr w:rsidR="00010D50" w:rsidRPr="00F23F20" w14:paraId="5F448695" w14:textId="77777777" w:rsidTr="00E14F7B">
        <w:trPr>
          <w:jc w:val="center"/>
        </w:trPr>
        <w:tc>
          <w:tcPr>
            <w:tcW w:w="1170" w:type="dxa"/>
            <w:vMerge/>
            <w:vAlign w:val="center"/>
          </w:tcPr>
          <w:p w14:paraId="34944E9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3896DCB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r w:rsidRPr="00F23F20">
              <w:rPr>
                <w:rFonts w:ascii="Times New Roman" w:eastAsia="WenQuanYi Zen Hei Sharp" w:hAnsi="Times New Roman" w:cs="Times New Roman"/>
                <w:i/>
                <w:iCs/>
                <w:kern w:val="3"/>
                <w:lang w:eastAsia="zh-CN" w:bidi="hi-IN"/>
              </w:rPr>
              <w:t>Firmicutes</w:t>
            </w:r>
          </w:p>
        </w:tc>
        <w:tc>
          <w:tcPr>
            <w:tcW w:w="990" w:type="dxa"/>
            <w:vAlign w:val="center"/>
          </w:tcPr>
          <w:p w14:paraId="0E9EB36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w:t>
            </w:r>
          </w:p>
        </w:tc>
        <w:tc>
          <w:tcPr>
            <w:tcW w:w="990" w:type="dxa"/>
            <w:vAlign w:val="center"/>
          </w:tcPr>
          <w:p w14:paraId="795606A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10</w:t>
            </w:r>
          </w:p>
        </w:tc>
        <w:tc>
          <w:tcPr>
            <w:tcW w:w="1080" w:type="dxa"/>
            <w:vAlign w:val="center"/>
          </w:tcPr>
          <w:p w14:paraId="74494AD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23</w:t>
            </w:r>
          </w:p>
        </w:tc>
        <w:tc>
          <w:tcPr>
            <w:tcW w:w="990" w:type="dxa"/>
            <w:vAlign w:val="center"/>
          </w:tcPr>
          <w:p w14:paraId="3ACA149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48</w:t>
            </w:r>
          </w:p>
        </w:tc>
        <w:tc>
          <w:tcPr>
            <w:tcW w:w="1170" w:type="dxa"/>
            <w:vAlign w:val="center"/>
          </w:tcPr>
          <w:p w14:paraId="7583EA7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1543</w:t>
            </w:r>
          </w:p>
        </w:tc>
        <w:tc>
          <w:tcPr>
            <w:tcW w:w="1260" w:type="dxa"/>
            <w:vAlign w:val="center"/>
          </w:tcPr>
          <w:p w14:paraId="60C7F29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1356</w:t>
            </w:r>
          </w:p>
        </w:tc>
        <w:tc>
          <w:tcPr>
            <w:tcW w:w="1350" w:type="dxa"/>
            <w:vAlign w:val="center"/>
          </w:tcPr>
          <w:p w14:paraId="71B2466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187</w:t>
            </w:r>
          </w:p>
        </w:tc>
      </w:tr>
      <w:tr w:rsidR="00010D50" w:rsidRPr="00F23F20" w14:paraId="2F43BBDA" w14:textId="77777777" w:rsidTr="00E14F7B">
        <w:trPr>
          <w:jc w:val="center"/>
        </w:trPr>
        <w:tc>
          <w:tcPr>
            <w:tcW w:w="1170" w:type="dxa"/>
            <w:vMerge/>
            <w:vAlign w:val="center"/>
          </w:tcPr>
          <w:p w14:paraId="62EBEAF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0FA170E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r w:rsidRPr="00F23F20">
              <w:rPr>
                <w:rFonts w:ascii="Times New Roman" w:eastAsia="WenQuanYi Zen Hei Sharp" w:hAnsi="Times New Roman" w:cs="Times New Roman"/>
                <w:i/>
                <w:iCs/>
                <w:kern w:val="3"/>
                <w:lang w:eastAsia="zh-CN" w:bidi="hi-IN"/>
              </w:rPr>
              <w:t>Firmicutes A</w:t>
            </w:r>
          </w:p>
        </w:tc>
        <w:tc>
          <w:tcPr>
            <w:tcW w:w="990" w:type="dxa"/>
            <w:vAlign w:val="center"/>
          </w:tcPr>
          <w:p w14:paraId="3F7514B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vAlign w:val="center"/>
          </w:tcPr>
          <w:p w14:paraId="09A8F00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w:t>
            </w:r>
          </w:p>
        </w:tc>
        <w:tc>
          <w:tcPr>
            <w:tcW w:w="1080" w:type="dxa"/>
            <w:vAlign w:val="center"/>
          </w:tcPr>
          <w:p w14:paraId="310BEDF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10</w:t>
            </w:r>
          </w:p>
        </w:tc>
        <w:tc>
          <w:tcPr>
            <w:tcW w:w="990" w:type="dxa"/>
            <w:vAlign w:val="center"/>
          </w:tcPr>
          <w:p w14:paraId="31B4FEE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31</w:t>
            </w:r>
          </w:p>
        </w:tc>
        <w:tc>
          <w:tcPr>
            <w:tcW w:w="1170" w:type="dxa"/>
            <w:vAlign w:val="center"/>
          </w:tcPr>
          <w:p w14:paraId="07A3225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600</w:t>
            </w:r>
          </w:p>
        </w:tc>
        <w:tc>
          <w:tcPr>
            <w:tcW w:w="1260" w:type="dxa"/>
            <w:vAlign w:val="center"/>
          </w:tcPr>
          <w:p w14:paraId="1869D95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304</w:t>
            </w:r>
          </w:p>
        </w:tc>
        <w:tc>
          <w:tcPr>
            <w:tcW w:w="1350" w:type="dxa"/>
            <w:vAlign w:val="center"/>
          </w:tcPr>
          <w:p w14:paraId="2FC4E2F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296</w:t>
            </w:r>
          </w:p>
        </w:tc>
      </w:tr>
      <w:tr w:rsidR="00010D50" w:rsidRPr="00F23F20" w14:paraId="2CBC781F" w14:textId="77777777" w:rsidTr="00E14F7B">
        <w:trPr>
          <w:jc w:val="center"/>
        </w:trPr>
        <w:tc>
          <w:tcPr>
            <w:tcW w:w="1170" w:type="dxa"/>
            <w:vMerge/>
            <w:vAlign w:val="center"/>
          </w:tcPr>
          <w:p w14:paraId="548A74C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5EAF0DA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r w:rsidRPr="00F23F20">
              <w:rPr>
                <w:rFonts w:ascii="Times New Roman" w:eastAsia="WenQuanYi Zen Hei Sharp" w:hAnsi="Times New Roman" w:cs="Times New Roman"/>
                <w:i/>
                <w:iCs/>
                <w:kern w:val="3"/>
                <w:lang w:eastAsia="zh-CN" w:bidi="hi-IN"/>
              </w:rPr>
              <w:t>Firmicutes B</w:t>
            </w:r>
          </w:p>
        </w:tc>
        <w:tc>
          <w:tcPr>
            <w:tcW w:w="990" w:type="dxa"/>
            <w:vAlign w:val="center"/>
          </w:tcPr>
          <w:p w14:paraId="7CAB6FD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57EEA9C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080" w:type="dxa"/>
            <w:vAlign w:val="center"/>
          </w:tcPr>
          <w:p w14:paraId="79F512E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49E25A2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170" w:type="dxa"/>
            <w:vAlign w:val="center"/>
          </w:tcPr>
          <w:p w14:paraId="0BA9029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22</w:t>
            </w:r>
          </w:p>
        </w:tc>
        <w:tc>
          <w:tcPr>
            <w:tcW w:w="1260" w:type="dxa"/>
            <w:vAlign w:val="center"/>
          </w:tcPr>
          <w:p w14:paraId="6DD59A8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11</w:t>
            </w:r>
          </w:p>
        </w:tc>
        <w:tc>
          <w:tcPr>
            <w:tcW w:w="1350" w:type="dxa"/>
            <w:vAlign w:val="center"/>
          </w:tcPr>
          <w:p w14:paraId="3695D29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11</w:t>
            </w:r>
          </w:p>
        </w:tc>
      </w:tr>
      <w:tr w:rsidR="00010D50" w:rsidRPr="00F23F20" w14:paraId="35DDDC7A" w14:textId="77777777" w:rsidTr="00E14F7B">
        <w:trPr>
          <w:jc w:val="center"/>
        </w:trPr>
        <w:tc>
          <w:tcPr>
            <w:tcW w:w="1170" w:type="dxa"/>
            <w:vMerge/>
            <w:vAlign w:val="center"/>
          </w:tcPr>
          <w:p w14:paraId="5558F68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50F5AA6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r w:rsidRPr="00F23F20">
              <w:rPr>
                <w:rFonts w:ascii="Times New Roman" w:eastAsia="WenQuanYi Zen Hei Sharp" w:hAnsi="Times New Roman" w:cs="Times New Roman"/>
                <w:i/>
                <w:iCs/>
                <w:kern w:val="3"/>
                <w:lang w:eastAsia="zh-CN" w:bidi="hi-IN"/>
              </w:rPr>
              <w:t>Firmicutes C</w:t>
            </w:r>
          </w:p>
        </w:tc>
        <w:tc>
          <w:tcPr>
            <w:tcW w:w="990" w:type="dxa"/>
            <w:vAlign w:val="center"/>
          </w:tcPr>
          <w:p w14:paraId="7B95F3D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42B8B6E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1080" w:type="dxa"/>
            <w:vAlign w:val="center"/>
          </w:tcPr>
          <w:p w14:paraId="434DAB7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w:t>
            </w:r>
          </w:p>
        </w:tc>
        <w:tc>
          <w:tcPr>
            <w:tcW w:w="990" w:type="dxa"/>
            <w:vAlign w:val="center"/>
          </w:tcPr>
          <w:p w14:paraId="15B89FA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w:t>
            </w:r>
          </w:p>
        </w:tc>
        <w:tc>
          <w:tcPr>
            <w:tcW w:w="1170" w:type="dxa"/>
            <w:vAlign w:val="center"/>
          </w:tcPr>
          <w:p w14:paraId="66D1507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53</w:t>
            </w:r>
          </w:p>
        </w:tc>
        <w:tc>
          <w:tcPr>
            <w:tcW w:w="1260" w:type="dxa"/>
            <w:vAlign w:val="center"/>
          </w:tcPr>
          <w:p w14:paraId="0709933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32</w:t>
            </w:r>
          </w:p>
        </w:tc>
        <w:tc>
          <w:tcPr>
            <w:tcW w:w="1350" w:type="dxa"/>
            <w:vAlign w:val="center"/>
          </w:tcPr>
          <w:p w14:paraId="1560991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21</w:t>
            </w:r>
          </w:p>
        </w:tc>
      </w:tr>
      <w:tr w:rsidR="00010D50" w:rsidRPr="00F23F20" w14:paraId="5F7436F5" w14:textId="77777777" w:rsidTr="00E14F7B">
        <w:trPr>
          <w:jc w:val="center"/>
        </w:trPr>
        <w:tc>
          <w:tcPr>
            <w:tcW w:w="1170" w:type="dxa"/>
            <w:vMerge/>
            <w:vAlign w:val="center"/>
          </w:tcPr>
          <w:p w14:paraId="1B5FF4F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4B46380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Fusobacteriota</w:t>
            </w:r>
            <w:proofErr w:type="spellEnd"/>
          </w:p>
        </w:tc>
        <w:tc>
          <w:tcPr>
            <w:tcW w:w="990" w:type="dxa"/>
            <w:vAlign w:val="center"/>
          </w:tcPr>
          <w:p w14:paraId="5FDFF4C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2DBF464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080" w:type="dxa"/>
            <w:vAlign w:val="center"/>
          </w:tcPr>
          <w:p w14:paraId="1DF7B13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vAlign w:val="center"/>
          </w:tcPr>
          <w:p w14:paraId="42555C6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1170" w:type="dxa"/>
            <w:vAlign w:val="center"/>
          </w:tcPr>
          <w:p w14:paraId="5FC6865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40</w:t>
            </w:r>
          </w:p>
        </w:tc>
        <w:tc>
          <w:tcPr>
            <w:tcW w:w="1260" w:type="dxa"/>
            <w:vAlign w:val="center"/>
          </w:tcPr>
          <w:p w14:paraId="5E1D079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40</w:t>
            </w:r>
          </w:p>
        </w:tc>
        <w:tc>
          <w:tcPr>
            <w:tcW w:w="1350" w:type="dxa"/>
            <w:vAlign w:val="center"/>
          </w:tcPr>
          <w:p w14:paraId="1AB9A82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0</w:t>
            </w:r>
          </w:p>
        </w:tc>
      </w:tr>
      <w:tr w:rsidR="00010D50" w:rsidRPr="00F23F20" w14:paraId="5D7463EA" w14:textId="77777777" w:rsidTr="00E14F7B">
        <w:trPr>
          <w:jc w:val="center"/>
        </w:trPr>
        <w:tc>
          <w:tcPr>
            <w:tcW w:w="1170" w:type="dxa"/>
            <w:vMerge/>
            <w:vAlign w:val="center"/>
          </w:tcPr>
          <w:p w14:paraId="086D329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603A9FA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Marinisomatota</w:t>
            </w:r>
            <w:proofErr w:type="spellEnd"/>
          </w:p>
        </w:tc>
        <w:tc>
          <w:tcPr>
            <w:tcW w:w="990" w:type="dxa"/>
            <w:vAlign w:val="center"/>
          </w:tcPr>
          <w:p w14:paraId="440C7B0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2DD78FF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080" w:type="dxa"/>
            <w:vAlign w:val="center"/>
          </w:tcPr>
          <w:p w14:paraId="41BA857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2BA0044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170" w:type="dxa"/>
            <w:vAlign w:val="center"/>
          </w:tcPr>
          <w:p w14:paraId="34D1A31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10</w:t>
            </w:r>
          </w:p>
        </w:tc>
        <w:tc>
          <w:tcPr>
            <w:tcW w:w="1260" w:type="dxa"/>
            <w:vAlign w:val="center"/>
          </w:tcPr>
          <w:p w14:paraId="6969734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0</w:t>
            </w:r>
          </w:p>
        </w:tc>
        <w:tc>
          <w:tcPr>
            <w:tcW w:w="1350" w:type="dxa"/>
            <w:vAlign w:val="center"/>
          </w:tcPr>
          <w:p w14:paraId="0D785C2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10</w:t>
            </w:r>
          </w:p>
        </w:tc>
      </w:tr>
      <w:tr w:rsidR="00010D50" w:rsidRPr="00F23F20" w14:paraId="0DAB82CC" w14:textId="77777777" w:rsidTr="00E14F7B">
        <w:trPr>
          <w:jc w:val="center"/>
        </w:trPr>
        <w:tc>
          <w:tcPr>
            <w:tcW w:w="1170" w:type="dxa"/>
            <w:vMerge/>
            <w:vAlign w:val="center"/>
          </w:tcPr>
          <w:p w14:paraId="5529EBB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4445826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Nitrospirota</w:t>
            </w:r>
            <w:proofErr w:type="spellEnd"/>
          </w:p>
        </w:tc>
        <w:tc>
          <w:tcPr>
            <w:tcW w:w="990" w:type="dxa"/>
            <w:vAlign w:val="center"/>
          </w:tcPr>
          <w:p w14:paraId="39A9AED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vAlign w:val="center"/>
          </w:tcPr>
          <w:p w14:paraId="3DA4879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1080" w:type="dxa"/>
            <w:vAlign w:val="center"/>
          </w:tcPr>
          <w:p w14:paraId="6BF30C9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vAlign w:val="center"/>
          </w:tcPr>
          <w:p w14:paraId="6635E68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1170" w:type="dxa"/>
            <w:vAlign w:val="center"/>
          </w:tcPr>
          <w:p w14:paraId="3CDA7AF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30</w:t>
            </w:r>
          </w:p>
        </w:tc>
        <w:tc>
          <w:tcPr>
            <w:tcW w:w="1260" w:type="dxa"/>
            <w:vAlign w:val="center"/>
          </w:tcPr>
          <w:p w14:paraId="24AC94C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w:t>
            </w:r>
          </w:p>
        </w:tc>
        <w:tc>
          <w:tcPr>
            <w:tcW w:w="1350" w:type="dxa"/>
            <w:vAlign w:val="center"/>
          </w:tcPr>
          <w:p w14:paraId="0BD536F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24</w:t>
            </w:r>
          </w:p>
        </w:tc>
      </w:tr>
      <w:tr w:rsidR="00010D50" w:rsidRPr="00F23F20" w14:paraId="772BF64B" w14:textId="77777777" w:rsidTr="00E14F7B">
        <w:trPr>
          <w:jc w:val="center"/>
        </w:trPr>
        <w:tc>
          <w:tcPr>
            <w:tcW w:w="1170" w:type="dxa"/>
            <w:vMerge/>
            <w:vAlign w:val="center"/>
          </w:tcPr>
          <w:p w14:paraId="07C57B6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3E1B766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Nitrospirota</w:t>
            </w:r>
            <w:proofErr w:type="spellEnd"/>
            <w:r w:rsidRPr="00F23F20">
              <w:rPr>
                <w:rFonts w:ascii="Times New Roman" w:eastAsia="WenQuanYi Zen Hei Sharp" w:hAnsi="Times New Roman" w:cs="Times New Roman"/>
                <w:i/>
                <w:iCs/>
                <w:kern w:val="3"/>
                <w:lang w:eastAsia="zh-CN" w:bidi="hi-IN"/>
              </w:rPr>
              <w:t xml:space="preserve"> A</w:t>
            </w:r>
          </w:p>
        </w:tc>
        <w:tc>
          <w:tcPr>
            <w:tcW w:w="990" w:type="dxa"/>
            <w:vAlign w:val="center"/>
          </w:tcPr>
          <w:p w14:paraId="3E9A4DC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40A65E2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080" w:type="dxa"/>
            <w:vAlign w:val="center"/>
          </w:tcPr>
          <w:p w14:paraId="4977B57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107A981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170" w:type="dxa"/>
            <w:vAlign w:val="center"/>
          </w:tcPr>
          <w:p w14:paraId="4A2A553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14</w:t>
            </w:r>
          </w:p>
        </w:tc>
        <w:tc>
          <w:tcPr>
            <w:tcW w:w="1260" w:type="dxa"/>
            <w:vAlign w:val="center"/>
          </w:tcPr>
          <w:p w14:paraId="55151B0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1350" w:type="dxa"/>
            <w:vAlign w:val="center"/>
          </w:tcPr>
          <w:p w14:paraId="25BA4D1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12</w:t>
            </w:r>
          </w:p>
        </w:tc>
      </w:tr>
      <w:tr w:rsidR="00010D50" w:rsidRPr="00F23F20" w14:paraId="3C619999" w14:textId="77777777" w:rsidTr="00E14F7B">
        <w:trPr>
          <w:jc w:val="center"/>
        </w:trPr>
        <w:tc>
          <w:tcPr>
            <w:tcW w:w="1170" w:type="dxa"/>
            <w:vMerge/>
            <w:vAlign w:val="center"/>
          </w:tcPr>
          <w:p w14:paraId="6C94890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19593C5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Patescibacteria</w:t>
            </w:r>
            <w:proofErr w:type="spellEnd"/>
          </w:p>
        </w:tc>
        <w:tc>
          <w:tcPr>
            <w:tcW w:w="990" w:type="dxa"/>
            <w:vAlign w:val="center"/>
          </w:tcPr>
          <w:p w14:paraId="0F6CA00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w:t>
            </w:r>
          </w:p>
        </w:tc>
        <w:tc>
          <w:tcPr>
            <w:tcW w:w="990" w:type="dxa"/>
            <w:vAlign w:val="center"/>
          </w:tcPr>
          <w:p w14:paraId="554354B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16</w:t>
            </w:r>
          </w:p>
        </w:tc>
        <w:tc>
          <w:tcPr>
            <w:tcW w:w="1080" w:type="dxa"/>
            <w:vAlign w:val="center"/>
          </w:tcPr>
          <w:p w14:paraId="131641E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26</w:t>
            </w:r>
          </w:p>
        </w:tc>
        <w:tc>
          <w:tcPr>
            <w:tcW w:w="990" w:type="dxa"/>
            <w:vAlign w:val="center"/>
          </w:tcPr>
          <w:p w14:paraId="57EB2F0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36</w:t>
            </w:r>
          </w:p>
        </w:tc>
        <w:tc>
          <w:tcPr>
            <w:tcW w:w="1170" w:type="dxa"/>
            <w:vAlign w:val="center"/>
          </w:tcPr>
          <w:p w14:paraId="74791AC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707</w:t>
            </w:r>
          </w:p>
        </w:tc>
        <w:tc>
          <w:tcPr>
            <w:tcW w:w="1260" w:type="dxa"/>
            <w:vAlign w:val="center"/>
          </w:tcPr>
          <w:p w14:paraId="650442D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0</w:t>
            </w:r>
          </w:p>
        </w:tc>
        <w:tc>
          <w:tcPr>
            <w:tcW w:w="1350" w:type="dxa"/>
            <w:vAlign w:val="center"/>
          </w:tcPr>
          <w:p w14:paraId="6F842A8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707</w:t>
            </w:r>
          </w:p>
        </w:tc>
      </w:tr>
      <w:tr w:rsidR="00010D50" w:rsidRPr="00F23F20" w14:paraId="036981F0" w14:textId="77777777" w:rsidTr="00E14F7B">
        <w:trPr>
          <w:jc w:val="center"/>
        </w:trPr>
        <w:tc>
          <w:tcPr>
            <w:tcW w:w="1170" w:type="dxa"/>
            <w:vMerge/>
            <w:vAlign w:val="center"/>
          </w:tcPr>
          <w:p w14:paraId="074E60E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64E8E52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r w:rsidRPr="00F23F20">
              <w:rPr>
                <w:rFonts w:ascii="Times New Roman" w:eastAsia="WenQuanYi Zen Hei Sharp" w:hAnsi="Times New Roman" w:cs="Times New Roman"/>
                <w:i/>
                <w:iCs/>
                <w:kern w:val="3"/>
                <w:lang w:eastAsia="zh-CN" w:bidi="hi-IN"/>
              </w:rPr>
              <w:t>Proteobacteria</w:t>
            </w:r>
          </w:p>
        </w:tc>
        <w:tc>
          <w:tcPr>
            <w:tcW w:w="990" w:type="dxa"/>
            <w:vAlign w:val="center"/>
          </w:tcPr>
          <w:p w14:paraId="55ABAB1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w:t>
            </w:r>
          </w:p>
        </w:tc>
        <w:tc>
          <w:tcPr>
            <w:tcW w:w="990" w:type="dxa"/>
            <w:vAlign w:val="center"/>
          </w:tcPr>
          <w:p w14:paraId="35D035E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25</w:t>
            </w:r>
          </w:p>
        </w:tc>
        <w:tc>
          <w:tcPr>
            <w:tcW w:w="1080" w:type="dxa"/>
            <w:vAlign w:val="center"/>
          </w:tcPr>
          <w:p w14:paraId="0FAFB10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59</w:t>
            </w:r>
          </w:p>
        </w:tc>
        <w:tc>
          <w:tcPr>
            <w:tcW w:w="990" w:type="dxa"/>
            <w:vAlign w:val="center"/>
          </w:tcPr>
          <w:p w14:paraId="6226836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163</w:t>
            </w:r>
          </w:p>
        </w:tc>
        <w:tc>
          <w:tcPr>
            <w:tcW w:w="1170" w:type="dxa"/>
            <w:vAlign w:val="center"/>
          </w:tcPr>
          <w:p w14:paraId="7A8AD80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5589</w:t>
            </w:r>
          </w:p>
        </w:tc>
        <w:tc>
          <w:tcPr>
            <w:tcW w:w="1260" w:type="dxa"/>
            <w:vAlign w:val="center"/>
          </w:tcPr>
          <w:p w14:paraId="3B8F9DA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3952</w:t>
            </w:r>
          </w:p>
        </w:tc>
        <w:tc>
          <w:tcPr>
            <w:tcW w:w="1350" w:type="dxa"/>
            <w:vAlign w:val="center"/>
          </w:tcPr>
          <w:p w14:paraId="0F9FE03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1637</w:t>
            </w:r>
          </w:p>
        </w:tc>
      </w:tr>
      <w:tr w:rsidR="00010D50" w:rsidRPr="00F23F20" w14:paraId="4BE12164" w14:textId="77777777" w:rsidTr="00E14F7B">
        <w:trPr>
          <w:jc w:val="center"/>
        </w:trPr>
        <w:tc>
          <w:tcPr>
            <w:tcW w:w="1170" w:type="dxa"/>
            <w:vMerge/>
            <w:vAlign w:val="center"/>
          </w:tcPr>
          <w:p w14:paraId="01AA938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07E9820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Spirochaetota</w:t>
            </w:r>
            <w:proofErr w:type="spellEnd"/>
          </w:p>
        </w:tc>
        <w:tc>
          <w:tcPr>
            <w:tcW w:w="990" w:type="dxa"/>
            <w:vAlign w:val="center"/>
          </w:tcPr>
          <w:p w14:paraId="242CEE1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w:t>
            </w:r>
          </w:p>
        </w:tc>
        <w:tc>
          <w:tcPr>
            <w:tcW w:w="990" w:type="dxa"/>
            <w:vAlign w:val="center"/>
          </w:tcPr>
          <w:p w14:paraId="6AB648F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w:t>
            </w:r>
          </w:p>
        </w:tc>
        <w:tc>
          <w:tcPr>
            <w:tcW w:w="1080" w:type="dxa"/>
            <w:vAlign w:val="center"/>
          </w:tcPr>
          <w:p w14:paraId="6E197F1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w:t>
            </w:r>
          </w:p>
        </w:tc>
        <w:tc>
          <w:tcPr>
            <w:tcW w:w="990" w:type="dxa"/>
            <w:vAlign w:val="center"/>
          </w:tcPr>
          <w:p w14:paraId="632E3BD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w:t>
            </w:r>
          </w:p>
        </w:tc>
        <w:tc>
          <w:tcPr>
            <w:tcW w:w="1170" w:type="dxa"/>
            <w:vAlign w:val="center"/>
          </w:tcPr>
          <w:p w14:paraId="7FB9E1C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153</w:t>
            </w:r>
          </w:p>
        </w:tc>
        <w:tc>
          <w:tcPr>
            <w:tcW w:w="1260" w:type="dxa"/>
            <w:vAlign w:val="center"/>
          </w:tcPr>
          <w:p w14:paraId="1918284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89</w:t>
            </w:r>
          </w:p>
        </w:tc>
        <w:tc>
          <w:tcPr>
            <w:tcW w:w="1350" w:type="dxa"/>
            <w:vAlign w:val="center"/>
          </w:tcPr>
          <w:p w14:paraId="4ECDE54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64</w:t>
            </w:r>
          </w:p>
        </w:tc>
      </w:tr>
      <w:tr w:rsidR="00010D50" w:rsidRPr="00F23F20" w14:paraId="490CC894" w14:textId="77777777" w:rsidTr="00E14F7B">
        <w:trPr>
          <w:jc w:val="center"/>
        </w:trPr>
        <w:tc>
          <w:tcPr>
            <w:tcW w:w="1170" w:type="dxa"/>
            <w:vMerge/>
            <w:vAlign w:val="center"/>
          </w:tcPr>
          <w:p w14:paraId="16CAE24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0058902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Synergistota</w:t>
            </w:r>
            <w:proofErr w:type="spellEnd"/>
          </w:p>
        </w:tc>
        <w:tc>
          <w:tcPr>
            <w:tcW w:w="990" w:type="dxa"/>
            <w:vAlign w:val="center"/>
          </w:tcPr>
          <w:p w14:paraId="609FA68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67C53C6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080" w:type="dxa"/>
            <w:vAlign w:val="center"/>
          </w:tcPr>
          <w:p w14:paraId="14AB00B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7F47BA1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170" w:type="dxa"/>
            <w:vAlign w:val="center"/>
          </w:tcPr>
          <w:p w14:paraId="7DBAA1A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19</w:t>
            </w:r>
          </w:p>
        </w:tc>
        <w:tc>
          <w:tcPr>
            <w:tcW w:w="1260" w:type="dxa"/>
            <w:vAlign w:val="center"/>
          </w:tcPr>
          <w:p w14:paraId="7BD85E6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1350" w:type="dxa"/>
            <w:vAlign w:val="center"/>
          </w:tcPr>
          <w:p w14:paraId="36AA946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17</w:t>
            </w:r>
          </w:p>
        </w:tc>
      </w:tr>
      <w:tr w:rsidR="00010D50" w:rsidRPr="00F23F20" w14:paraId="21CB9443" w14:textId="77777777" w:rsidTr="00E14F7B">
        <w:trPr>
          <w:jc w:val="center"/>
        </w:trPr>
        <w:tc>
          <w:tcPr>
            <w:tcW w:w="1170" w:type="dxa"/>
            <w:vMerge/>
            <w:vAlign w:val="center"/>
          </w:tcPr>
          <w:p w14:paraId="0A77AB5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2BF4C65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Thermotogota</w:t>
            </w:r>
            <w:proofErr w:type="spellEnd"/>
          </w:p>
        </w:tc>
        <w:tc>
          <w:tcPr>
            <w:tcW w:w="990" w:type="dxa"/>
            <w:vAlign w:val="center"/>
          </w:tcPr>
          <w:p w14:paraId="686A48C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vAlign w:val="center"/>
          </w:tcPr>
          <w:p w14:paraId="5077E61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080" w:type="dxa"/>
            <w:vAlign w:val="center"/>
          </w:tcPr>
          <w:p w14:paraId="22C2153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vAlign w:val="center"/>
          </w:tcPr>
          <w:p w14:paraId="0AB475D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1170" w:type="dxa"/>
            <w:vAlign w:val="center"/>
          </w:tcPr>
          <w:p w14:paraId="4819559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23</w:t>
            </w:r>
          </w:p>
        </w:tc>
        <w:tc>
          <w:tcPr>
            <w:tcW w:w="1260" w:type="dxa"/>
            <w:vAlign w:val="center"/>
          </w:tcPr>
          <w:p w14:paraId="0EF4E98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15</w:t>
            </w:r>
          </w:p>
        </w:tc>
        <w:tc>
          <w:tcPr>
            <w:tcW w:w="1350" w:type="dxa"/>
            <w:vAlign w:val="center"/>
          </w:tcPr>
          <w:p w14:paraId="64AED26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8</w:t>
            </w:r>
          </w:p>
        </w:tc>
      </w:tr>
      <w:tr w:rsidR="00010D50" w:rsidRPr="00F23F20" w14:paraId="59ABE1F9" w14:textId="77777777" w:rsidTr="00E14F7B">
        <w:trPr>
          <w:jc w:val="center"/>
        </w:trPr>
        <w:tc>
          <w:tcPr>
            <w:tcW w:w="1170" w:type="dxa"/>
            <w:vMerge/>
            <w:vAlign w:val="center"/>
          </w:tcPr>
          <w:p w14:paraId="1A03A11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tcBorders>
              <w:bottom w:val="single" w:sz="18" w:space="0" w:color="auto"/>
            </w:tcBorders>
            <w:vAlign w:val="center"/>
          </w:tcPr>
          <w:p w14:paraId="1846AAA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Verrucomicrobiota</w:t>
            </w:r>
            <w:proofErr w:type="spellEnd"/>
          </w:p>
        </w:tc>
        <w:tc>
          <w:tcPr>
            <w:tcW w:w="990" w:type="dxa"/>
            <w:tcBorders>
              <w:bottom w:val="single" w:sz="18" w:space="0" w:color="auto"/>
            </w:tcBorders>
            <w:vAlign w:val="center"/>
          </w:tcPr>
          <w:p w14:paraId="6A0E436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tcBorders>
              <w:bottom w:val="single" w:sz="18" w:space="0" w:color="auto"/>
            </w:tcBorders>
            <w:vAlign w:val="center"/>
          </w:tcPr>
          <w:p w14:paraId="403BB13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w:t>
            </w:r>
          </w:p>
        </w:tc>
        <w:tc>
          <w:tcPr>
            <w:tcW w:w="1080" w:type="dxa"/>
            <w:tcBorders>
              <w:bottom w:val="single" w:sz="18" w:space="0" w:color="auto"/>
            </w:tcBorders>
            <w:vAlign w:val="center"/>
          </w:tcPr>
          <w:p w14:paraId="4D0B323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5</w:t>
            </w:r>
          </w:p>
        </w:tc>
        <w:tc>
          <w:tcPr>
            <w:tcW w:w="990" w:type="dxa"/>
            <w:tcBorders>
              <w:bottom w:val="single" w:sz="18" w:space="0" w:color="auto"/>
            </w:tcBorders>
            <w:vAlign w:val="center"/>
          </w:tcPr>
          <w:p w14:paraId="41919B7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w:t>
            </w:r>
          </w:p>
        </w:tc>
        <w:tc>
          <w:tcPr>
            <w:tcW w:w="1170" w:type="dxa"/>
            <w:tcBorders>
              <w:bottom w:val="single" w:sz="18" w:space="0" w:color="auto"/>
            </w:tcBorders>
            <w:vAlign w:val="center"/>
          </w:tcPr>
          <w:p w14:paraId="0A06861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84</w:t>
            </w:r>
          </w:p>
        </w:tc>
        <w:tc>
          <w:tcPr>
            <w:tcW w:w="1260" w:type="dxa"/>
            <w:tcBorders>
              <w:bottom w:val="single" w:sz="18" w:space="0" w:color="auto"/>
            </w:tcBorders>
            <w:vAlign w:val="center"/>
          </w:tcPr>
          <w:p w14:paraId="3751FF7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16</w:t>
            </w:r>
          </w:p>
        </w:tc>
        <w:tc>
          <w:tcPr>
            <w:tcW w:w="1350" w:type="dxa"/>
            <w:tcBorders>
              <w:bottom w:val="single" w:sz="18" w:space="0" w:color="auto"/>
            </w:tcBorders>
            <w:vAlign w:val="center"/>
          </w:tcPr>
          <w:p w14:paraId="5FC3128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68</w:t>
            </w:r>
          </w:p>
        </w:tc>
      </w:tr>
      <w:tr w:rsidR="00010D50" w:rsidRPr="00F23F20" w14:paraId="0DE870ED" w14:textId="77777777" w:rsidTr="00E14F7B">
        <w:trPr>
          <w:jc w:val="center"/>
        </w:trPr>
        <w:tc>
          <w:tcPr>
            <w:tcW w:w="1170" w:type="dxa"/>
            <w:vMerge w:val="restart"/>
            <w:vAlign w:val="center"/>
          </w:tcPr>
          <w:p w14:paraId="3208E81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Archaea</w:t>
            </w:r>
          </w:p>
        </w:tc>
        <w:tc>
          <w:tcPr>
            <w:tcW w:w="2070" w:type="dxa"/>
            <w:tcBorders>
              <w:top w:val="single" w:sz="18" w:space="0" w:color="auto"/>
              <w:bottom w:val="nil"/>
            </w:tcBorders>
            <w:vAlign w:val="center"/>
          </w:tcPr>
          <w:p w14:paraId="1ABDBED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Crenarchaeota</w:t>
            </w:r>
            <w:proofErr w:type="spellEnd"/>
          </w:p>
        </w:tc>
        <w:tc>
          <w:tcPr>
            <w:tcW w:w="990" w:type="dxa"/>
            <w:tcBorders>
              <w:top w:val="single" w:sz="18" w:space="0" w:color="auto"/>
              <w:bottom w:val="nil"/>
            </w:tcBorders>
            <w:vAlign w:val="center"/>
          </w:tcPr>
          <w:p w14:paraId="7C4FD05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tcBorders>
              <w:top w:val="single" w:sz="18" w:space="0" w:color="auto"/>
              <w:bottom w:val="nil"/>
            </w:tcBorders>
            <w:vAlign w:val="center"/>
          </w:tcPr>
          <w:p w14:paraId="1CF8925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080" w:type="dxa"/>
            <w:tcBorders>
              <w:top w:val="single" w:sz="18" w:space="0" w:color="auto"/>
              <w:bottom w:val="nil"/>
            </w:tcBorders>
            <w:vAlign w:val="center"/>
          </w:tcPr>
          <w:p w14:paraId="0711F8E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tcBorders>
              <w:top w:val="single" w:sz="18" w:space="0" w:color="auto"/>
              <w:bottom w:val="nil"/>
            </w:tcBorders>
            <w:vAlign w:val="center"/>
          </w:tcPr>
          <w:p w14:paraId="5785A63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1170" w:type="dxa"/>
            <w:tcBorders>
              <w:top w:val="single" w:sz="18" w:space="0" w:color="auto"/>
              <w:bottom w:val="nil"/>
            </w:tcBorders>
            <w:vAlign w:val="center"/>
          </w:tcPr>
          <w:p w14:paraId="3D460A4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68</w:t>
            </w:r>
          </w:p>
        </w:tc>
        <w:tc>
          <w:tcPr>
            <w:tcW w:w="1260" w:type="dxa"/>
            <w:tcBorders>
              <w:top w:val="single" w:sz="18" w:space="0" w:color="auto"/>
              <w:bottom w:val="nil"/>
            </w:tcBorders>
            <w:vAlign w:val="center"/>
          </w:tcPr>
          <w:p w14:paraId="430458F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w:t>
            </w:r>
          </w:p>
        </w:tc>
        <w:tc>
          <w:tcPr>
            <w:tcW w:w="1350" w:type="dxa"/>
            <w:tcBorders>
              <w:top w:val="single" w:sz="18" w:space="0" w:color="auto"/>
              <w:bottom w:val="nil"/>
            </w:tcBorders>
            <w:vAlign w:val="center"/>
          </w:tcPr>
          <w:p w14:paraId="18D7125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61</w:t>
            </w:r>
          </w:p>
        </w:tc>
      </w:tr>
      <w:tr w:rsidR="00010D50" w:rsidRPr="00F23F20" w14:paraId="7EBB68DC" w14:textId="77777777" w:rsidTr="00E14F7B">
        <w:trPr>
          <w:jc w:val="center"/>
        </w:trPr>
        <w:tc>
          <w:tcPr>
            <w:tcW w:w="1170" w:type="dxa"/>
            <w:vMerge/>
            <w:vAlign w:val="center"/>
          </w:tcPr>
          <w:p w14:paraId="2940E03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tcBorders>
              <w:top w:val="nil"/>
            </w:tcBorders>
            <w:vAlign w:val="center"/>
          </w:tcPr>
          <w:p w14:paraId="38E710C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Euryarchaeota</w:t>
            </w:r>
            <w:proofErr w:type="spellEnd"/>
          </w:p>
        </w:tc>
        <w:tc>
          <w:tcPr>
            <w:tcW w:w="990" w:type="dxa"/>
            <w:tcBorders>
              <w:top w:val="nil"/>
            </w:tcBorders>
            <w:vAlign w:val="center"/>
          </w:tcPr>
          <w:p w14:paraId="137A5D0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tcBorders>
              <w:top w:val="nil"/>
            </w:tcBorders>
            <w:vAlign w:val="center"/>
          </w:tcPr>
          <w:p w14:paraId="584EE59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1080" w:type="dxa"/>
            <w:tcBorders>
              <w:top w:val="nil"/>
            </w:tcBorders>
            <w:vAlign w:val="center"/>
          </w:tcPr>
          <w:p w14:paraId="65CB108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tcBorders>
              <w:top w:val="nil"/>
            </w:tcBorders>
            <w:vAlign w:val="center"/>
          </w:tcPr>
          <w:p w14:paraId="3A46AF4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1170" w:type="dxa"/>
            <w:tcBorders>
              <w:top w:val="nil"/>
            </w:tcBorders>
            <w:vAlign w:val="center"/>
          </w:tcPr>
          <w:p w14:paraId="44BE867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45</w:t>
            </w:r>
          </w:p>
        </w:tc>
        <w:tc>
          <w:tcPr>
            <w:tcW w:w="1260" w:type="dxa"/>
            <w:tcBorders>
              <w:top w:val="nil"/>
            </w:tcBorders>
            <w:vAlign w:val="center"/>
          </w:tcPr>
          <w:p w14:paraId="5C39570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26</w:t>
            </w:r>
          </w:p>
        </w:tc>
        <w:tc>
          <w:tcPr>
            <w:tcW w:w="1350" w:type="dxa"/>
            <w:tcBorders>
              <w:top w:val="nil"/>
            </w:tcBorders>
            <w:vAlign w:val="center"/>
          </w:tcPr>
          <w:p w14:paraId="1ECB77B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19</w:t>
            </w:r>
          </w:p>
        </w:tc>
      </w:tr>
      <w:tr w:rsidR="00010D50" w:rsidRPr="00F23F20" w14:paraId="6FB03792" w14:textId="77777777" w:rsidTr="00E14F7B">
        <w:trPr>
          <w:jc w:val="center"/>
        </w:trPr>
        <w:tc>
          <w:tcPr>
            <w:tcW w:w="1170" w:type="dxa"/>
            <w:vMerge/>
            <w:vAlign w:val="center"/>
          </w:tcPr>
          <w:p w14:paraId="76B2BC8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vAlign w:val="center"/>
          </w:tcPr>
          <w:p w14:paraId="41F7639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Halobacterota</w:t>
            </w:r>
            <w:proofErr w:type="spellEnd"/>
          </w:p>
        </w:tc>
        <w:tc>
          <w:tcPr>
            <w:tcW w:w="990" w:type="dxa"/>
            <w:vAlign w:val="center"/>
          </w:tcPr>
          <w:p w14:paraId="4AB40B3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w:t>
            </w:r>
          </w:p>
        </w:tc>
        <w:tc>
          <w:tcPr>
            <w:tcW w:w="990" w:type="dxa"/>
            <w:vAlign w:val="center"/>
          </w:tcPr>
          <w:p w14:paraId="781E3C4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5</w:t>
            </w:r>
          </w:p>
        </w:tc>
        <w:tc>
          <w:tcPr>
            <w:tcW w:w="1080" w:type="dxa"/>
            <w:vAlign w:val="center"/>
          </w:tcPr>
          <w:p w14:paraId="3AFA613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w:t>
            </w:r>
          </w:p>
        </w:tc>
        <w:tc>
          <w:tcPr>
            <w:tcW w:w="990" w:type="dxa"/>
            <w:vAlign w:val="center"/>
          </w:tcPr>
          <w:p w14:paraId="326FEEC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9</w:t>
            </w:r>
          </w:p>
        </w:tc>
        <w:tc>
          <w:tcPr>
            <w:tcW w:w="1170" w:type="dxa"/>
            <w:vAlign w:val="center"/>
          </w:tcPr>
          <w:p w14:paraId="0B27BE1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164</w:t>
            </w:r>
          </w:p>
        </w:tc>
        <w:tc>
          <w:tcPr>
            <w:tcW w:w="1260" w:type="dxa"/>
            <w:vAlign w:val="center"/>
          </w:tcPr>
          <w:p w14:paraId="0EB4D0A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97</w:t>
            </w:r>
          </w:p>
        </w:tc>
        <w:tc>
          <w:tcPr>
            <w:tcW w:w="1350" w:type="dxa"/>
            <w:vAlign w:val="center"/>
          </w:tcPr>
          <w:p w14:paraId="49B63F8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67</w:t>
            </w:r>
          </w:p>
        </w:tc>
      </w:tr>
      <w:tr w:rsidR="00010D50" w:rsidRPr="00F23F20" w14:paraId="0EF28411" w14:textId="77777777" w:rsidTr="00E14F7B">
        <w:trPr>
          <w:jc w:val="center"/>
        </w:trPr>
        <w:tc>
          <w:tcPr>
            <w:tcW w:w="1170" w:type="dxa"/>
            <w:vMerge/>
            <w:tcBorders>
              <w:bottom w:val="single" w:sz="18" w:space="0" w:color="auto"/>
            </w:tcBorders>
            <w:vAlign w:val="center"/>
          </w:tcPr>
          <w:p w14:paraId="5650BCD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2070" w:type="dxa"/>
            <w:tcBorders>
              <w:bottom w:val="single" w:sz="18" w:space="0" w:color="auto"/>
            </w:tcBorders>
            <w:vAlign w:val="center"/>
          </w:tcPr>
          <w:p w14:paraId="72699E6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Thermoplasmatota</w:t>
            </w:r>
            <w:proofErr w:type="spellEnd"/>
          </w:p>
        </w:tc>
        <w:tc>
          <w:tcPr>
            <w:tcW w:w="990" w:type="dxa"/>
            <w:tcBorders>
              <w:bottom w:val="single" w:sz="18" w:space="0" w:color="auto"/>
            </w:tcBorders>
            <w:vAlign w:val="center"/>
          </w:tcPr>
          <w:p w14:paraId="58EDEF5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990" w:type="dxa"/>
            <w:tcBorders>
              <w:bottom w:val="single" w:sz="18" w:space="0" w:color="auto"/>
            </w:tcBorders>
            <w:vAlign w:val="center"/>
          </w:tcPr>
          <w:p w14:paraId="3B04B40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080" w:type="dxa"/>
            <w:tcBorders>
              <w:bottom w:val="single" w:sz="18" w:space="0" w:color="auto"/>
            </w:tcBorders>
            <w:vAlign w:val="center"/>
          </w:tcPr>
          <w:p w14:paraId="3E7A4F7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c>
          <w:tcPr>
            <w:tcW w:w="990" w:type="dxa"/>
            <w:tcBorders>
              <w:bottom w:val="single" w:sz="18" w:space="0" w:color="auto"/>
            </w:tcBorders>
            <w:vAlign w:val="center"/>
          </w:tcPr>
          <w:p w14:paraId="7546B46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9</w:t>
            </w:r>
          </w:p>
        </w:tc>
        <w:tc>
          <w:tcPr>
            <w:tcW w:w="1170" w:type="dxa"/>
            <w:tcBorders>
              <w:bottom w:val="single" w:sz="18" w:space="0" w:color="auto"/>
            </w:tcBorders>
            <w:vAlign w:val="center"/>
          </w:tcPr>
          <w:p w14:paraId="348309F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147</w:t>
            </w:r>
          </w:p>
        </w:tc>
        <w:tc>
          <w:tcPr>
            <w:tcW w:w="1260" w:type="dxa"/>
            <w:tcBorders>
              <w:bottom w:val="single" w:sz="18" w:space="0" w:color="auto"/>
            </w:tcBorders>
            <w:vAlign w:val="center"/>
          </w:tcPr>
          <w:p w14:paraId="2223087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0</w:t>
            </w:r>
          </w:p>
        </w:tc>
        <w:tc>
          <w:tcPr>
            <w:tcW w:w="1350" w:type="dxa"/>
            <w:tcBorders>
              <w:bottom w:val="single" w:sz="18" w:space="0" w:color="auto"/>
            </w:tcBorders>
            <w:vAlign w:val="center"/>
          </w:tcPr>
          <w:p w14:paraId="3507FFF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147</w:t>
            </w:r>
          </w:p>
        </w:tc>
      </w:tr>
      <w:tr w:rsidR="00010D50" w:rsidRPr="00F23F20" w14:paraId="42756E55" w14:textId="77777777" w:rsidTr="00E14F7B">
        <w:trPr>
          <w:jc w:val="center"/>
        </w:trPr>
        <w:tc>
          <w:tcPr>
            <w:tcW w:w="1170" w:type="dxa"/>
            <w:tcBorders>
              <w:top w:val="single" w:sz="18" w:space="0" w:color="auto"/>
              <w:bottom w:val="single" w:sz="18" w:space="0" w:color="auto"/>
            </w:tcBorders>
            <w:vAlign w:val="center"/>
          </w:tcPr>
          <w:p w14:paraId="08C1268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Total</w:t>
            </w:r>
          </w:p>
        </w:tc>
        <w:tc>
          <w:tcPr>
            <w:tcW w:w="2070" w:type="dxa"/>
            <w:tcBorders>
              <w:top w:val="single" w:sz="18" w:space="0" w:color="auto"/>
              <w:bottom w:val="single" w:sz="18" w:space="0" w:color="auto"/>
            </w:tcBorders>
            <w:vAlign w:val="center"/>
          </w:tcPr>
          <w:p w14:paraId="74F055F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26</w:t>
            </w:r>
          </w:p>
        </w:tc>
        <w:tc>
          <w:tcPr>
            <w:tcW w:w="990" w:type="dxa"/>
            <w:tcBorders>
              <w:top w:val="single" w:sz="18" w:space="0" w:color="auto"/>
              <w:bottom w:val="single" w:sz="18" w:space="0" w:color="auto"/>
            </w:tcBorders>
            <w:vAlign w:val="center"/>
          </w:tcPr>
          <w:p w14:paraId="431F032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50</w:t>
            </w:r>
          </w:p>
        </w:tc>
        <w:tc>
          <w:tcPr>
            <w:tcW w:w="990" w:type="dxa"/>
            <w:tcBorders>
              <w:top w:val="single" w:sz="18" w:space="0" w:color="auto"/>
              <w:bottom w:val="single" w:sz="18" w:space="0" w:color="auto"/>
            </w:tcBorders>
            <w:vAlign w:val="center"/>
          </w:tcPr>
          <w:p w14:paraId="17C7E28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110</w:t>
            </w:r>
          </w:p>
        </w:tc>
        <w:tc>
          <w:tcPr>
            <w:tcW w:w="1080" w:type="dxa"/>
            <w:tcBorders>
              <w:top w:val="single" w:sz="18" w:space="0" w:color="auto"/>
              <w:bottom w:val="single" w:sz="18" w:space="0" w:color="auto"/>
            </w:tcBorders>
            <w:vAlign w:val="center"/>
          </w:tcPr>
          <w:p w14:paraId="6A4A313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209</w:t>
            </w:r>
          </w:p>
        </w:tc>
        <w:tc>
          <w:tcPr>
            <w:tcW w:w="990" w:type="dxa"/>
            <w:tcBorders>
              <w:top w:val="single" w:sz="18" w:space="0" w:color="auto"/>
              <w:bottom w:val="single" w:sz="18" w:space="0" w:color="auto"/>
            </w:tcBorders>
            <w:vAlign w:val="center"/>
          </w:tcPr>
          <w:p w14:paraId="3B4E81C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450</w:t>
            </w:r>
          </w:p>
        </w:tc>
        <w:tc>
          <w:tcPr>
            <w:tcW w:w="1170" w:type="dxa"/>
            <w:tcBorders>
              <w:top w:val="single" w:sz="18" w:space="0" w:color="auto"/>
              <w:bottom w:val="single" w:sz="18" w:space="0" w:color="auto"/>
            </w:tcBorders>
            <w:vAlign w:val="center"/>
          </w:tcPr>
          <w:p w14:paraId="4DD508E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13,735</w:t>
            </w:r>
          </w:p>
        </w:tc>
        <w:tc>
          <w:tcPr>
            <w:tcW w:w="1260" w:type="dxa"/>
            <w:tcBorders>
              <w:top w:val="single" w:sz="18" w:space="0" w:color="auto"/>
              <w:bottom w:val="single" w:sz="18" w:space="0" w:color="auto"/>
            </w:tcBorders>
            <w:vAlign w:val="center"/>
          </w:tcPr>
          <w:p w14:paraId="00C46C4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9187</w:t>
            </w:r>
          </w:p>
        </w:tc>
        <w:tc>
          <w:tcPr>
            <w:tcW w:w="1350" w:type="dxa"/>
            <w:tcBorders>
              <w:top w:val="single" w:sz="18" w:space="0" w:color="auto"/>
              <w:bottom w:val="single" w:sz="18" w:space="0" w:color="auto"/>
            </w:tcBorders>
            <w:vAlign w:val="center"/>
          </w:tcPr>
          <w:p w14:paraId="0A7B97A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4548</w:t>
            </w:r>
          </w:p>
        </w:tc>
      </w:tr>
    </w:tbl>
    <w:p w14:paraId="2E168C9B" w14:textId="77777777" w:rsidR="00010D50" w:rsidRPr="00F23F20" w:rsidRDefault="00010D50" w:rsidP="00010D50">
      <w:pPr>
        <w:rPr>
          <w:rFonts w:ascii="Times New Roman" w:eastAsia="Calibri" w:hAnsi="Times New Roman" w:cs="Times New Roman"/>
          <w:lang w:eastAsia="zh-CN" w:bidi="hi-IN"/>
        </w:rPr>
      </w:pPr>
    </w:p>
    <w:p w14:paraId="321CF0AC" w14:textId="77777777" w:rsidR="00010D50" w:rsidRPr="00F23F20" w:rsidRDefault="00010D50" w:rsidP="00010D50">
      <w:pPr>
        <w:rPr>
          <w:rFonts w:ascii="Times New Roman" w:eastAsia="Calibri" w:hAnsi="Times New Roman" w:cs="Times New Roman"/>
          <w:lang w:eastAsia="zh-CN" w:bidi="hi-IN"/>
        </w:rPr>
      </w:pPr>
      <w:r w:rsidRPr="00F23F20">
        <w:rPr>
          <w:rFonts w:ascii="Times New Roman" w:eastAsia="Calibri" w:hAnsi="Times New Roman" w:cs="Times New Roman"/>
          <w:lang w:eastAsia="zh-CN" w:bidi="hi-IN"/>
        </w:rPr>
        <w:br w:type="page"/>
      </w:r>
      <w:bookmarkStart w:id="90" w:name="_Hlk8129215"/>
    </w:p>
    <w:p w14:paraId="1B49D293" w14:textId="77777777" w:rsidR="00010D50" w:rsidRPr="00F23F20" w:rsidRDefault="00010D50" w:rsidP="00010D50">
      <w:pPr>
        <w:spacing w:line="480" w:lineRule="auto"/>
        <w:rPr>
          <w:rFonts w:ascii="Times New Roman" w:eastAsia="Calibri" w:hAnsi="Times New Roman" w:cs="Times New Roman"/>
          <w:b/>
          <w:bCs/>
          <w:lang w:eastAsia="zh-CN" w:bidi="hi-IN"/>
        </w:rPr>
      </w:pPr>
      <w:r w:rsidRPr="00F23F20">
        <w:rPr>
          <w:rFonts w:ascii="Times New Roman" w:eastAsia="Calibri" w:hAnsi="Times New Roman" w:cs="Times New Roman"/>
          <w:b/>
          <w:bCs/>
          <w:lang w:eastAsia="zh-CN" w:bidi="hi-IN"/>
        </w:rPr>
        <w:lastRenderedPageBreak/>
        <w:t xml:space="preserve">Table 1.2. </w:t>
      </w:r>
      <w:r w:rsidRPr="00F23F20">
        <w:rPr>
          <w:rFonts w:ascii="Times New Roman" w:eastAsia="Calibri" w:hAnsi="Times New Roman" w:cs="Times New Roman"/>
          <w:lang w:eastAsia="zh-CN" w:bidi="hi-IN"/>
        </w:rPr>
        <w:t>Fit statistics for GAM regressions modeling COG-FC abundance as a function of genome size.</w:t>
      </w:r>
    </w:p>
    <w:tbl>
      <w:tblPr>
        <w:tblW w:w="10982" w:type="dxa"/>
        <w:jc w:val="center"/>
        <w:tblLook w:val="04A0" w:firstRow="1" w:lastRow="0" w:firstColumn="1" w:lastColumn="0" w:noHBand="0" w:noVBand="1"/>
      </w:tblPr>
      <w:tblGrid>
        <w:gridCol w:w="6660"/>
        <w:gridCol w:w="1102"/>
        <w:gridCol w:w="1058"/>
        <w:gridCol w:w="2162"/>
      </w:tblGrid>
      <w:tr w:rsidR="00010D50" w:rsidRPr="00F23F20" w14:paraId="6B5B06ED" w14:textId="77777777" w:rsidTr="00E14F7B">
        <w:trPr>
          <w:trHeight w:val="255"/>
          <w:jc w:val="center"/>
        </w:trPr>
        <w:tc>
          <w:tcPr>
            <w:tcW w:w="6660" w:type="dxa"/>
            <w:tcBorders>
              <w:top w:val="single" w:sz="18" w:space="0" w:color="auto"/>
              <w:left w:val="nil"/>
              <w:bottom w:val="single" w:sz="18" w:space="0" w:color="auto"/>
              <w:right w:val="nil"/>
            </w:tcBorders>
            <w:shd w:val="clear" w:color="auto" w:fill="auto"/>
            <w:vAlign w:val="center"/>
            <w:hideMark/>
          </w:tcPr>
          <w:p w14:paraId="7A200DF1"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COG Functional Category</w:t>
            </w:r>
          </w:p>
        </w:tc>
        <w:tc>
          <w:tcPr>
            <w:tcW w:w="1102" w:type="dxa"/>
            <w:tcBorders>
              <w:top w:val="single" w:sz="18" w:space="0" w:color="auto"/>
              <w:left w:val="nil"/>
              <w:bottom w:val="single" w:sz="18" w:space="0" w:color="auto"/>
              <w:right w:val="nil"/>
            </w:tcBorders>
            <w:shd w:val="clear" w:color="auto" w:fill="auto"/>
            <w:vAlign w:val="center"/>
            <w:hideMark/>
          </w:tcPr>
          <w:p w14:paraId="3AC3CDC3"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P-value</w:t>
            </w:r>
          </w:p>
        </w:tc>
        <w:tc>
          <w:tcPr>
            <w:tcW w:w="1058" w:type="dxa"/>
            <w:tcBorders>
              <w:top w:val="single" w:sz="18" w:space="0" w:color="auto"/>
              <w:left w:val="nil"/>
              <w:bottom w:val="single" w:sz="18" w:space="0" w:color="auto"/>
              <w:right w:val="nil"/>
            </w:tcBorders>
            <w:shd w:val="clear" w:color="auto" w:fill="auto"/>
            <w:vAlign w:val="center"/>
            <w:hideMark/>
          </w:tcPr>
          <w:p w14:paraId="04B98B62"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F-value</w:t>
            </w:r>
          </w:p>
        </w:tc>
        <w:tc>
          <w:tcPr>
            <w:tcW w:w="2162" w:type="dxa"/>
            <w:tcBorders>
              <w:top w:val="single" w:sz="18" w:space="0" w:color="auto"/>
              <w:left w:val="nil"/>
              <w:bottom w:val="single" w:sz="18" w:space="0" w:color="auto"/>
              <w:right w:val="nil"/>
            </w:tcBorders>
            <w:shd w:val="clear" w:color="auto" w:fill="auto"/>
            <w:noWrap/>
            <w:vAlign w:val="center"/>
            <w:hideMark/>
          </w:tcPr>
          <w:p w14:paraId="5D24E466"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Deviance Explained</w:t>
            </w:r>
          </w:p>
        </w:tc>
      </w:tr>
      <w:tr w:rsidR="00010D50" w:rsidRPr="00F23F20" w14:paraId="0804A111" w14:textId="77777777" w:rsidTr="00E14F7B">
        <w:trPr>
          <w:trHeight w:val="255"/>
          <w:jc w:val="center"/>
        </w:trPr>
        <w:tc>
          <w:tcPr>
            <w:tcW w:w="6660" w:type="dxa"/>
            <w:tcBorders>
              <w:top w:val="single" w:sz="18" w:space="0" w:color="auto"/>
              <w:left w:val="nil"/>
              <w:bottom w:val="nil"/>
              <w:right w:val="nil"/>
            </w:tcBorders>
            <w:shd w:val="clear" w:color="auto" w:fill="auto"/>
            <w:vAlign w:val="center"/>
            <w:hideMark/>
          </w:tcPr>
          <w:p w14:paraId="1E25A531"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RNA Processing and Modification</w:t>
            </w:r>
          </w:p>
        </w:tc>
        <w:tc>
          <w:tcPr>
            <w:tcW w:w="1102" w:type="dxa"/>
            <w:tcBorders>
              <w:top w:val="single" w:sz="18" w:space="0" w:color="auto"/>
              <w:left w:val="nil"/>
              <w:bottom w:val="nil"/>
              <w:right w:val="nil"/>
            </w:tcBorders>
            <w:shd w:val="clear" w:color="auto" w:fill="auto"/>
            <w:vAlign w:val="center"/>
            <w:hideMark/>
          </w:tcPr>
          <w:p w14:paraId="253EFC47"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single" w:sz="18" w:space="0" w:color="auto"/>
              <w:left w:val="nil"/>
              <w:bottom w:val="nil"/>
              <w:right w:val="nil"/>
            </w:tcBorders>
            <w:shd w:val="clear" w:color="auto" w:fill="auto"/>
            <w:noWrap/>
            <w:vAlign w:val="center"/>
            <w:hideMark/>
          </w:tcPr>
          <w:p w14:paraId="7C610176"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467.9</w:t>
            </w:r>
          </w:p>
        </w:tc>
        <w:tc>
          <w:tcPr>
            <w:tcW w:w="2162" w:type="dxa"/>
            <w:tcBorders>
              <w:top w:val="single" w:sz="18" w:space="0" w:color="auto"/>
              <w:left w:val="nil"/>
              <w:bottom w:val="nil"/>
              <w:right w:val="nil"/>
            </w:tcBorders>
            <w:shd w:val="clear" w:color="auto" w:fill="auto"/>
            <w:noWrap/>
            <w:vAlign w:val="center"/>
            <w:hideMark/>
          </w:tcPr>
          <w:p w14:paraId="30820B9F"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15.8</w:t>
            </w:r>
          </w:p>
        </w:tc>
      </w:tr>
      <w:tr w:rsidR="00010D50" w:rsidRPr="00F23F20" w14:paraId="159897FC" w14:textId="77777777" w:rsidTr="00E14F7B">
        <w:trPr>
          <w:trHeight w:val="255"/>
          <w:jc w:val="center"/>
        </w:trPr>
        <w:tc>
          <w:tcPr>
            <w:tcW w:w="6660" w:type="dxa"/>
            <w:tcBorders>
              <w:top w:val="nil"/>
              <w:left w:val="nil"/>
              <w:bottom w:val="nil"/>
              <w:right w:val="nil"/>
            </w:tcBorders>
            <w:shd w:val="clear" w:color="auto" w:fill="auto"/>
            <w:vAlign w:val="center"/>
            <w:hideMark/>
          </w:tcPr>
          <w:p w14:paraId="34A3B589"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Chromatin Structure and Dynamics</w:t>
            </w:r>
          </w:p>
        </w:tc>
        <w:tc>
          <w:tcPr>
            <w:tcW w:w="1102" w:type="dxa"/>
            <w:tcBorders>
              <w:top w:val="nil"/>
              <w:left w:val="nil"/>
              <w:bottom w:val="nil"/>
              <w:right w:val="nil"/>
            </w:tcBorders>
            <w:shd w:val="clear" w:color="auto" w:fill="auto"/>
            <w:vAlign w:val="center"/>
            <w:hideMark/>
          </w:tcPr>
          <w:p w14:paraId="077810A1"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2422AB62"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404</w:t>
            </w:r>
          </w:p>
        </w:tc>
        <w:tc>
          <w:tcPr>
            <w:tcW w:w="2162" w:type="dxa"/>
            <w:tcBorders>
              <w:top w:val="nil"/>
              <w:left w:val="nil"/>
              <w:bottom w:val="nil"/>
              <w:right w:val="nil"/>
            </w:tcBorders>
            <w:shd w:val="clear" w:color="auto" w:fill="auto"/>
            <w:noWrap/>
            <w:vAlign w:val="center"/>
            <w:hideMark/>
          </w:tcPr>
          <w:p w14:paraId="61159F99"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14.2</w:t>
            </w:r>
          </w:p>
        </w:tc>
      </w:tr>
      <w:tr w:rsidR="00010D50" w:rsidRPr="00F23F20" w14:paraId="12F0B90F" w14:textId="77777777" w:rsidTr="00E14F7B">
        <w:trPr>
          <w:trHeight w:val="255"/>
          <w:jc w:val="center"/>
        </w:trPr>
        <w:tc>
          <w:tcPr>
            <w:tcW w:w="6660" w:type="dxa"/>
            <w:tcBorders>
              <w:top w:val="nil"/>
              <w:left w:val="nil"/>
              <w:bottom w:val="nil"/>
              <w:right w:val="nil"/>
            </w:tcBorders>
            <w:shd w:val="clear" w:color="auto" w:fill="auto"/>
            <w:vAlign w:val="center"/>
            <w:hideMark/>
          </w:tcPr>
          <w:p w14:paraId="1A0B6B80"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Energy Production and Conversion</w:t>
            </w:r>
          </w:p>
        </w:tc>
        <w:tc>
          <w:tcPr>
            <w:tcW w:w="1102" w:type="dxa"/>
            <w:tcBorders>
              <w:top w:val="nil"/>
              <w:left w:val="nil"/>
              <w:bottom w:val="nil"/>
              <w:right w:val="nil"/>
            </w:tcBorders>
            <w:shd w:val="clear" w:color="auto" w:fill="auto"/>
            <w:vAlign w:val="center"/>
            <w:hideMark/>
          </w:tcPr>
          <w:p w14:paraId="4327D5E2"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6A450468"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7145</w:t>
            </w:r>
          </w:p>
        </w:tc>
        <w:tc>
          <w:tcPr>
            <w:tcW w:w="2162" w:type="dxa"/>
            <w:tcBorders>
              <w:top w:val="nil"/>
              <w:left w:val="nil"/>
              <w:bottom w:val="nil"/>
              <w:right w:val="nil"/>
            </w:tcBorders>
            <w:shd w:val="clear" w:color="auto" w:fill="auto"/>
            <w:noWrap/>
            <w:vAlign w:val="center"/>
            <w:hideMark/>
          </w:tcPr>
          <w:p w14:paraId="74C70AA8"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74.1</w:t>
            </w:r>
          </w:p>
        </w:tc>
      </w:tr>
      <w:tr w:rsidR="00010D50" w:rsidRPr="00F23F20" w14:paraId="25A75A9E" w14:textId="77777777" w:rsidTr="00E14F7B">
        <w:trPr>
          <w:trHeight w:val="255"/>
          <w:jc w:val="center"/>
        </w:trPr>
        <w:tc>
          <w:tcPr>
            <w:tcW w:w="6660" w:type="dxa"/>
            <w:tcBorders>
              <w:top w:val="nil"/>
              <w:left w:val="nil"/>
              <w:bottom w:val="nil"/>
              <w:right w:val="nil"/>
            </w:tcBorders>
            <w:shd w:val="clear" w:color="auto" w:fill="auto"/>
            <w:vAlign w:val="center"/>
            <w:hideMark/>
          </w:tcPr>
          <w:p w14:paraId="37F828D3"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Cell Cycle, Control, Cell Division, and Chromosome Partitioning</w:t>
            </w:r>
          </w:p>
        </w:tc>
        <w:tc>
          <w:tcPr>
            <w:tcW w:w="1102" w:type="dxa"/>
            <w:tcBorders>
              <w:top w:val="nil"/>
              <w:left w:val="nil"/>
              <w:bottom w:val="nil"/>
              <w:right w:val="nil"/>
            </w:tcBorders>
            <w:shd w:val="clear" w:color="auto" w:fill="auto"/>
            <w:vAlign w:val="center"/>
            <w:hideMark/>
          </w:tcPr>
          <w:p w14:paraId="4642FF38"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1345D5A6"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3378</w:t>
            </w:r>
          </w:p>
        </w:tc>
        <w:tc>
          <w:tcPr>
            <w:tcW w:w="2162" w:type="dxa"/>
            <w:tcBorders>
              <w:top w:val="nil"/>
              <w:left w:val="nil"/>
              <w:bottom w:val="nil"/>
              <w:right w:val="nil"/>
            </w:tcBorders>
            <w:shd w:val="clear" w:color="auto" w:fill="auto"/>
            <w:noWrap/>
            <w:vAlign w:val="center"/>
            <w:hideMark/>
          </w:tcPr>
          <w:p w14:paraId="7921EDA9"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57.9</w:t>
            </w:r>
          </w:p>
        </w:tc>
      </w:tr>
      <w:tr w:rsidR="00010D50" w:rsidRPr="00F23F20" w14:paraId="7CDBF878" w14:textId="77777777" w:rsidTr="00E14F7B">
        <w:trPr>
          <w:trHeight w:val="255"/>
          <w:jc w:val="center"/>
        </w:trPr>
        <w:tc>
          <w:tcPr>
            <w:tcW w:w="6660" w:type="dxa"/>
            <w:tcBorders>
              <w:top w:val="nil"/>
              <w:left w:val="nil"/>
              <w:bottom w:val="nil"/>
              <w:right w:val="nil"/>
            </w:tcBorders>
            <w:shd w:val="clear" w:color="auto" w:fill="auto"/>
            <w:vAlign w:val="center"/>
            <w:hideMark/>
          </w:tcPr>
          <w:p w14:paraId="204C1A5F"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Amino Acid Transport and Metabolism</w:t>
            </w:r>
          </w:p>
        </w:tc>
        <w:tc>
          <w:tcPr>
            <w:tcW w:w="1102" w:type="dxa"/>
            <w:tcBorders>
              <w:top w:val="nil"/>
              <w:left w:val="nil"/>
              <w:bottom w:val="nil"/>
              <w:right w:val="nil"/>
            </w:tcBorders>
            <w:shd w:val="clear" w:color="auto" w:fill="auto"/>
            <w:vAlign w:val="center"/>
            <w:hideMark/>
          </w:tcPr>
          <w:p w14:paraId="229C601E"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64201BD0"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6118</w:t>
            </w:r>
          </w:p>
        </w:tc>
        <w:tc>
          <w:tcPr>
            <w:tcW w:w="2162" w:type="dxa"/>
            <w:tcBorders>
              <w:top w:val="nil"/>
              <w:left w:val="nil"/>
              <w:bottom w:val="nil"/>
              <w:right w:val="nil"/>
            </w:tcBorders>
            <w:shd w:val="clear" w:color="auto" w:fill="auto"/>
            <w:noWrap/>
            <w:vAlign w:val="center"/>
            <w:hideMark/>
          </w:tcPr>
          <w:p w14:paraId="3ED7EE41"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71.5</w:t>
            </w:r>
          </w:p>
        </w:tc>
      </w:tr>
      <w:tr w:rsidR="00010D50" w:rsidRPr="00F23F20" w14:paraId="7E8D0BFE" w14:textId="77777777" w:rsidTr="00E14F7B">
        <w:trPr>
          <w:trHeight w:val="255"/>
          <w:jc w:val="center"/>
        </w:trPr>
        <w:tc>
          <w:tcPr>
            <w:tcW w:w="6660" w:type="dxa"/>
            <w:tcBorders>
              <w:top w:val="nil"/>
              <w:left w:val="nil"/>
              <w:bottom w:val="nil"/>
              <w:right w:val="nil"/>
            </w:tcBorders>
            <w:shd w:val="clear" w:color="auto" w:fill="auto"/>
            <w:vAlign w:val="center"/>
            <w:hideMark/>
          </w:tcPr>
          <w:p w14:paraId="1DD81107"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Nucleotide Transport and Metabolism</w:t>
            </w:r>
          </w:p>
        </w:tc>
        <w:tc>
          <w:tcPr>
            <w:tcW w:w="1102" w:type="dxa"/>
            <w:tcBorders>
              <w:top w:val="nil"/>
              <w:left w:val="nil"/>
              <w:bottom w:val="nil"/>
              <w:right w:val="nil"/>
            </w:tcBorders>
            <w:shd w:val="clear" w:color="auto" w:fill="auto"/>
            <w:vAlign w:val="center"/>
            <w:hideMark/>
          </w:tcPr>
          <w:p w14:paraId="0511EFB8"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1C2625D6"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5845</w:t>
            </w:r>
          </w:p>
        </w:tc>
        <w:tc>
          <w:tcPr>
            <w:tcW w:w="2162" w:type="dxa"/>
            <w:tcBorders>
              <w:top w:val="nil"/>
              <w:left w:val="nil"/>
              <w:bottom w:val="nil"/>
              <w:right w:val="nil"/>
            </w:tcBorders>
            <w:shd w:val="clear" w:color="auto" w:fill="auto"/>
            <w:noWrap/>
            <w:vAlign w:val="center"/>
            <w:hideMark/>
          </w:tcPr>
          <w:p w14:paraId="7E863ADC"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70.5</w:t>
            </w:r>
          </w:p>
        </w:tc>
      </w:tr>
      <w:tr w:rsidR="00010D50" w:rsidRPr="00F23F20" w14:paraId="3066AD7F" w14:textId="77777777" w:rsidTr="00E14F7B">
        <w:trPr>
          <w:trHeight w:val="255"/>
          <w:jc w:val="center"/>
        </w:trPr>
        <w:tc>
          <w:tcPr>
            <w:tcW w:w="6660" w:type="dxa"/>
            <w:tcBorders>
              <w:top w:val="nil"/>
              <w:left w:val="nil"/>
              <w:bottom w:val="nil"/>
              <w:right w:val="nil"/>
            </w:tcBorders>
            <w:shd w:val="clear" w:color="auto" w:fill="auto"/>
            <w:vAlign w:val="center"/>
            <w:hideMark/>
          </w:tcPr>
          <w:p w14:paraId="04121C11"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Carbohydrate Transport and Metabolism</w:t>
            </w:r>
          </w:p>
        </w:tc>
        <w:tc>
          <w:tcPr>
            <w:tcW w:w="1102" w:type="dxa"/>
            <w:tcBorders>
              <w:top w:val="nil"/>
              <w:left w:val="nil"/>
              <w:bottom w:val="nil"/>
              <w:right w:val="nil"/>
            </w:tcBorders>
            <w:shd w:val="clear" w:color="auto" w:fill="auto"/>
            <w:vAlign w:val="center"/>
            <w:hideMark/>
          </w:tcPr>
          <w:p w14:paraId="45CB7757"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29AE232B"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3941</w:t>
            </w:r>
          </w:p>
        </w:tc>
        <w:tc>
          <w:tcPr>
            <w:tcW w:w="2162" w:type="dxa"/>
            <w:tcBorders>
              <w:top w:val="nil"/>
              <w:left w:val="nil"/>
              <w:bottom w:val="nil"/>
              <w:right w:val="nil"/>
            </w:tcBorders>
            <w:shd w:val="clear" w:color="auto" w:fill="auto"/>
            <w:noWrap/>
            <w:vAlign w:val="center"/>
            <w:hideMark/>
          </w:tcPr>
          <w:p w14:paraId="1887E4F1"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61.8</w:t>
            </w:r>
          </w:p>
        </w:tc>
      </w:tr>
      <w:tr w:rsidR="00010D50" w:rsidRPr="00F23F20" w14:paraId="51063CB2" w14:textId="77777777" w:rsidTr="00E14F7B">
        <w:trPr>
          <w:trHeight w:val="255"/>
          <w:jc w:val="center"/>
        </w:trPr>
        <w:tc>
          <w:tcPr>
            <w:tcW w:w="6660" w:type="dxa"/>
            <w:tcBorders>
              <w:top w:val="nil"/>
              <w:left w:val="nil"/>
              <w:bottom w:val="nil"/>
              <w:right w:val="nil"/>
            </w:tcBorders>
            <w:shd w:val="clear" w:color="auto" w:fill="auto"/>
            <w:vAlign w:val="center"/>
            <w:hideMark/>
          </w:tcPr>
          <w:p w14:paraId="6E1AA099"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Coenzyme Transport and Metabolism</w:t>
            </w:r>
          </w:p>
        </w:tc>
        <w:tc>
          <w:tcPr>
            <w:tcW w:w="1102" w:type="dxa"/>
            <w:tcBorders>
              <w:top w:val="nil"/>
              <w:left w:val="nil"/>
              <w:bottom w:val="nil"/>
              <w:right w:val="nil"/>
            </w:tcBorders>
            <w:shd w:val="clear" w:color="auto" w:fill="auto"/>
            <w:vAlign w:val="center"/>
            <w:hideMark/>
          </w:tcPr>
          <w:p w14:paraId="0E900805"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469053CD"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11714</w:t>
            </w:r>
          </w:p>
        </w:tc>
        <w:tc>
          <w:tcPr>
            <w:tcW w:w="2162" w:type="dxa"/>
            <w:tcBorders>
              <w:top w:val="nil"/>
              <w:left w:val="nil"/>
              <w:bottom w:val="nil"/>
              <w:right w:val="nil"/>
            </w:tcBorders>
            <w:shd w:val="clear" w:color="auto" w:fill="auto"/>
            <w:noWrap/>
            <w:vAlign w:val="center"/>
            <w:hideMark/>
          </w:tcPr>
          <w:p w14:paraId="29EBAADA"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82.7</w:t>
            </w:r>
          </w:p>
        </w:tc>
      </w:tr>
      <w:tr w:rsidR="00010D50" w:rsidRPr="00F23F20" w14:paraId="749AAD23" w14:textId="77777777" w:rsidTr="00E14F7B">
        <w:trPr>
          <w:trHeight w:val="255"/>
          <w:jc w:val="center"/>
        </w:trPr>
        <w:tc>
          <w:tcPr>
            <w:tcW w:w="6660" w:type="dxa"/>
            <w:tcBorders>
              <w:top w:val="nil"/>
              <w:left w:val="nil"/>
              <w:bottom w:val="nil"/>
              <w:right w:val="nil"/>
            </w:tcBorders>
            <w:shd w:val="clear" w:color="auto" w:fill="auto"/>
            <w:vAlign w:val="center"/>
            <w:hideMark/>
          </w:tcPr>
          <w:p w14:paraId="775347C9"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Lipid Transport and Metabolism</w:t>
            </w:r>
          </w:p>
        </w:tc>
        <w:tc>
          <w:tcPr>
            <w:tcW w:w="1102" w:type="dxa"/>
            <w:tcBorders>
              <w:top w:val="nil"/>
              <w:left w:val="nil"/>
              <w:bottom w:val="nil"/>
              <w:right w:val="nil"/>
            </w:tcBorders>
            <w:shd w:val="clear" w:color="auto" w:fill="auto"/>
            <w:vAlign w:val="center"/>
            <w:hideMark/>
          </w:tcPr>
          <w:p w14:paraId="50F5E307"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04136AE0"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3609</w:t>
            </w:r>
          </w:p>
        </w:tc>
        <w:tc>
          <w:tcPr>
            <w:tcW w:w="2162" w:type="dxa"/>
            <w:tcBorders>
              <w:top w:val="nil"/>
              <w:left w:val="nil"/>
              <w:bottom w:val="nil"/>
              <w:right w:val="nil"/>
            </w:tcBorders>
            <w:shd w:val="clear" w:color="auto" w:fill="auto"/>
            <w:noWrap/>
            <w:vAlign w:val="center"/>
            <w:hideMark/>
          </w:tcPr>
          <w:p w14:paraId="77F7B2FE"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59.7</w:t>
            </w:r>
          </w:p>
        </w:tc>
      </w:tr>
      <w:tr w:rsidR="00010D50" w:rsidRPr="00F23F20" w14:paraId="4B941BF0" w14:textId="77777777" w:rsidTr="00E14F7B">
        <w:trPr>
          <w:trHeight w:val="255"/>
          <w:jc w:val="center"/>
        </w:trPr>
        <w:tc>
          <w:tcPr>
            <w:tcW w:w="6660" w:type="dxa"/>
            <w:tcBorders>
              <w:top w:val="nil"/>
              <w:left w:val="nil"/>
              <w:bottom w:val="nil"/>
              <w:right w:val="nil"/>
            </w:tcBorders>
            <w:shd w:val="clear" w:color="auto" w:fill="auto"/>
            <w:vAlign w:val="center"/>
            <w:hideMark/>
          </w:tcPr>
          <w:p w14:paraId="6CF10316"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Translation Ribosomal Structure and Biogenesis</w:t>
            </w:r>
          </w:p>
        </w:tc>
        <w:tc>
          <w:tcPr>
            <w:tcW w:w="1102" w:type="dxa"/>
            <w:tcBorders>
              <w:top w:val="nil"/>
              <w:left w:val="nil"/>
              <w:bottom w:val="nil"/>
              <w:right w:val="nil"/>
            </w:tcBorders>
            <w:shd w:val="clear" w:color="auto" w:fill="auto"/>
            <w:vAlign w:val="center"/>
            <w:hideMark/>
          </w:tcPr>
          <w:p w14:paraId="75104811"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0CA9B5BB"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6089</w:t>
            </w:r>
          </w:p>
        </w:tc>
        <w:tc>
          <w:tcPr>
            <w:tcW w:w="2162" w:type="dxa"/>
            <w:tcBorders>
              <w:top w:val="nil"/>
              <w:left w:val="nil"/>
              <w:bottom w:val="nil"/>
              <w:right w:val="nil"/>
            </w:tcBorders>
            <w:shd w:val="clear" w:color="auto" w:fill="auto"/>
            <w:noWrap/>
            <w:vAlign w:val="center"/>
            <w:hideMark/>
          </w:tcPr>
          <w:p w14:paraId="65AD7CA8"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71.4</w:t>
            </w:r>
          </w:p>
        </w:tc>
      </w:tr>
      <w:tr w:rsidR="00010D50" w:rsidRPr="00F23F20" w14:paraId="3E34D122" w14:textId="77777777" w:rsidTr="00E14F7B">
        <w:trPr>
          <w:trHeight w:val="255"/>
          <w:jc w:val="center"/>
        </w:trPr>
        <w:tc>
          <w:tcPr>
            <w:tcW w:w="6660" w:type="dxa"/>
            <w:tcBorders>
              <w:top w:val="nil"/>
              <w:left w:val="nil"/>
              <w:bottom w:val="nil"/>
              <w:right w:val="nil"/>
            </w:tcBorders>
            <w:shd w:val="clear" w:color="auto" w:fill="auto"/>
            <w:vAlign w:val="center"/>
            <w:hideMark/>
          </w:tcPr>
          <w:p w14:paraId="0C00970A"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Transcription</w:t>
            </w:r>
          </w:p>
        </w:tc>
        <w:tc>
          <w:tcPr>
            <w:tcW w:w="1102" w:type="dxa"/>
            <w:tcBorders>
              <w:top w:val="nil"/>
              <w:left w:val="nil"/>
              <w:bottom w:val="nil"/>
              <w:right w:val="nil"/>
            </w:tcBorders>
            <w:shd w:val="clear" w:color="auto" w:fill="auto"/>
            <w:vAlign w:val="center"/>
            <w:hideMark/>
          </w:tcPr>
          <w:p w14:paraId="0DAF0DBD"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0FAEBA7E"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13960</w:t>
            </w:r>
          </w:p>
        </w:tc>
        <w:tc>
          <w:tcPr>
            <w:tcW w:w="2162" w:type="dxa"/>
            <w:tcBorders>
              <w:top w:val="nil"/>
              <w:left w:val="nil"/>
              <w:bottom w:val="nil"/>
              <w:right w:val="nil"/>
            </w:tcBorders>
            <w:shd w:val="clear" w:color="auto" w:fill="auto"/>
            <w:noWrap/>
            <w:vAlign w:val="center"/>
            <w:hideMark/>
          </w:tcPr>
          <w:p w14:paraId="3D353B68"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84</w:t>
            </w:r>
          </w:p>
        </w:tc>
      </w:tr>
      <w:tr w:rsidR="00010D50" w:rsidRPr="00F23F20" w14:paraId="0EF5C71F" w14:textId="77777777" w:rsidTr="00E14F7B">
        <w:trPr>
          <w:trHeight w:val="255"/>
          <w:jc w:val="center"/>
        </w:trPr>
        <w:tc>
          <w:tcPr>
            <w:tcW w:w="6660" w:type="dxa"/>
            <w:tcBorders>
              <w:top w:val="nil"/>
              <w:left w:val="nil"/>
              <w:bottom w:val="nil"/>
              <w:right w:val="nil"/>
            </w:tcBorders>
            <w:shd w:val="clear" w:color="auto" w:fill="auto"/>
            <w:vAlign w:val="center"/>
            <w:hideMark/>
          </w:tcPr>
          <w:p w14:paraId="0B47E2B7"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Replication, Recombination, and Repair</w:t>
            </w:r>
          </w:p>
        </w:tc>
        <w:tc>
          <w:tcPr>
            <w:tcW w:w="1102" w:type="dxa"/>
            <w:tcBorders>
              <w:top w:val="nil"/>
              <w:left w:val="nil"/>
              <w:bottom w:val="nil"/>
              <w:right w:val="nil"/>
            </w:tcBorders>
            <w:shd w:val="clear" w:color="auto" w:fill="auto"/>
            <w:vAlign w:val="center"/>
            <w:hideMark/>
          </w:tcPr>
          <w:p w14:paraId="5FD14665"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7A866834"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3229</w:t>
            </w:r>
          </w:p>
        </w:tc>
        <w:tc>
          <w:tcPr>
            <w:tcW w:w="2162" w:type="dxa"/>
            <w:tcBorders>
              <w:top w:val="nil"/>
              <w:left w:val="nil"/>
              <w:bottom w:val="nil"/>
              <w:right w:val="nil"/>
            </w:tcBorders>
            <w:shd w:val="clear" w:color="auto" w:fill="auto"/>
            <w:noWrap/>
            <w:vAlign w:val="center"/>
            <w:hideMark/>
          </w:tcPr>
          <w:p w14:paraId="11589917"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56.6</w:t>
            </w:r>
          </w:p>
        </w:tc>
      </w:tr>
      <w:tr w:rsidR="00010D50" w:rsidRPr="00F23F20" w14:paraId="1F5734DB" w14:textId="77777777" w:rsidTr="00E14F7B">
        <w:trPr>
          <w:trHeight w:val="255"/>
          <w:jc w:val="center"/>
        </w:trPr>
        <w:tc>
          <w:tcPr>
            <w:tcW w:w="6660" w:type="dxa"/>
            <w:tcBorders>
              <w:top w:val="nil"/>
              <w:left w:val="nil"/>
              <w:bottom w:val="nil"/>
              <w:right w:val="nil"/>
            </w:tcBorders>
            <w:shd w:val="clear" w:color="auto" w:fill="auto"/>
            <w:vAlign w:val="center"/>
            <w:hideMark/>
          </w:tcPr>
          <w:p w14:paraId="05E4B9D8"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Cell Wall Membrane Envelope Biogenesis</w:t>
            </w:r>
          </w:p>
        </w:tc>
        <w:tc>
          <w:tcPr>
            <w:tcW w:w="1102" w:type="dxa"/>
            <w:tcBorders>
              <w:top w:val="nil"/>
              <w:left w:val="nil"/>
              <w:bottom w:val="nil"/>
              <w:right w:val="nil"/>
            </w:tcBorders>
            <w:shd w:val="clear" w:color="auto" w:fill="auto"/>
            <w:vAlign w:val="center"/>
            <w:hideMark/>
          </w:tcPr>
          <w:p w14:paraId="32BA552F"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3162AB04"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7347</w:t>
            </w:r>
          </w:p>
        </w:tc>
        <w:tc>
          <w:tcPr>
            <w:tcW w:w="2162" w:type="dxa"/>
            <w:tcBorders>
              <w:top w:val="nil"/>
              <w:left w:val="nil"/>
              <w:bottom w:val="nil"/>
              <w:right w:val="nil"/>
            </w:tcBorders>
            <w:shd w:val="clear" w:color="auto" w:fill="auto"/>
            <w:noWrap/>
            <w:vAlign w:val="center"/>
            <w:hideMark/>
          </w:tcPr>
          <w:p w14:paraId="3147821C"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75.1</w:t>
            </w:r>
          </w:p>
        </w:tc>
      </w:tr>
      <w:tr w:rsidR="00010D50" w:rsidRPr="00F23F20" w14:paraId="0E222036" w14:textId="77777777" w:rsidTr="00E14F7B">
        <w:trPr>
          <w:trHeight w:val="255"/>
          <w:jc w:val="center"/>
        </w:trPr>
        <w:tc>
          <w:tcPr>
            <w:tcW w:w="6660" w:type="dxa"/>
            <w:tcBorders>
              <w:top w:val="nil"/>
              <w:left w:val="nil"/>
              <w:bottom w:val="nil"/>
              <w:right w:val="nil"/>
            </w:tcBorders>
            <w:shd w:val="clear" w:color="auto" w:fill="auto"/>
            <w:vAlign w:val="center"/>
            <w:hideMark/>
          </w:tcPr>
          <w:p w14:paraId="6F937060"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Cell Motility</w:t>
            </w:r>
          </w:p>
        </w:tc>
        <w:tc>
          <w:tcPr>
            <w:tcW w:w="1102" w:type="dxa"/>
            <w:tcBorders>
              <w:top w:val="nil"/>
              <w:left w:val="nil"/>
              <w:bottom w:val="nil"/>
              <w:right w:val="nil"/>
            </w:tcBorders>
            <w:shd w:val="clear" w:color="auto" w:fill="auto"/>
            <w:vAlign w:val="center"/>
            <w:hideMark/>
          </w:tcPr>
          <w:p w14:paraId="064B0345"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06C9333B"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953</w:t>
            </w:r>
          </w:p>
        </w:tc>
        <w:tc>
          <w:tcPr>
            <w:tcW w:w="2162" w:type="dxa"/>
            <w:tcBorders>
              <w:top w:val="nil"/>
              <w:left w:val="nil"/>
              <w:bottom w:val="nil"/>
              <w:right w:val="nil"/>
            </w:tcBorders>
            <w:shd w:val="clear" w:color="auto" w:fill="auto"/>
            <w:noWrap/>
            <w:vAlign w:val="center"/>
            <w:hideMark/>
          </w:tcPr>
          <w:p w14:paraId="6FBF04A5"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28.1</w:t>
            </w:r>
          </w:p>
        </w:tc>
      </w:tr>
      <w:tr w:rsidR="00010D50" w:rsidRPr="00F23F20" w14:paraId="3B5E1408" w14:textId="77777777" w:rsidTr="00E14F7B">
        <w:trPr>
          <w:trHeight w:val="255"/>
          <w:jc w:val="center"/>
        </w:trPr>
        <w:tc>
          <w:tcPr>
            <w:tcW w:w="6660" w:type="dxa"/>
            <w:tcBorders>
              <w:top w:val="nil"/>
              <w:left w:val="nil"/>
              <w:bottom w:val="nil"/>
              <w:right w:val="nil"/>
            </w:tcBorders>
            <w:shd w:val="clear" w:color="auto" w:fill="auto"/>
            <w:vAlign w:val="center"/>
            <w:hideMark/>
          </w:tcPr>
          <w:p w14:paraId="4E3A6B3E"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Posttranslational Modification, Protein Turnover, chaperones</w:t>
            </w:r>
          </w:p>
        </w:tc>
        <w:tc>
          <w:tcPr>
            <w:tcW w:w="1102" w:type="dxa"/>
            <w:tcBorders>
              <w:top w:val="nil"/>
              <w:left w:val="nil"/>
              <w:bottom w:val="nil"/>
              <w:right w:val="nil"/>
            </w:tcBorders>
            <w:shd w:val="clear" w:color="auto" w:fill="auto"/>
            <w:vAlign w:val="center"/>
            <w:hideMark/>
          </w:tcPr>
          <w:p w14:paraId="32310922"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1E382E80"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8067</w:t>
            </w:r>
          </w:p>
        </w:tc>
        <w:tc>
          <w:tcPr>
            <w:tcW w:w="2162" w:type="dxa"/>
            <w:tcBorders>
              <w:top w:val="nil"/>
              <w:left w:val="nil"/>
              <w:bottom w:val="nil"/>
              <w:right w:val="nil"/>
            </w:tcBorders>
            <w:shd w:val="clear" w:color="auto" w:fill="auto"/>
            <w:noWrap/>
            <w:vAlign w:val="center"/>
            <w:hideMark/>
          </w:tcPr>
          <w:p w14:paraId="6C5CB379"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76.8</w:t>
            </w:r>
          </w:p>
        </w:tc>
      </w:tr>
      <w:tr w:rsidR="00010D50" w:rsidRPr="00F23F20" w14:paraId="229B5E1A" w14:textId="77777777" w:rsidTr="00E14F7B">
        <w:trPr>
          <w:trHeight w:val="255"/>
          <w:jc w:val="center"/>
        </w:trPr>
        <w:tc>
          <w:tcPr>
            <w:tcW w:w="6660" w:type="dxa"/>
            <w:tcBorders>
              <w:top w:val="nil"/>
              <w:left w:val="nil"/>
              <w:bottom w:val="nil"/>
              <w:right w:val="nil"/>
            </w:tcBorders>
            <w:shd w:val="clear" w:color="auto" w:fill="auto"/>
            <w:vAlign w:val="center"/>
            <w:hideMark/>
          </w:tcPr>
          <w:p w14:paraId="2333401D"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Inorganic Ion Transport and Metabolism</w:t>
            </w:r>
          </w:p>
        </w:tc>
        <w:tc>
          <w:tcPr>
            <w:tcW w:w="1102" w:type="dxa"/>
            <w:tcBorders>
              <w:top w:val="nil"/>
              <w:left w:val="nil"/>
              <w:bottom w:val="nil"/>
              <w:right w:val="nil"/>
            </w:tcBorders>
            <w:shd w:val="clear" w:color="auto" w:fill="auto"/>
            <w:vAlign w:val="center"/>
            <w:hideMark/>
          </w:tcPr>
          <w:p w14:paraId="002F5DC6"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342D221D"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10606</w:t>
            </w:r>
          </w:p>
        </w:tc>
        <w:tc>
          <w:tcPr>
            <w:tcW w:w="2162" w:type="dxa"/>
            <w:tcBorders>
              <w:top w:val="nil"/>
              <w:left w:val="nil"/>
              <w:bottom w:val="nil"/>
              <w:right w:val="nil"/>
            </w:tcBorders>
            <w:shd w:val="clear" w:color="auto" w:fill="auto"/>
            <w:noWrap/>
            <w:vAlign w:val="center"/>
            <w:hideMark/>
          </w:tcPr>
          <w:p w14:paraId="42827A51"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81.3</w:t>
            </w:r>
          </w:p>
        </w:tc>
      </w:tr>
      <w:tr w:rsidR="00010D50" w:rsidRPr="00F23F20" w14:paraId="18AFC641" w14:textId="77777777" w:rsidTr="00E14F7B">
        <w:trPr>
          <w:trHeight w:val="255"/>
          <w:jc w:val="center"/>
        </w:trPr>
        <w:tc>
          <w:tcPr>
            <w:tcW w:w="6660" w:type="dxa"/>
            <w:tcBorders>
              <w:top w:val="nil"/>
              <w:left w:val="nil"/>
              <w:bottom w:val="nil"/>
              <w:right w:val="nil"/>
            </w:tcBorders>
            <w:shd w:val="clear" w:color="auto" w:fill="auto"/>
            <w:vAlign w:val="center"/>
            <w:hideMark/>
          </w:tcPr>
          <w:p w14:paraId="3D75DBC5"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Secondary Metabolites Biosynthesis, Transport, and Catabolism</w:t>
            </w:r>
          </w:p>
        </w:tc>
        <w:tc>
          <w:tcPr>
            <w:tcW w:w="1102" w:type="dxa"/>
            <w:tcBorders>
              <w:top w:val="nil"/>
              <w:left w:val="nil"/>
              <w:bottom w:val="nil"/>
              <w:right w:val="nil"/>
            </w:tcBorders>
            <w:shd w:val="clear" w:color="auto" w:fill="auto"/>
            <w:vAlign w:val="center"/>
            <w:hideMark/>
          </w:tcPr>
          <w:p w14:paraId="6D7CE39D"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6B34F013"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3993</w:t>
            </w:r>
          </w:p>
        </w:tc>
        <w:tc>
          <w:tcPr>
            <w:tcW w:w="2162" w:type="dxa"/>
            <w:tcBorders>
              <w:top w:val="nil"/>
              <w:left w:val="nil"/>
              <w:bottom w:val="nil"/>
              <w:right w:val="nil"/>
            </w:tcBorders>
            <w:shd w:val="clear" w:color="auto" w:fill="auto"/>
            <w:noWrap/>
            <w:vAlign w:val="center"/>
            <w:hideMark/>
          </w:tcPr>
          <w:p w14:paraId="68EAF46C"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62.1</w:t>
            </w:r>
          </w:p>
        </w:tc>
      </w:tr>
      <w:tr w:rsidR="00010D50" w:rsidRPr="00F23F20" w14:paraId="373AF43C" w14:textId="77777777" w:rsidTr="00E14F7B">
        <w:trPr>
          <w:trHeight w:val="255"/>
          <w:jc w:val="center"/>
        </w:trPr>
        <w:tc>
          <w:tcPr>
            <w:tcW w:w="6660" w:type="dxa"/>
            <w:tcBorders>
              <w:top w:val="nil"/>
              <w:left w:val="nil"/>
              <w:bottom w:val="nil"/>
              <w:right w:val="nil"/>
            </w:tcBorders>
            <w:shd w:val="clear" w:color="auto" w:fill="auto"/>
            <w:vAlign w:val="center"/>
            <w:hideMark/>
          </w:tcPr>
          <w:p w14:paraId="2A55581F"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General Function Prediction Only</w:t>
            </w:r>
          </w:p>
        </w:tc>
        <w:tc>
          <w:tcPr>
            <w:tcW w:w="1102" w:type="dxa"/>
            <w:tcBorders>
              <w:top w:val="nil"/>
              <w:left w:val="nil"/>
              <w:bottom w:val="nil"/>
              <w:right w:val="nil"/>
            </w:tcBorders>
            <w:shd w:val="clear" w:color="auto" w:fill="auto"/>
            <w:vAlign w:val="center"/>
            <w:hideMark/>
          </w:tcPr>
          <w:p w14:paraId="2722730E"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6FA4B919"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28676</w:t>
            </w:r>
          </w:p>
        </w:tc>
        <w:tc>
          <w:tcPr>
            <w:tcW w:w="2162" w:type="dxa"/>
            <w:tcBorders>
              <w:top w:val="nil"/>
              <w:left w:val="nil"/>
              <w:bottom w:val="nil"/>
              <w:right w:val="nil"/>
            </w:tcBorders>
            <w:shd w:val="clear" w:color="auto" w:fill="auto"/>
            <w:noWrap/>
            <w:vAlign w:val="center"/>
            <w:hideMark/>
          </w:tcPr>
          <w:p w14:paraId="1D5DEC32"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92.1</w:t>
            </w:r>
          </w:p>
        </w:tc>
      </w:tr>
      <w:tr w:rsidR="00010D50" w:rsidRPr="00F23F20" w14:paraId="4053CF7E" w14:textId="77777777" w:rsidTr="00E14F7B">
        <w:trPr>
          <w:trHeight w:val="255"/>
          <w:jc w:val="center"/>
        </w:trPr>
        <w:tc>
          <w:tcPr>
            <w:tcW w:w="6660" w:type="dxa"/>
            <w:tcBorders>
              <w:top w:val="nil"/>
              <w:left w:val="nil"/>
              <w:bottom w:val="nil"/>
              <w:right w:val="nil"/>
            </w:tcBorders>
            <w:shd w:val="clear" w:color="auto" w:fill="auto"/>
            <w:vAlign w:val="center"/>
            <w:hideMark/>
          </w:tcPr>
          <w:p w14:paraId="6BB872DE"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Function Unknown</w:t>
            </w:r>
          </w:p>
        </w:tc>
        <w:tc>
          <w:tcPr>
            <w:tcW w:w="1102" w:type="dxa"/>
            <w:tcBorders>
              <w:top w:val="nil"/>
              <w:left w:val="nil"/>
              <w:bottom w:val="nil"/>
              <w:right w:val="nil"/>
            </w:tcBorders>
            <w:shd w:val="clear" w:color="auto" w:fill="auto"/>
            <w:vAlign w:val="center"/>
            <w:hideMark/>
          </w:tcPr>
          <w:p w14:paraId="1E1B9D05"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246391B9"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12393</w:t>
            </w:r>
          </w:p>
        </w:tc>
        <w:tc>
          <w:tcPr>
            <w:tcW w:w="2162" w:type="dxa"/>
            <w:tcBorders>
              <w:top w:val="nil"/>
              <w:left w:val="nil"/>
              <w:bottom w:val="nil"/>
              <w:right w:val="nil"/>
            </w:tcBorders>
            <w:shd w:val="clear" w:color="auto" w:fill="auto"/>
            <w:noWrap/>
            <w:vAlign w:val="center"/>
            <w:hideMark/>
          </w:tcPr>
          <w:p w14:paraId="1ADA35EF"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83.6</w:t>
            </w:r>
          </w:p>
        </w:tc>
      </w:tr>
      <w:tr w:rsidR="00010D50" w:rsidRPr="00F23F20" w14:paraId="0D77B492" w14:textId="77777777" w:rsidTr="00E14F7B">
        <w:trPr>
          <w:trHeight w:val="255"/>
          <w:jc w:val="center"/>
        </w:trPr>
        <w:tc>
          <w:tcPr>
            <w:tcW w:w="6660" w:type="dxa"/>
            <w:tcBorders>
              <w:top w:val="nil"/>
              <w:left w:val="nil"/>
              <w:bottom w:val="nil"/>
              <w:right w:val="nil"/>
            </w:tcBorders>
            <w:shd w:val="clear" w:color="auto" w:fill="auto"/>
            <w:vAlign w:val="center"/>
            <w:hideMark/>
          </w:tcPr>
          <w:p w14:paraId="6A4BDB0E"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Signal Transduction Mechanisms</w:t>
            </w:r>
          </w:p>
        </w:tc>
        <w:tc>
          <w:tcPr>
            <w:tcW w:w="1102" w:type="dxa"/>
            <w:tcBorders>
              <w:top w:val="nil"/>
              <w:left w:val="nil"/>
              <w:bottom w:val="nil"/>
              <w:right w:val="nil"/>
            </w:tcBorders>
            <w:shd w:val="clear" w:color="auto" w:fill="auto"/>
            <w:vAlign w:val="center"/>
            <w:hideMark/>
          </w:tcPr>
          <w:p w14:paraId="7B1F9075"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04F5D9AF"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7733</w:t>
            </w:r>
          </w:p>
        </w:tc>
        <w:tc>
          <w:tcPr>
            <w:tcW w:w="2162" w:type="dxa"/>
            <w:tcBorders>
              <w:top w:val="nil"/>
              <w:left w:val="nil"/>
              <w:bottom w:val="nil"/>
              <w:right w:val="nil"/>
            </w:tcBorders>
            <w:shd w:val="clear" w:color="auto" w:fill="auto"/>
            <w:noWrap/>
            <w:vAlign w:val="center"/>
            <w:hideMark/>
          </w:tcPr>
          <w:p w14:paraId="66ACC7BE"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76</w:t>
            </w:r>
          </w:p>
        </w:tc>
      </w:tr>
      <w:tr w:rsidR="00010D50" w:rsidRPr="00F23F20" w14:paraId="47469767" w14:textId="77777777" w:rsidTr="00E14F7B">
        <w:trPr>
          <w:trHeight w:val="255"/>
          <w:jc w:val="center"/>
        </w:trPr>
        <w:tc>
          <w:tcPr>
            <w:tcW w:w="6660" w:type="dxa"/>
            <w:tcBorders>
              <w:top w:val="nil"/>
              <w:left w:val="nil"/>
              <w:bottom w:val="nil"/>
              <w:right w:val="nil"/>
            </w:tcBorders>
            <w:shd w:val="clear" w:color="auto" w:fill="auto"/>
            <w:vAlign w:val="center"/>
            <w:hideMark/>
          </w:tcPr>
          <w:p w14:paraId="4456F1C5"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Intracellular Trafficking Secretion and Vesicular Transport</w:t>
            </w:r>
          </w:p>
        </w:tc>
        <w:tc>
          <w:tcPr>
            <w:tcW w:w="1102" w:type="dxa"/>
            <w:tcBorders>
              <w:top w:val="nil"/>
              <w:left w:val="nil"/>
              <w:bottom w:val="nil"/>
              <w:right w:val="nil"/>
            </w:tcBorders>
            <w:shd w:val="clear" w:color="auto" w:fill="auto"/>
            <w:vAlign w:val="center"/>
            <w:hideMark/>
          </w:tcPr>
          <w:p w14:paraId="5685FD43"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bottom w:val="nil"/>
              <w:right w:val="nil"/>
            </w:tcBorders>
            <w:shd w:val="clear" w:color="auto" w:fill="auto"/>
            <w:noWrap/>
            <w:vAlign w:val="center"/>
            <w:hideMark/>
          </w:tcPr>
          <w:p w14:paraId="6D51E65A"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1313</w:t>
            </w:r>
          </w:p>
        </w:tc>
        <w:tc>
          <w:tcPr>
            <w:tcW w:w="2162" w:type="dxa"/>
            <w:tcBorders>
              <w:top w:val="nil"/>
              <w:left w:val="nil"/>
              <w:bottom w:val="nil"/>
              <w:right w:val="nil"/>
            </w:tcBorders>
            <w:shd w:val="clear" w:color="auto" w:fill="auto"/>
            <w:noWrap/>
            <w:vAlign w:val="center"/>
            <w:hideMark/>
          </w:tcPr>
          <w:p w14:paraId="79FF03ED"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35</w:t>
            </w:r>
          </w:p>
        </w:tc>
      </w:tr>
      <w:tr w:rsidR="00010D50" w:rsidRPr="00F23F20" w14:paraId="7D845B4D" w14:textId="77777777" w:rsidTr="00E14F7B">
        <w:trPr>
          <w:trHeight w:val="255"/>
          <w:jc w:val="center"/>
        </w:trPr>
        <w:tc>
          <w:tcPr>
            <w:tcW w:w="6660" w:type="dxa"/>
            <w:tcBorders>
              <w:top w:val="nil"/>
              <w:left w:val="nil"/>
              <w:right w:val="nil"/>
            </w:tcBorders>
            <w:shd w:val="clear" w:color="auto" w:fill="auto"/>
            <w:vAlign w:val="center"/>
            <w:hideMark/>
          </w:tcPr>
          <w:p w14:paraId="7A2B3171"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Defense Mechanisms</w:t>
            </w:r>
          </w:p>
        </w:tc>
        <w:tc>
          <w:tcPr>
            <w:tcW w:w="1102" w:type="dxa"/>
            <w:tcBorders>
              <w:top w:val="nil"/>
              <w:left w:val="nil"/>
              <w:right w:val="nil"/>
            </w:tcBorders>
            <w:shd w:val="clear" w:color="auto" w:fill="auto"/>
            <w:vAlign w:val="center"/>
            <w:hideMark/>
          </w:tcPr>
          <w:p w14:paraId="6614B2E3"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w:t>
            </w:r>
          </w:p>
        </w:tc>
        <w:tc>
          <w:tcPr>
            <w:tcW w:w="1058" w:type="dxa"/>
            <w:tcBorders>
              <w:top w:val="nil"/>
              <w:left w:val="nil"/>
              <w:right w:val="nil"/>
            </w:tcBorders>
            <w:shd w:val="clear" w:color="auto" w:fill="auto"/>
            <w:noWrap/>
            <w:vAlign w:val="center"/>
            <w:hideMark/>
          </w:tcPr>
          <w:p w14:paraId="431F8B9A"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4383</w:t>
            </w:r>
          </w:p>
        </w:tc>
        <w:tc>
          <w:tcPr>
            <w:tcW w:w="2162" w:type="dxa"/>
            <w:tcBorders>
              <w:top w:val="nil"/>
              <w:left w:val="nil"/>
              <w:right w:val="nil"/>
            </w:tcBorders>
            <w:shd w:val="clear" w:color="auto" w:fill="auto"/>
            <w:noWrap/>
            <w:vAlign w:val="center"/>
            <w:hideMark/>
          </w:tcPr>
          <w:p w14:paraId="2C3B6452"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64.3</w:t>
            </w:r>
          </w:p>
        </w:tc>
      </w:tr>
      <w:tr w:rsidR="00010D50" w:rsidRPr="00F23F20" w14:paraId="2248266C" w14:textId="77777777" w:rsidTr="00E14F7B">
        <w:trPr>
          <w:trHeight w:val="255"/>
          <w:jc w:val="center"/>
        </w:trPr>
        <w:tc>
          <w:tcPr>
            <w:tcW w:w="6660" w:type="dxa"/>
            <w:tcBorders>
              <w:top w:val="nil"/>
              <w:left w:val="nil"/>
              <w:bottom w:val="single" w:sz="18" w:space="0" w:color="auto"/>
              <w:right w:val="nil"/>
            </w:tcBorders>
            <w:shd w:val="clear" w:color="auto" w:fill="auto"/>
            <w:vAlign w:val="center"/>
            <w:hideMark/>
          </w:tcPr>
          <w:p w14:paraId="59AF9E0B" w14:textId="77777777" w:rsidR="00010D50" w:rsidRPr="00F23F20" w:rsidRDefault="00010D50" w:rsidP="00E14F7B">
            <w:pPr>
              <w:rPr>
                <w:rFonts w:ascii="Times New Roman" w:hAnsi="Times New Roman" w:cs="Times New Roman"/>
              </w:rPr>
            </w:pPr>
            <w:r w:rsidRPr="00F23F20">
              <w:rPr>
                <w:rFonts w:ascii="Times New Roman" w:hAnsi="Times New Roman" w:cs="Times New Roman"/>
              </w:rPr>
              <w:t>Cytoskeleton</w:t>
            </w:r>
          </w:p>
        </w:tc>
        <w:tc>
          <w:tcPr>
            <w:tcW w:w="1102" w:type="dxa"/>
            <w:tcBorders>
              <w:top w:val="nil"/>
              <w:left w:val="nil"/>
              <w:bottom w:val="single" w:sz="18" w:space="0" w:color="auto"/>
              <w:right w:val="nil"/>
            </w:tcBorders>
            <w:shd w:val="clear" w:color="auto" w:fill="auto"/>
            <w:noWrap/>
            <w:vAlign w:val="center"/>
            <w:hideMark/>
          </w:tcPr>
          <w:p w14:paraId="414EFC9D"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w:t>
            </w:r>
          </w:p>
        </w:tc>
        <w:tc>
          <w:tcPr>
            <w:tcW w:w="1058" w:type="dxa"/>
            <w:tcBorders>
              <w:top w:val="nil"/>
              <w:left w:val="nil"/>
              <w:bottom w:val="single" w:sz="18" w:space="0" w:color="auto"/>
              <w:right w:val="nil"/>
            </w:tcBorders>
            <w:shd w:val="clear" w:color="auto" w:fill="auto"/>
            <w:noWrap/>
            <w:vAlign w:val="center"/>
            <w:hideMark/>
          </w:tcPr>
          <w:p w14:paraId="0E3DED1A"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351</w:t>
            </w:r>
          </w:p>
        </w:tc>
        <w:tc>
          <w:tcPr>
            <w:tcW w:w="2162" w:type="dxa"/>
            <w:tcBorders>
              <w:top w:val="nil"/>
              <w:left w:val="nil"/>
              <w:bottom w:val="single" w:sz="18" w:space="0" w:color="auto"/>
              <w:right w:val="nil"/>
            </w:tcBorders>
            <w:shd w:val="clear" w:color="auto" w:fill="auto"/>
            <w:noWrap/>
            <w:vAlign w:val="center"/>
            <w:hideMark/>
          </w:tcPr>
          <w:p w14:paraId="78BDBEA8" w14:textId="77777777" w:rsidR="00010D50" w:rsidRPr="00F23F20" w:rsidRDefault="00010D50" w:rsidP="00E14F7B">
            <w:pPr>
              <w:rPr>
                <w:rFonts w:ascii="Times New Roman" w:hAnsi="Times New Roman" w:cs="Times New Roman"/>
                <w:color w:val="000000"/>
              </w:rPr>
            </w:pPr>
            <w:r w:rsidRPr="00F23F20">
              <w:rPr>
                <w:rFonts w:ascii="Times New Roman" w:hAnsi="Times New Roman" w:cs="Times New Roman"/>
                <w:color w:val="000000"/>
              </w:rPr>
              <w:t>12.5</w:t>
            </w:r>
          </w:p>
        </w:tc>
      </w:tr>
    </w:tbl>
    <w:p w14:paraId="44F6CC95" w14:textId="77777777" w:rsidR="00010D50" w:rsidRPr="00F23F20" w:rsidRDefault="00010D50" w:rsidP="00010D50">
      <w:pPr>
        <w:rPr>
          <w:rFonts w:ascii="Times New Roman" w:eastAsia="Calibri" w:hAnsi="Times New Roman" w:cs="Times New Roman"/>
          <w:lang w:eastAsia="zh-CN" w:bidi="hi-IN"/>
        </w:rPr>
      </w:pPr>
      <w:r w:rsidRPr="00F23F20">
        <w:rPr>
          <w:rFonts w:ascii="Times New Roman" w:hAnsi="Times New Roman" w:cs="Times New Roman"/>
          <w:color w:val="000000"/>
        </w:rPr>
        <w:t xml:space="preserve">* Denotes a statistically significant </w:t>
      </w:r>
      <w:r w:rsidRPr="00F23F20">
        <w:rPr>
          <w:rFonts w:ascii="Times New Roman" w:hAnsi="Times New Roman" w:cs="Times New Roman"/>
          <w:i/>
          <w:iCs/>
          <w:color w:val="000000"/>
        </w:rPr>
        <w:t>p</w:t>
      </w:r>
      <w:r w:rsidRPr="00F23F20">
        <w:rPr>
          <w:rFonts w:ascii="Times New Roman" w:hAnsi="Times New Roman" w:cs="Times New Roman"/>
          <w:color w:val="000000"/>
        </w:rPr>
        <w:t>-value (</w:t>
      </w:r>
      <w:r w:rsidRPr="00F23F20">
        <w:rPr>
          <w:rFonts w:ascii="Times New Roman" w:hAnsi="Times New Roman" w:cs="Times New Roman"/>
          <w:i/>
          <w:iCs/>
          <w:color w:val="000000"/>
        </w:rPr>
        <w:t>p</w:t>
      </w:r>
      <w:r w:rsidRPr="00F23F20">
        <w:rPr>
          <w:rFonts w:ascii="Times New Roman" w:hAnsi="Times New Roman" w:cs="Times New Roman"/>
          <w:color w:val="000000"/>
        </w:rPr>
        <w:t>&lt;0.05)</w:t>
      </w:r>
    </w:p>
    <w:p w14:paraId="4B1357AE" w14:textId="77777777" w:rsidR="00010D50" w:rsidRPr="00F23F20" w:rsidRDefault="00010D50" w:rsidP="00010D50">
      <w:pPr>
        <w:rPr>
          <w:rFonts w:ascii="Times New Roman" w:eastAsia="WenQuanYi Zen Hei Sharp" w:hAnsi="Times New Roman" w:cs="Times New Roman"/>
          <w:b/>
          <w:kern w:val="3"/>
          <w:lang w:eastAsia="zh-CN" w:bidi="hi-IN"/>
        </w:rPr>
      </w:pPr>
      <w:r w:rsidRPr="00F23F20">
        <w:rPr>
          <w:rFonts w:ascii="Times New Roman" w:eastAsia="WenQuanYi Zen Hei Sharp" w:hAnsi="Times New Roman" w:cs="Times New Roman"/>
          <w:b/>
          <w:kern w:val="3"/>
          <w:lang w:eastAsia="zh-CN" w:bidi="hi-IN"/>
        </w:rPr>
        <w:br w:type="page"/>
      </w:r>
    </w:p>
    <w:p w14:paraId="40178919" w14:textId="77777777" w:rsidR="00010D50" w:rsidRPr="00F23F20" w:rsidRDefault="00010D50" w:rsidP="00010D50">
      <w:pPr>
        <w:suppressAutoHyphens/>
        <w:autoSpaceDN w:val="0"/>
        <w:spacing w:line="480" w:lineRule="auto"/>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b/>
          <w:kern w:val="3"/>
          <w:lang w:eastAsia="zh-CN" w:bidi="hi-IN"/>
        </w:rPr>
        <w:lastRenderedPageBreak/>
        <w:t xml:space="preserve">Table 1.3 </w:t>
      </w:r>
      <w:r w:rsidRPr="00F23F20">
        <w:rPr>
          <w:rFonts w:ascii="Times New Roman" w:eastAsia="WenQuanYi Zen Hei Sharp" w:hAnsi="Times New Roman" w:cs="Times New Roman"/>
          <w:bCs/>
          <w:kern w:val="3"/>
          <w:lang w:eastAsia="zh-CN" w:bidi="hi-IN"/>
        </w:rPr>
        <w:t xml:space="preserve">Phylum highly enriched </w:t>
      </w:r>
      <w:r w:rsidRPr="00F23F20">
        <w:rPr>
          <w:rFonts w:ascii="Times New Roman" w:eastAsia="WenQuanYi Zen Hei Sharp" w:hAnsi="Times New Roman" w:cs="Times New Roman"/>
          <w:kern w:val="3"/>
          <w:lang w:eastAsia="zh-CN" w:bidi="hi-IN"/>
        </w:rPr>
        <w:t>(&gt;85</w:t>
      </w:r>
      <w:r w:rsidRPr="00F23F20">
        <w:rPr>
          <w:rFonts w:ascii="Times New Roman" w:eastAsia="WenQuanYi Zen Hei Sharp" w:hAnsi="Times New Roman" w:cs="Times New Roman"/>
          <w:kern w:val="3"/>
          <w:vertAlign w:val="superscript"/>
          <w:lang w:eastAsia="zh-CN" w:bidi="hi-IN"/>
        </w:rPr>
        <w:t>th</w:t>
      </w:r>
      <w:r w:rsidRPr="00F23F20">
        <w:rPr>
          <w:rFonts w:ascii="Times New Roman" w:eastAsia="WenQuanYi Zen Hei Sharp" w:hAnsi="Times New Roman" w:cs="Times New Roman"/>
          <w:kern w:val="3"/>
          <w:lang w:eastAsia="zh-CN" w:bidi="hi-IN"/>
        </w:rPr>
        <w:t xml:space="preserve"> percentile)</w:t>
      </w:r>
      <w:r w:rsidRPr="00F23F20">
        <w:rPr>
          <w:rFonts w:ascii="Times New Roman" w:eastAsia="WenQuanYi Zen Hei Sharp" w:hAnsi="Times New Roman" w:cs="Times New Roman"/>
          <w:bCs/>
          <w:kern w:val="3"/>
          <w:lang w:eastAsia="zh-CN" w:bidi="hi-IN"/>
        </w:rPr>
        <w:t xml:space="preserve"> or depleted </w:t>
      </w:r>
      <w:r w:rsidRPr="00F23F20">
        <w:rPr>
          <w:rFonts w:ascii="Times New Roman" w:eastAsia="WenQuanYi Zen Hei Sharp" w:hAnsi="Times New Roman" w:cs="Times New Roman"/>
          <w:kern w:val="3"/>
          <w:lang w:eastAsia="zh-CN" w:bidi="hi-IN"/>
        </w:rPr>
        <w:t>(&lt;15</w:t>
      </w:r>
      <w:r w:rsidRPr="00F23F20">
        <w:rPr>
          <w:rFonts w:ascii="Times New Roman" w:eastAsia="WenQuanYi Zen Hei Sharp" w:hAnsi="Times New Roman" w:cs="Times New Roman"/>
          <w:kern w:val="3"/>
          <w:vertAlign w:val="superscript"/>
          <w:lang w:eastAsia="zh-CN" w:bidi="hi-IN"/>
        </w:rPr>
        <w:t>th</w:t>
      </w:r>
      <w:r w:rsidRPr="00F23F20">
        <w:rPr>
          <w:rFonts w:ascii="Times New Roman" w:eastAsia="WenQuanYi Zen Hei Sharp" w:hAnsi="Times New Roman" w:cs="Times New Roman"/>
          <w:kern w:val="3"/>
          <w:lang w:eastAsia="zh-CN" w:bidi="hi-IN"/>
        </w:rPr>
        <w:t xml:space="preserve"> percentile) </w:t>
      </w:r>
      <w:r w:rsidRPr="00F23F20">
        <w:rPr>
          <w:rFonts w:ascii="Times New Roman" w:eastAsia="WenQuanYi Zen Hei Sharp" w:hAnsi="Times New Roman" w:cs="Times New Roman"/>
          <w:bCs/>
          <w:kern w:val="3"/>
          <w:lang w:eastAsia="zh-CN" w:bidi="hi-IN"/>
        </w:rPr>
        <w:t>in</w:t>
      </w:r>
      <w:r w:rsidRPr="00F23F20">
        <w:rPr>
          <w:rFonts w:ascii="Times New Roman" w:eastAsia="WenQuanYi Zen Hei Sharp" w:hAnsi="Times New Roman" w:cs="Times New Roman"/>
          <w:b/>
          <w:kern w:val="3"/>
          <w:lang w:eastAsia="zh-CN" w:bidi="hi-IN"/>
        </w:rPr>
        <w:t xml:space="preserve"> </w:t>
      </w:r>
      <w:r w:rsidRPr="00F23F20">
        <w:rPr>
          <w:rFonts w:ascii="Times New Roman" w:eastAsia="WenQuanYi Zen Hei Sharp" w:hAnsi="Times New Roman" w:cs="Times New Roman"/>
          <w:bCs/>
          <w:kern w:val="3"/>
          <w:lang w:eastAsia="zh-CN" w:bidi="hi-IN"/>
        </w:rPr>
        <w:t>COG</w:t>
      </w:r>
      <w:r w:rsidRPr="00F23F20">
        <w:rPr>
          <w:rFonts w:ascii="Times New Roman" w:eastAsia="WenQuanYi Zen Hei Sharp" w:hAnsi="Times New Roman" w:cs="Times New Roman"/>
          <w:kern w:val="3"/>
          <w:lang w:eastAsia="zh-CN" w:bidi="hi-IN"/>
        </w:rPr>
        <w:t>-FCs and depletion. All reported categories are statistically significant.</w:t>
      </w:r>
    </w:p>
    <w:tbl>
      <w:tblPr>
        <w:tblW w:w="11430" w:type="dxa"/>
        <w:tblInd w:w="-1170" w:type="dxa"/>
        <w:tblBorders>
          <w:bottom w:val="single" w:sz="18" w:space="0" w:color="auto"/>
        </w:tblBorders>
        <w:tblLayout w:type="fixed"/>
        <w:tblLook w:val="04A0" w:firstRow="1" w:lastRow="0" w:firstColumn="1" w:lastColumn="0" w:noHBand="0" w:noVBand="1"/>
      </w:tblPr>
      <w:tblGrid>
        <w:gridCol w:w="2250"/>
        <w:gridCol w:w="1620"/>
        <w:gridCol w:w="1440"/>
        <w:gridCol w:w="270"/>
        <w:gridCol w:w="4500"/>
        <w:gridCol w:w="1350"/>
      </w:tblGrid>
      <w:tr w:rsidR="00010D50" w:rsidRPr="00F23F20" w14:paraId="1535CE66" w14:textId="77777777" w:rsidTr="00E14F7B">
        <w:tc>
          <w:tcPr>
            <w:tcW w:w="2250" w:type="dxa"/>
            <w:tcBorders>
              <w:top w:val="single" w:sz="18" w:space="0" w:color="auto"/>
              <w:bottom w:val="single" w:sz="18" w:space="0" w:color="auto"/>
            </w:tcBorders>
            <w:vAlign w:val="center"/>
          </w:tcPr>
          <w:p w14:paraId="61F36A9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Phylum</w:t>
            </w:r>
          </w:p>
        </w:tc>
        <w:tc>
          <w:tcPr>
            <w:tcW w:w="1620" w:type="dxa"/>
            <w:tcBorders>
              <w:top w:val="single" w:sz="18" w:space="0" w:color="auto"/>
              <w:bottom w:val="single" w:sz="18" w:space="0" w:color="auto"/>
            </w:tcBorders>
            <w:vAlign w:val="center"/>
          </w:tcPr>
          <w:p w14:paraId="524CC28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Enriched COG-FC</w:t>
            </w:r>
          </w:p>
        </w:tc>
        <w:tc>
          <w:tcPr>
            <w:tcW w:w="1440" w:type="dxa"/>
            <w:tcBorders>
              <w:top w:val="single" w:sz="18" w:space="0" w:color="auto"/>
              <w:bottom w:val="single" w:sz="18" w:space="0" w:color="auto"/>
            </w:tcBorders>
            <w:vAlign w:val="center"/>
          </w:tcPr>
          <w:p w14:paraId="65D06EB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Depleted COG-FC</w:t>
            </w:r>
          </w:p>
        </w:tc>
        <w:tc>
          <w:tcPr>
            <w:tcW w:w="270" w:type="dxa"/>
            <w:tcBorders>
              <w:top w:val="single" w:sz="18" w:space="0" w:color="auto"/>
              <w:bottom w:val="nil"/>
            </w:tcBorders>
          </w:tcPr>
          <w:p w14:paraId="0833637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tcBorders>
              <w:top w:val="single" w:sz="18" w:space="0" w:color="auto"/>
              <w:bottom w:val="single" w:sz="18" w:space="0" w:color="auto"/>
            </w:tcBorders>
            <w:vAlign w:val="center"/>
          </w:tcPr>
          <w:p w14:paraId="367C1DB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COG-FC</w:t>
            </w:r>
          </w:p>
        </w:tc>
        <w:tc>
          <w:tcPr>
            <w:tcW w:w="1350" w:type="dxa"/>
            <w:tcBorders>
              <w:top w:val="single" w:sz="18" w:space="0" w:color="auto"/>
              <w:bottom w:val="single" w:sz="18" w:space="0" w:color="auto"/>
            </w:tcBorders>
          </w:tcPr>
          <w:p w14:paraId="528D63A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Table Key</w:t>
            </w:r>
          </w:p>
        </w:tc>
      </w:tr>
      <w:tr w:rsidR="00010D50" w:rsidRPr="00F23F20" w14:paraId="1789AEB3" w14:textId="77777777" w:rsidTr="00E14F7B">
        <w:tc>
          <w:tcPr>
            <w:tcW w:w="2250" w:type="dxa"/>
            <w:tcBorders>
              <w:top w:val="single" w:sz="18" w:space="0" w:color="auto"/>
            </w:tcBorders>
            <w:vAlign w:val="center"/>
          </w:tcPr>
          <w:p w14:paraId="4C3BDDC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Actinobacteriota</w:t>
            </w:r>
            <w:proofErr w:type="spellEnd"/>
          </w:p>
        </w:tc>
        <w:tc>
          <w:tcPr>
            <w:tcW w:w="1620" w:type="dxa"/>
            <w:tcBorders>
              <w:top w:val="single" w:sz="18" w:space="0" w:color="auto"/>
            </w:tcBorders>
            <w:vAlign w:val="center"/>
          </w:tcPr>
          <w:p w14:paraId="2FB7A9A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1440" w:type="dxa"/>
            <w:tcBorders>
              <w:top w:val="single" w:sz="18" w:space="0" w:color="auto"/>
            </w:tcBorders>
            <w:vAlign w:val="center"/>
          </w:tcPr>
          <w:p w14:paraId="33F54D4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4,6</w:t>
            </w:r>
          </w:p>
        </w:tc>
        <w:tc>
          <w:tcPr>
            <w:tcW w:w="270" w:type="dxa"/>
            <w:tcBorders>
              <w:top w:val="nil"/>
              <w:bottom w:val="nil"/>
            </w:tcBorders>
          </w:tcPr>
          <w:p w14:paraId="64A196A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tcBorders>
              <w:top w:val="single" w:sz="18" w:space="0" w:color="auto"/>
            </w:tcBorders>
            <w:vAlign w:val="center"/>
          </w:tcPr>
          <w:p w14:paraId="261E191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Cytoskeleton</w:t>
            </w:r>
          </w:p>
        </w:tc>
        <w:tc>
          <w:tcPr>
            <w:tcW w:w="1350" w:type="dxa"/>
            <w:tcBorders>
              <w:top w:val="single" w:sz="18" w:space="0" w:color="auto"/>
            </w:tcBorders>
            <w:vAlign w:val="center"/>
          </w:tcPr>
          <w:p w14:paraId="6BB4F0E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r>
      <w:tr w:rsidR="00010D50" w:rsidRPr="00F23F20" w14:paraId="60A04214" w14:textId="77777777" w:rsidTr="00E14F7B">
        <w:tc>
          <w:tcPr>
            <w:tcW w:w="2250" w:type="dxa"/>
            <w:vAlign w:val="center"/>
          </w:tcPr>
          <w:p w14:paraId="17FFBD1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Bacteroidota</w:t>
            </w:r>
            <w:proofErr w:type="spellEnd"/>
          </w:p>
        </w:tc>
        <w:tc>
          <w:tcPr>
            <w:tcW w:w="1620" w:type="dxa"/>
            <w:vAlign w:val="center"/>
          </w:tcPr>
          <w:p w14:paraId="4906718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1440" w:type="dxa"/>
            <w:vAlign w:val="center"/>
          </w:tcPr>
          <w:p w14:paraId="173D1A4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11,18,22</w:t>
            </w:r>
          </w:p>
        </w:tc>
        <w:tc>
          <w:tcPr>
            <w:tcW w:w="270" w:type="dxa"/>
            <w:tcBorders>
              <w:bottom w:val="nil"/>
            </w:tcBorders>
          </w:tcPr>
          <w:p w14:paraId="1E2633B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3A9BD5F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RNA Processing and Modification</w:t>
            </w:r>
          </w:p>
        </w:tc>
        <w:tc>
          <w:tcPr>
            <w:tcW w:w="1350" w:type="dxa"/>
            <w:vAlign w:val="center"/>
          </w:tcPr>
          <w:p w14:paraId="076C4BB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w:t>
            </w:r>
          </w:p>
        </w:tc>
      </w:tr>
      <w:tr w:rsidR="00010D50" w:rsidRPr="00F23F20" w14:paraId="0ACD3C3D" w14:textId="77777777" w:rsidTr="00E14F7B">
        <w:tc>
          <w:tcPr>
            <w:tcW w:w="2250" w:type="dxa"/>
            <w:vAlign w:val="center"/>
          </w:tcPr>
          <w:p w14:paraId="7F13DA5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Campylobacterota</w:t>
            </w:r>
            <w:proofErr w:type="spellEnd"/>
          </w:p>
        </w:tc>
        <w:tc>
          <w:tcPr>
            <w:tcW w:w="1620" w:type="dxa"/>
            <w:vAlign w:val="center"/>
          </w:tcPr>
          <w:p w14:paraId="37AD57F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4,6,10,15,19</w:t>
            </w:r>
          </w:p>
        </w:tc>
        <w:tc>
          <w:tcPr>
            <w:tcW w:w="1440" w:type="dxa"/>
            <w:vAlign w:val="center"/>
          </w:tcPr>
          <w:p w14:paraId="10135B8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8,12</w:t>
            </w:r>
          </w:p>
        </w:tc>
        <w:tc>
          <w:tcPr>
            <w:tcW w:w="270" w:type="dxa"/>
            <w:tcBorders>
              <w:bottom w:val="nil"/>
            </w:tcBorders>
          </w:tcPr>
          <w:p w14:paraId="51ABB6A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438B896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Chromatin Structure and Dynamics</w:t>
            </w:r>
          </w:p>
        </w:tc>
        <w:tc>
          <w:tcPr>
            <w:tcW w:w="1350" w:type="dxa"/>
            <w:vAlign w:val="center"/>
          </w:tcPr>
          <w:p w14:paraId="5B23E32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w:t>
            </w:r>
          </w:p>
        </w:tc>
      </w:tr>
      <w:tr w:rsidR="00010D50" w:rsidRPr="00F23F20" w14:paraId="2EEFCB23" w14:textId="77777777" w:rsidTr="00E14F7B">
        <w:tc>
          <w:tcPr>
            <w:tcW w:w="2250" w:type="dxa"/>
            <w:vAlign w:val="center"/>
          </w:tcPr>
          <w:p w14:paraId="7E8C9C1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Cyanobacteriota</w:t>
            </w:r>
            <w:proofErr w:type="spellEnd"/>
          </w:p>
        </w:tc>
        <w:tc>
          <w:tcPr>
            <w:tcW w:w="1620" w:type="dxa"/>
            <w:vAlign w:val="center"/>
          </w:tcPr>
          <w:p w14:paraId="734C22F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19</w:t>
            </w:r>
          </w:p>
        </w:tc>
        <w:tc>
          <w:tcPr>
            <w:tcW w:w="1440" w:type="dxa"/>
            <w:vAlign w:val="center"/>
          </w:tcPr>
          <w:p w14:paraId="4AE597F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12</w:t>
            </w:r>
          </w:p>
        </w:tc>
        <w:tc>
          <w:tcPr>
            <w:tcW w:w="270" w:type="dxa"/>
            <w:tcBorders>
              <w:bottom w:val="nil"/>
            </w:tcBorders>
          </w:tcPr>
          <w:p w14:paraId="6504013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65B0CD4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Cell Motility</w:t>
            </w:r>
          </w:p>
        </w:tc>
        <w:tc>
          <w:tcPr>
            <w:tcW w:w="1350" w:type="dxa"/>
            <w:vAlign w:val="center"/>
          </w:tcPr>
          <w:p w14:paraId="4ABF7B7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w:t>
            </w:r>
          </w:p>
        </w:tc>
      </w:tr>
      <w:tr w:rsidR="00010D50" w:rsidRPr="00F23F20" w14:paraId="53E824E1" w14:textId="77777777" w:rsidTr="00E14F7B">
        <w:tc>
          <w:tcPr>
            <w:tcW w:w="2250" w:type="dxa"/>
            <w:vAlign w:val="center"/>
          </w:tcPr>
          <w:p w14:paraId="4050C7D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Deinococcota</w:t>
            </w:r>
            <w:proofErr w:type="spellEnd"/>
          </w:p>
        </w:tc>
        <w:tc>
          <w:tcPr>
            <w:tcW w:w="1620" w:type="dxa"/>
            <w:vAlign w:val="center"/>
          </w:tcPr>
          <w:p w14:paraId="760E8F6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1440" w:type="dxa"/>
            <w:vAlign w:val="center"/>
          </w:tcPr>
          <w:p w14:paraId="27A0C45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15</w:t>
            </w:r>
          </w:p>
        </w:tc>
        <w:tc>
          <w:tcPr>
            <w:tcW w:w="270" w:type="dxa"/>
            <w:tcBorders>
              <w:bottom w:val="nil"/>
            </w:tcBorders>
          </w:tcPr>
          <w:p w14:paraId="5D9896D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41E0A00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Secondary Metabolites Biosynthesis, Transport, and Catabolism</w:t>
            </w:r>
          </w:p>
        </w:tc>
        <w:tc>
          <w:tcPr>
            <w:tcW w:w="1350" w:type="dxa"/>
            <w:vAlign w:val="center"/>
          </w:tcPr>
          <w:p w14:paraId="6167530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5</w:t>
            </w:r>
          </w:p>
        </w:tc>
      </w:tr>
      <w:tr w:rsidR="00010D50" w:rsidRPr="00F23F20" w14:paraId="372E800E" w14:textId="77777777" w:rsidTr="00E14F7B">
        <w:tc>
          <w:tcPr>
            <w:tcW w:w="2250" w:type="dxa"/>
            <w:vAlign w:val="center"/>
          </w:tcPr>
          <w:p w14:paraId="0BDBAB9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Desulfobacterota</w:t>
            </w:r>
            <w:proofErr w:type="spellEnd"/>
          </w:p>
        </w:tc>
        <w:tc>
          <w:tcPr>
            <w:tcW w:w="1620" w:type="dxa"/>
            <w:vAlign w:val="center"/>
          </w:tcPr>
          <w:p w14:paraId="0551E61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13</w:t>
            </w:r>
          </w:p>
        </w:tc>
        <w:tc>
          <w:tcPr>
            <w:tcW w:w="1440" w:type="dxa"/>
            <w:vAlign w:val="center"/>
          </w:tcPr>
          <w:p w14:paraId="31F4E95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w:t>
            </w:r>
          </w:p>
        </w:tc>
        <w:tc>
          <w:tcPr>
            <w:tcW w:w="270" w:type="dxa"/>
            <w:tcBorders>
              <w:bottom w:val="nil"/>
            </w:tcBorders>
          </w:tcPr>
          <w:p w14:paraId="1BA827B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1D08560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Intracellular Trafficking, Secretion, and Vesicular Transport</w:t>
            </w:r>
          </w:p>
        </w:tc>
        <w:tc>
          <w:tcPr>
            <w:tcW w:w="1350" w:type="dxa"/>
            <w:vAlign w:val="center"/>
          </w:tcPr>
          <w:p w14:paraId="63D9D78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w:t>
            </w:r>
          </w:p>
        </w:tc>
      </w:tr>
      <w:tr w:rsidR="00010D50" w:rsidRPr="00F23F20" w14:paraId="00059CAB" w14:textId="77777777" w:rsidTr="00E14F7B">
        <w:tc>
          <w:tcPr>
            <w:tcW w:w="2250" w:type="dxa"/>
            <w:vAlign w:val="center"/>
          </w:tcPr>
          <w:p w14:paraId="0DF3786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Elusimicrobiota</w:t>
            </w:r>
            <w:proofErr w:type="spellEnd"/>
          </w:p>
        </w:tc>
        <w:tc>
          <w:tcPr>
            <w:tcW w:w="1620" w:type="dxa"/>
            <w:vAlign w:val="center"/>
          </w:tcPr>
          <w:p w14:paraId="505E965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3,10,15</w:t>
            </w:r>
          </w:p>
        </w:tc>
        <w:tc>
          <w:tcPr>
            <w:tcW w:w="1440" w:type="dxa"/>
            <w:vAlign w:val="center"/>
          </w:tcPr>
          <w:p w14:paraId="57B9F3F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14,16</w:t>
            </w:r>
          </w:p>
        </w:tc>
        <w:tc>
          <w:tcPr>
            <w:tcW w:w="270" w:type="dxa"/>
            <w:tcBorders>
              <w:bottom w:val="nil"/>
            </w:tcBorders>
          </w:tcPr>
          <w:p w14:paraId="13D1810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674FE71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Lipid Transport and Metabolism</w:t>
            </w:r>
          </w:p>
        </w:tc>
        <w:tc>
          <w:tcPr>
            <w:tcW w:w="1350" w:type="dxa"/>
            <w:vAlign w:val="center"/>
          </w:tcPr>
          <w:p w14:paraId="7F627A9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w:t>
            </w:r>
          </w:p>
        </w:tc>
      </w:tr>
      <w:tr w:rsidR="00010D50" w:rsidRPr="00F23F20" w14:paraId="545AE53D" w14:textId="77777777" w:rsidTr="00E14F7B">
        <w:tc>
          <w:tcPr>
            <w:tcW w:w="2250" w:type="dxa"/>
            <w:vAlign w:val="center"/>
          </w:tcPr>
          <w:p w14:paraId="72580D6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Fibrobacterota</w:t>
            </w:r>
            <w:proofErr w:type="spellEnd"/>
          </w:p>
        </w:tc>
        <w:tc>
          <w:tcPr>
            <w:tcW w:w="1620" w:type="dxa"/>
            <w:vAlign w:val="center"/>
          </w:tcPr>
          <w:p w14:paraId="37064A7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1440" w:type="dxa"/>
            <w:vAlign w:val="center"/>
          </w:tcPr>
          <w:p w14:paraId="07635AD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7,11,12,13,16,18,20,22</w:t>
            </w:r>
          </w:p>
        </w:tc>
        <w:tc>
          <w:tcPr>
            <w:tcW w:w="270" w:type="dxa"/>
            <w:tcBorders>
              <w:bottom w:val="nil"/>
            </w:tcBorders>
          </w:tcPr>
          <w:p w14:paraId="09A00ED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5C66452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Carbohydrate Transport and Metabolism</w:t>
            </w:r>
          </w:p>
        </w:tc>
        <w:tc>
          <w:tcPr>
            <w:tcW w:w="1350" w:type="dxa"/>
            <w:vAlign w:val="center"/>
          </w:tcPr>
          <w:p w14:paraId="5A784E2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8</w:t>
            </w:r>
          </w:p>
        </w:tc>
      </w:tr>
      <w:tr w:rsidR="00010D50" w:rsidRPr="00F23F20" w14:paraId="23770741" w14:textId="77777777" w:rsidTr="00E14F7B">
        <w:tc>
          <w:tcPr>
            <w:tcW w:w="2250" w:type="dxa"/>
            <w:vAlign w:val="center"/>
          </w:tcPr>
          <w:p w14:paraId="3E19426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r w:rsidRPr="00F23F20">
              <w:rPr>
                <w:rFonts w:ascii="Times New Roman" w:eastAsia="WenQuanYi Zen Hei Sharp" w:hAnsi="Times New Roman" w:cs="Times New Roman"/>
                <w:i/>
                <w:iCs/>
                <w:kern w:val="3"/>
                <w:lang w:eastAsia="zh-CN" w:bidi="hi-IN"/>
              </w:rPr>
              <w:t>Firmicutes</w:t>
            </w:r>
          </w:p>
        </w:tc>
        <w:tc>
          <w:tcPr>
            <w:tcW w:w="1620" w:type="dxa"/>
            <w:vAlign w:val="center"/>
          </w:tcPr>
          <w:p w14:paraId="6A15632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9,12,21</w:t>
            </w:r>
          </w:p>
        </w:tc>
        <w:tc>
          <w:tcPr>
            <w:tcW w:w="1440" w:type="dxa"/>
            <w:vAlign w:val="center"/>
          </w:tcPr>
          <w:p w14:paraId="518A958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270" w:type="dxa"/>
            <w:tcBorders>
              <w:bottom w:val="nil"/>
            </w:tcBorders>
          </w:tcPr>
          <w:p w14:paraId="4C984B1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0986924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Defense Mechanism</w:t>
            </w:r>
          </w:p>
        </w:tc>
        <w:tc>
          <w:tcPr>
            <w:tcW w:w="1350" w:type="dxa"/>
            <w:vAlign w:val="center"/>
          </w:tcPr>
          <w:p w14:paraId="0AA628C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9</w:t>
            </w:r>
          </w:p>
        </w:tc>
      </w:tr>
      <w:tr w:rsidR="00010D50" w:rsidRPr="00F23F20" w14:paraId="6ED82177" w14:textId="77777777" w:rsidTr="00E14F7B">
        <w:tc>
          <w:tcPr>
            <w:tcW w:w="2250" w:type="dxa"/>
            <w:vAlign w:val="center"/>
          </w:tcPr>
          <w:p w14:paraId="285DFB7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r w:rsidRPr="00F23F20">
              <w:rPr>
                <w:rFonts w:ascii="Times New Roman" w:eastAsia="WenQuanYi Zen Hei Sharp" w:hAnsi="Times New Roman" w:cs="Times New Roman"/>
                <w:i/>
                <w:iCs/>
                <w:kern w:val="3"/>
                <w:lang w:eastAsia="zh-CN" w:bidi="hi-IN"/>
              </w:rPr>
              <w:t>Firmicutes A</w:t>
            </w:r>
          </w:p>
        </w:tc>
        <w:tc>
          <w:tcPr>
            <w:tcW w:w="1620" w:type="dxa"/>
            <w:vAlign w:val="center"/>
          </w:tcPr>
          <w:p w14:paraId="3885D11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9</w:t>
            </w:r>
          </w:p>
        </w:tc>
        <w:tc>
          <w:tcPr>
            <w:tcW w:w="1440" w:type="dxa"/>
            <w:vAlign w:val="center"/>
          </w:tcPr>
          <w:p w14:paraId="00B226D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5,7,16,20</w:t>
            </w:r>
          </w:p>
        </w:tc>
        <w:tc>
          <w:tcPr>
            <w:tcW w:w="270" w:type="dxa"/>
            <w:tcBorders>
              <w:bottom w:val="nil"/>
            </w:tcBorders>
          </w:tcPr>
          <w:p w14:paraId="4D879E6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66D5A38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Signal Transduction Mechanisms</w:t>
            </w:r>
          </w:p>
        </w:tc>
        <w:tc>
          <w:tcPr>
            <w:tcW w:w="1350" w:type="dxa"/>
            <w:vAlign w:val="center"/>
          </w:tcPr>
          <w:p w14:paraId="2CEF2E8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10</w:t>
            </w:r>
          </w:p>
        </w:tc>
      </w:tr>
      <w:tr w:rsidR="00010D50" w:rsidRPr="00F23F20" w14:paraId="58E9673B" w14:textId="77777777" w:rsidTr="00E14F7B">
        <w:tc>
          <w:tcPr>
            <w:tcW w:w="2250" w:type="dxa"/>
            <w:vAlign w:val="center"/>
          </w:tcPr>
          <w:p w14:paraId="7488D62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r w:rsidRPr="00F23F20">
              <w:rPr>
                <w:rFonts w:ascii="Times New Roman" w:eastAsia="WenQuanYi Zen Hei Sharp" w:hAnsi="Times New Roman" w:cs="Times New Roman"/>
                <w:i/>
                <w:iCs/>
                <w:kern w:val="3"/>
                <w:lang w:eastAsia="zh-CN" w:bidi="hi-IN"/>
              </w:rPr>
              <w:t>Firmicutes B</w:t>
            </w:r>
          </w:p>
        </w:tc>
        <w:tc>
          <w:tcPr>
            <w:tcW w:w="1620" w:type="dxa"/>
            <w:vAlign w:val="center"/>
          </w:tcPr>
          <w:p w14:paraId="408D779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13,17,19</w:t>
            </w:r>
          </w:p>
        </w:tc>
        <w:tc>
          <w:tcPr>
            <w:tcW w:w="1440" w:type="dxa"/>
            <w:vAlign w:val="center"/>
          </w:tcPr>
          <w:p w14:paraId="0E32478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270" w:type="dxa"/>
            <w:tcBorders>
              <w:bottom w:val="nil"/>
            </w:tcBorders>
          </w:tcPr>
          <w:p w14:paraId="39EE03A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7B0F8ED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Amino Acid Transport and Metabolism</w:t>
            </w:r>
          </w:p>
        </w:tc>
        <w:tc>
          <w:tcPr>
            <w:tcW w:w="1350" w:type="dxa"/>
            <w:vAlign w:val="center"/>
          </w:tcPr>
          <w:p w14:paraId="1EE882A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11</w:t>
            </w:r>
          </w:p>
        </w:tc>
      </w:tr>
      <w:tr w:rsidR="00010D50" w:rsidRPr="00F23F20" w14:paraId="65F12967" w14:textId="77777777" w:rsidTr="00E14F7B">
        <w:tc>
          <w:tcPr>
            <w:tcW w:w="2250" w:type="dxa"/>
            <w:vAlign w:val="center"/>
          </w:tcPr>
          <w:p w14:paraId="0D2A3A7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r w:rsidRPr="00F23F20">
              <w:rPr>
                <w:rFonts w:ascii="Times New Roman" w:eastAsia="WenQuanYi Zen Hei Sharp" w:hAnsi="Times New Roman" w:cs="Times New Roman"/>
                <w:i/>
                <w:iCs/>
                <w:kern w:val="3"/>
                <w:lang w:eastAsia="zh-CN" w:bidi="hi-IN"/>
              </w:rPr>
              <w:t>Firmicutes C</w:t>
            </w:r>
          </w:p>
        </w:tc>
        <w:tc>
          <w:tcPr>
            <w:tcW w:w="1620" w:type="dxa"/>
            <w:vAlign w:val="center"/>
          </w:tcPr>
          <w:p w14:paraId="2811E6F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19</w:t>
            </w:r>
          </w:p>
        </w:tc>
        <w:tc>
          <w:tcPr>
            <w:tcW w:w="1440" w:type="dxa"/>
            <w:vAlign w:val="center"/>
          </w:tcPr>
          <w:p w14:paraId="51D71FC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270" w:type="dxa"/>
            <w:tcBorders>
              <w:bottom w:val="nil"/>
            </w:tcBorders>
          </w:tcPr>
          <w:p w14:paraId="44EABAA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7C08978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Transcription</w:t>
            </w:r>
          </w:p>
        </w:tc>
        <w:tc>
          <w:tcPr>
            <w:tcW w:w="1350" w:type="dxa"/>
            <w:vAlign w:val="center"/>
          </w:tcPr>
          <w:p w14:paraId="70AADD1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12</w:t>
            </w:r>
          </w:p>
        </w:tc>
      </w:tr>
      <w:tr w:rsidR="00010D50" w:rsidRPr="00F23F20" w14:paraId="055C2AF0" w14:textId="77777777" w:rsidTr="00E14F7B">
        <w:tc>
          <w:tcPr>
            <w:tcW w:w="2250" w:type="dxa"/>
            <w:vAlign w:val="center"/>
          </w:tcPr>
          <w:p w14:paraId="6FCE311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Fusobacteriota</w:t>
            </w:r>
            <w:proofErr w:type="spellEnd"/>
          </w:p>
        </w:tc>
        <w:tc>
          <w:tcPr>
            <w:tcW w:w="1620" w:type="dxa"/>
            <w:vAlign w:val="center"/>
          </w:tcPr>
          <w:p w14:paraId="543EA6B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1440" w:type="dxa"/>
            <w:vAlign w:val="center"/>
          </w:tcPr>
          <w:p w14:paraId="028F508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10,21</w:t>
            </w:r>
          </w:p>
        </w:tc>
        <w:tc>
          <w:tcPr>
            <w:tcW w:w="270" w:type="dxa"/>
            <w:tcBorders>
              <w:bottom w:val="nil"/>
            </w:tcBorders>
          </w:tcPr>
          <w:p w14:paraId="4F119A9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7164989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Energy Production and Conversion</w:t>
            </w:r>
          </w:p>
        </w:tc>
        <w:tc>
          <w:tcPr>
            <w:tcW w:w="1350" w:type="dxa"/>
            <w:vAlign w:val="center"/>
          </w:tcPr>
          <w:p w14:paraId="3B3F458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13</w:t>
            </w:r>
          </w:p>
        </w:tc>
      </w:tr>
      <w:tr w:rsidR="00010D50" w:rsidRPr="00F23F20" w14:paraId="1770670A" w14:textId="77777777" w:rsidTr="00E14F7B">
        <w:tc>
          <w:tcPr>
            <w:tcW w:w="2250" w:type="dxa"/>
            <w:vAlign w:val="center"/>
          </w:tcPr>
          <w:p w14:paraId="3BE7DE3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Marinisomatota</w:t>
            </w:r>
            <w:proofErr w:type="spellEnd"/>
          </w:p>
        </w:tc>
        <w:tc>
          <w:tcPr>
            <w:tcW w:w="1620" w:type="dxa"/>
            <w:vAlign w:val="center"/>
          </w:tcPr>
          <w:p w14:paraId="49444064"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1440" w:type="dxa"/>
            <w:vAlign w:val="center"/>
          </w:tcPr>
          <w:p w14:paraId="5A670B7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12,14</w:t>
            </w:r>
          </w:p>
        </w:tc>
        <w:tc>
          <w:tcPr>
            <w:tcW w:w="270" w:type="dxa"/>
            <w:tcBorders>
              <w:bottom w:val="nil"/>
            </w:tcBorders>
          </w:tcPr>
          <w:p w14:paraId="3E2F33C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33E28D4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Replication, Recombination, and Repair</w:t>
            </w:r>
          </w:p>
        </w:tc>
        <w:tc>
          <w:tcPr>
            <w:tcW w:w="1350" w:type="dxa"/>
            <w:vAlign w:val="center"/>
          </w:tcPr>
          <w:p w14:paraId="1552757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14</w:t>
            </w:r>
          </w:p>
        </w:tc>
      </w:tr>
      <w:tr w:rsidR="00010D50" w:rsidRPr="00F23F20" w14:paraId="71C55C32" w14:textId="77777777" w:rsidTr="00E14F7B">
        <w:tc>
          <w:tcPr>
            <w:tcW w:w="2250" w:type="dxa"/>
            <w:vAlign w:val="center"/>
          </w:tcPr>
          <w:p w14:paraId="4E2DAF3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Nitrospirota</w:t>
            </w:r>
            <w:proofErr w:type="spellEnd"/>
          </w:p>
        </w:tc>
        <w:tc>
          <w:tcPr>
            <w:tcW w:w="1620" w:type="dxa"/>
            <w:vAlign w:val="center"/>
          </w:tcPr>
          <w:p w14:paraId="49A6CC5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6,10,17</w:t>
            </w:r>
          </w:p>
        </w:tc>
        <w:tc>
          <w:tcPr>
            <w:tcW w:w="1440" w:type="dxa"/>
            <w:vAlign w:val="center"/>
          </w:tcPr>
          <w:p w14:paraId="1EFAABE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8</w:t>
            </w:r>
          </w:p>
        </w:tc>
        <w:tc>
          <w:tcPr>
            <w:tcW w:w="270" w:type="dxa"/>
            <w:tcBorders>
              <w:bottom w:val="nil"/>
            </w:tcBorders>
          </w:tcPr>
          <w:p w14:paraId="11A2A06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26EF77B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Cell Wall/Membrane/Envelope Biogenesis</w:t>
            </w:r>
          </w:p>
        </w:tc>
        <w:tc>
          <w:tcPr>
            <w:tcW w:w="1350" w:type="dxa"/>
            <w:vAlign w:val="center"/>
          </w:tcPr>
          <w:p w14:paraId="4BCF7B9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15</w:t>
            </w:r>
          </w:p>
        </w:tc>
      </w:tr>
      <w:tr w:rsidR="00010D50" w:rsidRPr="00F23F20" w14:paraId="6F863711" w14:textId="77777777" w:rsidTr="00E14F7B">
        <w:tc>
          <w:tcPr>
            <w:tcW w:w="2250" w:type="dxa"/>
            <w:vAlign w:val="center"/>
          </w:tcPr>
          <w:p w14:paraId="3B6ECC2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Nitrospirota</w:t>
            </w:r>
            <w:proofErr w:type="spellEnd"/>
            <w:r w:rsidRPr="00F23F20">
              <w:rPr>
                <w:rFonts w:ascii="Times New Roman" w:eastAsia="WenQuanYi Zen Hei Sharp" w:hAnsi="Times New Roman" w:cs="Times New Roman"/>
                <w:i/>
                <w:iCs/>
                <w:kern w:val="3"/>
                <w:lang w:eastAsia="zh-CN" w:bidi="hi-IN"/>
              </w:rPr>
              <w:t xml:space="preserve"> A</w:t>
            </w:r>
          </w:p>
        </w:tc>
        <w:tc>
          <w:tcPr>
            <w:tcW w:w="1620" w:type="dxa"/>
            <w:vAlign w:val="center"/>
          </w:tcPr>
          <w:p w14:paraId="249B7DF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4,6,10,15</w:t>
            </w:r>
          </w:p>
        </w:tc>
        <w:tc>
          <w:tcPr>
            <w:tcW w:w="1440" w:type="dxa"/>
            <w:vAlign w:val="center"/>
          </w:tcPr>
          <w:p w14:paraId="7C3B44B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12,17,22,23</w:t>
            </w:r>
          </w:p>
        </w:tc>
        <w:tc>
          <w:tcPr>
            <w:tcW w:w="270" w:type="dxa"/>
            <w:tcBorders>
              <w:bottom w:val="nil"/>
            </w:tcBorders>
          </w:tcPr>
          <w:p w14:paraId="08C8FDB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21BA6DD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Inorganic Ion Transport and Metabolism</w:t>
            </w:r>
          </w:p>
        </w:tc>
        <w:tc>
          <w:tcPr>
            <w:tcW w:w="1350" w:type="dxa"/>
            <w:vAlign w:val="center"/>
          </w:tcPr>
          <w:p w14:paraId="0813829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16</w:t>
            </w:r>
          </w:p>
        </w:tc>
      </w:tr>
      <w:tr w:rsidR="00010D50" w:rsidRPr="00F23F20" w14:paraId="639B760A" w14:textId="77777777" w:rsidTr="00E14F7B">
        <w:tc>
          <w:tcPr>
            <w:tcW w:w="2250" w:type="dxa"/>
            <w:vAlign w:val="center"/>
          </w:tcPr>
          <w:p w14:paraId="0AFB815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Patescibacteria</w:t>
            </w:r>
            <w:proofErr w:type="spellEnd"/>
          </w:p>
        </w:tc>
        <w:tc>
          <w:tcPr>
            <w:tcW w:w="1620" w:type="dxa"/>
            <w:vAlign w:val="center"/>
          </w:tcPr>
          <w:p w14:paraId="6D9C908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1440" w:type="dxa"/>
            <w:vAlign w:val="center"/>
          </w:tcPr>
          <w:p w14:paraId="2A61B3A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7,11,16,19</w:t>
            </w:r>
          </w:p>
        </w:tc>
        <w:tc>
          <w:tcPr>
            <w:tcW w:w="270" w:type="dxa"/>
            <w:tcBorders>
              <w:bottom w:val="nil"/>
            </w:tcBorders>
          </w:tcPr>
          <w:p w14:paraId="01351C0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6D80172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Cell Cycle Control, Cell Division, and Chromosome Partitioning</w:t>
            </w:r>
          </w:p>
        </w:tc>
        <w:tc>
          <w:tcPr>
            <w:tcW w:w="1350" w:type="dxa"/>
            <w:vAlign w:val="center"/>
          </w:tcPr>
          <w:p w14:paraId="6604DCE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17</w:t>
            </w:r>
          </w:p>
        </w:tc>
      </w:tr>
      <w:tr w:rsidR="00010D50" w:rsidRPr="00F23F20" w14:paraId="77690B8E" w14:textId="77777777" w:rsidTr="00E14F7B">
        <w:tc>
          <w:tcPr>
            <w:tcW w:w="2250" w:type="dxa"/>
            <w:vAlign w:val="center"/>
          </w:tcPr>
          <w:p w14:paraId="5E0C3B9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r w:rsidRPr="00F23F20">
              <w:rPr>
                <w:rFonts w:ascii="Times New Roman" w:eastAsia="WenQuanYi Zen Hei Sharp" w:hAnsi="Times New Roman" w:cs="Times New Roman"/>
                <w:i/>
                <w:iCs/>
                <w:kern w:val="3"/>
                <w:lang w:eastAsia="zh-CN" w:bidi="hi-IN"/>
              </w:rPr>
              <w:t>Proteobacteria</w:t>
            </w:r>
          </w:p>
        </w:tc>
        <w:tc>
          <w:tcPr>
            <w:tcW w:w="1620" w:type="dxa"/>
            <w:vAlign w:val="center"/>
          </w:tcPr>
          <w:p w14:paraId="1657078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1440" w:type="dxa"/>
            <w:vAlign w:val="center"/>
          </w:tcPr>
          <w:p w14:paraId="23C82FD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270" w:type="dxa"/>
            <w:tcBorders>
              <w:bottom w:val="nil"/>
            </w:tcBorders>
          </w:tcPr>
          <w:p w14:paraId="51E1141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42CD8CC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Function Unknown</w:t>
            </w:r>
          </w:p>
        </w:tc>
        <w:tc>
          <w:tcPr>
            <w:tcW w:w="1350" w:type="dxa"/>
            <w:vAlign w:val="center"/>
          </w:tcPr>
          <w:p w14:paraId="629E8BE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18</w:t>
            </w:r>
          </w:p>
        </w:tc>
      </w:tr>
      <w:tr w:rsidR="00010D50" w:rsidRPr="00F23F20" w14:paraId="213EA07F" w14:textId="77777777" w:rsidTr="00E14F7B">
        <w:tc>
          <w:tcPr>
            <w:tcW w:w="2250" w:type="dxa"/>
            <w:vAlign w:val="center"/>
          </w:tcPr>
          <w:p w14:paraId="13ED381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Spirochaetota</w:t>
            </w:r>
            <w:proofErr w:type="spellEnd"/>
          </w:p>
        </w:tc>
        <w:tc>
          <w:tcPr>
            <w:tcW w:w="1620" w:type="dxa"/>
            <w:vAlign w:val="center"/>
          </w:tcPr>
          <w:p w14:paraId="0E8E1E7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w:t>
            </w:r>
          </w:p>
        </w:tc>
        <w:tc>
          <w:tcPr>
            <w:tcW w:w="1440" w:type="dxa"/>
            <w:vAlign w:val="center"/>
          </w:tcPr>
          <w:p w14:paraId="7D3410C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5,16,19</w:t>
            </w:r>
          </w:p>
        </w:tc>
        <w:tc>
          <w:tcPr>
            <w:tcW w:w="270" w:type="dxa"/>
            <w:tcBorders>
              <w:bottom w:val="nil"/>
            </w:tcBorders>
          </w:tcPr>
          <w:p w14:paraId="51746FB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7AEDCB9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Coenzyme Transport and Metabolism</w:t>
            </w:r>
          </w:p>
        </w:tc>
        <w:tc>
          <w:tcPr>
            <w:tcW w:w="1350" w:type="dxa"/>
            <w:vAlign w:val="center"/>
          </w:tcPr>
          <w:p w14:paraId="0FA7539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19</w:t>
            </w:r>
          </w:p>
        </w:tc>
      </w:tr>
      <w:tr w:rsidR="00010D50" w:rsidRPr="00F23F20" w14:paraId="189F679C" w14:textId="77777777" w:rsidTr="00E14F7B">
        <w:tc>
          <w:tcPr>
            <w:tcW w:w="2250" w:type="dxa"/>
            <w:vAlign w:val="center"/>
          </w:tcPr>
          <w:p w14:paraId="7A9FFD6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Synergistota</w:t>
            </w:r>
            <w:proofErr w:type="spellEnd"/>
          </w:p>
        </w:tc>
        <w:tc>
          <w:tcPr>
            <w:tcW w:w="1620" w:type="dxa"/>
            <w:vAlign w:val="center"/>
          </w:tcPr>
          <w:p w14:paraId="66C94D6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3,4,11,16</w:t>
            </w:r>
          </w:p>
        </w:tc>
        <w:tc>
          <w:tcPr>
            <w:tcW w:w="1440" w:type="dxa"/>
            <w:vAlign w:val="center"/>
          </w:tcPr>
          <w:p w14:paraId="53AA70E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270" w:type="dxa"/>
            <w:tcBorders>
              <w:bottom w:val="nil"/>
            </w:tcBorders>
          </w:tcPr>
          <w:p w14:paraId="4CBA58F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vAlign w:val="center"/>
          </w:tcPr>
          <w:p w14:paraId="23F49A2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Post-translational Modification, Protein Turnover, and Chaperone</w:t>
            </w:r>
          </w:p>
        </w:tc>
        <w:tc>
          <w:tcPr>
            <w:tcW w:w="1350" w:type="dxa"/>
            <w:vAlign w:val="center"/>
          </w:tcPr>
          <w:p w14:paraId="79CBC05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20</w:t>
            </w:r>
          </w:p>
        </w:tc>
      </w:tr>
      <w:tr w:rsidR="00010D50" w:rsidRPr="00F23F20" w14:paraId="4453C061" w14:textId="77777777" w:rsidTr="00E14F7B">
        <w:tc>
          <w:tcPr>
            <w:tcW w:w="2250" w:type="dxa"/>
            <w:vAlign w:val="center"/>
          </w:tcPr>
          <w:p w14:paraId="36568B96"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Thermotogota</w:t>
            </w:r>
            <w:proofErr w:type="spellEnd"/>
          </w:p>
        </w:tc>
        <w:tc>
          <w:tcPr>
            <w:tcW w:w="1620" w:type="dxa"/>
            <w:vAlign w:val="center"/>
          </w:tcPr>
          <w:p w14:paraId="3135D102"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3,4,8,10</w:t>
            </w:r>
          </w:p>
        </w:tc>
        <w:tc>
          <w:tcPr>
            <w:tcW w:w="1440" w:type="dxa"/>
            <w:vAlign w:val="center"/>
          </w:tcPr>
          <w:p w14:paraId="78A0198F"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w:t>
            </w:r>
          </w:p>
        </w:tc>
        <w:tc>
          <w:tcPr>
            <w:tcW w:w="270" w:type="dxa"/>
            <w:tcBorders>
              <w:bottom w:val="nil"/>
            </w:tcBorders>
          </w:tcPr>
          <w:p w14:paraId="3101690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tcBorders>
              <w:bottom w:val="nil"/>
            </w:tcBorders>
            <w:vAlign w:val="center"/>
          </w:tcPr>
          <w:p w14:paraId="1E260E2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Nucleotide Transport and Metabolism</w:t>
            </w:r>
          </w:p>
        </w:tc>
        <w:tc>
          <w:tcPr>
            <w:tcW w:w="1350" w:type="dxa"/>
            <w:tcBorders>
              <w:bottom w:val="nil"/>
            </w:tcBorders>
            <w:vAlign w:val="center"/>
          </w:tcPr>
          <w:p w14:paraId="34F8B56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21</w:t>
            </w:r>
          </w:p>
        </w:tc>
      </w:tr>
      <w:tr w:rsidR="00010D50" w:rsidRPr="00F23F20" w14:paraId="7C9F5CA3" w14:textId="77777777" w:rsidTr="00E14F7B">
        <w:tc>
          <w:tcPr>
            <w:tcW w:w="2250" w:type="dxa"/>
            <w:tcBorders>
              <w:bottom w:val="single" w:sz="18" w:space="0" w:color="auto"/>
            </w:tcBorders>
            <w:vAlign w:val="center"/>
          </w:tcPr>
          <w:p w14:paraId="5C08172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Verrucomicrobiota</w:t>
            </w:r>
            <w:proofErr w:type="spellEnd"/>
          </w:p>
        </w:tc>
        <w:tc>
          <w:tcPr>
            <w:tcW w:w="1620" w:type="dxa"/>
            <w:tcBorders>
              <w:bottom w:val="single" w:sz="18" w:space="0" w:color="auto"/>
            </w:tcBorders>
            <w:vAlign w:val="center"/>
          </w:tcPr>
          <w:p w14:paraId="3D6D7C8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w:t>
            </w:r>
          </w:p>
        </w:tc>
        <w:tc>
          <w:tcPr>
            <w:tcW w:w="1440" w:type="dxa"/>
            <w:tcBorders>
              <w:bottom w:val="single" w:sz="18" w:space="0" w:color="auto"/>
            </w:tcBorders>
            <w:vAlign w:val="center"/>
          </w:tcPr>
          <w:p w14:paraId="2C4E16F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10,12,14,21, 23</w:t>
            </w:r>
          </w:p>
        </w:tc>
        <w:tc>
          <w:tcPr>
            <w:tcW w:w="270" w:type="dxa"/>
            <w:tcBorders>
              <w:bottom w:val="nil"/>
            </w:tcBorders>
          </w:tcPr>
          <w:p w14:paraId="4AD3BAC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tcBorders>
              <w:bottom w:val="nil"/>
            </w:tcBorders>
            <w:vAlign w:val="center"/>
          </w:tcPr>
          <w:p w14:paraId="37B03A5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General Function Prediction Only</w:t>
            </w:r>
          </w:p>
        </w:tc>
        <w:tc>
          <w:tcPr>
            <w:tcW w:w="1350" w:type="dxa"/>
            <w:tcBorders>
              <w:bottom w:val="nil"/>
            </w:tcBorders>
            <w:vAlign w:val="center"/>
          </w:tcPr>
          <w:p w14:paraId="7EBB906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22</w:t>
            </w:r>
          </w:p>
        </w:tc>
      </w:tr>
      <w:tr w:rsidR="00010D50" w:rsidRPr="00F23F20" w14:paraId="10596A3F" w14:textId="77777777" w:rsidTr="00E14F7B">
        <w:tc>
          <w:tcPr>
            <w:tcW w:w="2250" w:type="dxa"/>
            <w:tcBorders>
              <w:top w:val="single" w:sz="18" w:space="0" w:color="auto"/>
              <w:bottom w:val="nil"/>
            </w:tcBorders>
            <w:vAlign w:val="center"/>
          </w:tcPr>
          <w:p w14:paraId="08B1D36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Crenarchaeota</w:t>
            </w:r>
            <w:proofErr w:type="spellEnd"/>
          </w:p>
        </w:tc>
        <w:tc>
          <w:tcPr>
            <w:tcW w:w="1620" w:type="dxa"/>
            <w:tcBorders>
              <w:top w:val="single" w:sz="18" w:space="0" w:color="auto"/>
              <w:bottom w:val="nil"/>
            </w:tcBorders>
            <w:vAlign w:val="center"/>
          </w:tcPr>
          <w:p w14:paraId="2908B9F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3,13,11,19,7,12,16,5,22</w:t>
            </w:r>
          </w:p>
        </w:tc>
        <w:tc>
          <w:tcPr>
            <w:tcW w:w="1440" w:type="dxa"/>
            <w:tcBorders>
              <w:top w:val="single" w:sz="18" w:space="0" w:color="auto"/>
              <w:bottom w:val="nil"/>
            </w:tcBorders>
            <w:vAlign w:val="center"/>
          </w:tcPr>
          <w:p w14:paraId="4ED3098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9,10,14,15,17</w:t>
            </w:r>
          </w:p>
        </w:tc>
        <w:tc>
          <w:tcPr>
            <w:tcW w:w="270" w:type="dxa"/>
            <w:tcBorders>
              <w:top w:val="nil"/>
              <w:bottom w:val="nil"/>
            </w:tcBorders>
          </w:tcPr>
          <w:p w14:paraId="11206C5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tcBorders>
              <w:top w:val="nil"/>
              <w:bottom w:val="single" w:sz="18" w:space="0" w:color="auto"/>
            </w:tcBorders>
            <w:vAlign w:val="center"/>
          </w:tcPr>
          <w:p w14:paraId="23E9DEB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Translation Ribosomal Structure and Biogenesis</w:t>
            </w:r>
          </w:p>
        </w:tc>
        <w:tc>
          <w:tcPr>
            <w:tcW w:w="1350" w:type="dxa"/>
            <w:tcBorders>
              <w:top w:val="nil"/>
              <w:bottom w:val="single" w:sz="18" w:space="0" w:color="auto"/>
            </w:tcBorders>
            <w:vAlign w:val="center"/>
          </w:tcPr>
          <w:p w14:paraId="5E12BFEA"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23</w:t>
            </w:r>
          </w:p>
        </w:tc>
      </w:tr>
      <w:tr w:rsidR="00010D50" w:rsidRPr="00F23F20" w14:paraId="0DFE8911" w14:textId="77777777" w:rsidTr="00E14F7B">
        <w:tc>
          <w:tcPr>
            <w:tcW w:w="2250" w:type="dxa"/>
            <w:tcBorders>
              <w:top w:val="nil"/>
            </w:tcBorders>
            <w:vAlign w:val="center"/>
          </w:tcPr>
          <w:p w14:paraId="514DBE7D"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Euryarchaeota</w:t>
            </w:r>
            <w:proofErr w:type="spellEnd"/>
          </w:p>
        </w:tc>
        <w:tc>
          <w:tcPr>
            <w:tcW w:w="1620" w:type="dxa"/>
            <w:tcBorders>
              <w:top w:val="nil"/>
            </w:tcBorders>
            <w:vAlign w:val="center"/>
          </w:tcPr>
          <w:p w14:paraId="2E91A5D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2,3,13,18,22</w:t>
            </w:r>
          </w:p>
        </w:tc>
        <w:tc>
          <w:tcPr>
            <w:tcW w:w="1440" w:type="dxa"/>
            <w:tcBorders>
              <w:top w:val="nil"/>
            </w:tcBorders>
            <w:vAlign w:val="center"/>
          </w:tcPr>
          <w:p w14:paraId="249305B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5,7,10,14,15</w:t>
            </w:r>
          </w:p>
        </w:tc>
        <w:tc>
          <w:tcPr>
            <w:tcW w:w="270" w:type="dxa"/>
            <w:tcBorders>
              <w:top w:val="nil"/>
              <w:bottom w:val="nil"/>
            </w:tcBorders>
          </w:tcPr>
          <w:p w14:paraId="374E04B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tcBorders>
              <w:top w:val="single" w:sz="18" w:space="0" w:color="auto"/>
            </w:tcBorders>
          </w:tcPr>
          <w:p w14:paraId="4717707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1350" w:type="dxa"/>
            <w:tcBorders>
              <w:top w:val="single" w:sz="18" w:space="0" w:color="auto"/>
            </w:tcBorders>
          </w:tcPr>
          <w:p w14:paraId="69416CF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r>
      <w:tr w:rsidR="00010D50" w:rsidRPr="00F23F20" w14:paraId="666D2933" w14:textId="77777777" w:rsidTr="00E14F7B">
        <w:tc>
          <w:tcPr>
            <w:tcW w:w="2250" w:type="dxa"/>
            <w:tcBorders>
              <w:bottom w:val="nil"/>
            </w:tcBorders>
            <w:vAlign w:val="center"/>
          </w:tcPr>
          <w:p w14:paraId="78DD0745"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Halobacterota</w:t>
            </w:r>
            <w:proofErr w:type="spellEnd"/>
          </w:p>
        </w:tc>
        <w:tc>
          <w:tcPr>
            <w:tcW w:w="1620" w:type="dxa"/>
            <w:tcBorders>
              <w:bottom w:val="nil"/>
            </w:tcBorders>
            <w:vAlign w:val="center"/>
          </w:tcPr>
          <w:p w14:paraId="526CE7D0"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3,19,22</w:t>
            </w:r>
          </w:p>
        </w:tc>
        <w:tc>
          <w:tcPr>
            <w:tcW w:w="1440" w:type="dxa"/>
            <w:tcBorders>
              <w:bottom w:val="nil"/>
            </w:tcBorders>
            <w:vAlign w:val="center"/>
          </w:tcPr>
          <w:p w14:paraId="3705F93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15,16</w:t>
            </w:r>
          </w:p>
        </w:tc>
        <w:tc>
          <w:tcPr>
            <w:tcW w:w="270" w:type="dxa"/>
            <w:tcBorders>
              <w:bottom w:val="nil"/>
            </w:tcBorders>
          </w:tcPr>
          <w:p w14:paraId="7B37A1D3"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tcBorders>
              <w:bottom w:val="nil"/>
            </w:tcBorders>
          </w:tcPr>
          <w:p w14:paraId="204827D8"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1350" w:type="dxa"/>
            <w:tcBorders>
              <w:bottom w:val="nil"/>
            </w:tcBorders>
          </w:tcPr>
          <w:p w14:paraId="0B2D5D9E"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r>
      <w:tr w:rsidR="00010D50" w:rsidRPr="00F23F20" w14:paraId="1D43A87A" w14:textId="77777777" w:rsidTr="00E14F7B">
        <w:tc>
          <w:tcPr>
            <w:tcW w:w="2250" w:type="dxa"/>
            <w:tcBorders>
              <w:bottom w:val="single" w:sz="18" w:space="0" w:color="auto"/>
            </w:tcBorders>
            <w:vAlign w:val="center"/>
          </w:tcPr>
          <w:p w14:paraId="04D2693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i/>
                <w:iCs/>
                <w:kern w:val="3"/>
                <w:lang w:eastAsia="zh-CN" w:bidi="hi-IN"/>
              </w:rPr>
            </w:pPr>
            <w:proofErr w:type="spellStart"/>
            <w:r w:rsidRPr="00F23F20">
              <w:rPr>
                <w:rFonts w:ascii="Times New Roman" w:eastAsia="WenQuanYi Zen Hei Sharp" w:hAnsi="Times New Roman" w:cs="Times New Roman"/>
                <w:i/>
                <w:iCs/>
                <w:kern w:val="3"/>
                <w:lang w:eastAsia="zh-CN" w:bidi="hi-IN"/>
              </w:rPr>
              <w:t>Thermoplasmatota</w:t>
            </w:r>
            <w:proofErr w:type="spellEnd"/>
          </w:p>
        </w:tc>
        <w:tc>
          <w:tcPr>
            <w:tcW w:w="1620" w:type="dxa"/>
            <w:tcBorders>
              <w:bottom w:val="single" w:sz="18" w:space="0" w:color="auto"/>
            </w:tcBorders>
            <w:vAlign w:val="center"/>
          </w:tcPr>
          <w:p w14:paraId="171B14BC"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1,2,7,13</w:t>
            </w:r>
          </w:p>
        </w:tc>
        <w:tc>
          <w:tcPr>
            <w:tcW w:w="1440" w:type="dxa"/>
            <w:tcBorders>
              <w:bottom w:val="single" w:sz="18" w:space="0" w:color="auto"/>
            </w:tcBorders>
            <w:vAlign w:val="center"/>
          </w:tcPr>
          <w:p w14:paraId="04F73B27"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r w:rsidRPr="00F23F20">
              <w:rPr>
                <w:rFonts w:ascii="Times New Roman" w:eastAsia="WenQuanYi Zen Hei Sharp" w:hAnsi="Times New Roman" w:cs="Times New Roman"/>
                <w:kern w:val="3"/>
                <w:lang w:eastAsia="zh-CN" w:bidi="hi-IN"/>
              </w:rPr>
              <w:t>4,6,8,9,10,14, 15,16</w:t>
            </w:r>
          </w:p>
        </w:tc>
        <w:tc>
          <w:tcPr>
            <w:tcW w:w="270" w:type="dxa"/>
            <w:tcBorders>
              <w:bottom w:val="nil"/>
            </w:tcBorders>
          </w:tcPr>
          <w:p w14:paraId="1BA50C41"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4500" w:type="dxa"/>
            <w:tcBorders>
              <w:bottom w:val="nil"/>
            </w:tcBorders>
          </w:tcPr>
          <w:p w14:paraId="25D3DF39"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c>
          <w:tcPr>
            <w:tcW w:w="1350" w:type="dxa"/>
            <w:tcBorders>
              <w:bottom w:val="nil"/>
            </w:tcBorders>
          </w:tcPr>
          <w:p w14:paraId="4C275DBB" w14:textId="77777777" w:rsidR="00010D50" w:rsidRPr="00F23F20" w:rsidRDefault="00010D50" w:rsidP="00E14F7B">
            <w:pPr>
              <w:widowControl w:val="0"/>
              <w:suppressAutoHyphens/>
              <w:autoSpaceDN w:val="0"/>
              <w:textAlignment w:val="baseline"/>
              <w:rPr>
                <w:rFonts w:ascii="Times New Roman" w:eastAsia="WenQuanYi Zen Hei Sharp" w:hAnsi="Times New Roman" w:cs="Times New Roman"/>
                <w:kern w:val="3"/>
                <w:lang w:eastAsia="zh-CN" w:bidi="hi-IN"/>
              </w:rPr>
            </w:pPr>
          </w:p>
        </w:tc>
      </w:tr>
      <w:bookmarkEnd w:id="90"/>
    </w:tbl>
    <w:p w14:paraId="47A3061E" w14:textId="77777777" w:rsidR="00010D50" w:rsidRPr="00F23F20" w:rsidRDefault="00010D50" w:rsidP="00010D50">
      <w:pPr>
        <w:widowControl w:val="0"/>
        <w:spacing w:after="160" w:line="259" w:lineRule="auto"/>
        <w:rPr>
          <w:rFonts w:ascii="Times New Roman" w:eastAsia="Calibri" w:hAnsi="Times New Roman" w:cs="Times New Roman"/>
          <w:lang w:eastAsia="zh-CN" w:bidi="hi-IN"/>
        </w:rPr>
      </w:pPr>
    </w:p>
    <w:p w14:paraId="1A5AF6A9" w14:textId="38C820A9" w:rsidR="00010D50" w:rsidRPr="00F23F20" w:rsidRDefault="00010D50" w:rsidP="007A342F">
      <w:pPr>
        <w:rPr>
          <w:rFonts w:ascii="Times New Roman" w:hAnsi="Times New Roman" w:cs="Times New Roman"/>
          <w:color w:val="000000"/>
          <w:lang w:eastAsia="zh-CN" w:bidi="hi-IN"/>
        </w:rPr>
      </w:pPr>
      <w:r w:rsidRPr="00F23F20">
        <w:rPr>
          <w:rFonts w:ascii="Times New Roman" w:hAnsi="Times New Roman" w:cs="Times New Roman"/>
          <w:color w:val="000000"/>
          <w:lang w:eastAsia="zh-CN" w:bidi="hi-IN"/>
        </w:rPr>
        <w:br w:type="page"/>
      </w:r>
    </w:p>
    <w:p w14:paraId="451A229B" w14:textId="3A5E4BF8" w:rsidR="00365526" w:rsidRDefault="00150DF8" w:rsidP="00365526">
      <w:pPr>
        <w:pStyle w:val="Heading3"/>
      </w:pPr>
      <w:bookmarkStart w:id="91" w:name="_Toc41908088"/>
      <w:r w:rsidRPr="00F23F20">
        <w:rPr>
          <w:bCs/>
          <w:i/>
          <w:noProof/>
        </w:rPr>
        <w:lastRenderedPageBreak/>
        <w:drawing>
          <wp:anchor distT="0" distB="0" distL="114300" distR="114300" simplePos="0" relativeHeight="251667456" behindDoc="0" locked="0" layoutInCell="1" allowOverlap="0" wp14:anchorId="616169B0" wp14:editId="4A25DB52">
            <wp:simplePos x="0" y="0"/>
            <wp:positionH relativeFrom="page">
              <wp:align>center</wp:align>
            </wp:positionH>
            <wp:positionV relativeFrom="margin">
              <wp:posOffset>182880</wp:posOffset>
            </wp:positionV>
            <wp:extent cx="5175504" cy="2734056"/>
            <wp:effectExtent l="0" t="0" r="6350" b="9525"/>
            <wp:wrapTopAndBottom/>
            <wp:docPr id="13" name="Picture 13" descr="A picture containing object, clock, dark,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S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75504" cy="2734056"/>
                    </a:xfrm>
                    <a:prstGeom prst="rect">
                      <a:avLst/>
                    </a:prstGeom>
                  </pic:spPr>
                </pic:pic>
              </a:graphicData>
            </a:graphic>
            <wp14:sizeRelH relativeFrom="margin">
              <wp14:pctWidth>0</wp14:pctWidth>
            </wp14:sizeRelH>
            <wp14:sizeRelV relativeFrom="margin">
              <wp14:pctHeight>0</wp14:pctHeight>
            </wp14:sizeRelV>
          </wp:anchor>
        </w:drawing>
      </w:r>
      <w:r w:rsidRPr="00F23F20">
        <w:t>Figures</w:t>
      </w:r>
      <w:bookmarkEnd w:id="91"/>
    </w:p>
    <w:p w14:paraId="742D9590" w14:textId="72A33D70" w:rsidR="00365526" w:rsidRPr="00F23F20" w:rsidRDefault="00365526" w:rsidP="00365526">
      <w:pPr>
        <w:spacing w:line="480" w:lineRule="auto"/>
        <w:rPr>
          <w:rFonts w:ascii="Times New Roman" w:hAnsi="Times New Roman" w:cs="Times New Roman"/>
          <w:b/>
          <w:bCs/>
        </w:rPr>
      </w:pPr>
      <w:r w:rsidRPr="00F23F20">
        <w:rPr>
          <w:rFonts w:ascii="Times New Roman" w:hAnsi="Times New Roman" w:cs="Times New Roman"/>
          <w:b/>
          <w:bCs/>
          <w:color w:val="000000"/>
          <w:shd w:val="clear" w:color="auto" w:fill="FFFFFF"/>
        </w:rPr>
        <w:t>Figure 1.1.</w:t>
      </w:r>
      <w:r w:rsidRPr="00F23F20">
        <w:rPr>
          <w:rFonts w:ascii="Times New Roman" w:hAnsi="Times New Roman" w:cs="Times New Roman"/>
          <w:color w:val="000000"/>
          <w:shd w:val="clear" w:color="auto" w:fill="FFFFFF"/>
        </w:rPr>
        <w:t xml:space="preserve"> Violin plots showing the distribution for the ratio of total COG-FC annotations in a genome to the total number of open reading frames for each phylum.</w:t>
      </w:r>
    </w:p>
    <w:p w14:paraId="11378AA3" w14:textId="5E89FB64" w:rsidR="00365526" w:rsidRPr="00F23F20" w:rsidRDefault="00150DF8" w:rsidP="00365526">
      <w:pPr>
        <w:pStyle w:val="LO-normal"/>
        <w:ind w:firstLine="0"/>
      </w:pPr>
      <w:r w:rsidRPr="00F23F20">
        <w:rPr>
          <w:b/>
          <w:noProof/>
        </w:rPr>
        <w:lastRenderedPageBreak/>
        <w:drawing>
          <wp:anchor distT="0" distB="0" distL="114300" distR="114300" simplePos="0" relativeHeight="251666432" behindDoc="0" locked="0" layoutInCell="1" allowOverlap="0" wp14:anchorId="020BE807" wp14:editId="7633F649">
            <wp:simplePos x="0" y="0"/>
            <wp:positionH relativeFrom="page">
              <wp:align>center</wp:align>
            </wp:positionH>
            <wp:positionV relativeFrom="margin">
              <wp:align>top</wp:align>
            </wp:positionV>
            <wp:extent cx="4663440" cy="4681728"/>
            <wp:effectExtent l="0" t="0" r="3810" b="5080"/>
            <wp:wrapTopAndBottom/>
            <wp:docPr id="15" name="Picture 15" descr="A picture containing light, photo, dark,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63440" cy="4681728"/>
                    </a:xfrm>
                    <a:prstGeom prst="rect">
                      <a:avLst/>
                    </a:prstGeom>
                  </pic:spPr>
                </pic:pic>
              </a:graphicData>
            </a:graphic>
            <wp14:sizeRelH relativeFrom="margin">
              <wp14:pctWidth>0</wp14:pctWidth>
            </wp14:sizeRelH>
            <wp14:sizeRelV relativeFrom="margin">
              <wp14:pctHeight>0</wp14:pctHeight>
            </wp14:sizeRelV>
          </wp:anchor>
        </w:drawing>
      </w:r>
      <w:r w:rsidR="00365526" w:rsidRPr="00F23F20">
        <w:rPr>
          <w:b/>
        </w:rPr>
        <w:t>Figure 1.2.</w:t>
      </w:r>
      <w:r w:rsidR="00365526" w:rsidRPr="00F23F20">
        <w:t xml:space="preserve"> PCA plots of COG-FC abundances (A) and relative abundances (B and C). Individual data points are colored by genome size in panels A and B. The data presented in panel A were not normalized by genome size, while the data in panels B and C were normalized by genome size. Black contours on panels B and C correspond to density plots for all genomes shown in panel B. Colored contours in panel C correspond to the respective lineage labels. For panel A, PC1 explained 71% and PC2 explained 7.0% of the variance. For panels B and C, PC1 explained 21% and PC2 explained 16% of the variance. Panel C corresponds to only the top 10 most abundant phyla analyzed as described for Table 1.1.</w:t>
      </w:r>
      <w:r w:rsidR="00365526" w:rsidRPr="00F23F20">
        <w:br w:type="page"/>
      </w:r>
    </w:p>
    <w:p w14:paraId="769389F4" w14:textId="007D2B18" w:rsidR="00365526" w:rsidRPr="00F23F20" w:rsidRDefault="00365526" w:rsidP="00E96229">
      <w:pPr>
        <w:pStyle w:val="LO-normal"/>
        <w:ind w:firstLine="0"/>
      </w:pPr>
      <w:r w:rsidRPr="00F23F20">
        <w:rPr>
          <w:noProof/>
        </w:rPr>
        <w:lastRenderedPageBreak/>
        <w:drawing>
          <wp:anchor distT="0" distB="0" distL="114300" distR="114300" simplePos="0" relativeHeight="251665408" behindDoc="0" locked="0" layoutInCell="1" allowOverlap="0" wp14:anchorId="795B2066" wp14:editId="364C5C4D">
            <wp:simplePos x="0" y="0"/>
            <wp:positionH relativeFrom="page">
              <wp:align>center</wp:align>
            </wp:positionH>
            <wp:positionV relativeFrom="margin">
              <wp:align>top</wp:align>
            </wp:positionV>
            <wp:extent cx="5486400" cy="6318504"/>
            <wp:effectExtent l="0" t="0" r="0" b="6350"/>
            <wp:wrapTopAndBottom/>
            <wp:docPr id="14" name="Picture 14" descr="A picture containing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S2_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6318504"/>
                    </a:xfrm>
                    <a:prstGeom prst="rect">
                      <a:avLst/>
                    </a:prstGeom>
                  </pic:spPr>
                </pic:pic>
              </a:graphicData>
            </a:graphic>
            <wp14:sizeRelH relativeFrom="margin">
              <wp14:pctWidth>0</wp14:pctWidth>
            </wp14:sizeRelH>
            <wp14:sizeRelV relativeFrom="margin">
              <wp14:pctHeight>0</wp14:pctHeight>
            </wp14:sizeRelV>
          </wp:anchor>
        </w:drawing>
      </w:r>
      <w:r w:rsidRPr="00F23F20">
        <w:rPr>
          <w:b/>
          <w:bCs/>
        </w:rPr>
        <w:t>Figure 1.3.</w:t>
      </w:r>
      <w:r w:rsidRPr="00F23F20">
        <w:t xml:space="preserve"> GAM regressions modeling COG-FC normalized abundance (standardized) as a function of genome size. Solid red lines correspond to mean fit. Upper and lower red dashed lines correspond to 95th percentile confidence intervals.</w:t>
      </w:r>
    </w:p>
    <w:p w14:paraId="0E21E3BE" w14:textId="18279BC2" w:rsidR="00365526" w:rsidRPr="00E96229" w:rsidRDefault="00365526" w:rsidP="00E96229">
      <w:pPr>
        <w:spacing w:line="480" w:lineRule="auto"/>
        <w:rPr>
          <w:rFonts w:ascii="Times New Roman" w:hAnsi="Times New Roman" w:cs="Times New Roman"/>
          <w:noProof/>
        </w:rPr>
      </w:pPr>
      <w:r w:rsidRPr="00E96229">
        <w:rPr>
          <w:rFonts w:ascii="Times New Roman" w:hAnsi="Times New Roman" w:cs="Times New Roman"/>
          <w:b/>
          <w:noProof/>
        </w:rPr>
        <w:lastRenderedPageBreak/>
        <w:drawing>
          <wp:anchor distT="0" distB="0" distL="114300" distR="114300" simplePos="0" relativeHeight="251668480" behindDoc="0" locked="0" layoutInCell="1" allowOverlap="0" wp14:anchorId="14EC8B7C" wp14:editId="3397FE68">
            <wp:simplePos x="0" y="0"/>
            <wp:positionH relativeFrom="page">
              <wp:align>center</wp:align>
            </wp:positionH>
            <wp:positionV relativeFrom="margin">
              <wp:align>top</wp:align>
            </wp:positionV>
            <wp:extent cx="2734056" cy="2916936"/>
            <wp:effectExtent l="0" t="0" r="9525" b="0"/>
            <wp:wrapTopAndBottom/>
            <wp:docPr id="18" name="Picture 18" descr="A picture containing dark, star, fl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34056" cy="2916936"/>
                    </a:xfrm>
                    <a:prstGeom prst="rect">
                      <a:avLst/>
                    </a:prstGeom>
                  </pic:spPr>
                </pic:pic>
              </a:graphicData>
            </a:graphic>
            <wp14:sizeRelH relativeFrom="margin">
              <wp14:pctWidth>0</wp14:pctWidth>
            </wp14:sizeRelH>
            <wp14:sizeRelV relativeFrom="margin">
              <wp14:pctHeight>0</wp14:pctHeight>
            </wp14:sizeRelV>
          </wp:anchor>
        </w:drawing>
      </w:r>
      <w:r w:rsidRPr="00E96229">
        <w:rPr>
          <w:rFonts w:ascii="Times New Roman" w:hAnsi="Times New Roman" w:cs="Times New Roman"/>
          <w:b/>
        </w:rPr>
        <w:t>Figure 1.4.</w:t>
      </w:r>
      <w:r w:rsidRPr="00E96229">
        <w:rPr>
          <w:rFonts w:ascii="Times New Roman" w:hAnsi="Times New Roman" w:cs="Times New Roman"/>
        </w:rPr>
        <w:t xml:space="preserve"> The average variance in COG-FC enrichment explained by different taxonomic ranks (bars) and the cumulative variance explained by taxonomic ranks (lines). All variance explained by taxonomic ranks was significant (</w:t>
      </w:r>
      <w:r w:rsidRPr="00E96229">
        <w:rPr>
          <w:rFonts w:ascii="Times New Roman" w:hAnsi="Times New Roman" w:cs="Times New Roman"/>
          <w:i/>
        </w:rPr>
        <w:t>p</w:t>
      </w:r>
      <w:r w:rsidRPr="00E96229">
        <w:rPr>
          <w:rFonts w:ascii="Times New Roman" w:hAnsi="Times New Roman" w:cs="Times New Roman"/>
        </w:rPr>
        <w:t xml:space="preserve">&lt;0.001). The </w:t>
      </w:r>
      <w:r w:rsidRPr="00E96229">
        <w:rPr>
          <w:rFonts w:ascii="Times New Roman" w:hAnsi="Times New Roman" w:cs="Times New Roman"/>
          <w:i/>
        </w:rPr>
        <w:t>F</w:t>
      </w:r>
      <w:r w:rsidRPr="00E96229">
        <w:rPr>
          <w:rFonts w:ascii="Times New Roman" w:hAnsi="Times New Roman" w:cs="Times New Roman"/>
        </w:rPr>
        <w:t xml:space="preserve">-value for domain, phylum, class, order, family, and genus, was 726.0, 128.8, 38.76, 34.4, 11.2, and 5.1, respectively. </w:t>
      </w:r>
    </w:p>
    <w:p w14:paraId="452AA167" w14:textId="77777777" w:rsidR="00365526" w:rsidRPr="00F23F20" w:rsidRDefault="00365526" w:rsidP="00365526">
      <w:pPr>
        <w:rPr>
          <w:rFonts w:ascii="Times New Roman" w:hAnsi="Times New Roman" w:cs="Times New Roman"/>
          <w:noProof/>
          <w:color w:val="000000"/>
          <w:lang w:eastAsia="zh-CN" w:bidi="hi-IN"/>
        </w:rPr>
      </w:pPr>
      <w:r w:rsidRPr="00F23F20">
        <w:rPr>
          <w:rFonts w:ascii="Times New Roman" w:hAnsi="Times New Roman" w:cs="Times New Roman"/>
          <w:noProof/>
        </w:rPr>
        <w:br w:type="page"/>
      </w:r>
    </w:p>
    <w:p w14:paraId="3654BBDE" w14:textId="7ABDA625"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b/>
          <w:noProof/>
        </w:rPr>
        <w:lastRenderedPageBreak/>
        <w:drawing>
          <wp:anchor distT="0" distB="0" distL="114300" distR="114300" simplePos="0" relativeHeight="251692032" behindDoc="0" locked="0" layoutInCell="1" allowOverlap="0" wp14:anchorId="60B9C383" wp14:editId="1F64D7F5">
            <wp:simplePos x="0" y="0"/>
            <wp:positionH relativeFrom="page">
              <wp:align>center</wp:align>
            </wp:positionH>
            <wp:positionV relativeFrom="margin">
              <wp:align>top</wp:align>
            </wp:positionV>
            <wp:extent cx="5488710" cy="2112264"/>
            <wp:effectExtent l="0" t="0" r="0" b="254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8710" cy="2112264"/>
                    </a:xfrm>
                    <a:prstGeom prst="rect">
                      <a:avLst/>
                    </a:prstGeom>
                  </pic:spPr>
                </pic:pic>
              </a:graphicData>
            </a:graphic>
            <wp14:sizeRelV relativeFrom="margin">
              <wp14:pctHeight>0</wp14:pctHeight>
            </wp14:sizeRelV>
          </wp:anchor>
        </w:drawing>
      </w:r>
      <w:r w:rsidRPr="00F23F20">
        <w:rPr>
          <w:rFonts w:ascii="Times New Roman" w:hAnsi="Times New Roman" w:cs="Times New Roman"/>
          <w:b/>
        </w:rPr>
        <w:t>Figure 1.5.</w:t>
      </w:r>
      <w:r w:rsidRPr="00F23F20">
        <w:rPr>
          <w:rFonts w:ascii="Times New Roman" w:hAnsi="Times New Roman" w:cs="Times New Roman"/>
        </w:rPr>
        <w:t xml:space="preserve"> Violin plots showing the distribution in log</w:t>
      </w:r>
      <w:r w:rsidRPr="00F23F20">
        <w:rPr>
          <w:rFonts w:ascii="Times New Roman" w:hAnsi="Times New Roman" w:cs="Times New Roman"/>
          <w:vertAlign w:val="subscript"/>
        </w:rPr>
        <w:t>10</w:t>
      </w:r>
      <w:r w:rsidRPr="00F23F20">
        <w:rPr>
          <w:rFonts w:ascii="Times New Roman" w:hAnsi="Times New Roman" w:cs="Times New Roman"/>
        </w:rPr>
        <w:t>-distance for lineages from their respective phyla mean COG-FC centroid (A) and average log</w:t>
      </w:r>
      <w:r w:rsidRPr="00F23F20">
        <w:rPr>
          <w:rFonts w:ascii="Times New Roman" w:hAnsi="Times New Roman" w:cs="Times New Roman"/>
          <w:vertAlign w:val="subscript"/>
        </w:rPr>
        <w:t>10</w:t>
      </w:r>
      <w:r w:rsidRPr="00F23F20">
        <w:rPr>
          <w:rFonts w:ascii="Times New Roman" w:hAnsi="Times New Roman" w:cs="Times New Roman"/>
        </w:rPr>
        <w:t xml:space="preserve">-distance to phyla mean COG-FC centroid as a function of number of lineages in a given phylum (B). Coefficients in panel B correspond to fit parameters from eq 1. The * symbols denote significance as defined in the text. We note three outliers: the </w:t>
      </w:r>
      <w:proofErr w:type="spellStart"/>
      <w:r w:rsidRPr="00F23F20">
        <w:rPr>
          <w:rFonts w:ascii="Times New Roman" w:hAnsi="Times New Roman" w:cs="Times New Roman"/>
          <w:i/>
          <w:iCs/>
        </w:rPr>
        <w:t>Crenarhaeota</w:t>
      </w:r>
      <w:proofErr w:type="spellEnd"/>
      <w:r w:rsidRPr="00F23F20">
        <w:rPr>
          <w:rFonts w:ascii="Times New Roman" w:hAnsi="Times New Roman" w:cs="Times New Roman"/>
        </w:rPr>
        <w:t xml:space="preserve"> are characterized by unusually high diversity of COG-FCs distributions, and the </w:t>
      </w:r>
      <w:proofErr w:type="spellStart"/>
      <w:r w:rsidRPr="00F23F20">
        <w:rPr>
          <w:rFonts w:ascii="Times New Roman" w:hAnsi="Times New Roman" w:cs="Times New Roman"/>
          <w:i/>
          <w:iCs/>
        </w:rPr>
        <w:t>Synergistota</w:t>
      </w:r>
      <w:proofErr w:type="spellEnd"/>
      <w:r w:rsidRPr="00F23F20">
        <w:rPr>
          <w:rFonts w:ascii="Times New Roman" w:hAnsi="Times New Roman" w:cs="Times New Roman"/>
        </w:rPr>
        <w:t xml:space="preserve"> and </w:t>
      </w:r>
      <w:proofErr w:type="spellStart"/>
      <w:r w:rsidRPr="00F23F20">
        <w:rPr>
          <w:rFonts w:ascii="Times New Roman" w:hAnsi="Times New Roman" w:cs="Times New Roman"/>
          <w:i/>
          <w:iCs/>
        </w:rPr>
        <w:t>Fibrobacterota</w:t>
      </w:r>
      <w:proofErr w:type="spellEnd"/>
      <w:r w:rsidRPr="00F23F20">
        <w:rPr>
          <w:rFonts w:ascii="Times New Roman" w:hAnsi="Times New Roman" w:cs="Times New Roman"/>
        </w:rPr>
        <w:t xml:space="preserve"> are characterized by an unusually low diversity of COG-FC distributions. </w:t>
      </w:r>
      <w:r w:rsidRPr="00F23F20">
        <w:rPr>
          <w:rFonts w:ascii="Times New Roman" w:hAnsi="Times New Roman" w:cs="Times New Roman"/>
        </w:rPr>
        <w:br w:type="page"/>
      </w:r>
    </w:p>
    <w:p w14:paraId="6BB8011F" w14:textId="46C7C1BF" w:rsidR="00365526" w:rsidRPr="00F23F20" w:rsidRDefault="00365526" w:rsidP="00365526">
      <w:pPr>
        <w:pStyle w:val="LO-normal"/>
        <w:ind w:firstLine="0"/>
      </w:pPr>
      <w:r w:rsidRPr="00F23F20">
        <w:rPr>
          <w:noProof/>
        </w:rPr>
        <w:lastRenderedPageBreak/>
        <w:drawing>
          <wp:anchor distT="0" distB="0" distL="114300" distR="114300" simplePos="0" relativeHeight="251669504" behindDoc="0" locked="0" layoutInCell="1" allowOverlap="0" wp14:anchorId="5ED456E9" wp14:editId="6DDF81ED">
            <wp:simplePos x="0" y="0"/>
            <wp:positionH relativeFrom="page">
              <wp:align>center</wp:align>
            </wp:positionH>
            <wp:positionV relativeFrom="margin">
              <wp:align>top</wp:align>
            </wp:positionV>
            <wp:extent cx="5486400" cy="5221224"/>
            <wp:effectExtent l="0" t="0" r="0" b="0"/>
            <wp:wrapTopAndBottom/>
            <wp:docPr id="19" name="Picture 19" descr="A picture containing sitting,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6400" cy="5221224"/>
                    </a:xfrm>
                    <a:prstGeom prst="rect">
                      <a:avLst/>
                    </a:prstGeom>
                  </pic:spPr>
                </pic:pic>
              </a:graphicData>
            </a:graphic>
            <wp14:sizeRelH relativeFrom="margin">
              <wp14:pctWidth>0</wp14:pctWidth>
            </wp14:sizeRelH>
            <wp14:sizeRelV relativeFrom="margin">
              <wp14:pctHeight>0</wp14:pctHeight>
            </wp14:sizeRelV>
          </wp:anchor>
        </w:drawing>
      </w:r>
      <w:r w:rsidRPr="00F23F20">
        <w:rPr>
          <w:b/>
        </w:rPr>
        <w:t>Figure 1.6.</w:t>
      </w:r>
      <w:r w:rsidRPr="00F23F20">
        <w:t xml:space="preserve"> A heat map showing the average COG-FC enrichment for all archaeal (A) and bacterial (B) genera. Categories were arranged from left to right along the x axis in order of decreasing total variance in enrichment across all lineages. Clades were organized along the y axis using phylogenetic relatedness based on the reported concatenated protein sequence alignments in </w:t>
      </w:r>
      <w:r w:rsidRPr="00F23F20">
        <w:fldChar w:fldCharType="begin" w:fldLock="1"/>
      </w:r>
      <w:r w:rsidR="00F74F65">
        <w:instrText>ADDIN CSL_CITATION {"citationItems":[{"id":"ITEM-1","itemData":{"DOI":"10.1038/nbt.4229","ISBN":"1101-1262","ISSN":"1087-0156","PMID":"30148503","abstract":"Taxonomy is a fundamental organizing principle of biology, which ideally should be based on evolutionary relationships. Microbial taxonomy has been greatly restricted by the inability to obtain most microorganisms in pure culture and, to a lesser degree, the historical use of phenotypic properties as the basis for classification. However, we are now at the point of obtaining genome sequences broadly representative of microbial diversity by using culture-independent techniques, which provide the opportunity to develop a comprehensive genome-based taxonomy. Here we propose a standardized bacterial taxonomy based on a concatenated protein phylogeny that conservatively removes polyphyletic groups and normalizes ranks based on relative evolutionary divergence. From 94,759 bacterial genomes, 99 phyla are described including six major normalized monophyletic units from the subdivision of the Proteobacteria, and amalgamation of the Candidate Phyla Radiation into the single phylum Patescibacteria. In total, 73% of taxa had one or more changes to their existing taxonomy.","author":[{"dropping-particle":"","family":"Parks","given":"Donovan H","non-dropping-particle":"","parse-names":false,"suffix":""},{"dropping-particle":"","family":"Chuvochina","given":"Maria","non-dropping-particle":"","parse-names":false,"suffix":""},{"dropping-particle":"","family":"Waite","given":"David W","non-dropping-particle":"","parse-names":false,"suffix":""},{"dropping-particle":"","family":"Rinke","given":"Christian","non-dropping-particle":"","parse-names":false,"suffix":""},{"dropping-particle":"","family":"Skarshewski","given":"Adam","non-dropping-particle":"","parse-names":false,"suffix":""},{"dropping-particle":"","family":"Chaumeil","given":"Pierre-Alain","non-dropping-particle":"","parse-names":false,"suffix":""},{"dropping-particle":"","family":"Hugenholtz","given":"Philip","non-dropping-particle":"","parse-names":false,"suffix":""}],"container-title":"Nature Biotechnology","id":"ITEM-1","issue":"10","issued":{"date-parts":[["2018"]]},"page":"996-1004","title":"A standardized bacterial taxonomy based on genome phylogeny substantially revises the tree of life","type":"article-journal","volume":"36"},"uris":["http://www.mendeley.com/documents/?uuid=c230d0f1-0711-4b60-bb3c-207f7cf49c63"]}],"mendeley":{"formattedCitation":"(10)","plainTextFormattedCitation":"(10)","previouslyFormattedCitation":"(10)"},"properties":{"noteIndex":0},"schema":"https://github.com/citation-style-language/schema/raw/master/csl-citation.json"}</w:instrText>
      </w:r>
      <w:r w:rsidRPr="00F23F20">
        <w:fldChar w:fldCharType="separate"/>
      </w:r>
      <w:r w:rsidR="004620D1" w:rsidRPr="004620D1">
        <w:rPr>
          <w:noProof/>
        </w:rPr>
        <w:t>(10)</w:t>
      </w:r>
      <w:r w:rsidRPr="00F23F20">
        <w:fldChar w:fldCharType="end"/>
      </w:r>
      <w:r w:rsidRPr="00F23F20">
        <w:t xml:space="preserve">. </w:t>
      </w:r>
    </w:p>
    <w:p w14:paraId="0D0FFB6D" w14:textId="77777777" w:rsidR="00365526" w:rsidRPr="00F23F20" w:rsidRDefault="00365526" w:rsidP="00365526">
      <w:pPr>
        <w:pStyle w:val="LO-normal"/>
        <w:ind w:firstLine="0"/>
        <w:rPr>
          <w:b/>
        </w:rPr>
      </w:pPr>
    </w:p>
    <w:p w14:paraId="72A86B19" w14:textId="5CAFEFE1" w:rsidR="007A342F" w:rsidRDefault="00365526" w:rsidP="00E96229">
      <w:pPr>
        <w:pStyle w:val="LO-normal"/>
        <w:ind w:firstLine="0"/>
      </w:pPr>
      <w:r w:rsidRPr="00F23F20">
        <w:rPr>
          <w:noProof/>
        </w:rPr>
        <w:lastRenderedPageBreak/>
        <w:drawing>
          <wp:anchor distT="0" distB="0" distL="114300" distR="114300" simplePos="0" relativeHeight="251664384" behindDoc="0" locked="0" layoutInCell="1" allowOverlap="0" wp14:anchorId="79700B0C" wp14:editId="68BE17E6">
            <wp:simplePos x="0" y="0"/>
            <wp:positionH relativeFrom="page">
              <wp:align>center</wp:align>
            </wp:positionH>
            <wp:positionV relativeFrom="margin">
              <wp:align>top</wp:align>
            </wp:positionV>
            <wp:extent cx="3191256" cy="4800600"/>
            <wp:effectExtent l="0" t="0" r="9525" b="0"/>
            <wp:wrapTopAndBottom/>
            <wp:docPr id="16" name="Picture 1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5.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91256" cy="4800600"/>
                    </a:xfrm>
                    <a:prstGeom prst="rect">
                      <a:avLst/>
                    </a:prstGeom>
                  </pic:spPr>
                </pic:pic>
              </a:graphicData>
            </a:graphic>
            <wp14:sizeRelH relativeFrom="margin">
              <wp14:pctWidth>0</wp14:pctWidth>
            </wp14:sizeRelH>
            <wp14:sizeRelV relativeFrom="margin">
              <wp14:pctHeight>0</wp14:pctHeight>
            </wp14:sizeRelV>
          </wp:anchor>
        </w:drawing>
      </w:r>
      <w:r w:rsidRPr="00F23F20">
        <w:rPr>
          <w:b/>
          <w:bCs/>
        </w:rPr>
        <w:t>Figure 1.7.</w:t>
      </w:r>
      <w:r w:rsidRPr="00F23F20">
        <w:t xml:space="preserve"> Results from a variance component model. Lineage was used as a nested random effect (intercept) for all COG-FCs. The proportion of variance explained is partitioned by phylum (A), class (B), order (C), family (D), and genus (E). Box plots correspond to the variability in variance explained from the bootstrap analysis, red dashed lines correspond to 95% confidence intervals calculated from the bootstrap analysis, and red circles correspond to the variance explained by analysis of all data in Table 1.1. Note that the titles for COG-FCs are shortened; the full category names are shown in Figure 1.6 and Table 1.2.</w:t>
      </w:r>
      <w:r w:rsidR="007A342F">
        <w:br w:type="page"/>
      </w:r>
    </w:p>
    <w:p w14:paraId="79F5277A" w14:textId="77777777" w:rsidR="00365526" w:rsidRPr="00F23F20" w:rsidRDefault="00365526" w:rsidP="00365526">
      <w:pPr>
        <w:spacing w:line="480" w:lineRule="auto"/>
        <w:rPr>
          <w:rFonts w:ascii="Times New Roman" w:hAnsi="Times New Roman" w:cs="Times New Roman"/>
        </w:rPr>
      </w:pPr>
    </w:p>
    <w:p w14:paraId="6B66F099" w14:textId="2EB564DF" w:rsidR="00365526" w:rsidRPr="00F23F20" w:rsidRDefault="00365526" w:rsidP="00010D50">
      <w:pPr>
        <w:pStyle w:val="Heading1"/>
      </w:pPr>
      <w:r w:rsidRPr="00F23F20">
        <w:br w:type="page"/>
      </w:r>
      <w:bookmarkStart w:id="92" w:name="_Toc420995900"/>
      <w:bookmarkStart w:id="93" w:name="_Toc422997487"/>
      <w:bookmarkEnd w:id="86"/>
      <w:bookmarkEnd w:id="87"/>
      <w:bookmarkEnd w:id="88"/>
      <w:r w:rsidRPr="00F23F20">
        <w:lastRenderedPageBreak/>
        <w:br/>
      </w:r>
      <w:bookmarkStart w:id="94" w:name="_Toc41908089"/>
      <w:bookmarkEnd w:id="92"/>
      <w:bookmarkEnd w:id="93"/>
      <w:r w:rsidRPr="00F23F20">
        <w:t xml:space="preserve">Theoretical and </w:t>
      </w:r>
      <w:r>
        <w:t>S</w:t>
      </w:r>
      <w:r w:rsidRPr="00F23F20">
        <w:t xml:space="preserve">imulation-based </w:t>
      </w:r>
      <w:r>
        <w:t>I</w:t>
      </w:r>
      <w:r w:rsidRPr="00F23F20">
        <w:t xml:space="preserve">nvestigation of the </w:t>
      </w:r>
      <w:r>
        <w:t>R</w:t>
      </w:r>
      <w:r w:rsidRPr="00F23F20">
        <w:t xml:space="preserve">elationship between </w:t>
      </w:r>
      <w:r>
        <w:t>S</w:t>
      </w:r>
      <w:r w:rsidRPr="00F23F20">
        <w:t xml:space="preserve">equencing </w:t>
      </w:r>
      <w:r>
        <w:t>E</w:t>
      </w:r>
      <w:r w:rsidRPr="00F23F20">
        <w:t xml:space="preserve">ffort, </w:t>
      </w:r>
      <w:r>
        <w:t>M</w:t>
      </w:r>
      <w:r w:rsidRPr="00F23F20">
        <w:t xml:space="preserve">icrobial </w:t>
      </w:r>
      <w:r>
        <w:t>C</w:t>
      </w:r>
      <w:r w:rsidRPr="00F23F20">
        <w:t xml:space="preserve">ommunity </w:t>
      </w:r>
      <w:r>
        <w:t>R</w:t>
      </w:r>
      <w:r w:rsidRPr="00F23F20">
        <w:t xml:space="preserve">ichness, and </w:t>
      </w:r>
      <w:r>
        <w:t>D</w:t>
      </w:r>
      <w:r w:rsidRPr="00F23F20">
        <w:t xml:space="preserve">iversity in </w:t>
      </w:r>
      <w:r>
        <w:t>B</w:t>
      </w:r>
      <w:r w:rsidRPr="00F23F20">
        <w:t xml:space="preserve">inning </w:t>
      </w:r>
      <w:r>
        <w:t>M</w:t>
      </w:r>
      <w:r w:rsidRPr="00F23F20">
        <w:t xml:space="preserve">etagenome-assembled </w:t>
      </w:r>
      <w:r>
        <w:t>G</w:t>
      </w:r>
      <w:r w:rsidRPr="00F23F20">
        <w:t>enomes</w:t>
      </w:r>
      <w:bookmarkEnd w:id="94"/>
    </w:p>
    <w:p w14:paraId="672901FC" w14:textId="77777777" w:rsidR="00365526" w:rsidRPr="00F23F20" w:rsidRDefault="00365526" w:rsidP="00365526">
      <w:pPr>
        <w:rPr>
          <w:rFonts w:ascii="Times New Roman" w:hAnsi="Times New Roman" w:cs="Times New Roman"/>
        </w:rPr>
      </w:pPr>
      <w:r w:rsidRPr="00F23F20">
        <w:rPr>
          <w:rFonts w:ascii="Times New Roman" w:hAnsi="Times New Roman" w:cs="Times New Roman"/>
        </w:rPr>
        <w:br w:type="page"/>
      </w:r>
    </w:p>
    <w:p w14:paraId="49DC1FF8" w14:textId="089C466F" w:rsidR="007916F1" w:rsidRPr="00F077A3" w:rsidRDefault="00E45AA5" w:rsidP="007916F1">
      <w:pPr>
        <w:rPr>
          <w:rFonts w:ascii="Times New Roman" w:hAnsi="Times New Roman" w:cs="Times New Roman"/>
        </w:rPr>
      </w:pPr>
      <w:r>
        <w:rPr>
          <w:rFonts w:ascii="Times New Roman" w:hAnsi="Times New Roman" w:cs="Times New Roman"/>
        </w:rPr>
        <w:lastRenderedPageBreak/>
        <w:t>T</w:t>
      </w:r>
      <w:r w:rsidRPr="00F077A3">
        <w:rPr>
          <w:rFonts w:ascii="Times New Roman" w:hAnsi="Times New Roman" w:cs="Times New Roman"/>
        </w:rPr>
        <w:t xml:space="preserve">his chapter </w:t>
      </w:r>
      <w:r>
        <w:rPr>
          <w:rFonts w:ascii="Times New Roman" w:hAnsi="Times New Roman" w:cs="Times New Roman"/>
        </w:rPr>
        <w:t xml:space="preserve">is </w:t>
      </w:r>
      <w:r w:rsidRPr="00F077A3">
        <w:rPr>
          <w:rFonts w:ascii="Times New Roman" w:hAnsi="Times New Roman" w:cs="Times New Roman"/>
        </w:rPr>
        <w:t xml:space="preserve">published in </w:t>
      </w:r>
      <w:proofErr w:type="spellStart"/>
      <w:r w:rsidRPr="00F077A3">
        <w:rPr>
          <w:rFonts w:ascii="Times New Roman" w:hAnsi="Times New Roman" w:cs="Times New Roman"/>
        </w:rPr>
        <w:t>mSphere</w:t>
      </w:r>
      <w:proofErr w:type="spellEnd"/>
      <w:r w:rsidRPr="00F077A3">
        <w:rPr>
          <w:rFonts w:ascii="Times New Roman" w:hAnsi="Times New Roman" w:cs="Times New Roman"/>
        </w:rPr>
        <w:t xml:space="preserve"> </w:t>
      </w:r>
      <w:r>
        <w:rPr>
          <w:rFonts w:ascii="Times New Roman" w:hAnsi="Times New Roman" w:cs="Times New Roman"/>
        </w:rPr>
        <w:t xml:space="preserve">by Taylor M. Royalty and Andrew D. Steen. </w:t>
      </w:r>
      <w:r w:rsidR="00122D7B">
        <w:rPr>
          <w:rFonts w:ascii="Times New Roman" w:hAnsi="Times New Roman" w:cs="Times New Roman"/>
        </w:rPr>
        <w:t xml:space="preserve">Andrew D. Steen aided in analysis, interpretation, and idea conception. </w:t>
      </w:r>
      <w:r>
        <w:rPr>
          <w:rFonts w:ascii="Times New Roman" w:hAnsi="Times New Roman" w:cs="Times New Roman"/>
        </w:rPr>
        <w:t xml:space="preserve">A version is available at </w:t>
      </w:r>
      <w:hyperlink r:id="rId20" w:tgtFrame="_blank" w:history="1">
        <w:r w:rsidR="007916F1" w:rsidRPr="007916F1">
          <w:rPr>
            <w:rStyle w:val="Hyperlink"/>
            <w:rFonts w:ascii="Times New Roman" w:hAnsi="Times New Roman" w:cs="Times New Roman"/>
          </w:rPr>
          <w:t>https://doi.org/10.1128/mSystems.00384-19</w:t>
        </w:r>
      </w:hyperlink>
      <w:r w:rsidR="007916F1">
        <w:rPr>
          <w:rFonts w:ascii="Times New Roman" w:hAnsi="Times New Roman" w:cs="Times New Roman"/>
        </w:rPr>
        <w:t xml:space="preserve"> </w:t>
      </w:r>
      <w:r w:rsidR="007916F1">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{"citationItems":[{"id":"ITEM-1","itemData":{"DOI":"doi.org/10 .1128/mSystems.00384-19","author":[{"dropping-particle":"","family":"Royalty","given":"Taylor M.","non-dropping-particle":"","parse-names":false,"suffix":""},{"dropping-particle":"","family":"Steen","given":"Andrew D.","non-dropping-particle":"","parse-names":false,"suffix":""}],"container-title":"mSystems","id":"ITEM-1","issue":"September","issued":{"date-parts":[["2019"]]},"page":"e00384-19","title":"Theoretical and Simulation-Based Investigation of the Relationship between Sequencing Effort, Microbial Community, Richness, and Diversity in Binning Metagenome-Assembled Genomes","type":"article-journal","volume":"4"},"uris":["http://www.mendeley.com/documents/?uuid=064a48fe-cbb4-439d-94c5-90fd1b69207a"]}],"mendeley":{"formattedCitation":"(48)","plainTextFormattedCitation":"(48)","previouslyFormattedCitation":"(47)"},"properties":{"noteIndex":0},"schema":"https://github.com/citation-style-language/schema/raw/master/csl-citation.json"}</w:instrText>
      </w:r>
      <w:r w:rsidR="007916F1">
        <w:rPr>
          <w:rFonts w:ascii="Times New Roman" w:hAnsi="Times New Roman" w:cs="Times New Roman"/>
        </w:rPr>
        <w:fldChar w:fldCharType="separate"/>
      </w:r>
      <w:r w:rsidR="00307058" w:rsidRPr="00307058">
        <w:rPr>
          <w:rFonts w:ascii="Times New Roman" w:hAnsi="Times New Roman" w:cs="Times New Roman"/>
          <w:noProof/>
        </w:rPr>
        <w:t>(48)</w:t>
      </w:r>
      <w:r w:rsidR="007916F1">
        <w:rPr>
          <w:rFonts w:ascii="Times New Roman" w:hAnsi="Times New Roman" w:cs="Times New Roman"/>
        </w:rPr>
        <w:fldChar w:fldCharType="end"/>
      </w:r>
      <w:r w:rsidR="007916F1">
        <w:rPr>
          <w:rFonts w:ascii="Times New Roman" w:hAnsi="Times New Roman" w:cs="Times New Roman"/>
        </w:rPr>
        <w:t>.</w:t>
      </w:r>
    </w:p>
    <w:p w14:paraId="2B3E09AC" w14:textId="4CFFA130" w:rsidR="00365526" w:rsidRPr="00F077A3" w:rsidRDefault="00365526" w:rsidP="007916F1">
      <w:pPr>
        <w:rPr>
          <w:rFonts w:ascii="Times New Roman" w:hAnsi="Times New Roman" w:cs="Times New Roman"/>
        </w:rPr>
      </w:pPr>
      <w:r>
        <w:rPr>
          <w:rFonts w:ascii="Times New Roman" w:hAnsi="Times New Roman" w:cs="Times New Roman"/>
        </w:rPr>
        <w:t>.</w:t>
      </w:r>
    </w:p>
    <w:p w14:paraId="0605DF42" w14:textId="77777777" w:rsidR="00365526" w:rsidRPr="00F23F20" w:rsidRDefault="00365526" w:rsidP="00365526">
      <w:pPr>
        <w:pStyle w:val="Heading2"/>
      </w:pPr>
      <w:bookmarkStart w:id="95" w:name="_Toc41908090"/>
      <w:r w:rsidRPr="00F23F20">
        <w:t>Abstract</w:t>
      </w:r>
      <w:bookmarkEnd w:id="95"/>
    </w:p>
    <w:p w14:paraId="2A529D4D" w14:textId="77777777" w:rsidR="00365526" w:rsidRPr="00F23F20" w:rsidRDefault="00365526" w:rsidP="00365526">
      <w:pPr>
        <w:spacing w:line="480" w:lineRule="auto"/>
        <w:ind w:firstLine="720"/>
        <w:rPr>
          <w:rFonts w:ascii="Times New Roman" w:hAnsi="Times New Roman" w:cs="Times New Roman"/>
        </w:rPr>
      </w:pPr>
      <w:bookmarkStart w:id="96" w:name="_Hlk525720617"/>
      <w:r w:rsidRPr="00F23F20">
        <w:rPr>
          <w:rFonts w:ascii="Times New Roman" w:hAnsi="Times New Roman" w:cs="Times New Roman"/>
        </w:rPr>
        <w:t xml:space="preserve">We applied simulation-based approaches to characterize how sequencing effort influences the properties of genomes identified in metagenomes assembled from short read sequences. An initial analysis evaluated the quantity, completion, and contamination of complete-genome equivalents, a bioinformatic-pipeline normalized metric for metagenome-assembled genomes (MAGs), as a function of sequencing effort on four preexisting sequence read datasets taken from a maize soil, an estuarine sediment, the surface ocean, and the human gut. These datasets were variously subsampled to simulate the effect of sequencing effort on MAG retrieval. Modeling suggested that sequencing efforts beyond what is typical in published experiments (1 to 10 </w:t>
      </w:r>
      <w:proofErr w:type="spellStart"/>
      <w:r w:rsidRPr="00F23F20">
        <w:rPr>
          <w:rFonts w:ascii="Times New Roman" w:hAnsi="Times New Roman" w:cs="Times New Roman"/>
        </w:rPr>
        <w:t>Gbp</w:t>
      </w:r>
      <w:proofErr w:type="spellEnd"/>
      <w:r w:rsidRPr="00F23F20">
        <w:rPr>
          <w:rFonts w:ascii="Times New Roman" w:hAnsi="Times New Roman" w:cs="Times New Roman"/>
        </w:rPr>
        <w:t xml:space="preserve">) would generate diminishing returns in terms of MAG binning. A second analysis explored the theoretical relationship between sequencing effort and the proportion of available metagenomic DNA sequenced during a sequencing experiment as a function of community richness, evenness, and genome size. Simulations from this analysis demonstrated that while community richness and evenness influenced the amount of sequencing required to sequence a community metagenome to exhaustion, the effort necessary to sequence an individual genome to a target fraction of exhaustion was only dependent on the relative abundance and genome size. The software tool, GRASE, was created to assist investigators further explore this relationship. Re-evaluation of the relationship between sequencing effort and binning success in the context of the relative abundance of </w:t>
      </w:r>
      <w:r w:rsidRPr="00F23F20">
        <w:rPr>
          <w:rFonts w:ascii="Times New Roman" w:hAnsi="Times New Roman" w:cs="Times New Roman"/>
        </w:rPr>
        <w:lastRenderedPageBreak/>
        <w:t>genomes, as opposed to base pairs, provides a framework to design sequencing experiments based on the relative abundance of microbes in an environment rather than arbitrary levels of sequencing effort.</w:t>
      </w:r>
      <w:r w:rsidRPr="00F23F20" w:rsidDel="00C6380B">
        <w:rPr>
          <w:rFonts w:ascii="Times New Roman" w:hAnsi="Times New Roman" w:cs="Times New Roman"/>
        </w:rPr>
        <w:t xml:space="preserve"> </w:t>
      </w:r>
    </w:p>
    <w:p w14:paraId="3E6960E6" w14:textId="77777777" w:rsidR="00365526" w:rsidRPr="00F23F20" w:rsidRDefault="00365526" w:rsidP="00365526">
      <w:pPr>
        <w:pStyle w:val="Heading2"/>
      </w:pPr>
      <w:bookmarkStart w:id="97" w:name="_Toc41908091"/>
      <w:bookmarkEnd w:id="96"/>
      <w:r w:rsidRPr="00F23F20">
        <w:t>Importance</w:t>
      </w:r>
      <w:bookmarkEnd w:id="97"/>
    </w:p>
    <w:p w14:paraId="6BB72DCB" w14:textId="77777777"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Short read sequencing with Illumina sequencing technology provides an accurate, high-throughput method for characterizing the metabolic potential of microbial communities. Short read sequences can be assembled and binned into metagenome-assembled genomes, thus shedding light on the function of microbial ecosystems that are important for health, agriculture, and Earth system processes. The work presented here provides an analytical framework to select sequencing effort as a function of experimental goals in metagenome-assembled genomes creation projects. We hope that the results presented here, as well as GRASE will be valuable to researchers planning sequencing experiments.</w:t>
      </w:r>
    </w:p>
    <w:p w14:paraId="6D64C792" w14:textId="77777777" w:rsidR="00365526" w:rsidRPr="00F23F20" w:rsidRDefault="00365526" w:rsidP="00365526">
      <w:pPr>
        <w:pStyle w:val="Heading2"/>
      </w:pPr>
      <w:bookmarkStart w:id="98" w:name="_Toc41908092"/>
      <w:r w:rsidRPr="00F23F20">
        <w:t>Introduction</w:t>
      </w:r>
      <w:bookmarkEnd w:id="98"/>
    </w:p>
    <w:p w14:paraId="4E490B92" w14:textId="49D41481" w:rsidR="00365526" w:rsidRPr="00F23F20" w:rsidRDefault="00365526" w:rsidP="00365526">
      <w:pPr>
        <w:spacing w:line="480" w:lineRule="auto"/>
        <w:ind w:firstLine="720"/>
        <w:rPr>
          <w:rFonts w:ascii="Times New Roman" w:hAnsi="Times New Roman" w:cs="Times New Roman"/>
        </w:rPr>
      </w:pPr>
      <w:bookmarkStart w:id="99" w:name="_Hlk523307951"/>
      <w:r w:rsidRPr="00F23F20">
        <w:rPr>
          <w:rFonts w:ascii="Times New Roman" w:hAnsi="Times New Roman" w:cs="Times New Roman"/>
        </w:rPr>
        <w:t>The reconstruction of high-accuracy short</w:t>
      </w:r>
      <w:bookmarkEnd w:id="99"/>
      <w:r w:rsidRPr="00F23F20">
        <w:rPr>
          <w:rFonts w:ascii="Times New Roman" w:hAnsi="Times New Roman" w:cs="Times New Roman"/>
        </w:rPr>
        <w:t xml:space="preserve"> read sequences into metagenome-assembled genomes (MAGs) is a powerful approach to characterize microbial metabolisms within complex communities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{"citationItems":[{"id":"ITEM-1","itemData":{"DOI":"10.1038/s41579-018-0029-9","ISBN":"4157901800","ISSN":"1740-1534","abstract":"Complex microbial communities shape the dynamics of various environments, ranging from the mammalian gastrointestinal tract to the soil. Advances in DNA sequencing technologies and data analysis have provided drastic improvements in microbiome analyses, for example, in taxonomic resolution, false discovery rate control and other properties, over earlier methods. In this Review, we discuss the best practices for performing a microbiome study, including experimental design, choice of molecular analysis technology, methods for data analysis and the integration of multiple omics data sets. We focus on recent findings that suggest that operational taxonomic unit-based analyses should be replaced with new methods that are based on exact sequence variants, methods for integrating metagenomic and metabolomic data, and issues surrounding compositional data analysis, where advances have been particularly rapid. We note that although some of these approaches are new, it is important to keep sight of the classic issues that arise during experimental design and relate to research reproducibility. We describe how keeping these issues in mind allows researchers to obtain more insight from their microbiome data sets.","author":[{"dropping-particle":"","family":"Knight","given":"Rob","non-dropping-particle":"","parse-names":false,"suffix":""},{"dropping-particle":"","family":"Navas","given":"Jose","non-dropping-particle":"","parse-names":false,"suffix":""},{"dropping-particle":"","family":"Quinn","given":"Robert A","non-dropping-particle":"","parse-names":false,"suffix":""},{"dropping-particle":"","family":"Sanders","given":"Jon G","non-dropping-particle":"","parse-names":false,"suffix":""},{"dropping-particle":"","family":"Zhu","given":"Qiyun","non-dropping-particle":"","parse-names":false,"suffix":""},{"dropping-particle":"","family":"Vrbanac","given":"Alison","non-dropping-particle":"","parse-names":false,"suffix":""},{"dropping-particle":"","family":"Taylor","given":"Bryn C","non-dropping-particle":"","parse-names":false,"suffix":""},{"dropping-particle":"","family":"Aksenov","given":"Alexander","non-dropping-particle":"","parse-names":false,"suffix":""},{"dropping-particle":"","family":"Callewaert","given":"Chris","non-dropping-particle":"","parse-names":false,"suffix":""},{"dropping-particle":"","family":"Debelius","given":"Justine","non-dropping-particle":"","parse-names":false,"suffix":""},{"dropping-particle":"","family":"Gonzalez","given":"Antonio","non-dropping-particle":"","parse-names":false,"suffix":""},{"dropping-particle":"","family":"Kosciolek","given":"Tomasz","non-dropping-particle":"","parse-names":false,"suffix":""},{"dropping-particle":"","family":"McCall","given":"Laura-Isobel","non-dropping-particle":"","parse-names":false,"suffix":""},{"dropping-particle":"","family":"McDonald","given":"Daniel","non-dropping-particle":"","parse-names":false,"suffix":""},{"dropping-particle":"V","family":"Melnik","given":"Alexey","non-dropping-particle":"","parse-names":false,"suffix":""},{"dropping-particle":"","family":"Morton","given":"James T","non-dropping-particle":"","parse-names":false,"suffix":""},{"dropping-particle":"","family":"Navas","given":"Jose","non-dropping-particle":"","parse-names":false,"suffix":""},{"dropping-particle":"","family":"Quinn","given":"Robert A","non-dropping-particle":"","parse-names":false,"suffix":""},{"dropping-particle":"","family":"Sanders","given":"Jon G","non-dropping-particle":"","parse-names":false,"suffix":""},{"dropping-particle":"","family":"Swafford","given":"Austin D","non-dropping-particle":"","parse-names":false,"suffix":""},{"dropping-particle":"","family":"Thompson","given":"Luke R","non-dropping-particle":"","parse-names":false,"suffix":""},{"dropping-particle":"","family":"Tripathi","given":"Anupriya","non-dropping-particle":"","parse-names":false,"suffix":""},{"dropping-particle":"","family":"Xu","given":"Zhenjiang Z","non-dropping-particle":"","parse-names":false,"suffix":""},{"dropping-particle":"","family":"Zaneveld","given":"Jesse R","non-dropping-particle":"","parse-names":false,"suffix":""},{"dropping-particle":"","family":"Zhu","given":"Qiyun","non-dropping-particle":"","parse-names":false,"suffix":""},{"dropping-particle":"","family":"Caporaso","given":"J Gregory","non-dropping-particle":"","parse-names":false,"suffix":""},{"dropping-particle":"","family":"Dorrestein","given":"Pieter C","non-dropping-particle":"","parse-names":false,"suffix":""}],"container-title":"Nature Reviews Microbiology","id":"ITEM-1","issued":{"date-parts":[["2018"]]},"publisher":"Springer US","title":"Best practices for analysing microbiomes","type":"article-journal"},"uris":["http://www.mendeley.com/documents/?uuid=72226bd6-1115-486d-b790-30977c9fb2e7"]}],"mendeley":{"formattedCitation":"(49)","plainTextFormattedCitation":"(49)","previouslyFormattedCitation":"(48)"},"properties":{"noteIndex":0},"schema":"https://github.com/citation-style-language/schema/raw/master/csl-citation.json"}</w:instrText>
      </w:r>
      <w:r w:rsidRPr="00F23F20">
        <w:rPr>
          <w:rFonts w:ascii="Times New Roman" w:hAnsi="Times New Roman" w:cs="Times New Roman"/>
        </w:rPr>
        <w:fldChar w:fldCharType="separate"/>
      </w:r>
      <w:bookmarkStart w:id="100" w:name="__Fieldmark__5628_2362280495"/>
      <w:bookmarkStart w:id="101" w:name="__Fieldmark__2875_2362280495"/>
      <w:r w:rsidR="00307058" w:rsidRPr="00307058">
        <w:rPr>
          <w:rFonts w:ascii="Times New Roman" w:hAnsi="Times New Roman" w:cs="Times New Roman"/>
          <w:noProof/>
        </w:rPr>
        <w:t>(49)</w:t>
      </w:r>
      <w:r w:rsidRPr="00F23F20">
        <w:rPr>
          <w:rFonts w:ascii="Times New Roman" w:hAnsi="Times New Roman" w:cs="Times New Roman"/>
        </w:rPr>
        <w:fldChar w:fldCharType="end"/>
      </w:r>
      <w:bookmarkEnd w:id="100"/>
      <w:bookmarkEnd w:id="101"/>
      <w:r w:rsidRPr="00F23F20">
        <w:rPr>
          <w:rFonts w:ascii="Times New Roman" w:hAnsi="Times New Roman" w:cs="Times New Roman"/>
        </w:rPr>
        <w:t xml:space="preserve">. The recent creation of ~8,000 MAGs from largely uncultured organisms across the tree of life </w:t>
      </w:r>
      <w:r w:rsidRPr="00F23F20">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{"citationItems":[{"id":"ITEM-1","itemData":{"DOI":"10.1038/s41564-017-0012-7","ISBN":"4156401700127","ISSN":"2058-5276","PMID":"28894102","author":[{"dropping-particle":"","family":"Parks","given":"Donovan H.","non-dropping-particle":"","parse-names":false,"suffix":""},{"dropping-particle":"","family":"Rinke","given":"Christian","non-dropping-particle":"","parse-names":false,"suffix":""},{"dropping-particle":"","family":"Chuvochina","given":"Maria","non-dropping-particle":"","parse-names":false,"suffix":""},{"dropping-particle":"","family":"Chaumeil","given":"Pierre-Alain","non-dropping-particle":"","parse-names":false,"suffix":""},{"dropping-particle":"","family":"Woodcroft","given":"Ben J.","non-dropping-particle":"","parse-names":false,"suffix":""},{"dropping-particle":"","family":"Evans","given":"Paul N.","non-dropping-particle":"","parse-names":false,"suffix":""},{"dropping-particle":"","family":"Hugenholtz","given":"Philip","non-dropping-particle":"","parse-names":false,"suffix":""},{"dropping-particle":"","family":"Tyson","given":"Gene W.","non-dropping-particle":"","parse-names":false,"suffix":""}],"container-title":"Nature Microbiology","id":"ITEM-1","issued":{"date-parts":[["2017"]]},"page":"1533-1542","publisher":"Springer US","title":"Recovery of nearly 8,000 metagenome-assembled genomes substantially expands the tree of life","type":"article-journal","volume":"2"},"uris":["http://www.mendeley.com/documents/?uuid=6477865e-4c52-4bb4-b716-2b234e0bf7ea"]}],"mendeley":{"formattedCitation":"(12)","plainTextFormattedCitation":"(12)","previouslyFormattedCitation":"(12)"},"properties":{"noteIndex":0},"schema":"https://github.com/citation-style-language/schema/raw/master/csl-citation.json"}</w:instrText>
      </w:r>
      <w:r w:rsidRPr="00F23F20">
        <w:rPr>
          <w:rFonts w:ascii="Times New Roman" w:hAnsi="Times New Roman" w:cs="Times New Roman"/>
        </w:rPr>
        <w:fldChar w:fldCharType="separate"/>
      </w:r>
      <w:bookmarkStart w:id="102" w:name="__Fieldmark__5635_2362280495"/>
      <w:bookmarkStart w:id="103" w:name="__Fieldmark__2880_2362280495"/>
      <w:r w:rsidR="004620D1" w:rsidRPr="004620D1">
        <w:rPr>
          <w:rFonts w:ascii="Times New Roman" w:hAnsi="Times New Roman" w:cs="Times New Roman"/>
          <w:noProof/>
        </w:rPr>
        <w:t>(12)</w:t>
      </w:r>
      <w:r w:rsidRPr="00F23F20">
        <w:rPr>
          <w:rFonts w:ascii="Times New Roman" w:hAnsi="Times New Roman" w:cs="Times New Roman"/>
        </w:rPr>
        <w:fldChar w:fldCharType="end"/>
      </w:r>
      <w:bookmarkEnd w:id="102"/>
      <w:bookmarkEnd w:id="103"/>
      <w:r w:rsidRPr="00F23F20">
        <w:rPr>
          <w:rFonts w:ascii="Times New Roman" w:hAnsi="Times New Roman" w:cs="Times New Roman"/>
        </w:rPr>
        <w:t xml:space="preserve">, the spatial characterization of microbial metabolisms and ecology across Earth’s oceans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{"citationItems":[{"id":"ITEM-1","itemData":{"DOI":"10.1038/sdata.2017.203","ISBN":"2052-4463 (Electronic) 2052-4463 (Linking)","ISSN":"20524463","PMID":"29337314","abstract":"The reconstruction of 2,631 draft metagenome-assembled genomes from the global oceans","author":[{"dropping-particle":"","family":"Tully","given":"Benjamin J.","non-dropping-particle":"","parse-names":false,"suffix":""},{"dropping-particle":"","family":"Graham","given":"Elaina D.","non-dropping-particle":"","parse-names":false,"suffix":""},{"dropping-particle":"","family":"Heidelberg","given":"John F.","non-dropping-particle":"","parse-names":false,"suffix":""}],"container-title":"Scientific Data","id":"ITEM-1","issued":{"date-parts":[["2018"]]},"page":"1-8","title":"The reconstruction of 2,631 draft metagenome-assembled genomes from the global oceans","type":"article-journal","volume":"5"},"uris":["http://www.mendeley.com/documents/?uuid=2a594b02-86bb-4243-85e4-75ed2e203301"]}],"mendeley":{"formattedCitation":"(50)","plainTextFormattedCitation":"(50)","previouslyFormattedCitation":"(49)"},"properties":{"noteIndex":0},"schema":"https://github.com/citation-style-language/schema/raw/master/csl-citation.json"}</w:instrText>
      </w:r>
      <w:r w:rsidRPr="00F23F20">
        <w:rPr>
          <w:rFonts w:ascii="Times New Roman" w:hAnsi="Times New Roman" w:cs="Times New Roman"/>
        </w:rPr>
        <w:fldChar w:fldCharType="separate"/>
      </w:r>
      <w:bookmarkStart w:id="104" w:name="__Fieldmark__5642_2362280495"/>
      <w:bookmarkStart w:id="105" w:name="__Fieldmark__2885_2362280495"/>
      <w:r w:rsidR="00307058" w:rsidRPr="00307058">
        <w:rPr>
          <w:rFonts w:ascii="Times New Roman" w:hAnsi="Times New Roman" w:cs="Times New Roman"/>
          <w:noProof/>
        </w:rPr>
        <w:t>(50)</w:t>
      </w:r>
      <w:r w:rsidRPr="00F23F20">
        <w:rPr>
          <w:rFonts w:ascii="Times New Roman" w:hAnsi="Times New Roman" w:cs="Times New Roman"/>
        </w:rPr>
        <w:fldChar w:fldCharType="end"/>
      </w:r>
      <w:bookmarkEnd w:id="104"/>
      <w:bookmarkEnd w:id="105"/>
      <w:r w:rsidRPr="00F23F20">
        <w:rPr>
          <w:rFonts w:ascii="Times New Roman" w:hAnsi="Times New Roman" w:cs="Times New Roman"/>
        </w:rPr>
        <w:t xml:space="preserve">, and the characterization of the potential impact that fermentation-based microbial metabolisms have on biogeochemical cycling in subsurface sediment environments </w:t>
      </w:r>
      <w:r w:rsidRPr="00F23F20">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J","non-dropping-particle":"","parse-names":false,"suffix":""}],"container-title":"Microbiome","id":"ITEM-1","issue":"1","issued":{"date-parts":[["2015","12","13"]]},"page":"14","publisher":"BioMed Central","title":"Genomic resolution of linkages in carbon, nitrogen, and sulfur cycling among widespread estuary sediment bacteria","type":"article-journal","volume":"3"},"uris":["http://www.mendeley.com/documents/?uuid=9a188f01-0081-3e79-a3ab-79086163d314"]}],"mendeley":{"formattedCitation":"(8)","plainTextFormattedCitation":"(8)","previouslyFormattedCitation":"(8)"},"properties":{"noteIndex":0},"schema":"https://github.com/citation-style-language/schema/raw/master/csl-citation.json"}</w:instrText>
      </w:r>
      <w:r w:rsidRPr="00F23F20">
        <w:rPr>
          <w:rFonts w:ascii="Times New Roman" w:hAnsi="Times New Roman" w:cs="Times New Roman"/>
        </w:rPr>
        <w:fldChar w:fldCharType="separate"/>
      </w:r>
      <w:bookmarkStart w:id="106" w:name="__Fieldmark__5649_2362280495"/>
      <w:bookmarkStart w:id="107" w:name="__Fieldmark__2890_2362280495"/>
      <w:r w:rsidR="004620D1" w:rsidRPr="004620D1">
        <w:rPr>
          <w:rFonts w:ascii="Times New Roman" w:hAnsi="Times New Roman" w:cs="Times New Roman"/>
          <w:noProof/>
        </w:rPr>
        <w:t>(8)</w:t>
      </w:r>
      <w:r w:rsidRPr="00F23F20">
        <w:rPr>
          <w:rFonts w:ascii="Times New Roman" w:hAnsi="Times New Roman" w:cs="Times New Roman"/>
        </w:rPr>
        <w:fldChar w:fldCharType="end"/>
      </w:r>
      <w:bookmarkEnd w:id="106"/>
      <w:bookmarkEnd w:id="107"/>
      <w:r w:rsidRPr="00F23F20">
        <w:rPr>
          <w:rFonts w:ascii="Times New Roman" w:hAnsi="Times New Roman" w:cs="Times New Roman"/>
        </w:rPr>
        <w:t xml:space="preserve"> provide a few </w:t>
      </w:r>
      <w:r w:rsidRPr="00F23F20">
        <w:rPr>
          <w:rFonts w:ascii="Times New Roman" w:hAnsi="Times New Roman" w:cs="Times New Roman"/>
        </w:rPr>
        <w:lastRenderedPageBreak/>
        <w:t xml:space="preserve">examples of how MAGs have helped to elucidate the relationships between microbial ecology, microbial metabolisms, and biogeochemistry. </w:t>
      </w:r>
    </w:p>
    <w:p w14:paraId="634DD0A8" w14:textId="29709DA5"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Sampling environmental microbial DNA involves selecting a target environment, sequencing effort, bioinformatic pipeline software and parameters, metabolism characterization software (i.e., for gene identification and similarity searches) and databases (Figure 2.1). At present, there is little information to guide how much sequencing is appropriate to achieve scientific goals in such experiments </w:t>
      </w:r>
      <w:r w:rsidRPr="00F23F20">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10.1038/nbt.3935","ISSN":"1087-0156","PMID":"28898207","author":[{"dropping-particle":"","family":"Quince","given":"Christopher","non-dropping-particle":"","parse-names":false,"suffix":""},{"dropping-particle":"","family":"Walker","given":"Alan W","non-dropping-particle":"","parse-names":false,"suffix":""},{"dropping-particle":"","family":"Simpson","given":"Jared T","non-dropping-particle":"","parse-names":false,"suffix":""},{"dropping-particle":"","family":"Loman","given":"Nicholas J","non-dropping-particle":"","parse-names":false,"suffix":""},{"dropping-particle":"","family":"Segata","given":"Nicola","non-dropping-particle":"","parse-names":false,"suffix":""}],"container-title":"Nature Biotechnology","id":"ITEM-1","issue":"9","issued":{"date-parts":[["2017"]]},"page":"833-844","title":"Shotgun metagenomics, from sampling to analysis","type":"article-journal","volume":"35"},"uris":["http://www.mendeley.com/documents/?uuid=78aad938-6674-4359-8f6a-c29e9c8a01c5"]}],"mendeley":{"formattedCitation":"(13)","plainTextFormattedCitation":"(13)","previouslyFormattedCitation":"(13)"},"properties":{"noteIndex":0},"schema":"https://github.com/citation-style-language/schema/raw/master/csl-citation.json"}</w:instrText>
      </w:r>
      <w:r w:rsidRPr="00F23F20">
        <w:rPr>
          <w:rFonts w:ascii="Times New Roman" w:hAnsi="Times New Roman" w:cs="Times New Roman"/>
        </w:rPr>
        <w:fldChar w:fldCharType="separate"/>
      </w:r>
      <w:bookmarkStart w:id="108" w:name="__Fieldmark__5660_2362280495"/>
      <w:bookmarkStart w:id="109" w:name="__Fieldmark__2903_2362280495"/>
      <w:r w:rsidR="004620D1" w:rsidRPr="004620D1">
        <w:rPr>
          <w:rFonts w:ascii="Times New Roman" w:hAnsi="Times New Roman" w:cs="Times New Roman"/>
          <w:noProof/>
        </w:rPr>
        <w:t>(13)</w:t>
      </w:r>
      <w:r w:rsidRPr="00F23F20">
        <w:rPr>
          <w:rFonts w:ascii="Times New Roman" w:hAnsi="Times New Roman" w:cs="Times New Roman"/>
        </w:rPr>
        <w:fldChar w:fldCharType="end"/>
      </w:r>
      <w:bookmarkEnd w:id="108"/>
      <w:bookmarkEnd w:id="109"/>
      <w:r w:rsidRPr="00F23F20">
        <w:rPr>
          <w:rFonts w:ascii="Times New Roman" w:hAnsi="Times New Roman" w:cs="Times New Roman"/>
        </w:rPr>
        <w:t xml:space="preserve">⁠. This gap in knowledge is partly attributed to the unknown structure of target microbial communities. A further challenge is that the accuracy and efficiency of bioinformatic pipelines are often difficult to characterize, and thus obscure the relationship between sequencing effort and MAG retrieval. Recent estimates compiled by </w:t>
      </w:r>
      <w:r w:rsidRPr="00F23F20">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10.1038/nbt.3935","ISSN":"1087-0156","PMID":"28898207","author":[{"dropping-particle":"","family":"Quince","given":"Christopher","non-dropping-particle":"","parse-names":false,"suffix":""},{"dropping-particle":"","family":"Walker","given":"Alan W","non-dropping-particle":"","parse-names":false,"suffix":""},{"dropping-particle":"","family":"Simpson","given":"Jared T","non-dropping-particle":"","parse-names":false,"suffix":""},{"dropping-particle":"","family":"Loman","given":"Nicholas J","non-dropping-particle":"","parse-names":false,"suffix":""},{"dropping-particle":"","family":"Segata","given":"Nicola","non-dropping-particle":"","parse-names":false,"suffix":""}],"container-title":"Nature Biotechnology","id":"ITEM-1","issue":"9","issued":{"date-parts":[["2017"]]},"page":"833-844","title":"Shotgun metagenomics, from sampling to analysis","type":"article-journal","volume":"35"},"uris":["http://www.mendeley.com/documents/?uuid=78aad938-6674-4359-8f6a-c29e9c8a01c5"]}],"mendeley":{"formattedCitation":"(13)","plainTextFormattedCitation":"(13)","previouslyFormattedCitation":"(13)"},"properties":{"noteIndex":0},"schema":"https://github.com/citation-style-language/schema/raw/master/csl-citation.json"}</w:instrText>
      </w:r>
      <w:r w:rsidRPr="00F23F20">
        <w:rPr>
          <w:rFonts w:ascii="Times New Roman" w:hAnsi="Times New Roman" w:cs="Times New Roman"/>
        </w:rPr>
        <w:fldChar w:fldCharType="separate"/>
      </w:r>
      <w:bookmarkStart w:id="110" w:name="__Fieldmark__5668_2362280495"/>
      <w:bookmarkStart w:id="111" w:name="__Fieldmark__2918_2362280495"/>
      <w:r w:rsidR="004620D1" w:rsidRPr="004620D1">
        <w:rPr>
          <w:rFonts w:ascii="Times New Roman" w:hAnsi="Times New Roman" w:cs="Times New Roman"/>
          <w:noProof/>
        </w:rPr>
        <w:t>(13)</w:t>
      </w:r>
      <w:r w:rsidRPr="00F23F20">
        <w:rPr>
          <w:rFonts w:ascii="Times New Roman" w:hAnsi="Times New Roman" w:cs="Times New Roman"/>
        </w:rPr>
        <w:fldChar w:fldCharType="end"/>
      </w:r>
      <w:bookmarkEnd w:id="110"/>
      <w:bookmarkEnd w:id="111"/>
      <w:r w:rsidRPr="00F23F20">
        <w:rPr>
          <w:rFonts w:ascii="Times New Roman" w:hAnsi="Times New Roman" w:cs="Times New Roman"/>
        </w:rPr>
        <w:t xml:space="preserve"> suggest that typical metagenomic shotgun sequencing experiments usually sequence between 1 </w:t>
      </w:r>
      <w:proofErr w:type="spellStart"/>
      <w:r w:rsidRPr="00F23F20">
        <w:rPr>
          <w:rFonts w:ascii="Times New Roman" w:hAnsi="Times New Roman" w:cs="Times New Roman"/>
        </w:rPr>
        <w:t>Gbp</w:t>
      </w:r>
      <w:proofErr w:type="spellEnd"/>
      <w:r w:rsidRPr="00F23F20">
        <w:rPr>
          <w:rFonts w:ascii="Times New Roman" w:hAnsi="Times New Roman" w:cs="Times New Roman"/>
        </w:rPr>
        <w:t xml:space="preserve"> and 10 </w:t>
      </w:r>
      <w:proofErr w:type="spellStart"/>
      <w:r w:rsidRPr="00F23F20">
        <w:rPr>
          <w:rFonts w:ascii="Times New Roman" w:hAnsi="Times New Roman" w:cs="Times New Roman"/>
        </w:rPr>
        <w:t>Gbp</w:t>
      </w:r>
      <w:proofErr w:type="spellEnd"/>
      <w:r w:rsidRPr="00F23F20">
        <w:rPr>
          <w:rFonts w:ascii="Times New Roman" w:hAnsi="Times New Roman" w:cs="Times New Roman"/>
        </w:rPr>
        <w:t xml:space="preserve">. Researchers require more precise guidance to select an appropriate shotgun sequencing effort in order to maximize information and minimize cost for their specific experimental question. </w:t>
      </w:r>
    </w:p>
    <w:p w14:paraId="3B4A9718" w14:textId="66B73225"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Illumina sequencing technology is currently the most popular platform to generate metagenomic shotgun sequences </w:t>
      </w:r>
      <w:r w:rsidRPr="00F23F20">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10.1038/nbt.3935","ISSN":"1087-0156","PMID":"28898207","author":[{"dropping-particle":"","family":"Quince","given":"Christopher","non-dropping-particle":"","parse-names":false,"suffix":""},{"dropping-particle":"","family":"Walker","given":"Alan W","non-dropping-particle":"","parse-names":false,"suffix":""},{"dropping-particle":"","family":"Simpson","given":"Jared T","non-dropping-particle":"","parse-names":false,"suffix":""},{"dropping-particle":"","family":"Loman","given":"Nicholas J","non-dropping-particle":"","parse-names":false,"suffix":""},{"dropping-particle":"","family":"Segata","given":"Nicola","non-dropping-particle":"","parse-names":false,"suffix":""}],"container-title":"Nature Biotechnology","id":"ITEM-1","issue":"9","issued":{"date-parts":[["2017"]]},"page":"833-844","title":"Shotgun metagenomics, from sampling to analysis","type":"article-journal","volume":"35"},"uris":["http://www.mendeley.com/documents/?uuid=78aad938-6674-4359-8f6a-c29e9c8a01c5"]}],"mendeley":{"formattedCitation":"(13)","plainTextFormattedCitation":"(13)","previouslyFormattedCitation":"(13)"},"properties":{"noteIndex":0},"schema":"https://github.com/citation-style-language/schema/raw/master/csl-citation.json"}</w:instrText>
      </w:r>
      <w:r w:rsidRPr="00F23F20">
        <w:rPr>
          <w:rFonts w:ascii="Times New Roman" w:hAnsi="Times New Roman" w:cs="Times New Roman"/>
        </w:rPr>
        <w:fldChar w:fldCharType="separate"/>
      </w:r>
      <w:bookmarkStart w:id="112" w:name="__Fieldmark__5677_2362280495"/>
      <w:bookmarkStart w:id="113" w:name="__Fieldmark__2933_2362280495"/>
      <w:r w:rsidR="004620D1" w:rsidRPr="004620D1">
        <w:rPr>
          <w:rFonts w:ascii="Times New Roman" w:hAnsi="Times New Roman" w:cs="Times New Roman"/>
          <w:noProof/>
        </w:rPr>
        <w:t>(13)</w:t>
      </w:r>
      <w:r w:rsidRPr="00F23F20">
        <w:rPr>
          <w:rFonts w:ascii="Times New Roman" w:hAnsi="Times New Roman" w:cs="Times New Roman"/>
        </w:rPr>
        <w:fldChar w:fldCharType="end"/>
      </w:r>
      <w:bookmarkEnd w:id="112"/>
      <w:bookmarkEnd w:id="113"/>
      <w:r w:rsidRPr="00F23F20">
        <w:rPr>
          <w:rFonts w:ascii="Times New Roman" w:hAnsi="Times New Roman" w:cs="Times New Roman"/>
        </w:rPr>
        <w:t xml:space="preserve">⁠. Previous investigators established theoretical relationships between contig formation rate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{"citationItems":[{"id":"ITEM-1","itemData":{"DOI":"10.1016/0888-7543(95)80086-2","ISBN":"0888-7543 (Print)\\r0888-7543 (Linking)","ISSN":"10898646","PMID":"7782090","abstract":"Physical maps can be constructed by \"fingerprinting\" a large number of random clones and inferring overlap between clones when the fingerprints are sufficiently similar. E. Lander and M. Waterman (Genomics 2: 231-239, 1988) gave a mathematical analysis of such mapping strategies. The analysis is useful for comparing various fingerprinting methods. Recently it has been proposed that ends of clones rather than the entire clone be fingerprinted or characterized. Such fingerprints, which include sequenced clone ends, require a mathematical analysis deeper than that of Lander-Waterman. This paper studies clone islands, which can include uncharacterized regions, and also the islands that are formed entirely from the ends of clones. © 1995.","author":[{"dropping-particle":"","family":"Lander","given":"Eric S.","non-dropping-particle":"","parse-names":false,"suffix":""},{"dropping-particle":"","family":"Waterman","given":"Michael S.","non-dropping-particle":"","parse-names":false,"suffix":""}],"container-title":"Genomics","id":"ITEM-1","issue":"2","issued":{"date-parts":[["1988"]]},"page":"231-239","title":"Genomic mapping by end-characterized random clones: a mathematical analysis","type":"article-journal"},"uris":["http://www.mendeley.com/documents/?uuid=312fe876-5a94-42ea-a028-c3532ecc5be8"]}],"mendeley":{"formattedCitation":"(51)","plainTextFormattedCitation":"(51)","previouslyFormattedCitation":"(50)"},"properties":{"noteIndex":0},"schema":"https://github.com/citation-style-language/schema/raw/master/csl-citation.json"}</w:instrText>
      </w:r>
      <w:r w:rsidRPr="00F23F20">
        <w:rPr>
          <w:rFonts w:ascii="Times New Roman" w:hAnsi="Times New Roman" w:cs="Times New Roman"/>
        </w:rPr>
        <w:fldChar w:fldCharType="separate"/>
      </w:r>
      <w:bookmarkStart w:id="114" w:name="__Fieldmark__5685_2362280495"/>
      <w:bookmarkStart w:id="115" w:name="__Fieldmark__2940_2362280495"/>
      <w:r w:rsidR="00307058" w:rsidRPr="00307058">
        <w:rPr>
          <w:rFonts w:ascii="Times New Roman" w:hAnsi="Times New Roman" w:cs="Times New Roman"/>
          <w:noProof/>
        </w:rPr>
        <w:t>(51)</w:t>
      </w:r>
      <w:r w:rsidRPr="00F23F20">
        <w:rPr>
          <w:rFonts w:ascii="Times New Roman" w:hAnsi="Times New Roman" w:cs="Times New Roman"/>
        </w:rPr>
        <w:fldChar w:fldCharType="end"/>
      </w:r>
      <w:bookmarkEnd w:id="114"/>
      <w:bookmarkEnd w:id="115"/>
      <w:r w:rsidRPr="00F23F20">
        <w:rPr>
          <w:rFonts w:ascii="Times New Roman" w:hAnsi="Times New Roman" w:cs="Times New Roman"/>
        </w:rPr>
        <w:t xml:space="preserve"> and single genome coverage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{"citationItems":[{"id":"ITEM-1","itemData":{"DOI":"10.1007/s00285-012-0586-x","ISBN":"0303-6812","ISSN":"03036812","PMID":"22965653","abstract":"Metagenomic project design has relied variously upon speculation, semi-empirical and ad hoc heuristic models, and elementary extensions of single-sample Lander-Waterman expectation theory, all of which are demonstrably inadequate. Here, we propose an approach based upon a generalization of Stevens' Theorem for randomly covering a domain. We extend this result to account for the presence of multiple species, from which are derived useful probabilities for fully recovering a particular target microbe of interest and for average contig length. These show improved specificities compared to older measures and recommend deeper data generation than the levels chosen by some early studies, supporting the view that poor assemblies were due at least somewhat to insufficient data. We assess predictions empirically by generating roughly 4.5 Gb of sequence from a twelve member bacterial community, comparing coverage for two particular members, Selenomonas artemidis and Enterococcus faecium, which are the least ([Formula: see text]3 %) and most ([Formula: see text]12 %) abundant species, respectively. Agreement is reasonable, with differences likely attributable to coverage biases. We show that, in some cases, bias is simple in the sense that a small reduction in read length to simulate less efficient covering brings data and theory into essentially complete accord. Finally, we describe two applications of the theory. One plots coverage probability over the relevant parameter space, constructing essentially a \"metagenomic design map\" to enable straightforward analysis and design of future projects. The other gives an overview of the data requirements for various types of sequencing milestones, including a desired number of contact reads and contig length, for detection of a rare viral species.","author":[{"dropping-particle":"","family":"Wendl","given":"Michael C.","non-dropping-particle":"","parse-names":false,"suffix":""},{"dropping-particle":"","family":"Kota","given":"Karthik","non-dropping-particle":"","parse-names":false,"suffix":""},{"dropping-particle":"","family":"Weinstock","given":"George M.","non-dropping-particle":"","parse-names":false,"suffix":""},{"dropping-particle":"","family":"Mitreva","given":"Makedonka","non-dropping-particle":"","parse-names":false,"suffix":""}],"container-title":"Journal of Mathematical Biology","id":"ITEM-1","issue":"5","issued":{"date-parts":[["2013"]]},"page":"1141-1161","title":"Coverage theories for metagenomic DNA sequencing based on a generalization of Stevens' theorem","type":"article-journal","volume":"67"},"uris":["http://www.mendeley.com/documents/?uuid=74d7c261-62b0-44db-a15b-e5e8440549b5"]}],"mendeley":{"formattedCitation":"(52)","plainTextFormattedCitation":"(52)","previouslyFormattedCitation":"(51)"},"properties":{"noteIndex":0},"schema":"https://github.com/citation-style-language/schema/raw/master/csl-citation.json"}</w:instrText>
      </w:r>
      <w:r w:rsidRPr="00F23F20">
        <w:rPr>
          <w:rFonts w:ascii="Times New Roman" w:hAnsi="Times New Roman" w:cs="Times New Roman"/>
        </w:rPr>
        <w:fldChar w:fldCharType="separate"/>
      </w:r>
      <w:bookmarkStart w:id="116" w:name="__Fieldmark__5692_2362280495"/>
      <w:bookmarkStart w:id="117" w:name="__Fieldmark__2945_2362280495"/>
      <w:r w:rsidR="00307058" w:rsidRPr="00307058">
        <w:rPr>
          <w:rFonts w:ascii="Times New Roman" w:hAnsi="Times New Roman" w:cs="Times New Roman"/>
          <w:noProof/>
        </w:rPr>
        <w:t>(52)</w:t>
      </w:r>
      <w:r w:rsidRPr="00F23F20">
        <w:rPr>
          <w:rFonts w:ascii="Times New Roman" w:hAnsi="Times New Roman" w:cs="Times New Roman"/>
        </w:rPr>
        <w:fldChar w:fldCharType="end"/>
      </w:r>
      <w:bookmarkEnd w:id="116"/>
      <w:bookmarkEnd w:id="117"/>
      <w:r w:rsidRPr="00F23F20">
        <w:rPr>
          <w:rFonts w:ascii="Times New Roman" w:hAnsi="Times New Roman" w:cs="Times New Roman"/>
        </w:rPr>
        <w:t xml:space="preserve"> as a function of short read sequencing effort. On the community level, heuristic approaches have been proposed for evaluating community-level coverage to increases in sequencing effort. For example, it has been proposed to utilize short read redundancies as a function of sequencing effort to estimate community level coverage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{"citationItems":[{"id":"ITEM-1","itemData":{"DOI":"10.1038/ismej.2014.76","ISBN":"1751-7370 (Electronic)\\r1751-7362 (Linking)","ISSN":"17517370","PMID":"24824669","abstract":"A ‘metagenome’ is the theoretical collection of genomes from all members of a given microbial community, and a ‘metagenomic data set’ is the subset captured in a given sequencing event. Although these terms are often used interchangeably and metagenomic data sets are regularly called metagenomes by synecdoche, their relationship is analogous to sample and population in statistics.","author":[{"dropping-particle":"","family":"Rodriguez-R","given":"Luis M.","non-dropping-particle":"","parse-names":false,"suffix":""},{"dropping-particle":"","family":"Konstantinidis","given":"Konstantinos T.","non-dropping-particle":"","parse-names":false,"suffix":""}],"container-title":"ISME Journal","id":"ITEM-1","issue":"11","issued":{"date-parts":[["2014"]]},"page":"2349-2351","publisher":"Nature Publishing Group","title":"Estimating coverage in metagenomic data sets and why it matters","type":"article-journal","volume":"8"},"uris":["http://www.mendeley.com/documents/?uuid=e70c3c93-b5ed-4163-8cad-9d48cd1c25f9"]}],"mendeley":{"formattedCitation":"(53)","plainTextFormattedCitation":"(53)","previouslyFormattedCitation":"(52)"},"properties":{"noteIndex":0},"schema":"https://github.com/citation-style-language/schema/raw/master/csl-citation.json"}</w:instrText>
      </w:r>
      <w:r w:rsidRPr="00F23F20">
        <w:rPr>
          <w:rFonts w:ascii="Times New Roman" w:hAnsi="Times New Roman" w:cs="Times New Roman"/>
        </w:rPr>
        <w:fldChar w:fldCharType="separate"/>
      </w:r>
      <w:bookmarkStart w:id="118" w:name="__Fieldmark__5699_2362280495"/>
      <w:bookmarkStart w:id="119" w:name="__Fieldmark__2950_2362280495"/>
      <w:r w:rsidR="00307058" w:rsidRPr="00307058">
        <w:rPr>
          <w:rFonts w:ascii="Times New Roman" w:hAnsi="Times New Roman" w:cs="Times New Roman"/>
          <w:noProof/>
        </w:rPr>
        <w:t>(53)</w:t>
      </w:r>
      <w:r w:rsidRPr="00F23F20">
        <w:rPr>
          <w:rFonts w:ascii="Times New Roman" w:hAnsi="Times New Roman" w:cs="Times New Roman"/>
        </w:rPr>
        <w:fldChar w:fldCharType="end"/>
      </w:r>
      <w:bookmarkEnd w:id="118"/>
      <w:bookmarkEnd w:id="119"/>
      <w:r w:rsidRPr="00F23F20">
        <w:rPr>
          <w:rFonts w:ascii="Times New Roman" w:hAnsi="Times New Roman" w:cs="Times New Roman"/>
        </w:rPr>
        <w:t xml:space="preserve">. Without </w:t>
      </w:r>
      <w:r w:rsidRPr="00F23F20">
        <w:rPr>
          <w:rFonts w:ascii="Times New Roman" w:hAnsi="Times New Roman" w:cs="Times New Roman"/>
          <w:i/>
        </w:rPr>
        <w:t xml:space="preserve">a priori </w:t>
      </w:r>
      <w:r w:rsidRPr="00F23F20">
        <w:rPr>
          <w:rFonts w:ascii="Times New Roman" w:hAnsi="Times New Roman" w:cs="Times New Roman"/>
        </w:rPr>
        <w:lastRenderedPageBreak/>
        <w:t xml:space="preserve">knowledge of the microbial community structure, practical application of these methods to estimate MAG retrieval as a function of sequencing effort is hindered. </w:t>
      </w:r>
    </w:p>
    <w:p w14:paraId="37935A4C" w14:textId="043B1A1F"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Here we present two distinct analyses which constrain the relationship between the quantity of Illumina metagenomic shotgun sequences and the community-level sequence coverage. First, we applied a theoretical model and numerical simulations to estimate the minimum sequencing effort needed to sequence a metagenome to a target fraction of exhaustion. Our theoretical model is unique compared to previous models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{"citationItems":[{"id":"ITEM-1","itemData":{"DOI":"10.1016/0888-7543(95)80086-2","ISBN":"0888-7543 (Print)\\r0888-7543 (Linking)","ISSN":"10898646","PMID":"7782090","abstract":"Physical maps can be constructed by \"fingerprinting\" a large number of random clones and inferring overlap between clones when the fingerprints are sufficiently similar. E. Lander and M. Waterman (Genomics 2: 231-239, 1988) gave a mathematical analysis of such mapping strategies. The analysis is useful for comparing various fingerprinting methods. Recently it has been proposed that ends of clones rather than the entire clone be fingerprinted or characterized. Such fingerprints, which include sequenced clone ends, require a mathematical analysis deeper than that of Lander-Waterman. This paper studies clone islands, which can include uncharacterized regions, and also the islands that are formed entirely from the ends of clones. © 1995.","author":[{"dropping-particle":"","family":"Lander","given":"Eric S.","non-dropping-particle":"","parse-names":false,"suffix":""},{"dropping-particle":"","family":"Waterman","given":"Michael S.","non-dropping-particle":"","parse-names":false,"suffix":""}],"container-title":"Genomics","id":"ITEM-1","issue":"2","issued":{"date-parts":[["1988"]]},"page":"231-239","title":"Genomic mapping by end-characterized random clones: a mathematical analysis","type":"article-journal"},"uris":["http://www.mendeley.com/documents/?uuid=312fe876-5a94-42ea-a028-c3532ecc5be8"]},{"id":"ITEM-2","itemData":{"DOI":"10.1007/s00285-012-0586-x","ISBN":"0303-6812","ISSN":"03036812","PMID":"22965653","abstract":"Metagenomic project design has relied variously upon speculation, semi-empirical and ad hoc heuristic models, and elementary extensions of single-sample Lander-Waterman expectation theory, all of which are demonstrably inadequate. Here, we propose an approach based upon a generalization of Stevens' Theorem for randomly covering a domain. We extend this result to account for the presence of multiple species, from which are derived useful probabilities for fully recovering a particular target microbe of interest and for average contig length. These show improved specificities compared to older measures and recommend deeper data generation than the levels chosen by some early studies, supporting the view that poor assemblies were due at least somewhat to insufficient data. We assess predictions empirically by generating roughly 4.5 Gb of sequence from a twelve member bacterial community, comparing coverage for two particular members, Selenomonas artemidis and Enterococcus faecium, which are the least ([Formula: see text]3 %) and most ([Formula: see text]12 %) abundant species, respectively. Agreement is reasonable, with differences likely attributable to coverage biases. We show that, in some cases, bias is simple in the sense that a small reduction in read length to simulate less efficient covering brings data and theory into essentially complete accord. Finally, we describe two applications of the theory. One plots coverage probability over the relevant parameter space, constructing essentially a \"metagenomic design map\" to enable straightforward analysis and design of future projects. The other gives an overview of the data requirements for various types of sequencing milestones, including a desired number of contact reads and contig length, for detection of a rare viral species.","author":[{"dropping-particle":"","family":"Wendl","given":"Michael C.","non-dropping-particle":"","parse-names":false,"suffix":""},{"dropping-particle":"","family":"Kota","given":"Karthik","non-dropping-particle":"","parse-names":false,"suffix":""},{"dropping-particle":"","family":"Weinstock","given":"George M.","non-dropping-particle":"","parse-names":false,"suffix":""},{"dropping-particle":"","family":"Mitreva","given":"Makedonka","non-dropping-particle":"","parse-names":false,"suffix":""}],"container-title":"Journal of Mathematical Biology","id":"ITEM-2","issue":"5","issued":{"date-parts":[["2013"]]},"page":"1141-1161","title":"Coverage theories for metagenomic DNA sequencing based on a generalization of Stevens' theorem","type":"article-journal","volume":"67"},"uris":["http://www.mendeley.com/documents/?uuid=74d7c261-62b0-44db-a15b-e5e8440549b5"]}],"mendeley":{"formattedCitation":"(51, 52)","plainTextFormattedCitation":"(51, 52)","previouslyFormattedCitation":"(50, 51)"},"properties":{"noteIndex":0},"schema":"https://github.com/citation-style-language/schema/raw/master/csl-citation.json"}</w:instrText>
      </w:r>
      <w:r w:rsidRPr="00F23F20">
        <w:rPr>
          <w:rFonts w:ascii="Times New Roman" w:hAnsi="Times New Roman" w:cs="Times New Roman"/>
        </w:rPr>
        <w:fldChar w:fldCharType="separate"/>
      </w:r>
      <w:bookmarkStart w:id="120" w:name="__Fieldmark__5710_2362280495"/>
      <w:bookmarkStart w:id="121" w:name="__Fieldmark__2961_2362280495"/>
      <w:r w:rsidR="00307058" w:rsidRPr="00307058">
        <w:rPr>
          <w:rFonts w:ascii="Times New Roman" w:hAnsi="Times New Roman" w:cs="Times New Roman"/>
          <w:noProof/>
        </w:rPr>
        <w:t>(51, 52)</w:t>
      </w:r>
      <w:r w:rsidRPr="00F23F20">
        <w:rPr>
          <w:rFonts w:ascii="Times New Roman" w:hAnsi="Times New Roman" w:cs="Times New Roman"/>
        </w:rPr>
        <w:fldChar w:fldCharType="end"/>
      </w:r>
      <w:bookmarkEnd w:id="120"/>
      <w:bookmarkEnd w:id="121"/>
      <w:r w:rsidRPr="00F23F20">
        <w:rPr>
          <w:rFonts w:ascii="Times New Roman" w:hAnsi="Times New Roman" w:cs="Times New Roman"/>
        </w:rPr>
        <w:t xml:space="preserve"> in that we characterize sequencing effort in the context of community structure and consider all </w:t>
      </w:r>
      <w:proofErr w:type="spellStart"/>
      <w:r w:rsidRPr="00F23F20">
        <w:rPr>
          <w:rFonts w:ascii="Times New Roman" w:hAnsi="Times New Roman" w:cs="Times New Roman"/>
        </w:rPr>
        <w:t>sequenceable</w:t>
      </w:r>
      <w:proofErr w:type="spellEnd"/>
      <w:r w:rsidRPr="00F23F20">
        <w:rPr>
          <w:rFonts w:ascii="Times New Roman" w:hAnsi="Times New Roman" w:cs="Times New Roman"/>
        </w:rPr>
        <w:t xml:space="preserve"> combinations of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in a metagenome.  Second, we performed </w:t>
      </w:r>
      <w:r w:rsidRPr="00F23F20">
        <w:rPr>
          <w:rFonts w:ascii="Times New Roman" w:hAnsi="Times New Roman" w:cs="Times New Roman"/>
          <w:i/>
        </w:rPr>
        <w:t xml:space="preserve">in silico </w:t>
      </w:r>
      <w:bookmarkStart w:id="122" w:name="_Hlk525720754"/>
      <w:bookmarkEnd w:id="122"/>
      <w:r w:rsidRPr="00F23F20">
        <w:rPr>
          <w:rFonts w:ascii="Times New Roman" w:hAnsi="Times New Roman" w:cs="Times New Roman"/>
        </w:rPr>
        <w:t>experiments to simulate the effect of sequencing effort on retrieved MAGs for Illumina sequence datasets. Coupling results from the two analyses provides a framework for investigators to define sequencing experiments in the context of selecting a rarity and fraction of exhaustion for a desired target genome when sequencing a community. The patterns presented here can be used to guide sequencing effort decisions in future sequencing projects when MAG reconstruction is a primary goal.</w:t>
      </w:r>
    </w:p>
    <w:p w14:paraId="2AFBE2A3" w14:textId="77777777" w:rsidR="00365526" w:rsidRPr="00F23F20" w:rsidRDefault="00365526" w:rsidP="00365526">
      <w:pPr>
        <w:pStyle w:val="Heading2"/>
        <w:rPr>
          <w:rFonts w:eastAsia="Liberation Serif"/>
        </w:rPr>
      </w:pPr>
      <w:bookmarkStart w:id="123" w:name="_Toc41908093"/>
      <w:r w:rsidRPr="00F23F20">
        <w:rPr>
          <w:rFonts w:eastAsia="Liberation Serif"/>
        </w:rPr>
        <w:t>Results</w:t>
      </w:r>
      <w:bookmarkEnd w:id="123"/>
    </w:p>
    <w:p w14:paraId="1C325691" w14:textId="77777777" w:rsidR="00365526" w:rsidRPr="00F23F20" w:rsidRDefault="00365526" w:rsidP="00365526">
      <w:pPr>
        <w:pStyle w:val="Heading3"/>
      </w:pPr>
      <w:bookmarkStart w:id="124" w:name="_Hlk523308117"/>
      <w:bookmarkStart w:id="125" w:name="_Hlk11766987"/>
      <w:bookmarkStart w:id="126" w:name="_Toc41908094"/>
      <w:r w:rsidRPr="00F23F20">
        <w:t>Theoretical and Numerical S</w:t>
      </w:r>
      <w:bookmarkEnd w:id="124"/>
      <w:r w:rsidRPr="00F23F20">
        <w:t>equencing Effort Simulations</w:t>
      </w:r>
      <w:bookmarkEnd w:id="125"/>
      <w:bookmarkEnd w:id="126"/>
      <w:r w:rsidRPr="00F23F20">
        <w:t xml:space="preserve"> </w:t>
      </w:r>
    </w:p>
    <w:p w14:paraId="522FB9DD" w14:textId="77777777" w:rsidR="00365526" w:rsidRPr="00F23F20" w:rsidRDefault="00365526" w:rsidP="00365526">
      <w:pPr>
        <w:spacing w:line="480" w:lineRule="auto"/>
        <w:ind w:firstLine="720"/>
        <w:rPr>
          <w:rFonts w:ascii="Times New Roman" w:hAnsi="Times New Roman" w:cs="Times New Roman"/>
        </w:rPr>
      </w:pPr>
      <w:bookmarkStart w:id="127" w:name="_Hlk525721526"/>
      <w:r w:rsidRPr="00F23F20">
        <w:rPr>
          <w:rFonts w:ascii="Times New Roman" w:hAnsi="Times New Roman" w:cs="Times New Roman"/>
        </w:rPr>
        <w:t xml:space="preserve">Using equation 2.6, we calculated the number of sequence reads required to sequence four hypothetical microbial communities to exhaustion: a perfectly even, moderately uneven, highly uneven, and a lognormally-distributed structured community (Figure 2.2A-D). </w:t>
      </w:r>
      <w:bookmarkEnd w:id="127"/>
      <w:r w:rsidRPr="00F23F20">
        <w:rPr>
          <w:rFonts w:ascii="Times New Roman" w:hAnsi="Times New Roman" w:cs="Times New Roman"/>
        </w:rPr>
        <w:t xml:space="preserve">Here, we define sequencing a community to exhaustion as sequencing </w:t>
      </w:r>
      <w:r w:rsidRPr="00F23F20">
        <w:rPr>
          <w:rFonts w:ascii="Times New Roman" w:hAnsi="Times New Roman" w:cs="Times New Roman"/>
        </w:rPr>
        <w:lastRenderedPageBreak/>
        <w:t xml:space="preserve">all possible combinations of DNA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within a genome. Note that, to simplify the model, this model treats identical </w:t>
      </w:r>
      <w:r w:rsidRPr="00F23F20">
        <w:rPr>
          <w:rFonts w:ascii="Times New Roman" w:hAnsi="Times New Roman" w:cs="Times New Roman"/>
          <w:i/>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(i.e., same DNA sequence) at different locations in the genome as mathematically different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The expected number of sequence reads to fully sequence the hypothetical communities was linear after log-transforming both expected sequences and metagenome size (unit of unique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suggesting a power-law relationship between metagenome size and the number of sequence reads required to sequence the metagenome to exhaustion (Figure 2.2E). For all community structures, the slope of the relationship between log-transformed sequencing effort (sequenced reads) and metagenome size (unique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was within 1% of 1.06. The structure of the population strongly influenced the number of reads required such that more-even community structures required far fewer reads than less-even structures. </w:t>
      </w:r>
    </w:p>
    <w:p w14:paraId="0BFA2E2D" w14:textId="77777777"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A limitation from using equation 2.6 for modeling sequencing effort is that it only estimates the sequencing effort for sequencing a metagenome to exhaustion. We circumnavigated this limitation by applying a numerical simulation to estimate the sequencing effort necessary to sequence a metagenome to a fraction of exhaustion for the same community structures analyzed earlier. The numerical simulation was validated by comparing the sequencing effort predicted from the numerical simulation and those from equation 2.6 when sequencing a metagenome to exhaustion (Figure 2.3). Again, the relationship between metagenome size and sequencing effort fit well to a power law. This observation was independent of the selected target fraction of exhaustion. Nonetheless, an increase in target fraction of exhaustion resulted in uniform increases in sequencing </w:t>
      </w:r>
      <w:r w:rsidRPr="00F23F20">
        <w:rPr>
          <w:rFonts w:ascii="Times New Roman" w:hAnsi="Times New Roman" w:cs="Times New Roman"/>
        </w:rPr>
        <w:lastRenderedPageBreak/>
        <w:t xml:space="preserve">effort (log units) when the community structure was fixed; however, the rate of this increase varied with community structure evenness. </w:t>
      </w:r>
    </w:p>
    <w:p w14:paraId="17CA347D" w14:textId="2C61F209"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We were interested in quantitatively relating community evenness to sequencing effort. These communities ranged from perfectly even (</w:t>
      </w:r>
      <w:r w:rsidRPr="00F23F20">
        <w:rPr>
          <w:rFonts w:ascii="Times New Roman" w:hAnsi="Times New Roman" w:cs="Times New Roman"/>
          <w:i/>
        </w:rPr>
        <w:t>a</w:t>
      </w:r>
      <w:r w:rsidRPr="00F23F20">
        <w:rPr>
          <w:rFonts w:ascii="Times New Roman" w:hAnsi="Times New Roman" w:cs="Times New Roman"/>
        </w:rPr>
        <w:t>=0, equation 2.8) to more uneven (</w:t>
      </w:r>
      <w:r w:rsidRPr="00F23F20">
        <w:rPr>
          <w:rFonts w:ascii="Times New Roman" w:hAnsi="Times New Roman" w:cs="Times New Roman"/>
          <w:i/>
        </w:rPr>
        <w:t>a</w:t>
      </w:r>
      <w:r w:rsidRPr="00F23F20">
        <w:rPr>
          <w:rFonts w:ascii="Times New Roman" w:hAnsi="Times New Roman" w:cs="Times New Roman"/>
        </w:rPr>
        <w:t xml:space="preserve">=0.02, Figure 2.4A). Evenness was quantified using the </w:t>
      </w:r>
      <w:proofErr w:type="spellStart"/>
      <w:r w:rsidRPr="00F23F20">
        <w:rPr>
          <w:rFonts w:ascii="Times New Roman" w:hAnsi="Times New Roman" w:cs="Times New Roman"/>
        </w:rPr>
        <w:t>Pielou</w:t>
      </w:r>
      <w:proofErr w:type="spellEnd"/>
      <w:r w:rsidRPr="00F23F20">
        <w:rPr>
          <w:rFonts w:ascii="Times New Roman" w:hAnsi="Times New Roman" w:cs="Times New Roman"/>
        </w:rPr>
        <w:t xml:space="preserve"> evenness index, which expresses Shannon diversity relative to the diversity of a perfectly even community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{"citationItems":[{"id":"ITEM-1","itemData":{"DOI":"10.1016/0022-5193(66)90013-0","ISBN":"0022-5193","ISSN":"10958541","abstract":"Information content may be used as a measure of the diversity of a many-species biological collection. The diversity of small collections, all of whose members can be identified and counted, is defined by Brillouin's measure of information. With larger collections it becomes necessary to estimate diversity; what is estimated is Shannon's measure of information which is a function of the population proportions of the several species. Different methods of estimation are appropriate for different types of collections. If the collection can be randomly sampled and the total number of species is known, Basharin's formula may be used. With a random sample from a population containing an unknown number of species, Good's method is sometimes applicable. With a patchy population of sessile organisms, such as a plant community, random samples are unobtainable since the contents of a randomly placed quadrat are not a random sample of the parent population. To estimate the diversity of such a community a method is proposed whereby the sample size is progressively increased by addition of new quadrats; as this is done the diversity of the pooled sample increases and then levels off. The mean increment in total diversity that results from enlarging the sample still more then provides an estimate of the diversity per individual in the whole population. © 1966.","author":[{"dropping-particle":"","family":"Pielou","given":"E. C.","non-dropping-particle":"","parse-names":false,"suffix":""}],"container-title":"Journal of Theoretical Biology","id":"ITEM-1","issue":"C","issued":{"date-parts":[["1966"]]},"page":"131-144","title":"The measurement of diversity in different types of biological collections","type":"article-journal","volume":"13"},"uris":["http://www.mendeley.com/documents/?uuid=fb327ef8-2f0e-4b5a-aa65-88faef92d133"]}],"mendeley":{"formattedCitation":"(54)","plainTextFormattedCitation":"(54)","previouslyFormattedCitation":"(53)"},"properties":{"noteIndex":0},"schema":"https://github.com/citation-style-language/schema/raw/master/csl-citation.json"}</w:instrText>
      </w:r>
      <w:r w:rsidRPr="00F23F20">
        <w:rPr>
          <w:rFonts w:ascii="Times New Roman" w:hAnsi="Times New Roman" w:cs="Times New Roman"/>
        </w:rPr>
        <w:fldChar w:fldCharType="separate"/>
      </w:r>
      <w:bookmarkStart w:id="128" w:name="__Fieldmark__5753_2362280495"/>
      <w:bookmarkStart w:id="129" w:name="__Fieldmark__3147_2362280495"/>
      <w:r w:rsidR="00307058" w:rsidRPr="00307058">
        <w:rPr>
          <w:rFonts w:ascii="Times New Roman" w:hAnsi="Times New Roman" w:cs="Times New Roman"/>
          <w:noProof/>
        </w:rPr>
        <w:t>(54)</w:t>
      </w:r>
      <w:r w:rsidRPr="00F23F20">
        <w:rPr>
          <w:rFonts w:ascii="Times New Roman" w:hAnsi="Times New Roman" w:cs="Times New Roman"/>
        </w:rPr>
        <w:fldChar w:fldCharType="end"/>
      </w:r>
      <w:bookmarkEnd w:id="128"/>
      <w:bookmarkEnd w:id="129"/>
      <w:r w:rsidRPr="00F23F20">
        <w:rPr>
          <w:rFonts w:ascii="Times New Roman" w:hAnsi="Times New Roman" w:cs="Times New Roman"/>
        </w:rPr>
        <w:t xml:space="preserve">. </w:t>
      </w:r>
      <w:bookmarkStart w:id="130" w:name="_Hlk523308778"/>
      <w:r w:rsidRPr="00F23F20">
        <w:rPr>
          <w:rFonts w:ascii="Times New Roman" w:hAnsi="Times New Roman" w:cs="Times New Roman"/>
        </w:rPr>
        <w:t>The sequencing effort required to characterize genomes depended strongly on both the evenness and the target fraction of exhaustion (Figure 2.4B)</w:t>
      </w:r>
      <w:bookmarkEnd w:id="130"/>
      <w:r w:rsidRPr="00F23F20">
        <w:rPr>
          <w:rFonts w:ascii="Times New Roman" w:hAnsi="Times New Roman" w:cs="Times New Roman"/>
        </w:rPr>
        <w:t xml:space="preserve">. </w:t>
      </w:r>
      <w:bookmarkStart w:id="131" w:name="_Hlk523309119"/>
      <w:r w:rsidRPr="00F23F20">
        <w:rPr>
          <w:rFonts w:ascii="Times New Roman" w:hAnsi="Times New Roman" w:cs="Times New Roman"/>
        </w:rPr>
        <w:t>Again, less-even communities required more sequence reads than more-even communities.</w:t>
      </w:r>
      <w:bookmarkEnd w:id="131"/>
      <w:r w:rsidRPr="00F23F20">
        <w:rPr>
          <w:rFonts w:ascii="Times New Roman" w:hAnsi="Times New Roman" w:cs="Times New Roman"/>
        </w:rPr>
        <w:t xml:space="preserve"> The strength of this relationship also depended on the target fraction of completion. A community with </w:t>
      </w:r>
      <w:proofErr w:type="spellStart"/>
      <w:r w:rsidRPr="00F23F20">
        <w:rPr>
          <w:rFonts w:ascii="Times New Roman" w:hAnsi="Times New Roman" w:cs="Times New Roman"/>
        </w:rPr>
        <w:t>Pielou</w:t>
      </w:r>
      <w:proofErr w:type="spellEnd"/>
      <w:r w:rsidRPr="00F23F20">
        <w:rPr>
          <w:rFonts w:ascii="Times New Roman" w:hAnsi="Times New Roman" w:cs="Times New Roman"/>
        </w:rPr>
        <w:t xml:space="preserve"> evenness of 0.97 required 3 orders of magnitude more sequencing effort to sequence a metagenome to a target fraction of exhaustion than a perfectly even community while the same community only required about 42% more reads to sequence 50% of the metagenome.  </w:t>
      </w:r>
    </w:p>
    <w:p w14:paraId="434C6578" w14:textId="77777777"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The inherent limitation to the theoretical and numerical constraints presented above is that community structure is not known </w:t>
      </w:r>
      <w:r w:rsidRPr="00F23F20">
        <w:rPr>
          <w:rFonts w:ascii="Times New Roman" w:hAnsi="Times New Roman" w:cs="Times New Roman"/>
          <w:i/>
          <w:iCs/>
        </w:rPr>
        <w:t>a priori</w:t>
      </w:r>
      <w:r w:rsidRPr="00F23F20">
        <w:rPr>
          <w:rFonts w:ascii="Times New Roman" w:hAnsi="Times New Roman" w:cs="Times New Roman"/>
        </w:rPr>
        <w:t xml:space="preserve">. Nonetheless, a simple line of rationalization can be applied to circumnavigate this issue for practical applications of our model. Equation 2.6 constrains expected sequencing effort based on the proportion of the population under consideration. That is, we can limit the model to only consider DNA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associated with a set of genomes that represent a certain fraction of the community. Here we limit the population to such that our model predicts the expected sequencing effort of the rarest genome that we wish to sequence. Inherently, any member </w:t>
      </w:r>
      <w:r w:rsidRPr="00F23F20">
        <w:rPr>
          <w:rFonts w:ascii="Times New Roman" w:hAnsi="Times New Roman" w:cs="Times New Roman"/>
        </w:rPr>
        <w:lastRenderedPageBreak/>
        <w:t xml:space="preserve">more abundant than the selected rarest, will also be sequenced to the minimum coverage and depth of the selected rarest. To determine the rareness of a given genome within a metagenome, the total number of unique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within a genome (equation 2.2) is scaled by the true abundance of the microbe and divided by the size of the metagenome (equation 2.7). Thus, the proper application of this rationale requires a desired </w:t>
      </w:r>
      <w:r w:rsidRPr="00F23F20">
        <w:rPr>
          <w:rFonts w:ascii="Times New Roman" w:eastAsia="Liberation Serif" w:hAnsi="Times New Roman" w:cs="Times New Roman"/>
        </w:rPr>
        <w:t>target fraction of exhaustion, an assumed genome size, and the relative abundance of the rarest genome to sequence.</w:t>
      </w:r>
      <w:r w:rsidRPr="00F23F20">
        <w:rPr>
          <w:rFonts w:ascii="Times New Roman" w:hAnsi="Times New Roman" w:cs="Times New Roman"/>
        </w:rPr>
        <w:t xml:space="preserve"> Numerical simulations, like those described earlier, were performed to determine the sequencing effort necessary to a achieve a target fraction of exhaustion. The difference here is that these simulations analyzed the sequencing effort necessary to sequence a genome of a certain rareness to a target fraction of exhaustion, whereas the simulations above analyze the effort necessary to sequence the entire community. A GAM model was built from simulation outputs to extrapolate sequencing effort required for relative abundances of less than 1% as simulations with lower abundances became computationally too intensive (GAM; Figure 2.5). </w:t>
      </w:r>
      <w:r w:rsidRPr="00F23F20">
        <w:rPr>
          <w:rFonts w:ascii="Times New Roman" w:eastAsia="Liberation Serif" w:hAnsi="Times New Roman" w:cs="Times New Roman"/>
        </w:rPr>
        <w:t>The GAM shows expected sequencing effort required for microbial genome sizes 0.5, 2</w:t>
      </w:r>
      <w:r w:rsidRPr="00F23F20">
        <w:rPr>
          <w:rFonts w:ascii="Times New Roman" w:hAnsi="Times New Roman" w:cs="Times New Roman"/>
        </w:rPr>
        <w:t>, 5</w:t>
      </w:r>
      <w:r w:rsidRPr="00F23F20">
        <w:rPr>
          <w:rFonts w:ascii="Times New Roman" w:eastAsia="Liberation Serif" w:hAnsi="Times New Roman" w:cs="Times New Roman"/>
          <w:vertAlign w:val="subscript"/>
        </w:rPr>
        <w:t xml:space="preserve">, </w:t>
      </w:r>
      <w:r w:rsidRPr="00F23F20">
        <w:rPr>
          <w:rFonts w:ascii="Times New Roman" w:hAnsi="Times New Roman" w:cs="Times New Roman"/>
        </w:rPr>
        <w:t xml:space="preserve">10, and 20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target genome completeness fractions from 0.5 to 1.0, and genome relative abundances from 1 to </w:t>
      </w:r>
      <w:r w:rsidRPr="00F23F20">
        <w:rPr>
          <w:rFonts w:ascii="Times New Roman" w:eastAsia="Liberation Serif" w:hAnsi="Times New Roman" w:cs="Times New Roman"/>
        </w:rPr>
        <w:t>0.0001</w:t>
      </w:r>
      <w:r w:rsidRPr="00F23F20">
        <w:rPr>
          <w:rFonts w:ascii="Times New Roman" w:hAnsi="Times New Roman" w:cs="Times New Roman"/>
        </w:rPr>
        <w:t xml:space="preserve">. The smooth dimensions for </w:t>
      </w:r>
      <w:r w:rsidRPr="00F23F20">
        <w:rPr>
          <w:rFonts w:ascii="Times New Roman" w:eastAsia="Liberation Serif" w:hAnsi="Times New Roman" w:cs="Times New Roman"/>
        </w:rPr>
        <w:t xml:space="preserve">target fraction, genome size, and fraction of the metagenome community were 50, 6, and 29, respectively. </w:t>
      </w:r>
      <w:r w:rsidRPr="00F23F20">
        <w:rPr>
          <w:rFonts w:ascii="Times New Roman" w:hAnsi="Times New Roman" w:cs="Times New Roman"/>
        </w:rPr>
        <w:t>To normalize for different sequence read length, sequence reads were converted to bases and ranged from 1×10</w:t>
      </w:r>
      <w:r w:rsidRPr="00F23F20">
        <w:rPr>
          <w:rFonts w:ascii="Times New Roman" w:hAnsi="Times New Roman" w:cs="Times New Roman"/>
          <w:vertAlign w:val="superscript"/>
        </w:rPr>
        <w:t>7</w:t>
      </w:r>
      <w:r w:rsidRPr="00F23F20">
        <w:rPr>
          <w:rFonts w:ascii="Times New Roman" w:hAnsi="Times New Roman" w:cs="Times New Roman"/>
        </w:rPr>
        <w:t xml:space="preserve"> to 1×10</w:t>
      </w:r>
      <w:r w:rsidRPr="00F23F20">
        <w:rPr>
          <w:rFonts w:ascii="Times New Roman" w:hAnsi="Times New Roman" w:cs="Times New Roman"/>
          <w:vertAlign w:val="superscript"/>
        </w:rPr>
        <w:t>15</w:t>
      </w:r>
      <w:r w:rsidRPr="00F23F20">
        <w:rPr>
          <w:rFonts w:ascii="Times New Roman" w:hAnsi="Times New Roman" w:cs="Times New Roman"/>
        </w:rPr>
        <w:t xml:space="preserve"> total bases.  More bases were required to sequence microorganisms 1) when the genome was relatively rarer in the community, 2) to achieve better coverage of the genome, and 3) when average genome sizes were larger. </w:t>
      </w:r>
    </w:p>
    <w:p w14:paraId="64DD8010" w14:textId="77777777" w:rsidR="00365526" w:rsidRPr="00F23F20" w:rsidRDefault="00365526" w:rsidP="00365526">
      <w:pPr>
        <w:pStyle w:val="Heading3"/>
      </w:pPr>
      <w:bookmarkStart w:id="132" w:name="_Toc41908095"/>
      <w:r w:rsidRPr="00F23F20">
        <w:lastRenderedPageBreak/>
        <w:t>Rarefying MAG Binning as a function of sequencing effort</w:t>
      </w:r>
      <w:bookmarkEnd w:id="132"/>
    </w:p>
    <w:p w14:paraId="2086CCFE" w14:textId="77777777"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We rarefied four sequence read datasets to nine different fractions of the complete sequence datasets in triplicate, respectively. The rarefied datasets were then assembled and binned for a total of 108 analyzed metagenomes. The </w:t>
      </w:r>
      <w:r w:rsidRPr="00F23F20">
        <w:rPr>
          <w:rFonts w:ascii="Times New Roman" w:hAnsi="Times New Roman" w:cs="Times New Roman"/>
          <w:bCs/>
        </w:rPr>
        <w:t xml:space="preserve">sum of medium- and high-quality MAGs </w:t>
      </w:r>
      <w:r w:rsidRPr="00F23F20">
        <w:rPr>
          <w:rFonts w:ascii="Times New Roman" w:hAnsi="Times New Roman" w:cs="Times New Roman"/>
        </w:rPr>
        <w:t xml:space="preserve">as a function of high-quality bases empirically fit the </w:t>
      </w:r>
      <w:proofErr w:type="spellStart"/>
      <w:r w:rsidRPr="00F23F20">
        <w:rPr>
          <w:rFonts w:ascii="Times New Roman" w:hAnsi="Times New Roman" w:cs="Times New Roman"/>
        </w:rPr>
        <w:t>Gompertz</w:t>
      </w:r>
      <w:proofErr w:type="spellEnd"/>
      <w:r w:rsidRPr="00F23F20">
        <w:rPr>
          <w:rFonts w:ascii="Times New Roman" w:hAnsi="Times New Roman" w:cs="Times New Roman"/>
        </w:rPr>
        <w:t xml:space="preserve"> equation (equation 2.12; Figure 2.6B; parameters in Table 1.1). The </w:t>
      </w:r>
      <w:r w:rsidRPr="00F23F20">
        <w:rPr>
          <w:rFonts w:ascii="Times New Roman" w:hAnsi="Times New Roman" w:cs="Times New Roman"/>
          <w:bCs/>
        </w:rPr>
        <w:t>sum of medium- and high-quality MAGs (henceforth referred to as quality MAGs for brevity) r</w:t>
      </w:r>
      <w:r w:rsidRPr="00F23F20">
        <w:rPr>
          <w:rFonts w:ascii="Times New Roman" w:hAnsi="Times New Roman" w:cs="Times New Roman"/>
        </w:rPr>
        <w:t>educes sensitivity to whether bioinformatic pipelines tend to lump contigs into fewer, more-complete MAGs versus split them into more, less-complete MAGs. This was important for our analysis due to the large number of metagenomes (</w:t>
      </w:r>
      <w:r w:rsidRPr="00F23F20">
        <w:rPr>
          <w:rFonts w:ascii="Times New Roman" w:hAnsi="Times New Roman" w:cs="Times New Roman"/>
          <w:i/>
          <w:iCs/>
        </w:rPr>
        <w:t>n</w:t>
      </w:r>
      <w:r w:rsidRPr="00F23F20">
        <w:rPr>
          <w:rFonts w:ascii="Times New Roman" w:hAnsi="Times New Roman" w:cs="Times New Roman"/>
        </w:rPr>
        <w:t xml:space="preserve">=108) which required assembly and an unsupervised binning algorithm. The large number of metagenomes made manual bin curation impractical during rarefication simulations. </w:t>
      </w:r>
    </w:p>
    <w:p w14:paraId="6E72E451" w14:textId="385E16E0"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For each environment, the quality MAGs as a function of simulated sequencing effort followed a sigmoidal relationship. In order to make the parameters of the fit intuitive to interpret, we fit the data to the </w:t>
      </w:r>
      <w:proofErr w:type="spellStart"/>
      <w:r w:rsidRPr="00F23F20">
        <w:rPr>
          <w:rFonts w:ascii="Times New Roman" w:hAnsi="Times New Roman" w:cs="Times New Roman"/>
        </w:rPr>
        <w:t>Gompertz</w:t>
      </w:r>
      <w:proofErr w:type="spellEnd"/>
      <w:r w:rsidRPr="00F23F20">
        <w:rPr>
          <w:rFonts w:ascii="Times New Roman" w:hAnsi="Times New Roman" w:cs="Times New Roman"/>
        </w:rPr>
        <w:t xml:space="preserve"> equation as rewritten by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{"citationItems":[{"id":"ITEM-1","itemData":{"DOI":"10.1111/j.1472-765X.2008.02537.x","ISBN":"0099-2240","ISSN":"00992240","PMID":"16348228","abstract":"Several sigmoidal functions (logistic, Gompertz, Richards, Schnute, and Stannard) were compared to describe a bacterial growth curve. They were compared statistically by using the model of Schnute, which is a comprehensive model, encompassing all other models. The t test and the F test were used. With the t test, confidence intervals for parameters can be calculated and can be used to distinguish between models. In the F test, the lack of fit of the models is compared with the measuring error. Moreover, the models were compared with respect to their ease of use. All sigmoidal functions were modified so that they contained biologically relevant parameters. The models of Richards, Schnute, and Stannard appeared to be basically the same equation. In the cases tested, the modified Gompertz equation was statistically sufficient to describe the growth data of Lactobacillus plantarum and was easy to use.","author":[{"dropping-particle":"","family":"Zwietering","given":"M. H.","non-dropping-particle":"","parse-names":false,"suffix":""},{"dropping-particle":"","family":"Jongenburger","given":"I.","non-dropping-particle":"","parse-names":false,"suffix":""},{"dropping-particle":"","family":"Rombouts","given":"F. M.","non-dropping-particle":"","parse-names":false,"suffix":""},{"dropping-particle":"","family":"Van't Riet","given":"K.","non-dropping-particle":"","parse-names":false,"suffix":""}],"container-title":"Applied and Environmental Microbiology","id":"ITEM-1","issue":"6","issued":{"date-parts":[["1990"]]},"page":"1875-1881","title":"Modeling of the bacterial growth curve","type":"article-journal","volume":"56"},"uris":["http://www.mendeley.com/documents/?uuid=e156316c-fac5-4416-b03c-64c24c680407"]}],"mendeley":{"formattedCitation":"(55)","plainTextFormattedCitation":"(55)","previouslyFormattedCitation":"(54)"},"properties":{"noteIndex":0},"schema":"https://github.com/citation-style-language/schema/raw/master/csl-citation.json"}</w:instrText>
      </w:r>
      <w:r w:rsidRPr="00F23F20">
        <w:rPr>
          <w:rFonts w:ascii="Times New Roman" w:hAnsi="Times New Roman" w:cs="Times New Roman"/>
        </w:rPr>
        <w:fldChar w:fldCharType="separate"/>
      </w:r>
      <w:bookmarkStart w:id="133" w:name="__Fieldmark__5799_2362280495"/>
      <w:bookmarkStart w:id="134" w:name="__Fieldmark__3332_2362280495"/>
      <w:r w:rsidR="00307058" w:rsidRPr="00307058">
        <w:rPr>
          <w:rFonts w:ascii="Times New Roman" w:hAnsi="Times New Roman" w:cs="Times New Roman"/>
          <w:noProof/>
        </w:rPr>
        <w:t>(55)</w:t>
      </w:r>
      <w:r w:rsidRPr="00F23F20">
        <w:rPr>
          <w:rFonts w:ascii="Times New Roman" w:hAnsi="Times New Roman" w:cs="Times New Roman"/>
        </w:rPr>
        <w:fldChar w:fldCharType="end"/>
      </w:r>
      <w:bookmarkEnd w:id="133"/>
      <w:bookmarkEnd w:id="134"/>
      <w:r w:rsidRPr="00F23F20">
        <w:rPr>
          <w:rFonts w:ascii="Times New Roman" w:hAnsi="Times New Roman" w:cs="Times New Roman"/>
        </w:rPr>
        <w:t xml:space="preserve"> (equation 2.12). Here, </w:t>
      </w:r>
      <w:r w:rsidRPr="00F23F20">
        <w:rPr>
          <w:rFonts w:ascii="Times New Roman" w:hAnsi="Times New Roman" w:cs="Times New Roman"/>
          <w:i/>
        </w:rPr>
        <w:t>A</w:t>
      </w:r>
      <w:r w:rsidRPr="00F23F20">
        <w:rPr>
          <w:rFonts w:ascii="Times New Roman" w:hAnsi="Times New Roman" w:cs="Times New Roman"/>
        </w:rPr>
        <w:t xml:space="preserve">, </w:t>
      </w:r>
      <w:r w:rsidRPr="00F23F20">
        <w:rPr>
          <w:rFonts w:ascii="Times New Roman" w:hAnsi="Times New Roman" w:cs="Times New Roman"/>
          <w:i/>
        </w:rPr>
        <w:t xml:space="preserve">µ, </w:t>
      </w:r>
      <w:r w:rsidRPr="00F23F20">
        <w:rPr>
          <w:rFonts w:ascii="Times New Roman" w:hAnsi="Times New Roman" w:cs="Times New Roman"/>
        </w:rPr>
        <w:t>and</w:t>
      </w:r>
      <w:r w:rsidRPr="00F23F20">
        <w:rPr>
          <w:rFonts w:ascii="Times New Roman" w:hAnsi="Times New Roman" w:cs="Times New Roman"/>
          <w:i/>
        </w:rPr>
        <w:t xml:space="preserve"> λ</w:t>
      </w:r>
      <w:r w:rsidRPr="00F23F20">
        <w:rPr>
          <w:rFonts w:ascii="Times New Roman" w:hAnsi="Times New Roman" w:cs="Times New Roman"/>
        </w:rPr>
        <w:t xml:space="preserve"> correspond to the maximum quality MAGs assembled with the pipeline, </w:t>
      </w:r>
      <w:r w:rsidRPr="00F23F20">
        <w:rPr>
          <w:rFonts w:ascii="Times New Roman" w:eastAsia="Liberation Serif" w:hAnsi="Times New Roman" w:cs="Times New Roman"/>
        </w:rPr>
        <w:t>th</w:t>
      </w:r>
      <w:r w:rsidRPr="00F23F20">
        <w:rPr>
          <w:rFonts w:ascii="Times New Roman" w:hAnsi="Times New Roman" w:cs="Times New Roman"/>
        </w:rPr>
        <w:t xml:space="preserve">e maximum rate which the quality MAGs form with more sequencing, and the “lag bases,” or the bases which must be sequenced prior to a sufficient number of sequence reads existing to generate overlap and form contigs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{"citationItems":[{"id":"ITEM-1","itemData":{"DOI":"10.1016/0888-7543(95)80086-2","ISBN":"0888-7543 (Print)\\r0888-7543 (Linking)","ISSN":"10898646","PMID":"7782090","abstract":"Physical maps can be constructed by \"fingerprinting\" a large number of random clones and inferring overlap between clones when the fingerprints are sufficiently similar. E. Lander and M. Waterman (Genomics 2: 231-239, 1988) gave a mathematical analysis of such mapping strategies. The analysis is useful for comparing various fingerprinting methods. Recently it has been proposed that ends of clones rather than the entire clone be fingerprinted or characterized. Such fingerprints, which include sequenced clone ends, require a mathematical analysis deeper than that of Lander-Waterman. This paper studies clone islands, which can include uncharacterized regions, and also the islands that are formed entirely from the ends of clones. © 1995.","author":[{"dropping-particle":"","family":"Lander","given":"Eric S.","non-dropping-particle":"","parse-names":false,"suffix":""},{"dropping-particle":"","family":"Waterman","given":"Michael S.","non-dropping-particle":"","parse-names":false,"suffix":""}],"container-title":"Genomics","id":"ITEM-1","issue":"2","issued":{"date-parts":[["1988"]]},"page":"231-239","title":"Genomic mapping by end-characterized random clones: a mathematical analysis","type":"article-journal"},"uris":["http://www.mendeley.com/documents/?uuid=312fe876-5a94-42ea-a028-c3532ecc5be8"]}],"mendeley":{"formattedCitation":"(51)","plainTextFormattedCitation":"(51)","previouslyFormattedCitation":"(50)"},"properties":{"noteIndex":0},"schema":"https://github.com/citation-style-language/schema/raw/master/csl-citation.json"}</w:instrText>
      </w:r>
      <w:r w:rsidRPr="00F23F20">
        <w:rPr>
          <w:rFonts w:ascii="Times New Roman" w:hAnsi="Times New Roman" w:cs="Times New Roman"/>
        </w:rPr>
        <w:fldChar w:fldCharType="separate"/>
      </w:r>
      <w:bookmarkStart w:id="135" w:name="__Fieldmark__5814_2362280495"/>
      <w:bookmarkStart w:id="136" w:name="__Fieldmark__3348_2362280495"/>
      <w:r w:rsidR="00307058" w:rsidRPr="00307058">
        <w:rPr>
          <w:rFonts w:ascii="Times New Roman" w:hAnsi="Times New Roman" w:cs="Times New Roman"/>
          <w:noProof/>
        </w:rPr>
        <w:t>(51)</w:t>
      </w:r>
      <w:r w:rsidRPr="00F23F20">
        <w:rPr>
          <w:rFonts w:ascii="Times New Roman" w:hAnsi="Times New Roman" w:cs="Times New Roman"/>
        </w:rPr>
        <w:fldChar w:fldCharType="end"/>
      </w:r>
      <w:bookmarkEnd w:id="135"/>
      <w:bookmarkEnd w:id="136"/>
      <w:r w:rsidRPr="00F23F20">
        <w:rPr>
          <w:rFonts w:ascii="Times New Roman" w:hAnsi="Times New Roman" w:cs="Times New Roman"/>
        </w:rPr>
        <w:t>. The predicted maximum quality MAGs varied from ~9.6 in the estuary sediment community to ~19 in the maize soil community. The predicted maximum rate that the quality MAGs increased varied from ~0.9 to ~3.8 MAGs Gbp</w:t>
      </w:r>
      <w:r w:rsidRPr="00F23F20">
        <w:rPr>
          <w:rFonts w:ascii="Times New Roman" w:hAnsi="Times New Roman" w:cs="Times New Roman"/>
          <w:vertAlign w:val="superscript"/>
        </w:rPr>
        <w:t>-1</w:t>
      </w:r>
      <w:r w:rsidRPr="00F23F20">
        <w:rPr>
          <w:rFonts w:ascii="Times New Roman" w:hAnsi="Times New Roman" w:cs="Times New Roman"/>
        </w:rPr>
        <w:t xml:space="preserve">. Lastly, the minimum </w:t>
      </w:r>
      <w:r w:rsidRPr="00F23F20">
        <w:rPr>
          <w:rFonts w:ascii="Times New Roman" w:hAnsi="Times New Roman" w:cs="Times New Roman"/>
        </w:rPr>
        <w:lastRenderedPageBreak/>
        <w:t xml:space="preserve">threshold of sequencing necessary prior to seeing quality MAGs varied from ~0.6 to ~6.1 </w:t>
      </w:r>
      <w:proofErr w:type="spellStart"/>
      <w:r w:rsidRPr="00F23F20">
        <w:rPr>
          <w:rFonts w:ascii="Times New Roman" w:hAnsi="Times New Roman" w:cs="Times New Roman"/>
        </w:rPr>
        <w:t>Gbp</w:t>
      </w:r>
      <w:proofErr w:type="spellEnd"/>
      <w:r w:rsidRPr="00F23F20">
        <w:rPr>
          <w:rFonts w:ascii="Times New Roman" w:hAnsi="Times New Roman" w:cs="Times New Roman"/>
        </w:rPr>
        <w:t xml:space="preserve">. The </w:t>
      </w:r>
      <w:r w:rsidRPr="00F23F20">
        <w:rPr>
          <w:rFonts w:ascii="Times New Roman" w:hAnsi="Times New Roman" w:cs="Times New Roman"/>
          <w:i/>
        </w:rPr>
        <w:t>Tara Oceans</w:t>
      </w:r>
      <w:r w:rsidRPr="00F23F20">
        <w:rPr>
          <w:rFonts w:ascii="Times New Roman" w:hAnsi="Times New Roman" w:cs="Times New Roman"/>
        </w:rPr>
        <w:t xml:space="preserve"> dataset, where the quality decreased at sequencing effort &gt;20 </w:t>
      </w:r>
      <w:proofErr w:type="spellStart"/>
      <w:r w:rsidRPr="00F23F20">
        <w:rPr>
          <w:rFonts w:ascii="Times New Roman" w:hAnsi="Times New Roman" w:cs="Times New Roman"/>
        </w:rPr>
        <w:t>Gbp</w:t>
      </w:r>
      <w:proofErr w:type="spellEnd"/>
      <w:r w:rsidRPr="00F23F20">
        <w:rPr>
          <w:rFonts w:ascii="Times New Roman" w:hAnsi="Times New Roman" w:cs="Times New Roman"/>
        </w:rPr>
        <w:t xml:space="preserve">, was an exception. For the </w:t>
      </w:r>
      <w:r w:rsidRPr="00F23F20">
        <w:rPr>
          <w:rFonts w:ascii="Times New Roman" w:eastAsia="Liberation Serif" w:hAnsi="Times New Roman" w:cs="Times New Roman"/>
        </w:rPr>
        <w:t>estuary,</w:t>
      </w:r>
      <w:r w:rsidRPr="00F23F20">
        <w:rPr>
          <w:rFonts w:ascii="Times New Roman" w:hAnsi="Times New Roman" w:cs="Times New Roman"/>
        </w:rPr>
        <w:t xml:space="preserve"> </w:t>
      </w:r>
      <w:r w:rsidRPr="00F23F20">
        <w:rPr>
          <w:rFonts w:ascii="Times New Roman" w:eastAsia="Liberation Serif" w:hAnsi="Times New Roman" w:cs="Times New Roman"/>
        </w:rPr>
        <w:t>maize, and human gut</w:t>
      </w:r>
      <w:r w:rsidRPr="00F23F20">
        <w:rPr>
          <w:rFonts w:ascii="Times New Roman" w:hAnsi="Times New Roman" w:cs="Times New Roman"/>
        </w:rPr>
        <w:t xml:space="preserve"> datasets, the quality MAGs yield began to asymptote with increasing sequencing efforts. The </w:t>
      </w:r>
      <w:r w:rsidRPr="00F23F20">
        <w:rPr>
          <w:rFonts w:ascii="Times New Roman" w:hAnsi="Times New Roman" w:cs="Times New Roman"/>
          <w:i/>
        </w:rPr>
        <w:t>Tara Oceans</w:t>
      </w:r>
      <w:r w:rsidRPr="00F23F20">
        <w:rPr>
          <w:rFonts w:ascii="Times New Roman" w:hAnsi="Times New Roman" w:cs="Times New Roman"/>
        </w:rPr>
        <w:t xml:space="preserve"> dataset followed a similar pattern at &lt;</w:t>
      </w:r>
      <w:r w:rsidRPr="00F23F20">
        <w:rPr>
          <w:rFonts w:ascii="Times New Roman" w:eastAsia="Liberation Serif" w:hAnsi="Times New Roman" w:cs="Times New Roman"/>
        </w:rPr>
        <w:t>25</w:t>
      </w:r>
      <w:r w:rsidRPr="00F23F20">
        <w:rPr>
          <w:rFonts w:ascii="Times New Roman" w:hAnsi="Times New Roman" w:cs="Times New Roman"/>
        </w:rPr>
        <w:t xml:space="preserve"> </w:t>
      </w:r>
      <w:proofErr w:type="spellStart"/>
      <w:r w:rsidRPr="00F23F20">
        <w:rPr>
          <w:rFonts w:ascii="Times New Roman" w:hAnsi="Times New Roman" w:cs="Times New Roman"/>
        </w:rPr>
        <w:t>Gbp</w:t>
      </w:r>
      <w:proofErr w:type="spellEnd"/>
      <w:r w:rsidRPr="00F23F20">
        <w:rPr>
          <w:rFonts w:ascii="Times New Roman" w:hAnsi="Times New Roman" w:cs="Times New Roman"/>
        </w:rPr>
        <w:t>. However, when the number of sequenced bases was &gt;25Gbp, the quality MAGs decreased and became insensitive to sequencing effort.</w:t>
      </w:r>
    </w:p>
    <w:p w14:paraId="48ADF288" w14:textId="77777777" w:rsidR="00365526" w:rsidRPr="00F23F20" w:rsidRDefault="00365526" w:rsidP="00365526">
      <w:pPr>
        <w:pStyle w:val="Heading3"/>
      </w:pPr>
      <w:bookmarkStart w:id="137" w:name="_Toc41908096"/>
      <w:r w:rsidRPr="00F23F20">
        <w:t>Constraining MAG Rarefaction Analyses to Community Structure</w:t>
      </w:r>
      <w:bookmarkEnd w:id="137"/>
    </w:p>
    <w:p w14:paraId="543E3607" w14:textId="07C75C1A"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Using the relationship shown in Figure 2.5, we can convert sequencing effort to an abundance (rareness) cutoff if we assume a genome size. Genome sizes for genomes in </w:t>
      </w:r>
      <w:proofErr w:type="spellStart"/>
      <w:r w:rsidRPr="00F23F20">
        <w:rPr>
          <w:rFonts w:ascii="Times New Roman" w:hAnsi="Times New Roman" w:cs="Times New Roman"/>
        </w:rPr>
        <w:t>RefSeq</w:t>
      </w:r>
      <w:proofErr w:type="spellEnd"/>
      <w:r w:rsidRPr="00F23F20">
        <w:rPr>
          <w:rFonts w:ascii="Times New Roman" w:hAnsi="Times New Roman" w:cs="Times New Roman"/>
        </w:rPr>
        <w:t xml:space="preserve"> v92 </w:t>
      </w:r>
      <w:r w:rsidRPr="00F23F20">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{"citationItems":[{"id":"ITEM-1","itemData":{"DOI":"10.1093/nar/gkv1189","ISBN":"1362-4962 (Electronic) 0305-1048 (Linking)","ISSN":"13624962","PMID":"26553804","abstract":"The RefSeq project at the National Center for Biotech- nology Information (NCBI) maintains and curates a publicly available database of annotated genomic, transcript, and protein sequence records (http:// www.ncbi.nlm.nih.gov/refseq/). The RefSeq project leverages the data submitted to the International Nu- cleotide Sequence Database Collaboration (INSDC) against a combination of computation, manual cu- ration, and collaboration to produce a standard set of stable, non-redundant reference sequences. The RefSeq project augments these reference sequences with current knowledge including publications, func- tional features and informative nomenclature. The database currently represents sequences from more than 55 000 organisms (&gt;4800 viruses, &gt;40 000 prokaryotes and &gt;10 000 eukaryotes; RefSeq re- lease 71), ranging from a single record to complete genomes. This paper summarizes the current sta- tus of the viral, prokaryotic, and eukaryotic branches of the RefSeq project, reports on improvements to data access and details efforts to further expand the taxonomic representation of the collection. We also highlight diverse functional curation initiatives that support multiple uses of RefSeq data including tax- onomic validation, genome annotation, comparative genomics, and clinical testing. We summarize our approach to utilizing available RNA-Seq and other data types in our manual curation process for verte- brate, plant, and other species, and describe a new direction for prokaryotic genomes and protein name management.","author":[{"dropping-particle":"","family":"O'Leary","given":"Nuala A.","non-dropping-particle":"","parse-names":false,"suffix":""},{"dropping-particle":"","family":"Wright","given":"Mathew W.","non-dropping-particle":"","parse-names":false,"suffix":""},{"dropping-particle":"","family":"Brister","given":"J. Rodney","non-dropping-particle":"","parse-names":false,"suffix":""},{"dropping-particle":"","family":"Ciufo","given":"Stacy","non-dropping-particle":"","parse-names":false,"suffix":""},{"dropping-particle":"","family":"Haddad","given":"Diana","non-dropping-particle":"","parse-names":false,"suffix":""},{"dropping-particle":"","family":"McVeigh","given":"Rich","non-dropping-particle":"","parse-names":false,"suffix":""},{"dropping-particle":"","family":"Rajput","given":"Bhanu","non-dropping-particle":"","parse-names":false,"suffix":""},{"dropping-particle":"","family":"Robbertse","given":"Barbara","non-dropping-particle":"","parse-names":false,"suffix":""},{"dropping-particle":"","family":"Smith-White","given":"Brian","non-dropping-particle":"","parse-names":false,"suffix":""},{"dropping-particle":"","family":"Ako-Adjei","given":"Danso","non-dropping-particle":"","parse-names":false,"suffix":""},{"dropping-particle":"","family":"Astashyn","given":"Alexander","non-dropping-particle":"","parse-names":false,"suffix":""},{"dropping-particle":"","family":"Badretdin","given":"Azat","non-dropping-particle":"","parse-names":false,"suffix":""},{"dropping-particle":"","family":"Bao","given":"Yiming","non-dropping-particle":"","parse-names":false,"suffix":""},{"dropping-particle":"","family":"Blinkova","given":"Olga","non-dropping-particle":"","parse-names":false,"suffix":""},{"dropping-particle":"","family":"Brover","given":"Vyacheslav","non-dropping-particle":"","parse-names":false,"suffix":""},{"dropping-particle":"","family":"Chetvernin","given":"Vyacheslav","non-dropping-particle":"","parse-names":false,"suffix":""},{"dropping-particle":"","family":"Choi","given":"Jinna","non-dropping-particle":"","parse-names":false,"suffix":""},{"dropping-particle":"","family":"Cox","given":"Eric","non-dropping-particle":"","parse-names":false,"suffix":""},{"dropping-particle":"","family":"Ermolaeva","given":"Olga","non-dropping-particle":"","parse-names":false,"suffix":""},{"dropping-particle":"","family":"Farrell","given":"Catherine M.","non-dropping-particle":"","parse-names":false,"suffix":""},{"dropping-particle":"","family":"Goldfarb","given":"Tamara","non-dropping-particle":"","parse-names":false,"suffix":""},{"dropping-particle":"","family":"Gupta","given":"Tripti","non-dropping-particle":"","parse-names":false,"suffix":""},{"dropping-particle":"","family":"Haft","given":"Daniel","non-dropping-particle":"","parse-names":false,"suffix":""},{"dropping-particle":"","family":"Hatcher","given":"Eneida","non-dropping-particle":"","parse-names":false,"suffix":""},{"dropping-particle":"","family":"Hlavina","given":"Wratko","non-dropping-particle":"","parse-names":false,"suffix":""},{"dropping-particle":"","family":"Joardar","given":"Vinita S.","non-dropping-particle":"","parse-names":false,"suffix":""},{"dropping-particle":"","family":"Kodali","given":"Vamsi K.","non-dropping-particle":"","parse-names":false,"suffix":""},{"dropping-particle":"","family":"Li","given":"Wenjun","non-dropping-particle":"","parse-names":false,"suffix":""},{"dropping-particle":"","family":"Maglott","given":"Donna","non-dropping-particle":"","parse-names":false,"suffix":""},{"dropping-particle":"","family":"Masterson","given":"Patrick","non-dropping-particle":"","parse-names":false,"suffix":""},{"dropping-particle":"","family":"McGarvey","given":"Kelly M.","non-dropping-particle":"","parse-names":false,"suffix":""},{"dropping-particle":"","family":"Murphy","given":"Michael R.","non-dropping-particle":"","parse-names":false,"suffix":""},{"dropping-particle":"","family":"O'Neill","given":"Kathleen","non-dropping-particle":"","parse-names":false,"suffix":""},{"dropping-particle":"","family":"Pujar","given":"Shashikant","non-dropping-particle":"","parse-names":false,"suffix":""},{"dropping-particle":"","family":"Rangwala","given":"Sanjida H.","non-dropping-particle":"","parse-names":false,"suffix":""},{"dropping-particle":"","family":"Rausch","given":"Daniel","non-dropping-particle":"","parse-names":false,"suffix":""},{"dropping-particle":"","family":"Riddick","given":"Lillian D.","non-dropping-particle":"","parse-names":false,"suffix":""},{"dropping-particle":"","family":"Schoch","given":"Conrad","non-dropping-particle":"","parse-names":false,"suffix":""},{"dropping-particle":"","family":"Shkeda","given":"Andrei","non-dropping-particle":"","parse-names":false,"suffix":""},{"dropping-particle":"","family":"Storz","given":"Susan S.","non-dropping-particle":"","parse-names":false,"suffix":""},{"dropping-particle":"","family":"Sun","given":"Hanzhen","non-dropping-particle":"","parse-names":false,"suffix":""},{"dropping-particle":"","family":"Thibaud-Nissen","given":"Francoise","non-dropping-particle":"","parse-names":false,"suffix":""},{"dropping-particle":"","family":"Tolstoy","given":"Igor","non-dropping-particle":"","parse-names":false,"suffix":""},{"dropping-particle":"","family":"Tully","given":"Raymond E.","non-dropping-particle":"","parse-names":false,"suffix":""},{"dropping-particle":"","family":"Vatsan","given":"Anjana R.","non-dropping-particle":"","parse-names":false,"suffix":""},{"dropping-particle":"","family":"Wallin","given":"Craig","non-dropping-particle":"","parse-names":false,"suffix":""},{"dropping-particle":"","family":"Webb","given":"David","non-dropping-particle":"","parse-names":false,"suffix":""},{"dropping-particle":"","family":"Wu","given":"Wendy","non-dropping-particle":"","parse-names":false,"suffix":""},{"dropping-particle":"","family":"Landrum","given":"Melissa J.","non-dropping-particle":"","parse-names":false,"suffix":""},{"dropping-particle":"","family":"Kimchi","given":"Avi","non-dropping-particle":"","parse-names":false,"suffix":""},{"dropping-particle":"","family":"Tatusova","given":"Tatiana","non-dropping-particle":"","parse-names":false,"suffix":""},{"dropping-particle":"","family":"DiCuccio","given":"Michael","non-dropping-particle":"","parse-names":false,"suffix":""},{"dropping-particle":"","family":"Kitts","given":"Paul","non-dropping-particle":"","parse-names":false,"suffix":""},{"dropping-particle":"","family":"Murphy","given":"Terence D.","non-dropping-particle":"","parse-names":false,"suffix":""},{"dropping-particle":"","family":"Pruitt","given":"Kim D.","non-dropping-particle":"","parse-names":false,"suffix":""}],"container-title":"Nucleic Acids Research","id":"ITEM-1","issue":"D1","issued":{"date-parts":[["2016"]]},"page":"D733-D745","title":"Reference sequence (RefSeq) database at NCBI: Current status, taxonomic expansion, and functional annotation","type":"article-journal","volume":"44"},"uris":["http://www.mendeley.com/documents/?uuid=c4e86200-d062-4c96-9740-0945d434249f"]}],"mendeley":{"formattedCitation":"(11)","plainTextFormattedCitation":"(11)","previouslyFormattedCitation":"(11)"},"properties":{"noteIndex":0},"schema":"https://github.com/citation-style-language/schema/raw/master/csl-citation.json"}</w:instrText>
      </w:r>
      <w:r w:rsidRPr="00F23F20">
        <w:rPr>
          <w:rFonts w:ascii="Times New Roman" w:hAnsi="Times New Roman" w:cs="Times New Roman"/>
        </w:rPr>
        <w:fldChar w:fldCharType="separate"/>
      </w:r>
      <w:bookmarkStart w:id="138" w:name="__Fieldmark__5838_2362280495"/>
      <w:bookmarkStart w:id="139" w:name="__Fieldmark__3399_2362280495"/>
      <w:r w:rsidR="004620D1" w:rsidRPr="004620D1">
        <w:rPr>
          <w:rFonts w:ascii="Times New Roman" w:hAnsi="Times New Roman" w:cs="Times New Roman"/>
          <w:noProof/>
        </w:rPr>
        <w:t>(11)</w:t>
      </w:r>
      <w:r w:rsidRPr="00F23F20">
        <w:rPr>
          <w:rFonts w:ascii="Times New Roman" w:hAnsi="Times New Roman" w:cs="Times New Roman"/>
        </w:rPr>
        <w:fldChar w:fldCharType="end"/>
      </w:r>
      <w:bookmarkEnd w:id="138"/>
      <w:bookmarkEnd w:id="139"/>
      <w:r w:rsidRPr="00F23F20">
        <w:rPr>
          <w:rFonts w:ascii="Times New Roman" w:hAnsi="Times New Roman" w:cs="Times New Roman"/>
        </w:rPr>
        <w:t xml:space="preserve"> have 25</w:t>
      </w:r>
      <w:r w:rsidRPr="00F23F20">
        <w:rPr>
          <w:rFonts w:ascii="Times New Roman" w:hAnsi="Times New Roman" w:cs="Times New Roman"/>
          <w:vertAlign w:val="superscript"/>
        </w:rPr>
        <w:t>th</w:t>
      </w:r>
      <w:r w:rsidRPr="00F23F20">
        <w:rPr>
          <w:rFonts w:ascii="Times New Roman" w:hAnsi="Times New Roman" w:cs="Times New Roman"/>
        </w:rPr>
        <w:t>, 50</w:t>
      </w:r>
      <w:r w:rsidRPr="00F23F20">
        <w:rPr>
          <w:rFonts w:ascii="Times New Roman" w:hAnsi="Times New Roman" w:cs="Times New Roman"/>
          <w:vertAlign w:val="superscript"/>
        </w:rPr>
        <w:t>th</w:t>
      </w:r>
      <w:r w:rsidRPr="00F23F20">
        <w:rPr>
          <w:rFonts w:ascii="Times New Roman" w:hAnsi="Times New Roman" w:cs="Times New Roman"/>
        </w:rPr>
        <w:t>, and 75</w:t>
      </w:r>
      <w:r w:rsidRPr="00F23F20">
        <w:rPr>
          <w:rFonts w:ascii="Times New Roman" w:hAnsi="Times New Roman" w:cs="Times New Roman"/>
          <w:vertAlign w:val="superscript"/>
        </w:rPr>
        <w:t>th</w:t>
      </w:r>
      <w:r w:rsidRPr="00F23F20">
        <w:rPr>
          <w:rFonts w:ascii="Times New Roman" w:hAnsi="Times New Roman" w:cs="Times New Roman"/>
        </w:rPr>
        <w:t xml:space="preserve"> quantiles of 2.73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4.30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and 5.14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respectively, and provide reasonable constraints for assumptions of genome size. Figure 2.7 shows quality MAGs retrieved for a genome of a given level of abundance that is sequenced to a target fraction of completeness for the human gut, maize soil, estuarine sediment, and the surface ocean microbiomes analyzed earlier. Correlation coefficients for the regressions used to relate log-transformed sequencing effort (base pairs) to genome relative abundance were </w:t>
      </w:r>
      <w:r w:rsidRPr="00F23F20">
        <w:rPr>
          <w:rFonts w:ascii="Times New Roman" w:hAnsi="Times New Roman" w:cs="Times New Roman"/>
          <w:i/>
        </w:rPr>
        <w:t>R</w:t>
      </w:r>
      <w:bookmarkStart w:id="140" w:name="_Hlk523322144"/>
      <w:bookmarkEnd w:id="140"/>
      <w:r w:rsidRPr="00F23F20">
        <w:rPr>
          <w:rFonts w:ascii="Times New Roman" w:hAnsi="Times New Roman" w:cs="Times New Roman"/>
        </w:rPr>
        <w:t xml:space="preserve">=1 for all three genome sizes evaluated (1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5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and 20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Evaluation of 1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and 20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define the range of uncertainty in predicting quality MAGs as the true size of genomes is unknown. Unlike the asymptotic response of quality MAGs to sequencing effort (Figure 2.6B-E), quality MAGs increase exponentially as the abundance cutoff decreases (note that the abundance cutoff is on a log-scale). The target genome completeness fraction was held at a constant of 0.5 for all </w:t>
      </w:r>
      <w:r w:rsidRPr="00F23F20">
        <w:rPr>
          <w:rFonts w:ascii="Times New Roman" w:hAnsi="Times New Roman" w:cs="Times New Roman"/>
        </w:rPr>
        <w:lastRenderedPageBreak/>
        <w:t>regressions and the sensitivity of quality MAGs will change with respect to the genome abundance cutoff with different values of target genome completeness fraction.</w:t>
      </w:r>
    </w:p>
    <w:p w14:paraId="71AB9696" w14:textId="77777777" w:rsidR="00365526" w:rsidRPr="00F23F20" w:rsidRDefault="00365526" w:rsidP="00365526">
      <w:pPr>
        <w:pStyle w:val="Heading2"/>
      </w:pPr>
      <w:bookmarkStart w:id="141" w:name="_Toc41908097"/>
      <w:r w:rsidRPr="00F23F20">
        <w:rPr>
          <w:rFonts w:eastAsia="Liberation Serif"/>
        </w:rPr>
        <w:t>Discussion</w:t>
      </w:r>
      <w:bookmarkEnd w:id="141"/>
    </w:p>
    <w:p w14:paraId="5EBCF5D8" w14:textId="683369E5"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We sought to establish evidence-based guidelines for selecting a sequencing effort during shotgun metagenomic sequencing experiments. The model proposed here (equation 2.6) addresses this goal. Our model establishes an intrinsic relationship between a community structure and the sequencing effort necessary to sequence members of different rareness, or relative abundance in a community (equation 2.1; Figure 2.8). It is important to emphasize that the proposed model treats individual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within a genome as members of the total population of DNA in an environment (equation 2.4; Figure 2.8). Thus, the relative abundance of any given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w:t>
      </w:r>
      <w:proofErr w:type="spellEnd"/>
      <w:r w:rsidRPr="00F23F20">
        <w:rPr>
          <w:rFonts w:ascii="Times New Roman" w:hAnsi="Times New Roman" w:cs="Times New Roman"/>
        </w:rPr>
        <w:t xml:space="preserve"> in a population is equal to the abundance of the host genome divided by the total number of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in the entire metagenome (equation 2.7). Summing the probabilities of sequencing all individual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form the same genome (equation 2.2; Figure 2.8), should equal the relative abundance of the genome within the population of genomes. The theoretical model utilizes these individual probabilities of sampling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to determine how much sequencing effort is required to sequence all possible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in a community (Figure 2.2-2.3) and for a member of some rareness in a community (Figure 2.5). Practical sequencing challenges associated with strain-level </w:t>
      </w:r>
      <w:proofErr w:type="spellStart"/>
      <w:r w:rsidRPr="00F23F20">
        <w:rPr>
          <w:rFonts w:ascii="Times New Roman" w:hAnsi="Times New Roman" w:cs="Times New Roman"/>
        </w:rPr>
        <w:t>microdiversity</w:t>
      </w:r>
      <w:proofErr w:type="spellEnd"/>
      <w:r w:rsidRPr="00F23F20">
        <w:rPr>
          <w:rFonts w:ascii="Times New Roman" w:hAnsi="Times New Roman" w:cs="Times New Roman"/>
        </w:rPr>
        <w:t xml:space="preserve">, extracellular DNA, and sequencer contamination are not problematic for the proposed model. However, these issues can still lead to problems during assembly. In particular, abundant lineages with a large amount of strain-level </w:t>
      </w:r>
      <w:proofErr w:type="spellStart"/>
      <w:r w:rsidRPr="00F23F20">
        <w:rPr>
          <w:rFonts w:ascii="Times New Roman" w:hAnsi="Times New Roman" w:cs="Times New Roman"/>
        </w:rPr>
        <w:t>microdiversity</w:t>
      </w:r>
      <w:proofErr w:type="spellEnd"/>
      <w:r w:rsidRPr="00F23F20">
        <w:rPr>
          <w:rFonts w:ascii="Times New Roman" w:hAnsi="Times New Roman" w:cs="Times New Roman"/>
        </w:rPr>
        <w:t xml:space="preserve"> can inhibit assembly. Strains could be treated </w:t>
      </w:r>
      <w:r w:rsidRPr="00F23F20">
        <w:rPr>
          <w:rFonts w:ascii="Times New Roman" w:hAnsi="Times New Roman" w:cs="Times New Roman"/>
        </w:rPr>
        <w:lastRenderedPageBreak/>
        <w:t xml:space="preserve">as independent taxonomic units and ultimately, sequencing effort should be selected based on a target rareness of DNA being sequenced in the sequencer. Proper measures such as removing extracellular DNA </w:t>
      </w:r>
      <w:r w:rsidR="00B36F3C">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{"citationItems":[{"id":"ITEM-1","itemData":{"DOI":"10.1038/nmicrobiol.2016.242","ISSN":"20585276","abstract":"© 2016 Macmillan Publishers Limited, part of Springer Nature. All rights reserved. Extracellular DNA from dead microorganisms can persist in soil for weeks to years 1-3. Although it is implicitly assumed that the microbial DNA recovered from soil predominantly represents intact cells, it is unclear how extracellular DNA affects molecular analyses of microbial diversity. We examined a wide range of soils using viability PCR based on the photoreactive DNA-intercalating dye propidium monoazide 4. We found that, on average, 40% of both prokaryotic and fungal DNA was extracellular or from cells that were no longer intact. Extracellular DNA inflated the observed prokaryotic and fungal richness by up to 55% and caused significant misestimation of taxon relative abundances, including the relative abundances of taxa integral to key ecosystem processes. Extracellular DNA was not found in measurable amounts in all soils; it was more likely to be present in soils with low exchangeable base cation concentrations, and the effect of its removal on microbial community structure was more profound in high-pH soils. Together, these findings imply that this 'relic DNA' remaining in soil after cell death can obscure treatment effects, spatiotemporal patterns and relationships between microbial taxa and environmental conditions.","author":[{"dropping-particle":"","family":"Carini","given":"Paul","non-dropping-particle":"","parse-names":false,"suffix":""},{"dropping-particle":"","family":"Marsden","given":"Patrick J.","non-dropping-particle":"","parse-names":false,"suffix":""},{"dropping-particle":"","family":"Leff","given":"Jonathan W.","non-dropping-particle":"","parse-names":false,"suffix":""},{"dropping-particle":"","family":"Morgan","given":"Emily E.","non-dropping-particle":"","parse-names":false,"suffix":""},{"dropping-particle":"","family":"Strickland","given":"Michael S.","non-dropping-particle":"","parse-names":false,"suffix":""},{"dropping-particle":"","family":"Fierer","given":"Noah","non-dropping-particle":"","parse-names":false,"suffix":""}],"container-title":"Nature Microbiology","id":"ITEM-1","issue":"0","issued":{"date-parts":[["2016"]]},"page":"1-6","publisher":"Nature Publishing Group","title":"Relic DNA is abundant in soil and obscures estimates of soil microbial diversity","type":"article-journal","volume":"2"},"uris":["http://www.mendeley.com/documents/?uuid=ee942218-c3ad-436e-90b5-dfe374a7680e"]}],"mendeley":{"formattedCitation":"(56)","manualFormatting":"(e.g., 55)","plainTextFormattedCitation":"(56)","previouslyFormattedCitation":"(55)"},"properties":{"noteIndex":0},"schema":"https://github.com/citation-style-language/schema/raw/master/csl-citation.json"}</w:instrText>
      </w:r>
      <w:r w:rsidR="00B36F3C">
        <w:rPr>
          <w:rFonts w:ascii="Times New Roman" w:hAnsi="Times New Roman" w:cs="Times New Roman"/>
        </w:rPr>
        <w:fldChar w:fldCharType="separate"/>
      </w:r>
      <w:r w:rsidR="00B36F3C" w:rsidRPr="00B36F3C">
        <w:rPr>
          <w:rFonts w:ascii="Times New Roman" w:hAnsi="Times New Roman" w:cs="Times New Roman"/>
          <w:noProof/>
        </w:rPr>
        <w:t>(</w:t>
      </w:r>
      <w:r w:rsidR="00B36F3C">
        <w:rPr>
          <w:rFonts w:ascii="Times New Roman" w:hAnsi="Times New Roman" w:cs="Times New Roman"/>
          <w:noProof/>
        </w:rPr>
        <w:t xml:space="preserve">e.g., </w:t>
      </w:r>
      <w:r w:rsidR="00B36F3C" w:rsidRPr="00B36F3C">
        <w:rPr>
          <w:rFonts w:ascii="Times New Roman" w:hAnsi="Times New Roman" w:cs="Times New Roman"/>
          <w:noProof/>
        </w:rPr>
        <w:t>55)</w:t>
      </w:r>
      <w:r w:rsidR="00B36F3C">
        <w:rPr>
          <w:rFonts w:ascii="Times New Roman" w:hAnsi="Times New Roman" w:cs="Times New Roman"/>
        </w:rPr>
        <w:fldChar w:fldCharType="end"/>
      </w:r>
      <w:r w:rsidR="00B36F3C">
        <w:rPr>
          <w:rFonts w:ascii="Times New Roman" w:hAnsi="Times New Roman" w:cs="Times New Roman"/>
        </w:rPr>
        <w:t xml:space="preserve"> </w:t>
      </w:r>
      <w:r w:rsidRPr="00F23F20">
        <w:rPr>
          <w:rFonts w:ascii="Times New Roman" w:hAnsi="Times New Roman" w:cs="Times New Roman"/>
        </w:rPr>
        <w:t xml:space="preserve">and properly removing contamination DNA are essential to avoid skewing the sequenced DNA population. Lastly, in practice, homologous DNA regions across genomes (e.g., shared genes) will be sequenced faster than unique regions. For simplicity of our model, we cannot predict the degree of homologous DNA and simply treat unique loci at DNA as a unique </w:t>
      </w:r>
      <w:r w:rsidRPr="00F23F20">
        <w:rPr>
          <w:rFonts w:ascii="Times New Roman" w:hAnsi="Times New Roman" w:cs="Times New Roman"/>
          <w:i/>
          <w:iCs/>
        </w:rPr>
        <w:t>k</w:t>
      </w:r>
      <w:r w:rsidRPr="00F23F20">
        <w:rPr>
          <w:rFonts w:ascii="Times New Roman" w:hAnsi="Times New Roman" w:cs="Times New Roman"/>
        </w:rPr>
        <w:t xml:space="preserve">-mer. Nonetheless, if this information is known </w:t>
      </w:r>
      <w:r w:rsidRPr="00F23F20">
        <w:rPr>
          <w:rFonts w:ascii="Times New Roman" w:hAnsi="Times New Roman" w:cs="Times New Roman"/>
          <w:i/>
          <w:iCs/>
        </w:rPr>
        <w:t>a priori,</w:t>
      </w:r>
      <w:r w:rsidRPr="00F23F20">
        <w:rPr>
          <w:rFonts w:ascii="Times New Roman" w:hAnsi="Times New Roman" w:cs="Times New Roman"/>
        </w:rPr>
        <w:t xml:space="preserve"> the proposed model can account for homologous DNA. Equation 2.6 calculates sequencing effort for individual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w:t>
      </w:r>
      <w:proofErr w:type="spellEnd"/>
      <w:r w:rsidRPr="00F23F20">
        <w:rPr>
          <w:rFonts w:ascii="Times New Roman" w:hAnsi="Times New Roman" w:cs="Times New Roman"/>
        </w:rPr>
        <w:t xml:space="preserve"> regions based on their relative abundance (</w:t>
      </w:r>
      <w:proofErr w:type="spellStart"/>
      <w:r w:rsidRPr="00F23F20">
        <w:rPr>
          <w:rFonts w:ascii="Times New Roman" w:hAnsi="Times New Roman" w:cs="Times New Roman"/>
          <w:i/>
          <w:iCs/>
        </w:rPr>
        <w:t>p</w:t>
      </w:r>
      <w:r w:rsidRPr="00F23F20">
        <w:rPr>
          <w:rFonts w:ascii="Times New Roman" w:hAnsi="Times New Roman" w:cs="Times New Roman"/>
          <w:i/>
          <w:iCs/>
          <w:vertAlign w:val="subscript"/>
        </w:rPr>
        <w:t>j</w:t>
      </w:r>
      <w:proofErr w:type="spellEnd"/>
      <w:r w:rsidRPr="00F23F20">
        <w:rPr>
          <w:rFonts w:ascii="Times New Roman" w:hAnsi="Times New Roman" w:cs="Times New Roman"/>
        </w:rPr>
        <w:t xml:space="preserve">) in respective to all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in the metagenome. In the case of homologous DNA, the relative abundances (associated with individual genomes) would be summed together.</w:t>
      </w:r>
    </w:p>
    <w:p w14:paraId="12305B54" w14:textId="77777777"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The theoretical probability model (equation 2.6) demonstrated that the sequencing effort to sequence a metagenome to exhaustion was predictable, regardless of community structure (Figure 2.2). Furthermore, our characterization of community complexity demonstrates that less complex communities require less sequencing to sequence all available DNA (Figure 2.4). A limitation to equation 2.6 is that it only predicts sequencing effort to sequence a metagenome to completion. In practice, assemblers do not require every unique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w:t>
      </w:r>
      <w:proofErr w:type="spellEnd"/>
      <w:r w:rsidRPr="00F23F20">
        <w:rPr>
          <w:rFonts w:ascii="Times New Roman" w:hAnsi="Times New Roman" w:cs="Times New Roman"/>
        </w:rPr>
        <w:t xml:space="preserve"> to generate an accurate contig. As long as sufficient overlap exists between sequenced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assemblers can generate contigs. We therefore used a numerical simulation to predict the sequencing effort necessary to sequence an individual metagenome to a target fraction of exhaustion. The numerical simulation </w:t>
      </w:r>
      <w:r w:rsidRPr="00F23F20">
        <w:rPr>
          <w:rFonts w:ascii="Times New Roman" w:hAnsi="Times New Roman" w:cs="Times New Roman"/>
        </w:rPr>
        <w:lastRenderedPageBreak/>
        <w:t>agreed with the theoretical model when predicting the sequencing effort to sequence a metagenome to exhaustion (Figure 2.3). A last analysis explored the semi-quantitative relationship between community evenness and richness and the necessary sequencing effort to achieve a target fraction of exhaustion for a metagenome (Figure 2.4).</w:t>
      </w:r>
    </w:p>
    <w:p w14:paraId="642C62A8" w14:textId="1F4737D8"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In practice, information about a target community structure may not be available for estimating sequencing effort. The GAM built here predicts the minimum number of sequences necessary to sequence a given fraction of a target genome as a function of average genome size and the relative abundance of the target genome in the community (Figure 2.5). Even without knowledge of a target community’s structure, the GAM provides a useful constraint for designing whole-genome shotgun metagenomic sequencing experiments. The size of prokaryotic genomes is fairly constrained, with 50% of the genomes in </w:t>
      </w:r>
      <w:proofErr w:type="spellStart"/>
      <w:r w:rsidRPr="00F23F20">
        <w:rPr>
          <w:rFonts w:ascii="Times New Roman" w:hAnsi="Times New Roman" w:cs="Times New Roman"/>
        </w:rPr>
        <w:t>RefSeq</w:t>
      </w:r>
      <w:proofErr w:type="spellEnd"/>
      <w:r w:rsidRPr="00F23F20">
        <w:rPr>
          <w:rFonts w:ascii="Times New Roman" w:hAnsi="Times New Roman" w:cs="Times New Roman"/>
        </w:rPr>
        <w:t xml:space="preserve"> v92 spanning from 2.74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to 5.15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w:t>
      </w:r>
      <w:r w:rsidRPr="00F23F20">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{"citationItems":[{"id":"ITEM-1","itemData":{"DOI":"10.1093/nar/gkv1189","ISBN":"1362-4962 (Electronic) 0305-1048 (Linking)","ISSN":"13624962","PMID":"26553804","abstract":"The RefSeq project at the National Center for Biotech- nology Information (NCBI) maintains and curates a publicly available database of annotated genomic, transcript, and protein sequence records (http:// www.ncbi.nlm.nih.gov/refseq/). The RefSeq project leverages the data submitted to the International Nu- cleotide Sequence Database Collaboration (INSDC) against a combination of computation, manual cu- ration, and collaboration to produce a standard set of stable, non-redundant reference sequences. The RefSeq project augments these reference sequences with current knowledge including publications, func- tional features and informative nomenclature. The database currently represents sequences from more than 55 000 organisms (&gt;4800 viruses, &gt;40 000 prokaryotes and &gt;10 000 eukaryotes; RefSeq re- lease 71), ranging from a single record to complete genomes. This paper summarizes the current sta- tus of the viral, prokaryotic, and eukaryotic branches of the RefSeq project, reports on improvements to data access and details efforts to further expand the taxonomic representation of the collection. We also highlight diverse functional curation initiatives that support multiple uses of RefSeq data including tax- onomic validation, genome annotation, comparative genomics, and clinical testing. We summarize our approach to utilizing available RNA-Seq and other data types in our manual curation process for verte- brate, plant, and other species, and describe a new direction for prokaryotic genomes and protein name management.","author":[{"dropping-particle":"","family":"O'Leary","given":"Nuala A.","non-dropping-particle":"","parse-names":false,"suffix":""},{"dropping-particle":"","family":"Wright","given":"Mathew W.","non-dropping-particle":"","parse-names":false,"suffix":""},{"dropping-particle":"","family":"Brister","given":"J. Rodney","non-dropping-particle":"","parse-names":false,"suffix":""},{"dropping-particle":"","family":"Ciufo","given":"Stacy","non-dropping-particle":"","parse-names":false,"suffix":""},{"dropping-particle":"","family":"Haddad","given":"Diana","non-dropping-particle":"","parse-names":false,"suffix":""},{"dropping-particle":"","family":"McVeigh","given":"Rich","non-dropping-particle":"","parse-names":false,"suffix":""},{"dropping-particle":"","family":"Rajput","given":"Bhanu","non-dropping-particle":"","parse-names":false,"suffix":""},{"dropping-particle":"","family":"Robbertse","given":"Barbara","non-dropping-particle":"","parse-names":false,"suffix":""},{"dropping-particle":"","family":"Smith-White","given":"Brian","non-dropping-particle":"","parse-names":false,"suffix":""},{"dropping-particle":"","family":"Ako-Adjei","given":"Danso","non-dropping-particle":"","parse-names":false,"suffix":""},{"dropping-particle":"","family":"Astashyn","given":"Alexander","non-dropping-particle":"","parse-names":false,"suffix":""},{"dropping-particle":"","family":"Badretdin","given":"Azat","non-dropping-particle":"","parse-names":false,"suffix":""},{"dropping-particle":"","family":"Bao","given":"Yiming","non-dropping-particle":"","parse-names":false,"suffix":""},{"dropping-particle":"","family":"Blinkova","given":"Olga","non-dropping-particle":"","parse-names":false,"suffix":""},{"dropping-particle":"","family":"Brover","given":"Vyacheslav","non-dropping-particle":"","parse-names":false,"suffix":""},{"dropping-particle":"","family":"Chetvernin","given":"Vyacheslav","non-dropping-particle":"","parse-names":false,"suffix":""},{"dropping-particle":"","family":"Choi","given":"Jinna","non-dropping-particle":"","parse-names":false,"suffix":""},{"dropping-particle":"","family":"Cox","given":"Eric","non-dropping-particle":"","parse-names":false,"suffix":""},{"dropping-particle":"","family":"Ermolaeva","given":"Olga","non-dropping-particle":"","parse-names":false,"suffix":""},{"dropping-particle":"","family":"Farrell","given":"Catherine M.","non-dropping-particle":"","parse-names":false,"suffix":""},{"dropping-particle":"","family":"Goldfarb","given":"Tamara","non-dropping-particle":"","parse-names":false,"suffix":""},{"dropping-particle":"","family":"Gupta","given":"Tripti","non-dropping-particle":"","parse-names":false,"suffix":""},{"dropping-particle":"","family":"Haft","given":"Daniel","non-dropping-particle":"","parse-names":false,"suffix":""},{"dropping-particle":"","family":"Hatcher","given":"Eneida","non-dropping-particle":"","parse-names":false,"suffix":""},{"dropping-particle":"","family":"Hlavina","given":"Wratko","non-dropping-particle":"","parse-names":false,"suffix":""},{"dropping-particle":"","family":"Joardar","given":"Vinita S.","non-dropping-particle":"","parse-names":false,"suffix":""},{"dropping-particle":"","family":"Kodali","given":"Vamsi K.","non-dropping-particle":"","parse-names":false,"suffix":""},{"dropping-particle":"","family":"Li","given":"Wenjun","non-dropping-particle":"","parse-names":false,"suffix":""},{"dropping-particle":"","family":"Maglott","given":"Donna","non-dropping-particle":"","parse-names":false,"suffix":""},{"dropping-particle":"","family":"Masterson","given":"Patrick","non-dropping-particle":"","parse-names":false,"suffix":""},{"dropping-particle":"","family":"McGarvey","given":"Kelly M.","non-dropping-particle":"","parse-names":false,"suffix":""},{"dropping-particle":"","family":"Murphy","given":"Michael R.","non-dropping-particle":"","parse-names":false,"suffix":""},{"dropping-particle":"","family":"O'Neill","given":"Kathleen","non-dropping-particle":"","parse-names":false,"suffix":""},{"dropping-particle":"","family":"Pujar","given":"Shashikant","non-dropping-particle":"","parse-names":false,"suffix":""},{"dropping-particle":"","family":"Rangwala","given":"Sanjida H.","non-dropping-particle":"","parse-names":false,"suffix":""},{"dropping-particle":"","family":"Rausch","given":"Daniel","non-dropping-particle":"","parse-names":false,"suffix":""},{"dropping-particle":"","family":"Riddick","given":"Lillian D.","non-dropping-particle":"","parse-names":false,"suffix":""},{"dropping-particle":"","family":"Schoch","given":"Conrad","non-dropping-particle":"","parse-names":false,"suffix":""},{"dropping-particle":"","family":"Shkeda","given":"Andrei","non-dropping-particle":"","parse-names":false,"suffix":""},{"dropping-particle":"","family":"Storz","given":"Susan S.","non-dropping-particle":"","parse-names":false,"suffix":""},{"dropping-particle":"","family":"Sun","given":"Hanzhen","non-dropping-particle":"","parse-names":false,"suffix":""},{"dropping-particle":"","family":"Thibaud-Nissen","given":"Francoise","non-dropping-particle":"","parse-names":false,"suffix":""},{"dropping-particle":"","family":"Tolstoy","given":"Igor","non-dropping-particle":"","parse-names":false,"suffix":""},{"dropping-particle":"","family":"Tully","given":"Raymond E.","non-dropping-particle":"","parse-names":false,"suffix":""},{"dropping-particle":"","family":"Vatsan","given":"Anjana R.","non-dropping-particle":"","parse-names":false,"suffix":""},{"dropping-particle":"","family":"Wallin","given":"Craig","non-dropping-particle":"","parse-names":false,"suffix":""},{"dropping-particle":"","family":"Webb","given":"David","non-dropping-particle":"","parse-names":false,"suffix":""},{"dropping-particle":"","family":"Wu","given":"Wendy","non-dropping-particle":"","parse-names":false,"suffix":""},{"dropping-particle":"","family":"Landrum","given":"Melissa J.","non-dropping-particle":"","parse-names":false,"suffix":""},{"dropping-particle":"","family":"Kimchi","given":"Avi","non-dropping-particle":"","parse-names":false,"suffix":""},{"dropping-particle":"","family":"Tatusova","given":"Tatiana","non-dropping-particle":"","parse-names":false,"suffix":""},{"dropping-particle":"","family":"DiCuccio","given":"Michael","non-dropping-particle":"","parse-names":false,"suffix":""},{"dropping-particle":"","family":"Kitts","given":"Paul","non-dropping-particle":"","parse-names":false,"suffix":""},{"dropping-particle":"","family":"Murphy","given":"Terence D.","non-dropping-particle":"","parse-names":false,"suffix":""},{"dropping-particle":"","family":"Pruitt","given":"Kim D.","non-dropping-particle":"","parse-names":false,"suffix":""}],"container-title":"Nucleic Acids Research","id":"ITEM-1","issue":"D1","issued":{"date-parts":[["2016"]]},"page":"D733-D745","title":"Reference sequence (RefSeq) database at NCBI: Current status, taxonomic expansion, and functional annotation","type":"article-journal","volume":"44"},"uris":["http://www.mendeley.com/documents/?uuid=c4e86200-d062-4c96-9740-0945d434249f"]}],"mendeley":{"formattedCitation":"(11)","plainTextFormattedCitation":"(11)","previouslyFormattedCitation":"(11)"},"properties":{"noteIndex":0},"schema":"https://github.com/citation-style-language/schema/raw/master/csl-citation.json"}</w:instrText>
      </w:r>
      <w:r w:rsidRPr="00F23F20">
        <w:rPr>
          <w:rFonts w:ascii="Times New Roman" w:hAnsi="Times New Roman" w:cs="Times New Roman"/>
        </w:rPr>
        <w:fldChar w:fldCharType="separate"/>
      </w:r>
      <w:bookmarkStart w:id="142" w:name="__Fieldmark__5887_2362280495"/>
      <w:bookmarkStart w:id="143" w:name="__Fieldmark__3615_2362280495"/>
      <w:r w:rsidR="004620D1" w:rsidRPr="004620D1">
        <w:rPr>
          <w:rFonts w:ascii="Times New Roman" w:hAnsi="Times New Roman" w:cs="Times New Roman"/>
          <w:noProof/>
        </w:rPr>
        <w:t>(11)</w:t>
      </w:r>
      <w:r w:rsidRPr="00F23F20">
        <w:rPr>
          <w:rFonts w:ascii="Times New Roman" w:hAnsi="Times New Roman" w:cs="Times New Roman"/>
        </w:rPr>
        <w:fldChar w:fldCharType="end"/>
      </w:r>
      <w:bookmarkEnd w:id="142"/>
      <w:bookmarkEnd w:id="143"/>
      <w:r w:rsidRPr="00F23F20">
        <w:rPr>
          <w:rFonts w:ascii="Times New Roman" w:hAnsi="Times New Roman" w:cs="Times New Roman"/>
        </w:rPr>
        <w:t xml:space="preserve">. The limited range in genome size allows for reasonable assumptions about genomes size for prokaryotes. </w:t>
      </w:r>
    </w:p>
    <w:p w14:paraId="15D1A944" w14:textId="2BBA0BE5"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rPr>
        <w:t xml:space="preserve">We wanted to relate our model to actual sequencing experiments. As such, the subsampling analysis on existing short read datasets (individually sampled, assembled, and binned) simulated the effect of creating MAGs from datasets of different sizes and environments. The datasets analyzed here are representative of both the sequencing effort (1 to 10 </w:t>
      </w:r>
      <w:proofErr w:type="spellStart"/>
      <w:r w:rsidRPr="00F23F20">
        <w:rPr>
          <w:rFonts w:ascii="Times New Roman" w:hAnsi="Times New Roman" w:cs="Times New Roman"/>
        </w:rPr>
        <w:t>Gbp</w:t>
      </w:r>
      <w:proofErr w:type="spellEnd"/>
      <w:r w:rsidRPr="00F23F20">
        <w:rPr>
          <w:rFonts w:ascii="Times New Roman" w:hAnsi="Times New Roman" w:cs="Times New Roman"/>
        </w:rPr>
        <w:t xml:space="preserve">) </w:t>
      </w:r>
      <w:r w:rsidRPr="00F23F20">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10.1038/nbt.3935","ISSN":"1087-0156","PMID":"28898207","author":[{"dropping-particle":"","family":"Quince","given":"Christopher","non-dropping-particle":"","parse-names":false,"suffix":""},{"dropping-particle":"","family":"Walker","given":"Alan W","non-dropping-particle":"","parse-names":false,"suffix":""},{"dropping-particle":"","family":"Simpson","given":"Jared T","non-dropping-particle":"","parse-names":false,"suffix":""},{"dropping-particle":"","family":"Loman","given":"Nicholas J","non-dropping-particle":"","parse-names":false,"suffix":""},{"dropping-particle":"","family":"Segata","given":"Nicola","non-dropping-particle":"","parse-names":false,"suffix":""}],"container-title":"Nature Biotechnology","id":"ITEM-1","issue":"9","issued":{"date-parts":[["2017"]]},"page":"833-844","title":"Shotgun metagenomics, from sampling to analysis","type":"article-journal","volume":"35"},"uris":["http://www.mendeley.com/documents/?uuid=78aad938-6674-4359-8f6a-c29e9c8a01c5"]}],"mendeley":{"formattedCitation":"(13)","plainTextFormattedCitation":"(13)","previouslyFormattedCitation":"(13)"},"properties":{"noteIndex":0},"schema":"https://github.com/citation-style-language/schema/raw/master/csl-citation.json"}</w:instrText>
      </w:r>
      <w:r w:rsidRPr="00F23F20">
        <w:rPr>
          <w:rFonts w:ascii="Times New Roman" w:hAnsi="Times New Roman" w:cs="Times New Roman"/>
        </w:rPr>
        <w:fldChar w:fldCharType="separate"/>
      </w:r>
      <w:bookmarkStart w:id="144" w:name="__Fieldmark__5896_2362280495"/>
      <w:bookmarkStart w:id="145" w:name="__Fieldmark__3632_2362280495"/>
      <w:r w:rsidR="004620D1" w:rsidRPr="004620D1">
        <w:rPr>
          <w:rFonts w:ascii="Times New Roman" w:hAnsi="Times New Roman" w:cs="Times New Roman"/>
          <w:noProof/>
        </w:rPr>
        <w:t>(13)</w:t>
      </w:r>
      <w:r w:rsidRPr="00F23F20">
        <w:rPr>
          <w:rFonts w:ascii="Times New Roman" w:hAnsi="Times New Roman" w:cs="Times New Roman"/>
        </w:rPr>
        <w:fldChar w:fldCharType="end"/>
      </w:r>
      <w:bookmarkEnd w:id="144"/>
      <w:bookmarkEnd w:id="145"/>
      <w:r w:rsidRPr="00F23F20">
        <w:rPr>
          <w:rFonts w:ascii="Times New Roman" w:hAnsi="Times New Roman" w:cs="Times New Roman"/>
        </w:rPr>
        <w:t xml:space="preserve"> and the types of target environments that bacterial and archaeal ecologists often investigate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{"citationItems":[{"id":"ITEM-1","itemData":{"DOI":"10.1007/s10142-015-0433-4","ISBN":"1014201504334","ISSN":"1438-793X","PMID":"25722247","abstract":"Since the first two complete bacterial genome sequences were published in 1995, the science of bacteria has dramatically changed. Using third-generation DNA sequencing, it is possible to completely sequence a bacterial genome in a few hours and identify some types of methylation sites along the genome as well. Sequencing of bacterial genome sequences is now a standard procedure, and the information from tens of thousands of bacterial genomes has had a major impact on our views of the bacterial world. In this review, we explore a series of questions to highlight some insights that comparative genomics has produced. To date, there are genome sequences available from 50 different bacterial phyla and 11 different archaeal phyla. However, the distribution is quite skewed towards a few phyla that contain model organisms. But the breadth is continuing to improve, with projects dedicated to filling in less characterized taxonomic groups. The clustered regularly interspaced short palindromic repeats (CRISPR)-Cas system provides bacteria with immunity against viruses, which outnumber bacteria by tenfold. How fast can we go? Second-generation sequencing has produced a large number of draft genomes (close to 90 % of bacterial genomes in GenBank are currently not complete); third-generation sequencing can potentially produce a finished genome in a few hours, and at the same time provide methlylation sites along the entire chromosome. The diversity of bacterial communities is extensive as is evident from the genome sequences available from 50 different bacterial phyla and 11 different archaeal phyla. Genome sequencing can help in classifying an organism, and in the case where multiple genomes of the same species are available, it is possible to calculate the pan- and core genomes; comparison of more than 2000 Escherichia coli genomes finds an E. coli core genome of about 3100 gene families and a total of about 89,000 different gene families. Why do we care about bacterial genome sequencing? There are many practical applications, such as genome-scale metabolic modeling, biosurveillance, bioforensics, and infectious disease epidemiology. In the near future, high-throughput sequencing of patient metagenomic samples could revolutionize medicine in terms of speed and accuracy of finding pathogens and knowing how to treat them.","author":[{"dropping-particle":"","family":"Land","given":"Miriam","non-dropping-particle":"","parse-names":false,"suffix":""},{"dropping-particle":"","family":"Hauser","given":"Loren","non-dropping-particle":"","parse-names":false,"suffix":""},{"dropping-particle":"","family":"Jun","given":"Se-Ran","non-dropping-particle":"","parse-names":false,"suffix":""},{"dropping-particle":"","family":"Nookaew","given":"Intawat","non-dropping-particle":"","parse-names":false,"suffix":""},{"dropping-particle":"","family":"Leuze","given":"Michael R.","non-dropping-particle":"","parse-names":false,"suffix":""},{"dropping-particle":"","family":"Ahn","given":"Tae-Hyuk","non-dropping-particle":"","parse-names":false,"suffix":""},{"dropping-particle":"","family":"Karpinets","given":"Tatiana","non-dropping-particle":"","parse-names":false,"suffix":""},{"dropping-particle":"","family":"Lund","given":"Ole","non-dropping-particle":"","parse-names":false,"suffix":""},{"dropping-particle":"","family":"Kora","given":"Guruprased","non-dropping-particle":"","parse-names":false,"suffix":""},{"dropping-particle":"","family":"Wassenaar","given":"Trudy","non-dropping-particle":"","parse-names":false,"suffix":""},{"dropping-particle":"","family":"Poudel","given":"Suresh","non-dropping-particle":"","parse-names":false,"suffix":""},{"dropping-particle":"","family":"Ussery","given":"David W.","non-dropping-particle":"","parse-names":false,"suffix":""}],"container-title":"Functional &amp; Integrative Genomics","id":"ITEM-1","issue":"2","issued":{"date-parts":[["2015"]]},"page":"141-161","title":"Insights from 20 years of bacterial genome sequencing","type":"article-journal","volume":"15"},"uris":["http://www.mendeley.com/documents/?uuid=8fcac885-0061-454d-99cc-2bc79c38ea9a"]}],"mendeley":{"formattedCitation":"(57)","plainTextFormattedCitation":"(57)","previouslyFormattedCitation":"(56)"},"properties":{"noteIndex":0},"schema":"https://github.com/citation-style-language/schema/raw/master/csl-citation.json"}</w:instrText>
      </w:r>
      <w:r w:rsidRPr="00F23F20">
        <w:rPr>
          <w:rFonts w:ascii="Times New Roman" w:hAnsi="Times New Roman" w:cs="Times New Roman"/>
        </w:rPr>
        <w:fldChar w:fldCharType="separate"/>
      </w:r>
      <w:bookmarkStart w:id="146" w:name="__Fieldmark__5903_2362280495"/>
      <w:bookmarkStart w:id="147" w:name="__Fieldmark__3640_2362280495"/>
      <w:r w:rsidR="00307058" w:rsidRPr="00307058">
        <w:rPr>
          <w:rFonts w:ascii="Times New Roman" w:hAnsi="Times New Roman" w:cs="Times New Roman"/>
          <w:noProof/>
        </w:rPr>
        <w:t>(57)</w:t>
      </w:r>
      <w:r w:rsidRPr="00F23F20">
        <w:rPr>
          <w:rFonts w:ascii="Times New Roman" w:hAnsi="Times New Roman" w:cs="Times New Roman"/>
        </w:rPr>
        <w:fldChar w:fldCharType="end"/>
      </w:r>
      <w:bookmarkEnd w:id="146"/>
      <w:bookmarkEnd w:id="147"/>
      <w:r w:rsidRPr="00F23F20">
        <w:rPr>
          <w:rFonts w:ascii="Times New Roman" w:hAnsi="Times New Roman" w:cs="Times New Roman"/>
        </w:rPr>
        <w:t xml:space="preserve">. We want to emphasize that the datasets analyzed here do not necessarily reflect all the variability in characteristics of their parent communities (i.e., these do not reflect global/temporal variations of these environments). Furthermore, </w:t>
      </w:r>
      <w:r w:rsidRPr="00F23F20">
        <w:rPr>
          <w:rFonts w:ascii="Times New Roman" w:hAnsi="Times New Roman" w:cs="Times New Roman"/>
        </w:rPr>
        <w:lastRenderedPageBreak/>
        <w:t xml:space="preserve">a wide variety of software packages are available for all steps of MAG creation pipelines, and the quantity/quality of MAGs will depend on software selection, software configuration, and sequenced environment (Figure 2.1) </w:t>
      </w:r>
      <w:r w:rsidRPr="00F23F20">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10.1038/nbt.3935","ISSN":"1087-0156","PMID":"28898207","author":[{"dropping-particle":"","family":"Quince","given":"Christopher","non-dropping-particle":"","parse-names":false,"suffix":""},{"dropping-particle":"","family":"Walker","given":"Alan W","non-dropping-particle":"","parse-names":false,"suffix":""},{"dropping-particle":"","family":"Simpson","given":"Jared T","non-dropping-particle":"","parse-names":false,"suffix":""},{"dropping-particle":"","family":"Loman","given":"Nicholas J","non-dropping-particle":"","parse-names":false,"suffix":""},{"dropping-particle":"","family":"Segata","given":"Nicola","non-dropping-particle":"","parse-names":false,"suffix":""}],"container-title":"Nature Biotechnology","id":"ITEM-1","issue":"9","issued":{"date-parts":[["2017"]]},"page":"833-844","title":"Shotgun metagenomics, from sampling to analysis","type":"article-journal","volume":"35"},"uris":["http://www.mendeley.com/documents/?uuid=78aad938-6674-4359-8f6a-c29e9c8a01c5"]}],"mendeley":{"formattedCitation":"(13)","plainTextFormattedCitation":"(13)","previouslyFormattedCitation":"(13)"},"properties":{"noteIndex":0},"schema":"https://github.com/citation-style-language/schema/raw/master/csl-citation.json"}</w:instrText>
      </w:r>
      <w:r w:rsidRPr="00F23F20">
        <w:rPr>
          <w:rFonts w:ascii="Times New Roman" w:hAnsi="Times New Roman" w:cs="Times New Roman"/>
        </w:rPr>
        <w:fldChar w:fldCharType="separate"/>
      </w:r>
      <w:bookmarkStart w:id="148" w:name="__Fieldmark__5910_2362280495"/>
      <w:bookmarkStart w:id="149" w:name="__Fieldmark__3656_2362280495"/>
      <w:r w:rsidR="004620D1" w:rsidRPr="004620D1">
        <w:rPr>
          <w:rFonts w:ascii="Times New Roman" w:hAnsi="Times New Roman" w:cs="Times New Roman"/>
          <w:noProof/>
        </w:rPr>
        <w:t>(13)</w:t>
      </w:r>
      <w:r w:rsidRPr="00F23F20">
        <w:rPr>
          <w:rFonts w:ascii="Times New Roman" w:hAnsi="Times New Roman" w:cs="Times New Roman"/>
        </w:rPr>
        <w:fldChar w:fldCharType="end"/>
      </w:r>
      <w:bookmarkEnd w:id="148"/>
      <w:bookmarkEnd w:id="149"/>
      <w:r w:rsidRPr="00F23F20">
        <w:rPr>
          <w:rFonts w:ascii="Times New Roman" w:hAnsi="Times New Roman" w:cs="Times New Roman"/>
        </w:rPr>
        <w:t xml:space="preserve">. It is best-practice to manually curate algorithmically-created MAG bins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{"citationItems":[{"id":"ITEM-1","itemData":{"DOI":"10.1038/nbt.3893","ISBN":"1546-1696 (Electronic) 1087-0156 (Linking)","ISSN":"15461696","PMID":"28787424","abstract":"Standards for sequencing the microbial 'uncultivated majority', namely bacterial and archaeal single-cell genome sequences, and genome sequences from metagenomic datasets, are proposed.","author":[{"dropping-particle":"","family":"Bowers","given":"Robert M.","non-dropping-particle":"","parse-names":false,"suffix":""},{"dropping-particle":"","family":"Kyrpides","given":"Nikos C.","non-dropping-particle":"","parse-names":false,"suffix":""},{"dropping-particle":"","family":"Stepanauskas","given":"Ramunas","non-dropping-particle":"","parse-names":false,"suffix":""},{"dropping-particle":"","family":"Harmon-Smith","given":"Miranda","non-dropping-particle":"","parse-names":false,"suffix":""},{"dropping-particle":"","family":"Doud","given":"Devin","non-dropping-particle":"","parse-names":false,"suffix":""},{"dropping-particle":"","family":"Reddy","given":"T. B.K.","non-dropping-particle":"","parse-names":false,"suffix":""},{"dropping-particle":"","family":"Schulz","given":"Frederik","non-dropping-particle":"","parse-names":false,"suffix":""},{"dropping-particle":"","family":"Jarett","given":"Jessica","non-dropping-particle":"","parse-names":false,"suffix":""},{"dropping-particle":"","family":"Rivers","given":"Adam R.","non-dropping-particle":"","parse-names":false,"suffix":""},{"dropping-particle":"","family":"Eloe-Fadrosh","given":"Emiley A.","non-dropping-particle":"","parse-names":false,"suffix":""},{"dropping-particle":"","family":"Tringe","given":"Susannah G.","non-dropping-particle":"","parse-names":false,"suffix":""},{"dropping-particle":"","family":"Ivanova","given":"Natalia N.","non-dropping-particle":"","parse-names":false,"suffix":""},{"dropping-particle":"","family":"Copeland","given":"Alex","non-dropping-particle":"","parse-names":false,"suffix":""},{"dropping-particle":"","family":"Clum","given":"Alicia","non-dropping-particle":"","parse-names":false,"suffix":""},{"dropping-particle":"","family":"Becraft","given":"Eric D.","non-dropping-particle":"","parse-names":false,"suffix":""},{"dropping-particle":"","family":"Malmstrom","given":"Rex R.","non-dropping-particle":"","parse-names":false,"suffix":""},{"dropping-particle":"","family":"Birren","given":"Bruce","non-dropping-particle":"","parse-names":false,"suffix":""},{"dropping-particle":"","family":"Podar","given":"Mircea","non-dropping-particle":"","parse-names":false,"suffix":""},{"dropping-particle":"","family":"Bork","given":"Peer","non-dropping-particle":"","parse-names":false,"suffix":""},{"dropping-particle":"","family":"Weinstock","given":"George M.","non-dropping-particle":"","parse-names":false,"suffix":""},{"dropping-particle":"","family":"Garrity","given":"George M.","non-dropping-particle":"","parse-names":false,"suffix":""},{"dropping-particle":"","family":"Dodsworth","given":"Jeremy A.","non-dropping-particle":"","parse-names":false,"suffix":""},{"dropping-particle":"","family":"Yooseph","given":"Shibu","non-dropping-particle":"","parse-names":false,"suffix":""},{"dropping-particle":"","family":"Sutton","given":"Granger","non-dropping-particle":"","parse-names":false,"suffix":""},{"dropping-particle":"","family":"Glöckner","given":"Frank O.","non-dropping-particle":"","parse-names":false,"suffix":""},{"dropping-particle":"","family":"Gilbert","given":"Jack A.","non-dropping-particle":"","parse-names":false,"suffix":""},{"dropping-particle":"","family":"Nelson","given":"William C.","non-dropping-particle":"","parse-names":false,"suffix":""},{"dropping-particle":"","family":"Hallam","given":"Steven J.","non-dropping-particle":"","parse-names":false,"suffix":""},{"dropping-particle":"","family":"Jungbluth","given":"Sean P.","non-dropping-particle":"","parse-names":false,"suffix":""},{"dropping-particle":"","family":"Ettema","given":"Thijs J.G.","non-dropping-particle":"","parse-names":false,"suffix":""},{"dropping-particle":"","family":"Tighe","given":"Scott","non-dropping-particle":"","parse-names":false,"suffix":""},{"dropping-particle":"","family":"Konstantinidis","given":"Konstantinos T.","non-dropping-particle":"","parse-names":false,"suffix":""},{"dropping-particle":"","family":"Liu","given":"Wen Tso","non-dropping-particle":"","parse-names":false,"suffix":""},{"dropping-particle":"","family":"Baker","given":"Brett J.","non-dropping-particle":"","parse-names":false,"suffix":""},{"dropping-particle":"","family":"Rattei","given":"Thomas","non-dropping-particle":"","parse-names":false,"suffix":""},{"dropping-particle":"","family":"Eisen","given":"Jonathan A.","non-dropping-particle":"","parse-names":false,"suffix":""},{"dropping-particle":"","family":"Hedlund","given":"Brian","non-dropping-particle":"","parse-names":false,"suffix":""},{"dropping-particle":"","family":"McMahon","given":"Katherine D.","non-dropping-particle":"","parse-names":false,"suffix":""},{"dropping-particle":"","family":"Fierer","given":"Noah","non-dropping-particle":"","parse-names":false,"suffix":""},{"dropping-particle":"","family":"Knight","given":"Rob","non-dropping-particle":"","parse-names":false,"suffix":""},{"dropping-particle":"","family":"Finn","given":"Rob","non-dropping-particle":"","parse-names":false,"suffix":""},{"dropping-particle":"","family":"Cochrane","given":"Guy","non-dropping-particle":"","parse-names":false,"suffix":""},{"dropping-particle":"","family":"Karsch-Mizrachi","given":"Ilene","non-dropping-particle":"","parse-names":false,"suffix":""},{"dropping-particle":"","family":"Tyson","given":"Gene W.","non-dropping-particle":"","parse-names":false,"suffix":""},{"dropping-particle":"","family":"Rinke","given":"Christian","non-dropping-particle":"","parse-names":false,"suffix":""},{"dropping-particle":"","family":"Lapidus","given":"Alla","non-dropping-particle":"","parse-names":false,"suffix":""},{"dropping-particle":"","family":"Meyer","given":"Folker","non-dropping-particle":"","parse-names":false,"suffix":""},{"dropping-particle":"","family":"Yilmaz","given":"Pelin","non-dropping-particle":"","parse-names":false,"suffix":""},{"dropping-particle":"","family":"Parks","given":"Donovan H.","non-dropping-particle":"","parse-names":false,"suffix":""},{"dropping-particle":"","family":"Eren","given":"A. M.","non-dropping-particle":"","parse-names":false,"suffix":""},{"dropping-particle":"","family":"Schriml","given":"Lynn","non-dropping-particle":"","parse-names":false,"suffix":""},{"dropping-particle":"","family":"Banfield","given":"Jillian F.","non-dropping-particle":"","parse-names":false,"suffix":""},{"dropping-particle":"","family":"Hugenholtz","given":"Philip","non-dropping-particle":"","parse-names":false,"suffix":""},{"dropping-particle":"","family":"Woyke","given":"Tanja","non-dropping-particle":"","parse-names":false,"suffix":""}],"container-title":"Nature Biotechnology","id":"ITEM-1","issue":"8","issued":{"date-parts":[["2017"]]},"page":"725-731","title":"Minimum information about a single amplified genome (MISAG) and a metagenome-assembled genome (MIMAG) of bacteria and archaea","type":"article-journal","volume":"35"},"uris":["http://www.mendeley.com/documents/?uuid=d14f1979-778d-4948-9d77-ce685fb2850e"]}],"mendeley":{"formattedCitation":"(58)","plainTextFormattedCitation":"(58)","previouslyFormattedCitation":"(57)"},"properties":{"noteIndex":0},"schema":"https://github.com/citation-style-language/schema/raw/master/csl-citation.json"}</w:instrText>
      </w:r>
      <w:r w:rsidRPr="00F23F20">
        <w:rPr>
          <w:rFonts w:ascii="Times New Roman" w:hAnsi="Times New Roman" w:cs="Times New Roman"/>
        </w:rPr>
        <w:fldChar w:fldCharType="separate"/>
      </w:r>
      <w:bookmarkStart w:id="150" w:name="__Fieldmark__5917_2362280495"/>
      <w:bookmarkStart w:id="151" w:name="__Fieldmark__3663_2362280495"/>
      <w:r w:rsidR="00307058" w:rsidRPr="00307058">
        <w:rPr>
          <w:rFonts w:ascii="Times New Roman" w:hAnsi="Times New Roman" w:cs="Times New Roman"/>
          <w:noProof/>
        </w:rPr>
        <w:t>(58)</w:t>
      </w:r>
      <w:r w:rsidRPr="00F23F20">
        <w:rPr>
          <w:rFonts w:ascii="Times New Roman" w:hAnsi="Times New Roman" w:cs="Times New Roman"/>
        </w:rPr>
        <w:fldChar w:fldCharType="end"/>
      </w:r>
      <w:bookmarkEnd w:id="150"/>
      <w:bookmarkEnd w:id="151"/>
      <w:r w:rsidRPr="00F23F20">
        <w:rPr>
          <w:rFonts w:ascii="Times New Roman" w:hAnsi="Times New Roman" w:cs="Times New Roman"/>
        </w:rPr>
        <w:t>. Due to the large number of metagenomes which were assembled in this work (</w:t>
      </w:r>
      <w:r w:rsidRPr="00F23F20">
        <w:rPr>
          <w:rFonts w:ascii="Times New Roman" w:hAnsi="Times New Roman" w:cs="Times New Roman"/>
          <w:i/>
          <w:iCs/>
        </w:rPr>
        <w:t>n</w:t>
      </w:r>
      <w:r w:rsidRPr="00F23F20">
        <w:rPr>
          <w:rFonts w:ascii="Times New Roman" w:hAnsi="Times New Roman" w:cs="Times New Roman"/>
        </w:rPr>
        <w:t>=108), manual curation was an impractical approach. As with most sequencing experiments, viral/</w:t>
      </w:r>
      <w:proofErr w:type="spellStart"/>
      <w:r w:rsidRPr="00F23F20">
        <w:rPr>
          <w:rFonts w:ascii="Times New Roman" w:hAnsi="Times New Roman" w:cs="Times New Roman"/>
        </w:rPr>
        <w:t>eukarotyic</w:t>
      </w:r>
      <w:proofErr w:type="spellEnd"/>
      <w:r w:rsidRPr="00F23F20">
        <w:rPr>
          <w:rFonts w:ascii="Times New Roman" w:hAnsi="Times New Roman" w:cs="Times New Roman"/>
        </w:rPr>
        <w:t xml:space="preserve"> DNA are likely included during assembly and binning. Thus, we do not argue that the pipeline used here is objectively optimal for generating high-quality (high completeness and low contamination) MAGs. Rather, our pipeline was configured to minimize contamination (MAGs with &lt;10%) associated with retrieved MAGs at the expense of reduced</w:t>
      </w:r>
      <w:r w:rsidRPr="00F23F20">
        <w:rPr>
          <w:rFonts w:ascii="Times New Roman" w:hAnsi="Times New Roman" w:cs="Times New Roman"/>
          <w:b/>
          <w:i/>
        </w:rPr>
        <w:t xml:space="preserve"> </w:t>
      </w:r>
      <w:r w:rsidRPr="00F23F20">
        <w:rPr>
          <w:rFonts w:ascii="Times New Roman" w:hAnsi="Times New Roman" w:cs="Times New Roman"/>
        </w:rPr>
        <w:t>completeness. For this reason, we reported the number of quality MAGs (medium and high-quality MAGs) rather than the actual number of MAGs. R</w:t>
      </w:r>
      <w:r w:rsidRPr="00F23F20">
        <w:rPr>
          <w:rFonts w:ascii="Times New Roman" w:hAnsi="Times New Roman" w:cs="Times New Roman"/>
          <w:shd w:val="clear" w:color="auto" w:fill="FFFFFF"/>
        </w:rPr>
        <w:t>eporting quality MAGs reduces bias associated with the generalized approach used with the binning software.</w:t>
      </w:r>
      <w:r w:rsidRPr="00F23F20">
        <w:rPr>
          <w:rFonts w:ascii="Times New Roman" w:hAnsi="Times New Roman" w:cs="Times New Roman"/>
        </w:rPr>
        <w:t xml:space="preserve"> As such, we interpret the datasets analyzed here as reflecting general community properties (richness, abundances, and phylogeny) which are generally known to be different from one another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{"citationItems":[{"id":"ITEM-1","itemData":{"DOI":"10.1371/journal.pbio.1001177","ISBN":"1545-7885 (Electronic)\\r1544-9173 (Linking)","ISSN":"15449173","PMID":"22028628","abstract":"The structure, robustness, and dynamics of ocean plankton ecosystems remain poorly understood due to sampling, analysis, and computational limitations. The Tara Oceans consortium organizes expeditions to help fill this gap at the global level.","author":[{"dropping-particle":"","family":"Karsenti","given":"Eric","non-dropping-particle":"","parse-names":false,"suffix":""},{"dropping-particle":"","family":"Acinas","given":"Silvia G.","non-dropping-particle":"","parse-names":false,"suffix":""},{"dropping-particle":"","family":"Bork","given":"Peer","non-dropping-particle":"","parse-names":false,"suffix":""},{"dropping-particle":"","family":"Bowler","given":"Chris","non-dropping-particle":"","parse-names":false,"suffix":""},{"dropping-particle":"","family":"Vargas","given":"Colomban","non-dropping-particle":"de","parse-names":false,"suffix":""},{"dropping-particle":"","family":"Raes","given":"Jeroen","non-dropping-particle":"","parse-names":false,"suffix":""},{"dropping-particle":"","family":"Sullivan","given":"Matthew","non-dropping-particle":"","parse-names":false,"suffix":""},{"dropping-particle":"","family":"Arendt","given":"Detlev","non-dropping-particle":"","parse-names":false,"suffix":""},{"dropping-particle":"","family":"Benzoni","given":"Francesca","non-dropping-particle":"","parse-names":false,"suffix":""},{"dropping-particle":"","family":"Claverie","given":"Jean Michel","non-dropping-particle":"","parse-names":false,"suffix":""},{"dropping-particle":"","family":"Follows","given":"Mick","non-dropping-particle":"","parse-names":false,"suffix":""},{"dropping-particle":"","family":"Gorsky","given":"Gaby","non-dropping-particle":"","parse-names":false,"suffix":""},{"dropping-particle":"","family":"Hingamp","given":"Pascal","non-dropping-particle":"","parse-names":false,"suffix":""},{"dropping-particle":"","family":"Iudicone","given":"Daniele","non-dropping-particle":"","parse-names":false,"suffix":""},{"dropping-particle":"","family":"Jaillon","given":"Olivier","non-dropping-particle":"","parse-names":false,"suffix":""},{"dropping-particle":"","family":"Kandels-Lewis","given":"Stefanie","non-dropping-particle":"","parse-names":false,"suffix":""},{"dropping-particle":"","family":"Krzic","given":"Uros","non-dropping-particle":"","parse-names":false,"suffix":""},{"dropping-particle":"","family":"Not","given":"Fabrice","non-dropping-particle":"","parse-names":false,"suffix":""},{"dropping-particle":"","family":"Ogata","given":"Hiroyuki","non-dropping-particle":"","parse-names":false,"suffix":""},{"dropping-particle":"","family":"Pesant","given":"Stéphane","non-dropping-particle":"","parse-names":false,"suffix":""},{"dropping-particle":"","family":"Reynaud","given":"Emmanuel Georges","non-dropping-particle":"","parse-names":false,"suffix":""},{"dropping-particle":"","family":"Sardet","given":"Christian","non-dropping-particle":"","parse-names":false,"suffix":""},{"dropping-particle":"","family":"Sieracki","given":"Michael E.","non-dropping-particle":"","parse-names":false,"suffix":""},{"dropping-particle":"","family":"Speich","given":"Sabrina","non-dropping-particle":"","parse-names":false,"suffix":""},{"dropping-particle":"","family":"Velayoudon","given":"Didier","non-dropping-particle":"","parse-names":false,"suffix":""},{"dropping-particle":"","family":"Weissenbach","given":"Jean","non-dropping-particle":"","parse-names":false,"suffix":""},{"dropping-particle":"","family":"Wincker","given":"Patrick","non-dropping-particle":"","parse-names":false,"suffix":""}],"container-title":"PLoS Biology","id":"ITEM-1","issue":"10","issued":{"date-parts":[["2011"]]},"page":"7-11","title":"A holistic approach to marine Eco-systems biology","type":"article-journal","volume":"9"},"uris":["http://www.mendeley.com/documents/?uuid=3e1872e6-871b-46bd-9835-98e67e0057ba"]},{"id":"ITEM-2","itemData":{"DOI":"doi: 10.1073/pnas.1402564111","ISBN":"1317350111","ISSN":"0027-8424","PMID":"24453217","abstract":"Chronic neurohormonal and mechanical stresses are central features of heart disease. Increasing evidence supports a role for the transient receptor potential canonical channels TRPC3 and TRPC6 in this pathophysiology. Channel expression for both is normally very low but is increased by cardiac disease, and genetic gain- or loss-of-function studies support contributions to hypertrophy and dysfunction. Selective small-molecule inhibitors remain scarce, and none target both channels, which may be useful given the high homology among them and evidence of redundant signaling. Here we tested selective TRPC3/6 antagonists (GSK2332255B and GSK2833503A; IC50, 3-21 nM against TRPC3 and TRPC6) and found dose-dependent blockade of cell hypertrophy signaling triggered by angiotensin II or endothelin-1 in HEK293T cells as well as in neonatal and adult cardiac myocytes. In vivo efficacy in mice and rats was greatly limited by rapid metabolism and high protein binding, although antifibrotic effects with pressure overload were observed. Intriguingly, although gene deletion of TRPC3 or TRPC6 alone did not protect against hypertrophy or dysfunction from pressure overload, combined deletion was protective, supporting the value of dual inhibition. Further development of this pharmaceutical class may yield a useful therapeutic agent for heart disease management.","author":[{"dropping-particle":"","family":"Howe","given":"Adina Chuang","non-dropping-particle":"","parse-names":false,"suffix":""},{"dropping-particle":"","family":"Jansson","given":"Janet K.","non-dropping-particle":"","parse-names":false,"suffix":""},{"dropping-particle":"","family":"Malfatti","given":"Stephanie A.","non-dropping-particle":"","parse-names":false,"suffix":""},{"dropping-particle":"","family":"Tringe","given":"Susannah G.","non-dropping-particle":"","parse-names":false,"suffix":""},{"dropping-particle":"","family":"Tiedje","given":"James M.","non-dropping-particle":"","parse-names":false,"suffix":""},{"dropping-particle":"","family":"Brown","given":"C. Titus","non-dropping-particle":"","parse-names":false,"suffix":""}],"container-title":"Proceedings of the National Academy of Sciences","id":"ITEM-2","issue":"13","issued":{"date-parts":[["2014"]]},"page":"4904-4909","title":"Tackling soil diversity with the assembly of large, complex metagenomes","type":"article-journal","volume":"111"},"uris":["http://www.mendeley.com/documents/?uuid=2381e60c-463e-4e67-a16d-31c5b09e7196"]},{"id":"ITEM-3","itemData":{"DOI":"10.1016/j.cell.2016.10.020","ISBN":"1097-4172 (Electronic)\\r0092-8674 (Linking)","ISSN":"10974172","PMID":"27814509","abstract":"Gut microbial dysbioses are linked to aberrant immune responses, which are often accompanied by abnormal production of inflammatory cytokines. As part of the Human Functional Genomics Project (HFGP), we investigate how differences in composition and function of gut microbial communities may contribute to inter-individual variation in cytokine responses to microbial stimulations in healthy humans. We observe microbiome-cytokine interaction patterns that are stimulus specific, cytokine specific, and cytokine and stimulus specific. Validation of two predicted host-microbial interactions reveal that TNFα and IFNγ production are associated with specific microbial metabolic pathways: palmitoleic acid metabolism and tryptophan degradation to tryptophol. Besides providing a resource of predicted microbially derived mediators that influence immune phenotypes in response to common microorganisms, these data can help to define principles for understanding disease susceptibility. The three HFGP studies presented in this issue lay the groundwork for further studies aimed at understanding the interplay between microbial, genetic, and environmental factors in the regulation of the immune response in humans. PaperClip","author":[{"dropping-particle":"","family":"Schirmer","given":"Melanie","non-dropping-particle":"","parse-names":false,"suffix":""},{"dropping-particle":"","family":"Smeekens","given":"Sanne P.","non-dropping-particle":"","parse-names":false,"suffix":""},{"dropping-particle":"","family":"Vlamakis","given":"Hera","non-dropping-particle":"","parse-names":false,"suffix":""},{"dropping-particle":"","family":"Jaeger","given":"Martin","non-dropping-particle":"","parse-names":false,"suffix":""},{"dropping-particle":"","family":"Oosting","given":"Marije","non-dropping-particle":"","parse-names":false,"suffix":""},{"dropping-particle":"","family":"Franzosa","given":"Eric A.","non-dropping-particle":"","parse-names":false,"suffix":""},{"dropping-particle":"","family":"Jansen","given":"Trees","non-dropping-particle":"","parse-names":false,"suffix":""},{"dropping-particle":"","family":"Jacobs","given":"Liesbeth","non-dropping-particle":"","parse-names":false,"suffix":""},{"dropping-particle":"","family":"Bonder","given":"Marc Jan","non-dropping-particle":"","parse-names":false,"suffix":""},{"dropping-particle":"","family":"Kurilshikov","given":"Alexander","non-dropping-particle":"","parse-names":false,"suffix":""},{"dropping-particle":"","family":"Fu","given":"Jingyuan","non-dropping-particle":"","parse-names":false,"suffix":""},{"dropping-particle":"","family":"Joosten","given":"Leo A.B.","non-dropping-particle":"","parse-names":false,"suffix":""},{"dropping-particle":"","family":"Zhernakova","given":"Alexandra","non-dropping-particle":"","parse-names":false,"suffix":""},{"dropping-particle":"","family":"Huttenhower","given":"Curtis","non-dropping-particle":"","parse-names":false,"suffix":""},{"dropping-particle":"","family":"Wijmenga","given":"Cisca","non-dropping-particle":"","parse-names":false,"suffix":""},{"dropping-particle":"","family":"Netea","given":"Mihai G.","non-dropping-particle":"","parse-names":false,"suffix":""},{"dropping-particle":"","family":"Xavier","given":"Ramnik J.","non-dropping-particle":"","parse-names":false,"suffix":""}],"container-title":"Cell","id":"ITEM-3","issue":"4","issued":{"date-parts":[["2016"]]},"page":"1125-1136.e8","publisher":"Elsevier Inc.","title":"Linking the Human Gut Microbiome to Inflammatory Cytokine Production Capacity","type":"article-journal","volume":"167"},"uris":["http://www.mendeley.com/documents/?uuid=c8fca7f4-9b28-4515-a263-becbe49b970e"]},{"id":"ITEM-4","itemData":{"DOI":"10.1186/s40168-015-0077-6","ISSN":"2049-2618","abstract":"Estuaries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J","non-dropping-particle":"","parse-names":false,"suffix":""}],"container-title":"Microbiome","id":"ITEM-4","issue":"1","issued":{"date-parts":[["2015","12","13"]]},"page":"14","publisher":"BioMed Central","title":"Genomic resolution of linkages in carbon, nitrogen, and sulfur cycling among widespread estuary sediment bacteria","type":"article-journal","volume":"3"},"uris":["http://www.mendeley.com/documents/?uuid=9a188f01-0081-3e79-a3ab-79086163d314"]}],"mendeley":{"formattedCitation":"(8, 59–61)","plainTextFormattedCitation":"(8, 59–61)","previouslyFormattedCitation":"(8, 58–60)"},"properties":{"noteIndex":0},"schema":"https://github.com/citation-style-language/schema/raw/master/csl-citation.json"}</w:instrText>
      </w:r>
      <w:r w:rsidRPr="00F23F20">
        <w:rPr>
          <w:rFonts w:ascii="Times New Roman" w:hAnsi="Times New Roman" w:cs="Times New Roman"/>
        </w:rPr>
        <w:fldChar w:fldCharType="separate"/>
      </w:r>
      <w:bookmarkStart w:id="152" w:name="__Fieldmark__5930_2362280495"/>
      <w:bookmarkStart w:id="153" w:name="__Fieldmark__3696_2362280495"/>
      <w:r w:rsidR="00307058" w:rsidRPr="00307058">
        <w:rPr>
          <w:rFonts w:ascii="Times New Roman" w:hAnsi="Times New Roman" w:cs="Times New Roman"/>
          <w:noProof/>
        </w:rPr>
        <w:t>(8, 59–61)</w:t>
      </w:r>
      <w:r w:rsidRPr="00F23F20">
        <w:rPr>
          <w:rFonts w:ascii="Times New Roman" w:hAnsi="Times New Roman" w:cs="Times New Roman"/>
        </w:rPr>
        <w:fldChar w:fldCharType="end"/>
      </w:r>
      <w:bookmarkEnd w:id="152"/>
      <w:bookmarkEnd w:id="153"/>
      <w:r w:rsidRPr="00F23F20">
        <w:rPr>
          <w:rFonts w:ascii="Times New Roman" w:hAnsi="Times New Roman" w:cs="Times New Roman"/>
        </w:rPr>
        <w:t>.</w:t>
      </w:r>
    </w:p>
    <w:p w14:paraId="27574E33" w14:textId="0B050B5B"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All communities demonstrated similar responses to rarefaction. All subsampled depths were performed in triplicate to account for possible variation in assembly and binning. As sequencing effort increased, there was an initial lag in quality MAGs followed by a rapid increase in quality MAGs, and then diminishing returns at higher sequencing efforts. Previous investigators modeled the response of 16S RNA gene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{"citationItems":[{"id":"ITEM-1","itemData":{"DOI":"10.1038/ismej.2007.53","ISBN":"1751-7362","ISSN":"17517362","PMID":"18043639","abstract":"Estimates of the number of species of bacteria per gram of soil vary between 2000 and 8.3 million (Gans et al., 2005; Schloss and Handelsman, 2006). The highest estimate suggests that the number may be so large as to be impractical to test by amplification and sequencing of the highly conserved 16S rRNA gene from soil DNA (Gans et al., 2005). Here we present the use of high throughput DNA pyrosequencing and statistical inference to assess bacterial diversity in four soils across a large transect of the western hemisphere. The number of bacterial 16S rRNA sequences obtained from each site varied from 26 140 to 53 533. The most abundant bacterial groups in all four soils were the Bacteroidetes, Betaproteobacteria and Alphaproteobacteria. Using three estimators of diversity, the maximum number of unique sequences (operational taxonomic units roughly corresponding to the species level) never exceeded 52 000 in these soils at the lowest level of dissimilarity. Furthermore, the bacterial diversity of the forest soil was phylum rich compared to the agricultural soils, which are species rich but phylum poor. The forest site also showed far less diversity of the Archaea with only 0.009% of all sequences from that site being from this group as opposed to 4%–12% of the sequences from the three agricultural sites. This work is the most comprehensive examination to date of bacterial diversity in soil and suggests that agricultural management of soil may significantly influence the diversity of bacteria and archaea.","author":[{"dropping-particle":"","family":"Roesch","given":"Luiz F.W.","non-dropping-particle":"","parse-names":false,"suffix":""},{"dropping-particle":"","family":"Fulthorpe","given":"Roberta R.","non-dropping-particle":"","parse-names":false,"suffix":""},{"dropping-particle":"","family":"Riva","given":"Alberto","non-dropping-particle":"","parse-names":false,"suffix":""},{"dropping-particle":"","family":"Casella","given":"George","non-dropping-particle":"","parse-names":false,"suffix":""},{"dropping-particle":"","family":"Hadwin","given":"Alison K.M.","non-dropping-particle":"","parse-names":false,"suffix":""},{"dropping-particle":"","family":"Kent","given":"Angela D.","non-dropping-particle":"","parse-names":false,"suffix":""},{"dropping-particle":"","family":"Daroub","given":"Samira H.","non-dropping-particle":"","parse-names":false,"suffix":""},{"dropping-particle":"","family":"Camargo","given":"Flavio A.O.","non-dropping-particle":"","parse-names":false,"suffix":""},{"dropping-particle":"","family":"Farmerie","given":"William G.","non-dropping-particle":"","parse-names":false,"suffix":""},{"dropping-particle":"","family":"Triplett","given":"Eric W.","non-dropping-particle":"","parse-names":false,"suffix":""}],"container-title":"ISME Journal","id":"ITEM-1","issue":"4","issued":{"date-parts":[["2007"]]},"page":"283-290","title":"Pyrosequencing enumerates and contrasts soil microbial diversity","type":"article-journal","volume":"1"},"uris":["http://www.mendeley.com/documents/?uuid=ccfdd9f8-ca1b-4e1d-a81e-31362c45ac2c"]},{"id":"ITEM-2","itemData":{"DOI":"10.1111/j.1574-6941.2009.00772.x","ISBN":"1574-6941 (Electronic)\\r0168-6496 (Linking)","ISSN":"01686496","PMID":"19780829","abstract":"The Changjiang estuary and the coastal area of the East China Sea (ECS) represent important interfaces of terrestrial and marine environments. This study included analyses of water and sediments collected during different seasons in these regions to determine the composition of microbial assemblages by means of 16S rRNA gene clone libraries. We retrieved 1946 sequences and 779 distinct operational taxonomic units from 36 clone libraries. Shannon2013Weaver diversity index values and rarefaction analysis indicated that bacterial diversity in the sediment samples was much higher than in the water samples. Proteobacteria (72.9%) was the most abundant phylum, followed by Firmicutes (6.4%), Bacteroidetes (4.6%) and Actinobacteria (4.1%). In the water, clone sequences related to Alphaproteobacteria were the most abundant, whereas in the sediment samples, sequences affiliated with Gammaproteobacteria were predominant. Principal coordinate analysis showed that water samples collected from the Changjiang estuary and the ECS clustered separately. However, this spatial pattern could not be observed in sediment samples, which were mainly distinguished from one another by the season. Bacterial diversity in the Changjiang estuary was higher than that in the ECS, which may be the result of the mixing of bacterial communities from the Changjiang River, the estuary and the coastal ocean.","author":[{"dropping-particle":"","family":"Feng","given":"Bi Wei","non-dropping-particle":"","parse-names":false,"suffix":""},{"dropping-particle":"","family":"Li","given":"Xiao Ran","non-dropping-particle":"","parse-names":false,"suffix":""},{"dropping-particle":"","family":"Wang","given":"Jin Hui","non-dropping-particle":"","parse-names":false,"suffix":""},{"dropping-particle":"","family":"Hu","given":"Zi Ye","non-dropping-particle":"","parse-names":false,"suffix":""},{"dropping-particle":"","family":"Meng","given":"Han","non-dropping-particle":"","parse-names":false,"suffix":""},{"dropping-particle":"","family":"Xiang","given":"Ling Yun","non-dropping-particle":"","parse-names":false,"suffix":""},{"dropping-particle":"","family":"Quan","given":"Zhe Xue","non-dropping-particle":"","parse-names":false,"suffix":""}],"container-title":"FEMS Microbiology Ecology","id":"ITEM-2","issue":"2","issued":{"date-parts":[["2009"]]},"page":"236-248","title":"Bacterial diversity of water and sediment in the Changjiang estuary and coastal area of the East China Sea","type":"article-journal","volume":"70"},"uris":["http://www.mendeley.com/documents/?uuid=58d36e57-0108-4252-b4f1-b1e88653db0f"]},{"id":"ITEM-3","itemData":{"DOI":"10.7171/jbt.17-2801-003","ISBN":"0893-8512 (Print)\\r0893-8512 (Linking)","ISSN":"19434731","PMID":"28260999","abstract":"Next-generation sequencing (NGS) is currently the method of choice for analyzing gut microbiota composition. As gut microbiota composition is a potential future target for clinical diagnostics, it is of utmost importance to enhance and optimize the NGS analysis procedures. Here, we have analyzed the impact of DNA extraction and selected 16S rDNA primers on the gut microbiota NGS results. Bacterial DNA from frozen stool specimens was extracted with 5 commercially available DNA extraction kits. Special attention was paid to the semiautomated DNA extraction methods that could expedite the analysis procedure, thus being especially suitable for clinical settings. The microbial composition was analyzed with 2 distinct protocols: 1 targeting the V3-V4 and the other targeting the V4-V5 area of the bacterial 16S rRNA gene. The overall effect of DNA extraction on the gut microbiota 16S rDNA profile was relatively small, whereas the 16S rRNA gene target region had an immense impact on the results. Furthermore, semiautomated DNA extraction methods clearly appeared suitable for NGS procedures, proposing that application of these methods could importantly reduce hands-on time and human errors without compromising the validity of results.","author":[{"dropping-particle":"","family":"Rintala","given":"Anniina","non-dropping-particle":"","parse-names":false,"suffix":""},{"dropping-particle":"","family":"Pietilä","given":"Sami","non-dropping-particle":"","parse-names":false,"suffix":""},{"dropping-particle":"","family":"Munukka","given":"Eveliina","non-dropping-particle":"","parse-names":false,"suffix":""},{"dropping-particle":"","family":"Eerola","given":"Erkki","non-dropping-particle":"","parse-names":false,"suffix":""},{"dropping-particle":"","family":"Pursiheimo","given":"Juha Pekka","non-dropping-particle":"","parse-names":false,"suffix":""},{"dropping-particle":"","family":"Laiho","given":"Asta","non-dropping-particle":"","parse-names":false,"suffix":""},{"dropping-particle":"","family":"Pekkala","given":"Satu","non-dropping-particle":"","parse-names":false,"suffix":""},{"dropping-particle":"","family":"Huovinen","given":"Pentti","non-dropping-particle":"","parse-names":false,"suffix":""}],"container-title":"Journal of Biomolecular Techniques","id":"ITEM-3","issue":"1","issued":{"date-parts":[["2017"]]},"page":"19-30","title":"Gut microbiota analysis results are highly dependent on the 16s rRNA gene target region, whereas the impact of DNA extraction is minor","type":"article-journal","volume":"28"},"uris":["http://www.mendeley.com/documents/?uuid=7f04c34d-fa1d-41c1-8f65-2c0e82a14dc3"]}],"mendeley":{"formattedCitation":"(62–64)","plainTextFormattedCitation":"(62–64)","previouslyFormattedCitation":"(61–63)"},"properties":{"noteIndex":0},"schema":"https://github.com/citation-style-language/schema/raw/master/csl-citation.json"}</w:instrText>
      </w:r>
      <w:r w:rsidRPr="00F23F20">
        <w:rPr>
          <w:rFonts w:ascii="Times New Roman" w:hAnsi="Times New Roman" w:cs="Times New Roman"/>
        </w:rPr>
        <w:fldChar w:fldCharType="separate"/>
      </w:r>
      <w:bookmarkStart w:id="154" w:name="__Fieldmark__5939_2362280495"/>
      <w:bookmarkStart w:id="155" w:name="__Fieldmark__3709_2362280495"/>
      <w:r w:rsidR="00307058" w:rsidRPr="00307058">
        <w:rPr>
          <w:rFonts w:ascii="Times New Roman" w:hAnsi="Times New Roman" w:cs="Times New Roman"/>
          <w:noProof/>
        </w:rPr>
        <w:t>(62–64)</w:t>
      </w:r>
      <w:r w:rsidRPr="00F23F20">
        <w:rPr>
          <w:rFonts w:ascii="Times New Roman" w:hAnsi="Times New Roman" w:cs="Times New Roman"/>
        </w:rPr>
        <w:fldChar w:fldCharType="end"/>
      </w:r>
      <w:bookmarkEnd w:id="154"/>
      <w:bookmarkEnd w:id="155"/>
      <w:r w:rsidRPr="00F23F20">
        <w:rPr>
          <w:rFonts w:ascii="Times New Roman" w:hAnsi="Times New Roman" w:cs="Times New Roman"/>
        </w:rPr>
        <w:t xml:space="preserve">, Hill’s number diversity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{"citationItems":[{"id":"ITEM-1","itemData":{"DOI":"10.1038/srep38263","ISSN":"20452322","author":[{"dropping-particle":"","family":"Kang","given":"Sanghoon","non-dropping-particle":"","parse-names":false,"suffix":""},{"dropping-particle":"","family":"Rodrigues","given":"Jorge L.M.","non-dropping-particle":"","parse-names":false,"suffix":""},{"dropping-particle":"","family":"Ng","given":"Justin P.","non-dropping-particle":"","parse-names":false,"suffix":""},{"dropping-particle":"","family":"Gentry","given":"Terry J.","non-dropping-particle":"","parse-names":false,"suffix":""}],"container-title":"Scientific Reports","id":"ITEM-1","issue":"November","issued":{"date-parts":[["2016"]]},"page":"1-4","publisher":"Nature Publishing Group","title":"Hill number as a bacterial diversity measure framework with high-throughput sequence data","type":"article-journal","volume":"6"},"uris":["http://www.mendeley.com/documents/?uuid=da74a778-1298-41be-81f8-67ef74e3ff92"]}],"mendeley":{"formattedCitation":"(65)","plainTextFormattedCitation":"(65)","previouslyFormattedCitation":"(64)"},"properties":{"noteIndex":0},"schema":"https://github.com/citation-style-language/schema/raw/master/csl-citation.json"}</w:instrText>
      </w:r>
      <w:r w:rsidRPr="00F23F20">
        <w:rPr>
          <w:rFonts w:ascii="Times New Roman" w:hAnsi="Times New Roman" w:cs="Times New Roman"/>
        </w:rPr>
        <w:fldChar w:fldCharType="separate"/>
      </w:r>
      <w:bookmarkStart w:id="156" w:name="__Fieldmark__5946_2362280495"/>
      <w:bookmarkStart w:id="157" w:name="__Fieldmark__3714_2362280495"/>
      <w:r w:rsidR="00307058" w:rsidRPr="00307058">
        <w:rPr>
          <w:rFonts w:ascii="Times New Roman" w:hAnsi="Times New Roman" w:cs="Times New Roman"/>
          <w:noProof/>
        </w:rPr>
        <w:t>(65)</w:t>
      </w:r>
      <w:r w:rsidRPr="00F23F20">
        <w:rPr>
          <w:rFonts w:ascii="Times New Roman" w:hAnsi="Times New Roman" w:cs="Times New Roman"/>
        </w:rPr>
        <w:fldChar w:fldCharType="end"/>
      </w:r>
      <w:bookmarkEnd w:id="156"/>
      <w:bookmarkEnd w:id="157"/>
      <w:r w:rsidRPr="00F23F20">
        <w:rPr>
          <w:rFonts w:ascii="Times New Roman" w:hAnsi="Times New Roman" w:cs="Times New Roman"/>
        </w:rPr>
        <w:t xml:space="preserve">, taxon-resolved abundance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{"citationItems":[{"id":"ITEM-1","itemData":{"DOI":"10.1038/s41598-018-24280-8","ISSN":"2045-2322","abstract":"Developments in high-throughput next generation sequencing (NGS) technology have rapidly advanced the understanding of overall microbial ecology as well as occurrence and diversity of specific genes within diverse environments. In the present study, we compared the ability of varying sequencing depths to generate meaningful information about the taxonomic structure and prevalence of antimicrobial resistance genes (ARGs) in the bovine fecal microbial community. Metagenomic sequencing was conducted on eight composite fecal samples originating from four beef cattle feedlots. Metagenomic DNA was sequenced to various depths, D1, D0.5 and D0.25, with average sample read counts of 117, 59 and 26 million, respectively. A comparative analysis of the relative abundance of reads aligning to different phyla and antimicrobial classes indicated that the relative proportions of read assignments remained fairly constant regardless of depth. However, the number of reads being assigned to ARGs as well as to microbial taxa increased significantly with increasing depth. We found a depth of D0.5 was suitable to describe the microbiome and resistome of cattle fecal samples. This study helps define a balance between cost and required sequencing depth to acquire meaningful results.","author":[{"dropping-particle":"","family":"Zaheer","given":"Rahat","non-dropping-particle":"","parse-names":false,"suffix":""},{"dropping-particle":"","family":"Noyes","given":"Noelle","non-dropping-particle":"","parse-names":false,"suffix":""},{"dropping-particle":"","family":"Ortega Polo","given":"Rodrigo","non-dropping-particle":"","parse-names":false,"suffix":""},{"dropping-particle":"","family":"Cook","given":"Shaun R.","non-dropping-particle":"","parse-names":false,"suffix":""},{"dropping-particle":"","family":"Marinier","given":"Eric","non-dropping-particle":"","parse-names":false,"suffix":""},{"dropping-particle":"","family":"Domselaar","given":"Gary","non-dropping-particle":"Van","parse-names":false,"suffix":""},{"dropping-particle":"","family":"Belk","given":"Keith E.","non-dropping-particle":"","parse-names":false,"suffix":""},{"dropping-particle":"","family":"Morley","given":"Paul S.","non-dropping-particle":"","parse-names":false,"suffix":""},{"dropping-particle":"","family":"McAllister","given":"Tim A.","non-dropping-particle":"","parse-names":false,"suffix":""}],"container-title":"Scientific Reports","id":"ITEM-1","issue":"1","issued":{"date-parts":[["2018"]]},"page":"5890","publisher":"Springer US","title":"Impact of sequencing depth on the characterization of the microbiome and resistome","type":"article-journal","volume":"8"},"uris":["http://www.mendeley.com/documents/?uuid=687c5c6c-eede-4ede-be99-afd91785ac0c"]}],"mendeley":{"formattedCitation":"(66)","plainTextFormattedCitation":"(66)","previouslyFormattedCitation":"(65)"},"properties":{"noteIndex":0},"schema":"https://github.com/citation-style-language/schema/raw/master/csl-citation.json"}</w:instrText>
      </w:r>
      <w:r w:rsidRPr="00F23F20">
        <w:rPr>
          <w:rFonts w:ascii="Times New Roman" w:hAnsi="Times New Roman" w:cs="Times New Roman"/>
        </w:rPr>
        <w:fldChar w:fldCharType="separate"/>
      </w:r>
      <w:bookmarkStart w:id="158" w:name="__Fieldmark__5953_2362280495"/>
      <w:bookmarkStart w:id="159" w:name="__Fieldmark__3719_2362280495"/>
      <w:r w:rsidR="00307058" w:rsidRPr="00307058">
        <w:rPr>
          <w:rFonts w:ascii="Times New Roman" w:hAnsi="Times New Roman" w:cs="Times New Roman"/>
          <w:noProof/>
        </w:rPr>
        <w:t>(66)</w:t>
      </w:r>
      <w:r w:rsidRPr="00F23F20">
        <w:rPr>
          <w:rFonts w:ascii="Times New Roman" w:hAnsi="Times New Roman" w:cs="Times New Roman"/>
        </w:rPr>
        <w:fldChar w:fldCharType="end"/>
      </w:r>
      <w:bookmarkEnd w:id="158"/>
      <w:bookmarkEnd w:id="159"/>
      <w:r w:rsidRPr="00F23F20">
        <w:rPr>
          <w:rFonts w:ascii="Times New Roman" w:hAnsi="Times New Roman" w:cs="Times New Roman"/>
        </w:rPr>
        <w:t xml:space="preserve">, and gene abundance </w:t>
      </w:r>
      <w:r w:rsidRPr="00F23F20">
        <w:rPr>
          <w:rFonts w:ascii="Times New Roman" w:hAnsi="Times New Roman" w:cs="Times New Roman"/>
        </w:rPr>
        <w:lastRenderedPageBreak/>
        <w:fldChar w:fldCharType="begin" w:fldLock="1"/>
      </w:r>
      <w:r w:rsidR="00307058">
        <w:rPr>
          <w:rFonts w:ascii="Times New Roman" w:hAnsi="Times New Roman" w:cs="Times New Roman"/>
        </w:rPr>
        <w:instrText>ADDIN CSL_CITATION {"citationItems":[{"id":"ITEM-1","itemData":{"DOI":"10.1038/s41598-018-24280-8","ISSN":"2045-2322","abstract":"Developments in high-throughput next generation sequencing (NGS) technology have rapidly advanced the understanding of overall microbial ecology as well as occurrence and diversity of specific genes within diverse environments. In the present study, we compared the ability of varying sequencing depths to generate meaningful information about the taxonomic structure and prevalence of antimicrobial resistance genes (ARGs) in the bovine fecal microbial community. Metagenomic sequencing was conducted on eight composite fecal samples originating from four beef cattle feedlots. Metagenomic DNA was sequenced to various depths, D1, D0.5 and D0.25, with average sample read counts of 117, 59 and 26 million, respectively. A comparative analysis of the relative abundance of reads aligning to different phyla and antimicrobial classes indicated that the relative proportions of read assignments remained fairly constant regardless of depth. However, the number of reads being assigned to ARGs as well as to microbial taxa increased significantly with increasing depth. We found a depth of D0.5 was suitable to describe the microbiome and resistome of cattle fecal samples. This study helps define a balance between cost and required sequencing depth to acquire meaningful results.","author":[{"dropping-particle":"","family":"Zaheer","given":"Rahat","non-dropping-particle":"","parse-names":false,"suffix":""},{"dropping-particle":"","family":"Noyes","given":"Noelle","non-dropping-particle":"","parse-names":false,"suffix":""},{"dropping-particle":"","family":"Ortega Polo","given":"Rodrigo","non-dropping-particle":"","parse-names":false,"suffix":""},{"dropping-particle":"","family":"Cook","given":"Shaun R.","non-dropping-particle":"","parse-names":false,"suffix":""},{"dropping-particle":"","family":"Marinier","given":"Eric","non-dropping-particle":"","parse-names":false,"suffix":""},{"dropping-particle":"","family":"Domselaar","given":"Gary","non-dropping-particle":"Van","parse-names":false,"suffix":""},{"dropping-particle":"","family":"Belk","given":"Keith E.","non-dropping-particle":"","parse-names":false,"suffix":""},{"dropping-particle":"","family":"Morley","given":"Paul S.","non-dropping-particle":"","parse-names":false,"suffix":""},{"dropping-particle":"","family":"McAllister","given":"Tim A.","non-dropping-particle":"","parse-names":false,"suffix":""}],"container-title":"Scientific Reports","id":"ITEM-1","issue":"1","issued":{"date-parts":[["2018"]]},"page":"5890","publisher":"Springer US","title":"Impact of sequencing depth on the characterization of the microbiome and resistome","type":"article-journal","volume":"8"},"uris":["http://www.mendeley.com/documents/?uuid=687c5c6c-eede-4ede-be99-afd91785ac0c"]}],"mendeley":{"formattedCitation":"(66)","plainTextFormattedCitation":"(66)","previouslyFormattedCitation":"(65)"},"properties":{"noteIndex":0},"schema":"https://github.com/citation-style-language/schema/raw/master/csl-citation.json"}</w:instrText>
      </w:r>
      <w:r w:rsidRPr="00F23F20">
        <w:rPr>
          <w:rFonts w:ascii="Times New Roman" w:hAnsi="Times New Roman" w:cs="Times New Roman"/>
        </w:rPr>
        <w:fldChar w:fldCharType="separate"/>
      </w:r>
      <w:bookmarkStart w:id="160" w:name="__Fieldmark__5960_2362280495"/>
      <w:bookmarkStart w:id="161" w:name="__Fieldmark__3724_2362280495"/>
      <w:r w:rsidR="00307058" w:rsidRPr="00307058">
        <w:rPr>
          <w:rFonts w:ascii="Times New Roman" w:hAnsi="Times New Roman" w:cs="Times New Roman"/>
          <w:noProof/>
        </w:rPr>
        <w:t>(66)</w:t>
      </w:r>
      <w:r w:rsidRPr="00F23F20">
        <w:rPr>
          <w:rFonts w:ascii="Times New Roman" w:hAnsi="Times New Roman" w:cs="Times New Roman"/>
        </w:rPr>
        <w:fldChar w:fldCharType="end"/>
      </w:r>
      <w:bookmarkEnd w:id="160"/>
      <w:bookmarkEnd w:id="161"/>
      <w:r w:rsidRPr="00F23F20">
        <w:rPr>
          <w:rFonts w:ascii="Times New Roman" w:hAnsi="Times New Roman" w:cs="Times New Roman"/>
        </w:rPr>
        <w:t xml:space="preserve"> as a function of sequencing effort with rarefaction curves, or collector’s curves. The quality MAGs as a function of sequencing effort did not match a traditional collector’s curve, which lacks an initial lag. Rather, the data appear sigmoidal. We modeled the data using the </w:t>
      </w:r>
      <w:proofErr w:type="spellStart"/>
      <w:r w:rsidRPr="00F23F20">
        <w:rPr>
          <w:rFonts w:ascii="Times New Roman" w:hAnsi="Times New Roman" w:cs="Times New Roman"/>
        </w:rPr>
        <w:t>Gompertz</w:t>
      </w:r>
      <w:proofErr w:type="spellEnd"/>
      <w:r w:rsidRPr="00F23F20">
        <w:rPr>
          <w:rFonts w:ascii="Times New Roman" w:hAnsi="Times New Roman" w:cs="Times New Roman"/>
        </w:rPr>
        <w:t xml:space="preserve"> function (equation 2.12), because its parameters can be interpreted in terms of quantities that are familiar from microbial growth curves (lag time, growth rate, and maximum density)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{"citationItems":[{"id":"ITEM-1","itemData":{"DOI":"10.1111/j.1472-765X.2008.02537.x","ISBN":"0099-2240","ISSN":"00992240","PMID":"16348228","abstract":"Several sigmoidal functions (logistic, Gompertz, Richards, Schnute, and Stannard) were compared to describe a bacterial growth curve. They were compared statistically by using the model of Schnute, which is a comprehensive model, encompassing all other models. The t test and the F test were used. With the t test, confidence intervals for parameters can be calculated and can be used to distinguish between models. In the F test, the lack of fit of the models is compared with the measuring error. Moreover, the models were compared with respect to their ease of use. All sigmoidal functions were modified so that they contained biologically relevant parameters. The models of Richards, Schnute, and Stannard appeared to be basically the same equation. In the cases tested, the modified Gompertz equation was statistically sufficient to describe the growth data of Lactobacillus plantarum and was easy to use.","author":[{"dropping-particle":"","family":"Zwietering","given":"M. H.","non-dropping-particle":"","parse-names":false,"suffix":""},{"dropping-particle":"","family":"Jongenburger","given":"I.","non-dropping-particle":"","parse-names":false,"suffix":""},{"dropping-particle":"","family":"Rombouts","given":"F. M.","non-dropping-particle":"","parse-names":false,"suffix":""},{"dropping-particle":"","family":"Van't Riet","given":"K.","non-dropping-particle":"","parse-names":false,"suffix":""}],"container-title":"Applied and Environmental Microbiology","id":"ITEM-1","issue":"6","issued":{"date-parts":[["1990"]]},"page":"1875-1881","title":"Modeling of the bacterial growth curve","type":"article-journal","volume":"56"},"uris":["http://www.mendeley.com/documents/?uuid=e156316c-fac5-4416-b03c-64c24c680407"]}],"mendeley":{"formattedCitation":"(55)","plainTextFormattedCitation":"(55)","previouslyFormattedCitation":"(54)"},"properties":{"noteIndex":0},"schema":"https://github.com/citation-style-language/schema/raw/master/csl-citation.json"}</w:instrText>
      </w:r>
      <w:r w:rsidRPr="00F23F20">
        <w:rPr>
          <w:rFonts w:ascii="Times New Roman" w:hAnsi="Times New Roman" w:cs="Times New Roman"/>
        </w:rPr>
        <w:fldChar w:fldCharType="separate"/>
      </w:r>
      <w:bookmarkStart w:id="162" w:name="__Fieldmark__5967_2362280495"/>
      <w:bookmarkStart w:id="163" w:name="__Fieldmark__3739_2362280495"/>
      <w:r w:rsidR="00307058" w:rsidRPr="00307058">
        <w:rPr>
          <w:rFonts w:ascii="Times New Roman" w:hAnsi="Times New Roman" w:cs="Times New Roman"/>
          <w:noProof/>
        </w:rPr>
        <w:t>(55)</w:t>
      </w:r>
      <w:r w:rsidRPr="00F23F20">
        <w:rPr>
          <w:rFonts w:ascii="Times New Roman" w:hAnsi="Times New Roman" w:cs="Times New Roman"/>
        </w:rPr>
        <w:fldChar w:fldCharType="end"/>
      </w:r>
      <w:bookmarkEnd w:id="162"/>
      <w:bookmarkEnd w:id="163"/>
      <w:r w:rsidRPr="00F23F20">
        <w:rPr>
          <w:rFonts w:ascii="Times New Roman" w:hAnsi="Times New Roman" w:cs="Times New Roman"/>
        </w:rPr>
        <w:t xml:space="preserve">. The fits to the </w:t>
      </w:r>
      <w:proofErr w:type="spellStart"/>
      <w:r w:rsidRPr="00F23F20">
        <w:rPr>
          <w:rFonts w:ascii="Times New Roman" w:hAnsi="Times New Roman" w:cs="Times New Roman"/>
        </w:rPr>
        <w:t>Gompertz</w:t>
      </w:r>
      <w:proofErr w:type="spellEnd"/>
      <w:r w:rsidRPr="00F23F20">
        <w:rPr>
          <w:rFonts w:ascii="Times New Roman" w:hAnsi="Times New Roman" w:cs="Times New Roman"/>
        </w:rPr>
        <w:t xml:space="preserve"> function illustrate that there is an optimal sequencing effort for MAG creation efforts corresponding to the upper shoulder of the </w:t>
      </w:r>
      <w:proofErr w:type="spellStart"/>
      <w:r w:rsidRPr="00F23F20">
        <w:rPr>
          <w:rFonts w:ascii="Times New Roman" w:hAnsi="Times New Roman" w:cs="Times New Roman"/>
        </w:rPr>
        <w:t>Gompertz</w:t>
      </w:r>
      <w:proofErr w:type="spellEnd"/>
      <w:r w:rsidRPr="00F23F20">
        <w:rPr>
          <w:rFonts w:ascii="Times New Roman" w:hAnsi="Times New Roman" w:cs="Times New Roman"/>
        </w:rPr>
        <w:t xml:space="preserve"> curve (“late log phase”). When sequencing effort is too close to </w:t>
      </w:r>
      <w:r w:rsidRPr="00F23F20">
        <w:rPr>
          <w:rFonts w:ascii="Times New Roman" w:hAnsi="Times New Roman" w:cs="Times New Roman"/>
          <w:i/>
        </w:rPr>
        <w:t>λ</w:t>
      </w:r>
      <w:r w:rsidRPr="00F23F20">
        <w:rPr>
          <w:rFonts w:ascii="Times New Roman" w:hAnsi="Times New Roman" w:cs="Times New Roman"/>
        </w:rPr>
        <w:t xml:space="preserve">, MAGs bin poorly, and when sequencing effort is too great, the number and quality of MAGs per unit sequencing effort (and therefore cost) is low. </w:t>
      </w:r>
      <w:bookmarkStart w:id="164" w:name="_Hlk523495363"/>
      <w:r w:rsidRPr="00F23F20">
        <w:rPr>
          <w:rFonts w:ascii="Times New Roman" w:hAnsi="Times New Roman" w:cs="Times New Roman"/>
        </w:rPr>
        <w:t xml:space="preserve">We speculate that our choice of pipeline, and specifically the fact that we discarded contigs &lt;3kb, </w:t>
      </w:r>
      <w:bookmarkStart w:id="165" w:name="_Hlk523496812"/>
      <w:r w:rsidRPr="00F23F20">
        <w:rPr>
          <w:rFonts w:ascii="Times New Roman" w:hAnsi="Times New Roman" w:cs="Times New Roman"/>
        </w:rPr>
        <w:t xml:space="preserve">caused poor performance at higher sequencing effort for the </w:t>
      </w:r>
      <w:r w:rsidRPr="00F23F20">
        <w:rPr>
          <w:rFonts w:ascii="Times New Roman" w:hAnsi="Times New Roman" w:cs="Times New Roman"/>
          <w:i/>
        </w:rPr>
        <w:t>Tara Oceans</w:t>
      </w:r>
      <w:r w:rsidRPr="00F23F20">
        <w:rPr>
          <w:rFonts w:ascii="Times New Roman" w:hAnsi="Times New Roman" w:cs="Times New Roman"/>
        </w:rPr>
        <w:t xml:space="preserve"> dataset. </w:t>
      </w:r>
      <w:bookmarkStart w:id="166" w:name="_Hlk525720957"/>
      <w:r w:rsidRPr="00F23F20">
        <w:rPr>
          <w:rFonts w:ascii="Times New Roman" w:hAnsi="Times New Roman" w:cs="Times New Roman"/>
        </w:rPr>
        <w:t xml:space="preserve">Species-level </w:t>
      </w:r>
      <w:proofErr w:type="spellStart"/>
      <w:r w:rsidRPr="00F23F20">
        <w:rPr>
          <w:rFonts w:ascii="Times New Roman" w:hAnsi="Times New Roman" w:cs="Times New Roman"/>
        </w:rPr>
        <w:t>microdiversity</w:t>
      </w:r>
      <w:proofErr w:type="spellEnd"/>
      <w:r w:rsidRPr="00F23F20">
        <w:rPr>
          <w:rFonts w:ascii="Times New Roman" w:hAnsi="Times New Roman" w:cs="Times New Roman"/>
        </w:rPr>
        <w:t xml:space="preserve"> and interspecies homologous DNA can cause “bubbles” which impair assembly in larger data sets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{"citationItems":[{"id":"ITEM-1","itemData":{"DOI":"10.1016/j.joca.2013.10.019","ISBN":"1551-4056 (Electronic)\\r0044-0086 (Linking)","ISSN":"00440086","PMID":"27698619","abstract":"Advances in sequencing technologies have led to the increased use of high throughput sequencing in characterizing the microbial communities associated with our bodies and our environment. Critical to the analysis of the resulting data are sequence assembly algorithms able to reconstruct genes and organisms from complex mixtures. Metagenomic assembly involves new computational challenges due to the specific characteristics of the metagenomic data. In this survey, we focus on major algorithmic approaches for genome and metagenome assembly, and discuss the new challenges and opportunities afforded by this new field. We also review several applications of metagenome assembly in addressing interesting biological problems.","author":[{"dropping-particle":"","family":"Ghurye","given":"Jay S.","non-dropping-particle":"","parse-names":false,"suffix":""},{"dropping-particle":"","family":"Cepeda-Espinoza","given":"Victoria","non-dropping-particle":"","parse-names":false,"suffix":""},{"dropping-particle":"","family":"Pop","given":"Mihai","non-dropping-particle":"","parse-names":false,"suffix":""}],"container-title":"Yale Journal of Biology and Medicine","id":"ITEM-1","issue":"3","issued":{"date-parts":[["2016"]]},"page":"353-362","title":"Metagenomic assembly: Overview, challenges and applications","type":"article-journal","volume":"89"},"uris":["http://www.mendeley.com/documents/?uuid=76f139cd-54a7-4a5f-8274-1ebb8e6f9542"]},{"id":"ITEM-2","itemData":{"DOI":"10.1093/bioinformatics/btv311","ISBN":"10.1101/013425","ISSN":"14602059","PMID":"25995232","abstract":"Motivation: Since the invention of DNA sequencing in the seventies, computational biologists have had to deal with the problem of de novo genome assembly with limited (or insufficient) depth of sequencing. In this work, we investigate the opposite problem, that is, the challenge of dealing with excessive depth of sequencing.\\nResults: We explore the effect of ultra-deep sequencing data in two domains: (i) the problem of decoding reads to BAC clones (in the context of the combinatorial pooling design proposed in (Lonardi et al., 2013)), and (ii) the problem of de novo assembly of BAC clones. Using real ultra-deep sequencing data, we show that when the depth of sequencing increases over a certain threshold, sequencing errors make these two problems harder and harder (instead of easier, as one would expect with error-free data), and as a consequence the quality of the solution degrades with more and more data. For the first problem, we propose an effective solution based on “divide and conquer”: we “slice” a large dataset into smaller samples of optimal size, decode each slice independently, then merge the results. Experimental results on over 15,000 barley BACs and over 4,000 cowpea BACs demonstrate a significant improvement in the quality of the decoding and the final assembly. For the second problem, we show for the first time that modern de novo assemblers cannot take advantage of ultra-deep sequencing data.\\nAvailability: Python scripts to process slices and resolve decoding conflicts are available from http://goo.gl/YXgdHT; software HASHFILTER can be downloaded from http://goo.gl/MIyZHs","author":[{"dropping-particle":"","family":"Lonardi","given":"Stefano","non-dropping-particle":"","parse-names":false,"suffix":""},{"dropping-particle":"","family":"Mirebrahim","given":"Hamid","non-dropping-particle":"","parse-names":false,"suffix":""},{"dropping-particle":"","family":"Wanamaker","given":"Steve","non-dropping-particle":"","parse-names":false,"suffix":""},{"dropping-particle":"","family":"Alpert","given":"Matthew","non-dropping-particle":"","parse-names":false,"suffix":""},{"dropping-particle":"","family":"Ciardo","given":"Gianfranco","non-dropping-particle":"","parse-names":false,"suffix":""},{"dropping-particle":"","family":"Duma","given":"Denisa","non-dropping-particle":"","parse-names":false,"suffix":""},{"dropping-particle":"","family":"Close","given":"Timothy J.","non-dropping-particle":"","parse-names":false,"suffix":""}],"container-title":"Bioinformatics","id":"ITEM-2","issue":"18","issued":{"date-parts":[["2015"]]},"page":"2972-2980","title":"When less is more: 'Slicing' sequencing data improves read decoding accuracy and de novo assembly quality","type":"article-journal","volume":"31"},"uris":["http://www.mendeley.com/documents/?uuid=e0411ad0-6e0f-443a-b266-a8761a894168"]}],"mendeley":{"formattedCitation":"(67, 68)","plainTextFormattedCitation":"(67, 68)","previouslyFormattedCitation":"(66, 67)"},"properties":{"noteIndex":0},"schema":"https://github.com/citation-style-language/schema/raw/master/csl-citation.json"}</w:instrText>
      </w:r>
      <w:r w:rsidRPr="00F23F20">
        <w:rPr>
          <w:rFonts w:ascii="Times New Roman" w:hAnsi="Times New Roman" w:cs="Times New Roman"/>
        </w:rPr>
        <w:fldChar w:fldCharType="separate"/>
      </w:r>
      <w:bookmarkStart w:id="167" w:name="__Fieldmark__5984_2362280495"/>
      <w:bookmarkStart w:id="168" w:name="__Fieldmark__3771_2362280495"/>
      <w:r w:rsidR="00307058" w:rsidRPr="00307058">
        <w:rPr>
          <w:rFonts w:ascii="Times New Roman" w:hAnsi="Times New Roman" w:cs="Times New Roman"/>
          <w:noProof/>
        </w:rPr>
        <w:t>(67, 68)</w:t>
      </w:r>
      <w:r w:rsidRPr="00F23F20">
        <w:rPr>
          <w:rFonts w:ascii="Times New Roman" w:hAnsi="Times New Roman" w:cs="Times New Roman"/>
        </w:rPr>
        <w:fldChar w:fldCharType="end"/>
      </w:r>
      <w:bookmarkEnd w:id="167"/>
      <w:bookmarkEnd w:id="168"/>
      <w:r w:rsidRPr="00F23F20">
        <w:rPr>
          <w:rFonts w:ascii="Times New Roman" w:hAnsi="Times New Roman" w:cs="Times New Roman"/>
        </w:rPr>
        <w:t xml:space="preserve">. Improved assembly would likely have yielded more quality MAGs for our assembly of the largest subsets of the </w:t>
      </w:r>
      <w:r w:rsidRPr="00F23F20">
        <w:rPr>
          <w:rFonts w:ascii="Times New Roman" w:hAnsi="Times New Roman" w:cs="Times New Roman"/>
          <w:i/>
        </w:rPr>
        <w:t>Tara Oceans</w:t>
      </w:r>
      <w:r w:rsidRPr="00F23F20">
        <w:rPr>
          <w:rFonts w:ascii="Times New Roman" w:hAnsi="Times New Roman" w:cs="Times New Roman"/>
        </w:rPr>
        <w:t xml:space="preserve"> data.</w:t>
      </w:r>
      <w:bookmarkEnd w:id="164"/>
      <w:bookmarkEnd w:id="165"/>
      <w:bookmarkEnd w:id="166"/>
      <w:r w:rsidRPr="00F23F20">
        <w:rPr>
          <w:rFonts w:ascii="Times New Roman" w:hAnsi="Times New Roman" w:cs="Times New Roman"/>
        </w:rPr>
        <w:t xml:space="preserve"> </w:t>
      </w:r>
    </w:p>
    <w:p w14:paraId="5B5FD2B7" w14:textId="77777777"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Metagenomic shotgun sequencing experimental designs should be rationally designed such that sequencing effort is selected to capture a desired fraction of a target microbial genome. Investigators should be cognizant of the rarest microbial genome desired to be characterized as well as the degree of characterization of that microbial metagenome when designing a sequencing experiment. To that end, we have built a tool, Genome Relative Abundance to Sequencing Effort (GRASE), to report estimated sequencing effort required to capture a defined fraction of a genome as a function of the </w:t>
      </w:r>
      <w:r w:rsidRPr="00F23F20">
        <w:rPr>
          <w:rFonts w:ascii="Times New Roman" w:hAnsi="Times New Roman" w:cs="Times New Roman"/>
        </w:rPr>
        <w:lastRenderedPageBreak/>
        <w:t xml:space="preserve">relative abundance of the corresponding microorganism in the community and average genome size. This R-based GUI app can be accessed online at </w:t>
      </w:r>
      <w:hyperlink r:id="rId21">
        <w:r w:rsidRPr="00F23F20">
          <w:rPr>
            <w:rStyle w:val="InternetLink"/>
            <w:rFonts w:ascii="Times New Roman" w:hAnsi="Times New Roman" w:cs="Times New Roman"/>
          </w:rPr>
          <w:t>http://adsteen.shinyapps.io/grase</w:t>
        </w:r>
      </w:hyperlink>
      <w:r w:rsidRPr="00F23F20">
        <w:rPr>
          <w:rFonts w:ascii="Times New Roman" w:hAnsi="Times New Roman" w:cs="Times New Roman"/>
        </w:rPr>
        <w:t xml:space="preserve"> and is archived at </w:t>
      </w:r>
      <w:hyperlink r:id="rId22">
        <w:r w:rsidRPr="00F23F20">
          <w:rPr>
            <w:rStyle w:val="InternetLink"/>
            <w:rFonts w:ascii="Times New Roman" w:hAnsi="Times New Roman" w:cs="Times New Roman"/>
          </w:rPr>
          <w:t>http://github.com/adsteen/GRASE</w:t>
        </w:r>
      </w:hyperlink>
      <w:r w:rsidRPr="00F23F20">
        <w:rPr>
          <w:rFonts w:ascii="Times New Roman" w:hAnsi="Times New Roman" w:cs="Times New Roman"/>
        </w:rPr>
        <w:t>, from which it can be downloaded and run locally.</w:t>
      </w:r>
    </w:p>
    <w:p w14:paraId="0623AEAB" w14:textId="77777777"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When the sequence read datasets analyzed here (Table 2.2; Figure 2.6) are re-evaluated in the context of the relative abundance of a microbial metagenome (</w:t>
      </w:r>
      <w:proofErr w:type="spellStart"/>
      <w:r w:rsidRPr="00F23F20">
        <w:rPr>
          <w:rFonts w:ascii="Times New Roman" w:hAnsi="Times New Roman" w:cs="Times New Roman"/>
          <w:i/>
        </w:rPr>
        <w:t>g</w:t>
      </w:r>
      <w:r w:rsidRPr="00F23F20">
        <w:rPr>
          <w:rFonts w:ascii="Times New Roman" w:hAnsi="Times New Roman" w:cs="Times New Roman"/>
          <w:vertAlign w:val="subscript"/>
        </w:rPr>
        <w:t>MG</w:t>
      </w:r>
      <w:proofErr w:type="spellEnd"/>
      <w:r w:rsidRPr="00F23F20">
        <w:rPr>
          <w:rFonts w:ascii="Times New Roman" w:hAnsi="Times New Roman" w:cs="Times New Roman"/>
        </w:rPr>
        <w:t>) sequenced to a target fraction of exhaustion (0.5), quality MAGs increase appreciably in response to minor increases in deeper characterization of the community metagenome (Figure 2.7). This observation contrasts the quality MAGs response to sequencing effort (in base pairs), where substantial increases in sequencing effort (by contemporary standards) leads to diminishing returns in quality MAGs. It is important to note that abundance cutoff and sequencing effort are interchangeable; however, quality MAGs response to changes in the respective predictor (i.e., base pairs versus abundance cutoff) alters the optics of the collector’s curve. Modest increases in sequencing effort contribute minor amounts to extending abundance cutoff. A substantial amount of genomic and metabolic data can be gained from targeting rarer microbes (metagenomic abundances &lt;0.005), with the caveat that whole-genome shotgun sequencing technology (as well as computational power) requires significant increases in either the number or length of reads generated per run.</w:t>
      </w:r>
    </w:p>
    <w:p w14:paraId="21F09716" w14:textId="77777777" w:rsidR="00365526" w:rsidRPr="00F23F20" w:rsidRDefault="00365526" w:rsidP="00365526">
      <w:pPr>
        <w:pStyle w:val="Heading2"/>
      </w:pPr>
      <w:bookmarkStart w:id="169" w:name="_Toc41908098"/>
      <w:r w:rsidRPr="00F23F20">
        <w:lastRenderedPageBreak/>
        <w:t>Materials and Methods</w:t>
      </w:r>
      <w:bookmarkEnd w:id="169"/>
    </w:p>
    <w:p w14:paraId="25E0ECFA" w14:textId="77777777" w:rsidR="00365526" w:rsidRPr="00F23F20" w:rsidRDefault="00365526" w:rsidP="00365526">
      <w:pPr>
        <w:pStyle w:val="Heading3"/>
      </w:pPr>
      <w:bookmarkStart w:id="170" w:name="_Toc41908099"/>
      <w:r w:rsidRPr="00F23F20">
        <w:t>Defining the Microbial Metagenome and Sequencing Probability</w:t>
      </w:r>
      <w:bookmarkEnd w:id="170"/>
    </w:p>
    <w:p w14:paraId="40EFFF53" w14:textId="662811D5" w:rsidR="00365526" w:rsidRPr="00F23F20" w:rsidRDefault="00365526" w:rsidP="00365526">
      <w:pPr>
        <w:pStyle w:val="Standard"/>
        <w:spacing w:line="480" w:lineRule="auto"/>
        <w:ind w:firstLine="720"/>
        <w:rPr>
          <w:rFonts w:ascii="Times New Roman" w:hAnsi="Times New Roman" w:cs="Times New Roman"/>
        </w:rPr>
      </w:pPr>
      <w:r w:rsidRPr="00F23F20">
        <w:rPr>
          <w:rFonts w:ascii="Times New Roman" w:hAnsi="Times New Roman" w:cs="Times New Roman"/>
        </w:rPr>
        <w:t xml:space="preserve">Here we draw on set theory to provide a theoretical grounding for our </w:t>
      </w:r>
      <w:r w:rsidRPr="00F23F20">
        <w:rPr>
          <w:rFonts w:ascii="Times New Roman" w:hAnsi="Times New Roman" w:cs="Times New Roman"/>
          <w:i/>
        </w:rPr>
        <w:t>in silico</w:t>
      </w:r>
      <w:r w:rsidRPr="00F23F20">
        <w:rPr>
          <w:rFonts w:ascii="Times New Roman" w:hAnsi="Times New Roman" w:cs="Times New Roman"/>
        </w:rPr>
        <w:t xml:space="preserve"> simulations described below.</w:t>
      </w:r>
      <w:r w:rsidRPr="00F23F20">
        <w:rPr>
          <w:rFonts w:ascii="Times New Roman" w:hAnsi="Times New Roman" w:cs="Times New Roman"/>
          <w:bCs/>
        </w:rPr>
        <w:t xml:space="preserve"> The expected number of sequences to sequence a fraction of an individual microbe’s genome can be modeled with probability theory by defining a community metagenome with set theory. </w:t>
      </w:r>
      <w:r w:rsidRPr="00F23F20">
        <w:rPr>
          <w:rFonts w:ascii="Times New Roman" w:hAnsi="Times New Roman" w:cs="Times New Roman"/>
        </w:rPr>
        <w:t xml:space="preserve">Figure 2.8A-E provides a cartoon illustrating the application of this set theory on a hypothetical microbial population, </w:t>
      </w:r>
      <w:r w:rsidRPr="00F23F20">
        <w:rPr>
          <w:rFonts w:ascii="Times New Roman" w:hAnsi="Times New Roman" w:cs="Times New Roman"/>
          <w:i/>
        </w:rPr>
        <w:t>G</w:t>
      </w:r>
      <w:r w:rsidRPr="00F23F20">
        <w:rPr>
          <w:rFonts w:ascii="Times New Roman" w:hAnsi="Times New Roman" w:cs="Times New Roman"/>
        </w:rPr>
        <w:t xml:space="preserve">. </w:t>
      </w:r>
      <w:r w:rsidRPr="00F23F20">
        <w:rPr>
          <w:rFonts w:ascii="Times New Roman" w:hAnsi="Times New Roman" w:cs="Times New Roman"/>
          <w:i/>
        </w:rPr>
        <w:t>G</w:t>
      </w:r>
      <w:r w:rsidRPr="00F23F20">
        <w:rPr>
          <w:rFonts w:ascii="Times New Roman" w:hAnsi="Times New Roman" w:cs="Times New Roman"/>
        </w:rPr>
        <w:t xml:space="preserve"> contains unique genomes (</w:t>
      </w:r>
      <w:r w:rsidRPr="00F23F20">
        <w:rPr>
          <w:rFonts w:ascii="Times New Roman" w:hAnsi="Times New Roman" w:cs="Times New Roman"/>
          <w:i/>
        </w:rPr>
        <w:t>g</w:t>
      </w:r>
      <w:r w:rsidRPr="00F23F20">
        <w:rPr>
          <w:rFonts w:ascii="Times New Roman" w:hAnsi="Times New Roman" w:cs="Times New Roman"/>
        </w:rPr>
        <w:t>) with finite abundances (</w:t>
      </w:r>
      <w:r w:rsidRPr="00F23F20">
        <w:rPr>
          <w:rFonts w:ascii="Times New Roman" w:hAnsi="Times New Roman" w:cs="Times New Roman"/>
          <w:i/>
        </w:rPr>
        <w:t>n</w:t>
      </w:r>
      <w:r w:rsidRPr="00F23F20">
        <w:rPr>
          <w:rFonts w:ascii="Times New Roman" w:hAnsi="Times New Roman" w:cs="Times New Roman"/>
        </w:rPr>
        <w:t xml:space="preserve">). The definition of microbial species is somewhat contentious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{"citationItems":[{"id":"ITEM-1","itemData":{"DOI":"10.1016/j.syapm.2015.02.001","ISBN":"1618-0984 (Electronic)\\r0723-2020 (Linking)","ISSN":"16180984","PMID":"25747618","abstract":"Species is the basic unit of biological diversity. However, among the different microbiological disciplines there is an important degree of disagreement as to what this unit may be. In this minireview, we argue that the main point of disagreement is the definition (i.e. the way species are circumscribed by means of observable characters) rather than the concept (i.e. the idea of what a species may be as a unit of biodiversity, the meaning of the patterns of recurrence observed in nature, and the why of their existence). Taxonomists have defined species by means of genetic and expressed characters that ensure the members of the unit are monophyletic, and exhibit a large degree of genomic and phenotypic coherence. The new technologies allowing high-throughput data acquisition are expected to improve future classifications significantly and will lead to database-based taxonomy centered on portable and interactive data. Future species descriptions of Bacteria and Archaea should include a high quality genome sequence of at least the type strain as an obligatory requirement, just as today an almost full-length 16S rRNA gene sequence must be provided. Serious efforts are needed in order to re-evaluate the major guidelines for standard descriptions.","author":[{"dropping-particle":"","family":"Rosselló-Móra","given":"Ramon","non-dropping-particle":"","parse-names":false,"suffix":""},{"dropping-particle":"","family":"Amann","given":"Rudolf","non-dropping-particle":"","parse-names":false,"suffix":""}],"container-title":"Systematic and Applied Microbiology","id":"ITEM-1","issue":"4","issued":{"date-parts":[["2015"]]},"page":"209-216","publisher":"Elsevier GmbH.","title":"Past and future species definitions for Bacteria and Archaea","type":"article-journal","volume":"38"},"uris":["http://www.mendeley.com/documents/?uuid=0e6e15a2-38f5-4d19-81c7-2e2979e8007f"]}],"mendeley":{"formattedCitation":"(69)","plainTextFormattedCitation":"(69)","previouslyFormattedCitation":"(68)"},"properties":{"noteIndex":0},"schema":"https://github.com/citation-style-language/schema/raw/master/csl-citation.json"}</w:instrText>
      </w:r>
      <w:r w:rsidRPr="00F23F20">
        <w:rPr>
          <w:rFonts w:ascii="Times New Roman" w:hAnsi="Times New Roman" w:cs="Times New Roman"/>
        </w:rPr>
        <w:fldChar w:fldCharType="separate"/>
      </w:r>
      <w:bookmarkStart w:id="171" w:name="__Fieldmark__6039_2362280495"/>
      <w:bookmarkStart w:id="172" w:name="__Fieldmark__3953_2362280495"/>
      <w:r w:rsidR="00307058" w:rsidRPr="00307058">
        <w:rPr>
          <w:rFonts w:ascii="Times New Roman" w:hAnsi="Times New Roman" w:cs="Times New Roman"/>
          <w:noProof/>
        </w:rPr>
        <w:t>(69)</w:t>
      </w:r>
      <w:r w:rsidRPr="00F23F20">
        <w:rPr>
          <w:rFonts w:ascii="Times New Roman" w:hAnsi="Times New Roman" w:cs="Times New Roman"/>
        </w:rPr>
        <w:fldChar w:fldCharType="end"/>
      </w:r>
      <w:bookmarkEnd w:id="171"/>
      <w:bookmarkEnd w:id="172"/>
      <w:r w:rsidRPr="00F23F20">
        <w:rPr>
          <w:rFonts w:ascii="Times New Roman" w:hAnsi="Times New Roman" w:cs="Times New Roman"/>
        </w:rPr>
        <w:t xml:space="preserve">. Here we define </w:t>
      </w:r>
      <w:r w:rsidRPr="00F23F20">
        <w:rPr>
          <w:rFonts w:ascii="Times New Roman" w:hAnsi="Times New Roman" w:cs="Times New Roman"/>
          <w:i/>
        </w:rPr>
        <w:t>g</w:t>
      </w:r>
      <w:r w:rsidRPr="00F23F20">
        <w:rPr>
          <w:rFonts w:ascii="Times New Roman" w:hAnsi="Times New Roman" w:cs="Times New Roman"/>
        </w:rPr>
        <w:t xml:space="preserve"> as a genome which is unique in length and composition for all loci when compared to all other genomes in a community. As such, the species richness (</w:t>
      </w:r>
      <w:r w:rsidRPr="00F23F20">
        <w:rPr>
          <w:rFonts w:ascii="Times New Roman" w:hAnsi="Times New Roman" w:cs="Times New Roman"/>
          <w:i/>
        </w:rPr>
        <w:t>s</w:t>
      </w:r>
      <w:r w:rsidRPr="00F23F20">
        <w:rPr>
          <w:rFonts w:ascii="Times New Roman" w:hAnsi="Times New Roman" w:cs="Times New Roman"/>
        </w:rPr>
        <w:t xml:space="preserve">; unique </w:t>
      </w:r>
      <w:r w:rsidRPr="00F23F20">
        <w:rPr>
          <w:rFonts w:ascii="Times New Roman" w:hAnsi="Times New Roman" w:cs="Times New Roman"/>
          <w:i/>
        </w:rPr>
        <w:t>g</w:t>
      </w:r>
      <w:r w:rsidRPr="00F23F20">
        <w:rPr>
          <w:rFonts w:ascii="Times New Roman" w:hAnsi="Times New Roman" w:cs="Times New Roman"/>
        </w:rPr>
        <w:t xml:space="preserve">) of </w:t>
      </w:r>
      <w:r w:rsidRPr="00F23F20">
        <w:rPr>
          <w:rFonts w:ascii="Times New Roman" w:hAnsi="Times New Roman" w:cs="Times New Roman"/>
          <w:i/>
        </w:rPr>
        <w:t xml:space="preserve">G </w:t>
      </w:r>
      <w:r w:rsidRPr="00F23F20">
        <w:rPr>
          <w:rFonts w:ascii="Times New Roman" w:hAnsi="Times New Roman" w:cs="Times New Roman"/>
          <w:iCs/>
        </w:rPr>
        <w:t xml:space="preserve">will vary on how it is defined </w:t>
      </w:r>
      <w:r w:rsidRPr="00F23F20">
        <w:rPr>
          <w:rFonts w:ascii="Times New Roman" w:hAnsi="Times New Roman" w:cs="Times New Roman"/>
        </w:rPr>
        <w:t xml:space="preserve">and should be consistent with the objectives of the investigator. In the example community (Figure 2.8A-E), </w:t>
      </w:r>
      <w:r w:rsidRPr="00F23F20">
        <w:rPr>
          <w:rFonts w:ascii="Times New Roman" w:hAnsi="Times New Roman" w:cs="Times New Roman"/>
          <w:i/>
        </w:rPr>
        <w:t>s</w:t>
      </w:r>
      <w:r w:rsidRPr="00F23F20">
        <w:rPr>
          <w:rFonts w:ascii="Times New Roman" w:hAnsi="Times New Roman" w:cs="Times New Roman"/>
        </w:rPr>
        <w:t xml:space="preserve">=6 and the total </w:t>
      </w:r>
      <w:r w:rsidRPr="00F23F20">
        <w:rPr>
          <w:rFonts w:ascii="Times New Roman" w:hAnsi="Times New Roman" w:cs="Times New Roman"/>
          <w:i/>
        </w:rPr>
        <w:t>n</w:t>
      </w:r>
      <w:r w:rsidRPr="00F23F20">
        <w:rPr>
          <w:rFonts w:ascii="Times New Roman" w:hAnsi="Times New Roman" w:cs="Times New Roman"/>
        </w:rPr>
        <w:t xml:space="preserve">=13. Thus, </w:t>
      </w:r>
      <w:r w:rsidRPr="00F23F20">
        <w:rPr>
          <w:rFonts w:ascii="Times New Roman" w:hAnsi="Times New Roman" w:cs="Times New Roman"/>
          <w:i/>
        </w:rPr>
        <w:t>G</w:t>
      </w:r>
      <w:r w:rsidRPr="00F23F20">
        <w:rPr>
          <w:rFonts w:ascii="Times New Roman" w:hAnsi="Times New Roman" w:cs="Times New Roman"/>
        </w:rPr>
        <w:t xml:space="preserve"> is represented as (Figure 2.8A): </w:t>
      </w:r>
    </w:p>
    <w:p w14:paraId="5222D816" w14:textId="77777777" w:rsidR="00365526" w:rsidRPr="00F23F20" w:rsidRDefault="00365526" w:rsidP="00365526">
      <w:pPr>
        <w:pStyle w:val="Standard"/>
        <w:spacing w:line="480" w:lineRule="auto"/>
        <w:rPr>
          <w:rFonts w:ascii="Times New Roman" w:hAnsi="Times New Roman" w:cs="Times New Roman"/>
        </w:rPr>
      </w:pPr>
      <m:oMath>
        <m:r>
          <w:rPr>
            <w:rFonts w:ascii="Cambria Math" w:hAnsi="Cambria Math" w:cs="Times New Roman"/>
          </w:rPr>
          <m:t>G=</m:t>
        </m:r>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1</m:t>
                </m:r>
              </m:sub>
            </m:sSub>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2</m:t>
                </m:r>
              </m:sub>
            </m:sSub>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s</m:t>
                </m:r>
              </m:sub>
            </m:sSub>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s</m:t>
                </m:r>
              </m:sub>
            </m:sSub>
          </m:e>
          <m:e>
            <m:r>
              <w:rPr>
                <w:rFonts w:ascii="Cambria Math" w:hAnsi="Cambria Math" w:cs="Times New Roman"/>
              </w:rPr>
              <m:t>n∈N</m:t>
            </m:r>
          </m:e>
        </m:d>
      </m:oMath>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t xml:space="preserve">     (2.1</w:t>
      </w:r>
    </w:p>
    <w:p w14:paraId="1DC8A208" w14:textId="77777777" w:rsidR="00365526" w:rsidRPr="00F23F20" w:rsidRDefault="00365526" w:rsidP="00365526">
      <w:pPr>
        <w:pStyle w:val="Standard"/>
        <w:spacing w:line="480" w:lineRule="auto"/>
        <w:rPr>
          <w:rFonts w:ascii="Times New Roman" w:hAnsi="Times New Roman" w:cs="Times New Roman"/>
        </w:rPr>
      </w:pPr>
      <w:r w:rsidRPr="00F23F20">
        <w:rPr>
          <w:rFonts w:ascii="Times New Roman" w:hAnsi="Times New Roman" w:cs="Times New Roman"/>
        </w:rPr>
        <w:t xml:space="preserve">where </w:t>
      </w:r>
      <w:r w:rsidRPr="00F23F20">
        <w:rPr>
          <w:rFonts w:ascii="Times New Roman" w:hAnsi="Times New Roman" w:cs="Times New Roman"/>
          <w:i/>
        </w:rPr>
        <w:t>s</w:t>
      </w:r>
      <w:r w:rsidRPr="00F23F20">
        <w:rPr>
          <w:rFonts w:ascii="Times New Roman" w:hAnsi="Times New Roman" w:cs="Times New Roman"/>
        </w:rPr>
        <w:t xml:space="preserve"> is the species richness. When characterizing </w:t>
      </w:r>
      <w:r w:rsidRPr="00F23F20">
        <w:rPr>
          <w:rFonts w:ascii="Times New Roman" w:hAnsi="Times New Roman" w:cs="Times New Roman"/>
          <w:i/>
        </w:rPr>
        <w:t>G</w:t>
      </w:r>
      <w:r w:rsidRPr="00F23F20">
        <w:rPr>
          <w:rFonts w:ascii="Times New Roman" w:hAnsi="Times New Roman" w:cs="Times New Roman"/>
        </w:rPr>
        <w:t xml:space="preserve"> via shotgun metagenomics, the </w:t>
      </w:r>
      <w:proofErr w:type="spellStart"/>
      <w:r w:rsidRPr="00F23F20">
        <w:rPr>
          <w:rFonts w:ascii="Times New Roman" w:hAnsi="Times New Roman" w:cs="Times New Roman"/>
          <w:i/>
        </w:rPr>
        <w:t>i</w:t>
      </w:r>
      <w:r w:rsidRPr="00F23F20">
        <w:rPr>
          <w:rFonts w:ascii="Times New Roman" w:hAnsi="Times New Roman" w:cs="Times New Roman"/>
          <w:vertAlign w:val="superscript"/>
        </w:rPr>
        <w:t>th</w:t>
      </w:r>
      <w:proofErr w:type="spellEnd"/>
      <w:r w:rsidRPr="00F23F20">
        <w:rPr>
          <w:rFonts w:ascii="Times New Roman" w:hAnsi="Times New Roman" w:cs="Times New Roman"/>
        </w:rPr>
        <w:t xml:space="preserve"> genome, </w:t>
      </w:r>
      <w:proofErr w:type="spellStart"/>
      <w:r w:rsidRPr="00F23F20">
        <w:rPr>
          <w:rFonts w:ascii="Times New Roman" w:hAnsi="Times New Roman" w:cs="Times New Roman"/>
          <w:i/>
        </w:rPr>
        <w:t>g</w:t>
      </w:r>
      <w:r w:rsidRPr="00F23F20">
        <w:rPr>
          <w:rFonts w:ascii="Times New Roman" w:hAnsi="Times New Roman" w:cs="Times New Roman"/>
          <w:vertAlign w:val="subscript"/>
        </w:rPr>
        <w:t>i</w:t>
      </w:r>
      <w:proofErr w:type="spellEnd"/>
      <w:r w:rsidRPr="00F23F20">
        <w:rPr>
          <w:rFonts w:ascii="Times New Roman" w:hAnsi="Times New Roman" w:cs="Times New Roman"/>
        </w:rPr>
        <w:t xml:space="preserve">, can be sequenced at </w:t>
      </w:r>
      <w:r w:rsidRPr="00F23F20">
        <w:rPr>
          <w:rFonts w:ascii="Times New Roman" w:hAnsi="Times New Roman" w:cs="Times New Roman"/>
          <w:i/>
        </w:rPr>
        <w:t>K</w:t>
      </w:r>
      <w:r w:rsidRPr="00F23F20">
        <w:rPr>
          <w:rFonts w:ascii="Times New Roman" w:hAnsi="Times New Roman" w:cs="Times New Roman"/>
        </w:rPr>
        <w:t xml:space="preserve"> unique sections given a characteristic read length, </w:t>
      </w:r>
      <w:r w:rsidRPr="00F23F20">
        <w:rPr>
          <w:rFonts w:ascii="Times New Roman" w:hAnsi="Times New Roman" w:cs="Times New Roman"/>
          <w:i/>
        </w:rPr>
        <w:t>k</w:t>
      </w:r>
      <w:r w:rsidRPr="00F23F20">
        <w:rPr>
          <w:rFonts w:ascii="Times New Roman" w:hAnsi="Times New Roman" w:cs="Times New Roman"/>
        </w:rPr>
        <w:t xml:space="preserve">, and average genome size, </w:t>
      </w:r>
      <w:r w:rsidRPr="00F23F20">
        <w:rPr>
          <w:rFonts w:ascii="Times New Roman" w:hAnsi="Times New Roman" w:cs="Times New Roman"/>
          <w:i/>
        </w:rPr>
        <w:t>l</w:t>
      </w:r>
      <w:r w:rsidRPr="00F23F20">
        <w:rPr>
          <w:rFonts w:ascii="Times New Roman" w:hAnsi="Times New Roman" w:cs="Times New Roman"/>
        </w:rPr>
        <w:t xml:space="preserve">, in number of base pairs (Figure 2.8B). Thus, the number of possible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w:t>
      </w:r>
      <w:r w:rsidRPr="00F23F20">
        <w:rPr>
          <w:rFonts w:ascii="Times New Roman" w:hAnsi="Times New Roman" w:cs="Times New Roman"/>
          <w:i/>
        </w:rPr>
        <w:t>K</w:t>
      </w:r>
      <w:r w:rsidRPr="00F23F20">
        <w:rPr>
          <w:rFonts w:ascii="Times New Roman" w:hAnsi="Times New Roman" w:cs="Times New Roman"/>
        </w:rPr>
        <w:t xml:space="preserve">, associated with the </w:t>
      </w:r>
      <w:proofErr w:type="spellStart"/>
      <w:r w:rsidRPr="00F23F20">
        <w:rPr>
          <w:rFonts w:ascii="Times New Roman" w:hAnsi="Times New Roman" w:cs="Times New Roman"/>
          <w:i/>
        </w:rPr>
        <w:t>i</w:t>
      </w:r>
      <w:r w:rsidRPr="00F23F20">
        <w:rPr>
          <w:rFonts w:ascii="Times New Roman" w:hAnsi="Times New Roman" w:cs="Times New Roman"/>
          <w:vertAlign w:val="superscript"/>
        </w:rPr>
        <w:t>th</w:t>
      </w:r>
      <w:proofErr w:type="spellEnd"/>
      <w:r w:rsidRPr="00F23F20">
        <w:rPr>
          <w:rFonts w:ascii="Times New Roman" w:hAnsi="Times New Roman" w:cs="Times New Roman"/>
        </w:rPr>
        <w:t xml:space="preserve"> genome, </w:t>
      </w:r>
      <w:proofErr w:type="spellStart"/>
      <w:r w:rsidRPr="00F23F20">
        <w:rPr>
          <w:rFonts w:ascii="Times New Roman" w:hAnsi="Times New Roman" w:cs="Times New Roman"/>
          <w:i/>
        </w:rPr>
        <w:t>g</w:t>
      </w:r>
      <w:r w:rsidRPr="00F23F20">
        <w:rPr>
          <w:rFonts w:ascii="Times New Roman" w:hAnsi="Times New Roman" w:cs="Times New Roman"/>
          <w:vertAlign w:val="subscript"/>
        </w:rPr>
        <w:t>i</w:t>
      </w:r>
      <w:proofErr w:type="spellEnd"/>
      <w:r w:rsidRPr="00F23F20">
        <w:rPr>
          <w:rFonts w:ascii="Times New Roman" w:hAnsi="Times New Roman" w:cs="Times New Roman"/>
        </w:rPr>
        <w:t xml:space="preserve">, within </w:t>
      </w:r>
      <w:r w:rsidRPr="00F23F20">
        <w:rPr>
          <w:rFonts w:ascii="Times New Roman" w:hAnsi="Times New Roman" w:cs="Times New Roman"/>
          <w:i/>
        </w:rPr>
        <w:t xml:space="preserve">G </w:t>
      </w:r>
      <w:r w:rsidRPr="00F23F20">
        <w:rPr>
          <w:rFonts w:ascii="Times New Roman" w:hAnsi="Times New Roman" w:cs="Times New Roman"/>
        </w:rPr>
        <w:t>is equal to:</w:t>
      </w:r>
    </w:p>
    <w:p w14:paraId="34FCBECF" w14:textId="77777777" w:rsidR="00365526" w:rsidRPr="00F23F20" w:rsidRDefault="002A3883" w:rsidP="00365526">
      <w:pPr>
        <w:pStyle w:val="Standard"/>
        <w:spacing w:line="480" w:lineRule="auto"/>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K</m:t>
            </m:r>
          </m:e>
          <m:sub>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sub>
        </m:sSub>
        <m:r>
          <w:rPr>
            <w:rFonts w:ascii="Cambria Math" w:hAnsi="Cambria Math" w:cs="Times New Roman"/>
          </w:rPr>
          <m:t>=l</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e>
        </m:d>
        <m:r>
          <w:rPr>
            <w:rFonts w:ascii="Cambria Math" w:hAnsi="Cambria Math" w:cs="Times New Roman"/>
          </w:rPr>
          <m:t>-k+1</m:t>
        </m:r>
      </m:oMath>
      <w:r w:rsidR="00365526" w:rsidRPr="00F23F20">
        <w:rPr>
          <w:rFonts w:ascii="Times New Roman" w:hAnsi="Times New Roman" w:cs="Times New Roman"/>
        </w:rPr>
        <w:t xml:space="preserve"> </w:t>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t xml:space="preserve">    (2.2</w:t>
      </w:r>
    </w:p>
    <w:p w14:paraId="5F30E3FD" w14:textId="77777777" w:rsidR="00365526" w:rsidRPr="00F23F20" w:rsidRDefault="00365526" w:rsidP="00365526">
      <w:pPr>
        <w:pStyle w:val="Standard"/>
        <w:spacing w:line="480" w:lineRule="auto"/>
        <w:ind w:firstLine="720"/>
        <w:rPr>
          <w:rFonts w:ascii="Times New Roman" w:hAnsi="Times New Roman" w:cs="Times New Roman"/>
        </w:rPr>
      </w:pPr>
      <w:r w:rsidRPr="00F23F20">
        <w:rPr>
          <w:rFonts w:ascii="Times New Roman" w:hAnsi="Times New Roman" w:cs="Times New Roman"/>
        </w:rPr>
        <w:t xml:space="preserve">Note that equation 2.2 considers homologous DNA as unique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This is for model simplification. From equation 2.2, the metagenome, </w:t>
      </w:r>
      <w:proofErr w:type="spellStart"/>
      <w:r w:rsidRPr="00F23F20">
        <w:rPr>
          <w:rFonts w:ascii="Times New Roman" w:hAnsi="Times New Roman" w:cs="Times New Roman"/>
          <w:i/>
        </w:rPr>
        <w:t>g</w:t>
      </w:r>
      <w:r w:rsidRPr="00F23F20">
        <w:rPr>
          <w:rFonts w:ascii="Times New Roman" w:hAnsi="Times New Roman" w:cs="Times New Roman"/>
          <w:vertAlign w:val="subscript"/>
        </w:rPr>
        <w:t>MG</w:t>
      </w:r>
      <w:proofErr w:type="spellEnd"/>
      <w:r w:rsidRPr="00F23F20">
        <w:rPr>
          <w:rFonts w:ascii="Times New Roman" w:hAnsi="Times New Roman" w:cs="Times New Roman"/>
        </w:rPr>
        <w:t xml:space="preserve">, for </w:t>
      </w:r>
      <w:proofErr w:type="spellStart"/>
      <w:r w:rsidRPr="00F23F20">
        <w:rPr>
          <w:rFonts w:ascii="Times New Roman" w:hAnsi="Times New Roman" w:cs="Times New Roman"/>
          <w:i/>
        </w:rPr>
        <w:t>g</w:t>
      </w:r>
      <w:r w:rsidRPr="00F23F20">
        <w:rPr>
          <w:rFonts w:ascii="Times New Roman" w:hAnsi="Times New Roman" w:cs="Times New Roman"/>
          <w:vertAlign w:val="subscript"/>
        </w:rPr>
        <w:t>i</w:t>
      </w:r>
      <w:proofErr w:type="spellEnd"/>
      <w:r w:rsidRPr="00F23F20">
        <w:rPr>
          <w:rFonts w:ascii="Times New Roman" w:hAnsi="Times New Roman" w:cs="Times New Roman"/>
        </w:rPr>
        <w:t xml:space="preserve"> is defined as the set of all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(Figure 2.8C) or:</w:t>
      </w:r>
    </w:p>
    <w:p w14:paraId="71A7441D" w14:textId="77777777" w:rsidR="00365526" w:rsidRPr="00F23F20" w:rsidRDefault="002A3883" w:rsidP="00365526">
      <w:pPr>
        <w:pStyle w:val="Standard"/>
        <w:spacing w:line="480" w:lineRule="auto"/>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MG,i</m:t>
            </m:r>
          </m:sub>
        </m:sSub>
        <m:r>
          <w:rPr>
            <w:rFonts w:ascii="Cambria Math" w:hAnsi="Cambria Math" w:cs="Times New Roman"/>
          </w:rPr>
          <m:t>=</m:t>
        </m:r>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i,1,1+k</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i,2,2+k</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i,K</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r>
                  <w:rPr>
                    <w:rFonts w:ascii="Cambria Math" w:hAnsi="Cambria Math" w:cs="Times New Roman"/>
                  </w:rPr>
                  <m:t>,K</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i</m:t>
                    </m:r>
                  </m:sub>
                </m:sSub>
                <m:r>
                  <w:rPr>
                    <w:rFonts w:ascii="Cambria Math" w:hAnsi="Cambria Math" w:cs="Times New Roman"/>
                  </w:rPr>
                  <m:t>+k</m:t>
                </m:r>
              </m:sub>
            </m:sSub>
          </m:e>
        </m:d>
      </m:oMath>
      <w:r w:rsidR="00365526" w:rsidRPr="00F23F20">
        <w:rPr>
          <w:rFonts w:ascii="Times New Roman" w:hAnsi="Times New Roman" w:cs="Times New Roman"/>
        </w:rPr>
        <w:t xml:space="preserve"> </w:t>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t xml:space="preserve">                 (2.3 </w:t>
      </w:r>
    </w:p>
    <w:p w14:paraId="38ECF942" w14:textId="77777777" w:rsidR="00365526" w:rsidRPr="00F23F20" w:rsidRDefault="00365526" w:rsidP="00365526">
      <w:pPr>
        <w:pStyle w:val="Standard"/>
        <w:spacing w:line="480" w:lineRule="auto"/>
        <w:rPr>
          <w:rFonts w:ascii="Times New Roman" w:hAnsi="Times New Roman" w:cs="Times New Roman"/>
        </w:rPr>
      </w:pPr>
      <w:r w:rsidRPr="00F23F20">
        <w:rPr>
          <w:rFonts w:ascii="Times New Roman" w:hAnsi="Times New Roman" w:cs="Times New Roman"/>
        </w:rPr>
        <w:t xml:space="preserve">where the subscripts for </w:t>
      </w:r>
      <w:proofErr w:type="spellStart"/>
      <w:r w:rsidRPr="00F23F20">
        <w:rPr>
          <w:rFonts w:ascii="Times New Roman" w:hAnsi="Times New Roman" w:cs="Times New Roman"/>
          <w:i/>
        </w:rPr>
        <w:t>g</w:t>
      </w:r>
      <w:r w:rsidRPr="00F23F20">
        <w:rPr>
          <w:rFonts w:ascii="Times New Roman" w:hAnsi="Times New Roman" w:cs="Times New Roman"/>
          <w:vertAlign w:val="subscript"/>
        </w:rPr>
        <w:t>i</w:t>
      </w:r>
      <w:proofErr w:type="spellEnd"/>
      <w:r w:rsidRPr="00F23F20">
        <w:rPr>
          <w:rFonts w:ascii="Times New Roman" w:hAnsi="Times New Roman" w:cs="Times New Roman"/>
        </w:rPr>
        <w:t xml:space="preserve"> represent a given </w:t>
      </w:r>
      <w:r w:rsidRPr="00F23F20">
        <w:rPr>
          <w:rFonts w:ascii="Times New Roman" w:hAnsi="Times New Roman" w:cs="Times New Roman"/>
          <w:i/>
        </w:rPr>
        <w:t>k</w:t>
      </w:r>
      <w:r w:rsidRPr="00F23F20">
        <w:rPr>
          <w:rFonts w:ascii="Times New Roman" w:hAnsi="Times New Roman" w:cs="Times New Roman"/>
        </w:rPr>
        <w:t xml:space="preserve">-sized read spanning from an arbitrary starting base pair to the arbitrary starting base pair plus </w:t>
      </w:r>
      <w:r w:rsidRPr="00F23F20">
        <w:rPr>
          <w:rFonts w:ascii="Times New Roman" w:hAnsi="Times New Roman" w:cs="Times New Roman"/>
          <w:i/>
        </w:rPr>
        <w:t>k</w:t>
      </w:r>
      <w:r w:rsidRPr="00F23F20">
        <w:rPr>
          <w:rFonts w:ascii="Times New Roman" w:hAnsi="Times New Roman" w:cs="Times New Roman"/>
        </w:rPr>
        <w:t xml:space="preserve">. By substituting </w:t>
      </w:r>
      <w:proofErr w:type="spellStart"/>
      <w:r w:rsidRPr="00F23F20">
        <w:rPr>
          <w:rFonts w:ascii="Times New Roman" w:hAnsi="Times New Roman" w:cs="Times New Roman"/>
          <w:i/>
        </w:rPr>
        <w:t>g</w:t>
      </w:r>
      <w:r w:rsidRPr="00F23F20">
        <w:rPr>
          <w:rFonts w:ascii="Times New Roman" w:hAnsi="Times New Roman" w:cs="Times New Roman"/>
          <w:vertAlign w:val="subscript"/>
        </w:rPr>
        <w:t>MG,i</w:t>
      </w:r>
      <w:proofErr w:type="spellEnd"/>
      <w:r w:rsidRPr="00F23F20">
        <w:rPr>
          <w:rFonts w:ascii="Times New Roman" w:hAnsi="Times New Roman" w:cs="Times New Roman"/>
        </w:rPr>
        <w:t xml:space="preserve"> into all </w:t>
      </w:r>
      <w:r w:rsidRPr="00F23F20">
        <w:rPr>
          <w:rFonts w:ascii="Times New Roman" w:hAnsi="Times New Roman" w:cs="Times New Roman"/>
          <w:i/>
        </w:rPr>
        <w:t>g</w:t>
      </w:r>
      <w:r w:rsidRPr="00F23F20">
        <w:rPr>
          <w:rFonts w:ascii="Times New Roman" w:hAnsi="Times New Roman" w:cs="Times New Roman"/>
        </w:rPr>
        <w:t xml:space="preserve"> for equation 2.1 (Figure 2.8D), the metagenome for a microbial community, </w:t>
      </w:r>
      <w:r w:rsidRPr="00F23F20">
        <w:rPr>
          <w:rFonts w:ascii="Times New Roman" w:hAnsi="Times New Roman" w:cs="Times New Roman"/>
          <w:i/>
        </w:rPr>
        <w:t>G</w:t>
      </w:r>
      <w:r w:rsidRPr="00F23F20">
        <w:rPr>
          <w:rFonts w:ascii="Times New Roman" w:hAnsi="Times New Roman" w:cs="Times New Roman"/>
          <w:vertAlign w:val="subscript"/>
        </w:rPr>
        <w:t>MG</w:t>
      </w:r>
      <w:r w:rsidRPr="00F23F20">
        <w:rPr>
          <w:rFonts w:ascii="Times New Roman" w:hAnsi="Times New Roman" w:cs="Times New Roman"/>
        </w:rPr>
        <w:t xml:space="preserve">, is derived to be:  </w:t>
      </w:r>
    </w:p>
    <w:p w14:paraId="76232207" w14:textId="77777777" w:rsidR="00365526" w:rsidRPr="00F23F20" w:rsidRDefault="002A3883" w:rsidP="00365526">
      <w:pPr>
        <w:pStyle w:val="Standard"/>
        <w:spacing w:line="480" w:lineRule="auto"/>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MG</m:t>
            </m:r>
          </m:sub>
        </m:sSub>
        <m:r>
          <w:rPr>
            <w:rFonts w:ascii="Cambria Math" w:hAnsi="Cambria Math" w:cs="Times New Roman"/>
          </w:rPr>
          <m:t>=</m:t>
        </m:r>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1</m:t>
                </m:r>
              </m:sub>
            </m:sSub>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MG,1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2</m:t>
                </m:r>
              </m:sub>
            </m:sSub>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MG,2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s</m:t>
                </m:r>
              </m:sub>
            </m:sSub>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MG,s</m:t>
                </m:r>
              </m:sub>
            </m:sSub>
          </m:e>
          <m:e>
            <m:r>
              <w:rPr>
                <w:rFonts w:ascii="Cambria Math" w:hAnsi="Cambria Math" w:cs="Times New Roman"/>
              </w:rPr>
              <m:t>n∈N</m:t>
            </m:r>
          </m:e>
        </m:d>
      </m:oMath>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t xml:space="preserve">                 (2.4 while the population of </w:t>
      </w:r>
      <w:r w:rsidR="00365526" w:rsidRPr="00F23F20">
        <w:rPr>
          <w:rFonts w:ascii="Times New Roman" w:hAnsi="Times New Roman" w:cs="Times New Roman"/>
          <w:i/>
          <w:iCs/>
        </w:rPr>
        <w:t>k</w:t>
      </w:r>
      <w:r w:rsidR="00365526" w:rsidRPr="00F23F20">
        <w:rPr>
          <w:rFonts w:ascii="Times New Roman" w:hAnsi="Times New Roman" w:cs="Times New Roman"/>
        </w:rPr>
        <w:t>-</w:t>
      </w:r>
      <w:proofErr w:type="spellStart"/>
      <w:r w:rsidR="00365526" w:rsidRPr="00F23F20">
        <w:rPr>
          <w:rFonts w:ascii="Times New Roman" w:hAnsi="Times New Roman" w:cs="Times New Roman"/>
        </w:rPr>
        <w:t>mers</w:t>
      </w:r>
      <w:proofErr w:type="spellEnd"/>
      <w:r w:rsidR="00365526" w:rsidRPr="00F23F20">
        <w:rPr>
          <w:rFonts w:ascii="Times New Roman" w:hAnsi="Times New Roman" w:cs="Times New Roman"/>
        </w:rPr>
        <w:t xml:space="preserve"> in the metagenome, </w:t>
      </w:r>
      <w:r w:rsidR="00365526" w:rsidRPr="00F23F20">
        <w:rPr>
          <w:rFonts w:ascii="Times New Roman" w:hAnsi="Times New Roman" w:cs="Times New Roman"/>
          <w:i/>
        </w:rPr>
        <w:t>G</w:t>
      </w:r>
      <w:r w:rsidR="00365526" w:rsidRPr="00F23F20">
        <w:rPr>
          <w:rFonts w:ascii="Times New Roman" w:hAnsi="Times New Roman" w:cs="Times New Roman"/>
          <w:vertAlign w:val="subscript"/>
        </w:rPr>
        <w:t>MG</w:t>
      </w:r>
      <w:r w:rsidR="00365526" w:rsidRPr="00F23F20">
        <w:rPr>
          <w:rFonts w:ascii="Times New Roman" w:hAnsi="Times New Roman" w:cs="Times New Roman"/>
        </w:rPr>
        <w:t xml:space="preserve"> (Figure 2.8E), is represented as:</w:t>
      </w:r>
    </w:p>
    <w:p w14:paraId="3CDD6A91" w14:textId="77777777" w:rsidR="00365526" w:rsidRPr="00F23F20" w:rsidRDefault="002A3883" w:rsidP="00365526">
      <w:pPr>
        <w:spacing w:line="480" w:lineRule="auto"/>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r>
          <w:rPr>
            <w:rFonts w:ascii="Cambria Math" w:hAnsi="Cambria Math" w:cs="Times New Roman"/>
          </w:rPr>
          <m:t>=</m:t>
        </m:r>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MG,1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MG,2</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MG,s</m:t>
                </m:r>
              </m:sub>
            </m:sSub>
          </m:e>
        </m:d>
      </m:oMath>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t xml:space="preserve">     (2.5</w:t>
      </w:r>
    </w:p>
    <w:p w14:paraId="154E189E" w14:textId="303294E7"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From equation 2.5, one can determine the cardinality, or the total number, of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associated with </w:t>
      </w:r>
      <w:r w:rsidRPr="00F23F20">
        <w:rPr>
          <w:rFonts w:ascii="Times New Roman" w:hAnsi="Times New Roman" w:cs="Times New Roman"/>
          <w:i/>
        </w:rPr>
        <w:t>G</w:t>
      </w:r>
      <w:r w:rsidRPr="00F23F20">
        <w:rPr>
          <w:rFonts w:ascii="Times New Roman" w:hAnsi="Times New Roman" w:cs="Times New Roman"/>
          <w:vertAlign w:val="subscript"/>
        </w:rPr>
        <w:t>MG</w:t>
      </w:r>
      <w:r w:rsidRPr="00F23F20">
        <w:rPr>
          <w:rFonts w:ascii="Times New Roman" w:hAnsi="Times New Roman" w:cs="Times New Roman"/>
        </w:rPr>
        <w:t xml:space="preserve"> (expressed as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oMath>
      <w:r w:rsidRPr="00F23F20">
        <w:rPr>
          <w:rFonts w:ascii="Times New Roman" w:hAnsi="Times New Roman" w:cs="Times New Roman"/>
          <w:bCs/>
        </w:rPr>
        <w:t>).</w:t>
      </w:r>
      <w:r w:rsidRPr="00F23F20">
        <w:rPr>
          <w:rFonts w:ascii="Times New Roman" w:hAnsi="Times New Roman" w:cs="Times New Roman"/>
        </w:rPr>
        <w:t xml:space="preserve"> To an effect,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oMath>
      <w:r w:rsidRPr="00F23F20">
        <w:rPr>
          <w:rFonts w:ascii="Times New Roman" w:hAnsi="Times New Roman" w:cs="Times New Roman"/>
          <w:bCs/>
        </w:rPr>
        <w:t xml:space="preserve"> is analogous with “metagenomic richness” of an environment. </w:t>
      </w:r>
      <w:r w:rsidRPr="00F23F20">
        <w:rPr>
          <w:rFonts w:ascii="Times New Roman" w:hAnsi="Times New Roman" w:cs="Times New Roman"/>
        </w:rPr>
        <w:t xml:space="preserve">When attempting to fully sequence </w:t>
      </w:r>
      <w:r w:rsidRPr="00F23F20">
        <w:rPr>
          <w:rFonts w:ascii="Times New Roman" w:hAnsi="Times New Roman" w:cs="Times New Roman"/>
          <w:i/>
        </w:rPr>
        <w:t>G</w:t>
      </w:r>
      <w:r w:rsidRPr="00F23F20">
        <w:rPr>
          <w:rFonts w:ascii="Times New Roman" w:hAnsi="Times New Roman" w:cs="Times New Roman"/>
          <w:vertAlign w:val="subscript"/>
        </w:rPr>
        <w:t>MG</w:t>
      </w:r>
      <w:r w:rsidRPr="00F23F20">
        <w:rPr>
          <w:rFonts w:ascii="Times New Roman" w:hAnsi="Times New Roman" w:cs="Times New Roman"/>
        </w:rPr>
        <w:t xml:space="preserve"> using shotgun metagenomics, we assume that sampling events (sequence reads) are independent and are sampled with replacement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{"citationItems":[{"id":"ITEM-1","itemData":{"DOI":"10.1038/nature07517","ISBN":"1476-4687 (Electronic) 0028-0836 (Linking)","ISSN":"00280836","PMID":"18987734","abstract":"DNA sequence information underpins genetic research, enabling discoveries of important biological or medical benefit. Sequencing projects have traditionally used long (400-800 base pair) reads, but the existence of reference sequences for the human and many other genomes makes it possible to develop new, fast approaches to re-sequencing, whereby shorter reads are compared to a reference to identify intraspecies genetic variation. Here we report an approach that generates several billion bases of accurate nucleotide sequence per experiment at low cost. Single molecules of DNA are attached to a flat surface, amplified in situ and used as templates for synthetic sequencing with fluorescent reversible terminator deoxyribonucleotides. Images of the surface are analysed to generate high-quality sequence. We demonstrate application of this approach to human genome sequencing on flow-sorted X chromosomes and then scale the approach to determine the genome sequence of a male Yoruba from Ibadan, Nigeria. We build an accurate consensus sequence from &gt;30x average depth of paired 35-base reads. We characterize four million single-nucleotide polymorphisms and four hundred thousand structural variants, many of which were previously unknown. Our approach is effective for accurate, rapid and economical whole-genome re-sequencing and many other biomedical applications.","author":[{"dropping-particle":"","family":"Bentley","given":"David R.","non-dropping-particle":"","parse-names":false,"suffix":""},{"dropping-particle":"","family":"Balasubramanian","given":"Shankar","non-dropping-particle":"","parse-names":false,"suffix":""},{"dropping-particle":"","family":"Swerdlow","given":"Harold P.","non-dropping-particle":"","parse-names":false,"suffix":""},{"dropping-particle":"","family":"Smith","given":"Geoffrey P.","non-dropping-particle":"","parse-names":false,"suffix":""},{"dropping-particle":"","family":"Milton","given":"John","non-dropping-particle":"","parse-names":false,"suffix":""},{"dropping-particle":"","family":"Brown","given":"Clive G.","non-dropping-particle":"","parse-names":false,"suffix":""},{"dropping-particle":"","family":"Hall","given":"Kevin P.","non-dropping-particle":"","parse-names":false,"suffix":""},{"dropping-particle":"","family":"Evers","given":"Dirk J.","non-dropping-particle":"","parse-names":false,"suffix":""},{"dropping-particle":"","family":"Barnes","given":"Colin L.","non-dropping-particle":"","parse-names":false,"suffix":""},{"dropping-particle":"","family":"Bignell","given":"Helen R.","non-dropping-particle":"","parse-names":false,"suffix":""},{"dropping-particle":"","family":"Boutell","given":"Jonathan M.","non-dropping-particle":"","parse-names":false,"suffix":""},{"dropping-particle":"","family":"Bryant","given":"Jason","non-dropping-particle":"","parse-names":false,"suffix":""},{"dropping-particle":"","family":"Carter","given":"Richard J.","non-dropping-particle":"","parse-names":false,"suffix":""},{"dropping-particle":"","family":"Keira Cheetham","given":"R.","non-dropping-particle":"","parse-names":false,"suffix":""},{"dropping-particle":"","family":"Cox","given":"Anthony J.","non-dropping-particle":"","parse-names":false,"suffix":""},{"dropping-particle":"","family":"Ellis","given":"Darren J.","non-dropping-particle":"","parse-names":false,"suffix":""},{"dropping-particle":"","family":"Flatbush","given":"Michael R.","non-dropping-particle":"","parse-names":false,"suffix":""},{"dropping-particle":"","family":"Gormley","given":"Niall A.","non-dropping-particle":"","parse-names":false,"suffix":""},{"dropping-particle":"","family":"Humphray","given":"Sean J.","non-dropping-particle":"","parse-names":false,"suffix":""},{"dropping-particle":"","family":"Irving","given":"Leslie J.","non-dropping-particle":"","parse-names":false,"suffix":""},{"dropping-particle":"","family":"Karbelashvili","given":"Mirian S.","non-dropping-particle":"","parse-names":false,"suffix":""},{"dropping-particle":"","family":"Kirk","given":"Scott M.","non-dropping-particle":"","parse-names":false,"suffix":""},{"dropping-particle":"","family":"Li","given":"Heng","non-dropping-particle":"","parse-names":false,"suffix":""},{"dropping-particle":"","family":"Liu","given":"Xiaohai","non-dropping-particle":"","parse-names":false,"suffix":""},{"dropping-particle":"","family":"Maisinger","given":"Klaus S.","non-dropping-particle":"","parse-names":false,"suffix":""},{"dropping-particle":"","family":"Murray","given":"Lisa J.","non-dropping-particle":"","parse-names":false,"suffix":""},{"dropping-particle":"","family":"Obradovic","given":"Bojan","non-dropping-particle":"","parse-names":false,"suffix":""},{"dropping-particle":"","family":"Ost","given":"Tobias","non-dropping-particle":"","parse-names":false,"suffix":""},{"dropping-particle":"","family":"Parkinson","given":"Michael L.","non-dropping-particle":"","parse-names":false,"suffix":""},{"dropping-particle":"","family":"Pratt","given":"Mark R.","non-dropping-particle":"","parse-names":false,"suffix":""},{"dropping-particle":"","family":"Rasolonjatovo","given":"Isabelle M.J.","non-dropping-particle":"","parse-names":false,"suffix":""},{"dropping-particle":"","family":"Reed","given":"Mark T.","non-dropping-particle":"","parse-names":false,"suffix":""},{"dropping-particle":"","family":"Rigatti","given":"Roberto","non-dropping-particle":"","parse-names":false,"suffix":""},{"dropping-particle":"","family":"Rodighiero","given":"Chiara","non-dropping-particle":"","parse-names":false,"suffix":""},{"dropping-particle":"","family":"Ross","given":"Mark T.","non-dropping-particle":"","parse-names":false,"suffix":""},{"dropping-particle":"","family":"Sabot","given":"Andrea","non-dropping-particle":"","parse-names":false,"suffix":""},{"dropping-particle":"V.","family":"Sankar","given":"Subramanian","non-dropping-particle":"","parse-names":false,"suffix":""},{"dropping-particle":"","family":"Scally","given":"Aylwyn","non-dropping-particle":"","parse-names":false,"suffix":""},{"dropping-particle":"","family":"Schroth","given":"Gary P.","non-dropping-particle":"","parse-names":false,"suffix":""},{"dropping-particle":"","family":"Smith","given":"Mark E.","non-dropping-particle":"","parse-names":false,"suffix":""},{"dropping-particle":"","family":"Smith","given":"Vincent P.","non-dropping-particle":"","parse-names":false,"suffix":""},{"dropping-particle":"","family":"Spiridou","given":"Anastassia","non-dropping-particle":"","parse-names":false,"suffix":""},{"dropping-particle":"","family":"Torrance","given":"Peta E.","non-dropping-particle":"","parse-names":false,"suffix":""},{"dropping-particle":"","family":"Tzonev","given":"Svilen S.","non-dropping-particle":"","parse-names":false,"suffix":""},{"dropping-particle":"","family":"Vermaas","given":"Eric H.","non-dropping-particle":"","parse-names":false,"suffix":""},{"dropping-particle":"","family":"Walter","given":"Klaudia","non-dropping-particle":"","parse-names":false,"suffix":""},{"dropping-particle":"","family":"Wu","given":"Xiaolin","non-dropping-particle":"","parse-names":false,"suffix":""},{"dropping-particle":"","family":"Zhang","given":"Lu","non-dropping-particle":"","parse-names":false,"suffix":""},{"dropping-particle":"","family":"Alam","given":"Mohammed D.","non-dropping-particle":"","parse-names":false,"suffix":""},{"dropping-particle":"","family":"Anastasi","given":"Carole","non-dropping-particle":"","parse-names":false,"suffix":""},{"dropping-particle":"","family":"Aniebo","given":"Ify C.","non-dropping-particle":"","parse-names":false,"suffix":""},{"dropping-particle":"","family":"Bailey","given":"David M.D.","non-dropping-particle":"","parse-names":false,"suffix":""},{"dropping-particle":"","family":"Bancarz","given":"Iain R.","non-dropping-particle":"","parse-names":false,"suffix":""},{"dropping-particle":"","family":"Banerjee","given":"Saibal","non-dropping-particle":"","parse-names":false,"suffix":""},{"dropping-particle":"","family":"Barbour","given":"Selena G.","non-dropping-particle":"","parse-names":false,"suffix":""},{"dropping-particle":"","family":"Baybayan","given":"Primo A.","non-dropping-particle":"","parse-names":false,"suffix":""},{"dropping-particle":"","family":"Benoit","given":"Vincent A.","non-dropping-particle":"","parse-names":false,"suffix":""},{"dropping-particle":"","family":"Benson","given":"Kevin F.","non-dropping-particle":"","parse-names":false,"suffix":""},{"dropping-particle":"","family":"Bevis","given":"Claire","non-dropping-particle":"","parse-names":false,"suffix":""},{"dropping-particle":"","family":"Black","given":"Phillip J.","non-dropping-particle":"","parse-names":false,"suffix":""},{"dropping-particle":"","family":"Boodhun","given":"Asha","non-dropping-particle":"","parse-names":false,"suffix":""},{"dropping-particle":"","family":"Brennan","given":"Joe S.","non-dropping-particle":"","parse-names":false,"suffix":""},{"dropping-particle":"","family":"Bridgham","given":"John A.","non-dropping-particle":"","parse-names":false,"suffix":""},{"dropping-particle":"","family":"Brown","given":"Rob C.","non-dropping-particle":"","parse-names":false,"suffix":""},{"dropping-particle":"","family":"Brown","given":"Andrew A.","non-dropping-particle":"","parse-names":false,"suffix":""},{"dropping-particle":"","family":"Buermann","given":"Dale H.","non-dropping-particle":"","parse-names":false,"suffix":""},{"dropping-particle":"","family":"Bundu","given":"Abass A.","non-dropping-particle":"","parse-names":false,"suffix":""},{"dropping-particle":"","family":"Burrows","given":"James C.","non-dropping-particle":"","parse-names":false,"suffix":""},{"dropping-particle":"","family":"Carter","given":"Nigel P.","non-dropping-particle":"","parse-names":false,"suffix":""},{"dropping-particle":"","family":"Castillo","given":"Nestor","non-dropping-particle":"","parse-names":false,"suffix":""},{"dropping-particle":"","family":"Catenazzi","given":"Maria Chiara E.","non-dropping-particle":"","parse-names":false,"suffix":""},{"dropping-particle":"","family":"Chang","given":"Simon","non-dropping-particle":"","parse-names":false,"suffix":""},{"dropping-particle":"","family":"Neil Cooley","given":"R.","non-dropping-particle":"","parse-names":false,"suffix":""},{"dropping-particle":"","family":"Crake","given":"Natasha R.","non-dropping-particle":"","parse-names":false,"suffix":""},{"dropping-particle":"","family":"Dada","given":"Olubunmi O.","non-dropping-particle":"","parse-names":false,"suffix":""},{"dropping-particle":"","family":"Diakoumakos","given":"Konstantinos D.","non-dropping-particle":"","parse-names":false,"suffix":""},{"dropping-particle":"","family":"Dominguez-Fernandez","given":"Belen","non-dropping-particle":"","parse-names":false,"suffix":""},{"dropping-particle":"","family":"Earnshaw","given":"David J.","non-dropping-particle":"","parse-names":false,"suffix":""},{"dropping-particle":"","family":"Egbujor","given":"Ugonna C.","non-dropping-particle":"","parse-names":false,"suffix":""},{"dropping-particle":"","family":"Elmore","given":"David W.","non-dropping-particle":"","parse-names":false,"suffix":""},{"dropping-particle":"","family":"Etchin","given":"Sergey S.","non-dropping-particle":"","parse-names":false,"suffix":""},{"dropping-particle":"","family":"Ewan","given":"Mark R.","non-dropping-particle":"","parse-names":false,"suffix":""},{"dropping-particle":"","family":"Fedurco","given":"Milan","non-dropping-particle":"","parse-names":false,"suffix":""},{"dropping-particle":"","family":"Fraser","given":"Louise J.","non-dropping-particle":"","parse-names":false,"suffix":""},{"dropping-particle":"V.","family":"Fuentes Fajardo","given":"Karin","non-dropping-particle":"","parse-names":false,"suffix":""},{"dropping-particle":"","family":"Scott Furey","given":"W.","non-dropping-particle":"","parse-names":false,"suffix":""},{"dropping-particle":"","family":"George","given":"David","non-dropping-particle":"","parse-names":false,"suffix":""},{"dropping-particle":"","family":"Gietzen","given":"Kimberley J.","non-dropping-particle":"","parse-names":false,"suffix":""},{"dropping-particle":"","family":"Goddard","given":"Colin P.","non-dropping-particle":"","parse-names":false,"suffix":""},{"dropping-particle":"","family":"Golda","given":"George S.","non-dropping-particle":"","parse-names":false,"suffix":""},{"dropping-particle":"","family":"Granieri","given":"Philip A.","non-dropping-particle":"","parse-names":false,"suffix":""},{"dropping-particle":"","family":"Green","given":"David E.","non-dropping-particle":"","parse-names":false,"suffix":""},{"dropping-particle":"","family":"Gustafson","given":"David L.","non-dropping-particle":"","parse-names":false,"suffix":""},{"dropping-particle":"","family":"Hansen","given":"Nancy F.","non-dropping-particle":"","parse-names":false,"suffix":""},{"dropping-particle":"","family":"Harnish","given":"Kevin","non-dropping-particle":"","parse-names":false,"suffix":""},{"dropping-particle":"","family":"Haudenschild","given":"Christian D.","non-dropping-particle":"","parse-names":false,"suffix":""},{"dropping-particle":"","family":"Heyer","given":"Narinder I.","non-dropping-particle":"","parse-names":false,"suffix":""},{"dropping-particle":"","family":"Hims","given":"Matthew M.","non-dropping-particle":"","parse-names":false,"suffix":""},{"dropping-particle":"","family":"Ho","given":"Johnny T.","non-dropping-particle":"","parse-names":false,"suffix":""},{"dropping-particle":"","family":"Horgan","given":"Adrian M.","non-dropping-particle":"","parse-names":false,"suffix":""},{"dropping-particle":"","family":"Hoschler","given":"Katya","non-dropping-particle":"","parse-names":false,"suffix":""},{"dropping-particle":"","family":"Hurwitz","given":"Steve","non-dropping-particle":"","parse-names":false,"suffix":""},{"dropping-particle":"V.","family":"Ivanov","given":"Denis","non-dropping-particle":"","parse-names":false,"suffix":""},{"dropping-particle":"","family":"Johnson","given":"Maria Q.","non-dropping-particle":"","parse-names":false,"suffix":""},{"dropping-particle":"","family":"James","given":"Terena","non-dropping-particle":"","parse-names":false,"suffix":""},{"dropping-particle":"","family":"Huw Jones","given":"T. A.","non-dropping-particle":"","parse-names":false,"suffix":""},{"dropping-particle":"","family":"Kang","given":"Gyoung Dong","non-dropping-particle":"","parse-names":false,"suffix":""},{"dropping-particle":"","family":"Kerelska","given":"Tzvetana H.","non-dropping-particle":"","parse-names":false,"suffix":""},{"dropping-particle":"","family":"Kersey","given":"Alan D.","non-dropping-particle":"","parse-names":false,"suffix":""},{"dropping-particle":"","family":"Khrebtukova","given":"Irina","non-dropping-particle":"","parse-names":false,"suffix":""},{"dropping-particle":"","family":"Kindwall","given":"Alex P.","non-dropping-particle":"","parse-names":false,"suffix":""},{"dropping-particle":"","family":"Kingsbury","given":"Zoya","non-dropping-particle":"","parse-names":false,"suffix":""},{"dropping-particle":"","family":"Kokko-Gonzales","given":"Paula I.","non-dropping-particle":"","parse-names":false,"suffix":""},{"dropping-particle":"","family":"Kumar","given":"Anil","non-dropping-particle":"","parse-names":false,"suffix":""},{"dropping-particle":"","family":"Laurent","given":"Marc A.","non-dropping-particle":"","parse-names":false,"suffix":""},{"dropping-particle":"","family":"Lawley","given":"Cynthia T.","non-dropping-particle":"","parse-names":false,"suffix":""},{"dropping-particle":"","family":"Lee","given":"Sarah E.","non-dropping-particle":"","parse-names":false,"suffix":""},{"dropping-particle":"","family":"Lee","given":"Xavier","non-dropping-particle":"","parse-names":false,"suffix":""},{"dropping-particle":"","family":"Liao","given":"Arnold K.","non-dropping-particle":"","parse-names":false,"suffix":""},{"dropping-particle":"","family":"Loch","given":"Jennifer A.","non-dropping-particle":"","parse-names":false,"suffix":""},{"dropping-particle":"","family":"Lok","given":"Mitch","non-dropping-particle":"","parse-names":false,"suffix":""},{"dropping-particle":"","family":"Luo","given":"Shujun","non-dropping-particle":"","parse-names":false,"suffix":""},{"dropping-particle":"","family":"Mammen","given":"Radhika M.","non-dropping-particle":"","parse-names":false,"suffix":""},{"dropping-particle":"","family":"Martin","given":"John W.","non-dropping-particle":"","parse-names":false,"suffix":""},{"dropping-particle":"","family":"McCauley","given":"Patrick G.","non-dropping-particle":"","parse-names":false,"suffix":""},{"dropping-particle":"","family":"McNitt","given":"Paul","non-dropping-particle":"","parse-names":false,"suffix":""},{"dropping-particle":"","family":"Mehta","given":"Parul","non-dropping-particle":"","parse-names":false,"suffix":""},{"dropping-particle":"","family":"Moon","given":"Keith W.","non-dropping-particle":"","parse-names":false,"suffix":""},{"dropping-particle":"","family":"Mullens","given":"Joe W.","non-dropping-particle":"","parse-names":false,"suffix":""},{"dropping-particle":"","family":"Newington","given":"Taksina","non-dropping-particle":"","parse-names":false,"suffix":""},{"dropping-particle":"","family":"Ning","given":"Zemin","non-dropping-particle":"","parse-names":false,"suffix":""},{"dropping-particle":"","family":"Ling Ng","given":"Bee","non-dropping-particle":"","parse-names":false,"suffix":""},{"dropping-particle":"","family":"Novo","given":"Sonia M.","non-dropping-particle":"","parse-names":false,"suffix":""},{"dropping-particle":"","family":"O'Neill","given":"Michael J.","non-dropping-particle":"","parse-names":false,"suffix":""},{"dropping-particle":"","family":"Osborne","given":"Mark A.","non-dropping-particle":"","parse-names":false,"suffix":""},{"dropping-particle":"","family":"Osnowski","given":"Andrew","non-dropping-particle":"","parse-names":false,"suffix":""},{"dropping-particle":"","family":"Ostadan","given":"Omead","non-dropping-particle":"","parse-names":false,"suffix":""},{"dropping-particle":"","family":"Paraschos","given":"Lambros L.","non-dropping-particle":"","parse-names":false,"suffix":""},{"dropping-particle":"","family":"Pickering","given":"Lea","non-dropping-particle":"","parse-names":false,"suffix":""},{"dropping-particle":"","family":"Pike","given":"Andrew C.","non-dropping-particle":"","parse-names":false,"suffix":""},{"dropping-particle":"","family":"Pike","given":"Alger C.","non-dropping-particle":"","parse-names":false,"suffix":""},{"dropping-particle":"","family":"Chris Pinkard","given":"D.","non-dropping-particle":"","parse-names":false,"suffix":""},{"dropping-particle":"","family":"Pliskin","given":"Daniel P.","non-dropping-particle":"","parse-names":false,"suffix":""},{"dropping-particle":"","family":"Podhasky","given":"Joe","non-dropping-particle":"","parse-names":false,"suffix":""},{"dropping-particle":"","family":"Quijano","given":"Victor J.","non-dropping-particle":"","parse-names":false,"suffix":""},{"dropping-particle":"","family":"Raczy","given":"Come","non-dropping-particle":"","parse-names":false,"suffix":""},{"dropping-particle":"","family":"Rae","given":"Vicki H.","non-dropping-particle":"","parse-names":false,"suffix":""},{"dropping-particle":"","family":"Rawlings","given":"Stephen R.","non-dropping-particle":"","parse-names":false,"suffix":""},{"dropping-particle":"","family":"Chiva Rodriguez","given":"Ana","non-dropping-particle":"","parse-names":false,"suffix":""},{"dropping-particle":"","family":"Roe","given":"Phyllida M.","non-dropping-particle":"","parse-names":false,"suffix":""},{"dropping-particle":"","family":"Rogers","given":"John","non-dropping-particle":"","parse-names":false,"suffix":""},{"dropping-particle":"","family":"Rogert Bacigalupo","given":"Maria C.","non-dropping-particle":"","parse-names":false,"suffix":""},{"dropping-particle":"","family":"Romanov","given":"Nikolai","non-dropping-particle":"","parse-names":false,"suffix":""},{"dropping-particle":"","family":"Romieu","given":"Anthony","non-dropping-particle":"","parse-names":false,"suffix":""},{"dropping-particle":"","family":"Roth","given":"Rithy K.","non-dropping-particle":"","parse-names":false,"suffix":""},{"dropping-particle":"","family":"Rourke","given":"Natalie J.","non-dropping-particle":"","parse-names":false,"suffix":""},{"dropping-particle":"","family":"Ruediger","given":"Silke T.","non-dropping-particle":"","parse-names":false,"suffix":""},{"dropping-particle":"","family":"Rusman","given":"Eli","non-dropping-particle":"","parse-names":false,"suffix":""},{"dropping-particle":"","family":"Sanches-Kuiper","given":"Raquel M.","non-dropping-particle":"","parse-names":false,"suffix":""},{"dropping-particle":"","family":"Schenker","given":"Martin R.","non-dropping-particle":"","parse-names":false,"suffix":""},{"dropping-particle":"","family":"Seoane","given":"Josefina M.","non-dropping-particle":"","parse-names":false,"suffix":""},{"dropping-particle":"","family":"Shaw","given":"Richard J.","non-dropping-particle":"","parse-names":false,"suffix":""},{"dropping-particle":"","family":"Shiver","given":"Mitch K.","non-dropping-particle":"","parse-names":false,"suffix":""},{"dropping-particle":"","family":"Short","given":"Steven W.","non-dropping-particle":"","parse-names":false,"suffix":""},{"dropping-particle":"","family":"Sizto","given":"Ning L.","non-dropping-particle":"","parse-names":false,"suffix":""},{"dropping-particle":"","family":"Sluis","given":"Johannes P.","non-dropping-particle":"","parse-names":false,"suffix":""},{"dropping-particle":"","family":"Smith","given":"Melanie A.","non-dropping-particle":"","parse-names":false,"suffix":""},{"dropping-particle":"","family":"Ernest Sohna Sohna","given":"Jean","non-dropping-particle":"","parse-names":false,"suffix":""},{"dropping-particle":"","family":"Spence","given":"Eric J.","non-dropping-particle":"","parse-names":false,"suffix":""},{"dropping-particle":"","family":"Stevens","given":"Kim","non-dropping-particle":"","parse-names":false,"suffix":""},{"dropping-particle":"","family":"Sutton","given":"Neil","non-dropping-particle":"","parse-names":false,"suffix":""},{"dropping-particle":"","family":"Szajkowski","given":"Lukasz","non-dropping-particle":"","parse-names":false,"suffix":""},{"dropping-particle":"","family":"Tregidgo","given":"Carolyn L.","non-dropping-particle":"","parse-names":false,"suffix":""},{"dropping-particle":"","family":"Turcatti","given":"Gerardo","non-dropping-particle":"","parse-names":false,"suffix":""},{"dropping-particle":"","family":"Vandevondele","given":"Stephanie","non-dropping-particle":"","parse-names":false,"suffix":""},{"dropping-particle":"","family":"Verhovsky","given":"Yuli","non-dropping-particle":"","parse-names":false,"suffix":""},{"dropping-particle":"","family":"Virk","given":"Selene M.","non-dropping-particle":"","parse-names":false,"suffix":""},{"dropping-particle":"","family":"Wakelin","given":"Suzanne","non-dropping-particle":"","parse-names":false,"suffix":""},{"dropping-particle":"","family":"Walcott","given":"Gregory C.","non-dropping-particle":"","parse-names":false,"suffix":""},{"dropping-particle":"","family":"Wang","given":"Jingwen","non-dropping-particle":"","parse-names":false,"suffix":""},{"dropping-particle":"","family":"Worsley","given":"Graham J.","non-dropping-particle":"","parse-names":false,"suffix":""},{"dropping-particle":"","family":"Yan","given":"Juying","non-dropping-particle":"","parse-names":false,"suffix":""},{"dropping-particle":"","family":"Yau","given":"Ling","non-dropping-particle":"","parse-names":false,"suffix":""},{"dropping-particle":"","family":"Zuerlein","given":"Mike","non-dropping-particle":"","parse-names":false,"suffix":""},{"dropping-particle":"","family":"Rogers","given":"Jane","non-dropping-particle":"","parse-names":false,"suffix":""},{"dropping-particle":"","family":"Mullikin","given":"James C.","non-dropping-particle":"","parse-names":false,"suffix":""},{"dropping-particle":"","family":"Hurles","given":"Matthew E.","non-dropping-particle":"","parse-names":false,"suffix":""},{"dropping-particle":"","family":"McCooke","given":"Nick J.","non-dropping-particle":"","parse-names":false,"suffix":""},{"dropping-particle":"","family":"West","given":"John S.","non-dropping-particle":"","parse-names":false,"suffix":""},{"dropping-particle":"","family":"Oaks","given":"Frank L.","non-dropping-particle":"","parse-names":false,"suffix":""},{"dropping-particle":"","family":"Lundberg","given":"Peter L.","non-dropping-particle":"","parse-names":false,"suffix":""},{"dropping-particle":"","family":"Klenerman","given":"David","non-dropping-particle":"","parse-names":false,"suffix":""},{"dropping-particle":"","family":"Durbin","given":"Richard","non-dropping-particle":"","parse-names":false,"suffix":""},{"dropping-particle":"","family":"Smith","given":"Anthony J.","non-dropping-particle":"","parse-names":false,"suffix":""}],"container-title":"Nature","id":"ITEM-1","issue":"7218","issued":{"date-parts":[["2008"]]},"page":"53-59","title":"Accurate whole human genome sequencing using reversible terminator chemistry","type":"article-journal","volume":"456"},"uris":["http://www.mendeley.com/documents/?uuid=463e1182-86c3-4078-abd6-a25e6291d187"]}],"mendeley":{"formattedCitation":"(70)","plainTextFormattedCitation":"(70)","previouslyFormattedCitation":"(69)"},"properties":{"noteIndex":0},"schema":"https://github.com/citation-style-language/schema/raw/master/csl-citation.json"}</w:instrText>
      </w:r>
      <w:r w:rsidRPr="00F23F20">
        <w:rPr>
          <w:rFonts w:ascii="Times New Roman" w:hAnsi="Times New Roman" w:cs="Times New Roman"/>
        </w:rPr>
        <w:fldChar w:fldCharType="separate"/>
      </w:r>
      <w:bookmarkStart w:id="173" w:name="__Fieldmark__6195_2362280495"/>
      <w:bookmarkStart w:id="174" w:name="__Fieldmark__4193_2362280495"/>
      <w:r w:rsidR="00307058" w:rsidRPr="00307058">
        <w:rPr>
          <w:rFonts w:ascii="Times New Roman" w:hAnsi="Times New Roman" w:cs="Times New Roman"/>
          <w:noProof/>
        </w:rPr>
        <w:t>(70)</w:t>
      </w:r>
      <w:r w:rsidRPr="00F23F20">
        <w:rPr>
          <w:rFonts w:ascii="Times New Roman" w:hAnsi="Times New Roman" w:cs="Times New Roman"/>
        </w:rPr>
        <w:fldChar w:fldCharType="end"/>
      </w:r>
      <w:bookmarkEnd w:id="173"/>
      <w:bookmarkEnd w:id="174"/>
      <w:r w:rsidRPr="00F23F20">
        <w:rPr>
          <w:rFonts w:ascii="Times New Roman" w:hAnsi="Times New Roman" w:cs="Times New Roman"/>
        </w:rPr>
        <w:t xml:space="preserve">. </w:t>
      </w:r>
    </w:p>
    <w:p w14:paraId="70131400" w14:textId="5A300D75"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The probability of sequencing all elements in </w:t>
      </w:r>
      <w:r w:rsidRPr="00F23F20">
        <w:rPr>
          <w:rFonts w:ascii="Times New Roman" w:hAnsi="Times New Roman" w:cs="Times New Roman"/>
          <w:i/>
        </w:rPr>
        <w:t>G</w:t>
      </w:r>
      <w:r w:rsidRPr="00F23F20">
        <w:rPr>
          <w:rFonts w:ascii="Times New Roman" w:hAnsi="Times New Roman" w:cs="Times New Roman"/>
          <w:vertAlign w:val="subscript"/>
        </w:rPr>
        <w:t>MG</w:t>
      </w:r>
      <w:r w:rsidRPr="00F23F20">
        <w:rPr>
          <w:rFonts w:ascii="Times New Roman" w:hAnsi="Times New Roman" w:cs="Times New Roman"/>
        </w:rPr>
        <w:t xml:space="preserve"> reduces to a coupon collectors problem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{"citationItems":[{"id":"ITEM-1","itemData":{"DOI":"10.1016/0166-218X(92)90177-C","ISSN":"0166218X","abstract":"This paper introduces a unified framework for the analysis of a class of random allocation processes that include: (i) the birthday paradox; (ii) the coupon collector problem; (iii) least-recently-used (LRU) caching in memory management systems under the independent reference model; (iv) the move-to-front heuristic of self-organizing search. All analyses are relative to general nonuniform probability distributions. Our approach to these problems comprises two stages. First, the probabilistic phenomena of interest are described by means of regular languages extended by addition of the shuffle product. Next, systematic translation mechanisms are used to derive integral representations for expectations and probability distributions. © 1992.","author":[{"dropping-particle":"","family":"Flajolet","given":"Philippe","non-dropping-particle":"","parse-names":false,"suffix":""},{"dropping-particle":"","family":"Gardy","given":"Danièle","non-dropping-particle":"","parse-names":false,"suffix":""},{"dropping-particle":"","family":"Thimonier","given":"Loÿs","non-dropping-particle":"","parse-names":false,"suffix":""}],"container-title":"Discrete Applied Mathematics","id":"ITEM-1","issue":"3","issued":{"date-parts":[["1992"]]},"page":"207-229","title":"Birthday paradox, coupon collectors, caching algorithms and self-organizing search","type":"article-journal","volume":"39"},"uris":["http://www.mendeley.com/documents/?uuid=892313ac-f039-4327-b03c-e7a08573ae3b"]}],"mendeley":{"formattedCitation":"(71)","plainTextFormattedCitation":"(71)","previouslyFormattedCitation":"(70)"},"properties":{"noteIndex":0},"schema":"https://github.com/citation-style-language/schema/raw/master/csl-citation.json"}</w:instrText>
      </w:r>
      <w:r w:rsidRPr="00F23F20">
        <w:rPr>
          <w:rFonts w:ascii="Times New Roman" w:hAnsi="Times New Roman" w:cs="Times New Roman"/>
        </w:rPr>
        <w:fldChar w:fldCharType="separate"/>
      </w:r>
      <w:bookmarkStart w:id="175" w:name="__Fieldmark__6207_2362280495"/>
      <w:bookmarkStart w:id="176" w:name="__Fieldmark__4204_2362280495"/>
      <w:r w:rsidR="00307058" w:rsidRPr="00307058">
        <w:rPr>
          <w:rFonts w:ascii="Times New Roman" w:hAnsi="Times New Roman" w:cs="Times New Roman"/>
          <w:noProof/>
        </w:rPr>
        <w:t>(71)</w:t>
      </w:r>
      <w:r w:rsidRPr="00F23F20">
        <w:rPr>
          <w:rFonts w:ascii="Times New Roman" w:hAnsi="Times New Roman" w:cs="Times New Roman"/>
        </w:rPr>
        <w:fldChar w:fldCharType="end"/>
      </w:r>
      <w:bookmarkEnd w:id="175"/>
      <w:bookmarkEnd w:id="176"/>
      <w:r w:rsidRPr="00F23F20">
        <w:rPr>
          <w:rFonts w:ascii="Times New Roman" w:hAnsi="Times New Roman" w:cs="Times New Roman"/>
        </w:rPr>
        <w:t xml:space="preserve"> by making the above assumptions. Using the general functional form for calculating expected samples for sampling all unique elements in a set (equation 13b in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{"citationItems":[{"id":"ITEM-1","itemData":{"DOI":"10.1016/0166-218X(92)90177-C","ISSN":"0166218X","abstract":"This paper introduces a unified framework for the analysis of a class of random allocation processes that include: (i) the birthday paradox; (ii) the coupon collector problem; (iii) least-recently-used (LRU) caching in memory management systems under the independent reference model; (iv) the move-to-front heuristic of self-organizing search. All analyses are relative to general nonuniform probability distributions. Our approach to these problems comprises two stages. First, the probabilistic phenomena of interest are described by means of regular languages extended by addition of the shuffle product. Next, systematic translation mechanisms are used to derive integral representations for expectations and probability distributions. © 1992.","author":[{"dropping-particle":"","family":"Flajolet","given":"Philippe","non-dropping-particle":"","parse-names":false,"suffix":""},{"dropping-particle":"","family":"Gardy","given":"Danièle","non-dropping-particle":"","parse-names":false,"suffix":""},{"dropping-particle":"","family":"Thimonier","given":"Loÿs","non-dropping-particle":"","parse-names":false,"suffix":""}],"container-title":"Discrete Applied Mathematics","id":"ITEM-1","issue":"3","issued":{"date-parts":[["1992"]]},"page":"207-229","title":"Birthday paradox, coupon collectors, caching algorithms and self-organizing search","type":"article-journal","volume":"39"},"uris":["http://www.mendeley.com/documents/?uuid=892313ac-f039-4327-b03c-e7a08573ae3b"]}],"mendeley":{"formattedCitation":"(71)","plainTextFormattedCitation":"(71)","previouslyFormattedCitation":"(70)"},"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(71)</w:t>
      </w:r>
      <w:r w:rsidRPr="00F23F20">
        <w:rPr>
          <w:rFonts w:ascii="Times New Roman" w:hAnsi="Times New Roman" w:cs="Times New Roman"/>
        </w:rPr>
        <w:fldChar w:fldCharType="end"/>
      </w:r>
      <w:r w:rsidRPr="00F23F20">
        <w:rPr>
          <w:rFonts w:ascii="Times New Roman" w:hAnsi="Times New Roman" w:cs="Times New Roman"/>
        </w:rPr>
        <w:t xml:space="preserve">), one can predict the number of sequences necessary to sequence all elements in </w:t>
      </w:r>
      <w:r w:rsidRPr="00F23F20">
        <w:rPr>
          <w:rFonts w:ascii="Times New Roman" w:hAnsi="Times New Roman" w:cs="Times New Roman"/>
          <w:i/>
        </w:rPr>
        <w:t>K</w:t>
      </w:r>
      <w:r w:rsidRPr="00F23F20">
        <w:rPr>
          <w:rFonts w:ascii="Times New Roman" w:hAnsi="Times New Roman" w:cs="Times New Roman"/>
          <w:vertAlign w:val="subscript"/>
        </w:rPr>
        <w:t>MG</w:t>
      </w:r>
      <w:r w:rsidRPr="00F23F20">
        <w:rPr>
          <w:rFonts w:ascii="Times New Roman" w:hAnsi="Times New Roman" w:cs="Times New Roman"/>
        </w:rPr>
        <w:t xml:space="preserve">, such that the expected number of sequences, </w:t>
      </w:r>
      <m:oMath>
        <m:r>
          <w:rPr>
            <w:rFonts w:ascii="Cambria Math" w:hAnsi="Cambria Math" w:cs="Times New Roman"/>
          </w:rPr>
          <m:t>E</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MG</m:t>
                </m:r>
              </m:sub>
            </m:sSub>
          </m:e>
        </m:d>
      </m:oMath>
      <w:r w:rsidRPr="00F23F20">
        <w:rPr>
          <w:rFonts w:ascii="Times New Roman" w:hAnsi="Times New Roman" w:cs="Times New Roman"/>
        </w:rPr>
        <w:t>, is:</w:t>
      </w:r>
    </w:p>
    <w:p w14:paraId="26F34374" w14:textId="77777777" w:rsidR="00365526" w:rsidRPr="00F23F20" w:rsidRDefault="00365526" w:rsidP="00365526">
      <w:pPr>
        <w:spacing w:line="480" w:lineRule="auto"/>
        <w:rPr>
          <w:rFonts w:ascii="Times New Roman" w:hAnsi="Times New Roman" w:cs="Times New Roman"/>
        </w:rPr>
      </w:pPr>
      <m:oMath>
        <m:r>
          <w:rPr>
            <w:rFonts w:ascii="Cambria Math" w:hAnsi="Cambria Math" w:cs="Times New Roman"/>
          </w:rPr>
          <m:t>E</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MG</m:t>
                </m:r>
              </m:sub>
            </m:sSub>
          </m:e>
        </m:d>
        <m:r>
          <w:rPr>
            <w:rFonts w:ascii="Cambria Math" w:hAnsi="Cambria Math" w:cs="Times New Roman"/>
          </w:rPr>
          <m:t>=</m:t>
        </m:r>
        <m:nary>
          <m:naryPr>
            <m:ctrlPr>
              <w:rPr>
                <w:rFonts w:ascii="Cambria Math" w:hAnsi="Cambria Math" w:cs="Times New Roman"/>
              </w:rPr>
            </m:ctrlPr>
          </m:naryPr>
          <m:sub>
            <m:r>
              <w:rPr>
                <w:rFonts w:ascii="Cambria Math" w:hAnsi="Cambria Math" w:cs="Times New Roman"/>
              </w:rPr>
              <m:t>0</m:t>
            </m:r>
          </m:sub>
          <m:sup>
            <m:r>
              <w:rPr>
                <w:rFonts w:ascii="Cambria Math" w:hAnsi="Cambria Math" w:cs="Times New Roman"/>
              </w:rPr>
              <m:t>∞</m:t>
            </m:r>
          </m:sup>
          <m:e>
            <m:d>
              <m:dPr>
                <m:ctrlPr>
                  <w:rPr>
                    <w:rFonts w:ascii="Cambria Math" w:hAnsi="Cambria Math" w:cs="Times New Roman"/>
                  </w:rPr>
                </m:ctrlPr>
              </m:dPr>
              <m:e>
                <m:r>
                  <w:rPr>
                    <w:rFonts w:ascii="Cambria Math" w:hAnsi="Cambria Math" w:cs="Times New Roman"/>
                  </w:rPr>
                  <m:t>1-</m:t>
                </m:r>
                <m:nary>
                  <m:naryPr>
                    <m:chr m:val="∏"/>
                    <m:supHide m:val="1"/>
                    <m:ctrlPr>
                      <w:rPr>
                        <w:rFonts w:ascii="Cambria Math" w:hAnsi="Cambria Math" w:cs="Times New Roman"/>
                      </w:rPr>
                    </m:ctrlPr>
                  </m:naryPr>
                  <m:sub>
                    <m:r>
                      <w:rPr>
                        <w:rFonts w:ascii="Cambria Math" w:hAnsi="Cambria Math" w:cs="Times New Roman"/>
                      </w:rPr>
                      <m:t>j∈</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sub>
                  <m:sup/>
                  <m:e>
                    <m:d>
                      <m:dPr>
                        <m:ctrlPr>
                          <w:rPr>
                            <w:rFonts w:ascii="Cambria Math" w:hAnsi="Cambria Math" w:cs="Times New Roman"/>
                          </w:rPr>
                        </m:ctrlPr>
                      </m:dPr>
                      <m:e>
                        <m:r>
                          <w:rPr>
                            <w:rFonts w:ascii="Cambria Math" w:hAnsi="Cambria Math" w:cs="Times New Roman"/>
                          </w:rPr>
                          <m:t>1-</m:t>
                        </m:r>
                        <m:sSup>
                          <m:sSupPr>
                            <m:ctrlPr>
                              <w:rPr>
                                <w:rFonts w:ascii="Cambria Math" w:hAnsi="Cambria Math" w:cs="Times New Roman"/>
                              </w:rPr>
                            </m:ctrlPr>
                          </m:sSupPr>
                          <m:e>
                            <m:r>
                              <w:rPr>
                                <w:rFonts w:ascii="Cambria Math" w:hAnsi="Cambria Math" w:cs="Times New Roman"/>
                              </w:rPr>
                              <m:t>e</m:t>
                            </m:r>
                          </m:e>
                          <m:sup>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j</m:t>
                                </m:r>
                              </m:sub>
                            </m:sSub>
                            <m:r>
                              <w:rPr>
                                <w:rFonts w:ascii="Cambria Math" w:hAnsi="Cambria Math" w:cs="Times New Roman"/>
                              </w:rPr>
                              <m:t>t</m:t>
                            </m:r>
                          </m:sup>
                        </m:sSup>
                      </m:e>
                    </m:d>
                  </m:e>
                </m:nary>
              </m:e>
            </m:d>
            <m:r>
              <w:rPr>
                <w:rFonts w:ascii="Cambria Math" w:hAnsi="Cambria Math" w:cs="Times New Roman"/>
              </w:rPr>
              <m:t>dt</m:t>
            </m:r>
          </m:e>
        </m:nary>
      </m:oMath>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t xml:space="preserve">     (2.6</w:t>
      </w:r>
    </w:p>
    <w:p w14:paraId="5D6F91EE" w14:textId="77777777"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rPr>
        <w:t xml:space="preserve">where </w:t>
      </w:r>
      <w:r w:rsidRPr="00F23F20">
        <w:rPr>
          <w:rFonts w:ascii="Times New Roman" w:hAnsi="Times New Roman" w:cs="Times New Roman"/>
          <w:i/>
        </w:rPr>
        <w:t>j</w:t>
      </w:r>
      <w:r w:rsidRPr="00F23F20">
        <w:rPr>
          <w:rFonts w:ascii="Times New Roman" w:hAnsi="Times New Roman" w:cs="Times New Roman"/>
        </w:rPr>
        <w:t xml:space="preserve"> is a given element within </w:t>
      </w:r>
      <w:r w:rsidRPr="00F23F20">
        <w:rPr>
          <w:rFonts w:ascii="Times New Roman" w:hAnsi="Times New Roman" w:cs="Times New Roman"/>
          <w:i/>
        </w:rPr>
        <w:t>K</w:t>
      </w:r>
      <w:r w:rsidRPr="00F23F20">
        <w:rPr>
          <w:rFonts w:ascii="Times New Roman" w:hAnsi="Times New Roman" w:cs="Times New Roman"/>
          <w:vertAlign w:val="subscript"/>
        </w:rPr>
        <w:t>MG</w:t>
      </w:r>
      <w:r w:rsidRPr="00F23F20">
        <w:rPr>
          <w:rFonts w:ascii="Times New Roman" w:hAnsi="Times New Roman" w:cs="Times New Roman"/>
        </w:rPr>
        <w:t xml:space="preserve">, </w:t>
      </w:r>
      <w:r w:rsidRPr="00F23F20">
        <w:rPr>
          <w:rFonts w:ascii="Times New Roman" w:hAnsi="Times New Roman" w:cs="Times New Roman"/>
          <w:i/>
        </w:rPr>
        <w:t>t</w:t>
      </w:r>
      <w:r w:rsidRPr="00F23F20">
        <w:rPr>
          <w:rFonts w:ascii="Times New Roman" w:hAnsi="Times New Roman" w:cs="Times New Roman"/>
        </w:rPr>
        <w:t xml:space="preserve"> is the number of sampling events, and </w:t>
      </w:r>
      <w:proofErr w:type="spellStart"/>
      <w:r w:rsidRPr="00F23F20">
        <w:rPr>
          <w:rFonts w:ascii="Times New Roman" w:hAnsi="Times New Roman" w:cs="Times New Roman"/>
          <w:i/>
        </w:rPr>
        <w:t>p</w:t>
      </w:r>
      <w:r w:rsidRPr="00F23F20">
        <w:rPr>
          <w:rFonts w:ascii="Times New Roman" w:hAnsi="Times New Roman" w:cs="Times New Roman"/>
          <w:vertAlign w:val="subscript"/>
        </w:rPr>
        <w:t>j</w:t>
      </w:r>
      <w:proofErr w:type="spellEnd"/>
      <w:r w:rsidRPr="00F23F20">
        <w:rPr>
          <w:rFonts w:ascii="Times New Roman" w:hAnsi="Times New Roman" w:cs="Times New Roman"/>
        </w:rPr>
        <w:t xml:space="preserve"> is equal to the proportion of the </w:t>
      </w:r>
      <w:proofErr w:type="spellStart"/>
      <w:r w:rsidRPr="00F23F20">
        <w:rPr>
          <w:rFonts w:ascii="Times New Roman" w:hAnsi="Times New Roman" w:cs="Times New Roman"/>
          <w:i/>
        </w:rPr>
        <w:t>j</w:t>
      </w:r>
      <w:r w:rsidRPr="00F23F20">
        <w:rPr>
          <w:rFonts w:ascii="Times New Roman" w:hAnsi="Times New Roman" w:cs="Times New Roman"/>
          <w:vertAlign w:val="superscript"/>
        </w:rPr>
        <w:t>th</w:t>
      </w:r>
      <w:proofErr w:type="spellEnd"/>
      <w:r w:rsidRPr="00F23F20">
        <w:rPr>
          <w:rFonts w:ascii="Times New Roman" w:hAnsi="Times New Roman" w:cs="Times New Roman"/>
        </w:rPr>
        <w:t xml:space="preserve"> </w:t>
      </w:r>
      <w:r w:rsidRPr="00F23F20">
        <w:rPr>
          <w:rFonts w:ascii="Times New Roman" w:hAnsi="Times New Roman" w:cs="Times New Roman"/>
          <w:i/>
        </w:rPr>
        <w:t>k</w:t>
      </w:r>
      <w:r w:rsidRPr="00F23F20">
        <w:rPr>
          <w:rFonts w:ascii="Times New Roman" w:hAnsi="Times New Roman" w:cs="Times New Roman"/>
        </w:rPr>
        <w:t xml:space="preserve">-sized read within a given population of </w:t>
      </w:r>
      <w:r w:rsidRPr="00F23F20">
        <w:rPr>
          <w:rFonts w:ascii="Times New Roman" w:hAnsi="Times New Roman" w:cs="Times New Roman"/>
          <w:i/>
        </w:rPr>
        <w:t>k</w:t>
      </w:r>
      <w:r w:rsidRPr="00F23F20">
        <w:rPr>
          <w:rFonts w:ascii="Times New Roman" w:hAnsi="Times New Roman" w:cs="Times New Roman"/>
        </w:rPr>
        <w:t xml:space="preserve">-sized reads. </w:t>
      </w:r>
      <w:proofErr w:type="spellStart"/>
      <w:r w:rsidRPr="00F23F20">
        <w:rPr>
          <w:rFonts w:ascii="Times New Roman" w:hAnsi="Times New Roman" w:cs="Times New Roman"/>
          <w:i/>
        </w:rPr>
        <w:t>p</w:t>
      </w:r>
      <w:r w:rsidRPr="00F23F20">
        <w:rPr>
          <w:rFonts w:ascii="Times New Roman" w:hAnsi="Times New Roman" w:cs="Times New Roman"/>
          <w:vertAlign w:val="subscript"/>
        </w:rPr>
        <w:t>j</w:t>
      </w:r>
      <w:proofErr w:type="spellEnd"/>
      <w:r w:rsidRPr="00F23F20">
        <w:rPr>
          <w:rFonts w:ascii="Times New Roman" w:hAnsi="Times New Roman" w:cs="Times New Roman"/>
        </w:rPr>
        <w:t xml:space="preserve"> can be expressed as follows:</w:t>
      </w:r>
    </w:p>
    <w:p w14:paraId="1C3E3AAB" w14:textId="77777777" w:rsidR="00365526" w:rsidRPr="00F23F20" w:rsidRDefault="002A3883" w:rsidP="00365526">
      <w:pPr>
        <w:spacing w:line="480" w:lineRule="auto"/>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j</m:t>
            </m:r>
          </m:sub>
        </m:sSub>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r>
              <w:rPr>
                <w:rFonts w:ascii="Cambria Math" w:hAnsi="Cambria Math" w:cs="Times New Roman"/>
              </w:rPr>
              <m:t>×j∈</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num>
          <m:den>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MG</m:t>
                    </m:r>
                  </m:sub>
                </m:sSub>
              </m:e>
            </m:d>
          </m:den>
        </m:f>
      </m:oMath>
      <w:r w:rsidR="00365526" w:rsidRPr="00F23F20">
        <w:rPr>
          <w:rFonts w:ascii="Times New Roman" w:hAnsi="Times New Roman" w:cs="Times New Roman"/>
        </w:rPr>
        <w:t xml:space="preserve"> </w:t>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t xml:space="preserve">   </w:t>
      </w:r>
      <w:r w:rsidR="00365526" w:rsidRPr="00F23F20">
        <w:rPr>
          <w:rFonts w:ascii="Times New Roman" w:hAnsi="Times New Roman" w:cs="Times New Roman"/>
        </w:rPr>
        <w:tab/>
      </w:r>
      <w:r w:rsidR="00365526" w:rsidRPr="00F23F20">
        <w:rPr>
          <w:rFonts w:ascii="Times New Roman" w:hAnsi="Times New Roman" w:cs="Times New Roman"/>
        </w:rPr>
        <w:tab/>
        <w:t xml:space="preserve">     (2.7</w:t>
      </w:r>
    </w:p>
    <w:p w14:paraId="1A5D787B" w14:textId="77777777" w:rsidR="00365526" w:rsidRPr="00F23F20" w:rsidRDefault="00365526" w:rsidP="00365526">
      <w:pPr>
        <w:pStyle w:val="Standard"/>
        <w:spacing w:line="480" w:lineRule="auto"/>
        <w:rPr>
          <w:rFonts w:ascii="Times New Roman" w:hAnsi="Times New Roman" w:cs="Times New Roman"/>
          <w:bCs/>
        </w:rPr>
      </w:pPr>
      <w:r w:rsidRPr="00F23F20">
        <w:rPr>
          <w:rFonts w:ascii="Times New Roman" w:hAnsi="Times New Roman" w:cs="Times New Roman"/>
          <w:bCs/>
        </w:rPr>
        <w:t xml:space="preserve">where </w:t>
      </w:r>
      <w:proofErr w:type="spellStart"/>
      <w:r w:rsidRPr="00F23F20">
        <w:rPr>
          <w:rFonts w:ascii="Times New Roman" w:hAnsi="Times New Roman" w:cs="Times New Roman"/>
          <w:bCs/>
          <w:i/>
        </w:rPr>
        <w:t>n</w:t>
      </w:r>
      <w:r w:rsidRPr="00F23F20">
        <w:rPr>
          <w:rFonts w:ascii="Times New Roman" w:hAnsi="Times New Roman" w:cs="Times New Roman"/>
          <w:bCs/>
          <w:vertAlign w:val="subscript"/>
        </w:rPr>
        <w:t>i</w:t>
      </w:r>
      <w:proofErr w:type="spellEnd"/>
      <w:r w:rsidRPr="00F23F20">
        <w:rPr>
          <w:rFonts w:ascii="Times New Roman" w:hAnsi="Times New Roman" w:cs="Times New Roman"/>
          <w:bCs/>
          <w:vertAlign w:val="subscript"/>
        </w:rPr>
        <w:t xml:space="preserve"> </w:t>
      </w:r>
      <w:r w:rsidRPr="00F23F20">
        <w:rPr>
          <w:rFonts w:ascii="Times New Roman" w:hAnsi="Times New Roman" w:cs="Times New Roman"/>
          <w:bCs/>
        </w:rPr>
        <w:t xml:space="preserve">is the respective abundance for the species whose MAG contains the </w:t>
      </w:r>
      <w:proofErr w:type="spellStart"/>
      <w:r w:rsidRPr="00F23F20">
        <w:rPr>
          <w:rFonts w:ascii="Times New Roman" w:hAnsi="Times New Roman" w:cs="Times New Roman"/>
          <w:bCs/>
          <w:i/>
        </w:rPr>
        <w:t>j</w:t>
      </w:r>
      <w:r w:rsidRPr="00F23F20">
        <w:rPr>
          <w:rFonts w:ascii="Times New Roman" w:hAnsi="Times New Roman" w:cs="Times New Roman"/>
          <w:bCs/>
          <w:vertAlign w:val="superscript"/>
        </w:rPr>
        <w:t>th</w:t>
      </w:r>
      <w:proofErr w:type="spellEnd"/>
      <w:r w:rsidRPr="00F23F20">
        <w:rPr>
          <w:rFonts w:ascii="Times New Roman" w:hAnsi="Times New Roman" w:cs="Times New Roman"/>
          <w:bCs/>
        </w:rPr>
        <w:t xml:space="preserve"> </w:t>
      </w:r>
      <w:r w:rsidRPr="00F23F20">
        <w:rPr>
          <w:rFonts w:ascii="Times New Roman" w:hAnsi="Times New Roman" w:cs="Times New Roman"/>
          <w:bCs/>
          <w:i/>
        </w:rPr>
        <w:t>k</w:t>
      </w:r>
      <w:r w:rsidRPr="00F23F20">
        <w:rPr>
          <w:rFonts w:ascii="Times New Roman" w:hAnsi="Times New Roman" w:cs="Times New Roman"/>
          <w:bCs/>
        </w:rPr>
        <w:t xml:space="preserve">-sized read within </w:t>
      </w:r>
      <w:r w:rsidRPr="00F23F20">
        <w:rPr>
          <w:rFonts w:ascii="Times New Roman" w:hAnsi="Times New Roman" w:cs="Times New Roman"/>
          <w:bCs/>
          <w:i/>
        </w:rPr>
        <w:t>K</w:t>
      </w:r>
      <w:r w:rsidRPr="00F23F20">
        <w:rPr>
          <w:rFonts w:ascii="Times New Roman" w:hAnsi="Times New Roman" w:cs="Times New Roman"/>
          <w:bCs/>
          <w:vertAlign w:val="subscript"/>
        </w:rPr>
        <w:t>MG</w:t>
      </w:r>
      <w:r w:rsidRPr="00F23F20">
        <w:rPr>
          <w:rFonts w:ascii="Times New Roman" w:hAnsi="Times New Roman" w:cs="Times New Roman"/>
          <w:bCs/>
        </w:rPr>
        <w:t xml:space="preserve">, and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MG</m:t>
                </m:r>
              </m:sub>
            </m:sSub>
          </m:e>
        </m:d>
      </m:oMath>
      <w:r w:rsidRPr="00F23F20">
        <w:rPr>
          <w:rFonts w:ascii="Times New Roman" w:hAnsi="Times New Roman" w:cs="Times New Roman"/>
          <w:bCs/>
          <w:lang w:eastAsia="en-US" w:bidi="ar-SA"/>
        </w:rPr>
        <w:t xml:space="preserve"> is</w:t>
      </w:r>
      <w:r w:rsidRPr="00F23F20">
        <w:rPr>
          <w:rFonts w:ascii="Times New Roman" w:hAnsi="Times New Roman" w:cs="Times New Roman"/>
          <w:b/>
          <w:bCs/>
          <w:lang w:eastAsia="en-US" w:bidi="ar-SA"/>
        </w:rPr>
        <w:t xml:space="preserve"> </w:t>
      </w:r>
      <w:r w:rsidRPr="00F23F20">
        <w:rPr>
          <w:rFonts w:ascii="Times New Roman" w:hAnsi="Times New Roman" w:cs="Times New Roman"/>
          <w:bCs/>
        </w:rPr>
        <w:t xml:space="preserve">the cardinality of </w:t>
      </w:r>
      <w:r w:rsidRPr="00F23F20">
        <w:rPr>
          <w:rFonts w:ascii="Times New Roman" w:hAnsi="Times New Roman" w:cs="Times New Roman"/>
          <w:bCs/>
          <w:i/>
        </w:rPr>
        <w:t>G</w:t>
      </w:r>
      <w:r w:rsidRPr="00F23F20">
        <w:rPr>
          <w:rFonts w:ascii="Times New Roman" w:hAnsi="Times New Roman" w:cs="Times New Roman"/>
          <w:bCs/>
          <w:vertAlign w:val="subscript"/>
        </w:rPr>
        <w:t>MG</w:t>
      </w:r>
      <w:r w:rsidRPr="00F23F20">
        <w:rPr>
          <w:rFonts w:ascii="Times New Roman" w:hAnsi="Times New Roman" w:cs="Times New Roman"/>
          <w:bCs/>
        </w:rPr>
        <w:t xml:space="preserve">, or the total number of </w:t>
      </w:r>
      <w:r w:rsidRPr="00F23F20">
        <w:rPr>
          <w:rFonts w:ascii="Times New Roman" w:hAnsi="Times New Roman" w:cs="Times New Roman"/>
          <w:bCs/>
          <w:i/>
        </w:rPr>
        <w:t>k</w:t>
      </w:r>
      <w:r w:rsidRPr="00F23F20">
        <w:rPr>
          <w:rFonts w:ascii="Times New Roman" w:hAnsi="Times New Roman" w:cs="Times New Roman"/>
          <w:bCs/>
        </w:rPr>
        <w:t xml:space="preserve">-sized reads in the metagenome, </w:t>
      </w:r>
      <w:r w:rsidRPr="00F23F20">
        <w:rPr>
          <w:rFonts w:ascii="Times New Roman" w:hAnsi="Times New Roman" w:cs="Times New Roman"/>
          <w:bCs/>
          <w:i/>
        </w:rPr>
        <w:t>G</w:t>
      </w:r>
      <w:r w:rsidRPr="00F23F20">
        <w:rPr>
          <w:rFonts w:ascii="Times New Roman" w:hAnsi="Times New Roman" w:cs="Times New Roman"/>
          <w:bCs/>
          <w:vertAlign w:val="subscript"/>
        </w:rPr>
        <w:t>MG</w:t>
      </w:r>
      <w:r w:rsidRPr="00F23F20">
        <w:rPr>
          <w:rFonts w:ascii="Times New Roman" w:hAnsi="Times New Roman" w:cs="Times New Roman"/>
          <w:bCs/>
        </w:rPr>
        <w:t xml:space="preserve">. </w:t>
      </w:r>
    </w:p>
    <w:p w14:paraId="0EE3CFAB" w14:textId="77777777" w:rsidR="00365526" w:rsidRPr="00F23F20" w:rsidRDefault="00365526" w:rsidP="00365526">
      <w:pPr>
        <w:pStyle w:val="Heading3"/>
      </w:pPr>
      <w:bookmarkStart w:id="177" w:name="_Toc41908100"/>
      <w:r w:rsidRPr="00F23F20">
        <w:t>Modeling Expected Sequences</w:t>
      </w:r>
      <w:bookmarkEnd w:id="177"/>
      <w:r w:rsidRPr="00F23F20">
        <w:t xml:space="preserve"> </w:t>
      </w:r>
    </w:p>
    <w:p w14:paraId="54A28373" w14:textId="1386E275" w:rsidR="00365526" w:rsidRPr="00F23F20" w:rsidRDefault="00365526" w:rsidP="00365526">
      <w:pPr>
        <w:pStyle w:val="Standard"/>
        <w:spacing w:line="480" w:lineRule="auto"/>
        <w:ind w:firstLine="720"/>
        <w:rPr>
          <w:rFonts w:ascii="Times New Roman" w:hAnsi="Times New Roman" w:cs="Times New Roman"/>
        </w:rPr>
      </w:pPr>
      <w:r w:rsidRPr="00F23F20">
        <w:rPr>
          <w:rFonts w:ascii="Times New Roman" w:hAnsi="Times New Roman" w:cs="Times New Roman"/>
        </w:rPr>
        <w:t xml:space="preserve">Equation 2.6 provides an estimate for the total number of sequences to sequence all </w:t>
      </w:r>
      <w:r w:rsidRPr="00F23F20">
        <w:rPr>
          <w:rFonts w:ascii="Times New Roman" w:hAnsi="Times New Roman" w:cs="Times New Roman"/>
          <w:i/>
        </w:rPr>
        <w:t>K</w:t>
      </w:r>
      <w:r w:rsidRPr="00F23F20">
        <w:rPr>
          <w:rFonts w:ascii="Times New Roman" w:hAnsi="Times New Roman" w:cs="Times New Roman"/>
          <w:vertAlign w:val="subscript"/>
        </w:rPr>
        <w:t>MG</w:t>
      </w:r>
      <w:r w:rsidRPr="00F23F20">
        <w:rPr>
          <w:rFonts w:ascii="Times New Roman" w:hAnsi="Times New Roman" w:cs="Times New Roman"/>
        </w:rPr>
        <w:t xml:space="preserve">. The influence of increasing species richness (i.e., </w:t>
      </w:r>
      <w:r w:rsidRPr="00F23F20">
        <w:rPr>
          <w:rFonts w:ascii="Times New Roman" w:hAnsi="Times New Roman" w:cs="Times New Roman"/>
          <w:i/>
        </w:rPr>
        <w:t>s</w:t>
      </w:r>
      <w:r w:rsidRPr="00F23F20">
        <w:rPr>
          <w:rFonts w:ascii="Times New Roman" w:hAnsi="Times New Roman" w:cs="Times New Roman"/>
        </w:rPr>
        <w:t xml:space="preserve"> in equation 2.1) on the expected number of sequences was tested for four hypothetical communities. The first community had an even structure such that all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were equally distributed across all </w:t>
      </w:r>
      <w:r w:rsidRPr="00F23F20">
        <w:rPr>
          <w:rFonts w:ascii="Times New Roman" w:hAnsi="Times New Roman" w:cs="Times New Roman"/>
          <w:i/>
        </w:rPr>
        <w:t>K</w:t>
      </w:r>
      <w:r w:rsidRPr="00F23F20">
        <w:rPr>
          <w:rFonts w:ascii="Times New Roman" w:hAnsi="Times New Roman" w:cs="Times New Roman"/>
          <w:vertAlign w:val="subscript"/>
        </w:rPr>
        <w:t>MG</w:t>
      </w:r>
      <w:r w:rsidRPr="00F23F20">
        <w:rPr>
          <w:rFonts w:ascii="Times New Roman" w:hAnsi="Times New Roman" w:cs="Times New Roman"/>
        </w:rPr>
        <w:t xml:space="preserve">. In the second community, 90% of the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were equally distributed in 50% of </w:t>
      </w:r>
      <w:r w:rsidRPr="00F23F20">
        <w:rPr>
          <w:rFonts w:ascii="Times New Roman" w:hAnsi="Times New Roman" w:cs="Times New Roman"/>
          <w:i/>
        </w:rPr>
        <w:t>K</w:t>
      </w:r>
      <w:r w:rsidRPr="00F23F20">
        <w:rPr>
          <w:rFonts w:ascii="Times New Roman" w:hAnsi="Times New Roman" w:cs="Times New Roman"/>
          <w:vertAlign w:val="subscript"/>
        </w:rPr>
        <w:t>MG</w:t>
      </w:r>
      <w:r w:rsidRPr="00F23F20">
        <w:rPr>
          <w:rFonts w:ascii="Times New Roman" w:hAnsi="Times New Roman" w:cs="Times New Roman"/>
        </w:rPr>
        <w:t xml:space="preserve">, and the remaining 10% of the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were distributed equally across the remaining 50% of </w:t>
      </w:r>
      <w:r w:rsidRPr="00F23F20">
        <w:rPr>
          <w:rFonts w:ascii="Times New Roman" w:hAnsi="Times New Roman" w:cs="Times New Roman"/>
          <w:i/>
        </w:rPr>
        <w:t>K</w:t>
      </w:r>
      <w:r w:rsidRPr="00F23F20">
        <w:rPr>
          <w:rFonts w:ascii="Times New Roman" w:hAnsi="Times New Roman" w:cs="Times New Roman"/>
          <w:vertAlign w:val="subscript"/>
        </w:rPr>
        <w:t>MG</w:t>
      </w:r>
      <w:r w:rsidRPr="00F23F20">
        <w:rPr>
          <w:rFonts w:ascii="Times New Roman" w:hAnsi="Times New Roman" w:cs="Times New Roman"/>
        </w:rPr>
        <w:t xml:space="preserve">. This community represented a community with relatively moderate species evenness. In the third community, 90% of the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were equally distributed across 10% of </w:t>
      </w:r>
      <w:r w:rsidRPr="00F23F20">
        <w:rPr>
          <w:rFonts w:ascii="Times New Roman" w:hAnsi="Times New Roman" w:cs="Times New Roman"/>
          <w:i/>
        </w:rPr>
        <w:t>K</w:t>
      </w:r>
      <w:r w:rsidRPr="00F23F20">
        <w:rPr>
          <w:rFonts w:ascii="Times New Roman" w:hAnsi="Times New Roman" w:cs="Times New Roman"/>
          <w:vertAlign w:val="subscript"/>
        </w:rPr>
        <w:t>MG</w:t>
      </w:r>
      <w:r w:rsidRPr="00F23F20">
        <w:rPr>
          <w:rFonts w:ascii="Times New Roman" w:hAnsi="Times New Roman" w:cs="Times New Roman"/>
        </w:rPr>
        <w:t xml:space="preserve">, and the remaining 10% of the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were distributed equally across the remaining 90% of </w:t>
      </w:r>
      <w:r w:rsidRPr="00F23F20">
        <w:rPr>
          <w:rFonts w:ascii="Times New Roman" w:hAnsi="Times New Roman" w:cs="Times New Roman"/>
          <w:i/>
        </w:rPr>
        <w:t>K</w:t>
      </w:r>
      <w:r w:rsidRPr="00F23F20">
        <w:rPr>
          <w:rFonts w:ascii="Times New Roman" w:hAnsi="Times New Roman" w:cs="Times New Roman"/>
          <w:vertAlign w:val="subscript"/>
        </w:rPr>
        <w:t>MG</w:t>
      </w:r>
      <w:r w:rsidRPr="00F23F20">
        <w:rPr>
          <w:rFonts w:ascii="Times New Roman" w:hAnsi="Times New Roman" w:cs="Times New Roman"/>
        </w:rPr>
        <w:t xml:space="preserve">. This community represented a community with relatively low species evenness. The last community had 10 equally-sized groups. The abundance of the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in each group was based on the function form of a lognormal community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{"citationItems":[{"id":"ITEM-1","itemData":{"DOI":"10.1007/978-94-015-7358-0","ISBN":"978-94-015-7360-3","author":[{"dropping-particle":"","family":"Magurran","given":"Anne E.","non-dropping-particle":"","parse-names":false,"suffix":""}],"edition":"1","id":"ITEM-1","issued":{"date-parts":[["1988"]]},"number-of-pages":"7-46","publisher":"Croom Helm Ltd","title":"Ecological Diversity and Its Measurement","type":"book"},"uris":["http://www.mendeley.com/documents/?uuid=6163fea9-35eb-4858-882e-bbf78403170b"]}],"mendeley":{"formattedCitation":"(72)","plainTextFormattedCitation":"(72)","previouslyFormattedCitation":"(71)"},"properties":{"noteIndex":0},"schema":"https://github.com/citation-style-language/schema/raw/master/csl-citation.json"}</w:instrText>
      </w:r>
      <w:r w:rsidRPr="00F23F20">
        <w:rPr>
          <w:rFonts w:ascii="Times New Roman" w:hAnsi="Times New Roman" w:cs="Times New Roman"/>
        </w:rPr>
        <w:fldChar w:fldCharType="separate"/>
      </w:r>
      <w:bookmarkStart w:id="178" w:name="__Fieldmark__6335_2362280495"/>
      <w:bookmarkStart w:id="179" w:name="__Fieldmark__4389_2362280495"/>
      <w:r w:rsidR="00307058" w:rsidRPr="00307058">
        <w:rPr>
          <w:rFonts w:ascii="Times New Roman" w:hAnsi="Times New Roman" w:cs="Times New Roman"/>
          <w:noProof/>
        </w:rPr>
        <w:t>(72)</w:t>
      </w:r>
      <w:r w:rsidRPr="00F23F20">
        <w:rPr>
          <w:rFonts w:ascii="Times New Roman" w:hAnsi="Times New Roman" w:cs="Times New Roman"/>
        </w:rPr>
        <w:fldChar w:fldCharType="end"/>
      </w:r>
      <w:bookmarkEnd w:id="178"/>
      <w:bookmarkEnd w:id="179"/>
      <w:r w:rsidRPr="00F23F20">
        <w:rPr>
          <w:rFonts w:ascii="Times New Roman" w:hAnsi="Times New Roman" w:cs="Times New Roman"/>
        </w:rPr>
        <w:t xml:space="preserve"> which has been observed in microbial populations (e.g.,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{"citationItems":[{"id":"ITEM-1","itemData":{"DOI":"10.1073/pnas.0908284106","ISBN":"1091-6490 (Electronic)\\r0027-8424 (Linking)","ISSN":"0027-8424","PMID":"20018741","abstract":"Understanding the role of microbes in the oceans has focused on taxa that occur in high abundance; yet most of the marine microbial diversity is largely determined by a long tail of low-abundance taxa. This rare biosphere may have a cosmopolitan distribution because of high dispersal and low loss rates, and possibly represents a source of phylotypes that become abundant when environmental conditions change. However, the true ecological role of rare marine microorganisms is still not known. Here, we use pyrosequencing to describe the structure and composition of the rare biosphere and to test whether it represents cosmopolitan taxa or whether, similar to abundant phylotypes, the rare community has a biogeography. Our examination of 740,353 16S rRNA gene sequences from 32 bacterial and archaeal communities from various locations of the Arctic Ocean showed that rare phylotypes did not have a cosmopolitan distribution but, rather, followed patterns similar to those of the most abundant members of the community and of the entire community. The abundance distributions of rare and abundant phylotypes were different, following a log-series and log-normal model, respectively, and the taxonomic composition of the rare biosphere was similar to the composition of the abundant phylotypes. We conclude that the rare biosphere has a biogeography and that its tremendous diversity is most likely subjected to ecological processes such as selection, speciation, and extinction.","author":[{"dropping-particle":"","family":"Galand","given":"P. E.","non-dropping-particle":"","parse-names":false,"suffix":""},{"dropping-particle":"","family":"Casamayor","given":"E. O.","non-dropping-particle":"","parse-names":false,"suffix":""},{"dropping-particle":"","family":"Kirchman","given":"D. L.","non-dropping-particle":"","parse-names":false,"suffix":""},{"dropping-particle":"","family":"Lovejoy","given":"C.","non-dropping-particle":"","parse-names":false,"suffix":""}],"container-title":"Proceedings of the National Academy of Sciences","id":"ITEM-1","issue":"52","issued":{"date-parts":[["2009"]]},"page":"22427-22432","title":"Ecology of the rare microbial biosphere of the Arctic Ocean","type":"article-journal","volume":"106"},"uris":["http://www.mendeley.com/documents/?uuid=f7f6015d-4bbe-4310-b4bb-9bc546e5a387"]},{"id":"ITEM-2","itemData":{"DOI":"10.1038/srep38263","ISSN":"20452322","author":[{"dropping-particle":"","family":"Kang","given":"Sanghoon","non-dropping-particle":"","parse-names":false,"suffix":""},{"dropping-particle":"","family":"Rodrigues","given":"Jorge L.M.","non-dropping-particle":"","parse-names":false,"suffix":""},{"dropping-particle":"","family":"Ng","given":"Justin P.","non-dropping-particle":"","parse-names":false,"suffix":""},{"dropping-particle":"","family":"Gentry","given":"Terry J.","non-dropping-particle":"","parse-names":false,"suffix":""}],"container-title":"Scientific Reports","id":"ITEM-2","issue":"November","issued":{"date-parts":[["2016"]]},"page":"1-4","publisher":"Nature Publishing Group","title":"Hill number as a bacterial diversity measure framework with high-throughput sequence data","type":"article-journal","volume":"6"},"uris":["http://www.mendeley.com/documents/?uuid=da74a778-1298-41be-81f8-67ef74e3ff92"]}],"mendeley":{"formattedCitation":"(65, 73)","plainTextFormattedCitation":"(65, 73)","previouslyFormattedCitation":"(64, 72)"},"properties":{"noteIndex":0},"schema":"https://github.com/citation-style-language/schema/raw/master/csl-citation.json"}</w:instrText>
      </w:r>
      <w:r w:rsidRPr="00F23F20">
        <w:rPr>
          <w:rFonts w:ascii="Times New Roman" w:hAnsi="Times New Roman" w:cs="Times New Roman"/>
        </w:rPr>
        <w:fldChar w:fldCharType="separate"/>
      </w:r>
      <w:bookmarkStart w:id="180" w:name="__Fieldmark__6342_2362280495"/>
      <w:bookmarkStart w:id="181" w:name="__Fieldmark__4395_2362280495"/>
      <w:r w:rsidR="00307058" w:rsidRPr="00307058">
        <w:rPr>
          <w:rFonts w:ascii="Times New Roman" w:hAnsi="Times New Roman" w:cs="Times New Roman"/>
          <w:noProof/>
        </w:rPr>
        <w:t>(65, 73)</w:t>
      </w:r>
      <w:r w:rsidRPr="00F23F20">
        <w:rPr>
          <w:rFonts w:ascii="Times New Roman" w:hAnsi="Times New Roman" w:cs="Times New Roman"/>
        </w:rPr>
        <w:fldChar w:fldCharType="end"/>
      </w:r>
      <w:bookmarkEnd w:id="180"/>
      <w:bookmarkEnd w:id="181"/>
      <w:r w:rsidRPr="00F23F20">
        <w:rPr>
          <w:rFonts w:ascii="Times New Roman" w:hAnsi="Times New Roman" w:cs="Times New Roman"/>
        </w:rPr>
        <w:t xml:space="preserve">), such that: </w:t>
      </w:r>
    </w:p>
    <w:p w14:paraId="7999B2AF" w14:textId="77777777" w:rsidR="00365526" w:rsidRPr="00F23F20" w:rsidRDefault="00365526" w:rsidP="00365526">
      <w:pPr>
        <w:pStyle w:val="Standard"/>
        <w:spacing w:line="480" w:lineRule="auto"/>
        <w:rPr>
          <w:rFonts w:ascii="Times New Roman" w:hAnsi="Times New Roman" w:cs="Times New Roman"/>
        </w:rPr>
      </w:pPr>
      <m:oMath>
        <m:r>
          <w:rPr>
            <w:rFonts w:ascii="Cambria Math" w:hAnsi="Cambria Math" w:cs="Times New Roman"/>
          </w:rPr>
          <m:t>S</m:t>
        </m:r>
        <m:d>
          <m:dPr>
            <m:ctrlPr>
              <w:rPr>
                <w:rFonts w:ascii="Cambria Math" w:hAnsi="Cambria Math" w:cs="Times New Roman"/>
              </w:rPr>
            </m:ctrlPr>
          </m:dPr>
          <m:e>
            <m:r>
              <w:rPr>
                <w:rFonts w:ascii="Cambria Math" w:hAnsi="Cambria Math" w:cs="Times New Roman"/>
              </w:rPr>
              <m:t>R</m:t>
            </m:r>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0</m:t>
            </m:r>
          </m:sub>
        </m:sSub>
        <m:sSup>
          <m:sSupPr>
            <m:ctrlPr>
              <w:rPr>
                <w:rFonts w:ascii="Cambria Math" w:hAnsi="Cambria Math" w:cs="Times New Roman"/>
              </w:rPr>
            </m:ctrlPr>
          </m:sSupPr>
          <m:e>
            <m:r>
              <w:rPr>
                <w:rFonts w:ascii="Cambria Math" w:hAnsi="Cambria Math" w:cs="Times New Roman"/>
              </w:rPr>
              <m:t>e</m:t>
            </m:r>
          </m:e>
          <m:sup>
            <m: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a</m:t>
                </m:r>
              </m:e>
              <m:sup>
                <m:r>
                  <w:rPr>
                    <w:rFonts w:ascii="Cambria Math" w:hAnsi="Cambria Math" w:cs="Times New Roman"/>
                  </w:rPr>
                  <m:t>2</m:t>
                </m:r>
              </m:sup>
            </m:sSup>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sup>
        </m:sSup>
      </m:oMath>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t xml:space="preserve">     (2.8</w:t>
      </w:r>
    </w:p>
    <w:p w14:paraId="1868D099" w14:textId="77777777" w:rsidR="00365526" w:rsidRPr="00F23F20" w:rsidRDefault="00365526" w:rsidP="00365526">
      <w:pPr>
        <w:pStyle w:val="Standard"/>
        <w:spacing w:line="480" w:lineRule="auto"/>
        <w:rPr>
          <w:rFonts w:ascii="Times New Roman" w:hAnsi="Times New Roman" w:cs="Times New Roman"/>
        </w:rPr>
      </w:pPr>
      <w:r w:rsidRPr="00F23F20">
        <w:rPr>
          <w:rFonts w:ascii="Times New Roman" w:hAnsi="Times New Roman" w:cs="Times New Roman"/>
        </w:rPr>
        <w:t xml:space="preserve">where </w:t>
      </w:r>
      <w:r w:rsidRPr="00F23F20">
        <w:rPr>
          <w:rFonts w:ascii="Times New Roman" w:hAnsi="Times New Roman" w:cs="Times New Roman"/>
          <w:i/>
        </w:rPr>
        <w:t>S</w:t>
      </w:r>
      <w:r w:rsidRPr="00F23F20">
        <w:rPr>
          <w:rFonts w:ascii="Times New Roman" w:hAnsi="Times New Roman" w:cs="Times New Roman"/>
          <w:vertAlign w:val="subscript"/>
        </w:rPr>
        <w:t>0</w:t>
      </w:r>
      <w:r w:rsidRPr="00F23F20">
        <w:rPr>
          <w:rFonts w:ascii="Times New Roman" w:hAnsi="Times New Roman" w:cs="Times New Roman"/>
        </w:rPr>
        <w:t xml:space="preserve"> was treated as the maximum relative of abundance (</w:t>
      </w:r>
      <w:r w:rsidRPr="00F23F20">
        <w:rPr>
          <w:rFonts w:ascii="Times New Roman" w:hAnsi="Times New Roman" w:cs="Times New Roman"/>
          <w:i/>
        </w:rPr>
        <w:t>S</w:t>
      </w:r>
      <w:r w:rsidRPr="00F23F20">
        <w:rPr>
          <w:rFonts w:ascii="Times New Roman" w:hAnsi="Times New Roman" w:cs="Times New Roman"/>
          <w:vertAlign w:val="subscript"/>
        </w:rPr>
        <w:t>0</w:t>
      </w:r>
      <w:r w:rsidRPr="00F23F20">
        <w:rPr>
          <w:rFonts w:ascii="Times New Roman" w:hAnsi="Times New Roman" w:cs="Times New Roman"/>
        </w:rPr>
        <w:t xml:space="preserve"> = 1), </w:t>
      </w:r>
      <w:r w:rsidRPr="00F23F20">
        <w:rPr>
          <w:rFonts w:ascii="Times New Roman" w:hAnsi="Times New Roman" w:cs="Times New Roman"/>
          <w:i/>
        </w:rPr>
        <w:t>a</w:t>
      </w:r>
      <w:r w:rsidRPr="00F23F20">
        <w:rPr>
          <w:rFonts w:ascii="Times New Roman" w:hAnsi="Times New Roman" w:cs="Times New Roman"/>
        </w:rPr>
        <w:t xml:space="preserve"> was the inverse width of the distribution, </w:t>
      </w:r>
      <w:r w:rsidRPr="00F23F20">
        <w:rPr>
          <w:rFonts w:ascii="Times New Roman" w:hAnsi="Times New Roman" w:cs="Times New Roman"/>
          <w:i/>
        </w:rPr>
        <w:t>R</w:t>
      </w:r>
      <w:r w:rsidRPr="00F23F20">
        <w:rPr>
          <w:rFonts w:ascii="Times New Roman" w:hAnsi="Times New Roman" w:cs="Times New Roman"/>
        </w:rPr>
        <w:t xml:space="preserve"> was treated as the positive octave range spanning 0 to 9, and </w:t>
      </w:r>
      <w:r w:rsidRPr="00F23F20">
        <w:rPr>
          <w:rFonts w:ascii="Times New Roman" w:hAnsi="Times New Roman" w:cs="Times New Roman"/>
          <w:i/>
        </w:rPr>
        <w:lastRenderedPageBreak/>
        <w:t>S</w:t>
      </w:r>
      <w:r w:rsidRPr="00F23F20">
        <w:rPr>
          <w:rFonts w:ascii="Times New Roman" w:hAnsi="Times New Roman" w:cs="Times New Roman"/>
        </w:rPr>
        <w:t>(</w:t>
      </w:r>
      <w:r w:rsidRPr="00F23F20">
        <w:rPr>
          <w:rFonts w:ascii="Times New Roman" w:hAnsi="Times New Roman" w:cs="Times New Roman"/>
          <w:i/>
        </w:rPr>
        <w:t>R</w:t>
      </w:r>
      <w:r w:rsidRPr="00F23F20">
        <w:rPr>
          <w:rFonts w:ascii="Times New Roman" w:hAnsi="Times New Roman" w:cs="Times New Roman"/>
        </w:rPr>
        <w:t xml:space="preserve">) represented the abundance for a given group. For the lognormal abundance distribution in Figure 2.2D, </w:t>
      </w:r>
      <w:r w:rsidRPr="00F23F20">
        <w:rPr>
          <w:rFonts w:ascii="Times New Roman" w:hAnsi="Times New Roman" w:cs="Times New Roman"/>
          <w:i/>
        </w:rPr>
        <w:t xml:space="preserve">a </w:t>
      </w:r>
      <w:r w:rsidRPr="00F23F20">
        <w:rPr>
          <w:rFonts w:ascii="Times New Roman" w:hAnsi="Times New Roman" w:cs="Times New Roman"/>
        </w:rPr>
        <w:t xml:space="preserve">was set to a value of 0.2. Each hypothetical community started with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r>
          <w:rPr>
            <w:rFonts w:ascii="Cambria Math" w:hAnsi="Cambria Math" w:cs="Times New Roman"/>
          </w:rPr>
          <m:t>=1×</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6</m:t>
            </m:r>
          </m:sup>
        </m:sSup>
      </m:oMath>
      <w:r w:rsidRPr="00F23F20">
        <w:rPr>
          <w:rFonts w:ascii="Times New Roman" w:hAnsi="Times New Roman" w:cs="Times New Roman"/>
        </w:rPr>
        <w:t xml:space="preserve">.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oMath>
      <w:r w:rsidRPr="00F23F20">
        <w:rPr>
          <w:rFonts w:ascii="Times New Roman" w:hAnsi="Times New Roman" w:cs="Times New Roman"/>
        </w:rPr>
        <w:t xml:space="preserve"> incrementally increased at 10 equally-spaced, linear steps to a maximum of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r>
          <w:rPr>
            <w:rFonts w:ascii="Cambria Math" w:hAnsi="Cambria Math" w:cs="Times New Roman"/>
          </w:rPr>
          <m:t>=1×</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oMath>
      <w:r w:rsidRPr="00F23F20">
        <w:rPr>
          <w:rFonts w:ascii="Times New Roman" w:hAnsi="Times New Roman" w:cs="Times New Roman"/>
        </w:rPr>
        <w:t xml:space="preserve">. As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oMath>
      <w:r w:rsidRPr="00F23F20">
        <w:rPr>
          <w:rFonts w:ascii="Times New Roman" w:hAnsi="Times New Roman" w:cs="Times New Roman"/>
        </w:rPr>
        <w:t xml:space="preserve"> increased, all community structures remained constant. Graphical representation of rank abundance in Figure 2.2A-D was normalized by a given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oMath>
      <w:r w:rsidRPr="00F23F20">
        <w:rPr>
          <w:rFonts w:ascii="Times New Roman" w:hAnsi="Times New Roman" w:cs="Times New Roman"/>
          <w:i/>
        </w:rPr>
        <w:t xml:space="preserve"> </w:t>
      </w:r>
      <w:r w:rsidRPr="00F23F20">
        <w:rPr>
          <w:rFonts w:ascii="Times New Roman" w:hAnsi="Times New Roman" w:cs="Times New Roman"/>
        </w:rPr>
        <w:t xml:space="preserve">to reflect that populations retained the same structure even as population size varied. We defined a normalized rank abundance </w:t>
      </w:r>
      <w:proofErr w:type="spellStart"/>
      <w:r w:rsidRPr="00F23F20">
        <w:rPr>
          <w:rFonts w:ascii="Times New Roman" w:hAnsi="Times New Roman" w:cs="Times New Roman"/>
          <w:i/>
        </w:rPr>
        <w:t>r</w:t>
      </w:r>
      <w:r w:rsidRPr="00F23F20">
        <w:rPr>
          <w:rFonts w:ascii="Times New Roman" w:hAnsi="Times New Roman" w:cs="Times New Roman"/>
          <w:vertAlign w:val="subscript"/>
        </w:rPr>
        <w:t>n</w:t>
      </w:r>
      <w:proofErr w:type="spellEnd"/>
      <w:r w:rsidRPr="00F23F20">
        <w:rPr>
          <w:rFonts w:ascii="Times New Roman" w:hAnsi="Times New Roman" w:cs="Times New Roman"/>
        </w:rPr>
        <w:t xml:space="preserve"> such that</w:t>
      </w:r>
    </w:p>
    <w:p w14:paraId="08173C27" w14:textId="77777777" w:rsidR="00365526" w:rsidRPr="00F23F20" w:rsidRDefault="002A3883" w:rsidP="00365526">
      <w:pPr>
        <w:pStyle w:val="Standard"/>
        <w:spacing w:line="480" w:lineRule="auto"/>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r</m:t>
            </m:r>
          </m:e>
          <m:sub>
            <m:r>
              <m:rPr>
                <m:lit/>
                <m:nor/>
              </m:rPr>
              <w:rPr>
                <w:rFonts w:ascii="Times New Roman" w:hAnsi="Times New Roman" w:cs="Times New Roman"/>
              </w:rPr>
              <m:t>n</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r</m:t>
            </m:r>
          </m:num>
          <m:den>
            <m:r>
              <w:rPr>
                <w:rFonts w:ascii="Cambria Math" w:hAnsi="Cambria Math" w:cs="Times New Roman"/>
              </w:rPr>
              <m:t>s</m:t>
            </m:r>
          </m:den>
        </m:f>
      </m:oMath>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t xml:space="preserve">    </w:t>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t xml:space="preserve">     (2.9</w:t>
      </w:r>
    </w:p>
    <w:p w14:paraId="7E6B4AFA" w14:textId="77777777" w:rsidR="00365526" w:rsidRPr="00F23F20" w:rsidRDefault="00365526" w:rsidP="00365526">
      <w:pPr>
        <w:pStyle w:val="Standard"/>
        <w:spacing w:line="480" w:lineRule="auto"/>
        <w:rPr>
          <w:rFonts w:ascii="Times New Roman" w:hAnsi="Times New Roman" w:cs="Times New Roman"/>
        </w:rPr>
      </w:pPr>
      <w:r w:rsidRPr="00F23F20">
        <w:rPr>
          <w:rFonts w:ascii="Times New Roman" w:hAnsi="Times New Roman" w:cs="Times New Roman"/>
        </w:rPr>
        <w:t xml:space="preserve">where </w:t>
      </w:r>
      <w:r w:rsidRPr="00F23F20">
        <w:rPr>
          <w:rFonts w:ascii="Times New Roman" w:hAnsi="Times New Roman" w:cs="Times New Roman"/>
          <w:i/>
        </w:rPr>
        <w:t>r</w:t>
      </w:r>
      <w:r w:rsidRPr="00F23F20">
        <w:rPr>
          <w:rFonts w:ascii="Times New Roman" w:hAnsi="Times New Roman" w:cs="Times New Roman"/>
        </w:rPr>
        <w:t xml:space="preserve"> and </w:t>
      </w:r>
      <w:r w:rsidRPr="00F23F20">
        <w:rPr>
          <w:rFonts w:ascii="Times New Roman" w:hAnsi="Times New Roman" w:cs="Times New Roman"/>
          <w:i/>
        </w:rPr>
        <w:t xml:space="preserve">s </w:t>
      </w:r>
      <w:r w:rsidRPr="00F23F20">
        <w:rPr>
          <w:rFonts w:ascii="Times New Roman" w:hAnsi="Times New Roman" w:cs="Times New Roman"/>
        </w:rPr>
        <w:t xml:space="preserve">are untransformed rank abundance and richness, respectively. For each community, at each step, the expected number of sequences was calculated using equation 2.6. The expected number of sequences as a function of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oMath>
      <w:r w:rsidRPr="00F23F20">
        <w:rPr>
          <w:rFonts w:ascii="Times New Roman" w:hAnsi="Times New Roman" w:cs="Times New Roman"/>
        </w:rPr>
        <w:t xml:space="preserve"> were modeled with linear regressions.</w:t>
      </w:r>
    </w:p>
    <w:p w14:paraId="75285C77" w14:textId="77777777" w:rsidR="00365526" w:rsidRPr="00F23F20" w:rsidRDefault="00365526" w:rsidP="00365526">
      <w:pPr>
        <w:pStyle w:val="Standard"/>
        <w:spacing w:line="480" w:lineRule="auto"/>
        <w:ind w:firstLine="720"/>
        <w:rPr>
          <w:rFonts w:ascii="Times New Roman" w:hAnsi="Times New Roman" w:cs="Times New Roman"/>
        </w:rPr>
      </w:pPr>
      <w:r w:rsidRPr="00F23F20">
        <w:rPr>
          <w:rFonts w:ascii="Times New Roman" w:hAnsi="Times New Roman" w:cs="Times New Roman"/>
        </w:rPr>
        <w:t xml:space="preserve">Equation 2.6 gives the expected number of sequences required to sequence any sized community to exhaustion. Numerical sequencing simulations were performed to determine the number of sequences necessary to sequence a subset of all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w:t>
      </w:r>
      <w:proofErr w:type="spellEnd"/>
      <w:r w:rsidRPr="00F23F20">
        <w:rPr>
          <w:rFonts w:ascii="Times New Roman" w:hAnsi="Times New Roman" w:cs="Times New Roman"/>
        </w:rPr>
        <w:t xml:space="preserve"> (</w:t>
      </w:r>
      <w:r w:rsidRPr="00F23F20">
        <w:rPr>
          <w:rFonts w:ascii="Times New Roman" w:hAnsi="Times New Roman" w:cs="Times New Roman"/>
          <w:i/>
        </w:rPr>
        <w:t>K</w:t>
      </w:r>
      <w:r w:rsidRPr="00F23F20">
        <w:rPr>
          <w:rFonts w:ascii="Times New Roman" w:hAnsi="Times New Roman" w:cs="Times New Roman"/>
          <w:vertAlign w:val="subscript"/>
        </w:rPr>
        <w:t>MG</w:t>
      </w:r>
      <w:r w:rsidRPr="00F23F20">
        <w:rPr>
          <w:rFonts w:ascii="Times New Roman" w:hAnsi="Times New Roman" w:cs="Times New Roman"/>
        </w:rPr>
        <w:t>). These numerical sequencing simulations were applied to four hypothetical community structures described above.</w:t>
      </w:r>
      <w:r w:rsidRPr="00F23F20">
        <w:rPr>
          <w:rFonts w:ascii="Times New Roman" w:hAnsi="Times New Roman" w:cs="Times New Roman"/>
          <w:bCs/>
        </w:rPr>
        <w:t xml:space="preserve"> Numerical simulations were performed such that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r>
          <w:rPr>
            <w:rFonts w:ascii="Cambria Math" w:hAnsi="Cambria Math" w:cs="Times New Roman"/>
          </w:rPr>
          <m:t>=3×</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7</m:t>
            </m:r>
          </m:sup>
        </m:sSup>
        <m:r>
          <w:rPr>
            <w:rFonts w:ascii="Cambria Math" w:hAnsi="Cambria Math" w:cs="Times New Roman"/>
          </w:rPr>
          <m:t>,4×</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7</m:t>
            </m:r>
          </m:sup>
        </m:sSup>
        <m:r>
          <w:rPr>
            <w:rFonts w:ascii="Cambria Math" w:hAnsi="Cambria Math" w:cs="Times New Roman"/>
          </w:rPr>
          <m:t>,5×</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7</m:t>
            </m:r>
          </m:sup>
        </m:sSup>
        <m:r>
          <w:rPr>
            <w:rFonts w:ascii="Cambria Math" w:hAnsi="Cambria Math" w:cs="Times New Roman"/>
          </w:rPr>
          <m:t>,7×</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7</m:t>
            </m:r>
          </m:sup>
        </m:sSup>
        <m:r>
          <w:rPr>
            <w:rFonts w:ascii="Cambria Math" w:hAnsi="Cambria Math" w:cs="Times New Roman"/>
          </w:rPr>
          <m:t>,9×</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7</m:t>
            </m:r>
          </m:sup>
        </m:sSup>
      </m:oMath>
      <w:r w:rsidRPr="00F23F20">
        <w:rPr>
          <w:rFonts w:ascii="Times New Roman" w:hAnsi="Times New Roman" w:cs="Times New Roman"/>
        </w:rPr>
        <w:t xml:space="preserve">, and  </w:t>
      </w:r>
      <m:oMath>
        <m:r>
          <w:rPr>
            <w:rFonts w:ascii="Cambria Math" w:hAnsi="Cambria Math" w:cs="Times New Roman"/>
          </w:rPr>
          <m:t>1×</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8</m:t>
            </m:r>
          </m:sup>
        </m:sSup>
      </m:oMath>
      <w:r w:rsidRPr="00F23F20">
        <w:rPr>
          <w:rFonts w:ascii="Times New Roman" w:hAnsi="Times New Roman" w:cs="Times New Roman"/>
        </w:rPr>
        <w:t>. During each of these simulations, the parameters read length (</w:t>
      </w:r>
      <w:r w:rsidRPr="00F23F20">
        <w:rPr>
          <w:rFonts w:ascii="Times New Roman" w:hAnsi="Times New Roman" w:cs="Times New Roman"/>
          <w:i/>
        </w:rPr>
        <w:t>k</w:t>
      </w:r>
      <w:r w:rsidRPr="00F23F20">
        <w:rPr>
          <w:rFonts w:ascii="Times New Roman" w:hAnsi="Times New Roman" w:cs="Times New Roman"/>
        </w:rPr>
        <w:t>) and average genome size (</w:t>
      </w:r>
      <w:r w:rsidRPr="00F23F20">
        <w:rPr>
          <w:rFonts w:ascii="Times New Roman" w:hAnsi="Times New Roman" w:cs="Times New Roman"/>
          <w:i/>
        </w:rPr>
        <w:t>l</w:t>
      </w:r>
      <w:r w:rsidRPr="00F23F20">
        <w:rPr>
          <w:rFonts w:ascii="Times New Roman" w:hAnsi="Times New Roman" w:cs="Times New Roman"/>
        </w:rPr>
        <w:t xml:space="preserve">) were set to 100 and  </w:t>
      </w:r>
      <m:oMath>
        <m:r>
          <w:rPr>
            <w:rFonts w:ascii="Cambria Math" w:hAnsi="Cambria Math" w:cs="Times New Roman"/>
          </w:rPr>
          <m:t>1×</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6</m:t>
            </m:r>
          </m:sup>
        </m:sSup>
      </m:oMath>
      <w:r w:rsidRPr="00F23F20">
        <w:rPr>
          <w:rFonts w:ascii="Times New Roman" w:hAnsi="Times New Roman" w:cs="Times New Roman"/>
        </w:rPr>
        <w:t xml:space="preserve">, respectively, for all </w:t>
      </w:r>
      <w:r w:rsidRPr="00F23F20">
        <w:rPr>
          <w:rFonts w:ascii="Times New Roman" w:hAnsi="Times New Roman" w:cs="Times New Roman"/>
          <w:i/>
        </w:rPr>
        <w:t>g</w:t>
      </w:r>
      <w:r w:rsidRPr="00F23F20">
        <w:rPr>
          <w:rFonts w:ascii="Times New Roman" w:hAnsi="Times New Roman" w:cs="Times New Roman"/>
        </w:rPr>
        <w:t xml:space="preserve">. Random elements from </w:t>
      </w:r>
      <w:r w:rsidRPr="00F23F20">
        <w:rPr>
          <w:rFonts w:ascii="Times New Roman" w:hAnsi="Times New Roman" w:cs="Times New Roman"/>
          <w:i/>
        </w:rPr>
        <w:t>K</w:t>
      </w:r>
      <w:r w:rsidRPr="00F23F20">
        <w:rPr>
          <w:rFonts w:ascii="Times New Roman" w:hAnsi="Times New Roman" w:cs="Times New Roman"/>
          <w:vertAlign w:val="subscript"/>
        </w:rPr>
        <w:t>MG</w:t>
      </w:r>
      <w:r w:rsidRPr="00F23F20">
        <w:rPr>
          <w:rFonts w:ascii="Times New Roman" w:hAnsi="Times New Roman" w:cs="Times New Roman"/>
        </w:rPr>
        <w:t xml:space="preserve"> were selected with replacement to simulate sequencing events. Numerical simulations were performed until the percentage of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oMath>
      <w:r w:rsidRPr="00F23F20">
        <w:rPr>
          <w:rFonts w:ascii="Times New Roman" w:hAnsi="Times New Roman" w:cs="Times New Roman"/>
        </w:rPr>
        <w:t xml:space="preserve"> sequenced was 50%, 70%, 90%, 95%, 99%, or 100%. A weight </w:t>
      </w:r>
      <w:r w:rsidRPr="00F23F20">
        <w:rPr>
          <w:rFonts w:ascii="Times New Roman" w:hAnsi="Times New Roman" w:cs="Times New Roman"/>
        </w:rPr>
        <w:lastRenderedPageBreak/>
        <w:t>distribution was applied to elem</w:t>
      </w:r>
      <w:proofErr w:type="spellStart"/>
      <w:r w:rsidRPr="00F23F20">
        <w:rPr>
          <w:rFonts w:ascii="Times New Roman" w:hAnsi="Times New Roman" w:cs="Times New Roman"/>
        </w:rPr>
        <w:t>ents</w:t>
      </w:r>
      <w:proofErr w:type="spellEnd"/>
      <w:r w:rsidRPr="00F23F20">
        <w:rPr>
          <w:rFonts w:ascii="Times New Roman" w:hAnsi="Times New Roman" w:cs="Times New Roman"/>
        </w:rPr>
        <w:t xml:space="preserve"> in a given </w:t>
      </w:r>
      <w:r w:rsidRPr="00F23F20">
        <w:rPr>
          <w:rFonts w:ascii="Times New Roman" w:hAnsi="Times New Roman" w:cs="Times New Roman"/>
          <w:i/>
        </w:rPr>
        <w:t>K</w:t>
      </w:r>
      <w:r w:rsidRPr="00F23F20">
        <w:rPr>
          <w:rFonts w:ascii="Times New Roman" w:hAnsi="Times New Roman" w:cs="Times New Roman"/>
          <w:vertAlign w:val="subscript"/>
        </w:rPr>
        <w:t>MG</w:t>
      </w:r>
      <w:r w:rsidRPr="00F23F20">
        <w:rPr>
          <w:rFonts w:ascii="Times New Roman" w:hAnsi="Times New Roman" w:cs="Times New Roman"/>
        </w:rPr>
        <w:t xml:space="preserve">. </w:t>
      </w:r>
      <w:r w:rsidRPr="00F23F20">
        <w:rPr>
          <w:rFonts w:ascii="Times New Roman" w:hAnsi="Times New Roman" w:cs="Times New Roman"/>
          <w:i/>
        </w:rPr>
        <w:t xml:space="preserve"> </w:t>
      </w:r>
      <w:r w:rsidRPr="00F23F20">
        <w:rPr>
          <w:rFonts w:ascii="Times New Roman" w:hAnsi="Times New Roman" w:cs="Times New Roman"/>
        </w:rPr>
        <w:t xml:space="preserve">The weight distribution biased sequencing to reflect the relative abundances of the four hypothetical communities described above. The percentage of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oMath>
      <w:r w:rsidRPr="00F23F20">
        <w:rPr>
          <w:rFonts w:ascii="Times New Roman" w:hAnsi="Times New Roman" w:cs="Times New Roman"/>
        </w:rPr>
        <w:t xml:space="preserve"> sequenced was evaluated every </w:t>
      </w:r>
      <m:oMath>
        <m:r>
          <w:rPr>
            <w:rFonts w:ascii="Cambria Math" w:hAnsi="Cambria Math" w:cs="Times New Roman"/>
          </w:rPr>
          <m:t>1×</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7</m:t>
            </m:r>
          </m:sup>
        </m:sSup>
      </m:oMath>
      <w:r w:rsidRPr="00F23F20">
        <w:rPr>
          <w:rFonts w:ascii="Times New Roman" w:hAnsi="Times New Roman" w:cs="Times New Roman"/>
        </w:rPr>
        <w:t xml:space="preserve"> sequences. Numerical simulations were perf</w:t>
      </w:r>
      <w:proofErr w:type="spellStart"/>
      <w:r w:rsidRPr="00F23F20">
        <w:rPr>
          <w:rFonts w:ascii="Times New Roman" w:hAnsi="Times New Roman" w:cs="Times New Roman"/>
        </w:rPr>
        <w:t>ormed</w:t>
      </w:r>
      <w:proofErr w:type="spellEnd"/>
      <w:r w:rsidRPr="00F23F20">
        <w:rPr>
          <w:rFonts w:ascii="Times New Roman" w:hAnsi="Times New Roman" w:cs="Times New Roman"/>
        </w:rPr>
        <w:t xml:space="preserve"> in triplicate for all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oMath>
      <w:r w:rsidRPr="00F23F20">
        <w:rPr>
          <w:rFonts w:ascii="Times New Roman" w:hAnsi="Times New Roman" w:cs="Times New Roman"/>
        </w:rPr>
        <w:t xml:space="preserve"> and all target fractions of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r>
          <w:rPr>
            <w:rFonts w:ascii="Cambria Math" w:hAnsi="Cambria Math" w:cs="Times New Roman"/>
          </w:rPr>
          <m:t>.</m:t>
        </m:r>
      </m:oMath>
    </w:p>
    <w:p w14:paraId="287046FB" w14:textId="7A1B89A0" w:rsidR="00365526" w:rsidRPr="00F23F20" w:rsidRDefault="00365526" w:rsidP="00365526">
      <w:pPr>
        <w:pStyle w:val="Standard"/>
        <w:spacing w:line="480" w:lineRule="auto"/>
        <w:ind w:firstLine="720"/>
        <w:rPr>
          <w:rFonts w:ascii="Times New Roman" w:hAnsi="Times New Roman" w:cs="Times New Roman"/>
        </w:rPr>
      </w:pPr>
      <w:r w:rsidRPr="00F23F20">
        <w:rPr>
          <w:rFonts w:ascii="Times New Roman" w:hAnsi="Times New Roman" w:cs="Times New Roman"/>
          <w:bCs/>
        </w:rPr>
        <w:t xml:space="preserve">We explored the influence of community evenness on required sequencing effort by performing sequencing simulations on 6 different lognormally-distributed communities. The numerical sequencing simulations followed the simulations described above. The 6 lognormal communities were modeled such that each community had </w:t>
      </w:r>
      <w:r w:rsidRPr="00F23F20">
        <w:rPr>
          <w:rFonts w:ascii="Times New Roman" w:hAnsi="Times New Roman" w:cs="Times New Roman"/>
          <w:bCs/>
          <w:i/>
        </w:rPr>
        <w:t>S</w:t>
      </w:r>
      <w:r w:rsidRPr="00F23F20">
        <w:rPr>
          <w:rFonts w:ascii="Times New Roman" w:hAnsi="Times New Roman" w:cs="Times New Roman"/>
          <w:bCs/>
          <w:vertAlign w:val="subscript"/>
        </w:rPr>
        <w:t>0</w:t>
      </w:r>
      <w:r w:rsidRPr="00F23F20">
        <w:rPr>
          <w:rFonts w:ascii="Times New Roman" w:hAnsi="Times New Roman" w:cs="Times New Roman"/>
          <w:bCs/>
        </w:rPr>
        <w:t xml:space="preserve"> =1, </w:t>
      </w:r>
      <w:r w:rsidRPr="00F23F20">
        <w:rPr>
          <w:rFonts w:ascii="Times New Roman" w:hAnsi="Times New Roman" w:cs="Times New Roman"/>
          <w:bCs/>
          <w:i/>
        </w:rPr>
        <w:t>R=</w:t>
      </w:r>
      <w:r w:rsidRPr="00F23F20">
        <w:rPr>
          <w:rFonts w:ascii="Times New Roman" w:hAnsi="Times New Roman" w:cs="Times New Roman"/>
          <w:bCs/>
        </w:rPr>
        <w:t xml:space="preserve">10, and </w:t>
      </w:r>
      <m:oMath>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e>
        </m:d>
        <m:r>
          <w:rPr>
            <w:rFonts w:ascii="Cambria Math" w:hAnsi="Cambria Math" w:cs="Times New Roman"/>
          </w:rPr>
          <m:t>=1×</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7</m:t>
            </m:r>
          </m:sup>
        </m:sSup>
      </m:oMath>
      <w:r w:rsidRPr="00F23F20">
        <w:rPr>
          <w:rFonts w:ascii="Times New Roman" w:hAnsi="Times New Roman" w:cs="Times New Roman"/>
        </w:rPr>
        <w:t xml:space="preserve">. Values of </w:t>
      </w:r>
      <w:r w:rsidRPr="00F23F20">
        <w:rPr>
          <w:rFonts w:ascii="Times New Roman" w:hAnsi="Times New Roman" w:cs="Times New Roman"/>
          <w:i/>
        </w:rPr>
        <w:t xml:space="preserve">a </w:t>
      </w:r>
      <w:r w:rsidRPr="00F23F20">
        <w:rPr>
          <w:rFonts w:ascii="Times New Roman" w:hAnsi="Times New Roman" w:cs="Times New Roman"/>
        </w:rPr>
        <w:t xml:space="preserve">for the 6 lognormal distributions were </w:t>
      </w:r>
      <w:r w:rsidRPr="00F23F20">
        <w:rPr>
          <w:rFonts w:ascii="Times New Roman" w:hAnsi="Times New Roman" w:cs="Times New Roman"/>
          <w:i/>
        </w:rPr>
        <w:t>a</w:t>
      </w:r>
      <w:r w:rsidRPr="00F23F20">
        <w:rPr>
          <w:rFonts w:ascii="Times New Roman" w:hAnsi="Times New Roman" w:cs="Times New Roman"/>
        </w:rPr>
        <w:t xml:space="preserve">=0, </w:t>
      </w:r>
      <w:r w:rsidRPr="00F23F20">
        <w:rPr>
          <w:rFonts w:ascii="Times New Roman" w:hAnsi="Times New Roman" w:cs="Times New Roman"/>
          <w:i/>
        </w:rPr>
        <w:t>a</w:t>
      </w:r>
      <w:r w:rsidRPr="00F23F20">
        <w:rPr>
          <w:rFonts w:ascii="Times New Roman" w:hAnsi="Times New Roman" w:cs="Times New Roman"/>
        </w:rPr>
        <w:t xml:space="preserve">=0.005, </w:t>
      </w:r>
      <w:r w:rsidRPr="00F23F20">
        <w:rPr>
          <w:rFonts w:ascii="Times New Roman" w:hAnsi="Times New Roman" w:cs="Times New Roman"/>
          <w:i/>
        </w:rPr>
        <w:t>a</w:t>
      </w:r>
      <w:r w:rsidRPr="00F23F20">
        <w:rPr>
          <w:rFonts w:ascii="Times New Roman" w:hAnsi="Times New Roman" w:cs="Times New Roman"/>
        </w:rPr>
        <w:t xml:space="preserve">=0.008, </w:t>
      </w:r>
      <w:r w:rsidRPr="00F23F20">
        <w:rPr>
          <w:rFonts w:ascii="Times New Roman" w:hAnsi="Times New Roman" w:cs="Times New Roman"/>
          <w:i/>
        </w:rPr>
        <w:t>a</w:t>
      </w:r>
      <w:r w:rsidRPr="00F23F20">
        <w:rPr>
          <w:rFonts w:ascii="Times New Roman" w:hAnsi="Times New Roman" w:cs="Times New Roman"/>
        </w:rPr>
        <w:t xml:space="preserve">=0.01, </w:t>
      </w:r>
      <w:r w:rsidRPr="00F23F20">
        <w:rPr>
          <w:rFonts w:ascii="Times New Roman" w:hAnsi="Times New Roman" w:cs="Times New Roman"/>
          <w:i/>
        </w:rPr>
        <w:t>a</w:t>
      </w:r>
      <w:r w:rsidRPr="00F23F20">
        <w:rPr>
          <w:rFonts w:ascii="Times New Roman" w:hAnsi="Times New Roman" w:cs="Times New Roman"/>
        </w:rPr>
        <w:t xml:space="preserve">=0.015, and </w:t>
      </w:r>
      <w:r w:rsidRPr="00F23F20">
        <w:rPr>
          <w:rFonts w:ascii="Times New Roman" w:hAnsi="Times New Roman" w:cs="Times New Roman"/>
          <w:i/>
        </w:rPr>
        <w:t>a</w:t>
      </w:r>
      <w:r w:rsidRPr="00F23F20">
        <w:rPr>
          <w:rFonts w:ascii="Times New Roman" w:hAnsi="Times New Roman" w:cs="Times New Roman"/>
        </w:rPr>
        <w:t xml:space="preserve">=0.02. Evenness was represented using the </w:t>
      </w:r>
      <w:proofErr w:type="spellStart"/>
      <w:r w:rsidRPr="00F23F20">
        <w:rPr>
          <w:rFonts w:ascii="Times New Roman" w:hAnsi="Times New Roman" w:cs="Times New Roman"/>
        </w:rPr>
        <w:t>Pielou</w:t>
      </w:r>
      <w:proofErr w:type="spellEnd"/>
      <w:r w:rsidRPr="00F23F20">
        <w:rPr>
          <w:rFonts w:ascii="Times New Roman" w:hAnsi="Times New Roman" w:cs="Times New Roman"/>
        </w:rPr>
        <w:t xml:space="preserve"> evenness index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{"citationItems":[{"id":"ITEM-1","itemData":{"DOI":"10.1016/0022-5193(66)90013-0","ISBN":"0022-5193","ISSN":"10958541","abstract":"Information content may be used as a measure of the diversity of a many-species biological collection. The diversity of small collections, all of whose members can be identified and counted, is defined by Brillouin's measure of information. With larger collections it becomes necessary to estimate diversity; what is estimated is Shannon's measure of information which is a function of the population proportions of the several species. Different methods of estimation are appropriate for different types of collections. If the collection can be randomly sampled and the total number of species is known, Basharin's formula may be used. With a random sample from a population containing an unknown number of species, Good's method is sometimes applicable. With a patchy population of sessile organisms, such as a plant community, random samples are unobtainable since the contents of a randomly placed quadrat are not a random sample of the parent population. To estimate the diversity of such a community a method is proposed whereby the sample size is progressively increased by addition of new quadrats; as this is done the diversity of the pooled sample increases and then levels off. The mean increment in total diversity that results from enlarging the sample still more then provides an estimate of the diversity per individual in the whole population. © 1966.","author":[{"dropping-particle":"","family":"Pielou","given":"E. C.","non-dropping-particle":"","parse-names":false,"suffix":""}],"container-title":"Journal of Theoretical Biology","id":"ITEM-1","issue":"C","issued":{"date-parts":[["1966"]]},"page":"131-144","title":"The measurement of diversity in different types of biological collections","type":"article-journal","volume":"13"},"uris":["http://www.mendeley.com/documents/?uuid=fb327ef8-2f0e-4b5a-aa65-88faef92d133"]}],"mendeley":{"formattedCitation":"(54)","plainTextFormattedCitation":"(54)","previouslyFormattedCitation":"(53)"},"properties":{"noteIndex":0},"schema":"https://github.com/citation-style-language/schema/raw/master/csl-citation.json"}</w:instrText>
      </w:r>
      <w:r w:rsidRPr="00F23F20">
        <w:rPr>
          <w:rFonts w:ascii="Times New Roman" w:hAnsi="Times New Roman" w:cs="Times New Roman"/>
        </w:rPr>
        <w:fldChar w:fldCharType="separate"/>
      </w:r>
      <w:bookmarkStart w:id="182" w:name="__Fieldmark__6474_2362280495"/>
      <w:bookmarkStart w:id="183" w:name="__Fieldmark__4588_2362280495"/>
      <w:r w:rsidR="00307058" w:rsidRPr="00307058">
        <w:rPr>
          <w:rFonts w:ascii="Times New Roman" w:hAnsi="Times New Roman" w:cs="Times New Roman"/>
          <w:noProof/>
        </w:rPr>
        <w:t>(54)</w:t>
      </w:r>
      <w:r w:rsidRPr="00F23F20">
        <w:rPr>
          <w:rFonts w:ascii="Times New Roman" w:hAnsi="Times New Roman" w:cs="Times New Roman"/>
        </w:rPr>
        <w:fldChar w:fldCharType="end"/>
      </w:r>
      <w:bookmarkEnd w:id="182"/>
      <w:bookmarkEnd w:id="183"/>
      <w:r w:rsidRPr="00F23F20">
        <w:rPr>
          <w:rFonts w:ascii="Times New Roman" w:hAnsi="Times New Roman" w:cs="Times New Roman"/>
        </w:rPr>
        <w:t xml:space="preserve">, or the ratio of the Shannon diversity index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{"citationItems":[{"id":"ITEM-1","itemData":{"DOI":"10.1145/584091.584093","ISBN":"0252725484","ISSN":"07246811","PMID":"9230594","abstract":"The recent development of various methods of modulation such as PCM and PPM which exchange bandwidth for signal-to-noise ratio has intensified the interest in a general theory of communication. A basis for such a theory is contained in the important papers of Nyquist and Hartley on this subject. In the present paper we will extend the theory to include a number of new factors, in particular the effect of noise in the channel, and the savings possible due to the statistical structure of the original message and due to the nature of the final destination of the information. The fundamental problem of communication is that of reproducing at one point either exactly or approximately a message selected at another point. Frequently the messages have meaning; that is they refer to or are correlated according to some system with certain physical or conceptual entities. These semantic aspects of communication are irrelevant to the engineering problem. The significant aspect is that the actual message is one selected from a set of possible messages. The system must be designed to operate for each possible selection, not just the one which will actually be chosen since this is unknown at the time of design. If the number of messages in the set is finite then this number or any monotonic function of this number can be regarded as a measure of the information produced when one message is chosen from the set, all choices being equally likely. As was pointed out by Hartley the most natural choice is the logarithmic function. Although this definition must be generalized considerably when we consider the influence of the statistics of the message and when we have a continuous range of messages, we will in all cases use an essentially logarithmic measure.","author":[{"dropping-particle":"","family":"Shannon","given":"Claude E","non-dropping-particle":"","parse-names":false,"suffix":""}],"container-title":"The Bell System Technical Journal","id":"ITEM-1","issue":"July 1928","issued":{"date-parts":[["1948"]]},"page":"379-423","title":"A mathematical theory of communication","type":"article-journal","volume":"27"},"uris":["http://www.mendeley.com/documents/?uuid=db8aa691-d583-4ddc-93b7-b16e7857cfe5"]}],"mendeley":{"formattedCitation":"(74)","plainTextFormattedCitation":"(74)","previouslyFormattedCitation":"(73)"},"properties":{"noteIndex":0},"schema":"https://github.com/citation-style-language/schema/raw/master/csl-citation.json"}</w:instrText>
      </w:r>
      <w:r w:rsidRPr="00F23F20">
        <w:rPr>
          <w:rFonts w:ascii="Times New Roman" w:hAnsi="Times New Roman" w:cs="Times New Roman"/>
        </w:rPr>
        <w:fldChar w:fldCharType="separate"/>
      </w:r>
      <w:bookmarkStart w:id="184" w:name="__Fieldmark__6481_2362280495"/>
      <w:bookmarkStart w:id="185" w:name="__Fieldmark__4596_2362280495"/>
      <w:r w:rsidR="00307058" w:rsidRPr="00307058">
        <w:rPr>
          <w:rFonts w:ascii="Times New Roman" w:hAnsi="Times New Roman" w:cs="Times New Roman"/>
          <w:noProof/>
        </w:rPr>
        <w:t>(74)</w:t>
      </w:r>
      <w:r w:rsidRPr="00F23F20">
        <w:rPr>
          <w:rFonts w:ascii="Times New Roman" w:hAnsi="Times New Roman" w:cs="Times New Roman"/>
        </w:rPr>
        <w:fldChar w:fldCharType="end"/>
      </w:r>
      <w:bookmarkEnd w:id="184"/>
      <w:bookmarkEnd w:id="185"/>
      <w:r w:rsidRPr="00F23F20">
        <w:rPr>
          <w:rFonts w:ascii="Times New Roman" w:hAnsi="Times New Roman" w:cs="Times New Roman"/>
        </w:rPr>
        <w:t xml:space="preserve"> for an observed community to an even community of equal richness. Shannon diversity was calculated in the context of a metagenomes such that:</w:t>
      </w:r>
    </w:p>
    <w:p w14:paraId="765FC77F" w14:textId="77777777" w:rsidR="00365526" w:rsidRPr="00F23F20" w:rsidRDefault="002A3883" w:rsidP="00365526">
      <w:pPr>
        <w:pStyle w:val="Standard"/>
        <w:spacing w:line="480" w:lineRule="auto"/>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MG</m:t>
            </m:r>
          </m:sub>
        </m:sSub>
        <m:r>
          <w:rPr>
            <w:rFonts w:ascii="Cambria Math" w:hAnsi="Cambria Math" w:cs="Times New Roman"/>
          </w:rPr>
          <m:t>=</m:t>
        </m:r>
        <m:nary>
          <m:naryPr>
            <m:chr m:val="∑"/>
            <m:supHide m:val="1"/>
            <m:ctrlPr>
              <w:rPr>
                <w:rFonts w:ascii="Cambria Math" w:hAnsi="Cambria Math" w:cs="Times New Roman"/>
              </w:rPr>
            </m:ctrlPr>
          </m:naryPr>
          <m:sub>
            <m:r>
              <w:rPr>
                <w:rFonts w:ascii="Cambria Math" w:hAnsi="Cambria Math" w:cs="Times New Roman"/>
              </w:rPr>
              <m:t>j∈</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MG</m:t>
                </m:r>
              </m:sub>
            </m:sSub>
          </m:sub>
          <m:sup/>
          <m:e>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j</m:t>
                </m:r>
              </m:sub>
            </m:sSub>
            <m:r>
              <w:rPr>
                <w:rFonts w:ascii="Cambria Math" w:hAnsi="Cambria Math" w:cs="Times New Roman"/>
              </w:rPr>
              <m:t>log</m:t>
            </m:r>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j</m:t>
                    </m:r>
                  </m:sub>
                </m:sSub>
              </m:e>
            </m:d>
          </m:e>
        </m:nary>
      </m:oMath>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r>
      <w:r w:rsidR="00365526" w:rsidRPr="00F23F20">
        <w:rPr>
          <w:rFonts w:ascii="Times New Roman" w:hAnsi="Times New Roman" w:cs="Times New Roman"/>
        </w:rPr>
        <w:tab/>
        <w:t xml:space="preserve">   (2.10</w:t>
      </w:r>
    </w:p>
    <w:p w14:paraId="53755BCE" w14:textId="4296F1A9" w:rsidR="00365526" w:rsidRPr="00F23F20" w:rsidRDefault="00365526" w:rsidP="00365526">
      <w:pPr>
        <w:pStyle w:val="Standard"/>
        <w:spacing w:line="480" w:lineRule="auto"/>
        <w:rPr>
          <w:rFonts w:ascii="Times New Roman" w:hAnsi="Times New Roman" w:cs="Times New Roman"/>
        </w:rPr>
      </w:pPr>
      <w:r w:rsidRPr="00F23F20">
        <w:rPr>
          <w:rFonts w:ascii="Times New Roman" w:hAnsi="Times New Roman" w:cs="Times New Roman"/>
        </w:rPr>
        <w:t xml:space="preserve">where </w:t>
      </w:r>
      <w:proofErr w:type="spellStart"/>
      <w:r w:rsidRPr="00F23F20">
        <w:rPr>
          <w:rFonts w:ascii="Times New Roman" w:hAnsi="Times New Roman" w:cs="Times New Roman"/>
          <w:i/>
        </w:rPr>
        <w:t>p</w:t>
      </w:r>
      <w:r w:rsidRPr="00F23F20">
        <w:rPr>
          <w:rFonts w:ascii="Times New Roman" w:hAnsi="Times New Roman" w:cs="Times New Roman"/>
          <w:vertAlign w:val="subscript"/>
        </w:rPr>
        <w:t>j</w:t>
      </w:r>
      <w:proofErr w:type="spellEnd"/>
      <w:r w:rsidRPr="00F23F20">
        <w:rPr>
          <w:rFonts w:ascii="Times New Roman" w:hAnsi="Times New Roman" w:cs="Times New Roman"/>
          <w:i/>
        </w:rPr>
        <w:t xml:space="preserve"> </w:t>
      </w:r>
      <w:r w:rsidRPr="00F23F20">
        <w:rPr>
          <w:rFonts w:ascii="Times New Roman" w:hAnsi="Times New Roman" w:cs="Times New Roman"/>
        </w:rPr>
        <w:t xml:space="preserve">is the proportion that the </w:t>
      </w:r>
      <w:proofErr w:type="spellStart"/>
      <w:r w:rsidRPr="00F23F20">
        <w:rPr>
          <w:rFonts w:ascii="Times New Roman" w:hAnsi="Times New Roman" w:cs="Times New Roman"/>
          <w:i/>
        </w:rPr>
        <w:t>j</w:t>
      </w:r>
      <w:r w:rsidRPr="00F23F20">
        <w:rPr>
          <w:rFonts w:ascii="Times New Roman" w:hAnsi="Times New Roman" w:cs="Times New Roman"/>
          <w:vertAlign w:val="superscript"/>
        </w:rPr>
        <w:t>th</w:t>
      </w:r>
      <w:proofErr w:type="spellEnd"/>
      <w:r w:rsidRPr="00F23F20">
        <w:rPr>
          <w:rFonts w:ascii="Times New Roman" w:hAnsi="Times New Roman" w:cs="Times New Roman"/>
        </w:rPr>
        <w:t xml:space="preserve"> </w:t>
      </w:r>
      <w:r w:rsidRPr="00F23F20">
        <w:rPr>
          <w:rFonts w:ascii="Times New Roman" w:hAnsi="Times New Roman" w:cs="Times New Roman"/>
          <w:i/>
        </w:rPr>
        <w:t>k</w:t>
      </w:r>
      <w:r w:rsidRPr="00F23F20">
        <w:rPr>
          <w:rFonts w:ascii="Times New Roman" w:hAnsi="Times New Roman" w:cs="Times New Roman"/>
        </w:rPr>
        <w:t xml:space="preserve">-sized read represents among all </w:t>
      </w:r>
      <w:r w:rsidRPr="00F23F20">
        <w:rPr>
          <w:rFonts w:ascii="Times New Roman" w:hAnsi="Times New Roman" w:cs="Times New Roman"/>
          <w:i/>
          <w:iCs/>
        </w:rPr>
        <w:t>k</w:t>
      </w:r>
      <w:r w:rsidRPr="00F23F20">
        <w:rPr>
          <w:rFonts w:ascii="Times New Roman" w:hAnsi="Times New Roman" w:cs="Times New Roman"/>
        </w:rPr>
        <w:t>-</w:t>
      </w:r>
      <w:proofErr w:type="spellStart"/>
      <w:r w:rsidRPr="00F23F20">
        <w:rPr>
          <w:rFonts w:ascii="Times New Roman" w:hAnsi="Times New Roman" w:cs="Times New Roman"/>
        </w:rPr>
        <w:t>mersin</w:t>
      </w:r>
      <w:proofErr w:type="spellEnd"/>
      <w:r w:rsidRPr="00F23F20">
        <w:rPr>
          <w:rFonts w:ascii="Times New Roman" w:hAnsi="Times New Roman" w:cs="Times New Roman"/>
        </w:rPr>
        <w:t xml:space="preserve"> the metagenome. Thus, the </w:t>
      </w:r>
      <w:proofErr w:type="spellStart"/>
      <w:r w:rsidRPr="00F23F20">
        <w:rPr>
          <w:rFonts w:ascii="Times New Roman" w:hAnsi="Times New Roman" w:cs="Times New Roman"/>
        </w:rPr>
        <w:t>Pielou</w:t>
      </w:r>
      <w:proofErr w:type="spellEnd"/>
      <w:r w:rsidRPr="00F23F20">
        <w:rPr>
          <w:rFonts w:ascii="Times New Roman" w:hAnsi="Times New Roman" w:cs="Times New Roman"/>
        </w:rPr>
        <w:t xml:space="preserve"> evenness index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{"citationItems":[{"id":"ITEM-1","itemData":{"DOI":"10.1016/0022-5193(66)90013-0","ISBN":"0022-5193","ISSN":"10958541","abstract":"Information content may be used as a measure of the diversity of a many-species biological collection. The diversity of small collections, all of whose members can be identified and counted, is defined by Brillouin's measure of information. With larger collections it becomes necessary to estimate diversity; what is estimated is Shannon's measure of information which is a function of the population proportions of the several species. Different methods of estimation are appropriate for different types of collections. If the collection can be randomly sampled and the total number of species is known, Basharin's formula may be used. With a random sample from a population containing an unknown number of species, Good's method is sometimes applicable. With a patchy population of sessile organisms, such as a plant community, random samples are unobtainable since the contents of a randomly placed quadrat are not a random sample of the parent population. To estimate the diversity of such a community a method is proposed whereby the sample size is progressively increased by addition of new quadrats; as this is done the diversity of the pooled sample increases and then levels off. The mean increment in total diversity that results from enlarging the sample still more then provides an estimate of the diversity per individual in the whole population. © 1966.","author":[{"dropping-particle":"","family":"Pielou","given":"E. C.","non-dropping-particle":"","parse-names":false,"suffix":""}],"container-title":"Journal of Theoretical Biology","id":"ITEM-1","issue":"C","issued":{"date-parts":[["1966"]]},"page":"131-144","title":"The measurement of diversity in different types of biological collections","type":"article-journal","volume":"13"},"uris":["http://www.mendeley.com/documents/?uuid=fb327ef8-2f0e-4b5a-aa65-88faef92d133"]}],"mendeley":{"formattedCitation":"(54)","plainTextFormattedCitation":"(54)","previouslyFormattedCitation":"(53)"},"properties":{"noteIndex":0},"schema":"https://github.com/citation-style-language/schema/raw/master/csl-citation.json"}</w:instrText>
      </w:r>
      <w:r w:rsidRPr="00F23F20">
        <w:rPr>
          <w:rFonts w:ascii="Times New Roman" w:hAnsi="Times New Roman" w:cs="Times New Roman"/>
        </w:rPr>
        <w:fldChar w:fldCharType="separate"/>
      </w:r>
      <w:bookmarkStart w:id="186" w:name="__Fieldmark__6514_2362280495"/>
      <w:bookmarkStart w:id="187" w:name="__Fieldmark__4644_2362280495"/>
      <w:r w:rsidR="00307058" w:rsidRPr="00307058">
        <w:rPr>
          <w:rFonts w:ascii="Times New Roman" w:hAnsi="Times New Roman" w:cs="Times New Roman"/>
          <w:noProof/>
        </w:rPr>
        <w:t>(54)</w:t>
      </w:r>
      <w:r w:rsidRPr="00F23F20">
        <w:rPr>
          <w:rFonts w:ascii="Times New Roman" w:hAnsi="Times New Roman" w:cs="Times New Roman"/>
        </w:rPr>
        <w:fldChar w:fldCharType="end"/>
      </w:r>
      <w:bookmarkEnd w:id="186"/>
      <w:bookmarkEnd w:id="187"/>
      <w:r w:rsidRPr="00F23F20">
        <w:rPr>
          <w:rFonts w:ascii="Times New Roman" w:hAnsi="Times New Roman" w:cs="Times New Roman"/>
        </w:rPr>
        <w:t xml:space="preserve"> was calculated such that:</w:t>
      </w:r>
    </w:p>
    <w:p w14:paraId="584FD3AA" w14:textId="77777777" w:rsidR="00365526" w:rsidRPr="00F23F20" w:rsidRDefault="00365526" w:rsidP="00365526">
      <w:pPr>
        <w:pStyle w:val="Standard"/>
        <w:spacing w:line="480" w:lineRule="auto"/>
        <w:rPr>
          <w:rFonts w:ascii="Times New Roman" w:hAnsi="Times New Roman" w:cs="Times New Roman"/>
        </w:rPr>
      </w:pPr>
      <m:oMath>
        <m:r>
          <w:rPr>
            <w:rFonts w:ascii="Cambria Math" w:hAnsi="Cambria Math" w:cs="Times New Roman"/>
          </w:rPr>
          <m:t>J=</m:t>
        </m:r>
        <m:f>
          <m:fPr>
            <m:ctrlPr>
              <w:rPr>
                <w:rFonts w:ascii="Cambria Math" w:hAnsi="Cambria Math" w:cs="Times New Roman"/>
              </w:rPr>
            </m:ctrlPr>
          </m:fPr>
          <m:num>
            <m:sSup>
              <m:sSupPr>
                <m:ctrlPr>
                  <w:rPr>
                    <w:rFonts w:ascii="Cambria Math" w:hAnsi="Cambria Math" w:cs="Times New Roman"/>
                  </w:rPr>
                </m:ctrlPr>
              </m:sSupPr>
              <m:e>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MG</m:t>
                    </m:r>
                  </m:sub>
                </m:sSub>
              </m:e>
              <m:sup>
                <m:r>
                  <w:rPr>
                    <w:rFonts w:ascii="Cambria Math" w:hAnsi="Cambria Math" w:cs="Times New Roman"/>
                  </w:rPr>
                  <m:t>'</m:t>
                </m:r>
              </m:sup>
            </m:sSup>
          </m:num>
          <m:den>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MG,max</m:t>
                </m:r>
              </m:sub>
            </m:sSub>
          </m:den>
        </m:f>
      </m:oMath>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r>
      <w:r w:rsidRPr="00F23F20">
        <w:rPr>
          <w:rFonts w:ascii="Times New Roman" w:hAnsi="Times New Roman" w:cs="Times New Roman"/>
        </w:rPr>
        <w:tab/>
        <w:t xml:space="preserve">   (2.11</w:t>
      </w:r>
    </w:p>
    <w:p w14:paraId="0977F4D5" w14:textId="77777777" w:rsidR="00365526" w:rsidRPr="00F23F20" w:rsidRDefault="00365526" w:rsidP="00365526">
      <w:pPr>
        <w:pStyle w:val="Standard"/>
        <w:spacing w:line="480" w:lineRule="auto"/>
        <w:rPr>
          <w:rFonts w:ascii="Times New Roman" w:hAnsi="Times New Roman" w:cs="Times New Roman"/>
        </w:rPr>
      </w:pPr>
      <w:r w:rsidRPr="00F23F20">
        <w:rPr>
          <w:rFonts w:ascii="Times New Roman" w:hAnsi="Times New Roman" w:cs="Times New Roman"/>
        </w:rPr>
        <w:t xml:space="preserve">where </w:t>
      </w:r>
      <w:r w:rsidRPr="00F23F20">
        <w:rPr>
          <w:rFonts w:ascii="Times New Roman" w:hAnsi="Times New Roman" w:cs="Times New Roman"/>
          <w:i/>
        </w:rPr>
        <w:t>J</w:t>
      </w:r>
      <w:r w:rsidRPr="00F23F20">
        <w:rPr>
          <w:rFonts w:ascii="Times New Roman" w:hAnsi="Times New Roman" w:cs="Times New Roman"/>
        </w:rPr>
        <w:t xml:space="preserve"> was the </w:t>
      </w:r>
      <w:proofErr w:type="spellStart"/>
      <w:r w:rsidRPr="00F23F20">
        <w:rPr>
          <w:rFonts w:ascii="Times New Roman" w:hAnsi="Times New Roman" w:cs="Times New Roman"/>
        </w:rPr>
        <w:t>Pielou</w:t>
      </w:r>
      <w:proofErr w:type="spellEnd"/>
      <w:r w:rsidRPr="00F23F20">
        <w:rPr>
          <w:rFonts w:ascii="Times New Roman" w:hAnsi="Times New Roman" w:cs="Times New Roman"/>
        </w:rPr>
        <w:t xml:space="preserve"> evenness index, </w:t>
      </w:r>
      <m:oMath>
        <m:sSup>
          <m:sSupPr>
            <m:ctrlPr>
              <w:rPr>
                <w:rFonts w:ascii="Cambria Math" w:hAnsi="Cambria Math" w:cs="Times New Roman"/>
              </w:rPr>
            </m:ctrlPr>
          </m:sSupPr>
          <m:e>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MG</m:t>
                </m:r>
              </m:sub>
            </m:sSub>
          </m:e>
          <m:sup>
            <m:r>
              <w:rPr>
                <w:rFonts w:ascii="Cambria Math" w:hAnsi="Cambria Math" w:cs="Times New Roman"/>
              </w:rPr>
              <m:t>'</m:t>
            </m:r>
          </m:sup>
        </m:sSup>
      </m:oMath>
      <w:r w:rsidRPr="00F23F20">
        <w:rPr>
          <w:rFonts w:ascii="Times New Roman" w:hAnsi="Times New Roman" w:cs="Times New Roman"/>
        </w:rPr>
        <w:t xml:space="preserve"> was the metagenome Shannon diversity index, and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MG,max</m:t>
            </m:r>
          </m:sub>
        </m:sSub>
      </m:oMath>
      <w:r w:rsidRPr="00F23F20">
        <w:rPr>
          <w:rFonts w:ascii="Times New Roman" w:hAnsi="Times New Roman" w:cs="Times New Roman"/>
        </w:rPr>
        <w:t xml:space="preserve"> represented the metagenome Shannon diversity index when all </w:t>
      </w:r>
      <w:proofErr w:type="spellStart"/>
      <w:r w:rsidRPr="00F23F20">
        <w:rPr>
          <w:rFonts w:ascii="Times New Roman" w:hAnsi="Times New Roman" w:cs="Times New Roman"/>
          <w:i/>
        </w:rPr>
        <w:t>p</w:t>
      </w:r>
      <w:r w:rsidRPr="00F23F20">
        <w:rPr>
          <w:rFonts w:ascii="Times New Roman" w:hAnsi="Times New Roman" w:cs="Times New Roman"/>
          <w:vertAlign w:val="subscript"/>
        </w:rPr>
        <w:t>j</w:t>
      </w:r>
      <w:proofErr w:type="spellEnd"/>
      <w:r w:rsidRPr="00F23F20">
        <w:rPr>
          <w:rFonts w:ascii="Times New Roman" w:hAnsi="Times New Roman" w:cs="Times New Roman"/>
        </w:rPr>
        <w:t xml:space="preserve"> were equal (</w:t>
      </w:r>
      <w:r w:rsidRPr="00F23F20">
        <w:rPr>
          <w:rFonts w:ascii="Times New Roman" w:hAnsi="Times New Roman" w:cs="Times New Roman"/>
          <w:i/>
        </w:rPr>
        <w:t>a</w:t>
      </w:r>
      <w:r w:rsidRPr="00F23F20">
        <w:rPr>
          <w:rFonts w:ascii="Times New Roman" w:hAnsi="Times New Roman" w:cs="Times New Roman"/>
        </w:rPr>
        <w:t xml:space="preserve">=0). </w:t>
      </w:r>
    </w:p>
    <w:p w14:paraId="59F83B36" w14:textId="54091A17" w:rsidR="00365526" w:rsidRPr="00F23F20" w:rsidRDefault="00365526" w:rsidP="00365526">
      <w:pPr>
        <w:pStyle w:val="Standard"/>
        <w:spacing w:line="480" w:lineRule="auto"/>
        <w:ind w:firstLine="720"/>
        <w:rPr>
          <w:rFonts w:ascii="Times New Roman" w:hAnsi="Times New Roman" w:cs="Times New Roman"/>
        </w:rPr>
      </w:pPr>
      <w:r w:rsidRPr="00F23F20">
        <w:rPr>
          <w:rFonts w:ascii="Times New Roman" w:hAnsi="Times New Roman" w:cs="Times New Roman"/>
        </w:rPr>
        <w:t xml:space="preserve">Lastly, numerical simulations were performed to determine the sequencing effort </w:t>
      </w:r>
      <w:r w:rsidRPr="00F23F20">
        <w:rPr>
          <w:rFonts w:ascii="Times New Roman" w:hAnsi="Times New Roman" w:cs="Times New Roman"/>
        </w:rPr>
        <w:lastRenderedPageBreak/>
        <w:t>necessary to achieve a target fraction for an individual metagenome (</w:t>
      </w:r>
      <w:proofErr w:type="spellStart"/>
      <w:r w:rsidRPr="00F23F20">
        <w:rPr>
          <w:rFonts w:ascii="Times New Roman" w:hAnsi="Times New Roman" w:cs="Times New Roman"/>
          <w:i/>
        </w:rPr>
        <w:t>g</w:t>
      </w:r>
      <w:r w:rsidRPr="00F23F20">
        <w:rPr>
          <w:rFonts w:ascii="Times New Roman" w:hAnsi="Times New Roman" w:cs="Times New Roman"/>
          <w:vertAlign w:val="subscript"/>
        </w:rPr>
        <w:t>MG</w:t>
      </w:r>
      <w:proofErr w:type="spellEnd"/>
      <w:r w:rsidRPr="00F23F20">
        <w:rPr>
          <w:rFonts w:ascii="Times New Roman" w:hAnsi="Times New Roman" w:cs="Times New Roman"/>
        </w:rPr>
        <w:t>). Target fractions increased from 0.5 to 1 at 100 linearly-spaced intervals. The fraction of the metagenome community (</w:t>
      </w:r>
      <w:r w:rsidRPr="00F23F20">
        <w:rPr>
          <w:rFonts w:ascii="Times New Roman" w:hAnsi="Times New Roman" w:cs="Times New Roman"/>
          <w:i/>
        </w:rPr>
        <w:t>G</w:t>
      </w:r>
      <w:r w:rsidRPr="00F23F20">
        <w:rPr>
          <w:rFonts w:ascii="Times New Roman" w:hAnsi="Times New Roman" w:cs="Times New Roman"/>
          <w:vertAlign w:val="subscript"/>
        </w:rPr>
        <w:t>MG</w:t>
      </w:r>
      <w:r w:rsidRPr="00F23F20">
        <w:rPr>
          <w:rFonts w:ascii="Times New Roman" w:hAnsi="Times New Roman" w:cs="Times New Roman"/>
        </w:rPr>
        <w:t xml:space="preserve">) that </w:t>
      </w:r>
      <w:proofErr w:type="spellStart"/>
      <w:r w:rsidRPr="00F23F20">
        <w:rPr>
          <w:rFonts w:ascii="Times New Roman" w:hAnsi="Times New Roman" w:cs="Times New Roman"/>
          <w:i/>
        </w:rPr>
        <w:t>g</w:t>
      </w:r>
      <w:r w:rsidRPr="00F23F20">
        <w:rPr>
          <w:rFonts w:ascii="Times New Roman" w:hAnsi="Times New Roman" w:cs="Times New Roman"/>
          <w:vertAlign w:val="subscript"/>
        </w:rPr>
        <w:t>MG</w:t>
      </w:r>
      <w:proofErr w:type="spellEnd"/>
      <w:r w:rsidRPr="00F23F20">
        <w:rPr>
          <w:rFonts w:ascii="Times New Roman" w:hAnsi="Times New Roman" w:cs="Times New Roman"/>
        </w:rPr>
        <w:t xml:space="preserve"> represented varied from 1% to 100% in 30 lognormally-spaced intervals. The target genome sizes varied such that </w:t>
      </w:r>
      <w:r w:rsidRPr="00F23F20">
        <w:rPr>
          <w:rFonts w:ascii="Times New Roman" w:hAnsi="Times New Roman" w:cs="Times New Roman"/>
          <w:i/>
        </w:rPr>
        <w:t>l</w:t>
      </w:r>
      <w:r w:rsidRPr="00F23F20">
        <w:rPr>
          <w:rFonts w:ascii="Times New Roman" w:hAnsi="Times New Roman" w:cs="Times New Roman"/>
        </w:rPr>
        <w:t>=0.5×10</w:t>
      </w:r>
      <w:r w:rsidRPr="00F23F20">
        <w:rPr>
          <w:rFonts w:ascii="Times New Roman" w:hAnsi="Times New Roman" w:cs="Times New Roman"/>
          <w:vertAlign w:val="superscript"/>
        </w:rPr>
        <w:t>6</w:t>
      </w:r>
      <w:r w:rsidRPr="00F23F20">
        <w:rPr>
          <w:rFonts w:ascii="Times New Roman" w:hAnsi="Times New Roman" w:cs="Times New Roman"/>
        </w:rPr>
        <w:t xml:space="preserve">, </w:t>
      </w:r>
      <w:r w:rsidRPr="00F23F20">
        <w:rPr>
          <w:rFonts w:ascii="Times New Roman" w:hAnsi="Times New Roman" w:cs="Times New Roman"/>
          <w:i/>
        </w:rPr>
        <w:t>l</w:t>
      </w:r>
      <w:r w:rsidRPr="00F23F20">
        <w:rPr>
          <w:rFonts w:ascii="Times New Roman" w:hAnsi="Times New Roman" w:cs="Times New Roman"/>
        </w:rPr>
        <w:t>=1×10</w:t>
      </w:r>
      <w:r w:rsidRPr="00F23F20">
        <w:rPr>
          <w:rFonts w:ascii="Times New Roman" w:hAnsi="Times New Roman" w:cs="Times New Roman"/>
          <w:vertAlign w:val="superscript"/>
        </w:rPr>
        <w:t>6</w:t>
      </w:r>
      <w:r w:rsidRPr="00F23F20">
        <w:rPr>
          <w:rFonts w:ascii="Times New Roman" w:hAnsi="Times New Roman" w:cs="Times New Roman"/>
        </w:rPr>
        <w:t xml:space="preserve">, </w:t>
      </w:r>
      <w:r w:rsidRPr="00F23F20">
        <w:rPr>
          <w:rFonts w:ascii="Times New Roman" w:hAnsi="Times New Roman" w:cs="Times New Roman"/>
          <w:i/>
        </w:rPr>
        <w:t>l</w:t>
      </w:r>
      <w:r w:rsidRPr="00F23F20">
        <w:rPr>
          <w:rFonts w:ascii="Times New Roman" w:hAnsi="Times New Roman" w:cs="Times New Roman"/>
        </w:rPr>
        <w:t>=2×10</w:t>
      </w:r>
      <w:r w:rsidRPr="00F23F20">
        <w:rPr>
          <w:rFonts w:ascii="Times New Roman" w:hAnsi="Times New Roman" w:cs="Times New Roman"/>
          <w:vertAlign w:val="superscript"/>
        </w:rPr>
        <w:t>6</w:t>
      </w:r>
      <w:r w:rsidRPr="00F23F20">
        <w:rPr>
          <w:rFonts w:ascii="Times New Roman" w:hAnsi="Times New Roman" w:cs="Times New Roman"/>
        </w:rPr>
        <w:t xml:space="preserve">, </w:t>
      </w:r>
      <w:r w:rsidRPr="00F23F20">
        <w:rPr>
          <w:rFonts w:ascii="Times New Roman" w:hAnsi="Times New Roman" w:cs="Times New Roman"/>
          <w:i/>
        </w:rPr>
        <w:t>l</w:t>
      </w:r>
      <w:r w:rsidRPr="00F23F20">
        <w:rPr>
          <w:rFonts w:ascii="Times New Roman" w:hAnsi="Times New Roman" w:cs="Times New Roman"/>
        </w:rPr>
        <w:t>=3×10</w:t>
      </w:r>
      <w:r w:rsidRPr="00F23F20">
        <w:rPr>
          <w:rFonts w:ascii="Times New Roman" w:hAnsi="Times New Roman" w:cs="Times New Roman"/>
          <w:vertAlign w:val="superscript"/>
        </w:rPr>
        <w:t>6</w:t>
      </w:r>
      <w:r w:rsidRPr="00F23F20">
        <w:rPr>
          <w:rFonts w:ascii="Times New Roman" w:hAnsi="Times New Roman" w:cs="Times New Roman"/>
        </w:rPr>
        <w:t xml:space="preserve">, </w:t>
      </w:r>
      <w:r w:rsidRPr="00F23F20">
        <w:rPr>
          <w:rFonts w:ascii="Times New Roman" w:hAnsi="Times New Roman" w:cs="Times New Roman"/>
          <w:i/>
        </w:rPr>
        <w:t>l</w:t>
      </w:r>
      <w:r w:rsidRPr="00F23F20">
        <w:rPr>
          <w:rFonts w:ascii="Times New Roman" w:hAnsi="Times New Roman" w:cs="Times New Roman"/>
        </w:rPr>
        <w:t>=5×10</w:t>
      </w:r>
      <w:r w:rsidRPr="00F23F20">
        <w:rPr>
          <w:rFonts w:ascii="Times New Roman" w:hAnsi="Times New Roman" w:cs="Times New Roman"/>
          <w:vertAlign w:val="superscript"/>
        </w:rPr>
        <w:t>6</w:t>
      </w:r>
      <w:r w:rsidRPr="00F23F20">
        <w:rPr>
          <w:rFonts w:ascii="Times New Roman" w:hAnsi="Times New Roman" w:cs="Times New Roman"/>
        </w:rPr>
        <w:t xml:space="preserve">, </w:t>
      </w:r>
      <w:r w:rsidRPr="00F23F20">
        <w:rPr>
          <w:rFonts w:ascii="Times New Roman" w:hAnsi="Times New Roman" w:cs="Times New Roman"/>
          <w:i/>
        </w:rPr>
        <w:t>l</w:t>
      </w:r>
      <w:r w:rsidRPr="00F23F20">
        <w:rPr>
          <w:rFonts w:ascii="Times New Roman" w:hAnsi="Times New Roman" w:cs="Times New Roman"/>
        </w:rPr>
        <w:t>=10×10</w:t>
      </w:r>
      <w:r w:rsidRPr="00F23F20">
        <w:rPr>
          <w:rFonts w:ascii="Times New Roman" w:hAnsi="Times New Roman" w:cs="Times New Roman"/>
          <w:vertAlign w:val="superscript"/>
        </w:rPr>
        <w:t>6</w:t>
      </w:r>
      <w:r w:rsidRPr="00F23F20">
        <w:rPr>
          <w:rFonts w:ascii="Times New Roman" w:hAnsi="Times New Roman" w:cs="Times New Roman"/>
        </w:rPr>
        <w:t xml:space="preserve">, </w:t>
      </w:r>
      <w:r w:rsidRPr="00F23F20">
        <w:rPr>
          <w:rFonts w:ascii="Times New Roman" w:hAnsi="Times New Roman" w:cs="Times New Roman"/>
          <w:i/>
        </w:rPr>
        <w:t>l</w:t>
      </w:r>
      <w:r w:rsidRPr="00F23F20">
        <w:rPr>
          <w:rFonts w:ascii="Times New Roman" w:hAnsi="Times New Roman" w:cs="Times New Roman"/>
        </w:rPr>
        <w:t>=15×10</w:t>
      </w:r>
      <w:r w:rsidRPr="00F23F20">
        <w:rPr>
          <w:rFonts w:ascii="Times New Roman" w:hAnsi="Times New Roman" w:cs="Times New Roman"/>
          <w:vertAlign w:val="superscript"/>
        </w:rPr>
        <w:t>6</w:t>
      </w:r>
      <w:r w:rsidRPr="00F23F20">
        <w:rPr>
          <w:rFonts w:ascii="Times New Roman" w:hAnsi="Times New Roman" w:cs="Times New Roman"/>
        </w:rPr>
        <w:t xml:space="preserve">, and </w:t>
      </w:r>
      <w:r w:rsidRPr="00F23F20">
        <w:rPr>
          <w:rFonts w:ascii="Times New Roman" w:hAnsi="Times New Roman" w:cs="Times New Roman"/>
          <w:i/>
        </w:rPr>
        <w:t>l</w:t>
      </w:r>
      <w:r w:rsidRPr="00F23F20">
        <w:rPr>
          <w:rFonts w:ascii="Times New Roman" w:hAnsi="Times New Roman" w:cs="Times New Roman"/>
        </w:rPr>
        <w:t>=20×10</w:t>
      </w:r>
      <w:r w:rsidRPr="00F23F20">
        <w:rPr>
          <w:rFonts w:ascii="Times New Roman" w:hAnsi="Times New Roman" w:cs="Times New Roman"/>
          <w:vertAlign w:val="superscript"/>
        </w:rPr>
        <w:t>6</w:t>
      </w:r>
      <w:r w:rsidRPr="00F23F20">
        <w:rPr>
          <w:rFonts w:ascii="Times New Roman" w:hAnsi="Times New Roman" w:cs="Times New Roman"/>
        </w:rPr>
        <w:t>. The sequencing effort for a given combination of target fraction, genome size, and fraction of the metagenome community was modeled using the GAM function (</w:t>
      </w:r>
      <w:proofErr w:type="spellStart"/>
      <w:r w:rsidRPr="00F23F20">
        <w:rPr>
          <w:rFonts w:ascii="Times New Roman" w:hAnsi="Times New Roman" w:cs="Times New Roman"/>
        </w:rPr>
        <w:t>mgcv</w:t>
      </w:r>
      <w:proofErr w:type="spellEnd"/>
      <w:r w:rsidRPr="00F23F20">
        <w:rPr>
          <w:rFonts w:ascii="Times New Roman" w:hAnsi="Times New Roman" w:cs="Times New Roman"/>
        </w:rPr>
        <w:t xml:space="preserve"> R package;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{"citationItems":[{"id":"ITEM-1","itemData":{"author":[{"dropping-particle":"","family":"Wood","given":"Simon","non-dropping-particle":"","parse-names":false,"suffix":""}],"id":"ITEM-1","issued":{"date-parts":[["2017"]]},"title":"mgcv: Mixed GAM Computation Vehicle with GCV/AIC/REML Smoothness Estimation","type":"article-journal"},"uris":["http://www.mendeley.com/documents/?uuid=b347a87a-0d41-44da-8a48-af52dcd7fbb0"]}],"mendeley":{"formattedCitation":"(43)","plainTextFormattedCitation":"(43)","previouslyFormattedCitation":"(42)"},"properties":{"noteIndex":0},"schema":"https://github.com/citation-style-language/schema/raw/master/csl-citation.json"}</w:instrText>
      </w:r>
      <w:r w:rsidRPr="00F23F20">
        <w:rPr>
          <w:rFonts w:ascii="Times New Roman" w:hAnsi="Times New Roman" w:cs="Times New Roman"/>
        </w:rPr>
        <w:fldChar w:fldCharType="separate"/>
      </w:r>
      <w:bookmarkStart w:id="188" w:name="__Fieldmark__6606_2362280495"/>
      <w:bookmarkStart w:id="189" w:name="__Fieldmark__4747_2362280495"/>
      <w:r w:rsidR="00307058" w:rsidRPr="00307058">
        <w:rPr>
          <w:rFonts w:ascii="Times New Roman" w:hAnsi="Times New Roman" w:cs="Times New Roman"/>
          <w:noProof/>
        </w:rPr>
        <w:t>(43)</w:t>
      </w:r>
      <w:r w:rsidRPr="00F23F20">
        <w:rPr>
          <w:rFonts w:ascii="Times New Roman" w:hAnsi="Times New Roman" w:cs="Times New Roman"/>
        </w:rPr>
        <w:fldChar w:fldCharType="end"/>
      </w:r>
      <w:bookmarkEnd w:id="188"/>
      <w:bookmarkEnd w:id="189"/>
      <w:r w:rsidRPr="00F23F20">
        <w:rPr>
          <w:rFonts w:ascii="Times New Roman" w:hAnsi="Times New Roman" w:cs="Times New Roman"/>
        </w:rPr>
        <w:t>).</w:t>
      </w:r>
    </w:p>
    <w:p w14:paraId="23046A6C" w14:textId="77777777" w:rsidR="00365526" w:rsidRPr="00F23F20" w:rsidRDefault="00365526" w:rsidP="00365526">
      <w:pPr>
        <w:pStyle w:val="Heading3"/>
      </w:pPr>
      <w:bookmarkStart w:id="190" w:name="_Hlk12214906"/>
      <w:bookmarkStart w:id="191" w:name="_Toc41908101"/>
      <w:bookmarkEnd w:id="190"/>
      <w:r w:rsidRPr="00F23F20">
        <w:t>Sequence Data Sources</w:t>
      </w:r>
      <w:bookmarkEnd w:id="191"/>
    </w:p>
    <w:p w14:paraId="7B7388F9" w14:textId="5B7F1314"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All sequence data were downloaded from NCBI's Sequence Read Archive (SRA) using the SRA Toolkit (</w:t>
      </w:r>
      <w:proofErr w:type="spellStart"/>
      <w:r w:rsidRPr="00F23F20">
        <w:rPr>
          <w:rFonts w:ascii="Times New Roman" w:hAnsi="Times New Roman" w:cs="Times New Roman"/>
        </w:rPr>
        <w:t>fastq</w:t>
      </w:r>
      <w:proofErr w:type="spellEnd"/>
      <w:r w:rsidRPr="00F23F20">
        <w:rPr>
          <w:rFonts w:ascii="Times New Roman" w:hAnsi="Times New Roman" w:cs="Times New Roman"/>
        </w:rPr>
        <w:t xml:space="preserve">-dump –split-files)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10.1093/nar/gkq1019","author":[{"dropping-particle":"","family":"Leinonen","given":"Rasko","non-dropping-particle":"","parse-names":false,"suffix":""},{"dropping-particle":"","family":"Sugawara","given":"Hideaki","non-dropping-particle":"","parse-names":false,"suffix":""},{"dropping-particle":"","family":"Shumway","given":"Martin","non-dropping-particle":"","parse-names":false,"suffix":""}],"container-title":"Nucleic Acids Research","id":"ITEM-1","issue":"November 2011","issued":{"date-parts":[["2010"]]},"page":"2010-2012","title":"The Sequence Read Archive","type":"article-journal","volume":"39"},"uris":["http://www.mendeley.com/documents/?uuid=daf2cf2b-cad0-46e9-aa1a-e4aa68e4c9dd"]}],"mendeley":{"formattedCitation":"(75)","plainTextFormattedCitation":"(75)","previouslyFormattedCitation":"(74)"},"properties":{"noteIndex":0},"schema":"https://github.com/citation-style-language/schema/raw/master/csl-citation.json"}</w:instrText>
      </w:r>
      <w:r w:rsidRPr="00F23F20">
        <w:rPr>
          <w:rFonts w:ascii="Times New Roman" w:hAnsi="Times New Roman" w:cs="Times New Roman"/>
        </w:rPr>
        <w:fldChar w:fldCharType="separate"/>
      </w:r>
      <w:bookmarkStart w:id="192" w:name="__Fieldmark__11605_2362280495"/>
      <w:bookmarkStart w:id="193" w:name="__Fieldmark__11271_2362280495"/>
      <w:bookmarkStart w:id="194" w:name="__Fieldmark__11009_2362280495"/>
      <w:r w:rsidR="00307058" w:rsidRPr="00307058">
        <w:rPr>
          <w:rFonts w:ascii="Times New Roman" w:hAnsi="Times New Roman" w:cs="Times New Roman"/>
          <w:noProof/>
        </w:rPr>
        <w:t>(75)</w:t>
      </w:r>
      <w:r w:rsidRPr="00F23F20">
        <w:rPr>
          <w:rFonts w:ascii="Times New Roman" w:hAnsi="Times New Roman" w:cs="Times New Roman"/>
        </w:rPr>
        <w:fldChar w:fldCharType="end"/>
      </w:r>
      <w:bookmarkEnd w:id="192"/>
      <w:bookmarkEnd w:id="193"/>
      <w:bookmarkEnd w:id="194"/>
      <w:r w:rsidRPr="00F23F20">
        <w:rPr>
          <w:rFonts w:ascii="Times New Roman" w:hAnsi="Times New Roman" w:cs="Times New Roman"/>
        </w:rPr>
        <w:t>. Exact duplicate reads for both forward and reverse reads were removed using PRINSEQ (-</w:t>
      </w:r>
      <w:proofErr w:type="spellStart"/>
      <w:r w:rsidRPr="00F23F20">
        <w:rPr>
          <w:rFonts w:ascii="Times New Roman" w:hAnsi="Times New Roman" w:cs="Times New Roman"/>
        </w:rPr>
        <w:t>derep</w:t>
      </w:r>
      <w:proofErr w:type="spellEnd"/>
      <w:r w:rsidRPr="00F23F20">
        <w:rPr>
          <w:rFonts w:ascii="Times New Roman" w:hAnsi="Times New Roman" w:cs="Times New Roman"/>
        </w:rPr>
        <w:t xml:space="preserve"> 1; v0.20.4)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{"citationItems":[{"id":"ITEM-1","itemData":{"DOI":"10.1093/bioinformatics/btr026","ISBN":"1367-4811 (Electronic)\\r1367-4803 (Linking)","ISSN":"13674803","PMID":"21278185","abstract":"SUMMARY Here, we present PRINSEQ for easy and rapid quality control and data preprocessing of genomic and metagenomic datasets. Summary statistics of FASTA (and QUAL) or FASTQ files are generated in tabular and graphical form and sequences can be filtered, reformatted and trimmed by a variety of options to improve downstream analysis. AVAILABILITY AND IMPLEMENTATION This open-source application was implemented in Perl and can be used as a stand alone version or accessed online through a user-friendly web interface. The source code, user help and additional information are available at http://prinseq.sourceforge.net/.","author":[{"dropping-particle":"","family":"Schmieder","given":"Robert","non-dropping-particle":"","parse-names":false,"suffix":""},{"dropping-particle":"","family":"Edwards","given":"Robert","non-dropping-particle":"","parse-names":false,"suffix":""}],"container-title":"Bioinformatics","id":"ITEM-1","issue":"6","issued":{"date-parts":[["2011"]]},"page":"863-864","title":"Quality control and preprocessing of metagenomic datasets","type":"article-journal","volume":"27"},"uris":["http://www.mendeley.com/documents/?uuid=6f030244-8c3a-4834-96f8-0278a80a454d"]}],"mendeley":{"formattedCitation":"(76)","plainTextFormattedCitation":"(76)","previouslyFormattedCitation":"(75)"},"properties":{"noteIndex":0},"schema":"https://github.com/citation-style-language/schema/raw/master/csl-citation.json"}</w:instrText>
      </w:r>
      <w:r w:rsidRPr="00F23F20">
        <w:rPr>
          <w:rFonts w:ascii="Times New Roman" w:hAnsi="Times New Roman" w:cs="Times New Roman"/>
        </w:rPr>
        <w:fldChar w:fldCharType="separate"/>
      </w:r>
      <w:bookmarkStart w:id="195" w:name="__Fieldmark__11616_2362280495"/>
      <w:bookmarkStart w:id="196" w:name="__Fieldmark__11278_2362280495"/>
      <w:bookmarkStart w:id="197" w:name="__Fieldmark__11016_2362280495"/>
      <w:r w:rsidR="00307058" w:rsidRPr="00307058">
        <w:rPr>
          <w:rFonts w:ascii="Times New Roman" w:hAnsi="Times New Roman" w:cs="Times New Roman"/>
          <w:noProof/>
        </w:rPr>
        <w:t>(76)</w:t>
      </w:r>
      <w:r w:rsidRPr="00F23F20">
        <w:rPr>
          <w:rFonts w:ascii="Times New Roman" w:hAnsi="Times New Roman" w:cs="Times New Roman"/>
        </w:rPr>
        <w:fldChar w:fldCharType="end"/>
      </w:r>
      <w:bookmarkEnd w:id="195"/>
      <w:bookmarkEnd w:id="196"/>
      <w:bookmarkEnd w:id="197"/>
      <w:r w:rsidRPr="00F23F20">
        <w:rPr>
          <w:rFonts w:ascii="Times New Roman" w:hAnsi="Times New Roman" w:cs="Times New Roman"/>
        </w:rPr>
        <w:t xml:space="preserve">. All sequencing datasets were limited to Illumina shotgun metagenomic paired-end reads. Four datasets were analyzed for this analysis. The first dataset was from oceanic surface water collected at 5m depth in the Caribbean Sea as a part of the </w:t>
      </w:r>
      <w:r w:rsidRPr="00F23F20">
        <w:rPr>
          <w:rFonts w:ascii="Times New Roman" w:hAnsi="Times New Roman" w:cs="Times New Roman"/>
          <w:i/>
        </w:rPr>
        <w:t>Tara Oceans</w:t>
      </w:r>
      <w:r w:rsidRPr="00F23F20">
        <w:rPr>
          <w:rFonts w:ascii="Times New Roman" w:hAnsi="Times New Roman" w:cs="Times New Roman"/>
        </w:rPr>
        <w:t xml:space="preserve"> expedition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{"citationItems":[{"id":"ITEM-1","itemData":{"DOI":"10.1371/journal.pbio.1001177","ISBN":"1545-7885 (Electronic)\\r1544-9173 (Linking)","ISSN":"15449173","PMID":"22028628","abstract":"The structure, robustness, and dynamics of ocean plankton ecosystems remain poorly understood due to sampling, analysis, and computational limitations. The Tara Oceans consortium organizes expeditions to help fill this gap at the global level.","author":[{"dropping-particle":"","family":"Karsenti","given":"Eric","non-dropping-particle":"","parse-names":false,"suffix":""},{"dropping-particle":"","family":"Acinas","given":"Silvia G.","non-dropping-particle":"","parse-names":false,"suffix":""},{"dropping-particle":"","family":"Bork","given":"Peer","non-dropping-particle":"","parse-names":false,"suffix":""},{"dropping-particle":"","family":"Bowler","given":"Chris","non-dropping-particle":"","parse-names":false,"suffix":""},{"dropping-particle":"","family":"Vargas","given":"Colomban","non-dropping-particle":"de","parse-names":false,"suffix":""},{"dropping-particle":"","family":"Raes","given":"Jeroen","non-dropping-particle":"","parse-names":false,"suffix":""},{"dropping-particle":"","family":"Sullivan","given":"Matthew","non-dropping-particle":"","parse-names":false,"suffix":""},{"dropping-particle":"","family":"Arendt","given":"Detlev","non-dropping-particle":"","parse-names":false,"suffix":""},{"dropping-particle":"","family":"Benzoni","given":"Francesca","non-dropping-particle":"","parse-names":false,"suffix":""},{"dropping-particle":"","family":"Claverie","given":"Jean Michel","non-dropping-particle":"","parse-names":false,"suffix":""},{"dropping-particle":"","family":"Follows","given":"Mick","non-dropping-particle":"","parse-names":false,"suffix":""},{"dropping-particle":"","family":"Gorsky","given":"Gaby","non-dropping-particle":"","parse-names":false,"suffix":""},{"dropping-particle":"","family":"Hingamp","given":"Pascal","non-dropping-particle":"","parse-names":false,"suffix":""},{"dropping-particle":"","family":"Iudicone","given":"Daniele","non-dropping-particle":"","parse-names":false,"suffix":""},{"dropping-particle":"","family":"Jaillon","given":"Olivier","non-dropping-particle":"","parse-names":false,"suffix":""},{"dropping-particle":"","family":"Kandels-Lewis","given":"Stefanie","non-dropping-particle":"","parse-names":false,"suffix":""},{"dropping-particle":"","family":"Krzic","given":"Uros","non-dropping-particle":"","parse-names":false,"suffix":""},{"dropping-particle":"","family":"Not","given":"Fabrice","non-dropping-particle":"","parse-names":false,"suffix":""},{"dropping-particle":"","family":"Ogata","given":"Hiroyuki","non-dropping-particle":"","parse-names":false,"suffix":""},{"dropping-particle":"","family":"Pesant","given":"Stéphane","non-dropping-particle":"","parse-names":false,"suffix":""},{"dropping-particle":"","family":"Reynaud","given":"Emmanuel Georges","non-dropping-particle":"","parse-names":false,"suffix":""},{"dropping-particle":"","family":"Sardet","given":"Christian","non-dropping-particle":"","parse-names":false,"suffix":""},{"dropping-particle":"","family":"Sieracki","given":"Michael E.","non-dropping-particle":"","parse-names":false,"suffix":""},{"dropping-particle":"","family":"Speich","given":"Sabrina","non-dropping-particle":"","parse-names":false,"suffix":""},{"dropping-particle":"","family":"Velayoudon","given":"Didier","non-dropping-particle":"","parse-names":false,"suffix":""},{"dropping-particle":"","family":"Weissenbach","given":"Jean","non-dropping-particle":"","parse-names":false,"suffix":""},{"dropping-particle":"","family":"Wincker","given":"Patrick","non-dropping-particle":"","parse-names":false,"suffix":""}],"container-title":"PLoS Biology","id":"ITEM-1","issue":"10","issued":{"date-parts":[["2011"]]},"page":"7-11","title":"A holistic approach to marine Eco-systems biology","type":"article-journal","volume":"9"},"uris":["http://www.mendeley.com/documents/?uuid=3e1872e6-871b-46bd-9835-98e67e0057ba"]}],"mendeley":{"formattedCitation":"(59)","plainTextFormattedCitation":"(59)","previouslyFormattedCitation":"(58)"},"properties":{"noteIndex":0},"schema":"https://github.com/citation-style-language/schema/raw/master/csl-citation.json"}</w:instrText>
      </w:r>
      <w:r w:rsidRPr="00F23F20">
        <w:rPr>
          <w:rFonts w:ascii="Times New Roman" w:hAnsi="Times New Roman" w:cs="Times New Roman"/>
        </w:rPr>
        <w:fldChar w:fldCharType="separate"/>
      </w:r>
      <w:bookmarkStart w:id="198" w:name="__Fieldmark__11629_2362280495"/>
      <w:bookmarkStart w:id="199" w:name="__Fieldmark__11287_2362280495"/>
      <w:bookmarkStart w:id="200" w:name="__Fieldmark__11025_2362280495"/>
      <w:r w:rsidR="00307058" w:rsidRPr="00307058">
        <w:rPr>
          <w:rFonts w:ascii="Times New Roman" w:hAnsi="Times New Roman" w:cs="Times New Roman"/>
          <w:noProof/>
        </w:rPr>
        <w:t>(59)</w:t>
      </w:r>
      <w:r w:rsidRPr="00F23F20">
        <w:rPr>
          <w:rFonts w:ascii="Times New Roman" w:hAnsi="Times New Roman" w:cs="Times New Roman"/>
        </w:rPr>
        <w:fldChar w:fldCharType="end"/>
      </w:r>
      <w:bookmarkEnd w:id="198"/>
      <w:bookmarkEnd w:id="199"/>
      <w:bookmarkEnd w:id="200"/>
      <w:r w:rsidRPr="00F23F20">
        <w:rPr>
          <w:rFonts w:ascii="Times New Roman" w:hAnsi="Times New Roman" w:cs="Times New Roman"/>
        </w:rPr>
        <w:t xml:space="preserve">. The second dataset was from sediment from a depth of 8-10 cm below the surface (sulfate-rich zone) and collected at the White Oak River Estuary, Station H, North Carolina, USA </w:t>
      </w:r>
      <w:r w:rsidRPr="00F23F20">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J","non-dropping-particle":"","parse-names":false,"suffix":""}],"container-title":"Microbiome","id":"ITEM-1","issue":"1","issued":{"date-parts":[["2015","12","13"]]},"page":"14","publisher":"BioMed Central","title":"Genomic resolution of linkages in carbon, nitrogen, and sulfur cycling among widespread estuary sediment bacteria","type":"article-journal","volume":"3"},"uris":["http://www.mendeley.com/documents/?uuid=9a188f01-0081-3e79-a3ab-79086163d314"]}],"mendeley":{"formattedCitation":"(8)","plainTextFormattedCitation":"(8)","previouslyFormattedCitation":"(8)"},"properties":{"noteIndex":0},"schema":"https://github.com/citation-style-language/schema/raw/master/csl-citation.json"}</w:instrText>
      </w:r>
      <w:r w:rsidRPr="00F23F20">
        <w:rPr>
          <w:rFonts w:ascii="Times New Roman" w:hAnsi="Times New Roman" w:cs="Times New Roman"/>
        </w:rPr>
        <w:fldChar w:fldCharType="separate"/>
      </w:r>
      <w:bookmarkStart w:id="201" w:name="__Fieldmark__11640_2362280495"/>
      <w:bookmarkStart w:id="202" w:name="__Fieldmark__11294_2362280495"/>
      <w:bookmarkStart w:id="203" w:name="__Fieldmark__11030_2362280495"/>
      <w:r w:rsidR="004620D1" w:rsidRPr="004620D1">
        <w:rPr>
          <w:rFonts w:ascii="Times New Roman" w:hAnsi="Times New Roman" w:cs="Times New Roman"/>
          <w:noProof/>
        </w:rPr>
        <w:t>(8)</w:t>
      </w:r>
      <w:r w:rsidRPr="00F23F20">
        <w:rPr>
          <w:rFonts w:ascii="Times New Roman" w:hAnsi="Times New Roman" w:cs="Times New Roman"/>
        </w:rPr>
        <w:fldChar w:fldCharType="end"/>
      </w:r>
      <w:bookmarkEnd w:id="201"/>
      <w:bookmarkEnd w:id="202"/>
      <w:bookmarkEnd w:id="203"/>
      <w:r w:rsidRPr="00F23F20">
        <w:rPr>
          <w:rFonts w:ascii="Times New Roman" w:hAnsi="Times New Roman" w:cs="Times New Roman"/>
        </w:rPr>
        <w:t xml:space="preserve">. The third dataset was collected from maize soil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{"citationItems":[{"id":"ITEM-1","itemData":{"DOI":"doi: 10.1073/pnas.1402564111","ISBN":"1317350111","ISSN":"0027-8424","PMID":"24453217","abstract":"Chronic neurohormonal and mechanical stresses are central features of heart disease. Increasing evidence supports a role for the transient receptor potential canonical channels TRPC3 and TRPC6 in this pathophysiology. Channel expression for both is normally very low but is increased by cardiac disease, and genetic gain- or loss-of-function studies support contributions to hypertrophy and dysfunction. Selective small-molecule inhibitors remain scarce, and none target both channels, which may be useful given the high homology among them and evidence of redundant signaling. Here we tested selective TRPC3/6 antagonists (GSK2332255B and GSK2833503A; IC50, 3-21 nM against TRPC3 and TRPC6) and found dose-dependent blockade of cell hypertrophy signaling triggered by angiotensin II or endothelin-1 in HEK293T cells as well as in neonatal and adult cardiac myocytes. In vivo efficacy in mice and rats was greatly limited by rapid metabolism and high protein binding, although antifibrotic effects with pressure overload were observed. Intriguingly, although gene deletion of TRPC3 or TRPC6 alone did not protect against hypertrophy or dysfunction from pressure overload, combined deletion was protective, supporting the value of dual inhibition. Further development of this pharmaceutical class may yield a useful therapeutic agent for heart disease management.","author":[{"dropping-particle":"","family":"Howe","given":"Adina Chuang","non-dropping-particle":"","parse-names":false,"suffix":""},{"dropping-particle":"","family":"Jansson","given":"Janet K.","non-dropping-particle":"","parse-names":false,"suffix":""},{"dropping-particle":"","family":"Malfatti","given":"Stephanie A.","non-dropping-particle":"","parse-names":false,"suffix":""},{"dropping-particle":"","family":"Tringe","given":"Susannah G.","non-dropping-particle":"","parse-names":false,"suffix":""},{"dropping-particle":"","family":"Tiedje","given":"James M.","non-dropping-particle":"","parse-names":false,"suffix":""},{"dropping-particle":"","family":"Brown","given":"C. Titus","non-dropping-particle":"","parse-names":false,"suffix":""}],"container-title":"Proceedings of the National Academy of Sciences","id":"ITEM-1","issue":"13","issued":{"date-parts":[["2014"]]},"page":"4904-4909","title":"Tackling soil diversity with the assembly of large, complex metagenomes","type":"article-journal","volume":"111"},"uris":["http://www.mendeley.com/documents/?uuid=2381e60c-463e-4e67-a16d-31c5b09e7196"]}],"mendeley":{"formattedCitation":"(60)","plainTextFormattedCitation":"(60)","previouslyFormattedCitation":"(59)"},"properties":{"noteIndex":0},"schema":"https://github.com/citation-style-language/schema/raw/master/csl-citation.json"}</w:instrText>
      </w:r>
      <w:r w:rsidRPr="00F23F20">
        <w:rPr>
          <w:rFonts w:ascii="Times New Roman" w:hAnsi="Times New Roman" w:cs="Times New Roman"/>
        </w:rPr>
        <w:fldChar w:fldCharType="separate"/>
      </w:r>
      <w:bookmarkStart w:id="204" w:name="__Fieldmark__11651_2362280495"/>
      <w:bookmarkStart w:id="205" w:name="__Fieldmark__11301_2362280495"/>
      <w:bookmarkStart w:id="206" w:name="__Fieldmark__11035_2362280495"/>
      <w:r w:rsidR="00307058" w:rsidRPr="00307058">
        <w:rPr>
          <w:rFonts w:ascii="Times New Roman" w:hAnsi="Times New Roman" w:cs="Times New Roman"/>
          <w:noProof/>
        </w:rPr>
        <w:t>(60)</w:t>
      </w:r>
      <w:r w:rsidRPr="00F23F20">
        <w:rPr>
          <w:rFonts w:ascii="Times New Roman" w:hAnsi="Times New Roman" w:cs="Times New Roman"/>
        </w:rPr>
        <w:fldChar w:fldCharType="end"/>
      </w:r>
      <w:bookmarkEnd w:id="204"/>
      <w:bookmarkEnd w:id="205"/>
      <w:bookmarkEnd w:id="206"/>
      <w:r w:rsidRPr="00F23F20">
        <w:rPr>
          <w:rFonts w:ascii="Times New Roman" w:hAnsi="Times New Roman" w:cs="Times New Roman"/>
        </w:rPr>
        <w:t xml:space="preserve">. The last dataset was collected from human fecal samples and represented a human gut microbiome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{"citationItems":[{"id":"ITEM-1","itemData":{"DOI":"10.1016/j.cell.2016.10.020","ISBN":"1097-4172 (Electronic)\\r0092-8674 (Linking)","ISSN":"10974172","PMID":"27814509","abstract":"Gut microbial dysbioses are linked to aberrant immune responses, which are often accompanied by abnormal production of inflammatory cytokines. As part of the Human Functional Genomics Project (HFGP), we investigate how differences in composition and function of gut microbial communities may contribute to inter-individual variation in cytokine responses to microbial stimulations in healthy humans. We observe microbiome-cytokine interaction patterns that are stimulus specific, cytokine specific, and cytokine and stimulus specific. Validation of two predicted host-microbial interactions reveal that TNFα and IFNγ production are associated with specific microbial metabolic pathways: palmitoleic acid metabolism and tryptophan degradation to tryptophol. Besides providing a resource of predicted microbially derived mediators that influence immune phenotypes in response to common microorganisms, these data can help to define principles for understanding disease susceptibility. The three HFGP studies presented in this issue lay the groundwork for further studies aimed at understanding the interplay between microbial, genetic, and environmental factors in the regulation of the immune response in humans. PaperClip","author":[{"dropping-particle":"","family":"Schirmer","given":"Melanie","non-dropping-particle":"","parse-names":false,"suffix":""},{"dropping-particle":"","family":"Smeekens","given":"Sanne P.","non-dropping-particle":"","parse-names":false,"suffix":""},{"dropping-particle":"","family":"Vlamakis","given":"Hera","non-dropping-particle":"","parse-names":false,"suffix":""},{"dropping-particle":"","family":"Jaeger","given":"Martin","non-dropping-particle":"","parse-names":false,"suffix":""},{"dropping-particle":"","family":"Oosting","given":"Marije","non-dropping-particle":"","parse-names":false,"suffix":""},{"dropping-particle":"","family":"Franzosa","given":"Eric A.","non-dropping-particle":"","parse-names":false,"suffix":""},{"dropping-particle":"","family":"Jansen","given":"Trees","non-dropping-particle":"","parse-names":false,"suffix":""},{"dropping-particle":"","family":"Jacobs","given":"Liesbeth","non-dropping-particle":"","parse-names":false,"suffix":""},{"dropping-particle":"","family":"Bonder","given":"Marc Jan","non-dropping-particle":"","parse-names":false,"suffix":""},{"dropping-particle":"","family":"Kurilshikov","given":"Alexander","non-dropping-particle":"","parse-names":false,"suffix":""},{"dropping-particle":"","family":"Fu","given":"Jingyuan","non-dropping-particle":"","parse-names":false,"suffix":""},{"dropping-particle":"","family":"Joosten","given":"Leo A.B.","non-dropping-particle":"","parse-names":false,"suffix":""},{"dropping-particle":"","family":"Zhernakova","given":"Alexandra","non-dropping-particle":"","parse-names":false,"suffix":""},{"dropping-particle":"","family":"Huttenhower","given":"Curtis","non-dropping-particle":"","parse-names":false,"suffix":""},{"dropping-particle":"","family":"Wijmenga","given":"Cisca","non-dropping-particle":"","parse-names":false,"suffix":""},{"dropping-particle":"","family":"Netea","given":"Mihai G.","non-dropping-particle":"","parse-names":false,"suffix":""},{"dropping-particle":"","family":"Xavier","given":"Ramnik J.","non-dropping-particle":"","parse-names":false,"suffix":""}],"container-title":"Cell","id":"ITEM-1","issue":"4","issued":{"date-parts":[["2016"]]},"page":"1125-1136.e8","publisher":"Elsevier Inc.","title":"Linking the Human Gut Microbiome to Inflammatory Cytokine Production Capacity","type":"article-journal","volume":"167"},"uris":["http://www.mendeley.com/documents/?uuid=c8fca7f4-9b28-4515-a263-becbe49b970e"]}],"mendeley":{"formattedCitation":"(61)","plainTextFormattedCitation":"(61)","previouslyFormattedCitation":"(60)"},"properties":{"noteIndex":0},"schema":"https://github.com/citation-style-language/schema/raw/master/csl-citation.json"}</w:instrText>
      </w:r>
      <w:r w:rsidRPr="00F23F20">
        <w:rPr>
          <w:rFonts w:ascii="Times New Roman" w:hAnsi="Times New Roman" w:cs="Times New Roman"/>
        </w:rPr>
        <w:fldChar w:fldCharType="separate"/>
      </w:r>
      <w:bookmarkStart w:id="207" w:name="__Fieldmark__11662_2362280495"/>
      <w:bookmarkStart w:id="208" w:name="__Fieldmark__11308_2362280495"/>
      <w:bookmarkStart w:id="209" w:name="__Fieldmark__11040_2362280495"/>
      <w:r w:rsidR="00307058" w:rsidRPr="00307058">
        <w:rPr>
          <w:rFonts w:ascii="Times New Roman" w:hAnsi="Times New Roman" w:cs="Times New Roman"/>
          <w:noProof/>
        </w:rPr>
        <w:t>(61)</w:t>
      </w:r>
      <w:r w:rsidRPr="00F23F20">
        <w:rPr>
          <w:rFonts w:ascii="Times New Roman" w:hAnsi="Times New Roman" w:cs="Times New Roman"/>
        </w:rPr>
        <w:fldChar w:fldCharType="end"/>
      </w:r>
      <w:bookmarkEnd w:id="207"/>
      <w:bookmarkEnd w:id="208"/>
      <w:bookmarkEnd w:id="209"/>
      <w:r w:rsidRPr="00F23F20">
        <w:rPr>
          <w:rFonts w:ascii="Times New Roman" w:hAnsi="Times New Roman" w:cs="Times New Roman"/>
        </w:rPr>
        <w:t>.</w:t>
      </w:r>
    </w:p>
    <w:p w14:paraId="1A5AAD33" w14:textId="77777777"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rPr>
        <w:t>All datasets analyzed in this study are summarized in Table 2.1.</w:t>
      </w:r>
    </w:p>
    <w:p w14:paraId="23B33101" w14:textId="77777777" w:rsidR="00365526" w:rsidRPr="00F23F20" w:rsidRDefault="00365526" w:rsidP="00365526">
      <w:pPr>
        <w:pStyle w:val="Heading3"/>
      </w:pPr>
      <w:bookmarkStart w:id="210" w:name="_Hlk12212571"/>
      <w:bookmarkStart w:id="211" w:name="_Toc41908102"/>
      <w:r w:rsidRPr="00F23F20">
        <w:lastRenderedPageBreak/>
        <w:t>MAG Assembly Pipeline</w:t>
      </w:r>
      <w:bookmarkEnd w:id="210"/>
      <w:bookmarkEnd w:id="211"/>
    </w:p>
    <w:p w14:paraId="2C6BC509" w14:textId="6B507831"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The pipeline developed here followed similar pipelines described by other authors</w:t>
      </w:r>
      <w:r w:rsidR="0034071E">
        <w:rPr>
          <w:rFonts w:ascii="Times New Roman" w:hAnsi="Times New Roman" w:cs="Times New Roman"/>
        </w:rPr>
        <w:t xml:space="preserve"> </w:t>
      </w:r>
      <w:r w:rsidR="0034071E">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{"citationItems":[{"id":"ITEM-1","itemData":{"DOI":"10.7717/peerj.3035","ISSN":"2167-8359","abstract":"&lt;p&gt;Metagenomics has become an integral part of defining microbial diversity in various environments. Many ecosystems have characteristically low biomass and few cultured representatives. Linking potential metabolisms to phylogeny in environmental microorganisms is important for interpreting microbial community functions and the impacts these communities have on geochemical cycles. However, with metagenomic studies there is the computational hurdle of ‘binning’ contigs into phylogenetically related units or putative genomes. Binning methods have been implemented with varying approaches such as k-means clustering, Gaussian mixture models, hierarchical clustering, neural networks, and two-way clustering; however, many of these suffer from biases against low coverage/abundance organisms and closely related taxa/strains. We are introducing a new binning method, BinSanity, that utilizes the clustering algorithm affinity propagation (AP), to cluster assemblies using coverage with compositional based refinement (tetranucleotide frequency and percent GC content) to optimize bins containing multiple source organisms. This separation of composition and coverage based clustering reduces bias for closely related taxa. BinSanity was developed and tested on artificial metagenomes varying in size and complexity. Results indicate that BinSanity has a higher precision, recall, and Adjusted Rand Index compared to five commonly implemented methods. When tested on a previously published environmental metagenome, BinSanity generated high completion and low redundancy bins corresponding with the published metagenome-assembled genomes.&lt;/p&gt;","author":[{"dropping-particle":"","family":"Graham","given":"Elaina D.","non-dropping-particle":"","parse-names":false,"suffix":""},{"dropping-particle":"","family":"Heidelberg","given":"John F.","non-dropping-particle":"","parse-names":false,"suffix":""},{"dropping-particle":"","family":"Tully","given":"Benjamin J.","non-dropping-particle":"","parse-names":false,"suffix":""}],"container-title":"PeerJ","id":"ITEM-1","issued":{"date-parts":[["2017","3","8"]]},"page":"e3035","publisher":"PeerJ Inc.","title":"BinSanity: unsupervised clustering of environmental microbial assemblies using coverage and affinity propagation","type":"article-journal","volume":"5"},"uris":["http://www.mendeley.com/documents/?uuid=95483c43-baea-3281-a5cc-699b8d8953d1"]},{"id":"ITEM-2","itemData":{"DOI":"10.1038/sdata.2017.203","ISBN":"2052-4463 (Electronic) 2052-4463 (Linking)","ISSN":"20524463","PMID":"29337314","abstract":"The reconstruction of 2,631 draft metagenome-assembled genomes from the global oceans","author":[{"dropping-particle":"","family":"Tully","given":"Benjamin J.","non-dropping-particle":"","parse-names":false,"suffix":""},{"dropping-particle":"","family":"Graham","given":"Elaina D.","non-dropping-particle":"","parse-names":false,"suffix":""},{"dropping-particle":"","family":"Heidelberg","given":"John F.","non-dropping-particle":"","parse-names":false,"suffix":""}],"container-title":"Scientific Data","id":"ITEM-2","issued":{"date-parts":[["2018"]]},"page":"1-8","title":"The reconstruction of 2,631 draft metagenome-assembled genomes from the global oceans","type":"article-journal","volume":"5"},"uris":["http://www.mendeley.com/documents/?uuid=2a594b02-86bb-4243-85e4-75ed2e203301"]}],"mendeley":{"formattedCitation":"(50, 77)","plainTextFormattedCitation":"(50, 77)","previouslyFormattedCitation":"(49, 76)"},"properties":{"noteIndex":0},"schema":"https://github.com/citation-style-language/schema/raw/master/csl-citation.json"}</w:instrText>
      </w:r>
      <w:r w:rsidR="0034071E">
        <w:rPr>
          <w:rFonts w:ascii="Times New Roman" w:hAnsi="Times New Roman" w:cs="Times New Roman"/>
        </w:rPr>
        <w:fldChar w:fldCharType="separate"/>
      </w:r>
      <w:r w:rsidR="00307058" w:rsidRPr="00307058">
        <w:rPr>
          <w:rFonts w:ascii="Times New Roman" w:hAnsi="Times New Roman" w:cs="Times New Roman"/>
          <w:noProof/>
        </w:rPr>
        <w:t>(50, 77)</w:t>
      </w:r>
      <w:r w:rsidR="0034071E">
        <w:rPr>
          <w:rFonts w:ascii="Times New Roman" w:hAnsi="Times New Roman" w:cs="Times New Roman"/>
        </w:rPr>
        <w:fldChar w:fldCharType="end"/>
      </w:r>
      <w:r w:rsidRPr="00F23F20">
        <w:rPr>
          <w:rFonts w:ascii="Times New Roman" w:hAnsi="Times New Roman" w:cs="Times New Roman"/>
        </w:rPr>
        <w:t xml:space="preserve">. All sequence datasets were analyzed as follows. </w:t>
      </w:r>
      <w:proofErr w:type="spellStart"/>
      <w:r w:rsidRPr="00F23F20">
        <w:rPr>
          <w:rFonts w:ascii="Times New Roman" w:hAnsi="Times New Roman" w:cs="Times New Roman"/>
        </w:rPr>
        <w:t>Trimmomatic</w:t>
      </w:r>
      <w:proofErr w:type="spellEnd"/>
      <w:r w:rsidRPr="00F23F20">
        <w:rPr>
          <w:rFonts w:ascii="Times New Roman" w:hAnsi="Times New Roman" w:cs="Times New Roman"/>
        </w:rPr>
        <w:t xml:space="preserve"> (v0.36)</w:t>
      </w:r>
      <w:r w:rsidR="0034071E">
        <w:rPr>
          <w:rFonts w:ascii="Times New Roman" w:hAnsi="Times New Roman" w:cs="Times New Roman"/>
        </w:rPr>
        <w:t xml:space="preserve"> </w:t>
      </w:r>
      <w:r w:rsidR="0034071E">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{"citationItems":[{"id":"ITEM-1","itemData":{"DOI":"10.1093/bioinformatics/btu170","ISSN":"1367-4811","PMID":"24695404","abstract":"MOTIVATION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 RESULTS The value of NGS read preprocessing is demonstrated for both reference-based and reference-free tasks. Trimmomatic is shown to produce output that is at least competitive with, and in many cases superior to, that produced by other tools, in all scenarios tested. AVAILABILITY AND IMPLEMENTATION Trimmomatic is licensed under GPL V3. It is cross-platform (Java 1.5+ required) and available at http://www.usadellab.org/cms/index.php?page=trimmomatic CONTACT usadel@bio1.rwth-aachen.de SUPPLEMENTARY INFORMATION Supplementary data are available at Bioinformatics online.","author":[{"dropping-particle":"","family":"Bolger","given":"Anthony M","non-dropping-particle":"","parse-names":false,"suffix":""},{"dropping-particle":"","family":"Lohse","given":"Marc","non-dropping-particle":"","parse-names":false,"suffix":""},{"dropping-particle":"","family":"Usadel","given":"Bjoern","non-dropping-particle":"","parse-names":false,"suffix":""}],"container-title":"Bioinformatics (Oxford, England)","id":"ITEM-1","issue":"15","issued":{"date-parts":[["2014","8","1"]]},"page":"2114-20","publisher":"Oxford University Press","title":"Trimmomatic: a flexible trimmer for Illumina sequence data.","type":"article-journal","volume":"30"},"uris":["http://www.mendeley.com/documents/?uuid=10e766a7-855a-33ee-b0d9-5d1ddcb3021b"]}],"mendeley":{"formattedCitation":"(78)","plainTextFormattedCitation":"(78)","previouslyFormattedCitation":"(77)"},"properties":{"noteIndex":0},"schema":"https://github.com/citation-style-language/schema/raw/master/csl-citation.json"}</w:instrText>
      </w:r>
      <w:r w:rsidR="0034071E">
        <w:rPr>
          <w:rFonts w:ascii="Times New Roman" w:hAnsi="Times New Roman" w:cs="Times New Roman"/>
        </w:rPr>
        <w:fldChar w:fldCharType="separate"/>
      </w:r>
      <w:r w:rsidR="00307058" w:rsidRPr="00307058">
        <w:rPr>
          <w:rFonts w:ascii="Times New Roman" w:hAnsi="Times New Roman" w:cs="Times New Roman"/>
          <w:noProof/>
        </w:rPr>
        <w:t>(78)</w:t>
      </w:r>
      <w:r w:rsidR="0034071E">
        <w:rPr>
          <w:rFonts w:ascii="Times New Roman" w:hAnsi="Times New Roman" w:cs="Times New Roman"/>
        </w:rPr>
        <w:fldChar w:fldCharType="end"/>
      </w:r>
      <w:r w:rsidRPr="00F23F20">
        <w:rPr>
          <w:rFonts w:ascii="Times New Roman" w:hAnsi="Times New Roman" w:cs="Times New Roman"/>
        </w:rPr>
        <w:t xml:space="preserve"> removed adapters and trimmed low-quality bases from individual reads. Read leading and trailing quality scores were required to be &gt;3. The sliding window was set to 4 base pairs and filtered base pair windows with a mean score &lt;15. Quality controlled reads were assembled into contigs using MEGAHIT (v1.1.2; --presets meta-large) </w:t>
      </w:r>
      <w:r w:rsidR="0034071E">
        <w:rPr>
          <w:rFonts w:ascii="Times New Roman" w:hAnsi="Times New Roman" w:cs="Times New Roman"/>
        </w:rPr>
        <w:t xml:space="preserve"> </w:t>
      </w:r>
      <w:r w:rsidR="0034071E">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YMETH.2016.02.020","ISSN":"1046-2023","author":[{"dropping-particle":"","family":"Li","given":"Dinghua","non-dropping-particle":"","parse-names":false,"suffix":""},{"dropping-particle":"","family":"Luo","given":"Ruibang","non-dropping-particle":"","parse-names":false,"suffix":""},{"dropping-particle":"","family":"Liu","given":"Chi-Man","non-dropping-particle":"","parse-names":false,"suffix":""},{"dropping-particle":"","family":"Ting","given":"Hing-Fung","non-dropping-particle":"","parse-names":false,"suffix":""},{"dropping-particle":"","family":"Sadakane","given":"Kunihiko","non-dropping-particle":"","parse-names":false,"suffix":""},{"dropping-particle":"","family":"Yamashita","given":"Hiroshi","non-dropping-particle":"","parse-names":false,"suffix":""},{"dropping-particle":"","family":"Lam","given":"Tak-Wah","non-dropping-particle":"","parse-names":false,"suffix":""}],"container-title":"Methods","id":"ITEM-1","issued":{"date-parts":[["2016","6","1"]]},"page":"3-11","publisher":"Academic Press","title":"MEGAHIT v1.0: A fast and scalable metagenome assembler driven by advanced methodologies and community practices","type":"article-journal","volume":"102"},"uris":["http://www.mendeley.com/documents/?uuid=4ae034cf-db2e-359c-bbf3-1ec6e775f810"]}],"mendeley":{"formattedCitation":"(79)","plainTextFormattedCitation":"(79)","previouslyFormattedCitation":"(78)"},"properties":{"noteIndex":0},"schema":"https://github.com/citation-style-language/schema/raw/master/csl-citation.json"}</w:instrText>
      </w:r>
      <w:r w:rsidR="0034071E">
        <w:rPr>
          <w:rFonts w:ascii="Times New Roman" w:hAnsi="Times New Roman" w:cs="Times New Roman"/>
        </w:rPr>
        <w:fldChar w:fldCharType="separate"/>
      </w:r>
      <w:r w:rsidR="00307058" w:rsidRPr="00307058">
        <w:rPr>
          <w:rFonts w:ascii="Times New Roman" w:hAnsi="Times New Roman" w:cs="Times New Roman"/>
          <w:noProof/>
        </w:rPr>
        <w:t>(79)</w:t>
      </w:r>
      <w:r w:rsidR="0034071E">
        <w:rPr>
          <w:rFonts w:ascii="Times New Roman" w:hAnsi="Times New Roman" w:cs="Times New Roman"/>
        </w:rPr>
        <w:fldChar w:fldCharType="end"/>
      </w:r>
      <w:r w:rsidRPr="00F23F20">
        <w:rPr>
          <w:rFonts w:ascii="Times New Roman" w:hAnsi="Times New Roman" w:cs="Times New Roman"/>
        </w:rPr>
        <w:t>. Due to computational limitations, assembled contigs &lt;3000 bp long were excluded from the analysis. Redundant contigs were removed using CD-HIT (v4.6.8; cd-hi-</w:t>
      </w:r>
      <w:proofErr w:type="spellStart"/>
      <w:r w:rsidRPr="00F23F20">
        <w:rPr>
          <w:rFonts w:ascii="Times New Roman" w:hAnsi="Times New Roman" w:cs="Times New Roman"/>
        </w:rPr>
        <w:t>est</w:t>
      </w:r>
      <w:proofErr w:type="spellEnd"/>
      <w:r w:rsidRPr="00F23F20">
        <w:rPr>
          <w:rFonts w:ascii="Times New Roman" w:hAnsi="Times New Roman" w:cs="Times New Roman"/>
        </w:rPr>
        <w:t xml:space="preserve"> -c 0.99 -n 10) </w:t>
      </w:r>
      <w:r w:rsidR="0034071E">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10.1093/bioinformatics/bts565","ISSN":"1367-4803","author":[{"dropping-particle":"","family":"Fu","given":"Limin","non-dropping-particle":"","parse-names":false,"suffix":""},{"dropping-particle":"","family":"Niu","given":"Beifang","non-dropping-particle":"","parse-names":false,"suffix":""},{"dropping-particle":"","family":"Zhu","given":"Zhengwei","non-dropping-particle":"","parse-names":false,"suffix":""},{"dropping-particle":"","family":"Wu","given":"Sitao","non-dropping-particle":"","parse-names":false,"suffix":""},{"dropping-particle":"","family":"Li","given":"Weizhong","non-dropping-particle":"","parse-names":false,"suffix":""}],"container-title":"Bioinformatics","id":"ITEM-1","issue":"23","issued":{"date-parts":[["2012","12","1"]]},"page":"3150-3152","publisher":"Oxford University Press","title":"CD-HIT: accelerated for clustering the next-generation sequencing data","type":"article-journal","volume":"28"},"uris":["http://www.mendeley.com/documents/?uuid=fb4391f1-d3d7-31c1-bcf9-0c0f103f1c5a"]}],"mendeley":{"formattedCitation":"(80)","plainTextFormattedCitation":"(80)","previouslyFormattedCitation":"(79)"},"properties":{"noteIndex":0},"schema":"https://github.com/citation-style-language/schema/raw/master/csl-citation.json"}</w:instrText>
      </w:r>
      <w:r w:rsidR="0034071E">
        <w:rPr>
          <w:rFonts w:ascii="Times New Roman" w:hAnsi="Times New Roman" w:cs="Times New Roman"/>
        </w:rPr>
        <w:fldChar w:fldCharType="separate"/>
      </w:r>
      <w:r w:rsidR="00307058" w:rsidRPr="00307058">
        <w:rPr>
          <w:rFonts w:ascii="Times New Roman" w:hAnsi="Times New Roman" w:cs="Times New Roman"/>
          <w:noProof/>
        </w:rPr>
        <w:t>(80)</w:t>
      </w:r>
      <w:r w:rsidR="0034071E">
        <w:rPr>
          <w:rFonts w:ascii="Times New Roman" w:hAnsi="Times New Roman" w:cs="Times New Roman"/>
        </w:rPr>
        <w:fldChar w:fldCharType="end"/>
      </w:r>
      <w:r w:rsidRPr="00F23F20">
        <w:rPr>
          <w:rFonts w:ascii="Times New Roman" w:hAnsi="Times New Roman" w:cs="Times New Roman"/>
        </w:rPr>
        <w:t xml:space="preserve">.  The quality-controlled reads (i.e., after using </w:t>
      </w:r>
      <w:proofErr w:type="spellStart"/>
      <w:r w:rsidRPr="00F23F20">
        <w:rPr>
          <w:rFonts w:ascii="Times New Roman" w:hAnsi="Times New Roman" w:cs="Times New Roman"/>
        </w:rPr>
        <w:t>Trimmomatic</w:t>
      </w:r>
      <w:proofErr w:type="spellEnd"/>
      <w:r w:rsidRPr="00F23F20">
        <w:rPr>
          <w:rFonts w:ascii="Times New Roman" w:hAnsi="Times New Roman" w:cs="Times New Roman"/>
        </w:rPr>
        <w:t xml:space="preserve">) were mapped to the remaining contigs using Bowtie 2 (v2.3.3) </w:t>
      </w:r>
      <w:r w:rsidR="0034071E">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{"citationItems":[{"id":"ITEM-1","itemData":{"DOI":"10.1038/nmeth.1923","ISBN":"1548-7105 (Electronic) 1548-7091 (Linking)","ISSN":"1548-7105","PMID":"22388286","abstract":"As the rate of sequencing increases, greater throughput is demanded from read aligners. The full-text minute index is often used to make alignment very fast and memory-efficient, but the approach is ill-suited to finding longer, gapped alignments. Bowtie 2 combines the strengths of the full-text minute index with the flexibility and speed of hardware-accelerated dynamic programming algorithms to achieve a combination of high speed, sensitivity and accuracy.","author":[{"dropping-particle":"","family":"Langmead","given":"Ben","non-dropping-particle":"","parse-names":false,"suffix":""},{"dropping-particle":"","family":"Salzberg","given":"Steven L","non-dropping-particle":"","parse-names":false,"suffix":""}],"container-title":"Nature methods","id":"ITEM-1","issue":"4","issued":{"date-parts":[["2012"]]},"page":"357-9","title":"Fast gapped-read alignment with Bowtie 2","type":"article-journal","volume":"9"},"uris":["http://www.mendeley.com/documents/?uuid=c5351464-ba73-4da6-96d8-bc0fd0a2d852"]}],"mendeley":{"formattedCitation":"(81)","plainTextFormattedCitation":"(81)","previouslyFormattedCitation":"(80)"},"properties":{"noteIndex":0},"schema":"https://github.com/citation-style-language/schema/raw/master/csl-citation.json"}</w:instrText>
      </w:r>
      <w:r w:rsidR="0034071E">
        <w:rPr>
          <w:rFonts w:ascii="Times New Roman" w:hAnsi="Times New Roman" w:cs="Times New Roman"/>
        </w:rPr>
        <w:fldChar w:fldCharType="separate"/>
      </w:r>
      <w:r w:rsidR="00307058" w:rsidRPr="00307058">
        <w:rPr>
          <w:rFonts w:ascii="Times New Roman" w:hAnsi="Times New Roman" w:cs="Times New Roman"/>
          <w:noProof/>
        </w:rPr>
        <w:t>(81)</w:t>
      </w:r>
      <w:r w:rsidR="0034071E">
        <w:rPr>
          <w:rFonts w:ascii="Times New Roman" w:hAnsi="Times New Roman" w:cs="Times New Roman"/>
        </w:rPr>
        <w:fldChar w:fldCharType="end"/>
      </w:r>
      <w:r w:rsidR="0034071E">
        <w:rPr>
          <w:rFonts w:ascii="Times New Roman" w:hAnsi="Times New Roman" w:cs="Times New Roman"/>
        </w:rPr>
        <w:t xml:space="preserve"> </w:t>
      </w:r>
      <w:r w:rsidRPr="00F23F20">
        <w:rPr>
          <w:rFonts w:ascii="Times New Roman" w:hAnsi="Times New Roman" w:cs="Times New Roman"/>
        </w:rPr>
        <w:t xml:space="preserve">to generate a coverage score for individual contigs. Resultant contigs were iteratively clustered into MAGs using the unsupervised, clustering algorithm </w:t>
      </w:r>
      <w:proofErr w:type="spellStart"/>
      <w:r w:rsidRPr="00F23F20">
        <w:rPr>
          <w:rFonts w:ascii="Times New Roman" w:hAnsi="Times New Roman" w:cs="Times New Roman"/>
        </w:rPr>
        <w:t>Binsanity</w:t>
      </w:r>
      <w:proofErr w:type="spellEnd"/>
      <w:r w:rsidRPr="00F23F20">
        <w:rPr>
          <w:rFonts w:ascii="Times New Roman" w:hAnsi="Times New Roman" w:cs="Times New Roman"/>
        </w:rPr>
        <w:t xml:space="preserve"> (v0.2.6)</w:t>
      </w:r>
      <w:r w:rsidR="0034071E">
        <w:rPr>
          <w:rFonts w:ascii="Times New Roman" w:hAnsi="Times New Roman" w:cs="Times New Roman"/>
        </w:rPr>
        <w:t xml:space="preserve"> </w:t>
      </w:r>
      <w:r w:rsidR="0034071E">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{"citationItems":[{"id":"ITEM-1","itemData":{"DOI":"10.7717/peerj.3035","ISSN":"2167-8359","abstract":"&lt;p&gt;Metagenomics has become an integral part of defining microbial diversity in various environments. Many ecosystems have characteristically low biomass and few cultured representatives. Linking potential metabolisms to phylogeny in environmental microorganisms is important for interpreting microbial community functions and the impacts these communities have on geochemical cycles. However, with metagenomic studies there is the computational hurdle of ‘binning’ contigs into phylogenetically related units or putative genomes. Binning methods have been implemented with varying approaches such as k-means clustering, Gaussian mixture models, hierarchical clustering, neural networks, and two-way clustering; however, many of these suffer from biases against low coverage/abundance organisms and closely related taxa/strains. We are introducing a new binning method, BinSanity, that utilizes the clustering algorithm affinity propagation (AP), to cluster assemblies using coverage with compositional based refinement (tetranucleotide frequency and percent GC content) to optimize bins containing multiple source organisms. This separation of composition and coverage based clustering reduces bias for closely related taxa. BinSanity was developed and tested on artificial metagenomes varying in size and complexity. Results indicate that BinSanity has a higher precision, recall, and Adjusted Rand Index compared to five commonly implemented methods. When tested on a previously published environmental metagenome, BinSanity generated high completion and low redundancy bins corresponding with the published metagenome-assembled genomes.&lt;/p&gt;","author":[{"dropping-particle":"","family":"Graham","given":"Elaina D.","non-dropping-particle":"","parse-names":false,"suffix":""},{"dropping-particle":"","family":"Heidelberg","given":"John F.","non-dropping-particle":"","parse-names":false,"suffix":""},{"dropping-particle":"","family":"Tully","given":"Benjamin J.","non-dropping-particle":"","parse-names":false,"suffix":""}],"container-title":"PeerJ","id":"ITEM-1","issued":{"date-parts":[["2017","3","8"]]},"page":"e3035","publisher":"PeerJ Inc.","title":"BinSanity: unsupervised clustering of environmental microbial assemblies using coverage and affinity propagation","type":"article-journal","volume":"5"},"uris":["http://www.mendeley.com/documents/?uuid=95483c43-baea-3281-a5cc-699b8d8953d1"]}],"mendeley":{"formattedCitation":"(77)","plainTextFormattedCitation":"(77)","previouslyFormattedCitation":"(76)"},"properties":{"noteIndex":0},"schema":"https://github.com/citation-style-language/schema/raw/master/csl-citation.json"}</w:instrText>
      </w:r>
      <w:r w:rsidR="0034071E">
        <w:rPr>
          <w:rFonts w:ascii="Times New Roman" w:hAnsi="Times New Roman" w:cs="Times New Roman"/>
        </w:rPr>
        <w:fldChar w:fldCharType="separate"/>
      </w:r>
      <w:r w:rsidR="00307058" w:rsidRPr="00307058">
        <w:rPr>
          <w:rFonts w:ascii="Times New Roman" w:hAnsi="Times New Roman" w:cs="Times New Roman"/>
          <w:noProof/>
        </w:rPr>
        <w:t>(77)</w:t>
      </w:r>
      <w:r w:rsidR="0034071E">
        <w:rPr>
          <w:rFonts w:ascii="Times New Roman" w:hAnsi="Times New Roman" w:cs="Times New Roman"/>
        </w:rPr>
        <w:fldChar w:fldCharType="end"/>
      </w:r>
      <w:r w:rsidRPr="00F23F20">
        <w:rPr>
          <w:rFonts w:ascii="Times New Roman" w:hAnsi="Times New Roman" w:cs="Times New Roman"/>
        </w:rPr>
        <w:t xml:space="preserve">. Similar to </w:t>
      </w:r>
      <w:r w:rsidR="0034071E">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{"citationItems":[{"id":"ITEM-1","itemData":{"DOI":"10.1038/sdata.2017.203","ISBN":"2052-4463 (Electronic) 2052-4463 (Linking)","ISSN":"20524463","PMID":"29337314","abstract":"The reconstruction of 2,631 draft metagenome-assembled genomes from the global oceans","author":[{"dropping-particle":"","family":"Tully","given":"Benjamin J.","non-dropping-particle":"","parse-names":false,"suffix":""},{"dropping-particle":"","family":"Graham","given":"Elaina D.","non-dropping-particle":"","parse-names":false,"suffix":""},{"dropping-particle":"","family":"Heidelberg","given":"John F.","non-dropping-particle":"","parse-names":false,"suffix":""}],"container-title":"Scientific Data","id":"ITEM-1","issued":{"date-parts":[["2018"]]},"page":"1-8","title":"The reconstruction of 2,631 draft metagenome-assembled genomes from the global oceans","type":"article-journal","volume":"5"},"uris":["http://www.mendeley.com/documents/?uuid=2a594b02-86bb-4243-85e4-75ed2e203301"]}],"mendeley":{"formattedCitation":"(50)","plainTextFormattedCitation":"(50)","previouslyFormattedCitation":"(49)"},"properties":{"noteIndex":0},"schema":"https://github.com/citation-style-language/schema/raw/master/csl-citation.json"}</w:instrText>
      </w:r>
      <w:r w:rsidR="0034071E">
        <w:rPr>
          <w:rFonts w:ascii="Times New Roman" w:hAnsi="Times New Roman" w:cs="Times New Roman"/>
        </w:rPr>
        <w:fldChar w:fldCharType="separate"/>
      </w:r>
      <w:r w:rsidR="00307058" w:rsidRPr="00307058">
        <w:rPr>
          <w:rFonts w:ascii="Times New Roman" w:hAnsi="Times New Roman" w:cs="Times New Roman"/>
          <w:noProof/>
        </w:rPr>
        <w:t>(50)</w:t>
      </w:r>
      <w:r w:rsidR="0034071E">
        <w:rPr>
          <w:rFonts w:ascii="Times New Roman" w:hAnsi="Times New Roman" w:cs="Times New Roman"/>
        </w:rPr>
        <w:fldChar w:fldCharType="end"/>
      </w:r>
      <w:r w:rsidRPr="00F23F20">
        <w:rPr>
          <w:rFonts w:ascii="Times New Roman" w:hAnsi="Times New Roman" w:cs="Times New Roman"/>
        </w:rPr>
        <w:t>, six initial clustering iterations were performed with the parameter, preference (-p), set to -10 (iteration 1), -5 (iteration 2), -3 (iteration 3-6). Between iterations, a refinement step (</w:t>
      </w:r>
      <w:proofErr w:type="spellStart"/>
      <w:r w:rsidRPr="00F23F20">
        <w:rPr>
          <w:rFonts w:ascii="Times New Roman" w:hAnsi="Times New Roman" w:cs="Times New Roman"/>
        </w:rPr>
        <w:t>Binsanity</w:t>
      </w:r>
      <w:proofErr w:type="spellEnd"/>
      <w:r w:rsidRPr="00F23F20">
        <w:rPr>
          <w:rFonts w:ascii="Times New Roman" w:hAnsi="Times New Roman" w:cs="Times New Roman"/>
        </w:rPr>
        <w:t xml:space="preserve">-refine) was performed on the putative MAGs with constant preference (-p) of -25. The refined putative MAGs were evaluated for contamination and completeness using the software </w:t>
      </w:r>
      <w:proofErr w:type="spellStart"/>
      <w:r w:rsidRPr="00F23F20">
        <w:rPr>
          <w:rFonts w:ascii="Times New Roman" w:hAnsi="Times New Roman" w:cs="Times New Roman"/>
        </w:rPr>
        <w:t>CheckM</w:t>
      </w:r>
      <w:proofErr w:type="spellEnd"/>
      <w:r w:rsidRPr="00F23F20">
        <w:rPr>
          <w:rFonts w:ascii="Times New Roman" w:hAnsi="Times New Roman" w:cs="Times New Roman"/>
        </w:rPr>
        <w:t xml:space="preserve"> (v1.0.6)</w:t>
      </w:r>
      <w:r w:rsidR="0034071E">
        <w:rPr>
          <w:rFonts w:ascii="Times New Roman" w:hAnsi="Times New Roman" w:cs="Times New Roman"/>
        </w:rPr>
        <w:t xml:space="preserve"> </w:t>
      </w:r>
      <w:r w:rsidR="0034071E">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{"citationItems":[{"id":"ITEM-1","itemData":{"DOI":"10.1101/gr.186072.114","ISSN":"1549-5469","PMID":"25977477","abstract":"Large-scale recovery of genomes from isolates, single cells, and metagenomic data has been made possible by advances in computational methods and substantial reductions in sequencing costs. Although this increasing breadth of draft genomes is providing key information regarding the evolutionary and functional diversity of microbial life, it has become impractical to finish all available reference genomes. Making robust biological inferences from draft genomes requires accurate estimates of their completeness and contamination. Current methods for assessing genome quality are ad hoc and generally make use of a limited number of \"marker\" genes conserved across all bacterial or archaeal genomes. Here we introduce CheckM, an automated method for assessing the quality of a genome using a broader set of marker genes specific to the position of a genome within a reference genome tree and information about the collocation of these genes. We demonstrate the effectiveness of CheckM using synthetic data and a wide range of isolate-, single-cell-, and metagenome-derived genomes. CheckM is shown to provide accurate estimates of genome completeness and contamination and to outperform existing approaches. Using CheckM, we identify a diverse range of errors currently impacting publicly available isolate genomes and demonstrate that genomes obtained from single cells and metagenomic data vary substantially in quality. In order to facilitate the use of draft genomes, we propose an objective measure of genome quality that can be used to select genomes suitable for specific gene- and genome-centric analyses of microbial communities.","author":[{"dropping-particle":"","family":"Parks","given":"Donovan H","non-dropping-particle":"","parse-names":false,"suffix":""},{"dropping-particle":"","family":"Imelfort","given":"Michael","non-dropping-particle":"","parse-names":false,"suffix":""},{"dropping-particle":"","family":"Skennerton","given":"Connor T","non-dropping-particle":"","parse-names":false,"suffix":""},{"dropping-particle":"","family":"Hugenholtz","given":"Philip","non-dropping-particle":"","parse-names":false,"suffix":""},{"dropping-particle":"","family":"Tyson","given":"Gene W","non-dropping-particle":"","parse-names":false,"suffix":""}],"container-title":"Genome research","id":"ITEM-1","issue":"7","issued":{"date-parts":[["2015","7","1"]]},"page":"1043-55","publisher":"Cold Spring Harbor Laboratory Press","title":"CheckM: assessing the quality of microbial genomes recovered from isolates, single cells, and metagenomes.","type":"article-journal","volume":"25"},"uris":["http://www.mendeley.com/documents/?uuid=878314f8-b229-360f-b94b-256146b45496"]}],"mendeley":{"formattedCitation":"(82)","plainTextFormattedCitation":"(82)","previouslyFormattedCitation":"(81)"},"properties":{"noteIndex":0},"schema":"https://github.com/citation-style-language/schema/raw/master/csl-citation.json"}</w:instrText>
      </w:r>
      <w:r w:rsidR="0034071E">
        <w:rPr>
          <w:rFonts w:ascii="Times New Roman" w:hAnsi="Times New Roman" w:cs="Times New Roman"/>
        </w:rPr>
        <w:fldChar w:fldCharType="separate"/>
      </w:r>
      <w:r w:rsidR="00307058" w:rsidRPr="00307058">
        <w:rPr>
          <w:rFonts w:ascii="Times New Roman" w:hAnsi="Times New Roman" w:cs="Times New Roman"/>
          <w:noProof/>
        </w:rPr>
        <w:t>(82)</w:t>
      </w:r>
      <w:r w:rsidR="0034071E">
        <w:rPr>
          <w:rFonts w:ascii="Times New Roman" w:hAnsi="Times New Roman" w:cs="Times New Roman"/>
        </w:rPr>
        <w:fldChar w:fldCharType="end"/>
      </w:r>
      <w:r w:rsidRPr="00F23F20">
        <w:rPr>
          <w:rFonts w:ascii="Times New Roman" w:hAnsi="Times New Roman" w:cs="Times New Roman"/>
        </w:rPr>
        <w:t>, which uses HMMER (v3.1) and Prodigal (v2.6.3)</w:t>
      </w:r>
      <w:r w:rsidR="0034071E">
        <w:rPr>
          <w:rFonts w:ascii="Times New Roman" w:hAnsi="Times New Roman" w:cs="Times New Roman"/>
        </w:rPr>
        <w:t xml:space="preserve"> </w:t>
      </w:r>
      <w:r w:rsidR="0034071E">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{"citationItems":[{"id":"ITEM-1","itemData":{"DOI":"10.1186/1471-2105-11-119","ISBN":"1471-2105 (Electronic)\\r1471-2105 (Linking)","ISSN":"1471-2105","PMID":"20211023","abstract":"BACKGROUND The quality of automated gene prediction in microbial organisms has improved steadily over the past decade, but there is still room for improvement. Increasing the number of correct identifications, both of genes and of the translation initiation sites for each gene, and reducing the overall number of false positives, are all desirable goals. RESULTS With our years of experience in manually curating genomes for the Joint Genome Institute, we developed a new gene prediction algorithm called Prodigal (PROkaryotic DYnamic programming Gene-finding ALgorithm). With Prodigal, we focused specifically on the three goals of improved gene structure prediction, improved translation initiation site recognition, and reduced false positives. We compared the results of Prodigal to existing gene-finding methods to demonstrate that it met each of these objectives. CONCLUSION We built a fast, lightweight, open source gene prediction program called Prodigal http://compbio.ornl.gov/prodigal/. Prodigal achieved good results compared to existing methods, and we believe it will be a valuable asset to automated microbial annotation pipelines.","author":[{"dropping-particle":"","family":"Hyatt","given":"Doug","non-dropping-particle":"","parse-names":false,"suffix":""},{"dropping-particle":"","family":"Chen","given":"Gwo-Liang","non-dropping-particle":"","parse-names":false,"suffix":""},{"dropping-particle":"","family":"LoCascio","given":"Philip F","non-dropping-particle":"","parse-names":false,"suffix":""},{"dropping-particle":"","family":"Land","given":"Miriam L","non-dropping-particle":"","parse-names":false,"suffix":""},{"dropping-particle":"","family":"Larimer","given":"Frank W","non-dropping-particle":"","parse-names":false,"suffix":""},{"dropping-particle":"","family":"Hauser","given":"Loren J","non-dropping-particle":"","parse-names":false,"suffix":""}],"container-title":"BMC Bioinformatics","id":"ITEM-1","issue":"1","issued":{"date-parts":[["2010"]]},"page":"119","title":"Prodigal: prokaryotic gene recognition and translation initiation site identification","type":"article-journal","volume":"11"},"uris":["http://www.mendeley.com/documents/?uuid=0971cbe3-f831-46fe-b489-cecbaa48c5c5"]}],"mendeley":{"formattedCitation":"(40)","plainTextFormattedCitation":"(40)","previouslyFormattedCitation":"(39)"},"properties":{"noteIndex":0},"schema":"https://github.com/citation-style-language/schema/raw/master/csl-citation.json"}</w:instrText>
      </w:r>
      <w:r w:rsidR="0034071E">
        <w:rPr>
          <w:rFonts w:ascii="Times New Roman" w:hAnsi="Times New Roman" w:cs="Times New Roman"/>
        </w:rPr>
        <w:fldChar w:fldCharType="separate"/>
      </w:r>
      <w:r w:rsidR="00307058" w:rsidRPr="00307058">
        <w:rPr>
          <w:rFonts w:ascii="Times New Roman" w:hAnsi="Times New Roman" w:cs="Times New Roman"/>
          <w:noProof/>
        </w:rPr>
        <w:t>(40)</w:t>
      </w:r>
      <w:r w:rsidR="0034071E">
        <w:rPr>
          <w:rFonts w:ascii="Times New Roman" w:hAnsi="Times New Roman" w:cs="Times New Roman"/>
        </w:rPr>
        <w:fldChar w:fldCharType="end"/>
      </w:r>
      <w:r w:rsidRPr="00F23F20">
        <w:rPr>
          <w:rFonts w:ascii="Times New Roman" w:hAnsi="Times New Roman" w:cs="Times New Roman"/>
        </w:rPr>
        <w:t xml:space="preserve">. For this work, we used the recommended lineage-specific marker sets. The lineage-specific workflow defines marker genes as those appearing in &gt;97% of a single lineage. Contigs associated with putative MAGs meeting one of the following criteria: 1) had a completeness &gt; 90% and contamination &lt; 10%, 2) had a completeness &gt; 80% and </w:t>
      </w:r>
      <w:r w:rsidRPr="00F23F20">
        <w:rPr>
          <w:rFonts w:ascii="Times New Roman" w:hAnsi="Times New Roman" w:cs="Times New Roman"/>
        </w:rPr>
        <w:lastRenderedPageBreak/>
        <w:t xml:space="preserve">contamination &lt; 5%, or 3) had a completeness &gt; 50% and contamination &lt; 5% were treated as high-quality. All other MAGs were considered low-quality MAGs. MAGs defined as high-quality were not modified any further. Contigs associated with the high-quality MAGs were not used in the subsequent </w:t>
      </w:r>
      <w:proofErr w:type="spellStart"/>
      <w:r w:rsidRPr="00F23F20">
        <w:rPr>
          <w:rFonts w:ascii="Times New Roman" w:hAnsi="Times New Roman" w:cs="Times New Roman"/>
        </w:rPr>
        <w:t>reclustering</w:t>
      </w:r>
      <w:proofErr w:type="spellEnd"/>
      <w:r w:rsidRPr="00F23F20">
        <w:rPr>
          <w:rFonts w:ascii="Times New Roman" w:hAnsi="Times New Roman" w:cs="Times New Roman"/>
        </w:rPr>
        <w:t xml:space="preserve"> and refinement steps. The contigs associated with low-quality MAGs were pooled together and </w:t>
      </w:r>
      <w:proofErr w:type="spellStart"/>
      <w:r w:rsidRPr="00F23F20">
        <w:rPr>
          <w:rFonts w:ascii="Times New Roman" w:hAnsi="Times New Roman" w:cs="Times New Roman"/>
        </w:rPr>
        <w:t>reclustered</w:t>
      </w:r>
      <w:proofErr w:type="spellEnd"/>
      <w:r w:rsidRPr="00F23F20">
        <w:rPr>
          <w:rFonts w:ascii="Times New Roman" w:hAnsi="Times New Roman" w:cs="Times New Roman"/>
        </w:rPr>
        <w:t xml:space="preserve"> during the next iteration of </w:t>
      </w:r>
      <w:proofErr w:type="spellStart"/>
      <w:r w:rsidRPr="00F23F20">
        <w:rPr>
          <w:rFonts w:ascii="Times New Roman" w:hAnsi="Times New Roman" w:cs="Times New Roman"/>
        </w:rPr>
        <w:t>Binsanity</w:t>
      </w:r>
      <w:proofErr w:type="spellEnd"/>
      <w:r w:rsidRPr="00F23F20">
        <w:rPr>
          <w:rFonts w:ascii="Times New Roman" w:hAnsi="Times New Roman" w:cs="Times New Roman"/>
        </w:rPr>
        <w:t xml:space="preserve"> clustering. After the sixth iteration, the remaining MAGs which did not fall into one of the three categories underwent additional refinement using </w:t>
      </w:r>
      <w:proofErr w:type="spellStart"/>
      <w:r w:rsidRPr="00F23F20">
        <w:rPr>
          <w:rFonts w:ascii="Times New Roman" w:hAnsi="Times New Roman" w:cs="Times New Roman"/>
        </w:rPr>
        <w:t>Binsanity</w:t>
      </w:r>
      <w:proofErr w:type="spellEnd"/>
      <w:r w:rsidRPr="00F23F20">
        <w:rPr>
          <w:rFonts w:ascii="Times New Roman" w:hAnsi="Times New Roman" w:cs="Times New Roman"/>
        </w:rPr>
        <w:t xml:space="preserve">-refine. During this step, MAGs were iteratively refined with preference set to -10 (iteration 1), -3 (iteration 2), and -1 (iteration 3). Between each refinement step, metrics of contamination and completeness were evaluated using </w:t>
      </w:r>
      <w:proofErr w:type="spellStart"/>
      <w:r w:rsidRPr="00F23F20">
        <w:rPr>
          <w:rFonts w:ascii="Times New Roman" w:hAnsi="Times New Roman" w:cs="Times New Roman"/>
        </w:rPr>
        <w:t>CheckM</w:t>
      </w:r>
      <w:proofErr w:type="spellEnd"/>
      <w:r w:rsidRPr="00F23F20">
        <w:rPr>
          <w:rFonts w:ascii="Times New Roman" w:hAnsi="Times New Roman" w:cs="Times New Roman"/>
        </w:rPr>
        <w:t xml:space="preserve">. Again, MAGs meeting the criteria of a high-quality category described above were not further modified. The respective contigs associated with putative MAGs were not used in proceeding refinement steps. After the last iteration of refinement, all MAGs were reevaluated for completeness, contamination, and a taxonomic rank using </w:t>
      </w:r>
      <w:proofErr w:type="spellStart"/>
      <w:r w:rsidRPr="00F23F20">
        <w:rPr>
          <w:rFonts w:ascii="Times New Roman" w:hAnsi="Times New Roman" w:cs="Times New Roman"/>
        </w:rPr>
        <w:t>CheckM</w:t>
      </w:r>
      <w:proofErr w:type="spellEnd"/>
      <w:r w:rsidRPr="00F23F20">
        <w:rPr>
          <w:rFonts w:ascii="Times New Roman" w:hAnsi="Times New Roman" w:cs="Times New Roman"/>
        </w:rPr>
        <w:t>.</w:t>
      </w:r>
    </w:p>
    <w:p w14:paraId="3D72C3A9" w14:textId="77777777" w:rsidR="00365526" w:rsidRPr="00F23F20" w:rsidRDefault="00365526" w:rsidP="00365526">
      <w:pPr>
        <w:pStyle w:val="Heading3"/>
      </w:pPr>
      <w:bookmarkStart w:id="212" w:name="_Toc41908103"/>
      <w:r w:rsidRPr="00F23F20">
        <w:t>Subsampling Sequence Read Datasets</w:t>
      </w:r>
      <w:bookmarkEnd w:id="212"/>
    </w:p>
    <w:p w14:paraId="76C8F89E" w14:textId="77777777" w:rsidR="00365526" w:rsidRPr="00F23F20" w:rsidRDefault="00365526" w:rsidP="00365526">
      <w:pPr>
        <w:pStyle w:val="Standard"/>
        <w:spacing w:line="480" w:lineRule="auto"/>
        <w:ind w:firstLine="720"/>
        <w:rPr>
          <w:rFonts w:ascii="Times New Roman" w:hAnsi="Times New Roman" w:cs="Times New Roman"/>
        </w:rPr>
      </w:pPr>
      <w:r w:rsidRPr="00F23F20">
        <w:rPr>
          <w:rFonts w:ascii="Times New Roman" w:hAnsi="Times New Roman" w:cs="Times New Roman"/>
        </w:rPr>
        <w:t xml:space="preserve">The effect of decreased sequencing effort was simulated by subsampling the initial sequence read datasets described above. Downloaded sequence read datasets were randomly sampled at set fractions of 1%, 10%, 20%, 40%, 60%, 80%, 90%, 95%, and 100%. Each fraction was resampled, assembled, and binned in triplicate. </w:t>
      </w:r>
      <w:r w:rsidRPr="00F23F20">
        <w:rPr>
          <w:rFonts w:ascii="Times New Roman" w:hAnsi="Times New Roman" w:cs="Times New Roman"/>
          <w:color w:val="222222"/>
          <w:shd w:val="clear" w:color="auto" w:fill="FFFFFF"/>
        </w:rPr>
        <w:t>Each triplicate assembly was binned independently</w:t>
      </w:r>
      <w:r w:rsidRPr="00F23F20">
        <w:rPr>
          <w:rFonts w:ascii="Times New Roman" w:hAnsi="Times New Roman" w:cs="Times New Roman"/>
        </w:rPr>
        <w:t xml:space="preserve"> using the MAG assembly pipeline described above. </w:t>
      </w:r>
    </w:p>
    <w:p w14:paraId="16F6B784" w14:textId="77777777" w:rsidR="00365526" w:rsidRPr="00F23F20" w:rsidRDefault="00365526" w:rsidP="00365526">
      <w:pPr>
        <w:pStyle w:val="Heading3"/>
      </w:pPr>
      <w:bookmarkStart w:id="213" w:name="_Toc41908104"/>
      <w:r w:rsidRPr="00F23F20">
        <w:lastRenderedPageBreak/>
        <w:t>Modeling MAG Response to Sequencing effort</w:t>
      </w:r>
      <w:bookmarkEnd w:id="213"/>
    </w:p>
    <w:p w14:paraId="11EB0F02" w14:textId="0DD357AF" w:rsidR="00365526" w:rsidRPr="00F23F20" w:rsidRDefault="00365526" w:rsidP="00365526">
      <w:pPr>
        <w:pStyle w:val="Standard"/>
        <w:spacing w:line="480" w:lineRule="auto"/>
        <w:ind w:firstLine="720"/>
        <w:rPr>
          <w:rFonts w:ascii="Times New Roman" w:hAnsi="Times New Roman" w:cs="Times New Roman"/>
        </w:rPr>
      </w:pPr>
      <w:r w:rsidRPr="00F23F20">
        <w:rPr>
          <w:rFonts w:ascii="Times New Roman" w:hAnsi="Times New Roman" w:cs="Times New Roman"/>
          <w:bCs/>
        </w:rPr>
        <w:t>Medium</w:t>
      </w:r>
      <w:r w:rsidR="0047528E">
        <w:rPr>
          <w:rFonts w:ascii="Times New Roman" w:hAnsi="Times New Roman" w:cs="Times New Roman"/>
          <w:bCs/>
        </w:rPr>
        <w:t>-</w:t>
      </w:r>
      <w:r w:rsidRPr="00F23F20">
        <w:rPr>
          <w:rFonts w:ascii="Times New Roman" w:hAnsi="Times New Roman" w:cs="Times New Roman"/>
          <w:bCs/>
        </w:rPr>
        <w:t>quality and high</w:t>
      </w:r>
      <w:r w:rsidR="0047528E">
        <w:rPr>
          <w:rFonts w:ascii="Times New Roman" w:hAnsi="Times New Roman" w:cs="Times New Roman"/>
          <w:bCs/>
        </w:rPr>
        <w:t>-</w:t>
      </w:r>
      <w:r w:rsidRPr="00F23F20">
        <w:rPr>
          <w:rFonts w:ascii="Times New Roman" w:hAnsi="Times New Roman" w:cs="Times New Roman"/>
          <w:bCs/>
        </w:rPr>
        <w:t xml:space="preserve">quality MAGs were defined based on completeness and contamination from </w:t>
      </w:r>
      <w:proofErr w:type="spellStart"/>
      <w:r w:rsidRPr="00F23F20">
        <w:rPr>
          <w:rFonts w:ascii="Times New Roman" w:hAnsi="Times New Roman" w:cs="Times New Roman"/>
          <w:bCs/>
        </w:rPr>
        <w:t>CheckM</w:t>
      </w:r>
      <w:proofErr w:type="spellEnd"/>
      <w:r w:rsidRPr="00F23F20">
        <w:rPr>
          <w:rFonts w:ascii="Times New Roman" w:hAnsi="Times New Roman" w:cs="Times New Roman"/>
          <w:bCs/>
        </w:rPr>
        <w:t xml:space="preserve"> </w:t>
      </w:r>
      <w:r w:rsidR="007C6EA8">
        <w:rPr>
          <w:rFonts w:ascii="Times New Roman" w:hAnsi="Times New Roman" w:cs="Times New Roman"/>
          <w:bCs/>
        </w:rPr>
        <w:fldChar w:fldCharType="begin" w:fldLock="1"/>
      </w:r>
      <w:r w:rsidR="00307058">
        <w:rPr>
          <w:rFonts w:ascii="Times New Roman" w:hAnsi="Times New Roman" w:cs="Times New Roman"/>
          <w:bCs/>
        </w:rPr>
        <w:instrText>ADDIN CSL_CITATION {"citationItems":[{"id":"ITEM-1","itemData":{"DOI":"10.1101/gr.186072.114","ISSN":"1549-5469","PMID":"25977477","abstract":"Large-scale recovery of genomes from isolates, single cells, and metagenomic data has been made possible by advances in computational methods and substantial reductions in sequencing costs. Although this increasing breadth of draft genomes is providing key information regarding the evolutionary and functional diversity of microbial life, it has become impractical to finish all available reference genomes. Making robust biological inferences from draft genomes requires accurate estimates of their completeness and contamination. Current methods for assessing genome quality are ad hoc and generally make use of a limited number of \"marker\" genes conserved across all bacterial or archaeal genomes. Here we introduce CheckM, an automated method for assessing the quality of a genome using a broader set of marker genes specific to the position of a genome within a reference genome tree and information about the collocation of these genes. We demonstrate the effectiveness of CheckM using synthetic data and a wide range of isolate-, single-cell-, and metagenome-derived genomes. CheckM is shown to provide accurate estimates of genome completeness and contamination and to outperform existing approaches. Using CheckM, we identify a diverse range of errors currently impacting publicly available isolate genomes and demonstrate that genomes obtained from single cells and metagenomic data vary substantially in quality. In order to facilitate the use of draft genomes, we propose an objective measure of genome quality that can be used to select genomes suitable for specific gene- and genome-centric analyses of microbial communities.","author":[{"dropping-particle":"","family":"Parks","given":"Donovan H","non-dropping-particle":"","parse-names":false,"suffix":""},{"dropping-particle":"","family":"Imelfort","given":"Michael","non-dropping-particle":"","parse-names":false,"suffix":""},{"dropping-particle":"","family":"Skennerton","given":"Connor T","non-dropping-particle":"","parse-names":false,"suffix":""},{"dropping-particle":"","family":"Hugenholtz","given":"Philip","non-dropping-particle":"","parse-names":false,"suffix":""},{"dropping-particle":"","family":"Tyson","given":"Gene W","non-dropping-particle":"","parse-names":false,"suffix":""}],"container-title":"Genome research","id":"ITEM-1","issue":"7","issued":{"date-parts":[["2015","7","1"]]},"page":"1043-55","publisher":"Cold Spring Harbor Laboratory Press","title":"CheckM: assessing the quality of microbial genomes recovered from isolates, single cells, and metagenomes.","type":"article-journal","volume":"25"},"uris":["http://www.mendeley.com/documents/?uuid=878314f8-b229-360f-b94b-256146b45496"]}],"mendeley":{"formattedCitation":"(82)","plainTextFormattedCitation":"(82)","previouslyFormattedCitation":"(81)"},"properties":{"noteIndex":0},"schema":"https://github.com/citation-style-language/schema/raw/master/csl-citation.json"}</w:instrText>
      </w:r>
      <w:r w:rsidR="007C6EA8">
        <w:rPr>
          <w:rFonts w:ascii="Times New Roman" w:hAnsi="Times New Roman" w:cs="Times New Roman"/>
          <w:bCs/>
        </w:rPr>
        <w:fldChar w:fldCharType="separate"/>
      </w:r>
      <w:r w:rsidR="00307058" w:rsidRPr="00307058">
        <w:rPr>
          <w:rFonts w:ascii="Times New Roman" w:hAnsi="Times New Roman" w:cs="Times New Roman"/>
          <w:bCs/>
          <w:noProof/>
        </w:rPr>
        <w:t>(82)</w:t>
      </w:r>
      <w:r w:rsidR="007C6EA8">
        <w:rPr>
          <w:rFonts w:ascii="Times New Roman" w:hAnsi="Times New Roman" w:cs="Times New Roman"/>
          <w:bCs/>
        </w:rPr>
        <w:fldChar w:fldCharType="end"/>
      </w:r>
      <w:r w:rsidRPr="00F23F20">
        <w:rPr>
          <w:rFonts w:ascii="Times New Roman" w:hAnsi="Times New Roman" w:cs="Times New Roman"/>
          <w:bCs/>
        </w:rPr>
        <w:t xml:space="preserve">. Medium quality MAGs were defined as MAGs with &gt;50% completeness and &lt; 10% contamination. High quality MAGs were defined as MAGs with &gt;90% completeness and &lt;5% contamination </w:t>
      </w:r>
      <w:r w:rsidR="0047528E">
        <w:rPr>
          <w:rFonts w:ascii="Times New Roman" w:hAnsi="Times New Roman" w:cs="Times New Roman"/>
          <w:bCs/>
        </w:rPr>
        <w:fldChar w:fldCharType="begin" w:fldLock="1"/>
      </w:r>
      <w:r w:rsidR="00307058">
        <w:rPr>
          <w:rFonts w:ascii="Times New Roman" w:hAnsi="Times New Roman" w:cs="Times New Roman"/>
          <w:bCs/>
        </w:rPr>
        <w:instrText>ADDIN CSL_CITATION {"citationItems":[{"id":"ITEM-1","itemData":{"DOI":"10.1038/nbt.3893","ISBN":"1546-1696 (Electronic) 1087-0156 (Linking)","ISSN":"15461696","PMID":"28787424","abstract":"Standards for sequencing the microbial 'uncultivated majority', namely bacterial and archaeal single-cell genome sequences, and genome sequences from metagenomic datasets, are proposed.","author":[{"dropping-particle":"","family":"Bowers","given":"Robert M.","non-dropping-particle":"","parse-names":false,"suffix":""},{"dropping-particle":"","family":"Kyrpides","given":"Nikos C.","non-dropping-particle":"","parse-names":false,"suffix":""},{"dropping-particle":"","family":"Stepanauskas","given":"Ramunas","non-dropping-particle":"","parse-names":false,"suffix":""},{"dropping-particle":"","family":"Harmon-Smith","given":"Miranda","non-dropping-particle":"","parse-names":false,"suffix":""},{"dropping-particle":"","family":"Doud","given":"Devin","non-dropping-particle":"","parse-names":false,"suffix":""},{"dropping-particle":"","family":"Reddy","given":"T. B.K.","non-dropping-particle":"","parse-names":false,"suffix":""},{"dropping-particle":"","family":"Schulz","given":"Frederik","non-dropping-particle":"","parse-names":false,"suffix":""},{"dropping-particle":"","family":"Jarett","given":"Jessica","non-dropping-particle":"","parse-names":false,"suffix":""},{"dropping-particle":"","family":"Rivers","given":"Adam R.","non-dropping-particle":"","parse-names":false,"suffix":""},{"dropping-particle":"","family":"Eloe-Fadrosh","given":"Emiley A.","non-dropping-particle":"","parse-names":false,"suffix":""},{"dropping-particle":"","family":"Tringe","given":"Susannah G.","non-dropping-particle":"","parse-names":false,"suffix":""},{"dropping-particle":"","family":"Ivanova","given":"Natalia N.","non-dropping-particle":"","parse-names":false,"suffix":""},{"dropping-particle":"","family":"Copeland","given":"Alex","non-dropping-particle":"","parse-names":false,"suffix":""},{"dropping-particle":"","family":"Clum","given":"Alicia","non-dropping-particle":"","parse-names":false,"suffix":""},{"dropping-particle":"","family":"Becraft","given":"Eric D.","non-dropping-particle":"","parse-names":false,"suffix":""},{"dropping-particle":"","family":"Malmstrom","given":"Rex R.","non-dropping-particle":"","parse-names":false,"suffix":""},{"dropping-particle":"","family":"Birren","given":"Bruce","non-dropping-particle":"","parse-names":false,"suffix":""},{"dropping-particle":"","family":"Podar","given":"Mircea","non-dropping-particle":"","parse-names":false,"suffix":""},{"dropping-particle":"","family":"Bork","given":"Peer","non-dropping-particle":"","parse-names":false,"suffix":""},{"dropping-particle":"","family":"Weinstock","given":"George M.","non-dropping-particle":"","parse-names":false,"suffix":""},{"dropping-particle":"","family":"Garrity","given":"George M.","non-dropping-particle":"","parse-names":false,"suffix":""},{"dropping-particle":"","family":"Dodsworth","given":"Jeremy A.","non-dropping-particle":"","parse-names":false,"suffix":""},{"dropping-particle":"","family":"Yooseph","given":"Shibu","non-dropping-particle":"","parse-names":false,"suffix":""},{"dropping-particle":"","family":"Sutton","given":"Granger","non-dropping-particle":"","parse-names":false,"suffix":""},{"dropping-particle":"","family":"Glöckner","given":"Frank O.","non-dropping-particle":"","parse-names":false,"suffix":""},{"dropping-particle":"","family":"Gilbert","given":"Jack A.","non-dropping-particle":"","parse-names":false,"suffix":""},{"dropping-particle":"","family":"Nelson","given":"William C.","non-dropping-particle":"","parse-names":false,"suffix":""},{"dropping-particle":"","family":"Hallam","given":"Steven J.","non-dropping-particle":"","parse-names":false,"suffix":""},{"dropping-particle":"","family":"Jungbluth","given":"Sean P.","non-dropping-particle":"","parse-names":false,"suffix":""},{"dropping-particle":"","family":"Ettema","given":"Thijs J.G.","non-dropping-particle":"","parse-names":false,"suffix":""},{"dropping-particle":"","family":"Tighe","given":"Scott","non-dropping-particle":"","parse-names":false,"suffix":""},{"dropping-particle":"","family":"Konstantinidis","given":"Konstantinos T.","non-dropping-particle":"","parse-names":false,"suffix":""},{"dropping-particle":"","family":"Liu","given":"Wen Tso","non-dropping-particle":"","parse-names":false,"suffix":""},{"dropping-particle":"","family":"Baker","given":"Brett J.","non-dropping-particle":"","parse-names":false,"suffix":""},{"dropping-particle":"","family":"Rattei","given":"Thomas","non-dropping-particle":"","parse-names":false,"suffix":""},{"dropping-particle":"","family":"Eisen","given":"Jonathan A.","non-dropping-particle":"","parse-names":false,"suffix":""},{"dropping-particle":"","family":"Hedlund","given":"Brian","non-dropping-particle":"","parse-names":false,"suffix":""},{"dropping-particle":"","family":"McMahon","given":"Katherine D.","non-dropping-particle":"","parse-names":false,"suffix":""},{"dropping-particle":"","family":"Fierer","given":"Noah","non-dropping-particle":"","parse-names":false,"suffix":""},{"dropping-particle":"","family":"Knight","given":"Rob","non-dropping-particle":"","parse-names":false,"suffix":""},{"dropping-particle":"","family":"Finn","given":"Rob","non-dropping-particle":"","parse-names":false,"suffix":""},{"dropping-particle":"","family":"Cochrane","given":"Guy","non-dropping-particle":"","parse-names":false,"suffix":""},{"dropping-particle":"","family":"Karsch-Mizrachi","given":"Ilene","non-dropping-particle":"","parse-names":false,"suffix":""},{"dropping-particle":"","family":"Tyson","given":"Gene W.","non-dropping-particle":"","parse-names":false,"suffix":""},{"dropping-particle":"","family":"Rinke","given":"Christian","non-dropping-particle":"","parse-names":false,"suffix":""},{"dropping-particle":"","family":"Lapidus","given":"Alla","non-dropping-particle":"","parse-names":false,"suffix":""},{"dropping-particle":"","family":"Meyer","given":"Folker","non-dropping-particle":"","parse-names":false,"suffix":""},{"dropping-particle":"","family":"Yilmaz","given":"Pelin","non-dropping-particle":"","parse-names":false,"suffix":""},{"dropping-particle":"","family":"Parks","given":"Donovan H.","non-dropping-particle":"","parse-names":false,"suffix":""},{"dropping-particle":"","family":"Eren","given":"A. M.","non-dropping-particle":"","parse-names":false,"suffix":""},{"dropping-particle":"","family":"Schriml","given":"Lynn","non-dropping-particle":"","parse-names":false,"suffix":""},{"dropping-particle":"","family":"Banfield","given":"Jillian F.","non-dropping-particle":"","parse-names":false,"suffix":""},{"dropping-particle":"","family":"Hugenholtz","given":"Philip","non-dropping-particle":"","parse-names":false,"suffix":""},{"dropping-particle":"","family":"Woyke","given":"Tanja","non-dropping-particle":"","parse-names":false,"suffix":""}],"container-title":"Nature Biotechnology","id":"ITEM-1","issue":"8","issued":{"date-parts":[["2017"]]},"page":"725-731","title":"Minimum information about a single amplified genome (MISAG) and a metagenome-assembled genome (MIMAG) of bacteria and archaea","type":"article-journal","volume":"35"},"uris":["http://www.mendeley.com/documents/?uuid=d14f1979-778d-4948-9d77-ce685fb2850e"]}],"mendeley":{"formattedCitation":"(58)","plainTextFormattedCitation":"(58)","previouslyFormattedCitation":"(57)"},"properties":{"noteIndex":0},"schema":"https://github.com/citation-style-language/schema/raw/master/csl-citation.json"}</w:instrText>
      </w:r>
      <w:r w:rsidR="0047528E">
        <w:rPr>
          <w:rFonts w:ascii="Times New Roman" w:hAnsi="Times New Roman" w:cs="Times New Roman"/>
          <w:bCs/>
        </w:rPr>
        <w:fldChar w:fldCharType="separate"/>
      </w:r>
      <w:r w:rsidR="00307058" w:rsidRPr="00307058">
        <w:rPr>
          <w:rFonts w:ascii="Times New Roman" w:hAnsi="Times New Roman" w:cs="Times New Roman"/>
          <w:bCs/>
          <w:noProof/>
        </w:rPr>
        <w:t>(58)</w:t>
      </w:r>
      <w:r w:rsidR="0047528E">
        <w:rPr>
          <w:rFonts w:ascii="Times New Roman" w:hAnsi="Times New Roman" w:cs="Times New Roman"/>
          <w:bCs/>
        </w:rPr>
        <w:fldChar w:fldCharType="end"/>
      </w:r>
      <w:r w:rsidR="0047528E">
        <w:rPr>
          <w:rFonts w:ascii="Times New Roman" w:hAnsi="Times New Roman" w:cs="Times New Roman"/>
          <w:bCs/>
        </w:rPr>
        <w:t>.</w:t>
      </w:r>
      <w:r w:rsidRPr="00F23F20">
        <w:rPr>
          <w:rFonts w:ascii="Times New Roman" w:hAnsi="Times New Roman" w:cs="Times New Roman"/>
          <w:bCs/>
        </w:rPr>
        <w:t xml:space="preserve"> The sum of medium and high quality MAGs as a function of sequencing effort was modeled for environmental sequence datasets using the </w:t>
      </w:r>
      <w:proofErr w:type="spellStart"/>
      <w:r w:rsidRPr="00F23F20">
        <w:rPr>
          <w:rFonts w:ascii="Times New Roman" w:hAnsi="Times New Roman" w:cs="Times New Roman"/>
          <w:bCs/>
        </w:rPr>
        <w:t>Gompertz</w:t>
      </w:r>
      <w:proofErr w:type="spellEnd"/>
      <w:r w:rsidRPr="00F23F20">
        <w:rPr>
          <w:rFonts w:ascii="Times New Roman" w:hAnsi="Times New Roman" w:cs="Times New Roman"/>
          <w:bCs/>
        </w:rPr>
        <w:t xml:space="preserve"> equation, as reformulated by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{"citationItems":[{"id":"ITEM-1","itemData":{"DOI":"10.1111/j.1472-765X.2008.02537.x","ISBN":"0099-2240","ISSN":"00992240","PMID":"16348228","abstract":"Several sigmoidal functions (logistic, Gompertz, Richards, Schnute, and Stannard) were compared to describe a bacterial growth curve. They were compared statistically by using the model of Schnute, which is a comprehensive model, encompassing all other models. The t test and the F test were used. With the t test, confidence intervals for parameters can be calculated and can be used to distinguish between models. In the F test, the lack of fit of the models is compared with the measuring error. Moreover, the models were compared with respect to their ease of use. All sigmoidal functions were modified so that they contained biologically relevant parameters. The models of Richards, Schnute, and Stannard appeared to be basically the same equation. In the cases tested, the modified Gompertz equation was statistically sufficient to describe the growth data of Lactobacillus plantarum and was easy to use.","author":[{"dropping-particle":"","family":"Zwietering","given":"M. H.","non-dropping-particle":"","parse-names":false,"suffix":""},{"dropping-particle":"","family":"Jongenburger","given":"I.","non-dropping-particle":"","parse-names":false,"suffix":""},{"dropping-particle":"","family":"Rombouts","given":"F. M.","non-dropping-particle":"","parse-names":false,"suffix":""},{"dropping-particle":"","family":"Van't Riet","given":"K.","non-dropping-particle":"","parse-names":false,"suffix":""}],"container-title":"Applied and Environmental Microbiology","id":"ITEM-1","issue":"6","issued":{"date-parts":[["1990"]]},"page":"1875-1881","title":"Modeling of the bacterial growth curve","type":"article-journal","volume":"56"},"uris":["http://www.mendeley.com/documents/?uuid=e156316c-fac5-4416-b03c-64c24c680407"]}],"mendeley":{"formattedCitation":"(55)","plainTextFormattedCitation":"(55)","previouslyFormattedCitation":"(54)"},"properties":{"noteIndex":0},"schema":"https://github.com/citation-style-language/schema/raw/master/csl-citation.json"}</w:instrText>
      </w:r>
      <w:r w:rsidRPr="00F23F20">
        <w:rPr>
          <w:rFonts w:ascii="Times New Roman" w:hAnsi="Times New Roman" w:cs="Times New Roman"/>
        </w:rPr>
        <w:fldChar w:fldCharType="separate"/>
      </w:r>
      <w:bookmarkStart w:id="214" w:name="__Fieldmark__6678_2362280495"/>
      <w:bookmarkStart w:id="215" w:name="__Fieldmark__4835_2362280495"/>
      <w:r w:rsidR="00307058" w:rsidRPr="00307058">
        <w:rPr>
          <w:rFonts w:ascii="Times New Roman" w:hAnsi="Times New Roman" w:cs="Times New Roman"/>
          <w:bCs/>
          <w:noProof/>
        </w:rPr>
        <w:t>(55)</w:t>
      </w:r>
      <w:r w:rsidRPr="00F23F20">
        <w:rPr>
          <w:rFonts w:ascii="Times New Roman" w:hAnsi="Times New Roman" w:cs="Times New Roman"/>
        </w:rPr>
        <w:fldChar w:fldCharType="end"/>
      </w:r>
      <w:bookmarkEnd w:id="214"/>
      <w:bookmarkEnd w:id="215"/>
      <w:r w:rsidRPr="00F23F20">
        <w:rPr>
          <w:rFonts w:ascii="Times New Roman" w:hAnsi="Times New Roman" w:cs="Times New Roman"/>
          <w:bCs/>
        </w:rPr>
        <w:t xml:space="preserve"> for use with microbial growth curves: </w:t>
      </w:r>
    </w:p>
    <w:p w14:paraId="01AB8138" w14:textId="77777777" w:rsidR="00365526" w:rsidRPr="00F23F20" w:rsidRDefault="002A3883" w:rsidP="00365526">
      <w:pPr>
        <w:pStyle w:val="Standard"/>
        <w:spacing w:line="480" w:lineRule="auto"/>
        <w:rPr>
          <w:rFonts w:ascii="Times New Roman" w:hAnsi="Times New Roman" w:cs="Times New Roman"/>
        </w:rPr>
      </w:pP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eq</m:t>
            </m:r>
          </m:sub>
        </m:sSub>
        <m:d>
          <m:dPr>
            <m:ctrlPr>
              <w:rPr>
                <w:rFonts w:ascii="Cambria Math" w:hAnsi="Cambria Math" w:cs="Times New Roman"/>
              </w:rPr>
            </m:ctrlPr>
          </m:dPr>
          <m:e>
            <m:r>
              <w:rPr>
                <w:rFonts w:ascii="Cambria Math" w:hAnsi="Cambria Math" w:cs="Times New Roman"/>
              </w:rPr>
              <m:t>A,μ,λ,b</m:t>
            </m:r>
          </m:e>
        </m:d>
        <m:r>
          <w:rPr>
            <w:rFonts w:ascii="Cambria Math" w:hAnsi="Cambria Math" w:cs="Times New Roman"/>
          </w:rPr>
          <m:t>=A×</m:t>
        </m:r>
        <m:sSup>
          <m:sSupPr>
            <m:ctrlPr>
              <w:rPr>
                <w:rFonts w:ascii="Cambria Math" w:hAnsi="Cambria Math" w:cs="Times New Roman"/>
              </w:rPr>
            </m:ctrlPr>
          </m:sSupPr>
          <m:e>
            <m:r>
              <w:rPr>
                <w:rFonts w:ascii="Cambria Math" w:hAnsi="Cambria Math" w:cs="Times New Roman"/>
              </w:rPr>
              <m:t>e</m:t>
            </m:r>
          </m:e>
          <m:sup>
            <m:sSup>
              <m:sSupPr>
                <m:ctrlPr>
                  <w:rPr>
                    <w:rFonts w:ascii="Cambria Math" w:hAnsi="Cambria Math" w:cs="Times New Roman"/>
                  </w:rPr>
                </m:ctrlPr>
              </m:sSupPr>
              <m:e>
                <m:r>
                  <w:rPr>
                    <w:rFonts w:ascii="Cambria Math" w:hAnsi="Cambria Math" w:cs="Times New Roman"/>
                  </w:rPr>
                  <m:t>-e</m:t>
                </m:r>
              </m:e>
              <m:sup>
                <m:f>
                  <m:fPr>
                    <m:ctrlPr>
                      <w:rPr>
                        <w:rFonts w:ascii="Cambria Math" w:hAnsi="Cambria Math" w:cs="Times New Roman"/>
                      </w:rPr>
                    </m:ctrlPr>
                  </m:fPr>
                  <m:num>
                    <m:r>
                      <w:rPr>
                        <w:rFonts w:ascii="Cambria Math" w:hAnsi="Cambria Math" w:cs="Times New Roman"/>
                      </w:rPr>
                      <m:t>μ×e</m:t>
                    </m:r>
                  </m:num>
                  <m:den>
                    <m:r>
                      <w:rPr>
                        <w:rFonts w:ascii="Cambria Math" w:hAnsi="Cambria Math" w:cs="Times New Roman"/>
                      </w:rPr>
                      <m:t>A</m:t>
                    </m:r>
                  </m:den>
                </m:f>
                <m:d>
                  <m:dPr>
                    <m:ctrlPr>
                      <w:rPr>
                        <w:rFonts w:ascii="Cambria Math" w:hAnsi="Cambria Math" w:cs="Times New Roman"/>
                      </w:rPr>
                    </m:ctrlPr>
                  </m:dPr>
                  <m:e>
                    <m:r>
                      <w:rPr>
                        <w:rFonts w:ascii="Cambria Math" w:hAnsi="Cambria Math" w:cs="Times New Roman"/>
                      </w:rPr>
                      <m:t>λ-b</m:t>
                    </m:r>
                  </m:e>
                </m:d>
                <m:r>
                  <w:rPr>
                    <w:rFonts w:ascii="Cambria Math" w:hAnsi="Cambria Math" w:cs="Times New Roman"/>
                  </w:rPr>
                  <m:t>+1</m:t>
                </m:r>
              </m:sup>
            </m:sSup>
          </m:sup>
        </m:sSup>
      </m:oMath>
      <w:r w:rsidR="00365526" w:rsidRPr="00F23F20">
        <w:rPr>
          <w:rFonts w:ascii="Times New Roman" w:hAnsi="Times New Roman" w:cs="Times New Roman"/>
          <w:bCs/>
        </w:rPr>
        <w:tab/>
      </w:r>
      <w:r w:rsidR="00365526" w:rsidRPr="00F23F20">
        <w:rPr>
          <w:rFonts w:ascii="Times New Roman" w:hAnsi="Times New Roman" w:cs="Times New Roman"/>
          <w:bCs/>
        </w:rPr>
        <w:tab/>
      </w:r>
      <w:r w:rsidR="00365526" w:rsidRPr="00F23F20">
        <w:rPr>
          <w:rFonts w:ascii="Times New Roman" w:hAnsi="Times New Roman" w:cs="Times New Roman"/>
          <w:bCs/>
        </w:rPr>
        <w:tab/>
        <w:t xml:space="preserve">     </w:t>
      </w:r>
      <w:r w:rsidR="00365526" w:rsidRPr="00F23F20">
        <w:rPr>
          <w:rFonts w:ascii="Times New Roman" w:hAnsi="Times New Roman" w:cs="Times New Roman"/>
          <w:bCs/>
        </w:rPr>
        <w:tab/>
      </w:r>
      <w:r w:rsidR="00365526" w:rsidRPr="00F23F20">
        <w:rPr>
          <w:rFonts w:ascii="Times New Roman" w:hAnsi="Times New Roman" w:cs="Times New Roman"/>
          <w:bCs/>
        </w:rPr>
        <w:tab/>
        <w:t xml:space="preserve"> </w:t>
      </w:r>
      <w:r w:rsidR="00365526" w:rsidRPr="00F23F20">
        <w:rPr>
          <w:rFonts w:ascii="Times New Roman" w:hAnsi="Times New Roman" w:cs="Times New Roman"/>
          <w:bCs/>
        </w:rPr>
        <w:tab/>
      </w:r>
      <w:r w:rsidR="00365526" w:rsidRPr="00F23F20">
        <w:rPr>
          <w:rFonts w:ascii="Times New Roman" w:hAnsi="Times New Roman" w:cs="Times New Roman"/>
          <w:bCs/>
        </w:rPr>
        <w:tab/>
        <w:t xml:space="preserve">   (2.12</w:t>
      </w:r>
    </w:p>
    <w:p w14:paraId="2B88EB61" w14:textId="77777777" w:rsidR="00365526" w:rsidRPr="00F23F20" w:rsidRDefault="00365526" w:rsidP="00365526">
      <w:pPr>
        <w:pStyle w:val="Standard"/>
        <w:spacing w:line="480" w:lineRule="auto"/>
        <w:rPr>
          <w:rFonts w:ascii="Times New Roman" w:hAnsi="Times New Roman" w:cs="Times New Roman"/>
        </w:rPr>
      </w:pPr>
      <w:r w:rsidRPr="00F23F20">
        <w:rPr>
          <w:rFonts w:ascii="Times New Roman" w:hAnsi="Times New Roman" w:cs="Times New Roman"/>
          <w:bCs/>
        </w:rPr>
        <w:t xml:space="preserve">where </w:t>
      </w:r>
      <w:r w:rsidRPr="00F23F20">
        <w:rPr>
          <w:rFonts w:ascii="Times New Roman" w:hAnsi="Times New Roman" w:cs="Times New Roman"/>
          <w:bCs/>
          <w:i/>
        </w:rPr>
        <w:t>A</w:t>
      </w:r>
      <w:r w:rsidRPr="00F23F20">
        <w:rPr>
          <w:rFonts w:ascii="Times New Roman" w:hAnsi="Times New Roman" w:cs="Times New Roman"/>
          <w:bCs/>
        </w:rPr>
        <w:t xml:space="preserve">, </w:t>
      </w:r>
      <w:r w:rsidRPr="00F23F20">
        <w:rPr>
          <w:rFonts w:ascii="Times New Roman" w:hAnsi="Times New Roman" w:cs="Times New Roman"/>
          <w:bCs/>
          <w:i/>
        </w:rPr>
        <w:t>µ</w:t>
      </w:r>
      <w:r w:rsidRPr="00F23F20">
        <w:rPr>
          <w:rFonts w:ascii="Times New Roman" w:hAnsi="Times New Roman" w:cs="Times New Roman"/>
          <w:bCs/>
        </w:rPr>
        <w:t xml:space="preserve">, and </w:t>
      </w:r>
      <w:r w:rsidRPr="00F23F20">
        <w:rPr>
          <w:rFonts w:ascii="Times New Roman" w:hAnsi="Times New Roman" w:cs="Times New Roman"/>
          <w:bCs/>
          <w:i/>
        </w:rPr>
        <w:t>λ</w:t>
      </w:r>
      <w:r w:rsidRPr="00F23F20">
        <w:rPr>
          <w:rFonts w:ascii="Times New Roman" w:hAnsi="Times New Roman" w:cs="Times New Roman"/>
          <w:bCs/>
        </w:rPr>
        <w:t xml:space="preserve"> are fit coefficients and </w:t>
      </w:r>
      <w:r w:rsidRPr="00F23F20">
        <w:rPr>
          <w:rFonts w:ascii="Times New Roman" w:hAnsi="Times New Roman" w:cs="Times New Roman"/>
          <w:bCs/>
          <w:i/>
        </w:rPr>
        <w:t>b</w:t>
      </w:r>
      <w:r w:rsidRPr="00F23F20">
        <w:rPr>
          <w:rFonts w:ascii="Times New Roman" w:hAnsi="Times New Roman" w:cs="Times New Roman"/>
          <w:bCs/>
        </w:rPr>
        <w:t xml:space="preserve"> is high-quality bases (</w:t>
      </w:r>
      <w:proofErr w:type="spellStart"/>
      <w:r w:rsidRPr="00F23F20">
        <w:rPr>
          <w:rFonts w:ascii="Times New Roman" w:hAnsi="Times New Roman" w:cs="Times New Roman"/>
          <w:bCs/>
        </w:rPr>
        <w:t>Gbp</w:t>
      </w:r>
      <w:proofErr w:type="spellEnd"/>
      <w:r w:rsidRPr="00F23F20">
        <w:rPr>
          <w:rFonts w:ascii="Times New Roman" w:hAnsi="Times New Roman" w:cs="Times New Roman"/>
          <w:bCs/>
        </w:rPr>
        <w:t xml:space="preserve">). MAG yield could be defined as: </w:t>
      </w:r>
    </w:p>
    <w:p w14:paraId="3EBABE42" w14:textId="77777777" w:rsidR="00365526" w:rsidRPr="00F23F20" w:rsidRDefault="00365526" w:rsidP="00365526">
      <w:pPr>
        <w:pStyle w:val="Standard"/>
        <w:spacing w:line="480" w:lineRule="auto"/>
        <w:rPr>
          <w:rFonts w:ascii="Times New Roman" w:hAnsi="Times New Roman" w:cs="Times New Roman"/>
        </w:rPr>
      </w:pPr>
      <m:oMath>
        <m:r>
          <w:rPr>
            <w:rFonts w:ascii="Cambria Math" w:hAnsi="Cambria Math" w:cs="Times New Roman"/>
          </w:rPr>
          <m:t>MAG Yield=</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MQ</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HQ</m:t>
                </m:r>
              </m:sub>
            </m:sSub>
          </m:num>
          <m:den>
            <m:r>
              <w:rPr>
                <w:rFonts w:ascii="Cambria Math" w:hAnsi="Cambria Math" w:cs="Times New Roman"/>
              </w:rPr>
              <m:t>A</m:t>
            </m:r>
          </m:den>
        </m:f>
      </m:oMath>
      <w:r w:rsidRPr="00F23F20">
        <w:rPr>
          <w:rFonts w:ascii="Times New Roman" w:hAnsi="Times New Roman" w:cs="Times New Roman"/>
          <w:bCs/>
        </w:rPr>
        <w:tab/>
      </w:r>
      <w:r w:rsidRPr="00F23F20">
        <w:rPr>
          <w:rFonts w:ascii="Times New Roman" w:hAnsi="Times New Roman" w:cs="Times New Roman"/>
          <w:bCs/>
        </w:rPr>
        <w:tab/>
      </w:r>
      <w:r w:rsidRPr="00F23F20">
        <w:rPr>
          <w:rFonts w:ascii="Times New Roman" w:hAnsi="Times New Roman" w:cs="Times New Roman"/>
          <w:bCs/>
        </w:rPr>
        <w:tab/>
      </w:r>
      <w:r w:rsidRPr="00F23F20">
        <w:rPr>
          <w:rFonts w:ascii="Times New Roman" w:hAnsi="Times New Roman" w:cs="Times New Roman"/>
          <w:bCs/>
        </w:rPr>
        <w:tab/>
      </w:r>
      <w:r w:rsidRPr="00F23F20">
        <w:rPr>
          <w:rFonts w:ascii="Times New Roman" w:hAnsi="Times New Roman" w:cs="Times New Roman"/>
          <w:bCs/>
        </w:rPr>
        <w:tab/>
      </w:r>
      <w:r w:rsidRPr="00F23F20">
        <w:rPr>
          <w:rFonts w:ascii="Times New Roman" w:hAnsi="Times New Roman" w:cs="Times New Roman"/>
          <w:bCs/>
        </w:rPr>
        <w:tab/>
      </w:r>
      <w:r w:rsidRPr="00F23F20">
        <w:rPr>
          <w:rFonts w:ascii="Times New Roman" w:hAnsi="Times New Roman" w:cs="Times New Roman"/>
          <w:bCs/>
        </w:rPr>
        <w:tab/>
      </w:r>
      <w:r w:rsidRPr="00F23F20">
        <w:rPr>
          <w:rFonts w:ascii="Times New Roman" w:hAnsi="Times New Roman" w:cs="Times New Roman"/>
          <w:bCs/>
        </w:rPr>
        <w:tab/>
        <w:t xml:space="preserve">   (2.13</w:t>
      </w:r>
    </w:p>
    <w:p w14:paraId="1D21C88A" w14:textId="556BFBAE" w:rsidR="00365526" w:rsidRPr="00F23F20" w:rsidRDefault="00365526" w:rsidP="00365526">
      <w:pPr>
        <w:pStyle w:val="Standard"/>
        <w:spacing w:line="480" w:lineRule="auto"/>
        <w:rPr>
          <w:rFonts w:ascii="Times New Roman" w:hAnsi="Times New Roman" w:cs="Times New Roman"/>
        </w:rPr>
      </w:pPr>
      <w:r w:rsidRPr="00F23F20">
        <w:rPr>
          <w:rFonts w:ascii="Times New Roman" w:hAnsi="Times New Roman" w:cs="Times New Roman"/>
          <w:bCs/>
        </w:rPr>
        <w:t xml:space="preserve">where </w:t>
      </w: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eq,max</m:t>
            </m:r>
          </m:sub>
        </m:sSub>
      </m:oMath>
      <w:r w:rsidRPr="00F23F20">
        <w:rPr>
          <w:rFonts w:ascii="Times New Roman" w:hAnsi="Times New Roman" w:cs="Times New Roman"/>
        </w:rPr>
        <w:t>n</w:t>
      </w:r>
      <w:r w:rsidRPr="00F23F20">
        <w:rPr>
          <w:rFonts w:ascii="Times New Roman" w:hAnsi="Times New Roman" w:cs="Times New Roman"/>
          <w:vertAlign w:val="subscript"/>
        </w:rPr>
        <w:t>MQ</w:t>
      </w:r>
      <w:r w:rsidRPr="00F23F20">
        <w:rPr>
          <w:rFonts w:ascii="Times New Roman" w:hAnsi="Times New Roman" w:cs="Times New Roman"/>
        </w:rPr>
        <w:t xml:space="preserve"> </w:t>
      </w:r>
      <w:r w:rsidRPr="00F23F20">
        <w:rPr>
          <w:rFonts w:ascii="Times New Roman" w:hAnsi="Times New Roman" w:cs="Times New Roman"/>
          <w:bCs/>
        </w:rPr>
        <w:t xml:space="preserve">is </w:t>
      </w:r>
      <w:r w:rsidRPr="00F23F20">
        <w:rPr>
          <w:rFonts w:ascii="Times New Roman" w:hAnsi="Times New Roman" w:cs="Times New Roman"/>
        </w:rPr>
        <w:t xml:space="preserve">the total medium quality MAGs derived from the subsampling experiment, </w:t>
      </w:r>
      <w:proofErr w:type="spellStart"/>
      <w:r w:rsidRPr="00F23F20">
        <w:rPr>
          <w:rFonts w:ascii="Times New Roman" w:hAnsi="Times New Roman" w:cs="Times New Roman"/>
        </w:rPr>
        <w:t>n</w:t>
      </w:r>
      <w:r w:rsidRPr="00F23F20">
        <w:rPr>
          <w:rFonts w:ascii="Times New Roman" w:hAnsi="Times New Roman" w:cs="Times New Roman"/>
          <w:vertAlign w:val="subscript"/>
        </w:rPr>
        <w:t>HQ</w:t>
      </w:r>
      <w:proofErr w:type="spellEnd"/>
      <w:r w:rsidRPr="00F23F20">
        <w:rPr>
          <w:rFonts w:ascii="Times New Roman" w:hAnsi="Times New Roman" w:cs="Times New Roman"/>
        </w:rPr>
        <w:t xml:space="preserve"> is the total </w:t>
      </w:r>
      <w:r w:rsidR="0047528E" w:rsidRPr="00F23F20">
        <w:rPr>
          <w:rFonts w:ascii="Times New Roman" w:hAnsi="Times New Roman" w:cs="Times New Roman"/>
        </w:rPr>
        <w:t>high-quality</w:t>
      </w:r>
      <w:r w:rsidRPr="00F23F20">
        <w:rPr>
          <w:rFonts w:ascii="Times New Roman" w:hAnsi="Times New Roman" w:cs="Times New Roman"/>
        </w:rPr>
        <w:t xml:space="preserve"> MAGs </w:t>
      </w:r>
      <w:bookmarkStart w:id="216" w:name="__DdeLink__5551_2362280495"/>
      <w:r w:rsidRPr="00F23F20">
        <w:rPr>
          <w:rFonts w:ascii="Times New Roman" w:hAnsi="Times New Roman" w:cs="Times New Roman"/>
        </w:rPr>
        <w:t>derived from the subsampling experiment</w:t>
      </w:r>
      <w:bookmarkEnd w:id="216"/>
      <w:r w:rsidRPr="00F23F20">
        <w:rPr>
          <w:rFonts w:ascii="Times New Roman" w:hAnsi="Times New Roman" w:cs="Times New Roman"/>
        </w:rPr>
        <w:t xml:space="preserve">, and </w:t>
      </w:r>
      <w:r w:rsidRPr="00F23F20">
        <w:rPr>
          <w:rFonts w:ascii="Times New Roman" w:hAnsi="Times New Roman" w:cs="Times New Roman"/>
          <w:i/>
        </w:rPr>
        <w:t xml:space="preserve">A </w:t>
      </w:r>
      <w:r w:rsidRPr="00F23F20">
        <w:rPr>
          <w:rFonts w:ascii="Times New Roman" w:hAnsi="Times New Roman" w:cs="Times New Roman"/>
        </w:rPr>
        <w:t>is from equation 2.12.</w:t>
      </w:r>
    </w:p>
    <w:p w14:paraId="34171273" w14:textId="77777777" w:rsidR="00365526" w:rsidRPr="00F23F20" w:rsidRDefault="00365526" w:rsidP="00365526">
      <w:pPr>
        <w:pStyle w:val="Heading3"/>
      </w:pPr>
      <w:bookmarkStart w:id="217" w:name="_Hlk12212670"/>
      <w:bookmarkStart w:id="218" w:name="_Toc41908105"/>
      <w:bookmarkEnd w:id="217"/>
      <w:r w:rsidRPr="00F23F20">
        <w:t>Relating MAG Response to the Theoretical Sequencing Model</w:t>
      </w:r>
      <w:bookmarkEnd w:id="218"/>
    </w:p>
    <w:p w14:paraId="742BA815" w14:textId="77777777" w:rsidR="00365526" w:rsidRPr="00F23F20" w:rsidRDefault="00365526" w:rsidP="00365526">
      <w:pPr>
        <w:spacing w:line="480" w:lineRule="auto"/>
        <w:ind w:firstLine="720"/>
        <w:rPr>
          <w:rFonts w:ascii="Times New Roman" w:hAnsi="Times New Roman" w:cs="Times New Roman"/>
        </w:rPr>
      </w:pPr>
      <w:bookmarkStart w:id="219" w:name="_Hlk12212659"/>
      <w:bookmarkStart w:id="220" w:name="_Hlk122126701"/>
      <w:bookmarkEnd w:id="219"/>
      <w:bookmarkEnd w:id="220"/>
      <w:r w:rsidRPr="00F23F20">
        <w:rPr>
          <w:rFonts w:ascii="Times New Roman" w:hAnsi="Times New Roman" w:cs="Times New Roman"/>
        </w:rPr>
        <w:t xml:space="preserve">Sequencing effort (in base pairs) used for predicting quality MAGs for the sequence read datasets maize soil, an estuarine sediment, the surface ocean, and the human gut, were related to a genome relative abundance utilizing the GAM presented in the previous section. This was accomplished by setting a constant genome size and target fraction (0.5) and performing a linear regression between genome relative abundance (a </w:t>
      </w:r>
      <w:r w:rsidRPr="00F23F20">
        <w:rPr>
          <w:rFonts w:ascii="Times New Roman" w:hAnsi="Times New Roman" w:cs="Times New Roman"/>
        </w:rPr>
        <w:lastRenderedPageBreak/>
        <w:t xml:space="preserve">genome’s fraction of a community) and log-transformed base pairs. The linear regression was performed with genome sizes of 1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5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and 20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w:t>
      </w:r>
      <w:proofErr w:type="spellStart"/>
      <w:r w:rsidRPr="00F23F20">
        <w:rPr>
          <w:rFonts w:ascii="Times New Roman" w:hAnsi="Times New Roman" w:cs="Times New Roman"/>
        </w:rPr>
        <w:t>Qaulity</w:t>
      </w:r>
      <w:proofErr w:type="spellEnd"/>
      <w:r w:rsidRPr="00F23F20">
        <w:rPr>
          <w:rFonts w:ascii="Times New Roman" w:hAnsi="Times New Roman" w:cs="Times New Roman"/>
        </w:rPr>
        <w:t xml:space="preserve"> MAGs were predicted as a function of genome relative abundance sequenced to a target fraction of 0.5.</w:t>
      </w:r>
    </w:p>
    <w:p w14:paraId="49DC1375" w14:textId="77777777"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rPr>
        <w:br w:type="page"/>
      </w:r>
    </w:p>
    <w:p w14:paraId="1BA71079" w14:textId="77777777" w:rsidR="00365526" w:rsidRPr="00F23F20" w:rsidRDefault="00365526" w:rsidP="00365526">
      <w:pPr>
        <w:pStyle w:val="Heading2"/>
      </w:pPr>
      <w:bookmarkStart w:id="221" w:name="_Toc41908106"/>
      <w:r w:rsidRPr="00F23F20">
        <w:lastRenderedPageBreak/>
        <w:t>Appendix Two</w:t>
      </w:r>
      <w:bookmarkEnd w:id="221"/>
    </w:p>
    <w:p w14:paraId="732FAB46" w14:textId="77777777" w:rsidR="00365526" w:rsidRPr="00F23F20" w:rsidRDefault="00365526" w:rsidP="00365526">
      <w:pPr>
        <w:rPr>
          <w:rFonts w:ascii="Times New Roman" w:hAnsi="Times New Roman" w:cs="Times New Roman"/>
        </w:rPr>
      </w:pPr>
      <w:r w:rsidRPr="00F23F20">
        <w:rPr>
          <w:rFonts w:ascii="Times New Roman" w:hAnsi="Times New Roman" w:cs="Times New Roman"/>
        </w:rPr>
        <w:br w:type="page"/>
      </w:r>
    </w:p>
    <w:p w14:paraId="1EFDFB7B" w14:textId="77777777" w:rsidR="00A22E51" w:rsidRPr="00F23F20" w:rsidRDefault="00A22E51" w:rsidP="00A22E51">
      <w:pPr>
        <w:pStyle w:val="Heading3"/>
      </w:pPr>
      <w:bookmarkStart w:id="222" w:name="_Toc41908107"/>
      <w:r w:rsidRPr="00F23F20">
        <w:lastRenderedPageBreak/>
        <w:t>Tables</w:t>
      </w:r>
      <w:bookmarkEnd w:id="222"/>
    </w:p>
    <w:p w14:paraId="10A572A8" w14:textId="77777777" w:rsidR="00A22E51" w:rsidRPr="00F23F20" w:rsidRDefault="00A22E51" w:rsidP="00A22E51">
      <w:pPr>
        <w:widowControl w:val="0"/>
        <w:pBdr>
          <w:top w:val="nil"/>
          <w:left w:val="nil"/>
          <w:bottom w:val="nil"/>
          <w:right w:val="nil"/>
          <w:between w:val="nil"/>
        </w:pBdr>
        <w:spacing w:line="480" w:lineRule="auto"/>
        <w:rPr>
          <w:rFonts w:ascii="Times New Roman" w:hAnsi="Times New Roman" w:cs="Times New Roman"/>
          <w:color w:val="000000"/>
        </w:rPr>
      </w:pPr>
      <w:r w:rsidRPr="00F23F20">
        <w:rPr>
          <w:rFonts w:ascii="Times New Roman" w:hAnsi="Times New Roman" w:cs="Times New Roman"/>
          <w:b/>
          <w:color w:val="000000"/>
        </w:rPr>
        <w:t xml:space="preserve">Table 2.1. </w:t>
      </w:r>
      <w:r w:rsidRPr="00F23F20">
        <w:rPr>
          <w:rFonts w:ascii="Times New Roman" w:hAnsi="Times New Roman" w:cs="Times New Roman"/>
          <w:color w:val="000000"/>
        </w:rPr>
        <w:t xml:space="preserve">Estimates of fit coefficients for the </w:t>
      </w:r>
      <w:proofErr w:type="spellStart"/>
      <w:r w:rsidRPr="00F23F20">
        <w:rPr>
          <w:rFonts w:ascii="Times New Roman" w:hAnsi="Times New Roman" w:cs="Times New Roman"/>
          <w:color w:val="000000"/>
        </w:rPr>
        <w:t>Gompertz</w:t>
      </w:r>
      <w:proofErr w:type="spellEnd"/>
      <w:r w:rsidRPr="00F23F20">
        <w:rPr>
          <w:rFonts w:ascii="Times New Roman" w:hAnsi="Times New Roman" w:cs="Times New Roman"/>
          <w:color w:val="000000"/>
        </w:rPr>
        <w:t xml:space="preserve"> equation (equation 2.12) for the sum of high-quality and medium-quality MAGs as a function of sequencing depth in</w:t>
      </w:r>
    </w:p>
    <w:p w14:paraId="362C49C2" w14:textId="77777777" w:rsidR="00A22E51" w:rsidRPr="00F23F20" w:rsidRDefault="00A22E51" w:rsidP="00A22E51">
      <w:pPr>
        <w:widowControl w:val="0"/>
        <w:pBdr>
          <w:top w:val="nil"/>
          <w:left w:val="nil"/>
          <w:bottom w:val="nil"/>
          <w:right w:val="nil"/>
          <w:between w:val="nil"/>
        </w:pBdr>
        <w:spacing w:line="480" w:lineRule="auto"/>
        <w:rPr>
          <w:rFonts w:ascii="Times New Roman" w:hAnsi="Times New Roman" w:cs="Times New Roman"/>
          <w:color w:val="000000"/>
        </w:rPr>
      </w:pPr>
      <w:r w:rsidRPr="00F23F20">
        <w:rPr>
          <w:rFonts w:ascii="Times New Roman" w:hAnsi="Times New Roman" w:cs="Times New Roman"/>
          <w:color w:val="000000"/>
        </w:rPr>
        <w:t>published data sets from ocean surface water, estuarine sediment, maize soil, and the</w:t>
      </w:r>
    </w:p>
    <w:p w14:paraId="5C167031" w14:textId="77777777" w:rsidR="00A22E51" w:rsidRPr="00F23F20" w:rsidRDefault="00A22E51" w:rsidP="00A22E51">
      <w:pPr>
        <w:widowControl w:val="0"/>
        <w:pBdr>
          <w:top w:val="nil"/>
          <w:left w:val="nil"/>
          <w:bottom w:val="nil"/>
          <w:right w:val="nil"/>
          <w:between w:val="nil"/>
        </w:pBdr>
        <w:spacing w:line="480" w:lineRule="auto"/>
        <w:rPr>
          <w:rFonts w:ascii="Times New Roman" w:hAnsi="Times New Roman" w:cs="Times New Roman"/>
          <w:color w:val="000000"/>
        </w:rPr>
      </w:pPr>
      <w:r w:rsidRPr="00F23F20">
        <w:rPr>
          <w:rFonts w:ascii="Times New Roman" w:hAnsi="Times New Roman" w:cs="Times New Roman"/>
          <w:color w:val="000000"/>
        </w:rPr>
        <w:t>human gut</w:t>
      </w:r>
      <w:r w:rsidRPr="00F23F20">
        <w:rPr>
          <w:rFonts w:ascii="Times New Roman" w:hAnsi="Times New Roman" w:cs="Times New Roman"/>
          <w:color w:val="000000"/>
          <w:vertAlign w:val="superscript"/>
        </w:rPr>
        <w:t>*</w:t>
      </w:r>
      <w:r w:rsidRPr="00F23F20">
        <w:rPr>
          <w:rFonts w:ascii="Times New Roman" w:hAnsi="Times New Roman" w:cs="Times New Roman"/>
          <w:color w:val="000000"/>
        </w:rPr>
        <w:t>.</w:t>
      </w:r>
    </w:p>
    <w:tbl>
      <w:tblPr>
        <w:tblW w:w="7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0"/>
        <w:gridCol w:w="1440"/>
        <w:gridCol w:w="1350"/>
        <w:gridCol w:w="1350"/>
        <w:gridCol w:w="900"/>
      </w:tblGrid>
      <w:tr w:rsidR="00A22E51" w:rsidRPr="00F23F20" w14:paraId="1AF3A6D7" w14:textId="77777777" w:rsidTr="00E14F7B">
        <w:trPr>
          <w:trHeight w:val="460"/>
        </w:trPr>
        <w:tc>
          <w:tcPr>
            <w:tcW w:w="2610" w:type="dxa"/>
            <w:tcBorders>
              <w:top w:val="single" w:sz="24" w:space="0" w:color="000000"/>
              <w:left w:val="nil"/>
              <w:bottom w:val="single" w:sz="24" w:space="0" w:color="000000"/>
              <w:right w:val="nil"/>
            </w:tcBorders>
            <w:vAlign w:val="center"/>
          </w:tcPr>
          <w:p w14:paraId="63DAE409"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Environment</w:t>
            </w:r>
          </w:p>
        </w:tc>
        <w:tc>
          <w:tcPr>
            <w:tcW w:w="1440" w:type="dxa"/>
            <w:tcBorders>
              <w:top w:val="single" w:sz="24" w:space="0" w:color="000000"/>
              <w:left w:val="nil"/>
              <w:bottom w:val="single" w:sz="24" w:space="0" w:color="000000"/>
              <w:right w:val="nil"/>
            </w:tcBorders>
            <w:vAlign w:val="center"/>
          </w:tcPr>
          <w:p w14:paraId="5F6B1E1C"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i/>
                <w:color w:val="000000"/>
              </w:rPr>
              <w:t>A</w:t>
            </w:r>
            <w:r w:rsidRPr="00F23F20">
              <w:rPr>
                <w:rFonts w:ascii="Times New Roman" w:hAnsi="Times New Roman" w:cs="Times New Roman"/>
                <w:color w:val="000000"/>
              </w:rPr>
              <w:t xml:space="preserve"> (±SE)</w:t>
            </w:r>
          </w:p>
        </w:tc>
        <w:tc>
          <w:tcPr>
            <w:tcW w:w="1350" w:type="dxa"/>
            <w:tcBorders>
              <w:top w:val="single" w:sz="24" w:space="0" w:color="000000"/>
              <w:left w:val="nil"/>
              <w:bottom w:val="single" w:sz="24" w:space="0" w:color="000000"/>
              <w:right w:val="nil"/>
            </w:tcBorders>
            <w:vAlign w:val="center"/>
          </w:tcPr>
          <w:p w14:paraId="2B6F0724"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i/>
                <w:color w:val="000000"/>
              </w:rPr>
              <w:t>µ</w:t>
            </w:r>
            <w:r w:rsidRPr="00F23F20">
              <w:rPr>
                <w:rFonts w:ascii="Times New Roman" w:hAnsi="Times New Roman" w:cs="Times New Roman"/>
                <w:color w:val="000000"/>
              </w:rPr>
              <w:t xml:space="preserve"> (±SE)</w:t>
            </w:r>
          </w:p>
        </w:tc>
        <w:tc>
          <w:tcPr>
            <w:tcW w:w="1350" w:type="dxa"/>
            <w:tcBorders>
              <w:top w:val="single" w:sz="24" w:space="0" w:color="000000"/>
              <w:left w:val="nil"/>
              <w:bottom w:val="single" w:sz="24" w:space="0" w:color="000000"/>
              <w:right w:val="nil"/>
            </w:tcBorders>
            <w:vAlign w:val="center"/>
          </w:tcPr>
          <w:p w14:paraId="5D71CA4A"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i/>
                <w:color w:val="000000"/>
              </w:rPr>
              <w:t>λ</w:t>
            </w:r>
            <w:r w:rsidRPr="00F23F20">
              <w:rPr>
                <w:rFonts w:ascii="Times New Roman" w:hAnsi="Times New Roman" w:cs="Times New Roman"/>
                <w:color w:val="000000"/>
              </w:rPr>
              <w:t xml:space="preserve"> (±SE)</w:t>
            </w:r>
          </w:p>
        </w:tc>
        <w:tc>
          <w:tcPr>
            <w:tcW w:w="900" w:type="dxa"/>
            <w:tcBorders>
              <w:top w:val="single" w:sz="24" w:space="0" w:color="000000"/>
              <w:left w:val="nil"/>
              <w:bottom w:val="single" w:sz="24" w:space="0" w:color="000000"/>
              <w:right w:val="nil"/>
            </w:tcBorders>
            <w:vAlign w:val="center"/>
          </w:tcPr>
          <w:p w14:paraId="716A6D65"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Yield</w:t>
            </w:r>
          </w:p>
        </w:tc>
      </w:tr>
      <w:tr w:rsidR="00A22E51" w:rsidRPr="00F23F20" w14:paraId="67490C04" w14:textId="77777777" w:rsidTr="00E14F7B">
        <w:tc>
          <w:tcPr>
            <w:tcW w:w="2610" w:type="dxa"/>
            <w:tcBorders>
              <w:top w:val="single" w:sz="24" w:space="0" w:color="000000"/>
              <w:left w:val="nil"/>
              <w:bottom w:val="nil"/>
              <w:right w:val="nil"/>
            </w:tcBorders>
            <w:vAlign w:val="center"/>
          </w:tcPr>
          <w:p w14:paraId="1054565B"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Ocean Surface Water</w:t>
            </w:r>
          </w:p>
        </w:tc>
        <w:tc>
          <w:tcPr>
            <w:tcW w:w="1440" w:type="dxa"/>
            <w:tcBorders>
              <w:top w:val="single" w:sz="24" w:space="0" w:color="000000"/>
              <w:left w:val="nil"/>
              <w:bottom w:val="nil"/>
              <w:right w:val="nil"/>
            </w:tcBorders>
            <w:vAlign w:val="center"/>
          </w:tcPr>
          <w:p w14:paraId="0E81A925"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97.67 (4.15)</w:t>
            </w:r>
          </w:p>
        </w:tc>
        <w:tc>
          <w:tcPr>
            <w:tcW w:w="1350" w:type="dxa"/>
            <w:tcBorders>
              <w:top w:val="single" w:sz="24" w:space="0" w:color="000000"/>
              <w:left w:val="nil"/>
              <w:bottom w:val="nil"/>
              <w:right w:val="nil"/>
            </w:tcBorders>
            <w:vAlign w:val="center"/>
          </w:tcPr>
          <w:p w14:paraId="1F4299E1"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highlight w:val="white"/>
              </w:rPr>
              <w:t>5.84 (0.31)</w:t>
            </w:r>
          </w:p>
        </w:tc>
        <w:tc>
          <w:tcPr>
            <w:tcW w:w="1350" w:type="dxa"/>
            <w:tcBorders>
              <w:top w:val="single" w:sz="24" w:space="0" w:color="000000"/>
              <w:left w:val="nil"/>
              <w:bottom w:val="nil"/>
              <w:right w:val="nil"/>
            </w:tcBorders>
            <w:vAlign w:val="center"/>
          </w:tcPr>
          <w:p w14:paraId="5916115F"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1.16 (0.33)</w:t>
            </w:r>
          </w:p>
        </w:tc>
        <w:tc>
          <w:tcPr>
            <w:tcW w:w="900" w:type="dxa"/>
            <w:tcBorders>
              <w:top w:val="single" w:sz="24" w:space="0" w:color="000000"/>
              <w:left w:val="nil"/>
              <w:bottom w:val="nil"/>
              <w:right w:val="nil"/>
            </w:tcBorders>
            <w:vAlign w:val="center"/>
          </w:tcPr>
          <w:p w14:paraId="3EA55209"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0.88</w:t>
            </w:r>
          </w:p>
        </w:tc>
      </w:tr>
      <w:tr w:rsidR="00A22E51" w:rsidRPr="00F23F20" w14:paraId="7A8E489B" w14:textId="77777777" w:rsidTr="00E14F7B">
        <w:tc>
          <w:tcPr>
            <w:tcW w:w="2610" w:type="dxa"/>
            <w:tcBorders>
              <w:top w:val="nil"/>
              <w:left w:val="nil"/>
              <w:bottom w:val="nil"/>
              <w:right w:val="nil"/>
            </w:tcBorders>
            <w:vAlign w:val="center"/>
          </w:tcPr>
          <w:p w14:paraId="785EF31B"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Estuary Sediment</w:t>
            </w:r>
          </w:p>
        </w:tc>
        <w:tc>
          <w:tcPr>
            <w:tcW w:w="1440" w:type="dxa"/>
            <w:tcBorders>
              <w:top w:val="nil"/>
              <w:left w:val="nil"/>
              <w:bottom w:val="nil"/>
              <w:right w:val="nil"/>
            </w:tcBorders>
            <w:vAlign w:val="center"/>
          </w:tcPr>
          <w:p w14:paraId="6DA14419"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26.25 (2.11)</w:t>
            </w:r>
          </w:p>
        </w:tc>
        <w:tc>
          <w:tcPr>
            <w:tcW w:w="1350" w:type="dxa"/>
            <w:tcBorders>
              <w:top w:val="nil"/>
              <w:left w:val="nil"/>
              <w:bottom w:val="nil"/>
              <w:right w:val="nil"/>
            </w:tcBorders>
            <w:vAlign w:val="center"/>
          </w:tcPr>
          <w:p w14:paraId="5EBE657F"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1.63 (0.06)</w:t>
            </w:r>
          </w:p>
        </w:tc>
        <w:tc>
          <w:tcPr>
            <w:tcW w:w="1350" w:type="dxa"/>
            <w:tcBorders>
              <w:top w:val="nil"/>
              <w:left w:val="nil"/>
              <w:bottom w:val="nil"/>
              <w:right w:val="nil"/>
            </w:tcBorders>
            <w:vAlign w:val="center"/>
          </w:tcPr>
          <w:p w14:paraId="4948A110"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3.70 (0.24)</w:t>
            </w:r>
          </w:p>
        </w:tc>
        <w:tc>
          <w:tcPr>
            <w:tcW w:w="900" w:type="dxa"/>
            <w:tcBorders>
              <w:top w:val="nil"/>
              <w:left w:val="nil"/>
              <w:bottom w:val="nil"/>
              <w:right w:val="nil"/>
            </w:tcBorders>
            <w:vAlign w:val="center"/>
          </w:tcPr>
          <w:p w14:paraId="0257BA2F"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0.86</w:t>
            </w:r>
          </w:p>
        </w:tc>
      </w:tr>
      <w:tr w:rsidR="00A22E51" w:rsidRPr="00F23F20" w14:paraId="7D58034A" w14:textId="77777777" w:rsidTr="00E14F7B">
        <w:tc>
          <w:tcPr>
            <w:tcW w:w="2610" w:type="dxa"/>
            <w:tcBorders>
              <w:top w:val="nil"/>
              <w:left w:val="nil"/>
              <w:bottom w:val="nil"/>
              <w:right w:val="nil"/>
            </w:tcBorders>
            <w:vAlign w:val="center"/>
          </w:tcPr>
          <w:p w14:paraId="3F84509B"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Maize Soil</w:t>
            </w:r>
          </w:p>
        </w:tc>
        <w:tc>
          <w:tcPr>
            <w:tcW w:w="1440" w:type="dxa"/>
            <w:tcBorders>
              <w:top w:val="nil"/>
              <w:left w:val="nil"/>
              <w:bottom w:val="nil"/>
              <w:right w:val="nil"/>
            </w:tcBorders>
            <w:vAlign w:val="center"/>
          </w:tcPr>
          <w:p w14:paraId="5215233F"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43.65 (1.98)</w:t>
            </w:r>
          </w:p>
        </w:tc>
        <w:tc>
          <w:tcPr>
            <w:tcW w:w="1350" w:type="dxa"/>
            <w:tcBorders>
              <w:top w:val="nil"/>
              <w:left w:val="nil"/>
              <w:bottom w:val="nil"/>
              <w:right w:val="nil"/>
            </w:tcBorders>
            <w:vAlign w:val="center"/>
          </w:tcPr>
          <w:p w14:paraId="0FF61908"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1.43 (0.07)</w:t>
            </w:r>
          </w:p>
        </w:tc>
        <w:tc>
          <w:tcPr>
            <w:tcW w:w="1350" w:type="dxa"/>
            <w:tcBorders>
              <w:top w:val="nil"/>
              <w:left w:val="nil"/>
              <w:bottom w:val="nil"/>
              <w:right w:val="nil"/>
            </w:tcBorders>
            <w:vAlign w:val="center"/>
          </w:tcPr>
          <w:p w14:paraId="6F2B0605"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6.13 (0.60)</w:t>
            </w:r>
          </w:p>
        </w:tc>
        <w:tc>
          <w:tcPr>
            <w:tcW w:w="900" w:type="dxa"/>
            <w:tcBorders>
              <w:top w:val="nil"/>
              <w:left w:val="nil"/>
              <w:bottom w:val="nil"/>
              <w:right w:val="nil"/>
            </w:tcBorders>
            <w:vAlign w:val="center"/>
          </w:tcPr>
          <w:p w14:paraId="6092DDE8"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0.70</w:t>
            </w:r>
          </w:p>
        </w:tc>
      </w:tr>
      <w:tr w:rsidR="00A22E51" w:rsidRPr="00F23F20" w14:paraId="7008B316" w14:textId="77777777" w:rsidTr="00E14F7B">
        <w:tc>
          <w:tcPr>
            <w:tcW w:w="2610" w:type="dxa"/>
            <w:tcBorders>
              <w:top w:val="nil"/>
              <w:left w:val="nil"/>
              <w:bottom w:val="single" w:sz="24" w:space="0" w:color="000000"/>
              <w:right w:val="nil"/>
            </w:tcBorders>
            <w:vAlign w:val="center"/>
          </w:tcPr>
          <w:p w14:paraId="3483314F"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Human Gut</w:t>
            </w:r>
          </w:p>
        </w:tc>
        <w:tc>
          <w:tcPr>
            <w:tcW w:w="1440" w:type="dxa"/>
            <w:tcBorders>
              <w:top w:val="nil"/>
              <w:left w:val="nil"/>
              <w:bottom w:val="single" w:sz="24" w:space="0" w:color="000000"/>
              <w:right w:val="nil"/>
            </w:tcBorders>
            <w:vAlign w:val="center"/>
          </w:tcPr>
          <w:p w14:paraId="28076E41"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17.49 (1.02)</w:t>
            </w:r>
          </w:p>
        </w:tc>
        <w:tc>
          <w:tcPr>
            <w:tcW w:w="1350" w:type="dxa"/>
            <w:tcBorders>
              <w:top w:val="nil"/>
              <w:left w:val="nil"/>
              <w:bottom w:val="single" w:sz="24" w:space="0" w:color="000000"/>
              <w:right w:val="nil"/>
            </w:tcBorders>
            <w:vAlign w:val="center"/>
          </w:tcPr>
          <w:p w14:paraId="401D8330"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5.01 (0.46)</w:t>
            </w:r>
          </w:p>
        </w:tc>
        <w:tc>
          <w:tcPr>
            <w:tcW w:w="1350" w:type="dxa"/>
            <w:tcBorders>
              <w:top w:val="nil"/>
              <w:left w:val="nil"/>
              <w:bottom w:val="single" w:sz="24" w:space="0" w:color="000000"/>
              <w:right w:val="nil"/>
            </w:tcBorders>
            <w:vAlign w:val="center"/>
          </w:tcPr>
          <w:p w14:paraId="473E9E88"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0.67 (0.14)</w:t>
            </w:r>
          </w:p>
        </w:tc>
        <w:tc>
          <w:tcPr>
            <w:tcW w:w="900" w:type="dxa"/>
            <w:tcBorders>
              <w:top w:val="nil"/>
              <w:left w:val="nil"/>
              <w:bottom w:val="single" w:sz="24" w:space="0" w:color="000000"/>
              <w:right w:val="nil"/>
            </w:tcBorders>
            <w:vAlign w:val="center"/>
          </w:tcPr>
          <w:p w14:paraId="485495EE"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0.90</w:t>
            </w:r>
          </w:p>
        </w:tc>
      </w:tr>
    </w:tbl>
    <w:p w14:paraId="18CB34DA" w14:textId="77777777" w:rsidR="00A22E51" w:rsidRPr="00F23F20" w:rsidRDefault="00A22E51" w:rsidP="00A22E51">
      <w:pPr>
        <w:widowControl w:val="0"/>
        <w:pBdr>
          <w:top w:val="nil"/>
          <w:left w:val="nil"/>
          <w:bottom w:val="nil"/>
          <w:right w:val="nil"/>
          <w:between w:val="nil"/>
        </w:pBdr>
        <w:spacing w:line="480" w:lineRule="auto"/>
        <w:rPr>
          <w:rFonts w:ascii="Times New Roman" w:hAnsi="Times New Roman" w:cs="Times New Roman"/>
          <w:color w:val="000000"/>
        </w:rPr>
      </w:pPr>
      <w:r w:rsidRPr="00F23F20">
        <w:rPr>
          <w:rFonts w:ascii="Times New Roman" w:hAnsi="Times New Roman" w:cs="Times New Roman"/>
          <w:color w:val="000000"/>
        </w:rPr>
        <w:t>*</w:t>
      </w:r>
      <w:r w:rsidRPr="00F23F20">
        <w:rPr>
          <w:rFonts w:ascii="Times New Roman" w:hAnsi="Times New Roman" w:cs="Times New Roman"/>
          <w:i/>
          <w:iCs/>
          <w:color w:val="000000"/>
        </w:rPr>
        <w:t>p</w:t>
      </w:r>
      <w:r w:rsidRPr="00F23F20">
        <w:rPr>
          <w:rFonts w:ascii="Times New Roman" w:hAnsi="Times New Roman" w:cs="Times New Roman"/>
          <w:color w:val="000000"/>
        </w:rPr>
        <w:t>-values for all coefficients were &lt;&lt;0.05 except for gut and ocean surface water values. Yield is defined in equation 2.13 as the number of medium- and high-quality MAGs relative to the number predicted at infinite sequencing depth</w:t>
      </w:r>
      <w:r w:rsidRPr="00F23F20">
        <w:rPr>
          <w:rFonts w:ascii="Times New Roman" w:hAnsi="Times New Roman" w:cs="Times New Roman"/>
          <w:color w:val="000000"/>
        </w:rPr>
        <w:br w:type="page"/>
      </w:r>
    </w:p>
    <w:p w14:paraId="46B74B5D" w14:textId="77777777" w:rsidR="00A22E51" w:rsidRPr="00F23F20" w:rsidRDefault="00A22E51" w:rsidP="00A22E51">
      <w:pPr>
        <w:widowControl w:val="0"/>
        <w:pBdr>
          <w:top w:val="nil"/>
          <w:left w:val="nil"/>
          <w:bottom w:val="nil"/>
          <w:right w:val="nil"/>
          <w:between w:val="nil"/>
        </w:pBdr>
        <w:spacing w:line="480" w:lineRule="auto"/>
        <w:rPr>
          <w:rFonts w:ascii="Times New Roman" w:hAnsi="Times New Roman" w:cs="Times New Roman"/>
          <w:color w:val="000000"/>
        </w:rPr>
      </w:pPr>
      <w:r w:rsidRPr="00F23F20">
        <w:rPr>
          <w:rFonts w:ascii="Times New Roman" w:hAnsi="Times New Roman" w:cs="Times New Roman"/>
          <w:b/>
          <w:color w:val="000000"/>
        </w:rPr>
        <w:lastRenderedPageBreak/>
        <w:t>Table 2.2</w:t>
      </w:r>
      <w:r w:rsidRPr="00F23F20">
        <w:rPr>
          <w:rFonts w:ascii="Times New Roman" w:hAnsi="Times New Roman" w:cs="Times New Roman"/>
          <w:color w:val="000000"/>
        </w:rPr>
        <w:t>. Summary of sequence datasets analyzed with the MAG pipeline.</w:t>
      </w:r>
    </w:p>
    <w:tbl>
      <w:tblPr>
        <w:tblW w:w="111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1530"/>
        <w:gridCol w:w="1440"/>
        <w:gridCol w:w="1530"/>
        <w:gridCol w:w="1710"/>
        <w:gridCol w:w="1620"/>
        <w:gridCol w:w="990"/>
      </w:tblGrid>
      <w:tr w:rsidR="00A22E51" w:rsidRPr="00F23F20" w14:paraId="0991AA9B" w14:textId="77777777" w:rsidTr="00E14F7B">
        <w:trPr>
          <w:trHeight w:val="460"/>
          <w:jc w:val="center"/>
        </w:trPr>
        <w:tc>
          <w:tcPr>
            <w:tcW w:w="2340" w:type="dxa"/>
            <w:tcBorders>
              <w:top w:val="single" w:sz="24" w:space="0" w:color="000000"/>
              <w:left w:val="nil"/>
              <w:bottom w:val="single" w:sz="24" w:space="0" w:color="000000"/>
              <w:right w:val="nil"/>
            </w:tcBorders>
            <w:vAlign w:val="center"/>
          </w:tcPr>
          <w:p w14:paraId="00D30329"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Environment</w:t>
            </w:r>
          </w:p>
        </w:tc>
        <w:tc>
          <w:tcPr>
            <w:tcW w:w="1530" w:type="dxa"/>
            <w:tcBorders>
              <w:top w:val="single" w:sz="24" w:space="0" w:color="000000"/>
              <w:left w:val="nil"/>
              <w:bottom w:val="single" w:sz="24" w:space="0" w:color="000000"/>
              <w:right w:val="nil"/>
            </w:tcBorders>
            <w:vAlign w:val="center"/>
          </w:tcPr>
          <w:p w14:paraId="3A2CDD3D"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NCBI SRA Accession</w:t>
            </w:r>
          </w:p>
        </w:tc>
        <w:tc>
          <w:tcPr>
            <w:tcW w:w="1440" w:type="dxa"/>
            <w:tcBorders>
              <w:top w:val="single" w:sz="24" w:space="0" w:color="000000"/>
              <w:left w:val="nil"/>
              <w:bottom w:val="single" w:sz="24" w:space="0" w:color="000000"/>
              <w:right w:val="nil"/>
            </w:tcBorders>
            <w:vAlign w:val="center"/>
          </w:tcPr>
          <w:p w14:paraId="6630407B"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Sequencing Platform</w:t>
            </w:r>
          </w:p>
        </w:tc>
        <w:tc>
          <w:tcPr>
            <w:tcW w:w="1530" w:type="dxa"/>
            <w:tcBorders>
              <w:top w:val="single" w:sz="24" w:space="0" w:color="000000"/>
              <w:left w:val="nil"/>
              <w:bottom w:val="single" w:sz="24" w:space="0" w:color="000000"/>
              <w:right w:val="nil"/>
            </w:tcBorders>
            <w:vAlign w:val="center"/>
          </w:tcPr>
          <w:p w14:paraId="64269363"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Total Reads*</w:t>
            </w:r>
          </w:p>
        </w:tc>
        <w:tc>
          <w:tcPr>
            <w:tcW w:w="1710" w:type="dxa"/>
            <w:tcBorders>
              <w:top w:val="single" w:sz="24" w:space="0" w:color="000000"/>
              <w:left w:val="nil"/>
              <w:bottom w:val="single" w:sz="24" w:space="0" w:color="000000"/>
              <w:right w:val="nil"/>
            </w:tcBorders>
            <w:vAlign w:val="center"/>
          </w:tcPr>
          <w:p w14:paraId="36F11B9A"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High Quality Bases*</w:t>
            </w:r>
          </w:p>
        </w:tc>
        <w:tc>
          <w:tcPr>
            <w:tcW w:w="1620" w:type="dxa"/>
            <w:tcBorders>
              <w:top w:val="single" w:sz="24" w:space="0" w:color="000000"/>
              <w:left w:val="nil"/>
              <w:bottom w:val="single" w:sz="24" w:space="0" w:color="000000"/>
              <w:right w:val="nil"/>
            </w:tcBorders>
            <w:vAlign w:val="center"/>
          </w:tcPr>
          <w:p w14:paraId="5ABCA63B"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General Notes</w:t>
            </w:r>
          </w:p>
        </w:tc>
        <w:tc>
          <w:tcPr>
            <w:tcW w:w="990" w:type="dxa"/>
            <w:tcBorders>
              <w:top w:val="single" w:sz="24" w:space="0" w:color="000000"/>
              <w:left w:val="nil"/>
              <w:bottom w:val="single" w:sz="24" w:space="0" w:color="000000"/>
              <w:right w:val="nil"/>
            </w:tcBorders>
            <w:vAlign w:val="center"/>
          </w:tcPr>
          <w:p w14:paraId="1242039F"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Citation</w:t>
            </w:r>
          </w:p>
        </w:tc>
      </w:tr>
      <w:tr w:rsidR="00A22E51" w:rsidRPr="00F23F20" w14:paraId="7C369AE6" w14:textId="77777777" w:rsidTr="00E14F7B">
        <w:trPr>
          <w:jc w:val="center"/>
        </w:trPr>
        <w:tc>
          <w:tcPr>
            <w:tcW w:w="2340" w:type="dxa"/>
            <w:tcBorders>
              <w:top w:val="single" w:sz="24" w:space="0" w:color="000000"/>
              <w:left w:val="nil"/>
              <w:bottom w:val="nil"/>
              <w:right w:val="nil"/>
            </w:tcBorders>
            <w:vAlign w:val="center"/>
          </w:tcPr>
          <w:p w14:paraId="344AA67F"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Ocean Surface Water</w:t>
            </w:r>
          </w:p>
        </w:tc>
        <w:tc>
          <w:tcPr>
            <w:tcW w:w="1530" w:type="dxa"/>
            <w:tcBorders>
              <w:top w:val="single" w:sz="24" w:space="0" w:color="000000"/>
              <w:left w:val="nil"/>
              <w:bottom w:val="nil"/>
              <w:right w:val="nil"/>
            </w:tcBorders>
            <w:vAlign w:val="center"/>
          </w:tcPr>
          <w:p w14:paraId="2EE213BB"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ERR599029</w:t>
            </w:r>
          </w:p>
        </w:tc>
        <w:tc>
          <w:tcPr>
            <w:tcW w:w="1440" w:type="dxa"/>
            <w:tcBorders>
              <w:top w:val="single" w:sz="24" w:space="0" w:color="000000"/>
              <w:left w:val="nil"/>
              <w:bottom w:val="nil"/>
              <w:right w:val="nil"/>
            </w:tcBorders>
            <w:vAlign w:val="center"/>
          </w:tcPr>
          <w:p w14:paraId="321BAC40"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highlight w:val="white"/>
              </w:rPr>
              <w:t xml:space="preserve">Illumina </w:t>
            </w:r>
            <w:proofErr w:type="spellStart"/>
            <w:r w:rsidRPr="00F23F20">
              <w:rPr>
                <w:rFonts w:ascii="Times New Roman" w:hAnsi="Times New Roman" w:cs="Times New Roman"/>
                <w:color w:val="000000"/>
                <w:highlight w:val="white"/>
              </w:rPr>
              <w:t>HiSeq</w:t>
            </w:r>
            <w:proofErr w:type="spellEnd"/>
            <w:r w:rsidRPr="00F23F20">
              <w:rPr>
                <w:rFonts w:ascii="Times New Roman" w:hAnsi="Times New Roman" w:cs="Times New Roman"/>
                <w:color w:val="000000"/>
                <w:highlight w:val="white"/>
              </w:rPr>
              <w:t xml:space="preserve"> 2000</w:t>
            </w:r>
          </w:p>
        </w:tc>
        <w:tc>
          <w:tcPr>
            <w:tcW w:w="1530" w:type="dxa"/>
            <w:tcBorders>
              <w:top w:val="single" w:sz="24" w:space="0" w:color="000000"/>
              <w:left w:val="nil"/>
              <w:bottom w:val="nil"/>
              <w:right w:val="nil"/>
            </w:tcBorders>
            <w:vAlign w:val="center"/>
          </w:tcPr>
          <w:p w14:paraId="6AABD961"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m:oMathPara>
              <m:oMath>
                <m:r>
                  <w:rPr>
                    <w:rFonts w:ascii="Cambria Math" w:hAnsi="Cambria Math" w:cs="Times New Roman"/>
                    <w:color w:val="000000"/>
                  </w:rPr>
                  <m:t>3.372×</m:t>
                </m:r>
                <m:sSup>
                  <m:sSupPr>
                    <m:ctrlPr>
                      <w:rPr>
                        <w:rFonts w:ascii="Cambria Math" w:hAnsi="Cambria Math" w:cs="Times New Roman"/>
                        <w:i/>
                        <w:color w:val="000000"/>
                      </w:rPr>
                    </m:ctrlPr>
                  </m:sSupPr>
                  <m:e>
                    <m:r>
                      <w:rPr>
                        <w:rFonts w:ascii="Cambria Math" w:hAnsi="Cambria Math" w:cs="Times New Roman"/>
                        <w:color w:val="000000"/>
                      </w:rPr>
                      <m:t>10</m:t>
                    </m:r>
                  </m:e>
                  <m:sup>
                    <m:r>
                      <w:rPr>
                        <w:rFonts w:ascii="Cambria Math" w:hAnsi="Cambria Math" w:cs="Times New Roman"/>
                        <w:color w:val="000000"/>
                      </w:rPr>
                      <m:t>8</m:t>
                    </m:r>
                  </m:sup>
                </m:sSup>
              </m:oMath>
            </m:oMathPara>
          </w:p>
        </w:tc>
        <w:tc>
          <w:tcPr>
            <w:tcW w:w="1710" w:type="dxa"/>
            <w:tcBorders>
              <w:top w:val="single" w:sz="24" w:space="0" w:color="000000"/>
              <w:left w:val="nil"/>
              <w:bottom w:val="nil"/>
              <w:right w:val="nil"/>
            </w:tcBorders>
            <w:vAlign w:val="center"/>
          </w:tcPr>
          <w:p w14:paraId="5DBF5F0A"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m:oMathPara>
              <m:oMath>
                <m:r>
                  <w:rPr>
                    <w:rFonts w:ascii="Cambria Math" w:hAnsi="Cambria Math" w:cs="Times New Roman"/>
                    <w:color w:val="000000"/>
                  </w:rPr>
                  <m:t>3.340×</m:t>
                </m:r>
                <m:sSup>
                  <m:sSupPr>
                    <m:ctrlPr>
                      <w:rPr>
                        <w:rFonts w:ascii="Cambria Math" w:hAnsi="Cambria Math" w:cs="Times New Roman"/>
                        <w:i/>
                        <w:color w:val="000000"/>
                      </w:rPr>
                    </m:ctrlPr>
                  </m:sSupPr>
                  <m:e>
                    <m:r>
                      <w:rPr>
                        <w:rFonts w:ascii="Cambria Math" w:hAnsi="Cambria Math" w:cs="Times New Roman"/>
                        <w:color w:val="000000"/>
                      </w:rPr>
                      <m:t>10</m:t>
                    </m:r>
                  </m:e>
                  <m:sup>
                    <m:r>
                      <w:rPr>
                        <w:rFonts w:ascii="Cambria Math" w:hAnsi="Cambria Math" w:cs="Times New Roman"/>
                        <w:color w:val="000000"/>
                      </w:rPr>
                      <m:t>10</m:t>
                    </m:r>
                  </m:sup>
                </m:sSup>
              </m:oMath>
            </m:oMathPara>
          </w:p>
        </w:tc>
        <w:tc>
          <w:tcPr>
            <w:tcW w:w="1620" w:type="dxa"/>
            <w:tcBorders>
              <w:top w:val="single" w:sz="24" w:space="0" w:color="000000"/>
              <w:left w:val="nil"/>
              <w:bottom w:val="nil"/>
              <w:right w:val="nil"/>
            </w:tcBorders>
            <w:vAlign w:val="center"/>
          </w:tcPr>
          <w:p w14:paraId="11ADE5B1"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Caribbean Sea</w:t>
            </w:r>
          </w:p>
          <w:p w14:paraId="57516FB8"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 xml:space="preserve">(5 </w:t>
            </w:r>
            <w:proofErr w:type="spellStart"/>
            <w:r w:rsidRPr="00F23F20">
              <w:rPr>
                <w:rFonts w:ascii="Times New Roman" w:hAnsi="Times New Roman" w:cs="Times New Roman"/>
                <w:color w:val="000000"/>
              </w:rPr>
              <w:t>mbsl</w:t>
            </w:r>
            <w:proofErr w:type="spellEnd"/>
            <w:r w:rsidRPr="00F23F20">
              <w:rPr>
                <w:rFonts w:ascii="Times New Roman" w:hAnsi="Times New Roman" w:cs="Times New Roman"/>
                <w:color w:val="000000"/>
              </w:rPr>
              <w:t>)</w:t>
            </w:r>
          </w:p>
        </w:tc>
        <w:tc>
          <w:tcPr>
            <w:tcW w:w="990" w:type="dxa"/>
            <w:tcBorders>
              <w:top w:val="single" w:sz="24" w:space="0" w:color="000000"/>
              <w:left w:val="nil"/>
              <w:bottom w:val="nil"/>
              <w:right w:val="nil"/>
            </w:tcBorders>
            <w:vAlign w:val="center"/>
          </w:tcPr>
          <w:p w14:paraId="6A37DD6D" w14:textId="4003669A"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fldChar w:fldCharType="begin" w:fldLock="1"/>
            </w:r>
            <w:r w:rsidR="00307058">
              <w:rPr>
                <w:rFonts w:ascii="Times New Roman" w:hAnsi="Times New Roman" w:cs="Times New Roman"/>
                <w:color w:val="000000"/>
              </w:rPr>
              <w:instrText>ADDIN CSL_CITATION {"citationItems":[{"id":"ITEM-1","itemData":{"DOI":"10.1371/journal.pbio.1001177","ISBN":"1545-7885 (Electronic)\\r1544-9173 (Linking)","ISSN":"15449173","PMID":"22028628","abstract":"The structure, robustness, and dynamics of ocean plankton ecosystems remain poorly understood due to sampling, analysis, and computational limitations. The Tara Oceans consortium organizes expeditions to help fill this gap at the global level.","author":[{"dropping-particle":"","family":"Karsenti","given":"Eric","non-dropping-particle":"","parse-names":false,"suffix":""},{"dropping-particle":"","family":"Acinas","given":"Silvia G.","non-dropping-particle":"","parse-names":false,"suffix":""},{"dropping-particle":"","family":"Bork","given":"Peer","non-dropping-particle":"","parse-names":false,"suffix":""},{"dropping-particle":"","family":"Bowler","given":"Chris","non-dropping-particle":"","parse-names":false,"suffix":""},{"dropping-particle":"","family":"Vargas","given":"Colomban","non-dropping-particle":"de","parse-names":false,"suffix":""},{"dropping-particle":"","family":"Raes","given":"Jeroen","non-dropping-particle":"","parse-names":false,"suffix":""},{"dropping-particle":"","family":"Sullivan","given":"Matthew","non-dropping-particle":"","parse-names":false,"suffix":""},{"dropping-particle":"","family":"Arendt","given":"Detlev","non-dropping-particle":"","parse-names":false,"suffix":""},{"dropping-particle":"","family":"Benzoni","given":"Francesca","non-dropping-particle":"","parse-names":false,"suffix":""},{"dropping-particle":"","family":"Claverie","given":"Jean Michel","non-dropping-particle":"","parse-names":false,"suffix":""},{"dropping-particle":"","family":"Follows","given":"Mick","non-dropping-particle":"","parse-names":false,"suffix":""},{"dropping-particle":"","family":"Gorsky","given":"Gaby","non-dropping-particle":"","parse-names":false,"suffix":""},{"dropping-particle":"","family":"Hingamp","given":"Pascal","non-dropping-particle":"","parse-names":false,"suffix":""},{"dropping-particle":"","family":"Iudicone","given":"Daniele","non-dropping-particle":"","parse-names":false,"suffix":""},{"dropping-particle":"","family":"Jaillon","given":"Olivier","non-dropping-particle":"","parse-names":false,"suffix":""},{"dropping-particle":"","family":"Kandels-Lewis","given":"Stefanie","non-dropping-particle":"","parse-names":false,"suffix":""},{"dropping-particle":"","family":"Krzic","given":"Uros","non-dropping-particle":"","parse-names":false,"suffix":""},{"dropping-particle":"","family":"Not","given":"Fabrice","non-dropping-particle":"","parse-names":false,"suffix":""},{"dropping-particle":"","family":"Ogata","given":"Hiroyuki","non-dropping-particle":"","parse-names":false,"suffix":""},{"dropping-particle":"","family":"Pesant","given":"Stéphane","non-dropping-particle":"","parse-names":false,"suffix":""},{"dropping-particle":"","family":"Reynaud","given":"Emmanuel Georges","non-dropping-particle":"","parse-names":false,"suffix":""},{"dropping-particle":"","family":"Sardet","given":"Christian","non-dropping-particle":"","parse-names":false,"suffix":""},{"dropping-particle":"","family":"Sieracki","given":"Michael E.","non-dropping-particle":"","parse-names":false,"suffix":""},{"dropping-particle":"","family":"Speich","given":"Sabrina","non-dropping-particle":"","parse-names":false,"suffix":""},{"dropping-particle":"","family":"Velayoudon","given":"Didier","non-dropping-particle":"","parse-names":false,"suffix":""},{"dropping-particle":"","family":"Weissenbach","given":"Jean","non-dropping-particle":"","parse-names":false,"suffix":""},{"dropping-particle":"","family":"Wincker","given":"Patrick","non-dropping-particle":"","parse-names":false,"suffix":""}],"container-title":"PLoS Biology","id":"ITEM-1","issue":"10","issued":{"date-parts":[["2011"]]},"page":"7-11","title":"A holistic approach to marine Eco-systems biology","type":"article-journal","volume":"9"},"uris":["http://www.mendeley.com/documents/?uuid=3e1872e6-871b-46bd-9835-98e67e0057ba"]}],"mendeley":{"formattedCitation":"(59)","plainTextFormattedCitation":"(59)","previouslyFormattedCitation":"(58)"},"properties":{"noteIndex":0},"schema":"https://github.com/citation-style-language/schema/raw/master/csl-citation.json"}</w:instrText>
            </w:r>
            <w:r w:rsidRPr="00F23F20">
              <w:rPr>
                <w:rFonts w:ascii="Times New Roman" w:hAnsi="Times New Roman" w:cs="Times New Roman"/>
                <w:color w:val="000000"/>
              </w:rPr>
              <w:fldChar w:fldCharType="separate"/>
            </w:r>
            <w:r w:rsidR="00307058" w:rsidRPr="00307058">
              <w:rPr>
                <w:rFonts w:ascii="Times New Roman" w:hAnsi="Times New Roman" w:cs="Times New Roman"/>
                <w:noProof/>
                <w:color w:val="000000"/>
              </w:rPr>
              <w:t>(59)</w:t>
            </w:r>
            <w:r w:rsidRPr="00F23F20">
              <w:rPr>
                <w:rFonts w:ascii="Times New Roman" w:hAnsi="Times New Roman" w:cs="Times New Roman"/>
                <w:color w:val="000000"/>
              </w:rPr>
              <w:fldChar w:fldCharType="end"/>
            </w:r>
          </w:p>
        </w:tc>
      </w:tr>
      <w:tr w:rsidR="00A22E51" w:rsidRPr="00F23F20" w14:paraId="2DF16E2C" w14:textId="77777777" w:rsidTr="00E14F7B">
        <w:trPr>
          <w:jc w:val="center"/>
        </w:trPr>
        <w:tc>
          <w:tcPr>
            <w:tcW w:w="2340" w:type="dxa"/>
            <w:tcBorders>
              <w:top w:val="nil"/>
              <w:left w:val="nil"/>
              <w:bottom w:val="nil"/>
              <w:right w:val="nil"/>
            </w:tcBorders>
            <w:vAlign w:val="center"/>
          </w:tcPr>
          <w:p w14:paraId="55E176DE"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Estuary Sediment</w:t>
            </w:r>
          </w:p>
        </w:tc>
        <w:tc>
          <w:tcPr>
            <w:tcW w:w="1530" w:type="dxa"/>
            <w:tcBorders>
              <w:top w:val="nil"/>
              <w:left w:val="nil"/>
              <w:bottom w:val="nil"/>
              <w:right w:val="nil"/>
            </w:tcBorders>
            <w:vAlign w:val="center"/>
          </w:tcPr>
          <w:p w14:paraId="459A12AB"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SRR5248164</w:t>
            </w:r>
          </w:p>
        </w:tc>
        <w:tc>
          <w:tcPr>
            <w:tcW w:w="1440" w:type="dxa"/>
            <w:tcBorders>
              <w:top w:val="nil"/>
              <w:left w:val="nil"/>
              <w:bottom w:val="nil"/>
              <w:right w:val="nil"/>
            </w:tcBorders>
            <w:vAlign w:val="center"/>
          </w:tcPr>
          <w:p w14:paraId="42CAF2CD"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highlight w:val="white"/>
              </w:rPr>
              <w:t xml:space="preserve">Illumina </w:t>
            </w:r>
            <w:proofErr w:type="spellStart"/>
            <w:r w:rsidRPr="00F23F20">
              <w:rPr>
                <w:rFonts w:ascii="Times New Roman" w:hAnsi="Times New Roman" w:cs="Times New Roman"/>
                <w:color w:val="000000"/>
                <w:highlight w:val="white"/>
              </w:rPr>
              <w:t>HiSeq</w:t>
            </w:r>
            <w:proofErr w:type="spellEnd"/>
            <w:r w:rsidRPr="00F23F20">
              <w:rPr>
                <w:rFonts w:ascii="Times New Roman" w:hAnsi="Times New Roman" w:cs="Times New Roman"/>
                <w:color w:val="000000"/>
                <w:highlight w:val="white"/>
              </w:rPr>
              <w:t xml:space="preserve"> 2000</w:t>
            </w:r>
          </w:p>
        </w:tc>
        <w:tc>
          <w:tcPr>
            <w:tcW w:w="1530" w:type="dxa"/>
            <w:tcBorders>
              <w:top w:val="nil"/>
              <w:left w:val="nil"/>
              <w:bottom w:val="nil"/>
              <w:right w:val="nil"/>
            </w:tcBorders>
            <w:vAlign w:val="center"/>
          </w:tcPr>
          <w:p w14:paraId="7ED183A7"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m:oMathPara>
              <m:oMath>
                <m:r>
                  <w:rPr>
                    <w:rFonts w:ascii="Cambria Math" w:hAnsi="Cambria Math" w:cs="Times New Roman"/>
                    <w:color w:val="000000"/>
                  </w:rPr>
                  <m:t>1.137×</m:t>
                </m:r>
                <m:sSup>
                  <m:sSupPr>
                    <m:ctrlPr>
                      <w:rPr>
                        <w:rFonts w:ascii="Cambria Math" w:hAnsi="Cambria Math" w:cs="Times New Roman"/>
                        <w:i/>
                        <w:color w:val="000000"/>
                      </w:rPr>
                    </m:ctrlPr>
                  </m:sSupPr>
                  <m:e>
                    <m:r>
                      <w:rPr>
                        <w:rFonts w:ascii="Cambria Math" w:hAnsi="Cambria Math" w:cs="Times New Roman"/>
                        <w:color w:val="000000"/>
                      </w:rPr>
                      <m:t>10</m:t>
                    </m:r>
                  </m:e>
                  <m:sup>
                    <m:r>
                      <w:rPr>
                        <w:rFonts w:ascii="Cambria Math" w:hAnsi="Cambria Math" w:cs="Times New Roman"/>
                        <w:color w:val="000000"/>
                      </w:rPr>
                      <m:t>8</m:t>
                    </m:r>
                  </m:sup>
                </m:sSup>
              </m:oMath>
            </m:oMathPara>
          </w:p>
        </w:tc>
        <w:tc>
          <w:tcPr>
            <w:tcW w:w="1710" w:type="dxa"/>
            <w:tcBorders>
              <w:top w:val="nil"/>
              <w:left w:val="nil"/>
              <w:bottom w:val="nil"/>
              <w:right w:val="nil"/>
            </w:tcBorders>
            <w:vAlign w:val="center"/>
          </w:tcPr>
          <w:p w14:paraId="46B48E0F"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m:oMathPara>
              <m:oMath>
                <m:r>
                  <w:rPr>
                    <w:rFonts w:ascii="Cambria Math" w:hAnsi="Cambria Math" w:cs="Times New Roman"/>
                    <w:color w:val="000000"/>
                  </w:rPr>
                  <m:t>1.589×</m:t>
                </m:r>
                <m:sSup>
                  <m:sSupPr>
                    <m:ctrlPr>
                      <w:rPr>
                        <w:rFonts w:ascii="Cambria Math" w:hAnsi="Cambria Math" w:cs="Times New Roman"/>
                        <w:i/>
                        <w:color w:val="000000"/>
                      </w:rPr>
                    </m:ctrlPr>
                  </m:sSupPr>
                  <m:e>
                    <m:r>
                      <w:rPr>
                        <w:rFonts w:ascii="Cambria Math" w:hAnsi="Cambria Math" w:cs="Times New Roman"/>
                        <w:color w:val="000000"/>
                      </w:rPr>
                      <m:t>10</m:t>
                    </m:r>
                  </m:e>
                  <m:sup>
                    <m:r>
                      <w:rPr>
                        <w:rFonts w:ascii="Cambria Math" w:hAnsi="Cambria Math" w:cs="Times New Roman"/>
                        <w:color w:val="000000"/>
                      </w:rPr>
                      <m:t>10</m:t>
                    </m:r>
                  </m:sup>
                </m:sSup>
              </m:oMath>
            </m:oMathPara>
          </w:p>
        </w:tc>
        <w:tc>
          <w:tcPr>
            <w:tcW w:w="1620" w:type="dxa"/>
            <w:tcBorders>
              <w:top w:val="nil"/>
              <w:left w:val="nil"/>
              <w:bottom w:val="nil"/>
              <w:right w:val="nil"/>
            </w:tcBorders>
            <w:vAlign w:val="center"/>
          </w:tcPr>
          <w:p w14:paraId="17BAC0F9"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Sulfate Zone</w:t>
            </w:r>
            <w:r w:rsidRPr="00F23F20">
              <w:rPr>
                <w:rFonts w:ascii="Times New Roman" w:hAnsi="Times New Roman" w:cs="Times New Roman"/>
                <w:color w:val="000000"/>
              </w:rPr>
              <w:br/>
              <w:t xml:space="preserve">(8-10 </w:t>
            </w:r>
            <w:proofErr w:type="spellStart"/>
            <w:r w:rsidRPr="00F23F20">
              <w:rPr>
                <w:rFonts w:ascii="Times New Roman" w:hAnsi="Times New Roman" w:cs="Times New Roman"/>
                <w:color w:val="000000"/>
              </w:rPr>
              <w:t>cmbsf</w:t>
            </w:r>
            <w:proofErr w:type="spellEnd"/>
            <w:r w:rsidRPr="00F23F20">
              <w:rPr>
                <w:rFonts w:ascii="Times New Roman" w:hAnsi="Times New Roman" w:cs="Times New Roman"/>
                <w:color w:val="000000"/>
              </w:rPr>
              <w:t>)</w:t>
            </w:r>
          </w:p>
        </w:tc>
        <w:tc>
          <w:tcPr>
            <w:tcW w:w="990" w:type="dxa"/>
            <w:tcBorders>
              <w:top w:val="nil"/>
              <w:left w:val="nil"/>
              <w:bottom w:val="nil"/>
              <w:right w:val="nil"/>
            </w:tcBorders>
            <w:vAlign w:val="center"/>
          </w:tcPr>
          <w:p w14:paraId="7289DD08" w14:textId="41FAC623"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fldChar w:fldCharType="begin" w:fldLock="1"/>
            </w:r>
            <w:r w:rsidR="00F74F65">
              <w:rPr>
                <w:rFonts w:ascii="Times New Roman" w:hAnsi="Times New Roman" w:cs="Times New Roman"/>
                <w:color w:val="000000"/>
              </w:rPr>
              <w:instrText>ADDIN CSL_CITATION {"citationItems":[{"id":"ITEM-1","itemData":{"DOI":"10.1186/s40168-015-0077-6","ISSN":"2049-2618","abstract":"Estuaries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J","non-dropping-particle":"","parse-names":false,"suffix":""}],"container-title":"Microbiome","id":"ITEM-1","issue":"1","issued":{"date-parts":[["2015","12","13"]]},"page":"14","publisher":"BioMed Central","title":"Genomic resolution of linkages in carbon, nitrogen, and sulfur cycling among widespread estuary sediment bacteria","type":"article-journal","volume":"3"},"uris":["http://www.mendeley.com/documents/?uuid=9a188f01-0081-3e79-a3ab-79086163d314"]}],"mendeley":{"formattedCitation":"(8)","plainTextFormattedCitation":"(8)","previouslyFormattedCitation":"(8)"},"properties":{"noteIndex":0},"schema":"https://github.com/citation-style-language/schema/raw/master/csl-citation.json"}</w:instrText>
            </w:r>
            <w:r w:rsidRPr="00F23F20">
              <w:rPr>
                <w:rFonts w:ascii="Times New Roman" w:hAnsi="Times New Roman" w:cs="Times New Roman"/>
                <w:color w:val="000000"/>
              </w:rPr>
              <w:fldChar w:fldCharType="separate"/>
            </w:r>
            <w:r w:rsidR="004620D1" w:rsidRPr="004620D1">
              <w:rPr>
                <w:rFonts w:ascii="Times New Roman" w:hAnsi="Times New Roman" w:cs="Times New Roman"/>
                <w:noProof/>
                <w:color w:val="000000"/>
              </w:rPr>
              <w:t>(8)</w:t>
            </w:r>
            <w:r w:rsidRPr="00F23F20">
              <w:rPr>
                <w:rFonts w:ascii="Times New Roman" w:hAnsi="Times New Roman" w:cs="Times New Roman"/>
                <w:color w:val="000000"/>
              </w:rPr>
              <w:fldChar w:fldCharType="end"/>
            </w:r>
          </w:p>
        </w:tc>
      </w:tr>
      <w:tr w:rsidR="00A22E51" w:rsidRPr="00F23F20" w14:paraId="34EE2890" w14:textId="77777777" w:rsidTr="00E14F7B">
        <w:trPr>
          <w:jc w:val="center"/>
        </w:trPr>
        <w:tc>
          <w:tcPr>
            <w:tcW w:w="2340" w:type="dxa"/>
            <w:tcBorders>
              <w:top w:val="nil"/>
              <w:left w:val="nil"/>
              <w:bottom w:val="nil"/>
              <w:right w:val="nil"/>
            </w:tcBorders>
            <w:vAlign w:val="center"/>
          </w:tcPr>
          <w:p w14:paraId="221C67FA"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Maize Soil</w:t>
            </w:r>
          </w:p>
        </w:tc>
        <w:tc>
          <w:tcPr>
            <w:tcW w:w="1530" w:type="dxa"/>
            <w:tcBorders>
              <w:top w:val="nil"/>
              <w:left w:val="nil"/>
              <w:bottom w:val="nil"/>
              <w:right w:val="nil"/>
            </w:tcBorders>
            <w:vAlign w:val="center"/>
          </w:tcPr>
          <w:p w14:paraId="36CD9B11"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SRR351473</w:t>
            </w:r>
          </w:p>
        </w:tc>
        <w:tc>
          <w:tcPr>
            <w:tcW w:w="1440" w:type="dxa"/>
            <w:tcBorders>
              <w:top w:val="nil"/>
              <w:left w:val="nil"/>
              <w:bottom w:val="nil"/>
              <w:right w:val="nil"/>
            </w:tcBorders>
            <w:vAlign w:val="center"/>
          </w:tcPr>
          <w:p w14:paraId="08C2AC54"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highlight w:val="white"/>
              </w:rPr>
              <w:t xml:space="preserve">Illumina </w:t>
            </w:r>
            <w:proofErr w:type="spellStart"/>
            <w:r w:rsidRPr="00F23F20">
              <w:rPr>
                <w:rFonts w:ascii="Times New Roman" w:hAnsi="Times New Roman" w:cs="Times New Roman"/>
                <w:color w:val="000000"/>
                <w:highlight w:val="white"/>
              </w:rPr>
              <w:t>HiSeq</w:t>
            </w:r>
            <w:proofErr w:type="spellEnd"/>
            <w:r w:rsidRPr="00F23F20">
              <w:rPr>
                <w:rFonts w:ascii="Times New Roman" w:hAnsi="Times New Roman" w:cs="Times New Roman"/>
                <w:color w:val="000000"/>
                <w:highlight w:val="white"/>
              </w:rPr>
              <w:t xml:space="preserve"> 2000</w:t>
            </w:r>
          </w:p>
        </w:tc>
        <w:tc>
          <w:tcPr>
            <w:tcW w:w="1530" w:type="dxa"/>
            <w:tcBorders>
              <w:top w:val="nil"/>
              <w:left w:val="nil"/>
              <w:bottom w:val="nil"/>
              <w:right w:val="nil"/>
            </w:tcBorders>
            <w:vAlign w:val="center"/>
          </w:tcPr>
          <w:p w14:paraId="2F59BB21"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m:oMathPara>
              <m:oMath>
                <m:r>
                  <w:rPr>
                    <w:rFonts w:ascii="Cambria Math" w:hAnsi="Cambria Math" w:cs="Times New Roman"/>
                    <w:color w:val="000000"/>
                  </w:rPr>
                  <m:t>4.727×</m:t>
                </m:r>
                <m:sSup>
                  <m:sSupPr>
                    <m:ctrlPr>
                      <w:rPr>
                        <w:rFonts w:ascii="Cambria Math" w:hAnsi="Cambria Math" w:cs="Times New Roman"/>
                        <w:i/>
                        <w:color w:val="000000"/>
                      </w:rPr>
                    </m:ctrlPr>
                  </m:sSupPr>
                  <m:e>
                    <m:r>
                      <w:rPr>
                        <w:rFonts w:ascii="Cambria Math" w:hAnsi="Cambria Math" w:cs="Times New Roman"/>
                        <w:color w:val="000000"/>
                      </w:rPr>
                      <m:t>10</m:t>
                    </m:r>
                  </m:e>
                  <m:sup>
                    <m:r>
                      <w:rPr>
                        <w:rFonts w:ascii="Cambria Math" w:hAnsi="Cambria Math" w:cs="Times New Roman"/>
                        <w:color w:val="000000"/>
                      </w:rPr>
                      <m:t>8</m:t>
                    </m:r>
                  </m:sup>
                </m:sSup>
              </m:oMath>
            </m:oMathPara>
          </w:p>
        </w:tc>
        <w:tc>
          <w:tcPr>
            <w:tcW w:w="1710" w:type="dxa"/>
            <w:tcBorders>
              <w:top w:val="nil"/>
              <w:left w:val="nil"/>
              <w:bottom w:val="nil"/>
              <w:right w:val="nil"/>
            </w:tcBorders>
            <w:vAlign w:val="center"/>
          </w:tcPr>
          <w:p w14:paraId="206CA5B3"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m:oMathPara>
              <m:oMath>
                <m:r>
                  <w:rPr>
                    <w:rFonts w:ascii="Cambria Math" w:hAnsi="Cambria Math" w:cs="Times New Roman"/>
                    <w:color w:val="000000"/>
                  </w:rPr>
                  <m:t>3.824×</m:t>
                </m:r>
                <m:sSup>
                  <m:sSupPr>
                    <m:ctrlPr>
                      <w:rPr>
                        <w:rFonts w:ascii="Cambria Math" w:hAnsi="Cambria Math" w:cs="Times New Roman"/>
                        <w:i/>
                        <w:color w:val="000000"/>
                      </w:rPr>
                    </m:ctrlPr>
                  </m:sSupPr>
                  <m:e>
                    <m:r>
                      <w:rPr>
                        <w:rFonts w:ascii="Cambria Math" w:hAnsi="Cambria Math" w:cs="Times New Roman"/>
                        <w:color w:val="000000"/>
                      </w:rPr>
                      <m:t>10</m:t>
                    </m:r>
                  </m:e>
                  <m:sup>
                    <m:r>
                      <w:rPr>
                        <w:rFonts w:ascii="Cambria Math" w:hAnsi="Cambria Math" w:cs="Times New Roman"/>
                        <w:color w:val="000000"/>
                      </w:rPr>
                      <m:t>10</m:t>
                    </m:r>
                  </m:sup>
                </m:sSup>
              </m:oMath>
            </m:oMathPara>
          </w:p>
        </w:tc>
        <w:tc>
          <w:tcPr>
            <w:tcW w:w="1620" w:type="dxa"/>
            <w:tcBorders>
              <w:top w:val="nil"/>
              <w:left w:val="nil"/>
              <w:bottom w:val="nil"/>
              <w:right w:val="nil"/>
            </w:tcBorders>
            <w:vAlign w:val="center"/>
          </w:tcPr>
          <w:p w14:paraId="031D8D29"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Surface Soil</w:t>
            </w:r>
          </w:p>
        </w:tc>
        <w:tc>
          <w:tcPr>
            <w:tcW w:w="990" w:type="dxa"/>
            <w:tcBorders>
              <w:top w:val="nil"/>
              <w:left w:val="nil"/>
              <w:bottom w:val="nil"/>
              <w:right w:val="nil"/>
            </w:tcBorders>
            <w:vAlign w:val="center"/>
          </w:tcPr>
          <w:p w14:paraId="1FBD1C2A" w14:textId="2BDF6DE4"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fldChar w:fldCharType="begin" w:fldLock="1"/>
            </w:r>
            <w:r w:rsidR="00307058">
              <w:rPr>
                <w:rFonts w:ascii="Times New Roman" w:hAnsi="Times New Roman" w:cs="Times New Roman"/>
                <w:color w:val="000000"/>
              </w:rPr>
              <w:instrText>ADDIN CSL_CITATION {"citationItems":[{"id":"ITEM-1","itemData":{"DOI":"doi: 10.1073/pnas.1402564111","ISBN":"1317350111","ISSN":"0027-8424","PMID":"24453217","abstract":"Chronic neurohormonal and mechanical stresses are central features of heart disease. Increasing evidence supports a role for the transient receptor potential canonical channels TRPC3 and TRPC6 in this pathophysiology. Channel expression for both is normally very low but is increased by cardiac disease, and genetic gain- or loss-of-function studies support contributions to hypertrophy and dysfunction. Selective small-molecule inhibitors remain scarce, and none target both channels, which may be useful given the high homology among them and evidence of redundant signaling. Here we tested selective TRPC3/6 antagonists (GSK2332255B and GSK2833503A; IC50, 3-21 nM against TRPC3 and TRPC6) and found dose-dependent blockade of cell hypertrophy signaling triggered by angiotensin II or endothelin-1 in HEK293T cells as well as in neonatal and adult cardiac myocytes. In vivo efficacy in mice and rats was greatly limited by rapid metabolism and high protein binding, although antifibrotic effects with pressure overload were observed. Intriguingly, although gene deletion of TRPC3 or TRPC6 alone did not protect against hypertrophy or dysfunction from pressure overload, combined deletion was protective, supporting the value of dual inhibition. Further development of this pharmaceutical class may yield a useful therapeutic agent for heart disease management.","author":[{"dropping-particle":"","family":"Howe","given":"Adina Chuang","non-dropping-particle":"","parse-names":false,"suffix":""},{"dropping-particle":"","family":"Jansson","given":"Janet K.","non-dropping-particle":"","parse-names":false,"suffix":""},{"dropping-particle":"","family":"Malfatti","given":"Stephanie A.","non-dropping-particle":"","parse-names":false,"suffix":""},{"dropping-particle":"","family":"Tringe","given":"Susannah G.","non-dropping-particle":"","parse-names":false,"suffix":""},{"dropping-particle":"","family":"Tiedje","given":"James M.","non-dropping-particle":"","parse-names":false,"suffix":""},{"dropping-particle":"","family":"Brown","given":"C. Titus","non-dropping-particle":"","parse-names":false,"suffix":""}],"container-title":"Proceedings of the National Academy of Sciences","id":"ITEM-1","issue":"13","issued":{"date-parts":[["2014"]]},"page":"4904-4909","title":"Tackling soil diversity with the assembly of large, complex metagenomes","type":"article-journal","volume":"111"},"uris":["http://www.mendeley.com/documents/?uuid=2381e60c-463e-4e67-a16d-31c5b09e7196"]}],"mendeley":{"formattedCitation":"(60)","plainTextFormattedCitation":"(60)","previouslyFormattedCitation":"(59)"},"properties":{"noteIndex":0},"schema":"https://github.com/citation-style-language/schema/raw/master/csl-citation.json"}</w:instrText>
            </w:r>
            <w:r w:rsidRPr="00F23F20">
              <w:rPr>
                <w:rFonts w:ascii="Times New Roman" w:hAnsi="Times New Roman" w:cs="Times New Roman"/>
                <w:color w:val="000000"/>
              </w:rPr>
              <w:fldChar w:fldCharType="separate"/>
            </w:r>
            <w:r w:rsidR="00307058" w:rsidRPr="00307058">
              <w:rPr>
                <w:rFonts w:ascii="Times New Roman" w:hAnsi="Times New Roman" w:cs="Times New Roman"/>
                <w:noProof/>
                <w:color w:val="000000"/>
              </w:rPr>
              <w:t>(60)</w:t>
            </w:r>
            <w:r w:rsidRPr="00F23F20">
              <w:rPr>
                <w:rFonts w:ascii="Times New Roman" w:hAnsi="Times New Roman" w:cs="Times New Roman"/>
                <w:color w:val="000000"/>
              </w:rPr>
              <w:fldChar w:fldCharType="end"/>
            </w:r>
          </w:p>
        </w:tc>
      </w:tr>
      <w:tr w:rsidR="00A22E51" w:rsidRPr="00F23F20" w14:paraId="0C849BEB" w14:textId="77777777" w:rsidTr="00E14F7B">
        <w:trPr>
          <w:jc w:val="center"/>
        </w:trPr>
        <w:tc>
          <w:tcPr>
            <w:tcW w:w="2340" w:type="dxa"/>
            <w:tcBorders>
              <w:top w:val="nil"/>
              <w:left w:val="nil"/>
              <w:bottom w:val="single" w:sz="24" w:space="0" w:color="000000"/>
              <w:right w:val="nil"/>
            </w:tcBorders>
            <w:vAlign w:val="center"/>
          </w:tcPr>
          <w:p w14:paraId="2F96FAB9"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Human Gut</w:t>
            </w:r>
          </w:p>
        </w:tc>
        <w:tc>
          <w:tcPr>
            <w:tcW w:w="1530" w:type="dxa"/>
            <w:tcBorders>
              <w:top w:val="nil"/>
              <w:left w:val="nil"/>
              <w:bottom w:val="single" w:sz="24" w:space="0" w:color="000000"/>
              <w:right w:val="nil"/>
            </w:tcBorders>
            <w:vAlign w:val="center"/>
          </w:tcPr>
          <w:p w14:paraId="4E1D5FF3"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SRR5127631</w:t>
            </w:r>
          </w:p>
        </w:tc>
        <w:tc>
          <w:tcPr>
            <w:tcW w:w="1440" w:type="dxa"/>
            <w:tcBorders>
              <w:top w:val="nil"/>
              <w:left w:val="nil"/>
              <w:bottom w:val="single" w:sz="24" w:space="0" w:color="000000"/>
              <w:right w:val="nil"/>
            </w:tcBorders>
            <w:vAlign w:val="center"/>
          </w:tcPr>
          <w:p w14:paraId="57F6D7D3"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highlight w:val="white"/>
              </w:rPr>
              <w:t xml:space="preserve">Illumina </w:t>
            </w:r>
            <w:proofErr w:type="spellStart"/>
            <w:r w:rsidRPr="00F23F20">
              <w:rPr>
                <w:rFonts w:ascii="Times New Roman" w:hAnsi="Times New Roman" w:cs="Times New Roman"/>
                <w:color w:val="000000"/>
                <w:highlight w:val="white"/>
              </w:rPr>
              <w:t>HiSeq</w:t>
            </w:r>
            <w:proofErr w:type="spellEnd"/>
            <w:r w:rsidRPr="00F23F20">
              <w:rPr>
                <w:rFonts w:ascii="Times New Roman" w:hAnsi="Times New Roman" w:cs="Times New Roman"/>
                <w:color w:val="000000"/>
                <w:highlight w:val="white"/>
              </w:rPr>
              <w:t xml:space="preserve"> 2000</w:t>
            </w:r>
          </w:p>
        </w:tc>
        <w:tc>
          <w:tcPr>
            <w:tcW w:w="1530" w:type="dxa"/>
            <w:tcBorders>
              <w:top w:val="nil"/>
              <w:left w:val="nil"/>
              <w:bottom w:val="single" w:sz="24" w:space="0" w:color="000000"/>
              <w:right w:val="nil"/>
            </w:tcBorders>
            <w:vAlign w:val="center"/>
          </w:tcPr>
          <w:p w14:paraId="33C29EBB"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m:oMathPara>
              <m:oMath>
                <m:r>
                  <w:rPr>
                    <w:rFonts w:ascii="Cambria Math" w:hAnsi="Cambria Math" w:cs="Times New Roman"/>
                    <w:color w:val="000000"/>
                  </w:rPr>
                  <m:t>5.095×</m:t>
                </m:r>
                <m:sSup>
                  <m:sSupPr>
                    <m:ctrlPr>
                      <w:rPr>
                        <w:rFonts w:ascii="Cambria Math" w:hAnsi="Cambria Math" w:cs="Times New Roman"/>
                        <w:i/>
                        <w:color w:val="000000"/>
                      </w:rPr>
                    </m:ctrlPr>
                  </m:sSupPr>
                  <m:e>
                    <m:r>
                      <w:rPr>
                        <w:rFonts w:ascii="Cambria Math" w:hAnsi="Cambria Math" w:cs="Times New Roman"/>
                        <w:color w:val="000000"/>
                      </w:rPr>
                      <m:t>10</m:t>
                    </m:r>
                  </m:e>
                  <m:sup>
                    <m:r>
                      <w:rPr>
                        <w:rFonts w:ascii="Cambria Math" w:hAnsi="Cambria Math" w:cs="Times New Roman"/>
                        <w:color w:val="000000"/>
                      </w:rPr>
                      <m:t>7</m:t>
                    </m:r>
                  </m:sup>
                </m:sSup>
              </m:oMath>
            </m:oMathPara>
          </w:p>
        </w:tc>
        <w:tc>
          <w:tcPr>
            <w:tcW w:w="1710" w:type="dxa"/>
            <w:tcBorders>
              <w:top w:val="nil"/>
              <w:left w:val="nil"/>
              <w:bottom w:val="single" w:sz="24" w:space="0" w:color="000000"/>
              <w:right w:val="nil"/>
            </w:tcBorders>
            <w:vAlign w:val="center"/>
          </w:tcPr>
          <w:p w14:paraId="4C50470C"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m:oMathPara>
              <m:oMath>
                <m:r>
                  <w:rPr>
                    <w:rFonts w:ascii="Cambria Math" w:hAnsi="Cambria Math" w:cs="Times New Roman"/>
                    <w:color w:val="000000"/>
                  </w:rPr>
                  <m:t>4.847×</m:t>
                </m:r>
                <m:sSup>
                  <m:sSupPr>
                    <m:ctrlPr>
                      <w:rPr>
                        <w:rFonts w:ascii="Cambria Math" w:hAnsi="Cambria Math" w:cs="Times New Roman"/>
                        <w:i/>
                        <w:color w:val="000000"/>
                      </w:rPr>
                    </m:ctrlPr>
                  </m:sSupPr>
                  <m:e>
                    <m:r>
                      <w:rPr>
                        <w:rFonts w:ascii="Cambria Math" w:hAnsi="Cambria Math" w:cs="Times New Roman"/>
                        <w:color w:val="000000"/>
                      </w:rPr>
                      <m:t>10</m:t>
                    </m:r>
                  </m:e>
                  <m:sup>
                    <m:r>
                      <w:rPr>
                        <w:rFonts w:ascii="Cambria Math" w:hAnsi="Cambria Math" w:cs="Times New Roman"/>
                        <w:color w:val="000000"/>
                      </w:rPr>
                      <m:t>9</m:t>
                    </m:r>
                  </m:sup>
                </m:sSup>
              </m:oMath>
            </m:oMathPara>
          </w:p>
        </w:tc>
        <w:tc>
          <w:tcPr>
            <w:tcW w:w="1620" w:type="dxa"/>
            <w:tcBorders>
              <w:top w:val="nil"/>
              <w:left w:val="nil"/>
              <w:bottom w:val="single" w:sz="24" w:space="0" w:color="000000"/>
              <w:right w:val="nil"/>
            </w:tcBorders>
            <w:vAlign w:val="center"/>
          </w:tcPr>
          <w:p w14:paraId="3EC26C67" w14:textId="77777777"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t>--</w:t>
            </w:r>
          </w:p>
        </w:tc>
        <w:tc>
          <w:tcPr>
            <w:tcW w:w="990" w:type="dxa"/>
            <w:tcBorders>
              <w:top w:val="nil"/>
              <w:left w:val="nil"/>
              <w:bottom w:val="single" w:sz="24" w:space="0" w:color="000000"/>
              <w:right w:val="nil"/>
            </w:tcBorders>
            <w:vAlign w:val="center"/>
          </w:tcPr>
          <w:p w14:paraId="43C58B7A" w14:textId="1628195C" w:rsidR="00A22E51" w:rsidRPr="00F23F20" w:rsidRDefault="00A22E51" w:rsidP="00E14F7B">
            <w:pPr>
              <w:widowControl w:val="0"/>
              <w:pBdr>
                <w:top w:val="nil"/>
                <w:left w:val="nil"/>
                <w:bottom w:val="nil"/>
                <w:right w:val="nil"/>
                <w:between w:val="nil"/>
              </w:pBdr>
              <w:rPr>
                <w:rFonts w:ascii="Times New Roman" w:hAnsi="Times New Roman" w:cs="Times New Roman"/>
                <w:color w:val="000000"/>
              </w:rPr>
            </w:pPr>
            <w:r w:rsidRPr="00F23F20">
              <w:rPr>
                <w:rFonts w:ascii="Times New Roman" w:hAnsi="Times New Roman" w:cs="Times New Roman"/>
                <w:color w:val="000000"/>
              </w:rPr>
              <w:fldChar w:fldCharType="begin" w:fldLock="1"/>
            </w:r>
            <w:r w:rsidR="00307058">
              <w:rPr>
                <w:rFonts w:ascii="Times New Roman" w:hAnsi="Times New Roman" w:cs="Times New Roman"/>
                <w:color w:val="000000"/>
              </w:rPr>
              <w:instrText>ADDIN CSL_CITATION {"citationItems":[{"id":"ITEM-1","itemData":{"DOI":"10.1016/j.cell.2016.10.020","ISBN":"1097-4172 (Electronic)\\r0092-8674 (Linking)","ISSN":"10974172","PMID":"27814509","abstract":"Gut microbial dysbioses are linked to aberrant immune responses, which are often accompanied by abnormal production of inflammatory cytokines. As part of the Human Functional Genomics Project (HFGP), we investigate how differences in composition and function of gut microbial communities may contribute to inter-individual variation in cytokine responses to microbial stimulations in healthy humans. We observe microbiome-cytokine interaction patterns that are stimulus specific, cytokine specific, and cytokine and stimulus specific. Validation of two predicted host-microbial interactions reveal that TNFα and IFNγ production are associated with specific microbial metabolic pathways: palmitoleic acid metabolism and tryptophan degradation to tryptophol. Besides providing a resource of predicted microbially derived mediators that influence immune phenotypes in response to common microorganisms, these data can help to define principles for understanding disease susceptibility. The three HFGP studies presented in this issue lay the groundwork for further studies aimed at understanding the interplay between microbial, genetic, and environmental factors in the regulation of the immune response in humans. PaperClip","author":[{"dropping-particle":"","family":"Schirmer","given":"Melanie","non-dropping-particle":"","parse-names":false,"suffix":""},{"dropping-particle":"","family":"Smeekens","given":"Sanne P.","non-dropping-particle":"","parse-names":false,"suffix":""},{"dropping-particle":"","family":"Vlamakis","given":"Hera","non-dropping-particle":"","parse-names":false,"suffix":""},{"dropping-particle":"","family":"Jaeger","given":"Martin","non-dropping-particle":"","parse-names":false,"suffix":""},{"dropping-particle":"","family":"Oosting","given":"Marije","non-dropping-particle":"","parse-names":false,"suffix":""},{"dropping-particle":"","family":"Franzosa","given":"Eric A.","non-dropping-particle":"","parse-names":false,"suffix":""},{"dropping-particle":"","family":"Jansen","given":"Trees","non-dropping-particle":"","parse-names":false,"suffix":""},{"dropping-particle":"","family":"Jacobs","given":"Liesbeth","non-dropping-particle":"","parse-names":false,"suffix":""},{"dropping-particle":"","family":"Bonder","given":"Marc Jan","non-dropping-particle":"","parse-names":false,"suffix":""},{"dropping-particle":"","family":"Kurilshikov","given":"Alexander","non-dropping-particle":"","parse-names":false,"suffix":""},{"dropping-particle":"","family":"Fu","given":"Jingyuan","non-dropping-particle":"","parse-names":false,"suffix":""},{"dropping-particle":"","family":"Joosten","given":"Leo A.B.","non-dropping-particle":"","parse-names":false,"suffix":""},{"dropping-particle":"","family":"Zhernakova","given":"Alexandra","non-dropping-particle":"","parse-names":false,"suffix":""},{"dropping-particle":"","family":"Huttenhower","given":"Curtis","non-dropping-particle":"","parse-names":false,"suffix":""},{"dropping-particle":"","family":"Wijmenga","given":"Cisca","non-dropping-particle":"","parse-names":false,"suffix":""},{"dropping-particle":"","family":"Netea","given":"Mihai G.","non-dropping-particle":"","parse-names":false,"suffix":""},{"dropping-particle":"","family":"Xavier","given":"Ramnik J.","non-dropping-particle":"","parse-names":false,"suffix":""}],"container-title":"Cell","id":"ITEM-1","issue":"4","issued":{"date-parts":[["2016"]]},"page":"1125-1136.e8","publisher":"Elsevier Inc.","title":"Linking the Human Gut Microbiome to Inflammatory Cytokine Production Capacity","type":"article-journal","volume":"167"},"uris":["http://www.mendeley.com/documents/?uuid=c8fca7f4-9b28-4515-a263-becbe49b970e"]}],"mendeley":{"formattedCitation":"(61)","plainTextFormattedCitation":"(61)","previouslyFormattedCitation":"(60)"},"properties":{"noteIndex":0},"schema":"https://github.com/citation-style-language/schema/raw/master/csl-citation.json"}</w:instrText>
            </w:r>
            <w:r w:rsidRPr="00F23F20">
              <w:rPr>
                <w:rFonts w:ascii="Times New Roman" w:hAnsi="Times New Roman" w:cs="Times New Roman"/>
                <w:color w:val="000000"/>
              </w:rPr>
              <w:fldChar w:fldCharType="separate"/>
            </w:r>
            <w:r w:rsidR="00307058" w:rsidRPr="00307058">
              <w:rPr>
                <w:rFonts w:ascii="Times New Roman" w:hAnsi="Times New Roman" w:cs="Times New Roman"/>
                <w:noProof/>
                <w:color w:val="000000"/>
              </w:rPr>
              <w:t>(61)</w:t>
            </w:r>
            <w:r w:rsidRPr="00F23F20">
              <w:rPr>
                <w:rFonts w:ascii="Times New Roman" w:hAnsi="Times New Roman" w:cs="Times New Roman"/>
                <w:color w:val="000000"/>
              </w:rPr>
              <w:fldChar w:fldCharType="end"/>
            </w:r>
          </w:p>
        </w:tc>
      </w:tr>
    </w:tbl>
    <w:p w14:paraId="565E3C9E" w14:textId="77777777" w:rsidR="00A22E51" w:rsidRPr="00F23F20" w:rsidRDefault="00A22E51" w:rsidP="00A22E51">
      <w:pPr>
        <w:rPr>
          <w:rFonts w:ascii="Times New Roman" w:hAnsi="Times New Roman" w:cs="Times New Roman"/>
        </w:rPr>
      </w:pPr>
      <w:r w:rsidRPr="00F23F20">
        <w:rPr>
          <w:rFonts w:ascii="Times New Roman" w:hAnsi="Times New Roman" w:cs="Times New Roman"/>
          <w:color w:val="000000"/>
        </w:rPr>
        <w:t>*</w:t>
      </w:r>
      <w:r w:rsidRPr="00F23F20">
        <w:rPr>
          <w:rFonts w:ascii="Times New Roman" w:hAnsi="Times New Roman" w:cs="Times New Roman"/>
          <w:b/>
          <w:i/>
          <w:iCs/>
          <w:color w:val="000000"/>
        </w:rPr>
        <w:t xml:space="preserve"> </w:t>
      </w:r>
      <w:r w:rsidRPr="00F23F20">
        <w:rPr>
          <w:rFonts w:ascii="Times New Roman" w:hAnsi="Times New Roman" w:cs="Times New Roman"/>
          <w:iCs/>
          <w:color w:val="000000"/>
        </w:rPr>
        <w:t>Combined forward and reverse paired-end reads</w:t>
      </w:r>
      <w:r w:rsidRPr="00F23F20">
        <w:rPr>
          <w:rFonts w:ascii="Times New Roman" w:hAnsi="Times New Roman" w:cs="Times New Roman"/>
          <w:color w:val="000000"/>
        </w:rPr>
        <w:t>.</w:t>
      </w:r>
    </w:p>
    <w:p w14:paraId="784866B7" w14:textId="77777777" w:rsidR="00A22E51" w:rsidRPr="00F23F20" w:rsidRDefault="00A22E51" w:rsidP="00A22E51">
      <w:pPr>
        <w:rPr>
          <w:rFonts w:ascii="Times New Roman" w:hAnsi="Times New Roman" w:cs="Times New Roman"/>
        </w:rPr>
      </w:pPr>
    </w:p>
    <w:p w14:paraId="0C997B36" w14:textId="77777777" w:rsidR="00A22E51" w:rsidRPr="00F23F20" w:rsidRDefault="00A22E51" w:rsidP="00A22E51">
      <w:pPr>
        <w:spacing w:line="480" w:lineRule="auto"/>
        <w:rPr>
          <w:rFonts w:ascii="Times New Roman" w:hAnsi="Times New Roman" w:cs="Times New Roman"/>
        </w:rPr>
      </w:pPr>
    </w:p>
    <w:p w14:paraId="77187C7D" w14:textId="77777777" w:rsidR="00A22E51" w:rsidRPr="00F23F20" w:rsidRDefault="00A22E51" w:rsidP="00A22E51">
      <w:pPr>
        <w:rPr>
          <w:rFonts w:ascii="Times New Roman" w:hAnsi="Times New Roman" w:cs="Times New Roman"/>
        </w:rPr>
      </w:pPr>
      <w:r w:rsidRPr="00F23F20">
        <w:rPr>
          <w:rFonts w:ascii="Times New Roman" w:hAnsi="Times New Roman" w:cs="Times New Roman"/>
        </w:rPr>
        <w:br w:type="page"/>
      </w:r>
      <w:r w:rsidRPr="00F23F20">
        <w:rPr>
          <w:rFonts w:ascii="Times New Roman" w:hAnsi="Times New Roman" w:cs="Times New Roman"/>
        </w:rPr>
        <w:lastRenderedPageBreak/>
        <w:br w:type="page"/>
      </w:r>
    </w:p>
    <w:p w14:paraId="2D178C4B" w14:textId="77777777" w:rsidR="00883C2C" w:rsidRPr="00F23F20" w:rsidRDefault="00883C2C" w:rsidP="00883C2C">
      <w:pPr>
        <w:pStyle w:val="Heading3"/>
      </w:pPr>
      <w:bookmarkStart w:id="223" w:name="_Toc41908108"/>
      <w:r w:rsidRPr="00F23F20">
        <w:lastRenderedPageBreak/>
        <w:t>Figures</w:t>
      </w:r>
      <w:bookmarkEnd w:id="223"/>
    </w:p>
    <w:p w14:paraId="282BA61A" w14:textId="2431CA35" w:rsidR="00365526" w:rsidRPr="00F23F20" w:rsidRDefault="00883C2C" w:rsidP="00E96229">
      <w:pPr>
        <w:rPr>
          <w:rFonts w:ascii="Times New Roman" w:hAnsi="Times New Roman" w:cs="Times New Roman"/>
          <w:b/>
        </w:rPr>
      </w:pPr>
      <w:r w:rsidRPr="00F23F20">
        <w:rPr>
          <w:noProof/>
        </w:rPr>
        <w:drawing>
          <wp:anchor distT="0" distB="0" distL="114300" distR="114300" simplePos="0" relativeHeight="251670528" behindDoc="0" locked="0" layoutInCell="1" allowOverlap="0" wp14:anchorId="647B2C2B" wp14:editId="7B6DE3A6">
            <wp:simplePos x="0" y="0"/>
            <wp:positionH relativeFrom="page">
              <wp:align>center</wp:align>
            </wp:positionH>
            <wp:positionV relativeFrom="margin">
              <wp:posOffset>182880</wp:posOffset>
            </wp:positionV>
            <wp:extent cx="5495544" cy="1874607"/>
            <wp:effectExtent l="0" t="0" r="0" b="0"/>
            <wp:wrapTopAndBottom/>
            <wp:docPr id="20" name="Picture 20" descr="A picture containing meter,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e1 (1).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95544" cy="1874607"/>
                    </a:xfrm>
                    <a:prstGeom prst="rect">
                      <a:avLst/>
                    </a:prstGeom>
                  </pic:spPr>
                </pic:pic>
              </a:graphicData>
            </a:graphic>
            <wp14:sizeRelH relativeFrom="margin">
              <wp14:pctWidth>0</wp14:pctWidth>
            </wp14:sizeRelH>
            <wp14:sizeRelV relativeFrom="margin">
              <wp14:pctHeight>0</wp14:pctHeight>
            </wp14:sizeRelV>
          </wp:anchor>
        </w:drawing>
      </w:r>
      <w:r w:rsidR="00365526" w:rsidRPr="00F23F20">
        <w:rPr>
          <w:rFonts w:ascii="Times New Roman" w:hAnsi="Times New Roman" w:cs="Times New Roman"/>
          <w:b/>
        </w:rPr>
        <w:t xml:space="preserve">Figure 2.1. </w:t>
      </w:r>
      <w:r w:rsidR="00365526" w:rsidRPr="00F23F20">
        <w:rPr>
          <w:rFonts w:ascii="Times New Roman" w:hAnsi="Times New Roman" w:cs="Times New Roman"/>
        </w:rPr>
        <w:t xml:space="preserve">A flow diagram illustrating the workflow for sequencing experiments. </w:t>
      </w:r>
    </w:p>
    <w:p w14:paraId="2D900378" w14:textId="77777777" w:rsidR="00365526" w:rsidRPr="00F23F20" w:rsidRDefault="00365526" w:rsidP="00365526">
      <w:pPr>
        <w:spacing w:after="160" w:line="480" w:lineRule="auto"/>
        <w:rPr>
          <w:rFonts w:ascii="Times New Roman" w:hAnsi="Times New Roman" w:cs="Times New Roman"/>
          <w:b/>
        </w:rPr>
      </w:pPr>
      <w:r w:rsidRPr="00F23F20">
        <w:rPr>
          <w:rFonts w:ascii="Times New Roman" w:hAnsi="Times New Roman" w:cs="Times New Roman"/>
          <w:b/>
        </w:rPr>
        <w:br w:type="page"/>
      </w:r>
    </w:p>
    <w:p w14:paraId="5E2CB083" w14:textId="252725AD" w:rsidR="00365526" w:rsidRPr="00F23F20" w:rsidRDefault="00150DF8" w:rsidP="00E96229">
      <w:pPr>
        <w:spacing w:line="480" w:lineRule="auto"/>
        <w:rPr>
          <w:rFonts w:ascii="Times New Roman" w:hAnsi="Times New Roman" w:cs="Times New Roman"/>
        </w:rPr>
      </w:pPr>
      <w:r>
        <w:rPr>
          <w:rFonts w:ascii="Times New Roman" w:hAnsi="Times New Roman" w:cs="Times New Roman"/>
          <w:b/>
          <w:noProof/>
        </w:rPr>
        <w:lastRenderedPageBreak/>
        <w:drawing>
          <wp:anchor distT="0" distB="0" distL="114300" distR="114300" simplePos="0" relativeHeight="251685888" behindDoc="0" locked="0" layoutInCell="1" allowOverlap="0" wp14:anchorId="54EB76B6" wp14:editId="1A002A21">
            <wp:simplePos x="0" y="0"/>
            <wp:positionH relativeFrom="page">
              <wp:align>center</wp:align>
            </wp:positionH>
            <wp:positionV relativeFrom="margin">
              <wp:align>top</wp:align>
            </wp:positionV>
            <wp:extent cx="5486400" cy="4306824"/>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fig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86400" cy="4306824"/>
                    </a:xfrm>
                    <a:prstGeom prst="rect">
                      <a:avLst/>
                    </a:prstGeom>
                  </pic:spPr>
                </pic:pic>
              </a:graphicData>
            </a:graphic>
            <wp14:sizeRelH relativeFrom="margin">
              <wp14:pctWidth>0</wp14:pctWidth>
            </wp14:sizeRelH>
            <wp14:sizeRelV relativeFrom="margin">
              <wp14:pctHeight>0</wp14:pctHeight>
            </wp14:sizeRelV>
          </wp:anchor>
        </w:drawing>
      </w:r>
      <w:r w:rsidR="00365526" w:rsidRPr="00F23F20">
        <w:rPr>
          <w:rFonts w:ascii="Times New Roman" w:hAnsi="Times New Roman" w:cs="Times New Roman"/>
          <w:b/>
        </w:rPr>
        <w:t>Figure. 2.2</w:t>
      </w:r>
      <w:r w:rsidR="00365526" w:rsidRPr="00F23F20">
        <w:rPr>
          <w:rFonts w:ascii="Times New Roman" w:hAnsi="Times New Roman" w:cs="Times New Roman"/>
          <w:b/>
          <w:bCs/>
        </w:rPr>
        <w:t>.</w:t>
      </w:r>
      <w:r w:rsidR="00365526" w:rsidRPr="00F23F20">
        <w:rPr>
          <w:rFonts w:ascii="Times New Roman" w:hAnsi="Times New Roman" w:cs="Times New Roman"/>
        </w:rPr>
        <w:t xml:space="preserve"> Sequencing effort, with units of log of sequence reads, required to fully sequence four different community structures, one with relatively high community evenness (A), relatively moderate community evenness (B), relatively low community evenness (C), and one with a lognormal community structure (D), were predicted using linear regressions (E) and the log of metagenome size (total possible </w:t>
      </w:r>
      <w:r w:rsidR="00365526" w:rsidRPr="00F23F20">
        <w:rPr>
          <w:rFonts w:ascii="Times New Roman" w:hAnsi="Times New Roman" w:cs="Times New Roman"/>
          <w:i/>
          <w:iCs/>
        </w:rPr>
        <w:t>k</w:t>
      </w:r>
      <w:r w:rsidR="00365526" w:rsidRPr="00F23F20">
        <w:rPr>
          <w:rFonts w:ascii="Times New Roman" w:hAnsi="Times New Roman" w:cs="Times New Roman"/>
        </w:rPr>
        <w:t>-</w:t>
      </w:r>
      <w:proofErr w:type="spellStart"/>
      <w:r w:rsidR="00365526" w:rsidRPr="00F23F20">
        <w:rPr>
          <w:rFonts w:ascii="Times New Roman" w:hAnsi="Times New Roman" w:cs="Times New Roman"/>
        </w:rPr>
        <w:t>mers</w:t>
      </w:r>
      <w:proofErr w:type="spellEnd"/>
      <w:r w:rsidR="00365526" w:rsidRPr="00F23F20">
        <w:rPr>
          <w:rFonts w:ascii="Times New Roman" w:hAnsi="Times New Roman" w:cs="Times New Roman"/>
        </w:rPr>
        <w:t xml:space="preserve">) as a predictor. </w:t>
      </w:r>
    </w:p>
    <w:p w14:paraId="737C7B76" w14:textId="77777777" w:rsidR="00365526" w:rsidRPr="00F23F20" w:rsidRDefault="00365526" w:rsidP="00365526">
      <w:pPr>
        <w:spacing w:after="160" w:line="480" w:lineRule="auto"/>
        <w:rPr>
          <w:rFonts w:ascii="Times New Roman" w:hAnsi="Times New Roman" w:cs="Times New Roman"/>
        </w:rPr>
      </w:pPr>
      <w:r w:rsidRPr="00F23F20">
        <w:rPr>
          <w:rFonts w:ascii="Times New Roman" w:hAnsi="Times New Roman" w:cs="Times New Roman"/>
        </w:rPr>
        <w:br w:type="page"/>
      </w:r>
    </w:p>
    <w:p w14:paraId="6E9615B5" w14:textId="6AE2C806" w:rsidR="00150DF8" w:rsidRDefault="00150DF8" w:rsidP="00150DF8">
      <w:pPr>
        <w:spacing w:line="480" w:lineRule="auto"/>
        <w:rPr>
          <w:rFonts w:ascii="Times New Roman" w:hAnsi="Times New Roman" w:cs="Times New Roman"/>
          <w:b/>
        </w:rPr>
      </w:pPr>
      <w:r>
        <w:rPr>
          <w:rFonts w:ascii="Times New Roman" w:hAnsi="Times New Roman" w:cs="Times New Roman"/>
          <w:b/>
          <w:noProof/>
        </w:rPr>
        <w:lastRenderedPageBreak/>
        <w:drawing>
          <wp:anchor distT="0" distB="0" distL="114300" distR="114300" simplePos="0" relativeHeight="251686912" behindDoc="0" locked="0" layoutInCell="1" allowOverlap="0" wp14:anchorId="50CAFE54" wp14:editId="6FBAFFCB">
            <wp:simplePos x="0" y="0"/>
            <wp:positionH relativeFrom="page">
              <wp:align>center</wp:align>
            </wp:positionH>
            <wp:positionV relativeFrom="margin">
              <wp:align>top</wp:align>
            </wp:positionV>
            <wp:extent cx="2926080" cy="5522976"/>
            <wp:effectExtent l="0" t="0" r="7620" b="1905"/>
            <wp:wrapTopAndBottom/>
            <wp:docPr id="29" name="Picture 29" descr="A picture containing window, black, dark,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fig3.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6080" cy="5522976"/>
                    </a:xfrm>
                    <a:prstGeom prst="rect">
                      <a:avLst/>
                    </a:prstGeom>
                  </pic:spPr>
                </pic:pic>
              </a:graphicData>
            </a:graphic>
            <wp14:sizeRelH relativeFrom="margin">
              <wp14:pctWidth>0</wp14:pctWidth>
            </wp14:sizeRelH>
            <wp14:sizeRelV relativeFrom="margin">
              <wp14:pctHeight>0</wp14:pctHeight>
            </wp14:sizeRelV>
          </wp:anchor>
        </w:drawing>
      </w:r>
      <w:r w:rsidR="00365526" w:rsidRPr="00F23F20">
        <w:rPr>
          <w:rFonts w:ascii="Times New Roman" w:hAnsi="Times New Roman" w:cs="Times New Roman"/>
          <w:b/>
        </w:rPr>
        <w:t>Figure 2</w:t>
      </w:r>
      <w:r w:rsidR="00365526" w:rsidRPr="00F23F20">
        <w:rPr>
          <w:rFonts w:ascii="Times New Roman" w:hAnsi="Times New Roman" w:cs="Times New Roman"/>
          <w:b/>
          <w:bCs/>
        </w:rPr>
        <w:t>.3.</w:t>
      </w:r>
      <w:r w:rsidR="00365526" w:rsidRPr="00F23F20">
        <w:rPr>
          <w:rFonts w:ascii="Times New Roman" w:hAnsi="Times New Roman" w:cs="Times New Roman"/>
        </w:rPr>
        <w:t xml:space="preserve"> Sequencing effort, with units of log sequence reads, necessary to reach variable target sequencing depths (colors) for four different community structures, one with relatively high community evenness (A), relatively moderate community evenness (B), relatively low community evenness (C), and one with a lognormal community structure (D). Red translucent lines correspond with linear regression curves for the respective community in Figure 2.3E.</w:t>
      </w:r>
      <w:r w:rsidR="00365526" w:rsidRPr="00F23F20">
        <w:rPr>
          <w:rFonts w:ascii="Times New Roman" w:hAnsi="Times New Roman" w:cs="Times New Roman"/>
        </w:rPr>
        <w:br w:type="page"/>
      </w:r>
      <w:r>
        <w:rPr>
          <w:rFonts w:ascii="Times New Roman" w:hAnsi="Times New Roman" w:cs="Times New Roman"/>
          <w:b/>
          <w:noProof/>
        </w:rPr>
        <w:lastRenderedPageBreak/>
        <w:drawing>
          <wp:anchor distT="0" distB="0" distL="114300" distR="114300" simplePos="0" relativeHeight="251687936" behindDoc="0" locked="0" layoutInCell="1" allowOverlap="0" wp14:anchorId="5D0939C1" wp14:editId="74A39562">
            <wp:simplePos x="0" y="0"/>
            <wp:positionH relativeFrom="page">
              <wp:align>center</wp:align>
            </wp:positionH>
            <wp:positionV relativeFrom="margin">
              <wp:align>top</wp:align>
            </wp:positionV>
            <wp:extent cx="5486400" cy="3172968"/>
            <wp:effectExtent l="0" t="0" r="0" b="8890"/>
            <wp:wrapTopAndBottom/>
            <wp:docPr id="30" name="Picture 30" descr="A picture containing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fig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86400" cy="3172968"/>
                    </a:xfrm>
                    <a:prstGeom prst="rect">
                      <a:avLst/>
                    </a:prstGeom>
                  </pic:spPr>
                </pic:pic>
              </a:graphicData>
            </a:graphic>
            <wp14:sizeRelH relativeFrom="margin">
              <wp14:pctWidth>0</wp14:pctWidth>
            </wp14:sizeRelH>
            <wp14:sizeRelV relativeFrom="margin">
              <wp14:pctHeight>0</wp14:pctHeight>
            </wp14:sizeRelV>
          </wp:anchor>
        </w:drawing>
      </w:r>
      <w:r w:rsidR="00365526" w:rsidRPr="00F23F20">
        <w:rPr>
          <w:rFonts w:ascii="Times New Roman" w:hAnsi="Times New Roman" w:cs="Times New Roman"/>
          <w:b/>
        </w:rPr>
        <w:t>Figure 2.4</w:t>
      </w:r>
      <w:r w:rsidR="00365526" w:rsidRPr="00F23F20">
        <w:rPr>
          <w:rFonts w:ascii="Times New Roman" w:hAnsi="Times New Roman" w:cs="Times New Roman"/>
          <w:b/>
          <w:bCs/>
        </w:rPr>
        <w:t>.</w:t>
      </w:r>
      <w:r w:rsidR="00365526" w:rsidRPr="00F23F20">
        <w:rPr>
          <w:rFonts w:ascii="Times New Roman" w:hAnsi="Times New Roman" w:cs="Times New Roman"/>
        </w:rPr>
        <w:t xml:space="preserve"> Numerical sequencing simulations applied to 6 hypothetical communities with different lognormal distributions that were defined by the parameter, </w:t>
      </w:r>
      <w:r w:rsidR="00365526" w:rsidRPr="00F23F20">
        <w:rPr>
          <w:rFonts w:ascii="Times New Roman" w:hAnsi="Times New Roman" w:cs="Times New Roman"/>
          <w:i/>
        </w:rPr>
        <w:t>a</w:t>
      </w:r>
      <w:r w:rsidR="00365526" w:rsidRPr="00F23F20">
        <w:rPr>
          <w:rFonts w:ascii="Times New Roman" w:hAnsi="Times New Roman" w:cs="Times New Roman"/>
        </w:rPr>
        <w:t>, from equation 2.7 (A). The sequencing effort, with units of log of sequence reads, necessary to sequence a target fraction of</w:t>
      </w:r>
      <m:oMath>
        <m:r>
          <m:rPr>
            <m:sty m:val="p"/>
          </m:rPr>
          <w:rPr>
            <w:rFonts w:ascii="Cambria Math" w:hAnsi="Cambria Math" w:cs="Times New Roman"/>
          </w:rPr>
          <m:t xml:space="preserve"> </m:t>
        </m:r>
      </m:oMath>
      <w:r w:rsidR="00365526" w:rsidRPr="00F23F20">
        <w:rPr>
          <w:rFonts w:ascii="Times New Roman" w:hAnsi="Times New Roman" w:cs="Times New Roman"/>
        </w:rPr>
        <w:t xml:space="preserve">exhaustion (dashed contours) as a function of the Pielou evenness index, </w:t>
      </w:r>
      <w:r w:rsidR="00365526" w:rsidRPr="00F23F20">
        <w:rPr>
          <w:rFonts w:ascii="Times New Roman" w:hAnsi="Times New Roman" w:cs="Times New Roman"/>
          <w:i/>
        </w:rPr>
        <w:t>J</w:t>
      </w:r>
      <w:r w:rsidR="00365526" w:rsidRPr="00F23F20">
        <w:rPr>
          <w:rFonts w:ascii="Times New Roman" w:hAnsi="Times New Roman" w:cs="Times New Roman"/>
        </w:rPr>
        <w:t>, for a given lognormal community structure (B).</w:t>
      </w:r>
      <w:r w:rsidR="00365526" w:rsidRPr="00F23F20">
        <w:rPr>
          <w:rFonts w:ascii="Times New Roman" w:hAnsi="Times New Roman" w:cs="Times New Roman"/>
          <w:b/>
        </w:rPr>
        <w:t xml:space="preserve"> </w:t>
      </w:r>
    </w:p>
    <w:p w14:paraId="2BE96F6E" w14:textId="77777777" w:rsidR="00365526" w:rsidRPr="00F23F20" w:rsidRDefault="00365526" w:rsidP="00365526">
      <w:pPr>
        <w:spacing w:line="480" w:lineRule="auto"/>
        <w:rPr>
          <w:rFonts w:ascii="Times New Roman" w:hAnsi="Times New Roman" w:cs="Times New Roman"/>
          <w:b/>
        </w:rPr>
      </w:pPr>
    </w:p>
    <w:p w14:paraId="65C1870A" w14:textId="19D79BD2" w:rsidR="00365526" w:rsidRPr="00F23F20" w:rsidRDefault="00365526" w:rsidP="00883C2C">
      <w:pPr>
        <w:spacing w:after="160" w:line="480" w:lineRule="auto"/>
        <w:rPr>
          <w:rFonts w:ascii="Times New Roman" w:hAnsi="Times New Roman" w:cs="Times New Roman"/>
        </w:rPr>
      </w:pPr>
      <w:r w:rsidRPr="00F23F20">
        <w:rPr>
          <w:rFonts w:ascii="Times New Roman" w:hAnsi="Times New Roman" w:cs="Times New Roman"/>
          <w:b/>
        </w:rPr>
        <w:br w:type="page"/>
      </w:r>
      <w:r w:rsidR="00150DF8">
        <w:rPr>
          <w:rFonts w:ascii="Times New Roman" w:hAnsi="Times New Roman" w:cs="Times New Roman"/>
          <w:b/>
          <w:noProof/>
        </w:rPr>
        <w:lastRenderedPageBreak/>
        <w:drawing>
          <wp:anchor distT="0" distB="0" distL="114300" distR="114300" simplePos="0" relativeHeight="251688960" behindDoc="0" locked="0" layoutInCell="1" allowOverlap="0" wp14:anchorId="0F8A76D6" wp14:editId="147182EA">
            <wp:simplePos x="0" y="0"/>
            <wp:positionH relativeFrom="page">
              <wp:align>center</wp:align>
            </wp:positionH>
            <wp:positionV relativeFrom="margin">
              <wp:align>top</wp:align>
            </wp:positionV>
            <wp:extent cx="3493008" cy="5925312"/>
            <wp:effectExtent l="0" t="0" r="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mfig5.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93008" cy="5925312"/>
                    </a:xfrm>
                    <a:prstGeom prst="rect">
                      <a:avLst/>
                    </a:prstGeom>
                  </pic:spPr>
                </pic:pic>
              </a:graphicData>
            </a:graphic>
            <wp14:sizeRelH relativeFrom="margin">
              <wp14:pctWidth>0</wp14:pctWidth>
            </wp14:sizeRelH>
            <wp14:sizeRelV relativeFrom="margin">
              <wp14:pctHeight>0</wp14:pctHeight>
            </wp14:sizeRelV>
          </wp:anchor>
        </w:drawing>
      </w:r>
      <w:r w:rsidRPr="00F23F20">
        <w:rPr>
          <w:rFonts w:ascii="Times New Roman" w:hAnsi="Times New Roman" w:cs="Times New Roman"/>
          <w:b/>
        </w:rPr>
        <w:t xml:space="preserve">Figure 2.5. </w:t>
      </w:r>
      <w:r w:rsidRPr="00F23F20">
        <w:rPr>
          <w:rFonts w:ascii="Times New Roman" w:hAnsi="Times New Roman" w:cs="Times New Roman"/>
        </w:rPr>
        <w:t>Numerical sequencing simulations show the number of bases (color bar) required to sequence a target fraction of a genome as a function of that genome’s relative abundance in the community metagenome. Genomes evaluated were 0.5×10</w:t>
      </w:r>
      <w:r w:rsidRPr="00F23F20">
        <w:rPr>
          <w:rFonts w:ascii="Times New Roman" w:hAnsi="Times New Roman" w:cs="Times New Roman"/>
          <w:vertAlign w:val="superscript"/>
        </w:rPr>
        <w:t>6</w:t>
      </w:r>
      <w:r w:rsidRPr="00F23F20">
        <w:rPr>
          <w:rFonts w:ascii="Times New Roman" w:hAnsi="Times New Roman" w:cs="Times New Roman"/>
        </w:rPr>
        <w:t xml:space="preserve"> (A), 2×10</w:t>
      </w:r>
      <w:r w:rsidRPr="00F23F20">
        <w:rPr>
          <w:rFonts w:ascii="Times New Roman" w:hAnsi="Times New Roman" w:cs="Times New Roman"/>
          <w:vertAlign w:val="superscript"/>
        </w:rPr>
        <w:t>6</w:t>
      </w:r>
      <w:r w:rsidRPr="00F23F20">
        <w:rPr>
          <w:rFonts w:ascii="Times New Roman" w:hAnsi="Times New Roman" w:cs="Times New Roman"/>
        </w:rPr>
        <w:t xml:space="preserve"> (B), 5×10</w:t>
      </w:r>
      <w:r w:rsidRPr="00F23F20">
        <w:rPr>
          <w:rFonts w:ascii="Times New Roman" w:hAnsi="Times New Roman" w:cs="Times New Roman"/>
          <w:vertAlign w:val="superscript"/>
        </w:rPr>
        <w:t xml:space="preserve">6 </w:t>
      </w:r>
      <w:r w:rsidRPr="00F23F20">
        <w:rPr>
          <w:rFonts w:ascii="Times New Roman" w:hAnsi="Times New Roman" w:cs="Times New Roman"/>
        </w:rPr>
        <w:t>(C), 10×10</w:t>
      </w:r>
      <w:r w:rsidRPr="00F23F20">
        <w:rPr>
          <w:rFonts w:ascii="Times New Roman" w:hAnsi="Times New Roman" w:cs="Times New Roman"/>
          <w:vertAlign w:val="superscript"/>
        </w:rPr>
        <w:t xml:space="preserve">6 </w:t>
      </w:r>
      <w:r w:rsidRPr="00F23F20">
        <w:rPr>
          <w:rFonts w:ascii="Times New Roman" w:hAnsi="Times New Roman" w:cs="Times New Roman"/>
        </w:rPr>
        <w:t>(D), and 20×10</w:t>
      </w:r>
      <w:r w:rsidRPr="00F23F20">
        <w:rPr>
          <w:rFonts w:ascii="Times New Roman" w:hAnsi="Times New Roman" w:cs="Times New Roman"/>
          <w:vertAlign w:val="superscript"/>
        </w:rPr>
        <w:t xml:space="preserve">6 </w:t>
      </w:r>
      <w:r w:rsidRPr="00F23F20">
        <w:rPr>
          <w:rFonts w:ascii="Times New Roman" w:hAnsi="Times New Roman" w:cs="Times New Roman"/>
        </w:rPr>
        <w:t xml:space="preserve">(E) base pairs long. </w:t>
      </w:r>
    </w:p>
    <w:p w14:paraId="4C667CF9" w14:textId="7F818972" w:rsidR="00365526" w:rsidRPr="00F23F20" w:rsidRDefault="00365526" w:rsidP="00365526">
      <w:pPr>
        <w:spacing w:after="160"/>
        <w:rPr>
          <w:rFonts w:ascii="Times New Roman" w:hAnsi="Times New Roman" w:cs="Times New Roman"/>
        </w:rPr>
      </w:pPr>
      <w:r w:rsidRPr="00F23F20">
        <w:rPr>
          <w:rFonts w:ascii="Times New Roman" w:hAnsi="Times New Roman" w:cs="Times New Roman"/>
        </w:rPr>
        <w:br w:type="page"/>
      </w:r>
    </w:p>
    <w:p w14:paraId="12D53D58" w14:textId="6445B77B" w:rsidR="00365526" w:rsidRPr="00F23F20" w:rsidRDefault="00150DF8" w:rsidP="00365526">
      <w:pPr>
        <w:spacing w:after="160" w:line="480" w:lineRule="auto"/>
        <w:rPr>
          <w:rFonts w:ascii="Times New Roman" w:hAnsi="Times New Roman" w:cs="Times New Roman"/>
        </w:rPr>
      </w:pPr>
      <w:r>
        <w:rPr>
          <w:rFonts w:ascii="Times New Roman" w:hAnsi="Times New Roman" w:cs="Times New Roman"/>
          <w:b/>
          <w:noProof/>
        </w:rPr>
        <w:lastRenderedPageBreak/>
        <w:drawing>
          <wp:anchor distT="0" distB="0" distL="114300" distR="114300" simplePos="0" relativeHeight="251689984" behindDoc="0" locked="0" layoutInCell="1" allowOverlap="0" wp14:anchorId="619CE8E9" wp14:editId="3EA0392A">
            <wp:simplePos x="0" y="0"/>
            <wp:positionH relativeFrom="page">
              <wp:align>center</wp:align>
            </wp:positionH>
            <wp:positionV relativeFrom="margin">
              <wp:align>top</wp:align>
            </wp:positionV>
            <wp:extent cx="5495544" cy="3614084"/>
            <wp:effectExtent l="0" t="0" r="0" b="5715"/>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mfig6.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95544" cy="3614084"/>
                    </a:xfrm>
                    <a:prstGeom prst="rect">
                      <a:avLst/>
                    </a:prstGeom>
                  </pic:spPr>
                </pic:pic>
              </a:graphicData>
            </a:graphic>
            <wp14:sizeRelH relativeFrom="margin">
              <wp14:pctWidth>0</wp14:pctWidth>
            </wp14:sizeRelH>
            <wp14:sizeRelV relativeFrom="margin">
              <wp14:pctHeight>0</wp14:pctHeight>
            </wp14:sizeRelV>
          </wp:anchor>
        </w:drawing>
      </w:r>
      <w:r w:rsidR="00365526" w:rsidRPr="00F23F20">
        <w:rPr>
          <w:rFonts w:ascii="Times New Roman" w:hAnsi="Times New Roman" w:cs="Times New Roman"/>
          <w:b/>
        </w:rPr>
        <w:t>Figure 2.6.</w:t>
      </w:r>
      <w:r w:rsidR="00365526" w:rsidRPr="00F23F20">
        <w:rPr>
          <w:rFonts w:ascii="Times New Roman" w:hAnsi="Times New Roman" w:cs="Times New Roman"/>
        </w:rPr>
        <w:t xml:space="preserve"> The influence that the parameters </w:t>
      </w:r>
      <w:r w:rsidR="00365526" w:rsidRPr="00F23F20">
        <w:rPr>
          <w:rFonts w:ascii="Times New Roman" w:hAnsi="Times New Roman" w:cs="Times New Roman"/>
          <w:i/>
        </w:rPr>
        <w:t>A</w:t>
      </w:r>
      <w:r w:rsidR="00365526" w:rsidRPr="00F23F20">
        <w:rPr>
          <w:rFonts w:ascii="Times New Roman" w:hAnsi="Times New Roman" w:cs="Times New Roman"/>
        </w:rPr>
        <w:t xml:space="preserve">, </w:t>
      </w:r>
      <w:r w:rsidR="00365526" w:rsidRPr="00F23F20">
        <w:rPr>
          <w:rFonts w:ascii="Times New Roman" w:hAnsi="Times New Roman" w:cs="Times New Roman"/>
          <w:i/>
        </w:rPr>
        <w:t>µ</w:t>
      </w:r>
      <w:r w:rsidR="00365526" w:rsidRPr="00F23F20">
        <w:rPr>
          <w:rFonts w:ascii="Times New Roman" w:hAnsi="Times New Roman" w:cs="Times New Roman"/>
        </w:rPr>
        <w:t xml:space="preserve">, and </w:t>
      </w:r>
      <w:r w:rsidR="00365526" w:rsidRPr="00F23F20">
        <w:rPr>
          <w:rFonts w:ascii="Times New Roman" w:hAnsi="Times New Roman" w:cs="Times New Roman"/>
          <w:i/>
        </w:rPr>
        <w:t>λ</w:t>
      </w:r>
      <w:r w:rsidR="00365526" w:rsidRPr="00F23F20">
        <w:rPr>
          <w:rFonts w:ascii="Times New Roman" w:hAnsi="Times New Roman" w:cs="Times New Roman"/>
        </w:rPr>
        <w:t xml:space="preserve"> had on the </w:t>
      </w:r>
      <w:proofErr w:type="spellStart"/>
      <w:r w:rsidR="00365526" w:rsidRPr="00F23F20">
        <w:rPr>
          <w:rFonts w:ascii="Times New Roman" w:hAnsi="Times New Roman" w:cs="Times New Roman"/>
        </w:rPr>
        <w:t>Gompertz</w:t>
      </w:r>
      <w:proofErr w:type="spellEnd"/>
      <w:r w:rsidR="00365526" w:rsidRPr="00F23F20">
        <w:rPr>
          <w:rFonts w:ascii="Times New Roman" w:hAnsi="Times New Roman" w:cs="Times New Roman"/>
        </w:rPr>
        <w:t xml:space="preserve"> equation (A). The property of the </w:t>
      </w:r>
      <w:proofErr w:type="spellStart"/>
      <w:r w:rsidR="00365526" w:rsidRPr="00F23F20">
        <w:rPr>
          <w:rFonts w:ascii="Times New Roman" w:hAnsi="Times New Roman" w:cs="Times New Roman"/>
        </w:rPr>
        <w:t>Gompertz</w:t>
      </w:r>
      <w:proofErr w:type="spellEnd"/>
      <w:r w:rsidR="00365526" w:rsidRPr="00F23F20">
        <w:rPr>
          <w:rFonts w:ascii="Times New Roman" w:hAnsi="Times New Roman" w:cs="Times New Roman"/>
        </w:rPr>
        <w:t xml:space="preserve"> equation that each parameter influences is colored red. The sum of medium quality and high quality (quality MAGs) as a function of sequencing effort for the gut (B), soil (C), surface ocean (D), and sediment (E) communities. Solid lines in (B-E) correspond to nonlinear least squares fits of the </w:t>
      </w:r>
      <w:proofErr w:type="spellStart"/>
      <w:r w:rsidR="00365526" w:rsidRPr="00F23F20">
        <w:rPr>
          <w:rFonts w:ascii="Times New Roman" w:hAnsi="Times New Roman" w:cs="Times New Roman"/>
        </w:rPr>
        <w:t>Gompertz</w:t>
      </w:r>
      <w:proofErr w:type="spellEnd"/>
      <w:r w:rsidR="00365526" w:rsidRPr="00F23F20">
        <w:rPr>
          <w:rFonts w:ascii="Times New Roman" w:hAnsi="Times New Roman" w:cs="Times New Roman"/>
        </w:rPr>
        <w:t xml:space="preserve"> equation to the respective environmental dataset.</w:t>
      </w:r>
    </w:p>
    <w:p w14:paraId="199F0721" w14:textId="77777777" w:rsidR="00365526" w:rsidRPr="00F23F20" w:rsidRDefault="00365526" w:rsidP="00365526">
      <w:pPr>
        <w:spacing w:after="160" w:line="480" w:lineRule="auto"/>
        <w:rPr>
          <w:rFonts w:ascii="Times New Roman" w:hAnsi="Times New Roman" w:cs="Times New Roman"/>
        </w:rPr>
      </w:pPr>
      <w:r w:rsidRPr="00F23F20">
        <w:rPr>
          <w:rFonts w:ascii="Times New Roman" w:hAnsi="Times New Roman" w:cs="Times New Roman"/>
        </w:rPr>
        <w:br w:type="page"/>
      </w:r>
    </w:p>
    <w:p w14:paraId="4D6C1E25" w14:textId="4682747C" w:rsidR="00365526" w:rsidRPr="00F23F20" w:rsidRDefault="00365526" w:rsidP="00E96229">
      <w:pPr>
        <w:spacing w:line="480" w:lineRule="auto"/>
        <w:rPr>
          <w:rFonts w:ascii="Times New Roman" w:hAnsi="Times New Roman" w:cs="Times New Roman"/>
        </w:rPr>
      </w:pPr>
      <w:r w:rsidRPr="00F23F20">
        <w:rPr>
          <w:rFonts w:ascii="Times New Roman" w:hAnsi="Times New Roman" w:cs="Times New Roman"/>
          <w:b/>
          <w:noProof/>
        </w:rPr>
        <w:lastRenderedPageBreak/>
        <w:drawing>
          <wp:anchor distT="0" distB="0" distL="114300" distR="114300" simplePos="0" relativeHeight="251671552" behindDoc="0" locked="0" layoutInCell="1" allowOverlap="0" wp14:anchorId="056CA3A8" wp14:editId="12E5F2C7">
            <wp:simplePos x="0" y="0"/>
            <wp:positionH relativeFrom="page">
              <wp:align>center</wp:align>
            </wp:positionH>
            <wp:positionV relativeFrom="margin">
              <wp:align>top</wp:align>
            </wp:positionV>
            <wp:extent cx="3429224" cy="3895344"/>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7.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429224" cy="3895344"/>
                    </a:xfrm>
                    <a:prstGeom prst="rect">
                      <a:avLst/>
                    </a:prstGeom>
                  </pic:spPr>
                </pic:pic>
              </a:graphicData>
            </a:graphic>
            <wp14:sizeRelH relativeFrom="margin">
              <wp14:pctWidth>0</wp14:pctWidth>
            </wp14:sizeRelH>
            <wp14:sizeRelV relativeFrom="margin">
              <wp14:pctHeight>0</wp14:pctHeight>
            </wp14:sizeRelV>
          </wp:anchor>
        </w:drawing>
      </w:r>
      <w:r w:rsidRPr="00F23F20">
        <w:rPr>
          <w:rFonts w:ascii="Times New Roman" w:hAnsi="Times New Roman" w:cs="Times New Roman"/>
          <w:b/>
        </w:rPr>
        <w:t xml:space="preserve">Figure 2.7. </w:t>
      </w:r>
      <w:r w:rsidRPr="00F23F20">
        <w:rPr>
          <w:rFonts w:ascii="Times New Roman" w:hAnsi="Times New Roman" w:cs="Times New Roman"/>
        </w:rPr>
        <w:t>Quality MAGs (medium</w:t>
      </w:r>
      <w:r w:rsidR="009A5F56">
        <w:rPr>
          <w:rFonts w:ascii="Times New Roman" w:hAnsi="Times New Roman" w:cs="Times New Roman"/>
        </w:rPr>
        <w:t>-</w:t>
      </w:r>
      <w:r w:rsidRPr="00F23F20">
        <w:rPr>
          <w:rFonts w:ascii="Times New Roman" w:hAnsi="Times New Roman" w:cs="Times New Roman"/>
        </w:rPr>
        <w:t xml:space="preserve"> and high</w:t>
      </w:r>
      <w:r w:rsidR="009A5F56">
        <w:rPr>
          <w:rFonts w:ascii="Times New Roman" w:hAnsi="Times New Roman" w:cs="Times New Roman"/>
        </w:rPr>
        <w:t>-</w:t>
      </w:r>
      <w:r w:rsidRPr="00F23F20">
        <w:rPr>
          <w:rFonts w:ascii="Times New Roman" w:hAnsi="Times New Roman" w:cs="Times New Roman"/>
        </w:rPr>
        <w:t xml:space="preserve">quality) as a function of rarest genome sequenced to 50% exhaustion for human gut, maize soil, estuarian sediment, and surface ocean sequence datasets. Sequencing effort was converted to genome relative abundance sequenced to target fraction using the GAM presented in Figure 2.5. The translucent shaded areas correspond to uncertainty from the target genome size (1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or the lower-bound, to 20 </w:t>
      </w:r>
      <w:proofErr w:type="spellStart"/>
      <w:r w:rsidRPr="00F23F20">
        <w:rPr>
          <w:rFonts w:ascii="Times New Roman" w:hAnsi="Times New Roman" w:cs="Times New Roman"/>
        </w:rPr>
        <w:t>Mbp</w:t>
      </w:r>
      <w:proofErr w:type="spellEnd"/>
      <w:r w:rsidRPr="00F23F20">
        <w:rPr>
          <w:rFonts w:ascii="Times New Roman" w:hAnsi="Times New Roman" w:cs="Times New Roman"/>
        </w:rPr>
        <w:t xml:space="preserve">, or the upper-bound) while the solid lines correspond to genome sizes 5 </w:t>
      </w:r>
      <w:proofErr w:type="spellStart"/>
      <w:r w:rsidRPr="00F23F20">
        <w:rPr>
          <w:rFonts w:ascii="Times New Roman" w:hAnsi="Times New Roman" w:cs="Times New Roman"/>
        </w:rPr>
        <w:t>Mbp</w:t>
      </w:r>
      <w:proofErr w:type="spellEnd"/>
      <w:r w:rsidRPr="00F23F20">
        <w:rPr>
          <w:rFonts w:ascii="Times New Roman" w:hAnsi="Times New Roman" w:cs="Times New Roman"/>
        </w:rPr>
        <w:t>.</w:t>
      </w:r>
    </w:p>
    <w:p w14:paraId="47CD4B6E" w14:textId="77777777" w:rsidR="00365526" w:rsidRPr="00F23F20" w:rsidRDefault="00365526" w:rsidP="00365526">
      <w:pPr>
        <w:spacing w:after="160" w:line="480" w:lineRule="auto"/>
        <w:rPr>
          <w:rFonts w:ascii="Times New Roman" w:hAnsi="Times New Roman" w:cs="Times New Roman"/>
        </w:rPr>
      </w:pPr>
      <w:r w:rsidRPr="00F23F20">
        <w:rPr>
          <w:rFonts w:ascii="Times New Roman" w:hAnsi="Times New Roman" w:cs="Times New Roman"/>
        </w:rPr>
        <w:br w:type="page"/>
      </w:r>
    </w:p>
    <w:p w14:paraId="3D1ADBBF" w14:textId="6E9EB381" w:rsidR="007A342F" w:rsidRDefault="00150DF8" w:rsidP="00C71F88">
      <w:pPr>
        <w:spacing w:after="160" w:line="480" w:lineRule="auto"/>
        <w:rPr>
          <w:rFonts w:ascii="Times New Roman" w:hAnsi="Times New Roman" w:cs="Times New Roman"/>
        </w:rPr>
      </w:pPr>
      <w:r>
        <w:rPr>
          <w:rFonts w:ascii="Times New Roman" w:hAnsi="Times New Roman" w:cs="Times New Roman"/>
          <w:b/>
          <w:noProof/>
        </w:rPr>
        <w:lastRenderedPageBreak/>
        <w:drawing>
          <wp:anchor distT="0" distB="0" distL="114300" distR="114300" simplePos="0" relativeHeight="251691008" behindDoc="0" locked="0" layoutInCell="1" allowOverlap="0" wp14:anchorId="2675DBB8" wp14:editId="7102D093">
            <wp:simplePos x="0" y="0"/>
            <wp:positionH relativeFrom="page">
              <wp:align>center</wp:align>
            </wp:positionH>
            <wp:positionV relativeFrom="margin">
              <wp:align>top</wp:align>
            </wp:positionV>
            <wp:extent cx="4471416" cy="4078224"/>
            <wp:effectExtent l="0" t="0" r="5715"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mfig8.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471416" cy="4078224"/>
                    </a:xfrm>
                    <a:prstGeom prst="rect">
                      <a:avLst/>
                    </a:prstGeom>
                  </pic:spPr>
                </pic:pic>
              </a:graphicData>
            </a:graphic>
            <wp14:sizeRelH relativeFrom="margin">
              <wp14:pctWidth>0</wp14:pctWidth>
            </wp14:sizeRelH>
            <wp14:sizeRelV relativeFrom="margin">
              <wp14:pctHeight>0</wp14:pctHeight>
            </wp14:sizeRelV>
          </wp:anchor>
        </w:drawing>
      </w:r>
      <w:r w:rsidR="00365526" w:rsidRPr="00F23F20">
        <w:rPr>
          <w:rFonts w:ascii="Times New Roman" w:hAnsi="Times New Roman" w:cs="Times New Roman"/>
          <w:b/>
        </w:rPr>
        <w:t xml:space="preserve">Figure 2.8. </w:t>
      </w:r>
      <w:r w:rsidR="00365526" w:rsidRPr="00F23F20">
        <w:rPr>
          <w:rFonts w:ascii="Times New Roman" w:hAnsi="Times New Roman" w:cs="Times New Roman"/>
          <w:color w:val="000000"/>
        </w:rPr>
        <w:t xml:space="preserve">A cartoon illustrating an </w:t>
      </w:r>
      <w:bookmarkStart w:id="224" w:name="_Hlk523390290"/>
      <w:r w:rsidR="00365526" w:rsidRPr="00F23F20">
        <w:rPr>
          <w:rFonts w:ascii="Times New Roman" w:hAnsi="Times New Roman" w:cs="Times New Roman"/>
          <w:color w:val="000000"/>
        </w:rPr>
        <w:t>example microbial community (</w:t>
      </w:r>
      <w:r w:rsidR="00365526" w:rsidRPr="00F23F20">
        <w:rPr>
          <w:rFonts w:ascii="Times New Roman" w:hAnsi="Times New Roman" w:cs="Times New Roman"/>
          <w:i/>
          <w:color w:val="000000"/>
        </w:rPr>
        <w:t>G</w:t>
      </w:r>
      <w:r w:rsidR="00365526" w:rsidRPr="00F23F20">
        <w:rPr>
          <w:rFonts w:ascii="Times New Roman" w:hAnsi="Times New Roman" w:cs="Times New Roman"/>
          <w:color w:val="000000"/>
        </w:rPr>
        <w:t>), the metagenomes for genomes (</w:t>
      </w:r>
      <w:proofErr w:type="spellStart"/>
      <w:r w:rsidR="00365526" w:rsidRPr="00F23F20">
        <w:rPr>
          <w:rFonts w:ascii="Times New Roman" w:hAnsi="Times New Roman" w:cs="Times New Roman"/>
          <w:i/>
          <w:color w:val="000000"/>
        </w:rPr>
        <w:t>g</w:t>
      </w:r>
      <w:r w:rsidR="00365526" w:rsidRPr="00F23F20">
        <w:rPr>
          <w:rFonts w:ascii="Times New Roman" w:hAnsi="Times New Roman" w:cs="Times New Roman"/>
          <w:color w:val="000000"/>
          <w:vertAlign w:val="subscript"/>
        </w:rPr>
        <w:t>MG,i</w:t>
      </w:r>
      <w:proofErr w:type="spellEnd"/>
      <w:r w:rsidR="00365526" w:rsidRPr="00F23F20">
        <w:rPr>
          <w:rFonts w:ascii="Times New Roman" w:hAnsi="Times New Roman" w:cs="Times New Roman"/>
          <w:color w:val="000000"/>
        </w:rPr>
        <w:t xml:space="preserve">) (as defined in equation 2.2) within </w:t>
      </w:r>
      <w:r w:rsidR="00365526" w:rsidRPr="00F23F20">
        <w:rPr>
          <w:rFonts w:ascii="Times New Roman" w:hAnsi="Times New Roman" w:cs="Times New Roman"/>
          <w:i/>
          <w:color w:val="000000"/>
        </w:rPr>
        <w:t>G</w:t>
      </w:r>
      <w:bookmarkEnd w:id="224"/>
      <w:r w:rsidR="00365526" w:rsidRPr="00F23F20">
        <w:rPr>
          <w:rFonts w:ascii="Times New Roman" w:hAnsi="Times New Roman" w:cs="Times New Roman"/>
          <w:color w:val="000000"/>
        </w:rPr>
        <w:t>, and the overall metagenome for the given microbial community (</w:t>
      </w:r>
      <w:r w:rsidR="00365526" w:rsidRPr="00F23F20">
        <w:rPr>
          <w:rFonts w:ascii="Times New Roman" w:hAnsi="Times New Roman" w:cs="Times New Roman"/>
          <w:i/>
          <w:color w:val="000000"/>
        </w:rPr>
        <w:t>G</w:t>
      </w:r>
      <w:r w:rsidR="00365526" w:rsidRPr="00F23F20">
        <w:rPr>
          <w:rFonts w:ascii="Times New Roman" w:hAnsi="Times New Roman" w:cs="Times New Roman"/>
          <w:color w:val="000000"/>
          <w:vertAlign w:val="subscript"/>
        </w:rPr>
        <w:t>MG</w:t>
      </w:r>
      <w:r w:rsidR="00365526" w:rsidRPr="00F23F20">
        <w:rPr>
          <w:rFonts w:ascii="Times New Roman" w:hAnsi="Times New Roman" w:cs="Times New Roman"/>
          <w:color w:val="000000"/>
        </w:rPr>
        <w:t>). In this example, there are 6 genomes (</w:t>
      </w:r>
      <w:r w:rsidR="00365526" w:rsidRPr="00F23F20">
        <w:rPr>
          <w:rFonts w:ascii="Times New Roman" w:hAnsi="Times New Roman" w:cs="Times New Roman"/>
          <w:i/>
          <w:color w:val="000000"/>
        </w:rPr>
        <w:t>s</w:t>
      </w:r>
      <w:r w:rsidR="00365526" w:rsidRPr="00F23F20">
        <w:rPr>
          <w:rFonts w:ascii="Times New Roman" w:hAnsi="Times New Roman" w:cs="Times New Roman"/>
          <w:color w:val="000000"/>
        </w:rPr>
        <w:t xml:space="preserve">=6) and a total of 13 individual microbes. (A) Black circles represent individual microbes whose genomes are averaged together, </w:t>
      </w:r>
      <w:r w:rsidR="00365526" w:rsidRPr="00F23F20">
        <w:rPr>
          <w:rFonts w:ascii="Times New Roman" w:hAnsi="Times New Roman" w:cs="Times New Roman"/>
          <w:i/>
          <w:color w:val="000000"/>
        </w:rPr>
        <w:t>g</w:t>
      </w:r>
      <w:r w:rsidR="00365526" w:rsidRPr="00F23F20">
        <w:rPr>
          <w:rFonts w:ascii="Times New Roman" w:hAnsi="Times New Roman" w:cs="Times New Roman"/>
          <w:color w:val="000000"/>
        </w:rPr>
        <w:t xml:space="preserve">. The average genome, </w:t>
      </w:r>
      <w:r w:rsidR="00365526" w:rsidRPr="00F23F20">
        <w:rPr>
          <w:rFonts w:ascii="Times New Roman" w:hAnsi="Times New Roman" w:cs="Times New Roman"/>
          <w:i/>
          <w:color w:val="000000"/>
        </w:rPr>
        <w:t>g</w:t>
      </w:r>
      <w:r w:rsidR="00365526" w:rsidRPr="00F23F20">
        <w:rPr>
          <w:rFonts w:ascii="Times New Roman" w:hAnsi="Times New Roman" w:cs="Times New Roman"/>
          <w:color w:val="000000"/>
        </w:rPr>
        <w:t xml:space="preserve">, are indicated by different color inner-circles. (B) Individual average genomes can be sequenced at </w:t>
      </w:r>
      <w:r w:rsidR="00365526" w:rsidRPr="00F23F20">
        <w:rPr>
          <w:rFonts w:ascii="Times New Roman" w:hAnsi="Times New Roman" w:cs="Times New Roman"/>
          <w:i/>
          <w:color w:val="000000"/>
        </w:rPr>
        <w:t>K</w:t>
      </w:r>
      <w:r w:rsidR="00365526" w:rsidRPr="00F23F20">
        <w:rPr>
          <w:rFonts w:ascii="Times New Roman" w:hAnsi="Times New Roman" w:cs="Times New Roman"/>
          <w:color w:val="000000"/>
        </w:rPr>
        <w:t xml:space="preserve"> unique positions depending on the characteristic read length, </w:t>
      </w:r>
      <w:r w:rsidR="00365526" w:rsidRPr="00F23F20">
        <w:rPr>
          <w:rFonts w:ascii="Times New Roman" w:hAnsi="Times New Roman" w:cs="Times New Roman"/>
          <w:i/>
          <w:color w:val="000000"/>
        </w:rPr>
        <w:t>k</w:t>
      </w:r>
      <w:r w:rsidR="00365526" w:rsidRPr="00F23F20">
        <w:rPr>
          <w:rFonts w:ascii="Times New Roman" w:hAnsi="Times New Roman" w:cs="Times New Roman"/>
          <w:color w:val="000000"/>
        </w:rPr>
        <w:t xml:space="preserve">, of a sequencer. (C) All unique positions that can be sequenced for a given genome, </w:t>
      </w:r>
      <w:r w:rsidR="00365526" w:rsidRPr="00F23F20">
        <w:rPr>
          <w:rFonts w:ascii="Times New Roman" w:hAnsi="Times New Roman" w:cs="Times New Roman"/>
          <w:i/>
          <w:color w:val="000000"/>
        </w:rPr>
        <w:t>g</w:t>
      </w:r>
      <w:r w:rsidR="00365526" w:rsidRPr="00F23F20">
        <w:rPr>
          <w:rFonts w:ascii="Times New Roman" w:hAnsi="Times New Roman" w:cs="Times New Roman"/>
          <w:color w:val="000000"/>
        </w:rPr>
        <w:t xml:space="preserve">, defines the metagenome, </w:t>
      </w:r>
      <w:proofErr w:type="spellStart"/>
      <w:r w:rsidR="00365526" w:rsidRPr="00F23F20">
        <w:rPr>
          <w:rFonts w:ascii="Times New Roman" w:hAnsi="Times New Roman" w:cs="Times New Roman"/>
          <w:i/>
          <w:color w:val="000000"/>
        </w:rPr>
        <w:t>g</w:t>
      </w:r>
      <w:r w:rsidR="00365526" w:rsidRPr="00F23F20">
        <w:rPr>
          <w:rFonts w:ascii="Times New Roman" w:hAnsi="Times New Roman" w:cs="Times New Roman"/>
          <w:color w:val="000000"/>
          <w:vertAlign w:val="subscript"/>
        </w:rPr>
        <w:t>MG</w:t>
      </w:r>
      <w:proofErr w:type="spellEnd"/>
      <w:r w:rsidR="00365526" w:rsidRPr="00F23F20">
        <w:rPr>
          <w:rFonts w:ascii="Times New Roman" w:hAnsi="Times New Roman" w:cs="Times New Roman"/>
          <w:color w:val="000000"/>
        </w:rPr>
        <w:t xml:space="preserve">, for the </w:t>
      </w:r>
      <w:proofErr w:type="spellStart"/>
      <w:r w:rsidR="00365526" w:rsidRPr="00F23F20">
        <w:rPr>
          <w:rFonts w:ascii="Times New Roman" w:hAnsi="Times New Roman" w:cs="Times New Roman"/>
          <w:i/>
          <w:color w:val="000000"/>
        </w:rPr>
        <w:t>i</w:t>
      </w:r>
      <w:r w:rsidR="00365526" w:rsidRPr="00F23F20">
        <w:rPr>
          <w:rFonts w:ascii="Times New Roman" w:hAnsi="Times New Roman" w:cs="Times New Roman"/>
          <w:color w:val="000000"/>
          <w:vertAlign w:val="superscript"/>
        </w:rPr>
        <w:t>th</w:t>
      </w:r>
      <w:proofErr w:type="spellEnd"/>
      <w:r w:rsidR="00365526" w:rsidRPr="00F23F20">
        <w:rPr>
          <w:rFonts w:ascii="Times New Roman" w:hAnsi="Times New Roman" w:cs="Times New Roman"/>
          <w:color w:val="000000"/>
        </w:rPr>
        <w:t xml:space="preserve"> genome, </w:t>
      </w:r>
      <w:proofErr w:type="spellStart"/>
      <w:r w:rsidR="00365526" w:rsidRPr="00F23F20">
        <w:rPr>
          <w:rFonts w:ascii="Times New Roman" w:hAnsi="Times New Roman" w:cs="Times New Roman"/>
          <w:i/>
          <w:color w:val="000000"/>
        </w:rPr>
        <w:t>g</w:t>
      </w:r>
      <w:r w:rsidR="00365526" w:rsidRPr="00F23F20">
        <w:rPr>
          <w:rFonts w:ascii="Times New Roman" w:hAnsi="Times New Roman" w:cs="Times New Roman"/>
          <w:i/>
          <w:color w:val="000000"/>
          <w:vertAlign w:val="subscript"/>
        </w:rPr>
        <w:t>i</w:t>
      </w:r>
      <w:proofErr w:type="spellEnd"/>
      <w:r w:rsidR="00365526" w:rsidRPr="00F23F20">
        <w:rPr>
          <w:rFonts w:ascii="Times New Roman" w:hAnsi="Times New Roman" w:cs="Times New Roman"/>
          <w:color w:val="000000"/>
        </w:rPr>
        <w:t xml:space="preserve">. (D) Replacing all individual genomes in (A) with metagenomes, </w:t>
      </w:r>
      <w:proofErr w:type="spellStart"/>
      <w:r w:rsidR="00365526" w:rsidRPr="00F23F20">
        <w:rPr>
          <w:rFonts w:ascii="Times New Roman" w:hAnsi="Times New Roman" w:cs="Times New Roman"/>
          <w:i/>
          <w:color w:val="000000"/>
        </w:rPr>
        <w:t>g</w:t>
      </w:r>
      <w:r w:rsidR="00365526" w:rsidRPr="00F23F20">
        <w:rPr>
          <w:rFonts w:ascii="Times New Roman" w:hAnsi="Times New Roman" w:cs="Times New Roman"/>
          <w:color w:val="000000"/>
          <w:vertAlign w:val="subscript"/>
        </w:rPr>
        <w:t>MG</w:t>
      </w:r>
      <w:proofErr w:type="spellEnd"/>
      <w:r w:rsidR="00365526" w:rsidRPr="00F23F20">
        <w:rPr>
          <w:rFonts w:ascii="Times New Roman" w:hAnsi="Times New Roman" w:cs="Times New Roman"/>
          <w:color w:val="000000"/>
        </w:rPr>
        <w:t xml:space="preserve">, gives the metagenome of the microbial community, </w:t>
      </w:r>
      <w:r w:rsidR="00365526" w:rsidRPr="00F23F20">
        <w:rPr>
          <w:rFonts w:ascii="Times New Roman" w:hAnsi="Times New Roman" w:cs="Times New Roman"/>
          <w:i/>
          <w:color w:val="000000"/>
        </w:rPr>
        <w:t>G</w:t>
      </w:r>
      <w:r w:rsidR="00365526" w:rsidRPr="00F23F20">
        <w:rPr>
          <w:rFonts w:ascii="Times New Roman" w:hAnsi="Times New Roman" w:cs="Times New Roman"/>
          <w:color w:val="000000"/>
          <w:vertAlign w:val="subscript"/>
        </w:rPr>
        <w:t>MG</w:t>
      </w:r>
      <w:bookmarkStart w:id="225" w:name="_Hlk525571552"/>
      <w:bookmarkEnd w:id="225"/>
      <w:r w:rsidR="00365526" w:rsidRPr="00F23F20">
        <w:rPr>
          <w:rFonts w:ascii="Times New Roman" w:hAnsi="Times New Roman" w:cs="Times New Roman"/>
          <w:color w:val="000000"/>
        </w:rPr>
        <w:t>.</w:t>
      </w:r>
      <w:r w:rsidR="00365526" w:rsidRPr="00F23F20">
        <w:rPr>
          <w:rFonts w:ascii="Times New Roman" w:hAnsi="Times New Roman" w:cs="Times New Roman"/>
        </w:rPr>
        <w:t xml:space="preserve"> </w:t>
      </w:r>
      <w:r w:rsidR="007A342F">
        <w:rPr>
          <w:rFonts w:ascii="Times New Roman" w:hAnsi="Times New Roman" w:cs="Times New Roman"/>
        </w:rPr>
        <w:br w:type="page"/>
      </w:r>
    </w:p>
    <w:p w14:paraId="12F0946A" w14:textId="2C00FDF1" w:rsidR="00365526" w:rsidRPr="00F23F20" w:rsidRDefault="00365526" w:rsidP="00150DF8">
      <w:pPr>
        <w:spacing w:after="160" w:line="480" w:lineRule="auto"/>
        <w:rPr>
          <w:rFonts w:ascii="Times New Roman" w:hAnsi="Times New Roman" w:cs="Times New Roman"/>
        </w:rPr>
      </w:pPr>
      <w:r w:rsidRPr="00F23F20">
        <w:rPr>
          <w:rFonts w:ascii="Times New Roman" w:hAnsi="Times New Roman" w:cs="Times New Roman"/>
        </w:rPr>
        <w:lastRenderedPageBreak/>
        <w:br w:type="page"/>
      </w:r>
    </w:p>
    <w:p w14:paraId="28B97D7F" w14:textId="77777777" w:rsidR="00365526" w:rsidRPr="00F23F20" w:rsidRDefault="00365526" w:rsidP="00365526">
      <w:pPr>
        <w:pStyle w:val="Heading1"/>
      </w:pPr>
      <w:bookmarkStart w:id="226" w:name="_Toc420995908"/>
      <w:bookmarkStart w:id="227" w:name="_Toc422997495"/>
      <w:r w:rsidRPr="00F23F20">
        <w:lastRenderedPageBreak/>
        <w:br/>
      </w:r>
      <w:bookmarkStart w:id="228" w:name="_Toc41908109"/>
      <w:bookmarkEnd w:id="226"/>
      <w:bookmarkEnd w:id="227"/>
      <w:r w:rsidRPr="00F23F20">
        <w:t xml:space="preserve">A </w:t>
      </w:r>
      <w:r>
        <w:t>Q</w:t>
      </w:r>
      <w:r w:rsidRPr="00F23F20">
        <w:t xml:space="preserve">uantitative </w:t>
      </w:r>
      <w:r>
        <w:t>M</w:t>
      </w:r>
      <w:r w:rsidRPr="00F23F20">
        <w:t xml:space="preserve">easure of </w:t>
      </w:r>
      <w:r>
        <w:t>F</w:t>
      </w:r>
      <w:r w:rsidRPr="00F23F20">
        <w:t xml:space="preserve">unctional </w:t>
      </w:r>
      <w:r>
        <w:t>R</w:t>
      </w:r>
      <w:r w:rsidRPr="00F23F20">
        <w:t xml:space="preserve">edundancy in </w:t>
      </w:r>
      <w:r>
        <w:t>M</w:t>
      </w:r>
      <w:r w:rsidRPr="00F23F20">
        <w:t xml:space="preserve">icrobial </w:t>
      </w:r>
      <w:r>
        <w:t>E</w:t>
      </w:r>
      <w:r w:rsidRPr="00F23F20">
        <w:t>cosystems</w:t>
      </w:r>
      <w:bookmarkEnd w:id="228"/>
    </w:p>
    <w:p w14:paraId="6F103C83"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5CEE6373"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406A2857" w14:textId="77777777" w:rsidR="00365526" w:rsidRPr="00F23F20" w:rsidRDefault="00365526" w:rsidP="00365526">
      <w:pPr>
        <w:rPr>
          <w:rFonts w:ascii="Times New Roman" w:hAnsi="Times New Roman" w:cs="Times New Roman"/>
          <w:b/>
          <w:bCs/>
          <w:iCs/>
          <w:sz w:val="28"/>
          <w:szCs w:val="28"/>
        </w:rPr>
      </w:pPr>
      <w:r w:rsidRPr="00F23F20">
        <w:rPr>
          <w:rFonts w:ascii="Times New Roman" w:hAnsi="Times New Roman" w:cs="Times New Roman"/>
        </w:rPr>
        <w:br w:type="page"/>
      </w:r>
    </w:p>
    <w:p w14:paraId="7293B022" w14:textId="7CCC9055" w:rsidR="007916F1" w:rsidRPr="00093A6E" w:rsidRDefault="00E45AA5" w:rsidP="00093A6E">
      <w:pPr>
        <w:rPr>
          <w:rFonts w:ascii="Times New Roman" w:hAnsi="Times New Roman" w:cs="Times New Roman"/>
        </w:rPr>
      </w:pPr>
      <w:r w:rsidRPr="00093A6E">
        <w:rPr>
          <w:rFonts w:ascii="Times New Roman" w:hAnsi="Times New Roman" w:cs="Times New Roman"/>
        </w:rPr>
        <w:lastRenderedPageBreak/>
        <w:t xml:space="preserve">This chapter is published as a preprint at </w:t>
      </w:r>
      <w:proofErr w:type="spellStart"/>
      <w:r w:rsidRPr="00093A6E">
        <w:rPr>
          <w:rFonts w:ascii="Times New Roman" w:hAnsi="Times New Roman" w:cs="Times New Roman"/>
        </w:rPr>
        <w:t>Bioxriv</w:t>
      </w:r>
      <w:proofErr w:type="spellEnd"/>
      <w:r w:rsidRPr="00093A6E">
        <w:rPr>
          <w:rFonts w:ascii="Times New Roman" w:hAnsi="Times New Roman" w:cs="Times New Roman"/>
        </w:rPr>
        <w:t xml:space="preserve"> by Taylor M. Royalty and Andrew D. Steen. </w:t>
      </w:r>
      <w:r w:rsidR="00122D7B" w:rsidRPr="00093A6E">
        <w:rPr>
          <w:rFonts w:ascii="Times New Roman" w:hAnsi="Times New Roman" w:cs="Times New Roman"/>
        </w:rPr>
        <w:t xml:space="preserve">Andrew D. Steen aided in analysis, interpretation, and idea conception. </w:t>
      </w:r>
      <w:r w:rsidRPr="00093A6E">
        <w:rPr>
          <w:rFonts w:ascii="Times New Roman" w:hAnsi="Times New Roman" w:cs="Times New Roman"/>
        </w:rPr>
        <w:t xml:space="preserve">A version is available at </w:t>
      </w:r>
      <w:hyperlink r:id="rId31" w:history="1">
        <w:r w:rsidR="007916F1" w:rsidRPr="00093A6E">
          <w:rPr>
            <w:rStyle w:val="Hyperlink"/>
            <w:rFonts w:ascii="Times New Roman" w:hAnsi="Times New Roman" w:cs="Times New Roman"/>
          </w:rPr>
          <w:t>https://doi.org/10.1101/2020.04.22.054593</w:t>
        </w:r>
      </w:hyperlink>
      <w:r w:rsidR="007916F1" w:rsidRPr="00093A6E">
        <w:rPr>
          <w:rFonts w:ascii="Times New Roman" w:hAnsi="Times New Roman" w:cs="Times New Roman"/>
        </w:rPr>
        <w:t xml:space="preserve"> </w:t>
      </w:r>
      <w:r w:rsidR="007916F1" w:rsidRPr="00093A6E">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{"citationItems":[{"id":"ITEM-1","itemData":{"DOI":"doi.org/10.1101/2020.04.22.054593","author":[{"dropping-particle":"","family":"Royalty","given":"Taylor M","non-dropping-particle":"","parse-names":false,"suffix":""},{"dropping-particle":"","family":"Steen","given":"Andrew D","non-dropping-particle":"","parse-names":false,"suffix":""}],"container-title":"bioRxiv","id":"ITEM-1","issued":{"date-parts":[["2020"]]},"title":"A quantitative measure of functional redundancy in microbial ecosystems","type":"article-journal"},"uris":["http://www.mendeley.com/documents/?uuid=debe6854-2b15-4870-a1ab-6f176341615d"]}],"mendeley":{"formattedCitation":"(83)","plainTextFormattedCitation":"(83)","previouslyFormattedCitation":"(82)"},"properties":{"noteIndex":0},"schema":"https://github.com/citation-style-language/schema/raw/master/csl-citation.json"}</w:instrText>
      </w:r>
      <w:r w:rsidR="007916F1" w:rsidRPr="00093A6E">
        <w:rPr>
          <w:rFonts w:ascii="Times New Roman" w:hAnsi="Times New Roman" w:cs="Times New Roman"/>
        </w:rPr>
        <w:fldChar w:fldCharType="separate"/>
      </w:r>
      <w:r w:rsidR="00307058" w:rsidRPr="00307058">
        <w:rPr>
          <w:rFonts w:ascii="Times New Roman" w:hAnsi="Times New Roman" w:cs="Times New Roman"/>
          <w:noProof/>
        </w:rPr>
        <w:t>(83)</w:t>
      </w:r>
      <w:r w:rsidR="007916F1" w:rsidRPr="00093A6E">
        <w:rPr>
          <w:rFonts w:ascii="Times New Roman" w:hAnsi="Times New Roman" w:cs="Times New Roman"/>
        </w:rPr>
        <w:fldChar w:fldCharType="end"/>
      </w:r>
      <w:r w:rsidR="007916F1" w:rsidRPr="00093A6E">
        <w:rPr>
          <w:rFonts w:ascii="Times New Roman" w:hAnsi="Times New Roman" w:cs="Times New Roman"/>
        </w:rPr>
        <w:t>.</w:t>
      </w:r>
    </w:p>
    <w:p w14:paraId="1610267A" w14:textId="73C54923" w:rsidR="00365526" w:rsidRPr="00F23F20" w:rsidRDefault="00365526" w:rsidP="007916F1">
      <w:pPr>
        <w:pStyle w:val="Heading2"/>
      </w:pPr>
      <w:bookmarkStart w:id="229" w:name="_Toc41908110"/>
      <w:r w:rsidRPr="00F23F20">
        <w:t>Abstract</w:t>
      </w:r>
      <w:bookmarkEnd w:id="229"/>
    </w:p>
    <w:p w14:paraId="04A0D5B7" w14:textId="77777777"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Although functional redundancy has received increased attention in the microbial ecology literature, no quantitative functional redundancy measurement is currently available which compares multiple communities and integrates ‘omics data rather than phenotypic traits. Here, we propose an approach for quantifying functional redundancy that use ‘omics data. This approach, termed trait contribution evenness (TCE), is based on traditional measures of community diversity. We measure functional redundancy of a trait within a community as the evenness in relative contribution of that trait among taxa within the community. This definition has several appealing properties including: TCE is an extension of established diversity theory, functional redundancy measurements from communities with different richness and relative trait contribution by taxa are easily comparable, and any quantifiable trait data (genes copies, protein abundance, transcript copies, respiration rates, etc.) is suitable for analysis. Resilience of a trait to taxa extinctions is often viewed as an ecological consequence of traits with high functional redundancy. We demonstrate that TCE functional redundancy is closely and monotonically related to the resilience of a trait to extinctions of trait-bearing taxa. Finally, to illustrate the applicability of TCE, we analyzed the functional redundancy of eight nitrogen-transforming pathways using 2,631 metagenome-assembled genomes from 47 TARA Oceans sites. We found that the NH</w:t>
      </w:r>
      <w:r w:rsidRPr="00F23F20">
        <w:rPr>
          <w:rFonts w:ascii="Times New Roman" w:hAnsi="Times New Roman" w:cs="Times New Roman"/>
          <w:vertAlign w:val="subscript"/>
        </w:rPr>
        <w:t>4</w:t>
      </w:r>
      <w:r w:rsidRPr="00F23F20">
        <w:rPr>
          <w:rFonts w:ascii="Times New Roman" w:hAnsi="Times New Roman" w:cs="Times New Roman"/>
          <w:vertAlign w:val="superscript"/>
        </w:rPr>
        <w:t>+</w:t>
      </w:r>
      <w:r w:rsidRPr="00F23F20">
        <w:rPr>
          <w:rFonts w:ascii="Times New Roman" w:hAnsi="Times New Roman" w:cs="Times New Roman"/>
        </w:rPr>
        <w:t xml:space="preserve"> assimilation pathway was the most functionally redundant (0.6 to 0.7) while nitrification had the lowest functional </w:t>
      </w:r>
      <w:r w:rsidRPr="00F23F20">
        <w:rPr>
          <w:rFonts w:ascii="Times New Roman" w:hAnsi="Times New Roman" w:cs="Times New Roman"/>
        </w:rPr>
        <w:lastRenderedPageBreak/>
        <w:t>redundancy (0 to 0.1). Here, TCE functional redundancy addresses shortfalls of other functional redundancy measurements by providing a generalizable, quantitative, and comparable functional redundancy measurement.</w:t>
      </w:r>
    </w:p>
    <w:p w14:paraId="29337438" w14:textId="77777777" w:rsidR="00365526" w:rsidRPr="00F23F20" w:rsidRDefault="00365526" w:rsidP="00365526">
      <w:pPr>
        <w:pStyle w:val="Heading2"/>
      </w:pPr>
      <w:bookmarkStart w:id="230" w:name="_Toc41908111"/>
      <w:r w:rsidRPr="00F23F20">
        <w:t>Importance</w:t>
      </w:r>
      <w:bookmarkEnd w:id="230"/>
    </w:p>
    <w:p w14:paraId="35FE5EA9" w14:textId="77777777"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The broad application of ‘omics technologies in microbiological studies highlights the necessity of integrating traditional ecological theory with omics data when quantifying community functional redundancy. Such an approach should allow for comparisons in functional redundancy between different samples, sites, and studies. Here, we propose measuring functional redundancy based on an expansion of already existing diversity theory. This approach measures how evenly different members in a community contribute to the overall level of a trait within a community. The utility in the approach proposed here will allow for broad evaluation of traits.</w:t>
      </w:r>
    </w:p>
    <w:p w14:paraId="7A825CD2" w14:textId="77777777" w:rsidR="00365526" w:rsidRPr="00F23F20" w:rsidRDefault="00365526" w:rsidP="00365526">
      <w:pPr>
        <w:pStyle w:val="Heading2"/>
      </w:pPr>
      <w:bookmarkStart w:id="231" w:name="_Toc41908112"/>
      <w:r w:rsidRPr="00F23F20">
        <w:t>Introduction</w:t>
      </w:r>
      <w:bookmarkEnd w:id="231"/>
    </w:p>
    <w:p w14:paraId="762FE5E9" w14:textId="39B140BD" w:rsidR="00365526" w:rsidRPr="00F23F20" w:rsidRDefault="00365526" w:rsidP="00365526">
      <w:pPr>
        <w:spacing w:line="480" w:lineRule="auto"/>
        <w:ind w:firstLine="720"/>
        <w:rPr>
          <w:rFonts w:ascii="Times New Roman" w:hAnsi="Times New Roman" w:cs="Times New Roman"/>
        </w:rPr>
      </w:pPr>
      <w:bookmarkStart w:id="232" w:name="_heading=h.gjdgxs" w:colFirst="0" w:colLast="0"/>
      <w:bookmarkEnd w:id="232"/>
      <w:r w:rsidRPr="00F23F20">
        <w:rPr>
          <w:rFonts w:ascii="Times New Roman" w:hAnsi="Times New Roman" w:cs="Times New Roman"/>
        </w:rPr>
        <w:t xml:space="preserve">In recent years, the emergence of ‘omics technologies has greatly improved microbial ecologists’ ability to evaluate the relationships between phylogeny, trait distributions and environmental gradients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{"citationItems":[{"id":"ITEM-1","itemData":{"DOI":"10.1038/ismej.2012.160","ISBN":"1751-7370 (Electronic)\\r1751-7362 (Linking)","ISSN":"17517362","PMID":"23235290","abstract":"A central question in biology is how biodiversity influences ecosystem functioning. Underlying this is the relationship between organismal phylogeny and the presence of specific functional traits. The relationship is complicated by gene loss and convergent evolution, resulting in the polyphyletic distribution of many traits. In microorganisms, lateral gene transfer can further distort the linkage between phylogeny and the presence of specific functional traits. To identify the phylogenetic conservation of specific traits in microorganisms, we developed a new phylogenetic metric-consenTRAIT-to estimate the clade depth where organisms share a trait. We then analyzed the distribution of 89 functional traits across a broad range of Bacteria and Archaea using genotypic and phenotypic data. A total of 93% of the traits were significantly non-randomly distributed, which suggested that vertical inheritance was generally important for the phylogenetic dispersion of functional traits in microorganisms. Further, traits in microbes were associated with a continuum of trait depths (τD), ranging from a few deep to many shallow clades (average τD: 0.101-0.0011 rRNA sequence dissimilarity). Next, we demonstrated that the dispersion and the depth of clades that contain a trait is correlated with the trait's complexity. Specifically, complex traits encoded by many genes like photosynthesis and methanogenesis were found in a few deep clusters, whereas the ability to use simple carbon substrates was highly phylogenetically dispersed. On the basis of these results, we propose a framework for predicting the phylogenetic conservatism of functional traits depending on the complexity of the trait. This framework enables predicting how variation in microbial composition may affect microbially-mediated ecosystem processes as well as linking phylogenetic and trait-based patterns of biogeography.","author":[{"dropping-particle":"","family":"Martiny","given":"Adam C.","non-dropping-particle":"","parse-names":false,"suffix":""},{"dropping-particle":"","family":"Treseder","given":"Kathleen","non-dropping-particle":"","parse-names":false,"suffix":""},{"dropping-particle":"","family":"Pusch","given":"Gordon","non-dropping-particle":"","parse-names":false,"suffix":""}],"container-title":"ISME Journal","id":"ITEM-1","issue":"4","issued":{"date-parts":[["2013"]]},"page":"830-838","publisher":"Nature Publishing Group","title":"Phylogenetic conservatism of functional traits in microorganisms","type":"article-journal","volume":"7"},"uris":["http://www.mendeley.com/documents/?uuid=678b7b71-712f-461d-aa29-33d3abc93f1a"]},{"id":"ITEM-2","itemData":{"DOI":"10.1128/mSphere.00446-19","author":[{"dropping-particle":"","family":"Royalty","given":"Taylor M","non-dropping-particle":"","parse-names":false,"suffix":""},{"dropping-particle":"","family":"Steen","given":"Andrew D.","non-dropping-particle":"","parse-names":false,"suffix":""}],"container-title":"mSphere","id":"ITEM-2","issue":"4","issued":{"date-parts":[["2019"]]},"page":"e00446-19","title":"Quantitatively Partitioning Microbial Genomic Traits among Taxonomic Ranks across the Microbial Tree of Life","type":"article-journal","volume":"4"},"uris":["http://www.mendeley.com/documents/?uuid=df6cbc9e-12c8-4dfc-8963-710a4034e653"]},{"id":"ITEM-3","itemData":{"DOI":"10.1126/science.aan5712","ISSN":"10959203","abstract":"Marine ecosystem models have advanced to incorporate metabolic pathways discovered with genomic sequencing, but direct comparisons between models and “omics” data are lacking. We developed a model that directly simulates metagenomes and metatranscriptomes for comparison with observations. Model microbes were randomly assigned genes for specialized functions, and communities of 68 species were simulated in the Atlantic Ocean. Unfit organisms were replaced, and the model self-organized to develop community genomes and transcriptomes. Emergent communities from simulations that were initialized with different cohorts of randomly generated microbes all produced realistic vertical and horizontal ocean nutrient, genome, and transcriptome gradients. Thus, the library of gene functions available to the community, rather than the distribution of functions among specific organisms, drove community assembly and biogeochemical gradients in the model ocean.","author":[{"dropping-particle":"","family":"Coles","given":"V. J.","non-dropping-particle":"","parse-names":false,"suffix":""},{"dropping-particle":"","family":"Stukel","given":"M. R.","non-dropping-particle":"","parse-names":false,"suffix":""},{"dropping-particle":"","family":"Brooks","given":"M. T.","non-dropping-particle":"","parse-names":false,"suffix":""},{"dropping-particle":"","family":"Burd","given":"A.","non-dropping-particle":"","parse-names":false,"suffix":""},{"dropping-particle":"","family":"Crump","given":"B. C.","non-dropping-particle":"","parse-names":false,"suffix":""},{"dropping-particle":"","family":"Moran","given":"M. A.","non-dropping-particle":"","parse-names":false,"suffix":""},{"dropping-particle":"","family":"Paul","given":"J. H.","non-dropping-particle":"","parse-names":false,"suffix":""},{"dropping-particle":"","family":"Satinsky","given":"B. M.","non-dropping-particle":"","parse-names":false,"suffix":""},{"dropping-particle":"","family":"Yager","given":"P. L.","non-dropping-particle":"","parse-names":false,"suffix":""},{"dropping-particle":"","family":"Zielinski","given":"B. L.","non-dropping-particle":"","parse-names":false,"suffix":""},{"dropping-particle":"","family":"Hood","given":"R. R.","non-dropping-particle":"","parse-names":false,"suffix":""}],"container-title":"Science","id":"ITEM-3","issue":"6367","issued":{"date-parts":[["2017"]]},"page":"1149-1154","title":"Ocean biogeochemistry modeled with emergent trait-based genomics","type":"article-journal","volume":"358"},"uris":["http://www.mendeley.com/documents/?uuid=9d971c7c-bece-47c4-bb88-e9713813e01b"]},{"id":"ITEM-4","itemData":{"DOI":"10.1126/science.1261359","ISSN":"0036-8075","abstract":"Microbes are dominant drivers of biogeochemical processes, yet drawing a global picture of functional diversity, microbial community structure, and their ecological determinants remains a grand challenge. We analyzed 7.2 terabases of metagenomic data from 243 Tara Oceans samples from 68 locations in epipelagic and mesopelagic waters across the globe to generate an ocean microbial reference gene catalog with &gt;40 million nonredundant, mostly novel sequences from viruses, prokaryotes, and picoeukaryotes. Using 139 prokaryote-enriched samples, containing &gt;35,000 species, we show vertical stratification with epipelagic community composition mostly driven by temperature rather than other environmental factors or geography. We identify ocean microbial core functionality and reveal that &gt;73% of its abundance is shared with the human gut microbiome despite the physicochemical differences between these two ecosystems.","author":[{"dropping-particle":"","family":"Sunagawa","given":"S.","non-dropping-particle":"","parse-names":false,"suffix":""},{"dropping-particle":"","family":"Coelho","given":"L. P.","non-dropping-particle":"","parse-names":false,"suffix":""},{"dropping-particle":"","family":"Chaffron","given":"S.","non-dropping-particle":"","parse-names":false,"suffix":""},{"dropping-particle":"","family":"Kultima","given":"J. R.","non-dropping-particle":"","parse-names":false,"suffix":""},{"dropping-particle":"","family":"Labadie","given":"K.","non-dropping-particle":"","parse-names":false,"suffix":""},{"dropping-particle":"","family":"Salazar","given":"G.","non-dropping-particle":"","parse-names":false,"suffix":""},{"dropping-particle":"","family":"Djahanschiri","given":"B.","non-dropping-particle":"","parse-names":false,"suffix":""},{"dropping-particle":"","family":"Zeller","given":"G.","non-dropping-particle":"","parse-names":false,"suffix":""},{"dropping-particle":"","family":"Mende","given":"D. R.","non-dropping-particle":"","parse-names":false,"suffix":""},{"dropping-particle":"","family":"Alberti","given":"A.","non-dropping-particle":"","parse-names":false,"suffix":""},{"dropping-particle":"","family":"Cornejo-Castillo","given":"F. M.","non-dropping-particle":"","parse-names":false,"suffix":""},{"dropping-particle":"","family":"Costea","given":"P. I.","non-dropping-particle":"","parse-names":false,"suffix":""},{"dropping-particle":"","family":"Cruaud","given":"C.","non-dropping-particle":"","parse-names":false,"suffix":""},{"dropping-particle":"","family":"d'Ovidio","given":"F.","non-dropping-particle":"","parse-names":false,"suffix":""},{"dropping-particle":"","family":"Engelen","given":"S.","non-dropping-particle":"","parse-names":false,"suffix":""},{"dropping-particle":"","family":"Ferrera","given":"I.","non-dropping-particle":"","parse-names":false,"suffix":""},{"dropping-particle":"","family":"Gasol","given":"J. M.","non-dropping-particle":"","parse-names":false,"suffix":""},{"dropping-particle":"","family":"Guidi","given":"L.","non-dropping-particle":"","parse-names":false,"suffix":""},{"dropping-particle":"","family":"Hildebrand","given":"F.","non-dropping-particle":"","parse-names":false,"suffix":""},{"dropping-particle":"","family":"Kokoszka","given":"F.","non-dropping-particle":"","parse-names":false,"suffix":""},{"dropping-particle":"","family":"Lepoivre","given":"C.","non-dropping-particle":"","parse-names":false,"suffix":""},{"dropping-particle":"","family":"Lima-Mendez","given":"G.","non-dropping-particle":"","parse-names":false,"suffix":""},{"dropping-particle":"","family":"Poulain","given":"J.","non-dropping-particle":"","parse-names":false,"suffix":""},{"dropping-particle":"","family":"Poulos","given":"B. T.","non-dropping-particle":"","parse-names":false,"suffix":""},{"dropping-particle":"","family":"Royo-Llonch","given":"M.","non-dropping-particle":"","parse-names":false,"suffix":""},{"dropping-particle":"","family":"Sarmento","given":"H.","non-dropping-particle":"","parse-names":false,"suffix":""},{"dropping-particle":"","family":"Vieira-Silva","given":"S.","non-dropping-particle":"","parse-names":false,"suffix":""},{"dropping-particle":"","family":"Dimier","given":"C.","non-dropping-particle":"","parse-names":false,"suffix":""},{"dropping-particle":"","family":"Picheral","given":"M.","non-dropping-particle":"","parse-names":false,"suffix":""},{"dropping-particle":"","family":"Searson","given":"S.","non-dropping-particle":"","parse-names":false,"suffix":""},{"dropping-particle":"","family":"Kandels-Lewis","given":"S.","non-dropping-particle":"","parse-names":false,"suffix":""},{"dropping-particle":"","family":"Bowler","given":"C.","non-dropping-particle":"","parse-names":false,"suffix":""},{"dropping-particle":"","family":"Vargas","given":"C.","non-dropping-particle":"de","parse-names":false,"suffix":""},{"dropping-particle":"","family":"Gorsky","given":"G.","non-dropping-particle":"","parse-names":false,"suffix":""},{"dropping-particle":"","family":"Grimsley","given":"N.","non-dropping-particle":"","parse-names":false,"suffix":""},{"dropping-particle":"","family":"Hingamp","given":"P.","non-dropping-particle":"","parse-names":false,"suffix":""},{"dropping-particle":"","family":"Iudicone","given":"D.","non-dropping-particle":"","parse-names":false,"suffix":""},{"dropping-particle":"","family":"Jaillon","given":"O.","non-dropping-particle":"","parse-names":false,"suffix":""},{"dropping-particle":"","family":"Not","given":"F.","non-dropping-particle":"","parse-names":false,"suffix":""},{"dropping-particle":"","family":"Ogata","given":"H.","non-dropping-particle":"","parse-names":false,"suffix":""},{"dropping-particle":"","family":"Pesant","given":"S.","non-dropping-particle":"","parse-names":false,"suffix":""},{"dropping-particle":"","family":"Speich","given":"S.","non-dropping-particle":"","parse-names":false,"suffix":""},{"dropping-particle":"","family":"Stemmann","given":"L.","non-dropping-particle":"","parse-names":false,"suffix":""},{"dropping-particle":"","family":"Sullivan","given":"M. B.","non-dropping-particle":"","parse-names":false,"suffix":""},{"dropping-particle":"","family":"Weissenbach","given":"J.","non-dropping-particle":"","parse-names":false,"suffix":""},{"dropping-particle":"","family":"Wincker","given":"P.","non-dropping-particle":"","parse-names":false,"suffix":""},{"dropping-particle":"","family":"Karsenti","given":"E.","non-dropping-particle":"","parse-names":false,"suffix":""},{"dropping-particle":"","family":"Raes","given":"J.","non-dropping-particle":"","parse-names":false,"suffix":""},{"dropping-particle":"","family":"Acinas","given":"S. G.","non-dropping-particle":"","parse-names":false,"suffix":""},{"dropping-particle":"","family":"Bork","given":"P.","non-dropping-particle":"","parse-names":false,"suffix":""},{"dropping-particle":"","family":"Boss","given":"E.","non-dropping-particle":"","parse-names":false,"suffix":""},{"dropping-particle":"","family":"Bowler","given":"C.","non-dropping-particle":"","parse-names":false,"suffix":""},{"dropping-particle":"","family":"Follows","given":"M.","non-dropping-particle":"","parse-names":false,"suffix":""},{"dropping-particle":"","family":"Karp-Boss","given":"L.","non-dropping-particle":"","parse-names":false,"suffix":""},{"dropping-particle":"","family":"Krzic","given":"U.","non-dropping-particle":"","parse-names":false,"suffix":""},{"dropping-particle":"","family":"Reynaud","given":"E. G.","non-dropping-particle":"","parse-names":false,"suffix":""},{"dropping-particle":"","family":"Sardet","given":"C.","non-dropping-particle":"","parse-names":false,"suffix":""},{"dropping-particle":"","family":"Sieracki","given":"M.","non-dropping-particle":"","parse-names":false,"suffix":""},{"dropping-particle":"","family":"Velayoudon","given":"D.","non-dropping-particle":"","parse-names":false,"suffix":""}],"container-title":"Science","id":"ITEM-4","issue":"6237","issued":{"date-parts":[["2015"]]},"page":"1261359-1261359","title":"Structure and function of the global ocean microbiome","type":"article-journal","volume":"348"},"uris":["http://www.mendeley.com/documents/?uuid=dd58474f-85fd-4d33-8afd-6b724c1f947a"]}],"mendeley":{"formattedCitation":"(19, 20, 84, 85)","plainTextFormattedCitation":"(19, 20, 84, 85)","previouslyFormattedCitation":"(18, 19, 83, 84)"},"properties":{"noteIndex":0},"schema":"https://github.com/citation-style-language/schema/raw/master/csl-citation.json"}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(19, 20, 84, 85)</w:t>
      </w:r>
      <w:r w:rsidRPr="00F23F20">
        <w:rPr>
          <w:rFonts w:ascii="Times New Roman" w:hAnsi="Times New Roman" w:cs="Times New Roman"/>
        </w:rPr>
        <w:fldChar w:fldCharType="end"/>
      </w:r>
      <w:r w:rsidRPr="00F23F20">
        <w:rPr>
          <w:rFonts w:ascii="Times New Roman" w:hAnsi="Times New Roman" w:cs="Times New Roman"/>
        </w:rPr>
        <w:t xml:space="preserve">. Such studies have frequently found that ecosystem functions are frequently performed simultaneously by many taxa </w:t>
      </w:r>
      <w:r w:rsidRPr="00F23F20">
        <w:rPr>
          <w:rFonts w:ascii="Times New Roman" w:hAnsi="Times New Roman" w:cs="Times New Roman"/>
        </w:rPr>
        <w:fldChar w:fldCharType="begin" w:fldLock="1"/>
      </w:r>
      <w:r w:rsidR="00F74F65">
        <w:rPr>
          <w:rFonts w:ascii="Times New Roman" w:hAnsi="Times New Roman" w:cs="Times New Roman"/>
        </w:rPr>
        <w:instrText>ADDIN CSL_CITATION {"citationItems":[{"id":"ITEM-1","itemData":{"author":[{"dropping-particle":"","family":"Louca","given":"Stilianos","non-dropping-particle":"","parse-names":false,"suffix":""},{"dropping-particle":"","family":"Martiny","given":"Adam C","non-dropping-particle":"","parse-names":false,"suffix":""},{"dropping-particle":"","family":"Polz","given":"Martin F","non-dropping-particle":"","parse-names":false,"suffix":""},{"dropping-particle":"","family":"Doolittle","given":"W Ford","non-dropping-particle":"","parse-names":false,"suffix":""},{"dropping-particle":"","family":"Nelson","given":"Michaeline B","non-dropping-particle":"","parse-names":false,"suffix":""},{"dropping-particle":"","family":"Hahn","given":"Aria S","non-dropping-particle":"","parse-names":false,"suffix":""},{"dropping-particle":"","family":"Rubin","given":"Ilan","non-dropping-particle":"","parse-names":false,"suffix":""},{"dropping-particle":"","family":"Mazel","given":"Florent","non-dropping-particle":"","parse-names":false,"suffix":""},{"dropping-particle":"","family":"Hawley","given":"Alyse K","non-dropping-particle":"","parse-names":false,"suffix":""},{"dropping-particle":"","family":"Connor","given":"Mary I O","non-dropping-particle":"","parse-names":false,"suffix":""},{"dropping-particle":"","family":"Crowe","given":"Sean A","non-dropping-particle":"","parse-names":false,"suffix":""},{"dropping-particle":"","family":"Hallam","given":"Steven J","non-dropping-particle":"","parse-names":false,"suffix":""}],"container-title":"Nature Ecology and Evolution","id":"ITEM-1","issued":{"date-parts":[["2018"]]},"page":"936-943","title":"Function and functional redundancy in microbial communities","type":"article-journal","volume":"2"},"uris":["http://www.mendeley.com/documents/?uuid=83e0bd05-1a8f-4ab2-ad0c-a2fe894f91d2"]}],"mendeley":{"formattedCitation":"(14)","plainTextFormattedCitation":"(14)","previouslyFormattedCitation":"(14)"},"properties":{"noteIndex":0},"schema":"https://github.com/citation-style-language/schema/raw/master/csl-citation.json"}</w:instrText>
      </w:r>
      <w:r w:rsidRPr="00F23F20">
        <w:rPr>
          <w:rFonts w:ascii="Times New Roman" w:hAnsi="Times New Roman" w:cs="Times New Roman"/>
        </w:rPr>
        <w:fldChar w:fldCharType="separate"/>
      </w:r>
      <w:r w:rsidR="004620D1" w:rsidRPr="004620D1">
        <w:rPr>
          <w:rFonts w:ascii="Times New Roman" w:hAnsi="Times New Roman" w:cs="Times New Roman"/>
          <w:noProof/>
        </w:rPr>
        <w:t>(14)</w:t>
      </w:r>
      <w:r w:rsidRPr="00F23F20">
        <w:rPr>
          <w:rFonts w:ascii="Times New Roman" w:hAnsi="Times New Roman" w:cs="Times New Roman"/>
        </w:rPr>
        <w:fldChar w:fldCharType="end"/>
      </w:r>
      <w:r w:rsidRPr="00F23F20">
        <w:rPr>
          <w:rFonts w:ascii="Times New Roman" w:hAnsi="Times New Roman" w:cs="Times New Roman"/>
        </w:rPr>
        <w:t xml:space="preserve">. This is referred to as functional redundancy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{"citationItems":[{"id":"ITEM-1","itemData":{"DOI":"10.1046/j.1523-1739.1998.96379.x","ISSN":"08888892","abstract":"The concept of species redundantly in ecosystem processes is troublesome because it appears to contradict the traditional emphasis in ecology on species singularity. When species richness is high, however, ecosystem processes seem clearly insensitive to considerable variation in biodiversity. Some elementary principles from reliability engineering, where engineered redundancy is a valued part of systems design, suggest that we should rethink our stance on species redundancy. For example, a central tenet of reliability engineering is that reliability always increases as redundant components are added to a system, a principle that directly, supports redundant species as guarantors of reliable ecosystem functioning. I argue that we should embrace species redundancy and perceive redundancy as a critical feature of ecosystems which must be preserved if ecosystems are to function reliably and provide us with goods and services. My argument is derived from basic principles of reliability engineering which demonstrate that the probability of reliable system performance is closely tied to the level of engineered redundancy in its design. Empirical demonstrations of the value of species redundancy in ecosystem reliability would provide new insights into the ecology of communities and the value of species conservation.","author":[{"dropping-particle":"","family":"Naeem","given":"Shahid","non-dropping-particle":"","parse-names":false,"suffix":""}],"container-title":"Conservation Biology","id":"ITEM-1","issue":"1","issued":{"date-parts":[["1998"]]},"page":"39-45","title":"Species redundancy and ecosystem reliability","type":"article-journal","volume":"12"},"uris":["http://www.mendeley.com/documents/?uuid=ee6a159d-ac1f-4927-8927-b52614cbbe87"]}],"mendeley":{"formattedCitation":"(86)","plainTextFormattedCitation":"(86)","previouslyFormattedCitation":"(85)"},"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(86)</w:t>
      </w:r>
      <w:r w:rsidRPr="00F23F20">
        <w:rPr>
          <w:rFonts w:ascii="Times New Roman" w:hAnsi="Times New Roman" w:cs="Times New Roman"/>
        </w:rPr>
        <w:fldChar w:fldCharType="end"/>
      </w:r>
      <w:r w:rsidRPr="00F23F20">
        <w:rPr>
          <w:rFonts w:ascii="Times New Roman" w:hAnsi="Times New Roman" w:cs="Times New Roman"/>
        </w:rPr>
        <w:t xml:space="preserve">. </w:t>
      </w:r>
    </w:p>
    <w:p w14:paraId="26942524" w14:textId="3CB3233F"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The level of functional redundancy in a microbiome has been shown to affect ecosystem function in diverse environments. For instance, high functional redundancy in freshwater sediments resulted in stabilized porewater redox conditions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{"citationItems":[{"id":"ITEM-1","itemData":{"DOI":"10.3389/fmicb.2015.00105","ISSN":"1664302X","abstract":"Decomposition of organic matter is an important ecosystem process governed in part by bacteria. The process of decomposition is expected to benefit from interspecific bacterial interactions such as resource partitioning and facilitation. However, the relative importance of resource niche breadth (metabolic diversity) and resource niche overlap (functional redundancy) on decomposition and the temporal stability of ecosystem processes received little scientific attention. Therefore, this study aims to evaluate the effect of an increase in bacterial community resemblance on both decomposition and the stability of bacterial metabolism in aquatic sediments. To this end, we performed laboratory microcosm experiments in which we examined the influence of bacterial consortia differing in number and composition of species on bacterial activity (Electron Transport System Activity, ETSA), dissolved organic carbon production and wavelet transformed measurements of redox potential (Eh). Single substrate affinities of the individual bacterial species were determined in order to calculate the metabolic diversity of the microbial community. Results presented here indicate that bacterial activity and organic matter decomposition increase with widening of the resource niche breadth, and that metabolic stability increases with increasing overlap in bacterial resource niches, hinting that resource niche overlap can promote the stability of bacterial community metabolism.","author":[{"dropping-particle":"","family":"Hunting","given":"Ellard R.","non-dropping-particle":"","parse-names":false,"suffix":""},{"dropping-particle":"","family":"Vijver","given":"Martina G.","non-dropping-particle":"","parse-names":false,"suffix":""},{"dropping-particle":"","family":"Geest","given":"Harm G.","non-dropping-particle":"van der","parse-names":false,"suffix":""},{"dropping-particle":"","family":"Mulder","given":"Christian","non-dropping-particle":"","parse-names":false,"suffix":""},{"dropping-particle":"","family":"Kraak","given":"Michiel H.S.","non-dropping-particle":"","parse-names":false,"suffix":""},{"dropping-particle":"","family":"Breure","given":"Anton M.","non-dropping-particle":"","parse-names":false,"suffix":""},{"dropping-particle":"","family":"Admiraal","given":"Wim","non-dropping-particle":"","parse-names":false,"suffix":""}],"container-title":"Frontiers in Microbiology","id":"ITEM-1","issue":"FEB","issued":{"date-parts":[["2015"]]},"page":"1-7","title":"Resource niche overlap promotes stability of bacterial community metabolism in experimental microcosms","type":"article-journal","volume":"6"},"uris":["http://www.mendeley.com/documents/?uuid=ff39e6a0-08b8-4bdc-b3da-c944da1fcf0e"]}],"mendeley":{"formattedCitation":"(87)","plainTextFormattedCitation":"(87)","previouslyFormattedCitation":"(86)"},"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(87)</w:t>
      </w:r>
      <w:r w:rsidRPr="00F23F20">
        <w:rPr>
          <w:rFonts w:ascii="Times New Roman" w:hAnsi="Times New Roman" w:cs="Times New Roman"/>
        </w:rPr>
        <w:fldChar w:fldCharType="end"/>
      </w:r>
      <w:r w:rsidRPr="00F23F20">
        <w:rPr>
          <w:rFonts w:ascii="Times New Roman" w:hAnsi="Times New Roman" w:cs="Times New Roman"/>
        </w:rPr>
        <w:t xml:space="preserve">. In surface </w:t>
      </w:r>
      <w:r w:rsidRPr="00F23F20">
        <w:rPr>
          <w:rFonts w:ascii="Times New Roman" w:hAnsi="Times New Roman" w:cs="Times New Roman"/>
        </w:rPr>
        <w:lastRenderedPageBreak/>
        <w:t xml:space="preserve">seawater, a metagenomic analysis of glycosyl hydrolase genes demonstrated a complex successional pattern in heterotrophs which correlated with coastal phytoplankton bloom life cycles and influenced ecosystem organic carbon processing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{"citationItems":[{"id":"ITEM-1","itemData":{"DOI":"10.1126/science.1218344","ISBN":"0036-8075","ISSN":"1095-9203","PMID":"22556258","abstract":"Phytoplankton blooms characterize temperate ocean margin zones in spring. We investigated the bacterioplankton response to a diatom bloom in the North Sea and observed a dynamic succession of populations at genus-level resolution. Taxonomically distinct expressions of carbohydrate-active enzymes (transporters; in particular, TonB-dependent transporters) and phosphate acquisition strategies were found, indicating that distinct populations of Bacteroidetes, Gammaproteobacteria, and Alphaproteobacteria are specialized for successive decomposition of algal-derived organic matter. Our results suggest that algal substrate availability provided a series of ecological niches in which specialized populations could bloom. This reveals how planktonic species, despite their seemingly homogeneous habitat, can evade extinction by direct competition.","author":[{"dropping-particle":"","family":"Teeling","given":"Hanno","non-dropping-particle":"","parse-names":false,"suffix":""},{"dropping-particle":"","family":"Fuchs","given":"Bernhard M","non-dropping-particle":"","parse-names":false,"suffix":""},{"dropping-particle":"","family":"Becher","given":"Dörte","non-dropping-particle":"","parse-names":false,"suffix":""},{"dropping-particle":"","family":"Klockow","given":"Christine","non-dropping-particle":"","parse-names":false,"suffix":""},{"dropping-particle":"","family":"Gardebrecht","given":"Antje","non-dropping-particle":"","parse-names":false,"suffix":""},{"dropping-particle":"","family":"Bennke","given":"Christin M","non-dropping-particle":"","parse-names":false,"suffix":""},{"dropping-particle":"","family":"Kassabgy","given":"Mariette","non-dropping-particle":"","parse-names":false,"suffix":""},{"dropping-particle":"","family":"Huang","given":"Sixing","non-dropping-particle":"","parse-names":false,"suffix":""},{"dropping-particle":"","family":"Mann","given":"Alexander J","non-dropping-particle":"","parse-names":false,"suffix":""},{"dropping-particle":"","family":"Waldmann","given":"Jost","non-dropping-particle":"","parse-names":false,"suffix":""},{"dropping-particle":"","family":"Weber","given":"Marc","non-dropping-particle":"","parse-names":false,"suffix":""},{"dropping-particle":"","family":"Klindworth","given":"Anna","non-dropping-particle":"","parse-names":false,"suffix":""},{"dropping-particle":"","family":"Otto","given":"Andreas","non-dropping-particle":"","parse-names":false,"suffix":""},{"dropping-particle":"","family":"Lange","given":"Jana","non-dropping-particle":"","parse-names":false,"suffix":""},{"dropping-particle":"","family":"Bernhardt","given":"Jörg","non-dropping-particle":"","parse-names":false,"suffix":""},{"dropping-particle":"","family":"Reinsch","given":"Christine","non-dropping-particle":"","parse-names":false,"suffix":""},{"dropping-particle":"","family":"Hecker","given":"Michael","non-dropping-particle":"","parse-names":false,"suffix":""},{"dropping-particle":"","family":"Peplies","given":"Jörg","non-dropping-particle":"","parse-names":false,"suffix":""},{"dropping-particle":"","family":"Bockelmann","given":"Frank D","non-dropping-particle":"","parse-names":false,"suffix":""},{"dropping-particle":"","family":"Callies","given":"Ulrich","non-dropping-particle":"","parse-names":false,"suffix":""},{"dropping-particle":"","family":"Gerdts","given":"Gunnar","non-dropping-particle":"","parse-names":false,"suffix":""},{"dropping-particle":"","family":"Wichels","given":"Antje","non-dropping-particle":"","parse-names":false,"suffix":""},{"dropping-particle":"","family":"Wiltshire","given":"Karen H","non-dropping-particle":"","parse-names":false,"suffix":""},{"dropping-particle":"","family":"Glöckner","given":"Frank Oliver","non-dropping-particle":"","parse-names":false,"suffix":""},{"dropping-particle":"","family":"Schweder","given":"Thomas","non-dropping-particle":"","parse-names":false,"suffix":""},{"dropping-particle":"","family":"Amann","given":"Rudolf","non-dropping-particle":"","parse-names":false,"suffix":""}],"container-title":"Science","id":"ITEM-1","issue":"May","issued":{"date-parts":[["2012"]]},"page":"608-611","title":"Substrate-Controlled Succession of Marine Bacterioplankton Populations Induced by a Phytoplankton Bloom","type":"article-journal","volume":"336"},"uris":["http://www.mendeley.com/documents/?uuid=c9254aeb-103a-4a5e-a59d-a5f416632eba"]}],"mendeley":{"formattedCitation":"(88)","plainTextFormattedCitation":"(88)","previouslyFormattedCitation":"(87)"},"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(88)</w:t>
      </w:r>
      <w:r w:rsidRPr="00F23F20">
        <w:rPr>
          <w:rFonts w:ascii="Times New Roman" w:hAnsi="Times New Roman" w:cs="Times New Roman"/>
        </w:rPr>
        <w:fldChar w:fldCharType="end"/>
      </w:r>
      <w:r w:rsidRPr="00F23F20">
        <w:rPr>
          <w:rFonts w:ascii="Times New Roman" w:hAnsi="Times New Roman" w:cs="Times New Roman"/>
        </w:rPr>
        <w:t xml:space="preserve">. In the case of human gut microbiomes, it has been hypothesized that functional redundancy stabilizes community diversity leading to better health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{"citationItems":[{"id":"ITEM-1","itemData":{"DOI":"10.1016/j.tim.2017.11.002","ISSN":"18784380","abstract":"The human gut microbiome represents a complex ecosystem contributing essential functions to its host. Recent large-scale metagenomic studies have provided insights into its structure and functional potential. However, the functional repertoire which is actually contributed to human physiology remains largely unexplored. Here, by leveraging recent omics datasets, we challenge current assumptions regarding key attributes of the functional gut microbiome, in particular with respect to its variability. We further argue that the closing of existing gaps in functional knowledge should be addressed by a most-wanted gene list, the development and application of molecular and cellular high-throughput measurements, the development and sensible use of experimental models, as well as the direct study of observable molecular effects in the human host. Functional omics are becoming more accessible, and increasing numbers of studies have employed them, demonstrating their potential in identifying functional traits of the microbiome related to health and disease. Functional omes display greater variability and sensitivity to perturbation, also in cases of where changes in taxonomic composition are minimal, and they can resolve gut-compartment-specific information. Methods for resolving functional differences in meta-omic datasets to the taxa contributing them have been developed and are necessary to understand the impact of microbial functions on human physiology.","author":[{"dropping-particle":"","family":"Heintz-Buschart","given":"Anna","non-dropping-particle":"","parse-names":false,"suffix":""},{"dropping-particle":"","family":"Wilmes","given":"Paul","non-dropping-particle":"","parse-names":false,"suffix":""}],"container-title":"Trends in Microbiology","id":"ITEM-1","issue":"7","issued":{"date-parts":[["2018"]]},"page":"563-574","publisher":"Elsevier Ltd","title":"Human Gut Microbiome: Function Matters","type":"article-journal","volume":"26"},"uris":["http://www.mendeley.com/documents/?uuid=5e76a5cb-f07b-4836-9323-7722831496dc"]}],"mendeley":{"formattedCitation":"(89)","plainTextFormattedCitation":"(89)","previouslyFormattedCitation":"(88)"},"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(89)</w:t>
      </w:r>
      <w:r w:rsidRPr="00F23F20">
        <w:rPr>
          <w:rFonts w:ascii="Times New Roman" w:hAnsi="Times New Roman" w:cs="Times New Roman"/>
        </w:rPr>
        <w:fldChar w:fldCharType="end"/>
      </w:r>
      <w:r w:rsidRPr="00F23F20">
        <w:rPr>
          <w:rFonts w:ascii="Times New Roman" w:hAnsi="Times New Roman" w:cs="Times New Roman"/>
        </w:rPr>
        <w:t xml:space="preserve">. </w:t>
      </w:r>
    </w:p>
    <w:p w14:paraId="1C61958B" w14:textId="79DC7569"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A quantifiable and comparable measure for functional redundancy is a prerequisite in addressing ecological questions pertaining to functional redundancy. Concepts related to functional diversity and redundancy have been actively discussed in the macroecology literature for over 40 years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{"citationItems":[{"id":"ITEM-1","itemData":{"DOI":"10.1046/j.1523-1739.1998.96379.x","ISSN":"08888892","abstract":"The concept of species redundantly in ecosystem processes is troublesome because it appears to contradict the traditional emphasis in ecology on species singularity. When species richness is high, however, ecosystem processes seem clearly insensitive to considerable variation in biodiversity. Some elementary principles from reliability engineering, where engineered redundancy is a valued part of systems design, suggest that we should rethink our stance on species redundancy. For example, a central tenet of reliability engineering is that reliability always increases as redundant components are added to a system, a principle that directly, supports redundant species as guarantors of reliable ecosystem functioning. I argue that we should embrace species redundancy and perceive redundancy as a critical feature of ecosystems which must be preserved if ecosystems are to function reliably and provide us with goods and services. My argument is derived from basic principles of reliability engineering which demonstrate that the probability of reliable system performance is closely tied to the level of engineered redundancy in its design. Empirical demonstrations of the value of species redundancy in ecosystem reliability would provide new insights into the ecology of communities and the value of species conservation.","author":[{"dropping-particle":"","family":"Naeem","given":"Shahid","non-dropping-particle":"","parse-names":false,"suffix":""}],"container-title":"Conservation Biology","id":"ITEM-1","issue":"1","issued":{"date-parts":[["1998"]]},"page":"39-45","title":"Species redundancy and ecosystem reliability","type":"article-journal","volume":"12"},"uris":["http://www.mendeley.com/documents/?uuid=ee6a159d-ac1f-4927-8927-b52614cbbe87"]},{"id":"ITEM-2","itemData":{"DOI":"10.13140/RG.2.1.3901.9924","ISSN":"0040-5809","abstract":"Three general methods for obtaining measures of diversity within a population and dissimilarity between populations are discussed. One is based on an intrinsic notion of dissimilarity between individuals and others make use of the concepts of entropy and discrimination. The use of a diversity measure in apportionment of diversity between and within populations is discussed.","author":[{"dropping-particle":"","family":"Rao","given":"Radhakrishna","non-dropping-particle":"","parse-names":false,"suffix":""}],"container-title":"Theoritical population biology","id":"ITEM-2","issue":"1","issued":{"date-parts":[["1982"]]},"page":"24-43","title":"Diversity and Dissimilarity Coefficients: A Unified Approach","type":"article-journal","volume":"21"},"uris":["http://www.mendeley.com/documents/?uuid=df3a77c7-c8a9-4982-bb33-80fcc4bea80e"]},{"id":"ITEM-3","itemData":{"DOI":"10.1111/2041-210X.12604","ISSN":"2041210X","abstract":"The preservation of ecosystem processes under ongoing biotic erosion requires that some species within affected communities perform similar functions, a property that is usually defined as functional redundancy. Although functional redundancy has recently become a relevant part of ecological research, so far there is no agreement on its measurement. The scope of this work is thus to propose a consistent framework based on functional dissimilarities among species for summarizing different facets of functional redundancy. The behaviour of the proposed measures is illustrated with one small artificial data set, together with actual examples on the species functional turnover along successional gradients. We believe this new framework provides an important contribution for the clarification and quantification of key metrics of community redundancy and vulnerability. The method, for which we provide a simple r function called ‘uniqueness’, further allows summarizing the functional contribution of single species to the overall redundancy of any type of biological community.","author":[{"dropping-particle":"","family":"Ricotta","given":"Carlo","non-dropping-particle":"","parse-names":false,"suffix":""},{"dropping-particle":"","family":"Bello","given":"Francesco","non-dropping-particle":"de","parse-names":false,"suffix":""},{"dropping-particle":"","family":"Moretti","given":"Marco","non-dropping-particle":"","parse-names":false,"suffix":""},{"dropping-particle":"","family":"Caccianiga","given":"Marco","non-dropping-particle":"","parse-names":false,"suffix":""},{"dropping-particle":"","family":"Cerabolini","given":"Bruno E.L.","non-dropping-particle":"","parse-names":false,"suffix":""},{"dropping-particle":"","family":"Pavoine","given":"Sandrine","non-dropping-particle":"","parse-names":false,"suffix":""}],"container-title":"Methods in Ecology and Evolution","id":"ITEM-3","issue":"11","issued":{"date-parts":[["2016"]]},"page":"1386-1395","title":"Measuring the functional redundancy of biological communities: a quantitative guide","type":"article-journal","volume":"7"},"uris":["http://www.mendeley.com/documents/?uuid=a4a1a205-a550-4685-bdb4-245917332160"]}],"mendeley":{"formattedCitation":"(86, 90, 91)","plainTextFormattedCitation":"(86, 90, 91)","previouslyFormattedCitation":"(85, 89, 90)"},"properties":{"noteIndex":0},"schema":"https://github.com/citation-style-language/schema/raw/master/csl-citation.json"}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(86, 90, 91)</w:t>
      </w:r>
      <w:r w:rsidRPr="00F23F20">
        <w:rPr>
          <w:rFonts w:ascii="Times New Roman" w:hAnsi="Times New Roman" w:cs="Times New Roman"/>
        </w:rPr>
        <w:fldChar w:fldCharType="end"/>
      </w:r>
      <w:r w:rsidRPr="00F23F20">
        <w:rPr>
          <w:rFonts w:ascii="Times New Roman" w:hAnsi="Times New Roman" w:cs="Times New Roman"/>
        </w:rPr>
        <w:t xml:space="preserve">. Nonetheless, there remains no universal method to quantify functional redundancy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{"citationItems":[{"id":"ITEM-1","itemData":{"DOI":"10.1073/pnas.1317625111","ISSN":"10916490","PMID":"25225388","abstract":"When tropical systems lose species, they are often assumed to be buffered against declines in functional diversity by the ability of the species-rich biota to display high functional redundancy: i.e., a high number of species performing similar functions. We tested this hypothesis using a ninefold richness gradient in global fish faunas on tropical reefs encompassing 6,316 species distributed among 646 functional entities (FEs): i.e., unique combinations of functional traits. We found that the highest functional redundancy is located in the Central Indo-Pacific with a mean of 7.9 species per FE. However, this overall level of redundancy is disproportionately packed into few FEs, a pattern termed functional over-redundancy (FOR). For instance, the most speciose FE in the Central Indo-Pacific contains 222 species (out of 3,689) whereas 38% of FEs (180 out of 468) have no functional insurance with only one species. Surprisingly, the level of FOR is consistent across the six fish faunas, meaning that, whatever the richness, over a third of the species may still be in overrepresented FEs whereas more than one third of the FEs are left without insurance, these levels all being significantly higher than expected by chance. Thus, our study shows that, even in high-diversity systems, such as tropical reefs, functional diversity remains highly vulnerable to species loss. Although further investigations are needed to specifically address the influence of redundant vs. vulnerable FEs on ecosystem functioning, our results suggest that the promised benefits from tropical biodiversity may not be as strong as previously thought.","author":[{"dropping-particle":"","family":"Mouillot","given":"David","non-dropping-particle":"","parse-names":false,"suffix":""},{"dropping-particle":"","family":"Villéger","given":"Sébastien","non-dropping-particle":"","parse-names":false,"suffix":""},{"dropping-particle":"","family":"Parravicini","given":"Valeriano","non-dropping-particle":"","parse-names":false,"suffix":""},{"dropping-particle":"","family":"Kulbicki","given":"Michel","non-dropping-particle":"","parse-names":false,"suffix":""},{"dropping-particle":"","family":"Arias-González","given":"Jesus Ernesto","non-dropping-particle":"","parse-names":false,"suffix":""},{"dropping-particle":"","family":"Bender","given":"Mariana","non-dropping-particle":"","parse-names":false,"suffix":""},{"dropping-particle":"","family":"Chabanet","given":"Pascale","non-dropping-particle":"","parse-names":false,"suffix":""},{"dropping-particle":"","family":"Floeter","given":"Sergio R.","non-dropping-particle":"","parse-names":false,"suffix":""},{"dropping-particle":"","family":"Friedlander","given":"Alan","non-dropping-particle":"","parse-names":false,"suffix":""},{"dropping-particle":"","family":"Vigliola","given":"Laurent","non-dropping-particle":"","parse-names":false,"suffix":""},{"dropping-particle":"","family":"Bellwood","given":"David R.","non-dropping-particle":"","parse-names":false,"suffix":""}],"container-title":"Proceedings of the National Academy of Sciences of the United States of America","id":"ITEM-1","issue":"38","issued":{"date-parts":[["2014"]]},"page":"13757-13762","title":"Functional over-redundancy and high functional vulnerability in global fish faunas on tropical reefs","type":"article-journal","volume":"111"},"uris":["http://www.mendeley.com/documents/?uuid=e51077c7-1aff-433b-bc64-a900e41f8897"]},{"id":"ITEM-2","itemData":{"DOI":"10.1111/2041-210X.12604","ISSN":"2041210X","abstract":"The preservation of ecosystem processes under ongoing biotic erosion requires that some species within affected communities perform similar functions, a property that is usually defined as functional redundancy. Although functional redundancy has recently become a relevant part of ecological research, so far there is no agreement on its measurement. The scope of this work is thus to propose a consistent framework based on functional dissimilarities among species for summarizing different facets of functional redundancy. The behaviour of the proposed measures is illustrated with one small artificial data set, together with actual examples on the species functional turnover along successional gradients. We believe this new framework provides an important contribution for the clarification and quantification of key metrics of community redundancy and vulnerability. The method, for which we provide a simple r function called ‘uniqueness’, further allows summarizing the functional contribution of single species to the overall redundancy of any type of biological community.","author":[{"dropping-particle":"","family":"Ricotta","given":"Carlo","non-dropping-particle":"","parse-names":false,"suffix":""},{"dropping-particle":"","family":"Bello","given":"Francesco","non-dropping-particle":"de","parse-names":false,"suffix":""},{"dropping-particle":"","family":"Moretti","given":"Marco","non-dropping-particle":"","parse-names":false,"suffix":""},{"dropping-particle":"","family":"Caccianiga","given":"Marco","non-dropping-particle":"","parse-names":false,"suffix":""},{"dropping-particle":"","family":"Cerabolini","given":"Bruno E.L.","non-dropping-particle":"","parse-names":false,"suffix":""},{"dropping-particle":"","family":"Pavoine","given":"Sandrine","non-dropping-particle":"","parse-names":false,"suffix":""}],"container-title":"Methods in Ecology and Evolution","id":"ITEM-2","issue":"11","issued":{"date-parts":[["2016"]]},"page":"1386-1395","title":"Measuring the functional redundancy of biological communities: a quantitative guide","type":"article-journal","volume":"7"},"uris":["http://www.mendeley.com/documents/?uuid=a4a1a205-a550-4685-bdb4-245917332160"]},{"id":"ITEM-3","itemData":{"DOI":"10.1016/j.tpb.2006.06.003","ISSN":"00405809","abstract":"The diversity of a species assemblage has been studied extensively for many decades in relation to its possible connection with ecosystem functioning and organization. In this view most diversity measures, such as Shannon's entropy, rely upon information theory as a basis for the quantification of diversity. Also, traditional diversity measures are computed using species relative abundances and cannot account for the ecological differences between species. Rao first proposed a diversity index, termed quadratic diversity (Q) that incorporates both species relative abundances and pairwise distances between species. Quadratic diversity is traditionally defined as the expected distance between two randomly selected individuals. In this paper, we show that quadratic diversity can be interpreted as the expected conflict among the species of a given assemblage. From this unusual interpretation, it naturally follows that Rao's Q can be related to the Shannon entropy through a generalized version of the Tsallis parametric entropy. © 2006 Elsevier Inc. All rights reserved.","author":[{"dropping-particle":"","family":"Ricotta","given":"Carlo","non-dropping-particle":"","parse-names":false,"suffix":""},{"dropping-particle":"","family":"Szeidl","given":"Laszlo","non-dropping-particle":"","parse-names":false,"suffix":""}],"container-title":"Theoretical Population Biology","id":"ITEM-3","issue":"3","issued":{"date-parts":[["2006"]]},"page":"237-243","title":"Towards a unifying approach to diversity measures: Bridging the gap between the Shannon entropy and Rao's quadratic index","type":"article-journal","volume":"70"},"uris":["http://www.mendeley.com/documents/?uuid=ee6f2528-5f6c-424d-ba46-c2f924988732"]},{"id":"ITEM-4","itemData":{"DOI":"10.1002/chin.200826189","ISSN":"03855414","abstract":"The heterospirocyclic 2H-azirin-3-amine (9), i.e., N-methyl-N-phenyl-5-thia-1-azaspiro[2.4]hept-1-en-2-amine, was prepared from the commercially available thiolane-3-one (10) via the corresponding 3-carbonitrile (11) and 3-thiocarboxamide (14). This azirine reacted with thiobenzoic acid to give 3-benzoylamino-N-methyl-N-phenylthiolane-3- thiocarboxamide (15). With N-protected valine, the protected dipeptides (16) and (17), which contain a heterocyclic amino acid, were obtained as mixtures of diastereoisomers. © 2007 The Japan Institute of Heterocyclic Chemistry.","author":[{"dropping-particle":"","family":"Villéger","given":"Sébastien","non-dropping-particle":"","parse-names":false,"suffix":""},{"dropping-particle":"","family":"Mason","given":"Norman W. H.","non-dropping-particle":"","parse-names":false,"suffix":""},{"dropping-particle":"","family":"Mouillot","given":"David","non-dropping-particle":"","parse-names":false,"suffix":""}],"container-title":"Ecology","id":"ITEM-4","issue":"8","issued":{"date-parts":[["2008"]]},"page":"2290-2301","title":"New Mulitdimensional Functional Diversity Indicies for a Muiltifaceted Framework in Functional Ecology","type":"article-journal","volume":"39"},"uris":["http://www.mendeley.com/documents/?uuid=2796efa8-b064-4840-98e5-5dd166ca70dc"]}],"mendeley":{"formattedCitation":"(91–94)","plainTextFormattedCitation":"(91–94)","previouslyFormattedCitation":"(90–93)"},"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(91–94)</w:t>
      </w:r>
      <w:r w:rsidRPr="00F23F20">
        <w:rPr>
          <w:rFonts w:ascii="Times New Roman" w:hAnsi="Times New Roman" w:cs="Times New Roman"/>
        </w:rPr>
        <w:fldChar w:fldCharType="end"/>
      </w:r>
      <w:r w:rsidRPr="00F23F20">
        <w:rPr>
          <w:rFonts w:ascii="Times New Roman" w:hAnsi="Times New Roman" w:cs="Times New Roman"/>
        </w:rPr>
        <w:t xml:space="preserve">. Many of the most popular methods rely on measuring dissimilarity in traits between community members. Dissimilarities are then adjusted to consider the community member relative abundances. Most notably, the normalization of Rao’s quadratic diversity by Simpson’s index has been used as a quantitative measure of functional redundancy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{"citationItems":[{"id":"ITEM-1","itemData":{"DOI":"10.1111/2041-210X.12604","ISSN":"2041210X","abstract":"The preservation of ecosystem processes under ongoing biotic erosion requires that some species within affected communities perform similar functions, a property that is usually defined as functional redundancy. Although functional redundancy has recently become a relevant part of ecological research, so far there is no agreement on its measurement. The scope of this work is thus to propose a consistent framework based on functional dissimilarities among species for summarizing different facets of functional redundancy. The behaviour of the proposed measures is illustrated with one small artificial data set, together with actual examples on the species functional turnover along successional gradients. We believe this new framework provides an important contribution for the clarification and quantification of key metrics of community redundancy and vulnerability. The method, for which we provide a simple r function called ‘uniqueness’, further allows summarizing the functional contribution of single species to the overall redundancy of any type of biological community.","author":[{"dropping-particle":"","family":"Ricotta","given":"Carlo","non-dropping-particle":"","parse-names":false,"suffix":""},{"dropping-particle":"","family":"Bello","given":"Francesco","non-dropping-particle":"de","parse-names":false,"suffix":""},{"dropping-particle":"","family":"Moretti","given":"Marco","non-dropping-particle":"","parse-names":false,"suffix":""},{"dropping-particle":"","family":"Caccianiga","given":"Marco","non-dropping-particle":"","parse-names":false,"suffix":""},{"dropping-particle":"","family":"Cerabolini","given":"Bruno E.L.","non-dropping-particle":"","parse-names":false,"suffix":""},{"dropping-particle":"","family":"Pavoine","given":"Sandrine","non-dropping-particle":"","parse-names":false,"suffix":""}],"container-title":"Methods in Ecology and Evolution","id":"ITEM-1","issue":"11","issued":{"date-parts":[["2016"]]},"page":"1386-1395","title":"Measuring the functional redundancy of biological communities: a quantitative guide","type":"article-journal","volume":"7"},"uris":["http://www.mendeley.com/documents/?uuid=a4a1a205-a550-4685-bdb4-245917332160"]}],"mendeley":{"formattedCitation":"(91)","plainTextFormattedCitation":"(91)","previouslyFormattedCitation":"(90)"},"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(91)</w:t>
      </w:r>
      <w:r w:rsidRPr="00F23F20">
        <w:rPr>
          <w:rFonts w:ascii="Times New Roman" w:hAnsi="Times New Roman" w:cs="Times New Roman"/>
        </w:rPr>
        <w:fldChar w:fldCharType="end"/>
      </w:r>
      <w:r w:rsidRPr="00F23F20">
        <w:rPr>
          <w:rFonts w:ascii="Times New Roman" w:hAnsi="Times New Roman" w:cs="Times New Roman"/>
        </w:rPr>
        <w:t xml:space="preserve">. In this approach, functional redundancy is quantified as the average similarity in relative trait contribution by different taxa. However, this approach does not appear sensitive changes in concavity and convexity of community trait distributions, as demonstrated here. </w:t>
      </w:r>
    </w:p>
    <w:p w14:paraId="66B2C990" w14:textId="4030CC8A"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In principle, methods to quantify functional diversity in macro-ecosystems should be equally applicable to microbial ecosystems. In practice, the measurement of microbial community composition and trait distribution possess unique challenges. In macro-ecosystems, tens or hundreds of species might be considered, and traits are often determined from direct field observations. In microbial ecosystems, millions of unique </w:t>
      </w:r>
      <w:r w:rsidRPr="00F23F20">
        <w:rPr>
          <w:rFonts w:ascii="Times New Roman" w:hAnsi="Times New Roman" w:cs="Times New Roman"/>
        </w:rPr>
        <w:lastRenderedPageBreak/>
        <w:t xml:space="preserve">taxa may be present, and the appropriate level of taxonomic organization (i.e., amplicon sequence variant, operational taxonomic unit defined by a semi-arbitrary cutoff of 16S rRNA gene similarity) depends on experimental design. Traits, such as net respiration or nutrient uptake rates, are sometimes directly measurable but linking rates of specific biogeochemical transformations to specific taxa is a challenging exercise. Most microbial cells on Earth belong to genera which lack cultured representatives, so the traits of most members of microbiomes are frequently unknown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{"citationItems":[{"id":"ITEM-1","itemData":{"DOI":"10.1146/annurev.micro.39.1.321","ISSN":"00664227","abstract":"[on SciFinder (R)]","author":[{"dropping-particle":"","family":"Staley","given":"J.","non-dropping-particle":"","parse-names":false,"suffix":""},{"dropping-particle":"","family":"Konopka","given":"Allan","non-dropping-particle":"","parse-names":false,"suffix":""}],"container-title":"Annual Review of Microbiology","id":"ITEM-1","issue":"1","issued":{"date-parts":[["1985"]]},"page":"321-346","title":"Measurement of In Situ Activities of Nonphotosynthetic Microorganisms in Aquatic and Terrestrial Habitats","type":"article-journal","volume":"39"},"uris":["http://www.mendeley.com/documents/?uuid=ff674c6c-aca0-4291-9445-11e741445cd9"]}],"mendeley":{"formattedCitation":"(95)","plainTextFormattedCitation":"(95)","previouslyFormattedCitation":"(94)"},"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(95)</w:t>
      </w:r>
      <w:r w:rsidRPr="00F23F20">
        <w:rPr>
          <w:rFonts w:ascii="Times New Roman" w:hAnsi="Times New Roman" w:cs="Times New Roman"/>
        </w:rPr>
        <w:fldChar w:fldCharType="end"/>
      </w:r>
      <w:r w:rsidRPr="00F23F20">
        <w:rPr>
          <w:rFonts w:ascii="Times New Roman" w:hAnsi="Times New Roman" w:cs="Times New Roman"/>
        </w:rPr>
        <w:t>. Consequently, the microbiological community relies on ‘omics technology (genes, transcripts, or proteins) to characterize community function. This reality necessitates a functional redundancy measurement suitable for both ‘omics and phenotypic data.</w:t>
      </w:r>
    </w:p>
    <w:p w14:paraId="73EB91DF" w14:textId="2CCF2459"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Microbial ecologists have typically addressed these problems using two broad approaches. One common method is to compare changes in ecosystem function to changes in community composition. Stability in ecosystem function with increasing microbial diversity is often considered an empirical indication of functional redundancy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{"citationItems":[{"id":"ITEM-1","itemData":{"DOI":"10.17226/12501","ISBN":"0309127432","abstract":"Although it is generally accepted that plant community composition is key for predicting rates of ecosystem processes in the face of global change, microbial community composition is often ignored in ecosystem modeling. To address this issue, we review recent experiments and assess whether microbial community composition is resistant, resilient, or functionally redundant in response to four different disturbances. We find that the composition of most microbial groups is sensitive and not immediately resilient to disturbance, regardless of taxonomic breadth of the group or the type of disturbance. Other studies demonstrate that changes in composition are often associated with changes in ecosystem process rates. Thus, changes in microbial communities due to disturbance may directly affect ecosystem processes. Based on these relationships, we propose a simple framework to incorporate microbial community composition into ecosystem process models. We conclude that this effort would benefit from more empirical data on the links among microbial phylogeny, physiological traits, and disturbance responses. These relationships will determine how readily microbial community composition can be used to predict the responses of ecosystem processes to global change.","author":[{"dropping-particle":"","family":"Allison","given":"Steven D.","non-dropping-particle":"","parse-names":false,"suffix":""},{"dropping-particle":"","family":"Martiny","given":"Jennifer B.H.","non-dropping-particle":"","parse-names":false,"suffix":""}],"container-title":"In the Light of Evolution","id":"ITEM-1","issued":{"date-parts":[["2009"]]},"page":"149-166","title":"Resistance, resilience, and redundancy in microbial communities","type":"article-journal","volume":"2"},"uris":["http://www.mendeley.com/documents/?uuid=39df5bcd-b9a5-443e-98c3-34c9e77a080f"]},{"id":"ITEM-2","itemData":{"DOI":"10.1111/1365-2745.12585","ISSN":"13652745","abstract":"Biodiversity is declining world-wide with detrimental effects on ecosystems. However, we lack a quantitative understanding of the shape of the relationship between microbial biodiversity and ecosystem function (BEF). This limits our understanding of how microbial diversity depletion can impact key functions for human well-being, including pollutant detoxification. Three independent microcosm experiments were conducted to evaluate the direction (i.e. positive, negative or null) and the shape of the relationships between bacterial diversity and both broad (i.e. microbial respiration) and specialized (i.e. toxin degradation) functions in five Australian and two UK freshwater ecosystems using next-generation sequencing platforms. Reduced bacterial diversity, even after accounting for biomass, caused a decrease in broad (i.e. cumulative microbial respiration) and specialized (biodegradation of two important toxins) functions in all cases. Unlike the positive but decelerating BEF relationship observed most frequently in plants and animals, most evaluated functional measurements were related to bacterial diversity in a non-redundant fashion (e.g. exponentially and/or linearly). Synthesis. Our results suggest that there is a lack of functional redundancy in the relationship between bacterial diversity and ecosystem functioning; thus, the consequences of declining microbial diversity on ecosystem functioning and human welfare have likely been considerably underestimated.","author":[{"dropping-particle":"","family":"Delgado-Baquerizo","given":"Manuel","non-dropping-particle":"","parse-names":false,"suffix":""},{"dropping-particle":"","family":"Giaramida","given":"Luca","non-dropping-particle":"","parse-names":false,"suffix":""},{"dropping-particle":"","family":"Reich","given":"Peter B.","non-dropping-particle":"","parse-names":false,"suffix":""},{"dropping-particle":"","family":"Khachane","given":"Amit N.","non-dropping-particle":"","parse-names":false,"suffix":""},{"dropping-particle":"","family":"Hamonts","given":"Kelly","non-dropping-particle":"","parse-names":false,"suffix":""},{"dropping-particle":"","family":"Edwards","given":"Christine","non-dropping-particle":"","parse-names":false,"suffix":""},{"dropping-particle":"","family":"Lawton","given":"Linda A.","non-dropping-particle":"","parse-names":false,"suffix":""},{"dropping-particle":"","family":"Singh","given":"Brajesh K.","non-dropping-particle":"","parse-names":false,"suffix":""}],"container-title":"Journal of Ecology","id":"ITEM-2","issue":"4","issued":{"date-parts":[["2016"]]},"page":"936-946","title":"Lack of functional redundancy in the relationship between microbial diversity and ecosystem functioning","type":"article-journal","volume":"104"},"uris":["http://www.mendeley.com/documents/?uuid=c1a59395-80af-43cb-9831-959a95ed6c31"]},{"id":"ITEM-3","itemData":{"DOI":"10.3389/fmicb.2015.00105","ISSN":"1664302X","abstract":"Decomposition of organic matter is an important ecosystem process governed in part by bacteria. The process of decomposition is expected to benefit from interspecific bacterial interactions such as resource partitioning and facilitation. However, the relative importance of resource niche breadth (metabolic diversity) and resource niche overlap (functional redundancy) on decomposition and the temporal stability of ecosystem processes received little scientific attention. Therefore, this study aims to evaluate the effect of an increase in bacterial community resemblance on both decomposition and the stability of bacterial metabolism in aquatic sediments. To this end, we performed laboratory microcosm experiments in which we examined the influence of bacterial consortia differing in number and composition of species on bacterial activity (Electron Transport System Activity, ETSA), dissolved organic carbon production and wavelet transformed measurements of redox potential (Eh). Single substrate affinities of the individual bacterial species were determined in order to calculate the metabolic diversity of the microbial community. Results presented here indicate that bacterial activity and organic matter decomposition increase with widening of the resource niche breadth, and that metabolic stability increases with increasing overlap in bacterial resource niches, hinting that resource niche overlap can promote the stability of bacterial community metabolism.","author":[{"dropping-particle":"","family":"Hunting","given":"Ellard R.","non-dropping-particle":"","parse-names":false,"suffix":""},{"dropping-particle":"","family":"Vijver","given":"Martina G.","non-dropping-particle":"","parse-names":false,"suffix":""},{"dropping-particle":"","family":"Geest","given":"Harm G.","non-dropping-particle":"van der","parse-names":false,"suffix":""},{"dropping-particle":"","family":"Mulder","given":"Christian","non-dropping-particle":"","parse-names":false,"suffix":""},{"dropping-particle":"","family":"Kraak","given":"Michiel H.S.","non-dropping-particle":"","parse-names":false,"suffix":""},{"dropping-particle":"","family":"Breure","given":"Anton M.","non-dropping-particle":"","parse-names":false,"suffix":""},{"dropping-particle":"","family":"Admiraal","given":"Wim","non-dropping-particle":"","parse-names":false,"suffix":""}],"container-title":"Frontiers in Microbiology","id":"ITEM-3","issue":"FEB","issued":{"date-parts":[["2015"]]},"page":"1-7","title":"Resource niche overlap promotes stability of bacterial community metabolism in experimental microcosms","type":"article-journal","volume":"6"},"uris":["http://www.mendeley.com/documents/?uuid=ff39e6a0-08b8-4bdc-b3da-c944da1fcf0e"]}],"mendeley":{"formattedCitation":"(87, 96, 97)","plainTextFormattedCitation":"(87, 96, 97)","previouslyFormattedCitation":"(86, 95, 96)"},"properties":{"noteIndex":0},"schema":"https://github.com/citation-style-language/schema/raw/master/csl-citation.json"}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(87, 96, 97)</w:t>
      </w:r>
      <w:r w:rsidRPr="00F23F20">
        <w:rPr>
          <w:rFonts w:ascii="Times New Roman" w:hAnsi="Times New Roman" w:cs="Times New Roman"/>
        </w:rPr>
        <w:fldChar w:fldCharType="end"/>
      </w:r>
      <w:r w:rsidRPr="00F23F20">
        <w:rPr>
          <w:rFonts w:ascii="Times New Roman" w:hAnsi="Times New Roman" w:cs="Times New Roman"/>
        </w:rPr>
        <w:t xml:space="preserve">. A complimentary approach is to use ‘omics data as indicators of traits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{"citationItems":[{"id":"ITEM-1","itemData":{"DOI":"10.3389/fmicb.2014.00251","ISSN":"1664302X","abstract":"In ecology, biodiversity-ecosystem functioning (BEF) research has seen a shift in perspective from taxonomy to function in the last two decades, with successful application of trait-based approaches. This shift offers opportunities for a deeper mechanistic understanding of the role of biodiversity in maintaining multiple ecosystem processes and services. In this paper, we highlight studies that have focused on BEF of microbial communities with an emphasis on integrating trait-based approaches to microbial ecology. In doing so, we explore some of the inherent challenges and opportunities of understanding BEF using microbial systems. For example, microbial biologists characterize communities using gene phylogenies that are often unable to resolve functional traits. Additionally, experimental designs of existing microbial BEF studies are often inadequate to unravel BEF relationships. We argue that combining eco-physiological studies with contemporary molecular tools in a trait-based framework can reinforce our ability to link microbial diversity to ecosystem processes. We conclude that such trait-based approaches are a promising framework to increase the understanding of microbial BEF relationships and thus generating systematic principles in microbial ecology and more generally ecology.","author":[{"dropping-particle":"","family":"Krause","given":"Sascha","non-dropping-particle":"","parse-names":false,"suffix":""},{"dropping-particle":"","family":"Roux","given":"Xavier","non-dropping-particle":"Le","parse-names":false,"suffix":""},{"dropping-particle":"","family":"Niklaus","given":"Pascal A.","non-dropping-particle":"","parse-names":false,"suffix":""},{"dropping-particle":"","family":"Bodegom","given":"Peter M.","non-dropping-particle":"van","parse-names":false,"suffix":""},{"dropping-particle":"","family":"Lennon T.","given":"Jay T.","non-dropping-particle":"","parse-names":false,"suffix":""},{"dropping-particle":"","family":"Bertilsson","given":"Stefan","non-dropping-particle":"","parse-names":false,"suffix":""},{"dropping-particle":"","family":"Grossart","given":"Hans Peter","non-dropping-particle":"","parse-names":false,"suffix":""},{"dropping-particle":"","family":"Philippot","given":"Laurent","non-dropping-particle":"","parse-names":false,"suffix":""},{"dropping-particle":"","family":"Bodelier","given":"Paul L.E.","non-dropping-particle":"","parse-names":false,"suffix":""}],"container-title":"Frontiers in Microbiology","id":"ITEM-1","issue":"MAY","issued":{"date-parts":[["2014"]]},"page":"1-10","title":"Trait-based approaches for understanding microbial biodiversity and ecosystem functioning","type":"article-journal","volume":"5"},"uris":["http://www.mendeley.com/documents/?uuid=631c1850-cc5c-45da-ab71-fe3f8438dd3e"]},{"id":"ITEM-2","itemData":{"DOI":"10.1126/science.aac9323","ISBN":"1095-9203 (Electronic)\\r0036-8075 (Linking)","ISSN":"0036-8075","PMID":"26542581","abstract":"A focus on the phenotypic characteristics of microorganisms-their traits-offers a path for interpreting the growing amount of microbiome data. We review key aspects of microbial traits, as well as approaches used to assay their phylogenetic distribution. Recent studies reveal that microbial traits are differentially conserved across the tree of life and appear to be conserved in a hierarchical fashion, possibly linked to their biochemical complexity. These results suggest a predictive framework whereby the genetic (or taxonomic) resolution of microbiome variation among samples provides information about the traits under selection. The organizational parallels seen among human and free-living microbiomes seem to support this idea. Developments in this framework may offer predictions not only for how microbial composition responds to changing environmental conditions, but also for how these changes may alter the health or functioning in human, engineered, and environmental systems.","author":[{"dropping-particle":"","family":"Martiny","given":"J. B. H.","non-dropping-particle":"","parse-names":false,"suffix":""},{"dropping-particle":"","family":"Jones","given":"S. E.","non-dropping-particle":"","parse-names":false,"suffix":""},{"dropping-particle":"","family":"Lennon","given":"J. T.","non-dropping-particle":"","parse-names":false,"suffix":""},{"dropping-particle":"","family":"Martiny","given":"A. C.","non-dropping-particle":"","parse-names":false,"suffix":""}],"container-title":"Science","id":"ITEM-2","issue":"6261","issued":{"date-parts":[["2015"]]},"page":"aac9323","title":"Microbiomes in light of traits: A phylogenetic perspective","type":"article-journal","volume":"350"},"uris":["http://www.mendeley.com/documents/?uuid=a0f446dc-f646-4cf2-bbaa-9cf0f73bbf3e"]}],"mendeley":{"formattedCitation":"(9, 98)","plainTextFormattedCitation":"(9, 98)","previouslyFormattedCitation":"(9, 97)"},"properties":{"noteIndex":0},"schema":"https://github.com/citation-style-language/schema/raw/master/csl-citation.json"}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(9, 98)</w:t>
      </w:r>
      <w:r w:rsidRPr="00F23F20">
        <w:rPr>
          <w:rFonts w:ascii="Times New Roman" w:hAnsi="Times New Roman" w:cs="Times New Roman"/>
        </w:rPr>
        <w:fldChar w:fldCharType="end"/>
      </w:r>
      <w:r w:rsidRPr="00F23F20">
        <w:rPr>
          <w:rFonts w:ascii="Times New Roman" w:hAnsi="Times New Roman" w:cs="Times New Roman"/>
        </w:rPr>
        <w:t>. The presence of similar traits in distinct taxa is taken as evidence of functional redundancy. This approach may stretch the definition of trait, as ‘omics data do not guarantee a phenotypic response. Nonetheless, this second approach circumnavigates the lack of taxa-specific physiological data for most environmental microbiomes. Overall, these approaches are conceptually straightforward but are largely qualitative and yield results that are challenging to compare among studies.</w:t>
      </w:r>
    </w:p>
    <w:p w14:paraId="2F47FBD1" w14:textId="7CE4540F"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lastRenderedPageBreak/>
        <w:t xml:space="preserve">Here, we use diversity theory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{"citationItems":[{"id":"ITEM-1","itemData":{"DOI":"10.1080/01621459.1982.10477845","ISSN":"1537274X","abstract":"This paper puts forth the view that diversity is an average property of a community and identifies that property as species rarity. An intrinsic diversity ordering of communities is defined and is shown to be equivalent to stochastic ordering. Also, the sensitivity of an index to rare species is developed, culminating in a crossing-point theorem and a response theory to perturbations. Diversity decompositions, analogous to the analysis of variance, are discussed for two-way classifications and mixtures. The paper concludes with a brief survey of genetic diversity, linguistic diversity, industrial concentration, and income inequality. © 1982 Taylor &amp; Francis Group, LLC.","author":[{"dropping-particle":"","family":"Patil","given":"G. P.","non-dropping-particle":"","parse-names":false,"suffix":""},{"dropping-particle":"","family":"Taillie","given":"C.","non-dropping-particle":"","parse-names":false,"suffix":""}],"container-title":"Journal of the American Statistical Association","id":"ITEM-1","issue":"379","issued":{"date-parts":[["1982"]]},"page":"548-561","title":"Diversity as a concept and its measurement","type":"article-journal","volume":"77"},"uris":["http://www.mendeley.com/documents/?uuid=fad30308-9969-47c6-a1dd-011e720f7ddc"]}],"mendeley":{"formattedCitation":"(99)","plainTextFormattedCitation":"(99)","previouslyFormattedCitation":"(98)"},"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(99)</w:t>
      </w:r>
      <w:r w:rsidRPr="00F23F20">
        <w:rPr>
          <w:rFonts w:ascii="Times New Roman" w:hAnsi="Times New Roman" w:cs="Times New Roman"/>
        </w:rPr>
        <w:fldChar w:fldCharType="end"/>
      </w:r>
      <w:r w:rsidRPr="00F23F20">
        <w:rPr>
          <w:rFonts w:ascii="Times New Roman" w:hAnsi="Times New Roman" w:cs="Times New Roman"/>
        </w:rPr>
        <w:t xml:space="preserve"> to establish a quantitative approach to measure functional redundancy of microbiomes using ‘omics data, which includes metagenomes, </w:t>
      </w:r>
      <w:proofErr w:type="spellStart"/>
      <w:r w:rsidRPr="00F23F20">
        <w:rPr>
          <w:rFonts w:ascii="Times New Roman" w:hAnsi="Times New Roman" w:cs="Times New Roman"/>
        </w:rPr>
        <w:t>metatranscriptomes</w:t>
      </w:r>
      <w:proofErr w:type="spellEnd"/>
      <w:r w:rsidRPr="00F23F20">
        <w:rPr>
          <w:rFonts w:ascii="Times New Roman" w:hAnsi="Times New Roman" w:cs="Times New Roman"/>
        </w:rPr>
        <w:t xml:space="preserve">, and metaproteomes. We argue that functional redundancy is best understood as the evenness of the contribution of taxa to a community-wide trait. Communities are functionally redundant if taxa contribute equally to an ecosystem function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{"citationItems":[{"id":"ITEM-1","itemData":{"DOI":"10.17226/12501","ISBN":"0309127432","abstract":"Although it is generally accepted that plant community composition is key for predicting rates of ecosystem processes in the face of global change, microbial community composition is often ignored in ecosystem modeling. To address this issue, we review recent experiments and assess whether microbial community composition is resistant, resilient, or functionally redundant in response to four different disturbances. We find that the composition of most microbial groups is sensitive and not immediately resilient to disturbance, regardless of taxonomic breadth of the group or the type of disturbance. Other studies demonstrate that changes in composition are often associated with changes in ecosystem process rates. Thus, changes in microbial communities due to disturbance may directly affect ecosystem processes. Based on these relationships, we propose a simple framework to incorporate microbial community composition into ecosystem process models. We conclude that this effort would benefit from more empirical data on the links among microbial phylogeny, physiological traits, and disturbance responses. These relationships will determine how readily microbial community composition can be used to predict the responses of ecosystem processes to global change.","author":[{"dropping-particle":"","family":"Allison","given":"Steven D.","non-dropping-particle":"","parse-names":false,"suffix":""},{"dropping-particle":"","family":"Martiny","given":"Jennifer B.H.","non-dropping-particle":"","parse-names":false,"suffix":""}],"container-title":"In the Light of Evolution","id":"ITEM-1","issued":{"date-parts":[["2009"]]},"page":"149-166","title":"Resistance, resilience, and redundancy in microbial communities","type":"article-journal","volume":"2"},"uris":["http://www.mendeley.com/documents/?uuid=39df5bcd-b9a5-443e-98c3-34c9e77a080f"]},{"id":"ITEM-2","itemData":{"DOI":"10.1046/j.1523-1739.1998.96379.x","ISSN":"08888892","abstract":"The concept of species redundantly in ecosystem processes is troublesome because it appears to contradict the traditional emphasis in ecology on species singularity. When species richness is high, however, ecosystem processes seem clearly insensitive to considerable variation in biodiversity. Some elementary principles from reliability engineering, where engineered redundancy is a valued part of systems design, suggest that we should rethink our stance on species redundancy. For example, a central tenet of reliability engineering is that reliability always increases as redundant components are added to a system, a principle that directly, supports redundant species as guarantors of reliable ecosystem functioning. I argue that we should embrace species redundancy and perceive redundancy as a critical feature of ecosystems which must be preserved if ecosystems are to function reliably and provide us with goods and services. My argument is derived from basic principles of reliability engineering which demonstrate that the probability of reliable system performance is closely tied to the level of engineered redundancy in its design. Empirical demonstrations of the value of species redundancy in ecosystem reliability would provide new insights into the ecology of communities and the value of species conservation.","author":[{"dropping-particle":"","family":"Naeem","given":"Shahid","non-dropping-particle":"","parse-names":false,"suffix":""}],"container-title":"Conservation Biology","id":"ITEM-2","issue":"1","issued":{"date-parts":[["1998"]]},"page":"39-45","title":"Species redundancy and ecosystem reliability","type":"article-journal","volume":"12"},"uris":["http://www.mendeley.com/documents/?uuid=ee6a159d-ac1f-4927-8927-b52614cbbe87"]}],"mendeley":{"formattedCitation":"(86, 96)","plainTextFormattedCitation":"(86, 96)","previouslyFormattedCitation":"(85, 95)"},"properties":{"noteIndex":0},"schema":"https://github.com/citation-style-language/schema/raw/master/csl-citation.json"}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(86, 96)</w:t>
      </w:r>
      <w:r w:rsidRPr="00F23F20">
        <w:rPr>
          <w:rFonts w:ascii="Times New Roman" w:hAnsi="Times New Roman" w:cs="Times New Roman"/>
        </w:rPr>
        <w:fldChar w:fldCharType="end"/>
      </w:r>
      <w:r w:rsidRPr="00F23F20">
        <w:rPr>
          <w:rFonts w:ascii="Times New Roman" w:hAnsi="Times New Roman" w:cs="Times New Roman"/>
        </w:rPr>
        <w:t xml:space="preserve">. We measured this by first defining two measures of abundance: taxa abundance distributions and trait abundance distributions, or levels. Taxa abundance distributions correspond to conventional species abundance distributions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{"citationItems":[{"id":"ITEM-1","itemData":{"DOI":"10.1111/j.1461-0248.2007.01094.x","ISSN":"1461023X","PMID":"17845298","abstract":"Species abundance distributions (SADs) follow one of ecology's oldest and most universal laws - every community shows a hollow curve or hyperbolic shape on a histogram with many rare species and just a few common species. Here, we review theoretical, empirical and statistical developments in the study of SADs. Several key points emerge. (i) Literally dozens of models have been proposed to explain the hollow curve. Unfortunately, very few models are ever rejected, primarily because few theories make any predictions beyond the hollow-curve SAD itself. (ii) Interesting work has been performed both empirically and theoretically, which goes beyond the hollow-curve prediction to provide a rich variety of information about how SADs behave. These include the study of SADs along environmental gradients and theories that integrate SADs with other biodiversity patterns. Central to this body of work is an effort to move beyond treating the SAD in isolation and to integrate the SAD into its ecological context to enable making many predictions. (iii) Moving forward will entail understanding how sampling and scale affect SADs and developing statistical tools for describing and comparing SADs. We are optimistic that SADs can provide significant insights into basic and applied ecological science. © 2007 Blackwell Publishing Ltd/CNRS.","author":[{"dropping-particle":"","family":"McGill","given":"Brian J.","non-dropping-particle":"","parse-names":false,"suffix":""},{"dropping-particle":"","family":"Etienne","given":"Rampal S.","non-dropping-particle":"","parse-names":false,"suffix":""},{"dropping-particle":"","family":"Gray","given":"John S.","non-dropping-particle":"","parse-names":false,"suffix":""},{"dropping-particle":"","family":"Alonso","given":"David","non-dropping-particle":"","parse-names":false,"suffix":""},{"dropping-particle":"","family":"Anderson","given":"Marti J.","non-dropping-particle":"","parse-names":false,"suffix":""},{"dropping-particle":"","family":"Benecha","given":"Habtamu Kassa","non-dropping-particle":"","parse-names":false,"suffix":""},{"dropping-particle":"","family":"Dornelas","given":"Maria","non-dropping-particle":"","parse-names":false,"suffix":""},{"dropping-particle":"","family":"Enquist","given":"Brian J.","non-dropping-particle":"","parse-names":false,"suffix":""},{"dropping-particle":"","family":"Green","given":"Jessica L.","non-dropping-particle":"","parse-names":false,"suffix":""},{"dropping-particle":"","family":"He","given":"Fangliang","non-dropping-particle":"","parse-names":false,"suffix":""},{"dropping-particle":"","family":"Hurlbert","given":"Allen H.","non-dropping-particle":"","parse-names":false,"suffix":""},{"dropping-particle":"","family":"Magurran","given":"Anne E.","non-dropping-particle":"","parse-names":false,"suffix":""},{"dropping-particle":"","family":"Marquet","given":"Pablo A.","non-dropping-particle":"","parse-names":false,"suffix":""},{"dropping-particle":"","family":"Maurer","given":"Brian A.","non-dropping-particle":"","parse-names":false,"suffix":""},{"dropping-particle":"","family":"Ostling","given":"Annette","non-dropping-particle":"","parse-names":false,"suffix":""},{"dropping-particle":"","family":"Soykan","given":"Candan U.","non-dropping-particle":"","parse-names":false,"suffix":""},{"dropping-particle":"","family":"Ugland","given":"Karl I.","non-dropping-particle":"","parse-names":false,"suffix":""},{"dropping-particle":"","family":"White","given":"Ethan P.","non-dropping-particle":"","parse-names":false,"suffix":""}],"container-title":"Ecology Letters","id":"ITEM-1","issue":"10","issued":{"date-parts":[["2007"]]},"page":"995-1015","title":"Species abundance distributions: Moving beyond single prediction theories to integration within an ecological framework","type":"article-journal","volume":"10"},"uris":["http://www.mendeley.com/documents/?uuid=61694212-0fbc-4b65-892a-c037cf20a0be"]}],"mendeley":{"formattedCitation":"(100)","plainTextFormattedCitation":"(100)","previouslyFormattedCitation":"(99)"},"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(100)</w:t>
      </w:r>
      <w:r w:rsidRPr="00F23F20">
        <w:rPr>
          <w:rFonts w:ascii="Times New Roman" w:hAnsi="Times New Roman" w:cs="Times New Roman"/>
        </w:rPr>
        <w:fldChar w:fldCharType="end"/>
      </w:r>
      <w:r w:rsidRPr="00F23F20">
        <w:rPr>
          <w:rFonts w:ascii="Times New Roman" w:hAnsi="Times New Roman" w:cs="Times New Roman"/>
        </w:rPr>
        <w:t xml:space="preserve">. Trait abundance distributions correspond to relative trait levels for individual taxa, i.e., the total amount of a trait in taxon. By taking the product of these two abundance distributions, we measured the relative contribution by taxa to the overall trait within a community, or the trait contribution distribution. </w:t>
      </w:r>
    </w:p>
    <w:p w14:paraId="779458AA" w14:textId="6439EDCA"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color w:val="000000"/>
        </w:rPr>
        <w:t xml:space="preserve">Traditional approaches for measuring diversity and evenness are applicable to trait contribution distributions, as the trait contribution distribution fulfills mathematical properties defining a community </w:t>
      </w:r>
      <w:r w:rsidRPr="00F23F20">
        <w:rPr>
          <w:rFonts w:ascii="Times New Roman" w:hAnsi="Times New Roman" w:cs="Times New Roman"/>
          <w:color w:val="000000"/>
        </w:rPr>
        <w:fldChar w:fldCharType="begin" w:fldLock="1"/>
      </w:r>
      <w:r w:rsidR="00307058">
        <w:rPr>
          <w:rFonts w:ascii="Times New Roman" w:hAnsi="Times New Roman" w:cs="Times New Roman"/>
          <w:color w:val="000000"/>
        </w:rPr>
        <w:instrText>ADDIN CSL_CITATION {"citationItems":[{"id":"ITEM-1","itemData":{"DOI":"10.1080/01621459.1982.10477845","ISSN":"1537274X","abstract":"This paper puts forth the view that diversity is an average property of a community and identifies that property as species rarity. An intrinsic diversity ordering of communities is defined and is shown to be equivalent to stochastic ordering. Also, the sensitivity of an index to rare species is developed, culminating in a crossing-point theorem and a response theory to perturbations. Diversity decompositions, analogous to the analysis of variance, are discussed for two-way classifications and mixtures. The paper concludes with a brief survey of genetic diversity, linguistic diversity, industrial concentration, and income inequality. © 1982 Taylor &amp; Francis Group, LLC.","author":[{"dropping-particle":"","family":"Patil","given":"G. P.","non-dropping-particle":"","parse-names":false,"suffix":""},{"dropping-particle":"","family":"Taillie","given":"C.","non-dropping-particle":"","parse-names":false,"suffix":""}],"container-title":"Journal of the American Statistical Association","id":"ITEM-1","issue":"379","issued":{"date-parts":[["1982"]]},"page":"548-561","title":"Diversity as a concept and its measurement","type":"article-journal","volume":"77"},"uris":["http://www.mendeley.com/documents/?uuid=fad30308-9969-47c6-a1dd-011e720f7ddc"]}],"mendeley":{"formattedCitation":"(99)","plainTextFormattedCitation":"(99)","previouslyFormattedCitation":"(98)"},"properties":{"noteIndex":0},"schema":"https://github.com/citation-style-language/schema/raw/master/csl-citation.json"}</w:instrText>
      </w:r>
      <w:r w:rsidRPr="00F23F20">
        <w:rPr>
          <w:rFonts w:ascii="Times New Roman" w:hAnsi="Times New Roman" w:cs="Times New Roman"/>
          <w:color w:val="000000"/>
        </w:rPr>
        <w:fldChar w:fldCharType="separate"/>
      </w:r>
      <w:r w:rsidR="00307058" w:rsidRPr="00307058">
        <w:rPr>
          <w:rFonts w:ascii="Times New Roman" w:hAnsi="Times New Roman" w:cs="Times New Roman"/>
          <w:noProof/>
          <w:color w:val="000000"/>
        </w:rPr>
        <w:t>(99)</w:t>
      </w:r>
      <w:r w:rsidRPr="00F23F20">
        <w:rPr>
          <w:rFonts w:ascii="Times New Roman" w:hAnsi="Times New Roman" w:cs="Times New Roman"/>
          <w:color w:val="000000"/>
        </w:rPr>
        <w:fldChar w:fldCharType="end"/>
      </w:r>
      <w:r w:rsidRPr="00F23F20">
        <w:rPr>
          <w:rFonts w:ascii="Times New Roman" w:hAnsi="Times New Roman" w:cs="Times New Roman"/>
          <w:color w:val="000000"/>
        </w:rPr>
        <w:t xml:space="preserve">. We find trait contribution evenness (TCE) appealing because it is easily generalizable. </w:t>
      </w:r>
      <w:r w:rsidRPr="00F23F20">
        <w:rPr>
          <w:rFonts w:ascii="Times New Roman" w:hAnsi="Times New Roman" w:cs="Times New Roman"/>
        </w:rPr>
        <w:t xml:space="preserve">Theoretically, any type of trait data can be used with this approach (e.g., gene copies, enzyme kinetics, nutrient uptake, etc.) </w:t>
      </w:r>
      <w:r w:rsidRPr="00F23F20">
        <w:rPr>
          <w:rFonts w:ascii="Times New Roman" w:hAnsi="Times New Roman" w:cs="Times New Roman"/>
          <w:color w:val="000000"/>
        </w:rPr>
        <w:t>if the trait can be assigned to taxa and the relative abundance of those respective taxa are known.</w:t>
      </w:r>
      <w:r w:rsidRPr="00F23F20">
        <w:rPr>
          <w:rFonts w:ascii="Times New Roman" w:hAnsi="Times New Roman" w:cs="Times New Roman"/>
        </w:rPr>
        <w:t xml:space="preserve"> We demonstrated the efficacy of TCE by correlating functional redundancy against a conceptual idea commonly associated with functional redundancy, the risk of losing ecosystem function due to taxa extinction. Lastly, we analyzed functional redundancy for eight nitrogen-transforming pathways found in metagenomic data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{"citationItems":[{"id":"ITEM-1","itemData":{"DOI":"10.3389/fmars.2019.00739","ISSN":"22967745","abstract":"Nitrogen (N) is a key element for life in the oceans. It controls primary productivity in many parts of the global ocean, consequently playing a crucial role in the uptake of atmospheric carbon dioxide. The marine N cycle is driven by multiple biogeochemical transformations mediated by microorganisms, including processes contributing to the marine fixed N pool (N2 fixation) and retained N pool (nitrification, assimilation, and dissimilatory nitrate reduction to ammonia), as well as processes contributing to the fixed N loss (denitrification, anaerobic ammonium oxidation and nitrite-dependent anaerobic methane oxidation). The N cycle maintains the functioning of marine ecosystems and will be a crucial component in how the ocean responds to global environmental change. In this review, we summarize the current understanding of the marine microbial N cycle, the ecology and distribution of the main functional players involved, and the main impacts of anthropogenic activities on the marine N cycle.","author":[{"dropping-particle":"","family":"Pajares","given":"Silvia","non-dropping-particle":"","parse-names":false,"suffix":""},{"dropping-particle":"","family":"Ramos","given":"Ramiro","non-dropping-particle":"","parse-names":false,"suffix":""}],"container-title":"Frontiers in Marine Science","id":"ITEM-1","issue":"November","issued":{"date-parts":[["2019"]]},"title":"Processes and Microorganisms Involved in the Marine Nitrogen Cycle: Knowledge and Gaps","type":"article-journal","volume":"6"},"uris":["http://www.mendeley.com/documents/?uuid=44c3760c-3d30-4234-9f20-a998fc7e7ecc"]}],"mendeley":{"formattedCitation":"(101)","plainTextFormattedCitation":"(101)","previouslyFormattedCitation":"(100)"},"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(101)</w:t>
      </w:r>
      <w:r w:rsidRPr="00F23F20">
        <w:rPr>
          <w:rFonts w:ascii="Times New Roman" w:hAnsi="Times New Roman" w:cs="Times New Roman"/>
        </w:rPr>
        <w:fldChar w:fldCharType="end"/>
      </w:r>
      <w:r w:rsidRPr="00F23F20">
        <w:rPr>
          <w:rFonts w:ascii="Times New Roman" w:hAnsi="Times New Roman" w:cs="Times New Roman"/>
        </w:rPr>
        <w:t xml:space="preserve"> </w:t>
      </w:r>
      <w:r w:rsidRPr="00F23F20">
        <w:rPr>
          <w:rFonts w:ascii="Times New Roman" w:hAnsi="Times New Roman" w:cs="Times New Roman"/>
        </w:rPr>
        <w:lastRenderedPageBreak/>
        <w:t xml:space="preserve">in </w:t>
      </w:r>
      <w:r w:rsidRPr="00F23F20">
        <w:rPr>
          <w:rFonts w:ascii="Times New Roman" w:hAnsi="Times New Roman" w:cs="Times New Roman"/>
          <w:i/>
          <w:iCs/>
        </w:rPr>
        <w:t>TARA</w:t>
      </w:r>
      <w:r w:rsidRPr="00F23F20">
        <w:rPr>
          <w:rFonts w:ascii="Times New Roman" w:hAnsi="Times New Roman" w:cs="Times New Roman"/>
        </w:rPr>
        <w:t xml:space="preserve"> Oceans draft metagenome-assembled genomes (MAGs)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{"citationItems":[{"id":"ITEM-1","itemData":{"DOI":"10.1038/sdata.2017.203","ISBN":"2052-4463 (Electronic) 2052-4463 (Linking)","ISSN":"20524463","PMID":"29337314","abstract":"The reconstruction of 2,631 draft metagenome-assembled genomes from the global oceans","author":[{"dropping-particle":"","family":"Tully","given":"Benjamin J.","non-dropping-particle":"","parse-names":false,"suffix":""},{"dropping-particle":"","family":"Graham","given":"Elaina D.","non-dropping-particle":"","parse-names":false,"suffix":""},{"dropping-particle":"","family":"Heidelberg","given":"John F.","non-dropping-particle":"","parse-names":false,"suffix":""}],"container-title":"Scientific Data","id":"ITEM-1","issued":{"date-parts":[["2018"]]},"page":"1-8","title":"The reconstruction of 2,631 draft metagenome-assembled genomes from the global oceans","type":"article-journal","volume":"5"},"uris":["http://www.mendeley.com/documents/?uuid=2a594b02-86bb-4243-85e4-75ed2e203301"]}],"mendeley":{"formattedCitation":"(50)","plainTextFormattedCitation":"(50)","previouslyFormattedCitation":"(49)"},"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(50)</w:t>
      </w:r>
      <w:r w:rsidRPr="00F23F20">
        <w:rPr>
          <w:rFonts w:ascii="Times New Roman" w:hAnsi="Times New Roman" w:cs="Times New Roman"/>
        </w:rPr>
        <w:fldChar w:fldCharType="end"/>
      </w:r>
      <w:r w:rsidRPr="00F23F20">
        <w:rPr>
          <w:rFonts w:ascii="Times New Roman" w:hAnsi="Times New Roman" w:cs="Times New Roman"/>
        </w:rPr>
        <w:t>. We hope that the formulation of functional redundancy presented here fills a void in the microbial ecology literature by providing a generalized tool for generating higher quality measurements of an important parameter in microbial communities.</w:t>
      </w:r>
    </w:p>
    <w:p w14:paraId="111A6680" w14:textId="77777777" w:rsidR="00365526" w:rsidRPr="00F23F20" w:rsidRDefault="00365526" w:rsidP="00365526">
      <w:pPr>
        <w:pStyle w:val="Heading2"/>
      </w:pPr>
      <w:bookmarkStart w:id="233" w:name="_Toc41908113"/>
      <w:r w:rsidRPr="00F23F20">
        <w:t>Results and Discussion</w:t>
      </w:r>
      <w:bookmarkEnd w:id="233"/>
    </w:p>
    <w:p w14:paraId="3CDAEFFA" w14:textId="77777777" w:rsidR="00365526" w:rsidRPr="00F23F20" w:rsidRDefault="00365526" w:rsidP="00365526">
      <w:pPr>
        <w:pStyle w:val="Heading3"/>
      </w:pPr>
      <w:bookmarkStart w:id="234" w:name="_Toc41908114"/>
      <w:r w:rsidRPr="00F23F20">
        <w:t>Representing microbial communities as taxa abundance, trait abundance, and trait contribution distributions</w:t>
      </w:r>
      <w:bookmarkEnd w:id="234"/>
      <w:r w:rsidRPr="00F23F20">
        <w:t xml:space="preserve"> </w:t>
      </w:r>
    </w:p>
    <w:p w14:paraId="36351B7E" w14:textId="2A213BEA" w:rsidR="00365526" w:rsidRPr="00F23F20" w:rsidRDefault="00365526" w:rsidP="00365526">
      <w:pPr>
        <w:spacing w:line="480" w:lineRule="auto"/>
        <w:ind w:firstLine="640"/>
        <w:rPr>
          <w:rFonts w:ascii="Times New Roman" w:hAnsi="Times New Roman" w:cs="Times New Roman"/>
        </w:rPr>
      </w:pPr>
      <w:r w:rsidRPr="00F23F20">
        <w:rPr>
          <w:rFonts w:ascii="Times New Roman" w:hAnsi="Times New Roman" w:cs="Times New Roman"/>
        </w:rPr>
        <w:t xml:space="preserve">We represent microbial community traits using two distributions: the distribution of taxon abundance within the community, and the distribution of trait quantity among each taxon (Figure 3.1A). We define ‘trait’ liberally to include genes, transcripts, or proteins (“potential traits”). This definition has been adopted in many studies when inferring microbially-mediated biogeochemistry and microbial ecology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{"citationItems":[{"id":"ITEM-1","itemData":{"DOI":"10.1126/science.1153213","ISBN":"0036-8075","ISSN":"0036-8075","PMID":"18497287","abstract":"Virtually all nonequilibrium electron transfers on Earth are driven by a set of nanobiological machines composed largely of multimeric protein complexes associated with a small number of prosthetic groups. These machines evolved exclusively in microbes early in our planet's history yet, despite their antiquity, are highly conserved. Hence, although there is enormous genetic diversity in nature, there remains a relatively stable set of core genes coding for the major redox reactions essential for life and biogeochemical cycles. These genes created and coevolved with biogeochemical cycles and were passed from microbe to microbe primarily by horizontal gene transfer. A major challenge in the coming decades is to understand how these machines evolved, how they work, and the processes that control their activity on both molecular and planetary scales.","author":[{"dropping-particle":"","family":"Falkowski","given":"P. G.","non-dropping-particle":"","parse-names":false,"suffix":""},{"dropping-particle":"","family":"Fenchel","given":"T.","non-dropping-particle":"","parse-names":false,"suffix":""},{"dropping-particle":"","family":"Delong","given":"E. F.","non-dropping-particle":"","parse-names":false,"suffix":""}],"container-title":"Science","id":"ITEM-1","issue":"5879","issued":{"date-parts":[["2008"]]},"page":"1034-1039","title":"The Microbial Engines That Drive Earth's Biogeochemical Cycles","type":"article-journal","volume":"320"},"uris":["http://www.mendeley.com/documents/?uuid=4148f691-61c5-439c-9bf4-6f280523b3cd"]},{"id":"ITEM-2","itemData":{"DOI":"10.1101/445866","ISSN":"1751-7370","abstract":"Microorganisms are critical in terrestrial carbon cycling because their growth, activity and interactions with the environment largely control the fate of recent plant carbon inputs, as well as the stability of assimilated carbon. Soil carbon stocks reflect a balance between microbial decomposition and stabilization of organic carbon. The balance can shift under altered environmental conditions, and new research suggests that knowledge of microbial physiology may be critical for projecting changes in soil carbon and improving the prognosis of climate change feedbacks. Still, predicting the ecosystem implications of microbial processes remains a challenge. Here we argue that this challenge can be met by identifying microbial life history strategies based on an organism's phenotypic characteristics, or traits, and representing these strategies in models simulating different environmental conditions. By adapting several theories from macroecology, we define microbial high yield (Y), resource acquisition (A), and stress tolerator (S) strategies based on key traits that are linked to organismal fitness. Our Y-A-S framework can guide new empirical and modelling studies on the mechanisms driving soil carbon fluxes. By linking population-level response traits to community and ecosystem processes, our life history theory can improve predictive understanding of soil C responses to future climatic change.","author":[{"dropping-particle":"","family":"Malik","given":"Ashish A","non-dropping-particle":"","parse-names":false,"suffix":""},{"dropping-particle":"","family":"Martiny","given":"Jennifer B H","non-dropping-particle":"","parse-names":false,"suffix":""},{"dropping-particle":"","family":"Brodie","given":"Eoin L","non-dropping-particle":"","parse-names":false,"suffix":""},{"dropping-particle":"","family":"Martiny","given":"Adam C","non-dropping-particle":"","parse-names":false,"suffix":""},{"dropping-particle":"","family":"Treseder","given":"Kathleen K","non-dropping-particle":"","parse-names":false,"suffix":""},{"dropping-particle":"","family":"Allison","given":"Steven D","non-dropping-particle":"","parse-names":false,"suffix":""}],"container-title":"ISME Journal","id":"ITEM-2","issued":{"date-parts":[["2019"]]},"page":"445866","publisher":"Springer US","title":"Defining trait-based microbial strategies with consequences for soil carbon cycling under climate change","type":"article-journal"},"uris":["http://www.mendeley.com/documents/?uuid=83008acf-3051-4f8b-99d8-1a7578327b60"]},{"id":"ITEM-3","itemData":{"DOI":"10.1186/s40168-015-0077-6","ISSN":"2049-2618","abstract":"Estuaries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J","non-dropping-particle":"","parse-names":false,"suffix":""}],"container-title":"Microbiome","id":"ITEM-3","issue":"1","issued":{"date-parts":[["2015","12","13"]]},"page":"14","publisher":"BioMed Central","title":"Genomic resolution of linkages in carbon, nitrogen, and sulfur cycling among widespread estuary sediment bacteria","type":"article-journal","volume":"3"},"uris":["http://www.mendeley.com/documents/?uuid=9a188f01-0081-3e79-a3ab-79086163d314"]},{"id":"ITEM-4","itemData":{"DOI":"10.1038/ncomms13219","ISSN":"2041-1723","abstract":"&lt;p&gt;Microorganisms from the terrestrial subsurface are understudied. Here, Anantharaman &lt;i&gt;et al&lt;/i&gt;. analyse aquifer sediments and groundwater by genome-resolved metagenomics and reconstruct 2,540 genomes representing the majority of known bacterial phyla as well as 47 new p&amp;hellip;&lt;/p&gt;","author":[{"dropping-particle":"","family":"Anantharaman","given":"Karthik","non-dropping-particle":"","parse-names":false,"suffix":""},{"dropping-particle":"","family":"Brown","given":"Christopher T.","non-dropping-particle":"","parse-names":false,"suffix":""},{"dropping-particle":"","family":"Hug","given":"Laura A.","non-dropping-particle":"","parse-names":false,"suffix":""},{"dropping-particle":"","family":"Sharon","given":"Itai","non-dropping-particle":"","parse-names":false,"suffix":""},{"dropping-particle":"","family":"Castelle","given":"Cindy J.","non-dropping-particle":"","parse-names":false,"suffix":""},{"dropping-particle":"","family":"Probst","given":"Alexander J.","non-dropping-particle":"","parse-names":false,"suffix":""},{"dropping-particle":"","family":"Thomas","given":"Brian C.","non-dropping-particle":"","parse-names":false,"suffix":""},{"dropping-particle":"","family":"Singh","given":"Andrea","non-dropping-particle":"","parse-names":false,"suffix":""},{"dropping-particle":"","family":"Wilkins","given":"Michael J.","non-dropping-particle":"","parse-names":false,"suffix":""},{"dropping-particle":"","family":"Karaoz","given":"Ulas","non-dropping-particle":"","parse-names":false,"suffix":""},{"dropping-particle":"","family":"Brodie","given":"Eoin L.","non-dropping-particle":"","parse-names":false,"suffix":""},{"dropping-particle":"","family":"Williams","given":"Kenneth H.","non-dropping-particle":"","parse-names":false,"suffix":""},{"dropping-particle":"","family":"Hubbard","given":"Susan S.","non-dropping-particle":"","parse-names":false,"suffix":""},{"dropping-particle":"","family":"Banfield","given":"Jillian F.","non-dropping-particle":"","parse-names":false,"suffix":""}],"container-title":"Nature Communications","id":"ITEM-4","issued":{"date-parts":[["2016","10","24"]]},"page":"13219","publisher":"Nature Publishing Group","title":"Thousands of microbial genomes shed light on interconnected biogeochemical processes in an aquifer system","type":"article-journal","volume":"7"},"uris":["http://www.mendeley.com/documents/?uuid=9855ca4e-a03f-3c99-a688-b8838d09983a"]},{"id":"ITEM-5","itemData":{"DOI":"10.1126/science.1218344","ISBN":"0036-8075","ISSN":"1095-9203","PMID":"22556258","abstract":"Phytoplankton blooms characterize temperate ocean margin zones in spring. We investigated the bacterioplankton response to a diatom bloom in the North Sea and observed a dynamic succession of populations at genus-level resolution. Taxonomically distinct expressions of carbohydrate-active enzymes (transporters; in particular, TonB-dependent transporters) and phosphate acquisition strategies were found, indicating that distinct populations of Bacteroidetes, Gammaproteobacteria, and Alphaproteobacteria are specialized for successive decomposition of algal-derived organic matter. Our results suggest that algal substrate availability provided a series of ecological niches in which specialized populations could bloom. This reveals how planktonic species, despite their seemingly homogeneous habitat, can evade extinction by direct competition.","author":[{"dropping-particle":"","family":"Teeling","given":"Hanno","non-dropping-particle":"","parse-names":false,"suffix":""},{"dropping-particle":"","family":"Fuchs","given":"Bernhard M","non-dropping-particle":"","parse-names":false,"suffix":""},{"dropping-particle":"","family":"Becher","given":"Dörte","non-dropping-particle":"","parse-names":false,"suffix":""},{"dropping-particle":"","family":"Klockow","given":"Christine","non-dropping-particle":"","parse-names":false,"suffix":""},{"dropping-particle":"","family":"Gardebrecht","given":"Antje","non-dropping-particle":"","parse-names":false,"suffix":""},{"dropping-particle":"","family":"Bennke","given":"Christin M","non-dropping-particle":"","parse-names":false,"suffix":""},{"dropping-particle":"","family":"Kassabgy","given":"Mariette","non-dropping-particle":"","parse-names":false,"suffix":""},{"dropping-particle":"","family":"Huang","given":"Sixing","non-dropping-particle":"","parse-names":false,"suffix":""},{"dropping-particle":"","family":"Mann","given":"Alexander J","non-dropping-particle":"","parse-names":false,"suffix":""},{"dropping-particle":"","family":"Waldmann","given":"Jost","non-dropping-particle":"","parse-names":false,"suffix":""},{"dropping-particle":"","family":"Weber","given":"Marc","non-dropping-particle":"","parse-names":false,"suffix":""},{"dropping-particle":"","family":"Klindworth","given":"Anna","non-dropping-particle":"","parse-names":false,"suffix":""},{"dropping-particle":"","family":"Otto","given":"Andreas","non-dropping-particle":"","parse-names":false,"suffix":""},{"dropping-particle":"","family":"Lange","given":"Jana","non-dropping-particle":"","parse-names":false,"suffix":""},{"dropping-particle":"","family":"Bernhardt","given":"Jörg","non-dropping-particle":"","parse-names":false,"suffix":""},{"dropping-particle":"","family":"Reinsch","given":"Christine","non-dropping-particle":"","parse-names":false,"suffix":""},{"dropping-particle":"","family":"Hecker","given":"Michael","non-dropping-particle":"","parse-names":false,"suffix":""},{"dropping-particle":"","family":"Peplies","given":"Jörg","non-dropping-particle":"","parse-names":false,"suffix":""},{"dropping-particle":"","family":"Bockelmann","given":"Frank D","non-dropping-particle":"","parse-names":false,"suffix":""},{"dropping-particle":"","family":"Callies","given":"Ulrich","non-dropping-particle":"","parse-names":false,"suffix":""},{"dropping-particle":"","family":"Gerdts","given":"Gunnar","non-dropping-particle":"","parse-names":false,"suffix":""},{"dropping-particle":"","family":"Wichels","given":"Antje","non-dropping-particle":"","parse-names":false,"suffix":""},{"dropping-particle":"","family":"Wiltshire","given":"Karen H","non-dropping-particle":"","parse-names":false,"suffix":""},{"dropping-particle":"","family":"Glöckner","given":"Frank Oliver","non-dropping-particle":"","parse-names":false,"suffix":""},{"dropping-particle":"","family":"Schweder","given":"Thomas","non-dropping-particle":"","parse-names":false,"suffix":""},{"dropping-particle":"","family":"Amann","given":"Rudolf","non-dropping-particle":"","parse-names":false,"suffix":""}],"container-title":"Science","id":"ITEM-5","issue":"May","issued":{"date-parts":[["2012"]]},"page":"608-611","title":"Substrate-Controlled Succession of Marine Bacterioplankton Populations Induced by a Phytoplankton Bloom","type":"article-journal","volume":"336"},"uris":["http://www.mendeley.com/documents/?uuid=c9254aeb-103a-4a5e-a59d-a5f416632eba"]}],"mendeley":{"formattedCitation":"(1, 7, 8, 88, 102)","plainTextFormattedCitation":"(1, 7, 8, 88, 102)","previouslyFormattedCitation":"(1, 7, 8, 87, 101)"},"properties":{"noteIndex":0},"schema":"https://github.com/citation-style-language/schema/raw/master/csl-citation.json"}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(1, 7, 8, 88, 102)</w:t>
      </w:r>
      <w:r w:rsidRPr="00F23F20">
        <w:rPr>
          <w:rFonts w:ascii="Times New Roman" w:hAnsi="Times New Roman" w:cs="Times New Roman"/>
        </w:rPr>
        <w:fldChar w:fldCharType="end"/>
      </w:r>
      <w:r w:rsidRPr="00F23F20">
        <w:rPr>
          <w:rFonts w:ascii="Times New Roman" w:hAnsi="Times New Roman" w:cs="Times New Roman"/>
        </w:rPr>
        <w:t xml:space="preserve">. Furthermore, traits encompass processes catalyzed by microbes such as nutrient uptake or respiration (“realized traits”). The choice of traits to analyze is always central in experimental design. However, for the purposes of the method described here, traits may represent anything that can be quantifiably apportioned among taxa, including binary presence/absence apportionments. </w:t>
      </w:r>
    </w:p>
    <w:p w14:paraId="2E6C8A2A" w14:textId="77777777" w:rsidR="00365526" w:rsidRPr="00F23F20" w:rsidRDefault="00365526" w:rsidP="00365526">
      <w:pPr>
        <w:spacing w:line="480" w:lineRule="auto"/>
        <w:ind w:firstLine="640"/>
        <w:rPr>
          <w:rFonts w:ascii="Times New Roman" w:hAnsi="Times New Roman" w:cs="Times New Roman"/>
        </w:rPr>
      </w:pPr>
      <w:r w:rsidRPr="00F23F20">
        <w:rPr>
          <w:rFonts w:ascii="Times New Roman" w:hAnsi="Times New Roman" w:cs="Times New Roman"/>
        </w:rPr>
        <w:t xml:space="preserve">Since trait levels are measured as non-negative, real numbers, both taxa relative abundances (equation 3.1) and trait abundances (equation 3.2) can be represented as relative abundance distributions (Figure 3.1B). We determined the relative contribution of individual taxa to the total, community-wide trait level from the product of taxon </w:t>
      </w:r>
      <w:r w:rsidRPr="00F23F20">
        <w:rPr>
          <w:rFonts w:ascii="Times New Roman" w:hAnsi="Times New Roman" w:cs="Times New Roman"/>
        </w:rPr>
        <w:lastRenderedPageBreak/>
        <w:t xml:space="preserve">relative abundances and their respective trait abundance distributions (equation 3.3). We refer to the distribution of the relative contribution of each taxon to total, community-wide trait level as the trait contribution distribution (equation 3.4). Thus, an abundant taxon that expresses a small amount of trait per cell might contribute equally to the total trait level within a community as a rarer taxon that expresses a large amount of trait per cell (Figure 3.1B). In cases of presence/absence trait data, the trait contribution distribution reflects the relative abundance of trait-containing taxa. </w:t>
      </w:r>
    </w:p>
    <w:p w14:paraId="06E814C9" w14:textId="77777777" w:rsidR="00A22E51" w:rsidRPr="00F23F20" w:rsidRDefault="00A22E51" w:rsidP="00A22E51">
      <w:pPr>
        <w:pStyle w:val="Heading3"/>
      </w:pPr>
      <w:bookmarkStart w:id="235" w:name="_Toc41908115"/>
      <w:r w:rsidRPr="00F23F20">
        <w:t>Defining and Quantifying Functional Redundancy</w:t>
      </w:r>
      <w:bookmarkEnd w:id="235"/>
    </w:p>
    <w:p w14:paraId="10721693" w14:textId="77777777" w:rsidR="00A22E51" w:rsidRPr="00F23F20" w:rsidRDefault="00A22E51" w:rsidP="00A22E51">
      <w:pPr>
        <w:spacing w:line="480" w:lineRule="auto"/>
        <w:ind w:firstLine="640"/>
        <w:rPr>
          <w:rFonts w:ascii="Times New Roman" w:hAnsi="Times New Roman" w:cs="Times New Roman"/>
        </w:rPr>
      </w:pPr>
      <w:r w:rsidRPr="00F23F20">
        <w:rPr>
          <w:rFonts w:ascii="Times New Roman" w:hAnsi="Times New Roman" w:cs="Times New Roman"/>
        </w:rPr>
        <w:t xml:space="preserve">We define functional redundancy as how evenly taxa in a community contribute to the total quantity of trait exhibited by the community. A community in which each taxon contributes an equal quantity of trait would be maximally functionally redundant with respect to the trait. For example, a community of heterotrophs in which each taxon consumes oxygen at an equal rate would be maximally redundant with respect to oxygen consumption. Conversely, if that community contained a single taxon capable of fixing nitrogen, that community would be minimally redundant with respect to nitrogen fixation. </w:t>
      </w:r>
    </w:p>
    <w:p w14:paraId="03D8B7AF" w14:textId="6491182B" w:rsidR="00A22E51" w:rsidRPr="00F23F20" w:rsidRDefault="00A22E51" w:rsidP="00A22E51">
      <w:pPr>
        <w:spacing w:line="480" w:lineRule="auto"/>
        <w:ind w:firstLine="640"/>
        <w:rPr>
          <w:rFonts w:ascii="Times New Roman" w:hAnsi="Times New Roman" w:cs="Times New Roman"/>
        </w:rPr>
      </w:pPr>
      <w:r w:rsidRPr="00F23F20">
        <w:rPr>
          <w:rFonts w:ascii="Times New Roman" w:hAnsi="Times New Roman" w:cs="Times New Roman"/>
        </w:rPr>
        <w:t xml:space="preserve">The trait contribution distribution (equation 3.4) provides an invaluable tool for visualizing trait functional redundancy within a community, as these distributions allow for pairwise comparisons in relative trait contribution by different taxa. Comparative analyses of trait contribution distribution from multiple communities may be difficult due to differences in structure and richness. Similar challenges exist when comparing diversity between taxa abundance distributions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{"citationItems":[{"id":"ITEM-1","itemData":{"DOI":"10.1080/01621459.1982.10477845","ISSN":"1537274X","abstract":"This paper puts forth the view that diversity is an average property of a community and identifies that property as species rarity. An intrinsic diversity ordering of communities is defined and is shown to be equivalent to stochastic ordering. Also, the sensitivity of an index to rare species is developed, culminating in a crossing-point theorem and a response theory to perturbations. Diversity decompositions, analogous to the analysis of variance, are discussed for two-way classifications and mixtures. The paper concludes with a brief survey of genetic diversity, linguistic diversity, industrial concentration, and income inequality. © 1982 Taylor &amp; Francis Group, LLC.","author":[{"dropping-particle":"","family":"Patil","given":"G. P.","non-dropping-particle":"","parse-names":false,"suffix":""},{"dropping-particle":"","family":"Taillie","given":"C.","non-dropping-particle":"","parse-names":false,"suffix":""}],"container-title":"Journal of the American Statistical Association","id":"ITEM-1","issue":"379","issued":{"date-parts":[["1982"]]},"page":"548-561","title":"Diversity as a concept and its measurement","type":"article-journal","volume":"77"},"uris":["http://www.mendeley.com/documents/?uuid=fad30308-9969-47c6-a1dd-011e720f7ddc"]}],"mendeley":{"formattedCitation":"(99)","plainTextFormattedCitation":"(99)","previouslyFormattedCitation":"(98)"},"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(99)</w:t>
      </w:r>
      <w:r w:rsidRPr="00F23F20">
        <w:rPr>
          <w:rFonts w:ascii="Times New Roman" w:hAnsi="Times New Roman" w:cs="Times New Roman"/>
        </w:rPr>
        <w:fldChar w:fldCharType="end"/>
      </w:r>
      <w:r w:rsidRPr="00F23F20">
        <w:rPr>
          <w:rFonts w:ascii="Times New Roman" w:hAnsi="Times New Roman" w:cs="Times New Roman"/>
        </w:rPr>
        <w:t xml:space="preserve">. Consequently, diversity indices have </w:t>
      </w:r>
      <w:r w:rsidRPr="00F23F20">
        <w:rPr>
          <w:rFonts w:ascii="Times New Roman" w:hAnsi="Times New Roman" w:cs="Times New Roman"/>
        </w:rPr>
        <w:lastRenderedPageBreak/>
        <w:t xml:space="preserve">become elegant solutions for comparing community diversity among different communities, as variations in taxa abundance are collapsed into a singular value. The applicability of diversity indices extends beyond taxa abundance distributions and includes any categorical abundance vector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{"citationItems":[{"id":"ITEM-1","itemData":{"DOI":"10.1080/01621459.1982.10477845","ISSN":"1537274X","abstract":"This paper puts forth the view that diversity is an average property of a community and identifies that property as species rarity. An intrinsic diversity ordering of communities is defined and is shown to be equivalent to stochastic ordering. Also, the sensitivity of an index to rare species is developed, culminating in a crossing-point theorem and a response theory to perturbations. Diversity decompositions, analogous to the analysis of variance, are discussed for two-way classifications and mixtures. The paper concludes with a brief survey of genetic diversity, linguistic diversity, industrial concentration, and income inequality. © 1982 Taylor &amp; Francis Group, LLC.","author":[{"dropping-particle":"","family":"Patil","given":"G. P.","non-dropping-particle":"","parse-names":false,"suffix":""},{"dropping-particle":"","family":"Taillie","given":"C.","non-dropping-particle":"","parse-names":false,"suffix":""}],"container-title":"Journal of the American Statistical Association","id":"ITEM-1","issue":"379","issued":{"date-parts":[["1982"]]},"page":"548-561","title":"Diversity as a concept and its measurement","type":"article-journal","volume":"77"},"uris":["http://www.mendeley.com/documents/?uuid=fad30308-9969-47c6-a1dd-011e720f7ddc"]}],"mendeley":{"formattedCitation":"(99)","plainTextFormattedCitation":"(99)","previouslyFormattedCitation":"(98)"},"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(99)</w:t>
      </w:r>
      <w:r w:rsidRPr="00F23F20">
        <w:rPr>
          <w:rFonts w:ascii="Times New Roman" w:hAnsi="Times New Roman" w:cs="Times New Roman"/>
        </w:rPr>
        <w:fldChar w:fldCharType="end"/>
      </w:r>
      <w:r w:rsidRPr="00F23F20">
        <w:rPr>
          <w:rFonts w:ascii="Times New Roman" w:hAnsi="Times New Roman" w:cs="Times New Roman"/>
        </w:rPr>
        <w:t xml:space="preserve">. The generalizability of diversity indices, along with the fact that diversity indices are used for measuring community evenness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{"citationItems":[{"id":"ITEM-1","itemData":{"DOI":"10.1016/0022-5193(66)90013-0","ISBN":"0022-5193","ISSN":"10958541","abstract":"Information content may be used as a measure of the diversity of a many-species biological collection. The diversity of small collections, all of whose members can be identified and counted, is defined by Brillouin's measure of information. With larger collections it becomes necessary to estimate diversity; what is estimated is Shannon's measure of information which is a function of the population proportions of the several species. Different methods of estimation are appropriate for different types of collections. If the collection can be randomly sampled and the total number of species is known, Basharin's formula may be used. With a random sample from a population containing an unknown number of species, Good's method is sometimes applicable. With a patchy population of sessile organisms, such as a plant community, random samples are unobtainable since the contents of a randomly placed quadrat are not a random sample of the parent population. To estimate the diversity of such a community a method is proposed whereby the sample size is progressively increased by addition of new quadrats; as this is done the diversity of the pooled sample increases and then levels off. The mean increment in total diversity that results from enlarging the sample still more then provides an estimate of the diversity per individual in the whole population. © 1966.","author":[{"dropping-particle":"","family":"Pielou","given":"E. C.","non-dropping-particle":"","parse-names":false,"suffix":""}],"container-title":"Journal of Theoretical Biology","id":"ITEM-1","issue":"C","issued":{"date-parts":[["1966"]]},"page":"131-144","title":"The measurement of diversity in different types of biological collections","type":"article-journal","volume":"13"},"uris":["http://www.mendeley.com/documents/?uuid=fb327ef8-2f0e-4b5a-aa65-88faef92d133"]}],"mendeley":{"formattedCitation":"(54)","plainTextFormattedCitation":"(54)","previouslyFormattedCitation":"(53)"},"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(54)</w:t>
      </w:r>
      <w:r w:rsidRPr="00F23F20">
        <w:rPr>
          <w:rFonts w:ascii="Times New Roman" w:hAnsi="Times New Roman" w:cs="Times New Roman"/>
        </w:rPr>
        <w:fldChar w:fldCharType="end"/>
      </w:r>
      <w:r w:rsidRPr="00F23F20">
        <w:rPr>
          <w:rFonts w:ascii="Times New Roman" w:hAnsi="Times New Roman" w:cs="Times New Roman"/>
        </w:rPr>
        <w:t xml:space="preserve">, prompted us to explore using diversity metrics to quantify functional redundancy.  </w:t>
      </w:r>
    </w:p>
    <w:p w14:paraId="2C0B637B" w14:textId="32EA916B" w:rsidR="00A22E51" w:rsidRPr="00F23F20" w:rsidRDefault="00A22E51" w:rsidP="00A22E51">
      <w:pPr>
        <w:spacing w:line="480" w:lineRule="auto"/>
        <w:ind w:firstLine="640"/>
        <w:rPr>
          <w:rFonts w:ascii="Times New Roman" w:hAnsi="Times New Roman" w:cs="Times New Roman"/>
        </w:rPr>
      </w:pPr>
      <w:r w:rsidRPr="00F23F20">
        <w:rPr>
          <w:rFonts w:ascii="Times New Roman" w:hAnsi="Times New Roman" w:cs="Times New Roman"/>
        </w:rPr>
        <w:t xml:space="preserve">We quantified the diversity of trait contribution distributions (equation 3.4) using traditional diversity indices (equation 3.5). Numerous diversity indices have been proposed in the literature. Three common measures of diversity, taxa richness, Shannon’s diversity index, and Simpson’s diversity index, are manifestations of the parametric diversity index, in which the </w:t>
      </w:r>
      <w:r w:rsidRPr="00F23F20">
        <w:rPr>
          <w:rFonts w:ascii="Times New Roman" w:hAnsi="Times New Roman" w:cs="Times New Roman"/>
          <w:i/>
          <w:iCs/>
        </w:rPr>
        <w:t>α</w:t>
      </w:r>
      <w:r w:rsidRPr="00F23F20">
        <w:rPr>
          <w:rFonts w:ascii="Times New Roman" w:hAnsi="Times New Roman" w:cs="Times New Roman"/>
        </w:rPr>
        <w:t xml:space="preserve"> parameter determines the relative weight placed on rare versus common taxa. Equation 3.5 with </w:t>
      </w:r>
      <w:r w:rsidRPr="00F23F20">
        <w:rPr>
          <w:rFonts w:ascii="Times New Roman" w:hAnsi="Times New Roman" w:cs="Times New Roman"/>
          <w:i/>
          <w:iCs/>
        </w:rPr>
        <w:t>α</w:t>
      </w:r>
      <w:r w:rsidRPr="00F23F20">
        <w:rPr>
          <w:rFonts w:ascii="Times New Roman" w:hAnsi="Times New Roman" w:cs="Times New Roman"/>
        </w:rPr>
        <w:t xml:space="preserve">=0 becomes the sum of taxa present in a sample, or taxon richness. When </w:t>
      </w:r>
      <w:r w:rsidRPr="00F23F20">
        <w:rPr>
          <w:rFonts w:ascii="Times New Roman" w:hAnsi="Times New Roman" w:cs="Times New Roman"/>
          <w:i/>
          <w:iCs/>
        </w:rPr>
        <w:t>α</w:t>
      </w:r>
      <w:r w:rsidRPr="00F23F20">
        <w:rPr>
          <w:rFonts w:ascii="Times New Roman" w:hAnsi="Times New Roman" w:cs="Times New Roman"/>
        </w:rPr>
        <w:t xml:space="preserve">=1 or 2, equation 3.5 becomes the equation for Shannon’s and Simpson’s diversity indices respectively. We adopted the parametric diversity index for this flexibility in weighting the importance of taxa. An evaluation of their viability demonstrated thermophiles did not contribute to biogeochemical processes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{"citationItems":[{"id":"ITEM-1","itemData":{"DOI":"10.1126/science.1174012","ISSN":"10959203","PMID":"19762643","abstract":"Microorganisms have been repeatedly discovered in environments that do not support their metabolic activity. Identifying and quantifying these misplaced organisms can reveal dispersal mechanisms that shape natural microbial diversity. Using endospore germination experiments, we estimated a stable supply of thermophilic bacteria into permanently cold Arctic marine sediment at a rate exceeding 10(8) spores per square meter per year. These metabolically and phylogenetically diverse Firmicutes show no detectable activity at cold in situ temperatures but rapidly mineralize organic matter by hydrolysis, fermentation, and sulfate reduction upon induction at 50 degrees C. The closest relatives to these bacteria come from warm subsurface petroleum reservoir and ocean crust ecosystems, suggesting that seabed fluid flow from these environments is delivering thermophiles to the cold ocean. These transport pathways may broadly influence microbial community composition in the marine environment.","author":[{"dropping-particle":"","family":"Hubert","given":"Casey","non-dropping-particle":"","parse-names":false,"suffix":""}],"container-title":"Program","id":"ITEM-1","issue":"5947","issued":{"date-parts":[["2009"]]},"page":"1541-1544","title":"A Constant Flux of Diverse","type":"article-journal","volume":"1541"},"uris":["http://www.mendeley.com/documents/?uuid=99b4df81-0008-4809-89ab-7533571758ef"]}],"mendeley":{"formattedCitation":"(103)","plainTextFormattedCitation":"(103)","previouslyFormattedCitation":"(102)"},"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(103)</w:t>
      </w:r>
      <w:r w:rsidRPr="00F23F20">
        <w:rPr>
          <w:rFonts w:ascii="Times New Roman" w:hAnsi="Times New Roman" w:cs="Times New Roman"/>
        </w:rPr>
        <w:fldChar w:fldCharType="end"/>
      </w:r>
      <w:r w:rsidRPr="00F23F20">
        <w:rPr>
          <w:rFonts w:ascii="Times New Roman" w:hAnsi="Times New Roman" w:cs="Times New Roman"/>
        </w:rPr>
        <w:t xml:space="preserve">. Next, we quantified a theoretical maximum diversity for the same trait contribution distributions assuming relative contribution of traits were evenly spread among all taxa (equation 3.6). Community evenness can be derived by taking the ratio of community diversity to the theoretical maximum diversity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{"citationItems":[{"id":"ITEM-1","itemData":{"DOI":"10.1016/0022-5193(66)90013-0","ISBN":"0022-5193","ISSN":"10958541","abstract":"Information content may be used as a measure of the diversity of a many-species biological collection. The diversity of small collections, all of whose members can be identified and counted, is defined by Brillouin's measure of information. With larger collections it becomes necessary to estimate diversity; what is estimated is Shannon's measure of information which is a function of the population proportions of the several species. Different methods of estimation are appropriate for different types of collections. If the collection can be randomly sampled and the total number of species is known, Basharin's formula may be used. With a random sample from a population containing an unknown number of species, Good's method is sometimes applicable. With a patchy population of sessile organisms, such as a plant community, random samples are unobtainable since the contents of a randomly placed quadrat are not a random sample of the parent population. To estimate the diversity of such a community a method is proposed whereby the sample size is progressively increased by addition of new quadrats; as this is done the diversity of the pooled sample increases and then levels off. The mean increment in total diversity that results from enlarging the sample still more then provides an estimate of the diversity per individual in the whole population. © 1966.","author":[{"dropping-particle":"","family":"Pielou","given":"E. C.","non-dropping-particle":"","parse-names":false,"suffix":""}],"container-title":"Journal of Theoretical Biology","id":"ITEM-1","issue":"C","issued":{"date-parts":[["1966"]]},"page":"131-144","title":"The measurement of diversity in different types of biological collections","type":"article-journal","volume":"13"},"uris":["http://www.mendeley.com/documents/?uuid=fb327ef8-2f0e-4b5a-aa65-88faef92d133"]}],"mendeley":{"formattedCitation":"(54)","plainTextFormattedCitation":"(54)","previouslyFormattedCitation":"(53)"},"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(54)</w:t>
      </w:r>
      <w:r w:rsidRPr="00F23F20">
        <w:rPr>
          <w:rFonts w:ascii="Times New Roman" w:hAnsi="Times New Roman" w:cs="Times New Roman"/>
        </w:rPr>
        <w:fldChar w:fldCharType="end"/>
      </w:r>
      <w:r w:rsidRPr="00F23F20">
        <w:rPr>
          <w:rFonts w:ascii="Times New Roman" w:hAnsi="Times New Roman" w:cs="Times New Roman"/>
        </w:rPr>
        <w:t xml:space="preserve">. As such, we normalized diversity of the trait contribution distribution by the theoretical maximum diversity (equation 3.7). We refer to this statistical measure (equations 3.5-3.7) of the trait contribution </w:t>
      </w:r>
      <w:r w:rsidRPr="00F23F20">
        <w:rPr>
          <w:rFonts w:ascii="Times New Roman" w:hAnsi="Times New Roman" w:cs="Times New Roman"/>
        </w:rPr>
        <w:lastRenderedPageBreak/>
        <w:t xml:space="preserve">distributions as trait contribution evenness (TCE). TCE measured of how evenly taxa contribute to a specific trait within the community, or the functional redundancy of the trait. TCE differs from other proposed methods measuring functional diversity, richness, and redundancy as these methods use </w:t>
      </w:r>
      <w:sdt>
        <w:sdtPr>
          <w:rPr>
            <w:rFonts w:ascii="Times New Roman" w:hAnsi="Times New Roman" w:cs="Times New Roman"/>
          </w:rPr>
          <w:tag w:val="goog_rdk_25"/>
          <w:id w:val="1624729606"/>
        </w:sdtPr>
        <w:sdtContent/>
      </w:sdt>
      <w:r w:rsidRPr="00F23F20">
        <w:rPr>
          <w:rFonts w:ascii="Times New Roman" w:hAnsi="Times New Roman" w:cs="Times New Roman"/>
        </w:rPr>
        <w:t xml:space="preserve">distance-based methods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{"citationItems":[{"id":"ITEM-1","itemData":{"DOI":"10.1111/2041-210X.12604","ISSN":"2041210X","abstract":"The preservation of ecosystem processes under ongoing biotic erosion requires that some species within affected communities perform similar functions, a property that is usually defined as functional redundancy. Although functional redundancy has recently become a relevant part of ecological research, so far there is no agreement on its measurement. The scope of this work is thus to propose a consistent framework based on functional dissimilarities among species for summarizing different facets of functional redundancy. The behaviour of the proposed measures is illustrated with one small artificial data set, together with actual examples on the species functional turnover along successional gradients. We believe this new framework provides an important contribution for the clarification and quantification of key metrics of community redundancy and vulnerability. The method, for which we provide a simple r function called ‘uniqueness’, further allows summarizing the functional contribution of single species to the overall redundancy of any type of biological community.","author":[{"dropping-particle":"","family":"Ricotta","given":"Carlo","non-dropping-particle":"","parse-names":false,"suffix":""},{"dropping-particle":"","family":"Bello","given":"Francesco","non-dropping-particle":"de","parse-names":false,"suffix":""},{"dropping-particle":"","family":"Moretti","given":"Marco","non-dropping-particle":"","parse-names":false,"suffix":""},{"dropping-particle":"","family":"Caccianiga","given":"Marco","non-dropping-particle":"","parse-names":false,"suffix":""},{"dropping-particle":"","family":"Cerabolini","given":"Bruno E.L.","non-dropping-particle":"","parse-names":false,"suffix":""},{"dropping-particle":"","family":"Pavoine","given":"Sandrine","non-dropping-particle":"","parse-names":false,"suffix":""}],"container-title":"Methods in Ecology and Evolution","id":"ITEM-1","issue":"11","issued":{"date-parts":[["2016"]]},"page":"1386-1395","title":"Measuring the functional redundancy of biological communities: a quantitative guide","type":"article-journal","volume":"7"},"uris":["http://www.mendeley.com/documents/?uuid=a4a1a205-a550-4685-bdb4-245917332160"]},{"id":"ITEM-2","itemData":{"DOI":"10.1016/j.tpb.2006.06.003","ISSN":"00405809","abstract":"The diversity of a species assemblage has been studied extensively for many decades in relation to its possible connection with ecosystem functioning and organization. In this view most diversity measures, such as Shannon's entropy, rely upon information theory as a basis for the quantification of diversity. Also, traditional diversity measures are computed using species relative abundances and cannot account for the ecological differences between species. Rao first proposed a diversity index, termed quadratic diversity (Q) that incorporates both species relative abundances and pairwise distances between species. Quadratic diversity is traditionally defined as the expected distance between two randomly selected individuals. In this paper, we show that quadratic diversity can be interpreted as the expected conflict among the species of a given assemblage. From this unusual interpretation, it naturally follows that Rao's Q can be related to the Shannon entropy through a generalized version of the Tsallis parametric entropy. © 2006 Elsevier Inc. All rights reserved.","author":[{"dropping-particle":"","family":"Ricotta","given":"Carlo","non-dropping-particle":"","parse-names":false,"suffix":""},{"dropping-particle":"","family":"Szeidl","given":"Laszlo","non-dropping-particle":"","parse-names":false,"suffix":""}],"container-title":"Theoretical Population Biology","id":"ITEM-2","issue":"3","issued":{"date-parts":[["2006"]]},"page":"237-243","title":"Towards a unifying approach to diversity measures: Bridging the gap between the Shannon entropy and Rao's quadratic index","type":"article-journal","volume":"70"},"uris":["http://www.mendeley.com/documents/?uuid=ee6f2528-5f6c-424d-ba46-c2f924988732"]},{"id":"ITEM-3","itemData":{"DOI":"10.1002/chin.200826189","ISSN":"03855414","abstract":"The heterospirocyclic 2H-azirin-3-amine (9), i.e., N-methyl-N-phenyl-5-thia-1-azaspiro[2.4]hept-1-en-2-amine, was prepared from the commercially available thiolane-3-one (10) via the corresponding 3-carbonitrile (11) and 3-thiocarboxamide (14). This azirine reacted with thiobenzoic acid to give 3-benzoylamino-N-methyl-N-phenylthiolane-3- thiocarboxamide (15). With N-protected valine, the protected dipeptides (16) and (17), which contain a heterocyclic amino acid, were obtained as mixtures of diastereoisomers. © 2007 The Japan Institute of Heterocyclic Chemistry.","author":[{"dropping-particle":"","family":"Villéger","given":"Sébastien","non-dropping-particle":"","parse-names":false,"suffix":""},{"dropping-particle":"","family":"Mason","given":"Norman W. H.","non-dropping-particle":"","parse-names":false,"suffix":""},{"dropping-particle":"","family":"Mouillot","given":"David","non-dropping-particle":"","parse-names":false,"suffix":""}],"container-title":"Ecology","id":"ITEM-3","issue":"8","issued":{"date-parts":[["2008"]]},"page":"2290-2301","title":"New Mulitdimensional Functional Diversity Indicies for a Muiltifaceted Framework in Functional Ecology","type":"article-journal","volume":"39"},"uris":["http://www.mendeley.com/documents/?uuid=2796efa8-b064-4840-98e5-5dd166ca70dc"]}],"mendeley":{"formattedCitation":"(91, 93, 94)","plainTextFormattedCitation":"(91, 93, 94)","previouslyFormattedCitation":"(90, 92, 93)"},"properties":{"noteIndex":0},"schema":"https://github.com/citation-style-language/schema/raw/master/csl-citation.json"}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(91, 93, 94)</w:t>
      </w:r>
      <w:r w:rsidRPr="00F23F20">
        <w:rPr>
          <w:rFonts w:ascii="Times New Roman" w:hAnsi="Times New Roman" w:cs="Times New Roman"/>
        </w:rPr>
        <w:fldChar w:fldCharType="end"/>
      </w:r>
      <w:r w:rsidRPr="00F23F20">
        <w:rPr>
          <w:rFonts w:ascii="Times New Roman" w:hAnsi="Times New Roman" w:cs="Times New Roman"/>
        </w:rPr>
        <w:t xml:space="preserve">, rely on empirical changes in realized traits with respect to community diversity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{"citationItems":[{"id":"ITEM-1","itemData":{"DOI":"10.1111/1365-2745.12585","ISSN":"13652745","abstract":"Biodiversity is declining world-wide with detrimental effects on ecosystems. However, we lack a quantitative understanding of the shape of the relationship between microbial biodiversity and ecosystem function (BEF). This limits our understanding of how microbial diversity depletion can impact key functions for human well-being, including pollutant detoxification. Three independent microcosm experiments were conducted to evaluate the direction (i.e. positive, negative or null) and the shape of the relationships between bacterial diversity and both broad (i.e. microbial respiration) and specialized (i.e. toxin degradation) functions in five Australian and two UK freshwater ecosystems using next-generation sequencing platforms. Reduced bacterial diversity, even after accounting for biomass, caused a decrease in broad (i.e. cumulative microbial respiration) and specialized (biodegradation of two important toxins) functions in all cases. Unlike the positive but decelerating BEF relationship observed most frequently in plants and animals, most evaluated functional measurements were related to bacterial diversity in a non-redundant fashion (e.g. exponentially and/or linearly). Synthesis. Our results suggest that there is a lack of functional redundancy in the relationship between bacterial diversity and ecosystem functioning; thus, the consequences of declining microbial diversity on ecosystem functioning and human welfare have likely been considerably underestimated.","author":[{"dropping-particle":"","family":"Delgado-Baquerizo","given":"Manuel","non-dropping-particle":"","parse-names":false,"suffix":""},{"dropping-particle":"","family":"Giaramida","given":"Luca","non-dropping-particle":"","parse-names":false,"suffix":""},{"dropping-particle":"","family":"Reich","given":"Peter B.","non-dropping-particle":"","parse-names":false,"suffix":""},{"dropping-particle":"","family":"Khachane","given":"Amit N.","non-dropping-particle":"","parse-names":false,"suffix":""},{"dropping-particle":"","family":"Hamonts","given":"Kelly","non-dropping-particle":"","parse-names":false,"suffix":""},{"dropping-particle":"","family":"Edwards","given":"Christine","non-dropping-particle":"","parse-names":false,"suffix":""},{"dropping-particle":"","family":"Lawton","given":"Linda A.","non-dropping-particle":"","parse-names":false,"suffix":""},{"dropping-particle":"","family":"Singh","given":"Brajesh K.","non-dropping-particle":"","parse-names":false,"suffix":""}],"container-title":"Journal of Ecology","id":"ITEM-1","issue":"4","issued":{"date-parts":[["2016"]]},"page":"936-946","title":"Lack of functional redundancy in the relationship between microbial diversity and ecosystem functioning","type":"article-journal","volume":"104"},"uris":["http://www.mendeley.com/documents/?uuid=c1a59395-80af-43cb-9831-959a95ed6c31"]},{"id":"ITEM-2","itemData":{"DOI":"10.3389/fmicb.2015.00105","ISSN":"1664302X","abstract":"Decomposition of organic matter is an important ecosystem process governed in part by bacteria. The process of decomposition is expected to benefit from interspecific bacterial interactions such as resource partitioning and facilitation. However, the relative importance of resource niche breadth (metabolic diversity) and resource niche overlap (functional redundancy) on decomposition and the temporal stability of ecosystem processes received little scientific attention. Therefore, this study aims to evaluate the effect of an increase in bacterial community resemblance on both decomposition and the stability of bacterial metabolism in aquatic sediments. To this end, we performed laboratory microcosm experiments in which we examined the influence of bacterial consortia differing in number and composition of species on bacterial activity (Electron Transport System Activity, ETSA), dissolved organic carbon production and wavelet transformed measurements of redox potential (Eh). Single substrate affinities of the individual bacterial species were determined in order to calculate the metabolic diversity of the microbial community. Results presented here indicate that bacterial activity and organic matter decomposition increase with widening of the resource niche breadth, and that metabolic stability increases with increasing overlap in bacterial resource niches, hinting that resource niche overlap can promote the stability of bacterial community metabolism.","author":[{"dropping-particle":"","family":"Hunting","given":"Ellard R.","non-dropping-particle":"","parse-names":false,"suffix":""},{"dropping-particle":"","family":"Vijver","given":"Martina G.","non-dropping-particle":"","parse-names":false,"suffix":""},{"dropping-particle":"","family":"Geest","given":"Harm G.","non-dropping-particle":"van der","parse-names":false,"suffix":""},{"dropping-particle":"","family":"Mulder","given":"Christian","non-dropping-particle":"","parse-names":false,"suffix":""},{"dropping-particle":"","family":"Kraak","given":"Michiel H.S.","non-dropping-particle":"","parse-names":false,"suffix":""},{"dropping-particle":"","family":"Breure","given":"Anton M.","non-dropping-particle":"","parse-names":false,"suffix":""},{"dropping-particle":"","family":"Admiraal","given":"Wim","non-dropping-particle":"","parse-names":false,"suffix":""}],"container-title":"Frontiers in Microbiology","id":"ITEM-2","issue":"FEB","issued":{"date-parts":[["2015"]]},"page":"1-7","title":"Resource niche overlap promotes stability of bacterial community metabolism in experimental microcosms","type":"article-journal","volume":"6"},"uris":["http://www.mendeley.com/documents/?uuid=ff39e6a0-08b8-4bdc-b3da-c944da1fcf0e"]}],"mendeley":{"formattedCitation":"(87, 97)","plainTextFormattedCitation":"(87, 97)","previouslyFormattedCitation":"(86, 96)"},"properties":{"noteIndex":0},"schema":"https://github.com/citation-style-language/schema/raw/master/csl-citation.json"}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(87, 97)</w:t>
      </w:r>
      <w:r w:rsidRPr="00F23F20">
        <w:rPr>
          <w:rFonts w:ascii="Times New Roman" w:hAnsi="Times New Roman" w:cs="Times New Roman"/>
        </w:rPr>
        <w:fldChar w:fldCharType="end"/>
      </w:r>
      <w:r w:rsidRPr="00F23F20">
        <w:rPr>
          <w:rFonts w:ascii="Times New Roman" w:hAnsi="Times New Roman" w:cs="Times New Roman"/>
        </w:rPr>
        <w:t xml:space="preserve">, or pairwise comparisons in trait levels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{"citationItems":[{"id":"ITEM-1","itemData":{"DOI":"10.3389/fmicb.2014.00251","ISSN":"1664302X","abstract":"In ecology, biodiversity-ecosystem functioning (BEF) research has seen a shift in perspective from taxonomy to function in the last two decades, with successful application of trait-based approaches. This shift offers opportunities for a deeper mechanistic understanding of the role of biodiversity in maintaining multiple ecosystem processes and services. In this paper, we highlight studies that have focused on BEF of microbial communities with an emphasis on integrating trait-based approaches to microbial ecology. In doing so, we explore some of the inherent challenges and opportunities of understanding BEF using microbial systems. For example, microbial biologists characterize communities using gene phylogenies that are often unable to resolve functional traits. Additionally, experimental designs of existing microbial BEF studies are often inadequate to unravel BEF relationships. We argue that combining eco-physiological studies with contemporary molecular tools in a trait-based framework can reinforce our ability to link microbial diversity to ecosystem processes. We conclude that such trait-based approaches are a promising framework to increase the understanding of microbial BEF relationships and thus generating systematic principles in microbial ecology and more generally ecology.","author":[{"dropping-particle":"","family":"Krause","given":"Sascha","non-dropping-particle":"","parse-names":false,"suffix":""},{"dropping-particle":"","family":"Roux","given":"Xavier","non-dropping-particle":"Le","parse-names":false,"suffix":""},{"dropping-particle":"","family":"Niklaus","given":"Pascal A.","non-dropping-particle":"","parse-names":false,"suffix":""},{"dropping-particle":"","family":"Bodegom","given":"Peter M.","non-dropping-particle":"van","parse-names":false,"suffix":""},{"dropping-particle":"","family":"Lennon T.","given":"Jay T.","non-dropping-particle":"","parse-names":false,"suffix":""},{"dropping-particle":"","family":"Bertilsson","given":"Stefan","non-dropping-particle":"","parse-names":false,"suffix":""},{"dropping-particle":"","family":"Grossart","given":"Hans Peter","non-dropping-particle":"","parse-names":false,"suffix":""},{"dropping-particle":"","family":"Philippot","given":"Laurent","non-dropping-particle":"","parse-names":false,"suffix":""},{"dropping-particle":"","family":"Bodelier","given":"Paul L.E.","non-dropping-particle":"","parse-names":false,"suffix":""}],"container-title":"Frontiers in Microbiology","id":"ITEM-1","issue":"MAY","issued":{"date-parts":[["2014"]]},"page":"1-10","title":"Trait-based approaches for understanding microbial biodiversity and ecosystem functioning","type":"article-journal","volume":"5"},"uris":["http://www.mendeley.com/documents/?uuid=631c1850-cc5c-45da-ab71-fe3f8438dd3e"]},{"id":"ITEM-2","itemData":{"DOI":"10.1101/445866","ISSN":"1751-7370","abstract":"Microorganisms are critical in terrestrial carbon cycling because their growth, activity and interactions with the environment largely control the fate of recent plant carbon inputs, as well as the stability of assimilated carbon. Soil carbon stocks reflect a balance between microbial decomposition and stabilization of organic carbon. The balance can shift under altered environmental conditions, and new research suggests that knowledge of microbial physiology may be critical for projecting changes in soil carbon and improving the prognosis of climate change feedbacks. Still, predicting the ecosystem implications of microbial processes remains a challenge. Here we argue that this challenge can be met by identifying microbial life history strategies based on an organism's phenotypic characteristics, or traits, and representing these strategies in models simulating different environmental conditions. By adapting several theories from macroecology, we define microbial high yield (Y), resource acquisition (A), and stress tolerator (S) strategies based on key traits that are linked to organismal fitness. Our Y-A-S framework can guide new empirical and modelling studies on the mechanisms driving soil carbon fluxes. By linking population-level response traits to community and ecosystem processes, our life history theory can improve predictive understanding of soil C responses to future climatic change.","author":[{"dropping-particle":"","family":"Malik","given":"Ashish A","non-dropping-particle":"","parse-names":false,"suffix":""},{"dropping-particle":"","family":"Martiny","given":"Jennifer B H","non-dropping-particle":"","parse-names":false,"suffix":""},{"dropping-particle":"","family":"Brodie","given":"Eoin L","non-dropping-particle":"","parse-names":false,"suffix":""},{"dropping-particle":"","family":"Martiny","given":"Adam C","non-dropping-particle":"","parse-names":false,"suffix":""},{"dropping-particle":"","family":"Treseder","given":"Kathleen K","non-dropping-particle":"","parse-names":false,"suffix":""},{"dropping-particle":"","family":"Allison","given":"Steven D","non-dropping-particle":"","parse-names":false,"suffix":""}],"container-title":"ISME Journal","id":"ITEM-2","issued":{"date-parts":[["2019"]]},"page":"445866","publisher":"Springer US","title":"Defining trait-based microbial strategies with consequences for soil carbon cycling under climate change","type":"article-journal"},"uris":["http://www.mendeley.com/documents/?uuid=83008acf-3051-4f8b-99d8-1a7578327b60"]}],"mendeley":{"formattedCitation":"(98, 102)","plainTextFormattedCitation":"(98, 102)","previouslyFormattedCitation":"(97, 101)"},"properties":{"noteIndex":0},"schema":"https://github.com/citation-style-language/schema/raw/master/csl-citation.json"}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(98, 102)</w:t>
      </w:r>
      <w:r w:rsidRPr="00F23F20">
        <w:rPr>
          <w:rFonts w:ascii="Times New Roman" w:hAnsi="Times New Roman" w:cs="Times New Roman"/>
        </w:rPr>
        <w:fldChar w:fldCharType="end"/>
      </w:r>
      <w:r w:rsidRPr="00F23F20">
        <w:rPr>
          <w:rFonts w:ascii="Times New Roman" w:hAnsi="Times New Roman" w:cs="Times New Roman"/>
        </w:rPr>
        <w:t xml:space="preserve"> when analyzing the trait contribution distributions. In order to facilitate the use of TCE functional redundancy measurements, we have provided an R script to calculate TCE functional redundancy at </w:t>
      </w:r>
      <w:r w:rsidRPr="00F23F20">
        <w:rPr>
          <w:rFonts w:ascii="Times New Roman" w:hAnsi="Times New Roman" w:cs="Times New Roman"/>
          <w:color w:val="000000"/>
        </w:rPr>
        <w:t>https://github.com/taylorroyalty/functional_redundancy_script</w:t>
      </w:r>
      <w:r w:rsidRPr="00F23F20">
        <w:rPr>
          <w:rFonts w:ascii="Times New Roman" w:hAnsi="Times New Roman" w:cs="Times New Roman"/>
        </w:rPr>
        <w:t xml:space="preserve">. </w:t>
      </w:r>
    </w:p>
    <w:p w14:paraId="6EF402E9" w14:textId="77777777" w:rsidR="00365526" w:rsidRPr="00F23F20" w:rsidRDefault="00365526" w:rsidP="00365526">
      <w:pPr>
        <w:pStyle w:val="Heading3"/>
      </w:pPr>
      <w:bookmarkStart w:id="236" w:name="_Toc41908116"/>
      <w:r w:rsidRPr="00F23F20">
        <w:t>Influence on Functional Redundancy from Taxa Lacking the Trait</w:t>
      </w:r>
      <w:bookmarkEnd w:id="236"/>
    </w:p>
    <w:p w14:paraId="2220A0A7" w14:textId="60FF200A" w:rsidR="00365526" w:rsidRPr="00F23F20" w:rsidRDefault="00365526" w:rsidP="00365526">
      <w:pPr>
        <w:spacing w:line="480" w:lineRule="auto"/>
        <w:ind w:firstLine="640"/>
        <w:rPr>
          <w:rFonts w:ascii="Times New Roman" w:hAnsi="Times New Roman" w:cs="Times New Roman"/>
        </w:rPr>
      </w:pPr>
      <w:r w:rsidRPr="00F23F20">
        <w:rPr>
          <w:rFonts w:ascii="Times New Roman" w:hAnsi="Times New Roman" w:cs="Times New Roman"/>
        </w:rPr>
        <w:t xml:space="preserve">We quantified the diversity of trait contribution distributions (equation 3.4) using traditional diversity indices (equation 3.5). Numerous diversity indices have been proposed in the literature. Three common measures of diversity, taxa richness, Shannon’s diversity index, and Simpson’s diversity index, are manifestations of the parametric diversity index, in which the </w:t>
      </w:r>
      <w:r w:rsidRPr="00F23F20">
        <w:rPr>
          <w:rFonts w:ascii="Times New Roman" w:hAnsi="Times New Roman" w:cs="Times New Roman"/>
          <w:i/>
          <w:iCs/>
        </w:rPr>
        <w:t>α</w:t>
      </w:r>
      <w:r w:rsidRPr="00F23F20">
        <w:rPr>
          <w:rFonts w:ascii="Times New Roman" w:hAnsi="Times New Roman" w:cs="Times New Roman"/>
        </w:rPr>
        <w:t xml:space="preserve"> parameter determines the relative weight placed on rare versus common taxa. Equation 3.5 with </w:t>
      </w:r>
      <w:r w:rsidRPr="00F23F20">
        <w:rPr>
          <w:rFonts w:ascii="Times New Roman" w:hAnsi="Times New Roman" w:cs="Times New Roman"/>
          <w:i/>
          <w:iCs/>
        </w:rPr>
        <w:t>α</w:t>
      </w:r>
      <w:r w:rsidRPr="00F23F20">
        <w:rPr>
          <w:rFonts w:ascii="Times New Roman" w:hAnsi="Times New Roman" w:cs="Times New Roman"/>
        </w:rPr>
        <w:t xml:space="preserve">=0 becomes the sum of taxa present in a sample, or taxon richness. When </w:t>
      </w:r>
      <w:r w:rsidRPr="00F23F20">
        <w:rPr>
          <w:rFonts w:ascii="Times New Roman" w:hAnsi="Times New Roman" w:cs="Times New Roman"/>
          <w:i/>
          <w:iCs/>
        </w:rPr>
        <w:t>α</w:t>
      </w:r>
      <w:r w:rsidRPr="00F23F20">
        <w:rPr>
          <w:rFonts w:ascii="Times New Roman" w:hAnsi="Times New Roman" w:cs="Times New Roman"/>
        </w:rPr>
        <w:t xml:space="preserve">=1 or 2, equation 3.5 becomes the equation for Shannon’s and Simpson’s diversity indices respectively. We adopted the parametric diversity index for this flexibility in weighting the importance of taxa. An evaluation of their viability demonstrated thermophiles did not contribute to biogeochemical processes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{"citationItems":[{"id":"ITEM-1","itemData":{"DOI":"10.1126/science.1174012","ISSN":"10959203","PMID":"19762643","abstract":"Microorganisms have been repeatedly discovered in environments that do not support their metabolic activity. Identifying and quantifying these misplaced organisms can reveal dispersal mechanisms that shape natural microbial diversity. Using endospore germination experiments, we estimated a stable supply of thermophilic bacteria into permanently cold Arctic marine sediment at a rate exceeding 10(8) spores per square meter per year. These metabolically and phylogenetically diverse Firmicutes show no detectable activity at cold in situ temperatures but rapidly mineralize organic matter by hydrolysis, fermentation, and sulfate reduction upon induction at 50 degrees C. The closest relatives to these bacteria come from warm subsurface petroleum reservoir and ocean crust ecosystems, suggesting that seabed fluid flow from these environments is delivering thermophiles to the cold ocean. These transport pathways may broadly influence microbial community composition in the marine environment.","author":[{"dropping-particle":"","family":"Hubert","given":"Casey","non-dropping-particle":"","parse-names":false,"suffix":""}],"container-title":"Program","id":"ITEM-1","issue":"5947","issued":{"date-parts":[["2009"]]},"page":"1541-1544","title":"A Constant Flux of Diverse","type":"article-journal","volume":"1541"},"uris":["http://www.mendeley.com/documents/?uuid=99b4df81-0008-4809-89ab-7533571758ef"]}],"mendeley":{"formattedCitation":"(103)","plainTextFormattedCitation":"(103)","previouslyFormattedCitation":"(102)"},"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(103)</w:t>
      </w:r>
      <w:r w:rsidRPr="00F23F20">
        <w:rPr>
          <w:rFonts w:ascii="Times New Roman" w:hAnsi="Times New Roman" w:cs="Times New Roman"/>
        </w:rPr>
        <w:fldChar w:fldCharType="end"/>
      </w:r>
      <w:r w:rsidRPr="00F23F20">
        <w:rPr>
          <w:rFonts w:ascii="Times New Roman" w:hAnsi="Times New Roman" w:cs="Times New Roman"/>
        </w:rPr>
        <w:t xml:space="preserve">. Next, we quantified a theoretical maximum diversity for the same trait contribution distributions assuming relative contribution of traits were evenly spread among all taxa </w:t>
      </w:r>
      <w:r w:rsidRPr="00F23F20">
        <w:rPr>
          <w:rFonts w:ascii="Times New Roman" w:hAnsi="Times New Roman" w:cs="Times New Roman"/>
        </w:rPr>
        <w:lastRenderedPageBreak/>
        <w:t xml:space="preserve">(equation 3.6). Community evenness can be derived by taking the ratio of community diversity to the theoretical maximum diversity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{"citationItems":[{"id":"ITEM-1","itemData":{"DOI":"10.1016/0022-5193(66)90013-0","ISBN":"0022-5193","ISSN":"10958541","abstract":"Information content may be used as a measure of the diversity of a many-species biological collection. The diversity of small collections, all of whose members can be identified and counted, is defined by Brillouin's measure of information. With larger collections it becomes necessary to estimate diversity; what is estimated is Shannon's measure of information which is a function of the population proportions of the several species. Different methods of estimation are appropriate for different types of collections. If the collection can be randomly sampled and the total number of species is known, Basharin's formula may be used. With a random sample from a population containing an unknown number of species, Good's method is sometimes applicable. With a patchy population of sessile organisms, such as a plant community, random samples are unobtainable since the contents of a randomly placed quadrat are not a random sample of the parent population. To estimate the diversity of such a community a method is proposed whereby the sample size is progressively increased by addition of new quadrats; as this is done the diversity of the pooled sample increases and then levels off. The mean increment in total diversity that results from enlarging the sample still more then provides an estimate of the diversity per individual in the whole population. © 1966.","author":[{"dropping-particle":"","family":"Pielou","given":"E. C.","non-dropping-particle":"","parse-names":false,"suffix":""}],"container-title":"Journal of Theoretical Biology","id":"ITEM-1","issue":"C","issued":{"date-parts":[["1966"]]},"page":"131-144","title":"The measurement of diversity in different types of biological collections","type":"article-journal","volume":"13"},"uris":["http://www.mendeley.com/documents/?uuid=fb327ef8-2f0e-4b5a-aa65-88faef92d133"]}],"mendeley":{"formattedCitation":"(54)","plainTextFormattedCitation":"(54)","previouslyFormattedCitation":"(53)"},"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(54)</w:t>
      </w:r>
      <w:r w:rsidRPr="00F23F20">
        <w:rPr>
          <w:rFonts w:ascii="Times New Roman" w:hAnsi="Times New Roman" w:cs="Times New Roman"/>
        </w:rPr>
        <w:fldChar w:fldCharType="end"/>
      </w:r>
      <w:r w:rsidRPr="00F23F20">
        <w:rPr>
          <w:rFonts w:ascii="Times New Roman" w:hAnsi="Times New Roman" w:cs="Times New Roman"/>
        </w:rPr>
        <w:t xml:space="preserve">. As such, we normalized diversity of the trait contribution distribution by the theoretical maximum diversity (equation 3.7). We refer to this statistical measure (equations 3.5-3.7) of the trait contribution distributions as trait contribution evenness (TCE). TCE measured of how evenly taxa contribute to a specific trait within the community, or the functional redundancy of the trait. TCE differs from other proposed methods measuring functional diversity, richness, and redundancy as these methods use </w:t>
      </w:r>
      <w:sdt>
        <w:sdtPr>
          <w:rPr>
            <w:rFonts w:ascii="Times New Roman" w:hAnsi="Times New Roman" w:cs="Times New Roman"/>
          </w:rPr>
          <w:tag w:val="goog_rdk_25"/>
          <w:id w:val="-1305383399"/>
        </w:sdtPr>
        <w:sdtContent/>
      </w:sdt>
      <w:r w:rsidRPr="00F23F20">
        <w:rPr>
          <w:rFonts w:ascii="Times New Roman" w:hAnsi="Times New Roman" w:cs="Times New Roman"/>
        </w:rPr>
        <w:t xml:space="preserve">distance-based methods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{"citationItems":[{"id":"ITEM-1","itemData":{"DOI":"10.1111/2041-210X.12604","ISSN":"2041210X","abstract":"The preservation of ecosystem processes under ongoing biotic erosion requires that some species within affected communities perform similar functions, a property that is usually defined as functional redundancy. Although functional redundancy has recently become a relevant part of ecological research, so far there is no agreement on its measurement. The scope of this work is thus to propose a consistent framework based on functional dissimilarities among species for summarizing different facets of functional redundancy. The behaviour of the proposed measures is illustrated with one small artificial data set, together with actual examples on the species functional turnover along successional gradients. We believe this new framework provides an important contribution for the clarification and quantification of key metrics of community redundancy and vulnerability. The method, for which we provide a simple r function called ‘uniqueness’, further allows summarizing the functional contribution of single species to the overall redundancy of any type of biological community.","author":[{"dropping-particle":"","family":"Ricotta","given":"Carlo","non-dropping-particle":"","parse-names":false,"suffix":""},{"dropping-particle":"","family":"Bello","given":"Francesco","non-dropping-particle":"de","parse-names":false,"suffix":""},{"dropping-particle":"","family":"Moretti","given":"Marco","non-dropping-particle":"","parse-names":false,"suffix":""},{"dropping-particle":"","family":"Caccianiga","given":"Marco","non-dropping-particle":"","parse-names":false,"suffix":""},{"dropping-particle":"","family":"Cerabolini","given":"Bruno E.L.","non-dropping-particle":"","parse-names":false,"suffix":""},{"dropping-particle":"","family":"Pavoine","given":"Sandrine","non-dropping-particle":"","parse-names":false,"suffix":""}],"container-title":"Methods in Ecology and Evolution","id":"ITEM-1","issue":"11","issued":{"date-parts":[["2016"]]},"page":"1386-1395","title":"Measuring the functional redundancy of biological communities: a quantitative guide","type":"article-journal","volume":"7"},"uris":["http://www.mendeley.com/documents/?uuid=a4a1a205-a550-4685-bdb4-245917332160"]},{"id":"ITEM-2","itemData":{"DOI":"10.1016/j.tpb.2006.06.003","ISSN":"00405809","abstract":"The diversity of a species assemblage has been studied extensively for many decades in relation to its possible connection with ecosystem functioning and organization. In this view most diversity measures, such as Shannon's entropy, rely upon information theory as a basis for the quantification of diversity. Also, traditional diversity measures are computed using species relative abundances and cannot account for the ecological differences between species. Rao first proposed a diversity index, termed quadratic diversity (Q) that incorporates both species relative abundances and pairwise distances between species. Quadratic diversity is traditionally defined as the expected distance between two randomly selected individuals. In this paper, we show that quadratic diversity can be interpreted as the expected conflict among the species of a given assemblage. From this unusual interpretation, it naturally follows that Rao's Q can be related to the Shannon entropy through a generalized version of the Tsallis parametric entropy. © 2006 Elsevier Inc. All rights reserved.","author":[{"dropping-particle":"","family":"Ricotta","given":"Carlo","non-dropping-particle":"","parse-names":false,"suffix":""},{"dropping-particle":"","family":"Szeidl","given":"Laszlo","non-dropping-particle":"","parse-names":false,"suffix":""}],"container-title":"Theoretical Population Biology","id":"ITEM-2","issue":"3","issued":{"date-parts":[["2006"]]},"page":"237-243","title":"Towards a unifying approach to diversity measures: Bridging the gap between the Shannon entropy and Rao's quadratic index","type":"article-journal","volume":"70"},"uris":["http://www.mendeley.com/documents/?uuid=ee6f2528-5f6c-424d-ba46-c2f924988732"]},{"id":"ITEM-3","itemData":{"DOI":"10.1002/chin.200826189","ISSN":"03855414","abstract":"The heterospirocyclic 2H-azirin-3-amine (9), i.e., N-methyl-N-phenyl-5-thia-1-azaspiro[2.4]hept-1-en-2-amine, was prepared from the commercially available thiolane-3-one (10) via the corresponding 3-carbonitrile (11) and 3-thiocarboxamide (14). This azirine reacted with thiobenzoic acid to give 3-benzoylamino-N-methyl-N-phenylthiolane-3- thiocarboxamide (15). With N-protected valine, the protected dipeptides (16) and (17), which contain a heterocyclic amino acid, were obtained as mixtures of diastereoisomers. © 2007 The Japan Institute of Heterocyclic Chemistry.","author":[{"dropping-particle":"","family":"Villéger","given":"Sébastien","non-dropping-particle":"","parse-names":false,"suffix":""},{"dropping-particle":"","family":"Mason","given":"Norman W. H.","non-dropping-particle":"","parse-names":false,"suffix":""},{"dropping-particle":"","family":"Mouillot","given":"David","non-dropping-particle":"","parse-names":false,"suffix":""}],"container-title":"Ecology","id":"ITEM-3","issue":"8","issued":{"date-parts":[["2008"]]},"page":"2290-2301","title":"New Mulitdimensional Functional Diversity Indicies for a Muiltifaceted Framework in Functional Ecology","type":"article-journal","volume":"39"},"uris":["http://www.mendeley.com/documents/?uuid=2796efa8-b064-4840-98e5-5dd166ca70dc"]}],"mendeley":{"formattedCitation":"(91, 93, 94)","plainTextFormattedCitation":"(91, 93, 94)","previouslyFormattedCitation":"(90, 92, 93)"},"properties":{"noteIndex":0},"schema":"https://github.com/citation-style-language/schema/raw/master/csl-citation.json"}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(91, 93, 94)</w:t>
      </w:r>
      <w:r w:rsidRPr="00F23F20">
        <w:rPr>
          <w:rFonts w:ascii="Times New Roman" w:hAnsi="Times New Roman" w:cs="Times New Roman"/>
        </w:rPr>
        <w:fldChar w:fldCharType="end"/>
      </w:r>
      <w:r w:rsidRPr="00F23F20">
        <w:rPr>
          <w:rFonts w:ascii="Times New Roman" w:hAnsi="Times New Roman" w:cs="Times New Roman"/>
        </w:rPr>
        <w:t xml:space="preserve">, rely on empirical changes in realized traits with respect to community diversity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{"citationItems":[{"id":"ITEM-1","itemData":{"DOI":"10.1111/1365-2745.12585","ISSN":"13652745","abstract":"Biodiversity is declining world-wide with detrimental effects on ecosystems. However, we lack a quantitative understanding of the shape of the relationship between microbial biodiversity and ecosystem function (BEF). This limits our understanding of how microbial diversity depletion can impact key functions for human well-being, including pollutant detoxification. Three independent microcosm experiments were conducted to evaluate the direction (i.e. positive, negative or null) and the shape of the relationships between bacterial diversity and both broad (i.e. microbial respiration) and specialized (i.e. toxin degradation) functions in five Australian and two UK freshwater ecosystems using next-generation sequencing platforms. Reduced bacterial diversity, even after accounting for biomass, caused a decrease in broad (i.e. cumulative microbial respiration) and specialized (biodegradation of two important toxins) functions in all cases. Unlike the positive but decelerating BEF relationship observed most frequently in plants and animals, most evaluated functional measurements were related to bacterial diversity in a non-redundant fashion (e.g. exponentially and/or linearly). Synthesis. Our results suggest that there is a lack of functional redundancy in the relationship between bacterial diversity and ecosystem functioning; thus, the consequences of declining microbial diversity on ecosystem functioning and human welfare have likely been considerably underestimated.","author":[{"dropping-particle":"","family":"Delgado-Baquerizo","given":"Manuel","non-dropping-particle":"","parse-names":false,"suffix":""},{"dropping-particle":"","family":"Giaramida","given":"Luca","non-dropping-particle":"","parse-names":false,"suffix":""},{"dropping-particle":"","family":"Reich","given":"Peter B.","non-dropping-particle":"","parse-names":false,"suffix":""},{"dropping-particle":"","family":"Khachane","given":"Amit N.","non-dropping-particle":"","parse-names":false,"suffix":""},{"dropping-particle":"","family":"Hamonts","given":"Kelly","non-dropping-particle":"","parse-names":false,"suffix":""},{"dropping-particle":"","family":"Edwards","given":"Christine","non-dropping-particle":"","parse-names":false,"suffix":""},{"dropping-particle":"","family":"Lawton","given":"Linda A.","non-dropping-particle":"","parse-names":false,"suffix":""},{"dropping-particle":"","family":"Singh","given":"Brajesh K.","non-dropping-particle":"","parse-names":false,"suffix":""}],"container-title":"Journal of Ecology","id":"ITEM-1","issue":"4","issued":{"date-parts":[["2016"]]},"page":"936-946","title":"Lack of functional redundancy in the relationship between microbial diversity and ecosystem functioning","type":"article-journal","volume":"104"},"uris":["http://www.mendeley.com/documents/?uuid=c1a59395-80af-43cb-9831-959a95ed6c31"]},{"id":"ITEM-2","itemData":{"DOI":"10.3389/fmicb.2015.00105","ISSN":"1664302X","abstract":"Decomposition of organic matter is an important ecosystem process governed in part by bacteria. The process of decomposition is expected to benefit from interspecific bacterial interactions such as resource partitioning and facilitation. However, the relative importance of resource niche breadth (metabolic diversity) and resource niche overlap (functional redundancy) on decomposition and the temporal stability of ecosystem processes received little scientific attention. Therefore, this study aims to evaluate the effect of an increase in bacterial community resemblance on both decomposition and the stability of bacterial metabolism in aquatic sediments. To this end, we performed laboratory microcosm experiments in which we examined the influence of bacterial consortia differing in number and composition of species on bacterial activity (Electron Transport System Activity, ETSA), dissolved organic carbon production and wavelet transformed measurements of redox potential (Eh). Single substrate affinities of the individual bacterial species were determined in order to calculate the metabolic diversity of the microbial community. Results presented here indicate that bacterial activity and organic matter decomposition increase with widening of the resource niche breadth, and that metabolic stability increases with increasing overlap in bacterial resource niches, hinting that resource niche overlap can promote the stability of bacterial community metabolism.","author":[{"dropping-particle":"","family":"Hunting","given":"Ellard R.","non-dropping-particle":"","parse-names":false,"suffix":""},{"dropping-particle":"","family":"Vijver","given":"Martina G.","non-dropping-particle":"","parse-names":false,"suffix":""},{"dropping-particle":"","family":"Geest","given":"Harm G.","non-dropping-particle":"van der","parse-names":false,"suffix":""},{"dropping-particle":"","family":"Mulder","given":"Christian","non-dropping-particle":"","parse-names":false,"suffix":""},{"dropping-particle":"","family":"Kraak","given":"Michiel H.S.","non-dropping-particle":"","parse-names":false,"suffix":""},{"dropping-particle":"","family":"Breure","given":"Anton M.","non-dropping-particle":"","parse-names":false,"suffix":""},{"dropping-particle":"","family":"Admiraal","given":"Wim","non-dropping-particle":"","parse-names":false,"suffix":""}],"container-title":"Frontiers in Microbiology","id":"ITEM-2","issue":"FEB","issued":{"date-parts":[["2015"]]},"page":"1-7","title":"Resource niche overlap promotes stability of bacterial community metabolism in experimental microcosms","type":"article-journal","volume":"6"},"uris":["http://www.mendeley.com/documents/?uuid=ff39e6a0-08b8-4bdc-b3da-c944da1fcf0e"]}],"mendeley":{"formattedCitation":"(87, 97)","plainTextFormattedCitation":"(87, 97)","previouslyFormattedCitation":"(86, 96)"},"properties":{"noteIndex":0},"schema":"https://github.com/citation-style-language/schema/raw/master/csl-citation.json"}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(87, 97)</w:t>
      </w:r>
      <w:r w:rsidRPr="00F23F20">
        <w:rPr>
          <w:rFonts w:ascii="Times New Roman" w:hAnsi="Times New Roman" w:cs="Times New Roman"/>
        </w:rPr>
        <w:fldChar w:fldCharType="end"/>
      </w:r>
      <w:r w:rsidRPr="00F23F20">
        <w:rPr>
          <w:rFonts w:ascii="Times New Roman" w:hAnsi="Times New Roman" w:cs="Times New Roman"/>
        </w:rPr>
        <w:t xml:space="preserve">, or pairwise comparisons in trait levels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{"citationItems":[{"id":"ITEM-1","itemData":{"DOI":"10.3389/fmicb.2014.00251","ISSN":"1664302X","abstract":"In ecology, biodiversity-ecosystem functioning (BEF) research has seen a shift in perspective from taxonomy to function in the last two decades, with successful application of trait-based approaches. This shift offers opportunities for a deeper mechanistic understanding of the role of biodiversity in maintaining multiple ecosystem processes and services. In this paper, we highlight studies that have focused on BEF of microbial communities with an emphasis on integrating trait-based approaches to microbial ecology. In doing so, we explore some of the inherent challenges and opportunities of understanding BEF using microbial systems. For example, microbial biologists characterize communities using gene phylogenies that are often unable to resolve functional traits. Additionally, experimental designs of existing microbial BEF studies are often inadequate to unravel BEF relationships. We argue that combining eco-physiological studies with contemporary molecular tools in a trait-based framework can reinforce our ability to link microbial diversity to ecosystem processes. We conclude that such trait-based approaches are a promising framework to increase the understanding of microbial BEF relationships and thus generating systematic principles in microbial ecology and more generally ecology.","author":[{"dropping-particle":"","family":"Krause","given":"Sascha","non-dropping-particle":"","parse-names":false,"suffix":""},{"dropping-particle":"","family":"Roux","given":"Xavier","non-dropping-particle":"Le","parse-names":false,"suffix":""},{"dropping-particle":"","family":"Niklaus","given":"Pascal A.","non-dropping-particle":"","parse-names":false,"suffix":""},{"dropping-particle":"","family":"Bodegom","given":"Peter M.","non-dropping-particle":"van","parse-names":false,"suffix":""},{"dropping-particle":"","family":"Lennon T.","given":"Jay T.","non-dropping-particle":"","parse-names":false,"suffix":""},{"dropping-particle":"","family":"Bertilsson","given":"Stefan","non-dropping-particle":"","parse-names":false,"suffix":""},{"dropping-particle":"","family":"Grossart","given":"Hans Peter","non-dropping-particle":"","parse-names":false,"suffix":""},{"dropping-particle":"","family":"Philippot","given":"Laurent","non-dropping-particle":"","parse-names":false,"suffix":""},{"dropping-particle":"","family":"Bodelier","given":"Paul L.E.","non-dropping-particle":"","parse-names":false,"suffix":""}],"container-title":"Frontiers in Microbiology","id":"ITEM-1","issue":"MAY","issued":{"date-parts":[["2014"]]},"page":"1-10","title":"Trait-based approaches for understanding microbial biodiversity and ecosystem functioning","type":"article-journal","volume":"5"},"uris":["http://www.mendeley.com/documents/?uuid=631c1850-cc5c-45da-ab71-fe3f8438dd3e"]},{"id":"ITEM-2","itemData":{"DOI":"10.1101/445866","ISSN":"1751-7370","abstract":"Microorganisms are critical in terrestrial carbon cycling because their growth, activity and interactions with the environment largely control the fate of recent plant carbon inputs, as well as the stability of assimilated carbon. Soil carbon stocks reflect a balance between microbial decomposition and stabilization of organic carbon. The balance can shift under altered environmental conditions, and new research suggests that knowledge of microbial physiology may be critical for projecting changes in soil carbon and improving the prognosis of climate change feedbacks. Still, predicting the ecosystem implications of microbial processes remains a challenge. Here we argue that this challenge can be met by identifying microbial life history strategies based on an organism's phenotypic characteristics, or traits, and representing these strategies in models simulating different environmental conditions. By adapting several theories from macroecology, we define microbial high yield (Y), resource acquisition (A), and stress tolerator (S) strategies based on key traits that are linked to organismal fitness. Our Y-A-S framework can guide new empirical and modelling studies on the mechanisms driving soil carbon fluxes. By linking population-level response traits to community and ecosystem processes, our life history theory can improve predictive understanding of soil C responses to future climatic change.","author":[{"dropping-particle":"","family":"Malik","given":"Ashish A","non-dropping-particle":"","parse-names":false,"suffix":""},{"dropping-particle":"","family":"Martiny","given":"Jennifer B H","non-dropping-particle":"","parse-names":false,"suffix":""},{"dropping-particle":"","family":"Brodie","given":"Eoin L","non-dropping-particle":"","parse-names":false,"suffix":""},{"dropping-particle":"","family":"Martiny","given":"Adam C","non-dropping-particle":"","parse-names":false,"suffix":""},{"dropping-particle":"","family":"Treseder","given":"Kathleen K","non-dropping-particle":"","parse-names":false,"suffix":""},{"dropping-particle":"","family":"Allison","given":"Steven D","non-dropping-particle":"","parse-names":false,"suffix":""}],"container-title":"ISME Journal","id":"ITEM-2","issued":{"date-parts":[["2019"]]},"page":"445866","publisher":"Springer US","title":"Defining trait-based microbial strategies with consequences for soil carbon cycling under climate change","type":"article-journal"},"uris":["http://www.mendeley.com/documents/?uuid=83008acf-3051-4f8b-99d8-1a7578327b60"]}],"mendeley":{"formattedCitation":"(98, 102)","plainTextFormattedCitation":"(98, 102)","previouslyFormattedCitation":"(97, 101)"},"properties":{"noteIndex":0},"schema":"https://github.com/citation-style-language/schema/raw/master/csl-citation.json"}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(98, 102)</w:t>
      </w:r>
      <w:r w:rsidRPr="00F23F20">
        <w:rPr>
          <w:rFonts w:ascii="Times New Roman" w:hAnsi="Times New Roman" w:cs="Times New Roman"/>
        </w:rPr>
        <w:fldChar w:fldCharType="end"/>
      </w:r>
      <w:r w:rsidRPr="00F23F20">
        <w:rPr>
          <w:rFonts w:ascii="Times New Roman" w:hAnsi="Times New Roman" w:cs="Times New Roman"/>
        </w:rPr>
        <w:t xml:space="preserve"> when analyzing the trait contribution distributions. </w:t>
      </w:r>
      <w:r w:rsidRPr="00F23F20">
        <w:rPr>
          <w:rFonts w:ascii="Times New Roman" w:hAnsi="Times New Roman" w:cs="Times New Roman"/>
        </w:rPr>
        <w:softHyphen/>
      </w:r>
      <w:r w:rsidRPr="00F23F20">
        <w:rPr>
          <w:rFonts w:ascii="Times New Roman" w:hAnsi="Times New Roman" w:cs="Times New Roman"/>
        </w:rPr>
        <w:softHyphen/>
      </w:r>
      <w:r w:rsidRPr="00F23F20">
        <w:rPr>
          <w:rFonts w:ascii="Times New Roman" w:hAnsi="Times New Roman" w:cs="Times New Roman"/>
        </w:rPr>
        <w:softHyphen/>
      </w:r>
    </w:p>
    <w:p w14:paraId="58BFF1D2" w14:textId="77777777" w:rsidR="00365526" w:rsidRPr="00F23F20" w:rsidRDefault="00365526" w:rsidP="00365526">
      <w:pPr>
        <w:spacing w:line="480" w:lineRule="auto"/>
        <w:ind w:firstLine="640"/>
        <w:rPr>
          <w:rFonts w:ascii="Times New Roman" w:hAnsi="Times New Roman" w:cs="Times New Roman"/>
          <w:iCs/>
        </w:rPr>
      </w:pPr>
      <w:r w:rsidRPr="00F23F20">
        <w:rPr>
          <w:rFonts w:ascii="Times New Roman" w:hAnsi="Times New Roman" w:cs="Times New Roman"/>
        </w:rPr>
        <w:t>We created a simulation which we increased taxa richness (</w:t>
      </w:r>
      <w:r w:rsidRPr="00F23F20">
        <w:rPr>
          <w:rFonts w:ascii="Times New Roman" w:hAnsi="Times New Roman" w:cs="Times New Roman"/>
          <w:i/>
          <w:iCs/>
        </w:rPr>
        <w:t>n</w:t>
      </w:r>
      <w:r w:rsidRPr="00F23F20">
        <w:rPr>
          <w:rFonts w:ascii="Times New Roman" w:hAnsi="Times New Roman" w:cs="Times New Roman"/>
        </w:rPr>
        <w:t>) while fixing the richness of taxa containing a trait (</w:t>
      </w:r>
      <w:r w:rsidRPr="00F23F20">
        <w:rPr>
          <w:rFonts w:ascii="Times New Roman" w:hAnsi="Times New Roman" w:cs="Times New Roman"/>
          <w:i/>
          <w:iCs/>
        </w:rPr>
        <w:t>ν</w:t>
      </w:r>
      <w:r w:rsidRPr="00F23F20">
        <w:rPr>
          <w:rFonts w:ascii="Times New Roman" w:hAnsi="Times New Roman" w:cs="Times New Roman"/>
        </w:rPr>
        <w:t>) and the relative trait contribution by these taxa (</w:t>
      </w:r>
      <w:r w:rsidRPr="00F23F20">
        <w:rPr>
          <w:rFonts w:ascii="Times New Roman" w:hAnsi="Times New Roman" w:cs="Times New Roman"/>
          <w:i/>
          <w:iCs/>
        </w:rPr>
        <w:t>τ</w:t>
      </w:r>
      <w:r w:rsidRPr="00F23F20">
        <w:rPr>
          <w:rFonts w:ascii="Times New Roman" w:hAnsi="Times New Roman" w:cs="Times New Roman"/>
        </w:rPr>
        <w:t xml:space="preserve">) (equation 3.3-3.4). The parametric diversity index requires selecting a value for the parameter, </w:t>
      </w:r>
      <w:r w:rsidRPr="00F23F20">
        <w:rPr>
          <w:rFonts w:ascii="Times New Roman" w:hAnsi="Times New Roman" w:cs="Times New Roman"/>
          <w:i/>
        </w:rPr>
        <w:t>α</w:t>
      </w:r>
      <w:r w:rsidRPr="00F23F20">
        <w:rPr>
          <w:rFonts w:ascii="Times New Roman" w:hAnsi="Times New Roman" w:cs="Times New Roman"/>
        </w:rPr>
        <w:t xml:space="preserve">, which varies the sensitivity that the measured functional redundancy has to community taxa contributing less to the overall community trait level. We performed the simulations such that the parameter, </w:t>
      </w:r>
      <w:r w:rsidRPr="00F23F20">
        <w:rPr>
          <w:rFonts w:ascii="Times New Roman" w:hAnsi="Times New Roman" w:cs="Times New Roman"/>
          <w:i/>
        </w:rPr>
        <w:t>α</w:t>
      </w:r>
      <w:r w:rsidRPr="00F23F20">
        <w:rPr>
          <w:rFonts w:ascii="Times New Roman" w:hAnsi="Times New Roman" w:cs="Times New Roman"/>
        </w:rPr>
        <w:t xml:space="preserve">, varied from 0 to 2 for each combination of total taxa richness and trait-containing taxa richness (Figure 3.2). Functional redundancy was less sensitive to increasing taxa richness for larger </w:t>
      </w:r>
      <w:r w:rsidRPr="00F23F20">
        <w:rPr>
          <w:rFonts w:ascii="Times New Roman" w:hAnsi="Times New Roman" w:cs="Times New Roman"/>
          <w:i/>
        </w:rPr>
        <w:t>α</w:t>
      </w:r>
      <w:r w:rsidRPr="00F23F20">
        <w:rPr>
          <w:rFonts w:ascii="Times New Roman" w:hAnsi="Times New Roman" w:cs="Times New Roman"/>
        </w:rPr>
        <w:t xml:space="preserve"> values. When the community structures are fixed (equations 3.1 and 3.2, respectively), the functional redundancy values derived from different </w:t>
      </w:r>
      <w:r w:rsidRPr="00F23F20">
        <w:rPr>
          <w:rFonts w:ascii="Times New Roman" w:hAnsi="Times New Roman" w:cs="Times New Roman"/>
          <w:i/>
        </w:rPr>
        <w:t xml:space="preserve">α </w:t>
      </w:r>
      <w:r w:rsidRPr="00F23F20">
        <w:rPr>
          <w:rFonts w:ascii="Times New Roman" w:hAnsi="Times New Roman" w:cs="Times New Roman"/>
        </w:rPr>
        <w:t xml:space="preserve">values are correlated very closely to one another. To emphasize this point, we plotted select </w:t>
      </w:r>
      <w:r w:rsidRPr="00F23F20">
        <w:rPr>
          <w:rFonts w:ascii="Times New Roman" w:hAnsi="Times New Roman" w:cs="Times New Roman"/>
          <w:i/>
        </w:rPr>
        <w:t>α</w:t>
      </w:r>
      <w:r w:rsidRPr="00F23F20">
        <w:rPr>
          <w:rFonts w:ascii="Times New Roman" w:hAnsi="Times New Roman" w:cs="Times New Roman"/>
        </w:rPr>
        <w:t xml:space="preserve"> from contours in Figure 3.2A across all taxa </w:t>
      </w:r>
      <w:r w:rsidRPr="00F23F20">
        <w:rPr>
          <w:rFonts w:ascii="Times New Roman" w:hAnsi="Times New Roman" w:cs="Times New Roman"/>
        </w:rPr>
        <w:lastRenderedPageBreak/>
        <w:t xml:space="preserve">richness (Figure 3.2B-C); these plots were nearly linear. Thus, </w:t>
      </w:r>
      <w:r w:rsidRPr="00F23F20">
        <w:rPr>
          <w:rFonts w:ascii="Times New Roman" w:hAnsi="Times New Roman" w:cs="Times New Roman"/>
          <w:i/>
        </w:rPr>
        <w:t>α</w:t>
      </w:r>
      <w:r w:rsidRPr="00F23F20">
        <w:rPr>
          <w:rFonts w:ascii="Times New Roman" w:hAnsi="Times New Roman" w:cs="Times New Roman"/>
        </w:rPr>
        <w:t xml:space="preserve"> represents a parameter which simply augments values of functional redundancy and is not a parameter reflecting ecological significance. We recommend that if influences from high beta-diversity in non-trait containing taxa is not desirable in calculating functional redundancy, then </w:t>
      </w:r>
      <w:r w:rsidRPr="00F23F20">
        <w:rPr>
          <w:rFonts w:ascii="Times New Roman" w:hAnsi="Times New Roman" w:cs="Times New Roman"/>
          <w:i/>
        </w:rPr>
        <w:t>α</w:t>
      </w:r>
      <w:r w:rsidRPr="00F23F20">
        <w:rPr>
          <w:rFonts w:ascii="Times New Roman" w:hAnsi="Times New Roman" w:cs="Times New Roman"/>
        </w:rPr>
        <w:t xml:space="preserve"> values closer to 2 should be used in equation 3.5.</w:t>
      </w:r>
    </w:p>
    <w:p w14:paraId="56ACE63F" w14:textId="77777777" w:rsidR="00365526" w:rsidRPr="00F23F20" w:rsidRDefault="00365526" w:rsidP="00365526">
      <w:pPr>
        <w:spacing w:line="480" w:lineRule="auto"/>
        <w:ind w:firstLine="640"/>
        <w:rPr>
          <w:rFonts w:ascii="Times New Roman" w:hAnsi="Times New Roman" w:cs="Times New Roman"/>
        </w:rPr>
      </w:pPr>
      <w:bookmarkStart w:id="237" w:name="_heading=h.30j0zll" w:colFirst="0" w:colLast="0"/>
      <w:bookmarkEnd w:id="237"/>
      <w:r w:rsidRPr="00F23F20">
        <w:rPr>
          <w:rFonts w:ascii="Times New Roman" w:hAnsi="Times New Roman" w:cs="Times New Roman"/>
        </w:rPr>
        <w:t xml:space="preserve">When evaluating functional redundancy in real biological systems, it may be desirable to relate functional redundancy to environmental factors such as nutrients or temperature. The sensitivity that functional redundancy relates to these parameters depends on the </w:t>
      </w:r>
      <w:r w:rsidRPr="00F23F20">
        <w:rPr>
          <w:rFonts w:ascii="Times New Roman" w:hAnsi="Times New Roman" w:cs="Times New Roman"/>
          <w:i/>
        </w:rPr>
        <w:t xml:space="preserve">α </w:t>
      </w:r>
      <w:r w:rsidRPr="00F23F20">
        <w:rPr>
          <w:rFonts w:ascii="Times New Roman" w:hAnsi="Times New Roman" w:cs="Times New Roman"/>
          <w:iCs/>
        </w:rPr>
        <w:t>parameter (Figure 3.2).</w:t>
      </w:r>
      <w:r w:rsidRPr="00F23F20">
        <w:rPr>
          <w:rFonts w:ascii="Times New Roman" w:hAnsi="Times New Roman" w:cs="Times New Roman"/>
        </w:rPr>
        <w:t xml:space="preserve"> Another consideration (beyond functional form) includes </w:t>
      </w:r>
      <w:r w:rsidRPr="00F23F20">
        <w:rPr>
          <w:rFonts w:ascii="Times New Roman" w:hAnsi="Times New Roman" w:cs="Times New Roman"/>
          <w:iCs/>
        </w:rPr>
        <w:t xml:space="preserve">the influence that the </w:t>
      </w:r>
      <w:r w:rsidRPr="00F23F20">
        <w:rPr>
          <w:rFonts w:ascii="Times New Roman" w:hAnsi="Times New Roman" w:cs="Times New Roman"/>
          <w:i/>
        </w:rPr>
        <w:t xml:space="preserve">α </w:t>
      </w:r>
      <w:r w:rsidRPr="00F23F20">
        <w:rPr>
          <w:rFonts w:ascii="Times New Roman" w:hAnsi="Times New Roman" w:cs="Times New Roman"/>
          <w:iCs/>
        </w:rPr>
        <w:t>parameter has on</w:t>
      </w:r>
      <w:r w:rsidRPr="00F23F20">
        <w:rPr>
          <w:rFonts w:ascii="Times New Roman" w:hAnsi="Times New Roman" w:cs="Times New Roman"/>
        </w:rPr>
        <w:t xml:space="preserve"> the range in precision, or dynamic range, of functional redundancy. Specifically, the maximum and minimum values of functional redundancy are one and zero, respectively. However, an increase in precision when converging towards zero may be useful to prevent a loss in functional redundancy sensitivity to exogeneous factors. We evaluated the dynamic range in functional redundancy for 10,000 randomly generated artificial communities as a function of the </w:t>
      </w:r>
      <w:r w:rsidRPr="00F23F20">
        <w:rPr>
          <w:rFonts w:ascii="Times New Roman" w:hAnsi="Times New Roman" w:cs="Times New Roman"/>
          <w:i/>
        </w:rPr>
        <w:t>α</w:t>
      </w:r>
      <w:r w:rsidRPr="00F23F20">
        <w:rPr>
          <w:rFonts w:ascii="Times New Roman" w:hAnsi="Times New Roman" w:cs="Times New Roman"/>
          <w:iCs/>
        </w:rPr>
        <w:t xml:space="preserve"> parameter</w:t>
      </w:r>
      <w:r w:rsidRPr="00F23F20">
        <w:rPr>
          <w:rFonts w:ascii="Times New Roman" w:hAnsi="Times New Roman" w:cs="Times New Roman"/>
        </w:rPr>
        <w:t xml:space="preserve">. Functional redundancy spanned up to ~10 orders of magnitude depending on the choice in </w:t>
      </w:r>
      <w:r w:rsidRPr="00F23F20">
        <w:rPr>
          <w:rFonts w:ascii="Times New Roman" w:hAnsi="Times New Roman" w:cs="Times New Roman"/>
          <w:i/>
        </w:rPr>
        <w:t>α</w:t>
      </w:r>
      <w:r w:rsidRPr="00F23F20">
        <w:rPr>
          <w:rFonts w:ascii="Times New Roman" w:hAnsi="Times New Roman" w:cs="Times New Roman"/>
        </w:rPr>
        <w:t xml:space="preserve"> parameter as well as the fraction of taxa with the trait (Figure 3.3). The functional form for dynamic range varied depending on the fraction of taxa with the trait. Communities where all taxa had the trait behaved had a local maximum while communities with &lt;100% of taxa were asymptotic. Nonetheless, the maximum dynamic range for all considered scenarios occurred at α&lt;1. This implies that a greater range of functional redundancy values can be measured, if the diversity index provides low to </w:t>
      </w:r>
      <w:r w:rsidRPr="00F23F20">
        <w:rPr>
          <w:rFonts w:ascii="Times New Roman" w:hAnsi="Times New Roman" w:cs="Times New Roman"/>
        </w:rPr>
        <w:lastRenderedPageBreak/>
        <w:t>moderate weighting for taxa with lower trait contribution towards the overall community trait level. A selection of 1</w:t>
      </w:r>
      <w:r w:rsidRPr="00F23F20">
        <w:rPr>
          <w:rFonts w:ascii="Times New Roman" w:hAnsi="Times New Roman" w:cs="Times New Roman"/>
          <w:u w:val="single"/>
        </w:rPr>
        <w:t>&gt;</w:t>
      </w:r>
      <w:r w:rsidRPr="00F23F20">
        <w:rPr>
          <w:rFonts w:ascii="Times New Roman" w:hAnsi="Times New Roman" w:cs="Times New Roman"/>
          <w:i/>
        </w:rPr>
        <w:t>α</w:t>
      </w:r>
      <w:r w:rsidRPr="00F23F20">
        <w:rPr>
          <w:rFonts w:ascii="Times New Roman" w:hAnsi="Times New Roman" w:cs="Times New Roman"/>
          <w:u w:val="single"/>
        </w:rPr>
        <w:t>&gt;</w:t>
      </w:r>
      <w:r w:rsidRPr="00F23F20">
        <w:rPr>
          <w:rFonts w:ascii="Times New Roman" w:hAnsi="Times New Roman" w:cs="Times New Roman"/>
        </w:rPr>
        <w:t>0.5 appeared adequate if making comparisons between communities with drastically different ratios of trait-containing richness taxa richness (</w:t>
      </w:r>
      <w:r w:rsidRPr="00F23F20">
        <w:rPr>
          <w:rFonts w:ascii="Times New Roman" w:hAnsi="Times New Roman" w:cs="Times New Roman"/>
          <w:i/>
        </w:rPr>
        <w:t>ν</w:t>
      </w:r>
      <w:r w:rsidRPr="00F23F20">
        <w:rPr>
          <w:rFonts w:ascii="Times New Roman" w:hAnsi="Times New Roman" w:cs="Times New Roman"/>
          <w:iCs/>
        </w:rPr>
        <w:t>) and taxa richness (</w:t>
      </w:r>
      <w:r w:rsidRPr="00F23F20">
        <w:rPr>
          <w:rFonts w:ascii="Times New Roman" w:hAnsi="Times New Roman" w:cs="Times New Roman"/>
          <w:i/>
        </w:rPr>
        <w:t>n</w:t>
      </w:r>
      <w:r w:rsidRPr="00F23F20">
        <w:rPr>
          <w:rFonts w:ascii="Times New Roman" w:hAnsi="Times New Roman" w:cs="Times New Roman"/>
          <w:iCs/>
        </w:rPr>
        <w:t>)</w:t>
      </w:r>
      <w:r w:rsidRPr="00F23F20">
        <w:rPr>
          <w:rFonts w:ascii="Times New Roman" w:hAnsi="Times New Roman" w:cs="Times New Roman"/>
        </w:rPr>
        <w:t xml:space="preserve">. </w:t>
      </w:r>
    </w:p>
    <w:p w14:paraId="4209DA60" w14:textId="77777777" w:rsidR="00365526" w:rsidRPr="00F23F20" w:rsidRDefault="00365526" w:rsidP="00365526">
      <w:pPr>
        <w:pStyle w:val="Heading3"/>
      </w:pPr>
      <w:bookmarkStart w:id="238" w:name="_Toc41908117"/>
      <w:r w:rsidRPr="00F23F20">
        <w:t>Functional Redundancy and Trait Resilience to Taxa Extinction</w:t>
      </w:r>
      <w:bookmarkEnd w:id="238"/>
    </w:p>
    <w:p w14:paraId="0F0B6666" w14:textId="7599E6EF" w:rsidR="00365526" w:rsidRPr="00F23F20" w:rsidRDefault="00365526" w:rsidP="00365526">
      <w:pPr>
        <w:spacing w:line="480" w:lineRule="auto"/>
        <w:ind w:firstLine="640"/>
        <w:rPr>
          <w:rFonts w:ascii="Times New Roman" w:hAnsi="Times New Roman" w:cs="Times New Roman"/>
        </w:rPr>
      </w:pPr>
      <w:r w:rsidRPr="00F23F20">
        <w:rPr>
          <w:rFonts w:ascii="Times New Roman" w:hAnsi="Times New Roman" w:cs="Times New Roman"/>
        </w:rPr>
        <w:t xml:space="preserve">One tangible ecological consequence of functional redundancy is increased resilience of biogeochemical functions to taxon extinction. When functions are more broadly distributed across taxa, a function is less likely to disappear due to the extinction of individual taxa. This interpretation is often highlighted in macro-ecological studies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{"citationItems":[{"id":"ITEM-1","itemData":{"DOI":"10.1111/2041-210X.12855","ISSN":"2041210X","abstract":"Many indices have been proposed to measure functional diversity and its four distinct dimensions: functional richness, evenness, divergence and redundancy. Identifying indices that reliably measure the functional diversity dimension(s) of interest requires careful testing of how each index responds to species' traits and abundance distributions. In the absence of a convenient simulation tool, tests with artificial data have to date explored only a limited number of scenarios or have altered trait and abundance distributions only indirectly based on principles of evolution and community assembly. We provide simul.comms, an R function that allows users to test the efficacy of functional diversity indices by easily creating artificial species communities with user-specified abundance and trait distributions for continuous, ordinal and categorical traits. To illustrate the function's utility, we examine the performance of R, a recently published abundance-sensitive index for functional redundancy. We use two approaches to designing simulation tests for this example analysis. The first uses simul.comms to create six separate sets of artificial communities to qualitatively assess how R responds to predictable changes in functional redundancy. The second uses simul.comms to independently alter seven community composition parameters, whose influence on R is then examined quantitatively via effect sizes in linear regression. Our analyses indicate that R broadly mirrors expected changes in functional redundancy and predictably responds to changes in community composition parameters. R appears, however, to primarily reflect trait distributions, responding minimally to variance in abundance and counter-intuitively to abundance range. Further refinement of tools to measure functional redundancy may therefore be desirable. The R tool we provide should assist with refining functional diversity measures, a critical step towards improving our ability to understand and mitigate the impacts of biodiversity loss on ecosystem functioning. Because simul.comms simply produces two linked matrices, a species-by-traits matrix and a site-by-species abundance matrix, it may be equally valuable in exploring questions and analytical approaches in other areas of community ecology.","author":[{"dropping-particle":"","family":"McPherson","given":"Jana M.","non-dropping-particle":"","parse-names":false,"suffix":""},{"dropping-particle":"","family":"Yeager","given":"Lauren A.","non-dropping-particle":"","parse-names":false,"suffix":""},{"dropping-particle":"","family":"Baum","given":"Julia K.","non-dropping-particle":"","parse-names":false,"suffix":""}],"container-title":"Methods in Ecology and Evolution","id":"ITEM-1","issue":"1","issued":{"date-parts":[["2018"]]},"page":"200-206","title":"A simulation tool to scrutinise the behaviour of functional diversity metrics","type":"article-journal","volume":"9"},"uris":["http://www.mendeley.com/documents/?uuid=e299038d-048c-41b2-80d9-0ac9eca6da8c"]},{"id":"ITEM-2","itemData":{"DOI":"10.1111/2041-210X.12604","ISSN":"2041210X","abstract":"The preservation of ecosystem processes under ongoing biotic erosion requires that some species within affected communities perform similar functions, a property that is usually defined as functional redundancy. Although functional redundancy has recently become a relevant part of ecological research, so far there is no agreement on its measurement. The scope of this work is thus to propose a consistent framework based on functional dissimilarities among species for summarizing different facets of functional redundancy. The behaviour of the proposed measures is illustrated with one small artificial data set, together with actual examples on the species functional turnover along successional gradients. We believe this new framework provides an important contribution for the clarification and quantification of key metrics of community redundancy and vulnerability. The method, for which we provide a simple r function called ‘uniqueness’, further allows summarizing the functional contribution of single species to the overall redundancy of any type of biological community.","author":[{"dropping-particle":"","family":"Ricotta","given":"Carlo","non-dropping-particle":"","parse-names":false,"suffix":""},{"dropping-particle":"","family":"Bello","given":"Francesco","non-dropping-particle":"de","parse-names":false,"suffix":""},{"dropping-particle":"","family":"Moretti","given":"Marco","non-dropping-particle":"","parse-names":false,"suffix":""},{"dropping-particle":"","family":"Caccianiga","given":"Marco","non-dropping-particle":"","parse-names":false,"suffix":""},{"dropping-particle":"","family":"Cerabolini","given":"Bruno E.L.","non-dropping-particle":"","parse-names":false,"suffix":""},{"dropping-particle":"","family":"Pavoine","given":"Sandrine","non-dropping-particle":"","parse-names":false,"suffix":""}],"container-title":"Methods in Ecology and Evolution","id":"ITEM-2","issue":"11","issued":{"date-parts":[["2016"]]},"page":"1386-1395","title":"Measuring the functional redundancy of biological communities: a quantitative guide","type":"article-journal","volume":"7"},"uris":["http://www.mendeley.com/documents/?uuid=a4a1a205-a550-4685-bdb4-245917332160"]},{"id":"ITEM-3","itemData":{"DOI":"10.1016/B978-0-12-384719-5.00061-7","ISBN":"9780123847195","abstract":"Functional diversity refers to those components of biodiversity that influence how an ecosystem operates or functions. The biological diversity, or biodiversity, of a habitat is much broader and includes all the species living in a site, all of the genotypic and phenotypic variation within each species, and all the spatial and temporal variability in the communities and ecosystems that these species form. Functional diversity, which is a subset of this, is measured by the values and range in the values, for the species present in an ecosystem, of those organismal traits that influence one or more aspects of the functioning of an ecosystem. Functional diversity is of ecological importance because it, by definition, is the component of diversity that influences ecosystem dynamics, stability, productivity, nutrient balance, and other aspects of ecosystem functioning.","author":[{"dropping-particle":"","family":"Tilman","given":"David","non-dropping-particle":"","parse-names":false,"suffix":""}],"container-title":"Encyclopedia of Biodiversity: Second Edition","id":"ITEM-3","issued":{"date-parts":[["2001"]]},"page":"587-596","title":"Functional Diversity","type":"article-journal","volume":"3"},"uris":["http://www.mendeley.com/documents/?uuid=1b57999e-0665-42d0-997c-72556015c969"]}],"mendeley":{"formattedCitation":"(91, 104, 105)","plainTextFormattedCitation":"(91, 104, 105)","previouslyFormattedCitation":"(90, 103, 104)"},"properties":{"noteIndex":0},"schema":"https://github.com/citation-style-language/schema/raw/master/csl-citation.json"}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(91, 104, 105)</w:t>
      </w:r>
      <w:r w:rsidRPr="00F23F20">
        <w:rPr>
          <w:rFonts w:ascii="Times New Roman" w:hAnsi="Times New Roman" w:cs="Times New Roman"/>
        </w:rPr>
        <w:fldChar w:fldCharType="end"/>
      </w:r>
      <w:r w:rsidRPr="00F23F20">
        <w:rPr>
          <w:rFonts w:ascii="Times New Roman" w:hAnsi="Times New Roman" w:cs="Times New Roman"/>
        </w:rPr>
        <w:t xml:space="preserve">. Therefore, any measure of functional redundancy should reflect that the probability of a trait being extinguished from a community decreases as the redundancy of that trait within the community increases. </w:t>
      </w:r>
    </w:p>
    <w:p w14:paraId="43642282" w14:textId="1BD721ED" w:rsidR="00365526" w:rsidRPr="00F23F20" w:rsidRDefault="00365526" w:rsidP="00365526">
      <w:pPr>
        <w:spacing w:line="480" w:lineRule="auto"/>
        <w:ind w:firstLine="640"/>
        <w:rPr>
          <w:rFonts w:ascii="Times New Roman" w:hAnsi="Times New Roman" w:cs="Times New Roman"/>
        </w:rPr>
      </w:pPr>
      <w:r w:rsidRPr="00F23F20">
        <w:rPr>
          <w:rFonts w:ascii="Times New Roman" w:hAnsi="Times New Roman" w:cs="Times New Roman"/>
        </w:rPr>
        <w:t xml:space="preserve">The conceptual relationship between functional redundancy and vulnerability of ecosystem function provides an opportunity to demonstrate the efficacy in TCE. To do this, functional redundancy was calculated for randomly generated communities, which followed lognormal distributions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{"citationItems":[{"id":"ITEM-1","itemData":{"DOI":"10.1007/978-94-015-7358-0","ISBN":"978-94-015-7360-3","author":[{"dropping-particle":"","family":"Magurran","given":"Anne E.","non-dropping-particle":"","parse-names":false,"suffix":""}],"edition":"1","id":"ITEM-1","issued":{"date-parts":[["1988"]]},"number-of-pages":"7-46","publisher":"Croom Helm Ltd","title":"Ecological Diversity and Its Measurement","type":"book"},"uris":["http://www.mendeley.com/documents/?uuid=6163fea9-35eb-4858-882e-bbf78403170b"]},{"id":"ITEM-2","itemData":{"DOI":"10.1111/j.1461-0248.2007.01094.x","ISSN":"1461023X","PMID":"17845298","abstract":"Species abundance distributions (SADs) follow one of ecology's oldest and most universal laws - every community shows a hollow curve or hyperbolic shape on a histogram with many rare species and just a few common species. Here, we review theoretical, empirical and statistical developments in the study of SADs. Several key points emerge. (i) Literally dozens of models have been proposed to explain the hollow curve. Unfortunately, very few models are ever rejected, primarily because few theories make any predictions beyond the hollow-curve SAD itself. (ii) Interesting work has been performed both empirically and theoretically, which goes beyond the hollow-curve prediction to provide a rich variety of information about how SADs behave. These include the study of SADs along environmental gradients and theories that integrate SADs with other biodiversity patterns. Central to this body of work is an effort to move beyond treating the SAD in isolation and to integrate the SAD into its ecological context to enable making many predictions. (iii) Moving forward will entail understanding how sampling and scale affect SADs and developing statistical tools for describing and comparing SADs. We are optimistic that SADs can provide significant insights into basic and applied ecological science. © 2007 Blackwell Publishing Ltd/CNRS.","author":[{"dropping-particle":"","family":"McGill","given":"Brian J.","non-dropping-particle":"","parse-names":false,"suffix":""},{"dropping-particle":"","family":"Etienne","given":"Rampal S.","non-dropping-particle":"","parse-names":false,"suffix":""},{"dropping-particle":"","family":"Gray","given":"John S.","non-dropping-particle":"","parse-names":false,"suffix":""},{"dropping-particle":"","family":"Alonso","given":"David","non-dropping-particle":"","parse-names":false,"suffix":""},{"dropping-particle":"","family":"Anderson","given":"Marti J.","non-dropping-particle":"","parse-names":false,"suffix":""},{"dropping-particle":"","family":"Benecha","given":"Habtamu Kassa","non-dropping-particle":"","parse-names":false,"suffix":""},{"dropping-particle":"","family":"Dornelas","given":"Maria","non-dropping-particle":"","parse-names":false,"suffix":""},{"dropping-particle":"","family":"Enquist","given":"Brian J.","non-dropping-particle":"","parse-names":false,"suffix":""},{"dropping-particle":"","family":"Green","given":"Jessica L.","non-dropping-particle":"","parse-names":false,"suffix":""},{"dropping-particle":"","family":"He","given":"Fangliang","non-dropping-particle":"","parse-names":false,"suffix":""},{"dropping-particle":"","family":"Hurlbert","given":"Allen H.","non-dropping-particle":"","parse-names":false,"suffix":""},{"dropping-particle":"","family":"Magurran","given":"Anne E.","non-dropping-particle":"","parse-names":false,"suffix":""},{"dropping-particle":"","family":"Marquet","given":"Pablo A.","non-dropping-particle":"","parse-names":false,"suffix":""},{"dropping-particle":"","family":"Maurer","given":"Brian A.","non-dropping-particle":"","parse-names":false,"suffix":""},{"dropping-particle":"","family":"Ostling","given":"Annette","non-dropping-particle":"","parse-names":false,"suffix":""},{"dropping-particle":"","family":"Soykan","given":"Candan U.","non-dropping-particle":"","parse-names":false,"suffix":""},{"dropping-particle":"","family":"Ugland","given":"Karl I.","non-dropping-particle":"","parse-names":false,"suffix":""},{"dropping-particle":"","family":"White","given":"Ethan P.","non-dropping-particle":"","parse-names":false,"suffix":""}],"container-title":"Ecology Letters","id":"ITEM-2","issue":"10","issued":{"date-parts":[["2007"]]},"page":"995-1015","title":"Species abundance distributions: Moving beyond single prediction theories to integration within an ecological framework","type":"article-journal","volume":"10"},"uris":["http://www.mendeley.com/documents/?uuid=61694212-0fbc-4b65-892a-c037cf20a0be"]}],"mendeley":{"formattedCitation":"(72, 100)","plainTextFormattedCitation":"(72, 100)","previouslyFormattedCitation":"(71, 99)"},"properties":{"noteIndex":0},"schema":"https://github.com/citation-style-language/schema/raw/master/csl-citation.json"}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(72, 100)</w:t>
      </w:r>
      <w:r w:rsidRPr="00F23F20">
        <w:rPr>
          <w:rFonts w:ascii="Times New Roman" w:hAnsi="Times New Roman" w:cs="Times New Roman"/>
        </w:rPr>
        <w:fldChar w:fldCharType="end"/>
      </w:r>
      <w:r w:rsidRPr="00F23F20">
        <w:rPr>
          <w:rFonts w:ascii="Times New Roman" w:hAnsi="Times New Roman" w:cs="Times New Roman"/>
        </w:rPr>
        <w:t xml:space="preserve"> (equation 3.8). Individual taxa were randomly assigned </w:t>
      </w:r>
      <w:sdt>
        <w:sdtPr>
          <w:rPr>
            <w:rFonts w:ascii="Times New Roman" w:hAnsi="Times New Roman" w:cs="Times New Roman"/>
          </w:rPr>
          <w:tag w:val="goog_rdk_32"/>
          <w:id w:val="-793670437"/>
        </w:sdtPr>
        <w:sdtContent/>
      </w:sdt>
      <w:r w:rsidRPr="00F23F20">
        <w:rPr>
          <w:rFonts w:ascii="Times New Roman" w:hAnsi="Times New Roman" w:cs="Times New Roman"/>
        </w:rPr>
        <w:t xml:space="preserve">a trait level. We simulated random taxon extinction events in the artificial communities until &gt;95% of the original community total trait was gone. The choice in threshold served the purpose of dealing with communities where all taxa possessed a trait. In such communities, a 100% extinction rate was necessary to properly remove the trait from the community. In real biological systems, an ecosystem function may be disrupted well before all taxa contributing to a trait are extinct. For instance, porewater </w:t>
      </w:r>
      <w:r w:rsidRPr="00F23F20">
        <w:rPr>
          <w:rFonts w:ascii="Times New Roman" w:hAnsi="Times New Roman" w:cs="Times New Roman"/>
        </w:rPr>
        <w:lastRenderedPageBreak/>
        <w:t xml:space="preserve">redox conditions become temporally unstable with minor losses in organoheterotroph composition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{"citationItems":[{"id":"ITEM-1","itemData":{"DOI":"10.3389/fmicb.2015.00105","ISSN":"1664302X","abstract":"Decomposition of organic matter is an important ecosystem process governed in part by bacteria. The process of decomposition is expected to benefit from interspecific bacterial interactions such as resource partitioning and facilitation. However, the relative importance of resource niche breadth (metabolic diversity) and resource niche overlap (functional redundancy) on decomposition and the temporal stability of ecosystem processes received little scientific attention. Therefore, this study aims to evaluate the effect of an increase in bacterial community resemblance on both decomposition and the stability of bacterial metabolism in aquatic sediments. To this end, we performed laboratory microcosm experiments in which we examined the influence of bacterial consortia differing in number and composition of species on bacterial activity (Electron Transport System Activity, ETSA), dissolved organic carbon production and wavelet transformed measurements of redox potential (Eh). Single substrate affinities of the individual bacterial species were determined in order to calculate the metabolic diversity of the microbial community. Results presented here indicate that bacterial activity and organic matter decomposition increase with widening of the resource niche breadth, and that metabolic stability increases with increasing overlap in bacterial resource niches, hinting that resource niche overlap can promote the stability of bacterial community metabolism.","author":[{"dropping-particle":"","family":"Hunting","given":"Ellard R.","non-dropping-particle":"","parse-names":false,"suffix":""},{"dropping-particle":"","family":"Vijver","given":"Martina G.","non-dropping-particle":"","parse-names":false,"suffix":""},{"dropping-particle":"","family":"Geest","given":"Harm G.","non-dropping-particle":"van der","parse-names":false,"suffix":""},{"dropping-particle":"","family":"Mulder","given":"Christian","non-dropping-particle":"","parse-names":false,"suffix":""},{"dropping-particle":"","family":"Kraak","given":"Michiel H.S.","non-dropping-particle":"","parse-names":false,"suffix":""},{"dropping-particle":"","family":"Breure","given":"Anton M.","non-dropping-particle":"","parse-names":false,"suffix":""},{"dropping-particle":"","family":"Admiraal","given":"Wim","non-dropping-particle":"","parse-names":false,"suffix":""}],"container-title":"Frontiers in Microbiology","id":"ITEM-1","issue":"FEB","issued":{"date-parts":[["2015"]]},"page":"1-7","title":"Resource niche overlap promotes stability of bacterial community metabolism in experimental microcosms","type":"article-journal","volume":"6"},"uris":["http://www.mendeley.com/documents/?uuid=ff39e6a0-08b8-4bdc-b3da-c944da1fcf0e"]}],"mendeley":{"formattedCitation":"(87)","plainTextFormattedCitation":"(87)","previouslyFormattedCitation":"(86)"},"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(87)</w:t>
      </w:r>
      <w:r w:rsidRPr="00F23F20">
        <w:rPr>
          <w:rFonts w:ascii="Times New Roman" w:hAnsi="Times New Roman" w:cs="Times New Roman"/>
        </w:rPr>
        <w:fldChar w:fldCharType="end"/>
      </w:r>
      <w:r w:rsidRPr="00F23F20">
        <w:rPr>
          <w:rFonts w:ascii="Times New Roman" w:hAnsi="Times New Roman" w:cs="Times New Roman"/>
        </w:rPr>
        <w:t xml:space="preserve">. For our calculation of equation 3.5, we selected </w:t>
      </w:r>
      <w:r w:rsidRPr="00F23F20">
        <w:rPr>
          <w:rFonts w:ascii="Times New Roman" w:hAnsi="Times New Roman" w:cs="Times New Roman"/>
          <w:i/>
        </w:rPr>
        <w:t>α</w:t>
      </w:r>
      <w:r w:rsidRPr="00F23F20">
        <w:rPr>
          <w:rFonts w:ascii="Times New Roman" w:hAnsi="Times New Roman" w:cs="Times New Roman"/>
        </w:rPr>
        <w:t xml:space="preserve">=0.5 because it maximized the observable dynamic range of the functional redundancy parameter (Figure 3.3). We observed a positive relationship between the resilience of a trait to random taxon extinction events and the calculated functional redundancy (Figure 3.4A). In addition to TCE, we evaluated the formulation for functional redundancy presented in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{"citationItems":[{"id":"ITEM-1","itemData":{"DOI":"10.1111/2041-210X.12604","ISSN":"2041210X","abstract":"The preservation of ecosystem processes under ongoing biotic erosion requires that some species within affected communities perform similar functions, a property that is usually defined as functional redundancy. Although functional redundancy has recently become a relevant part of ecological research, so far there is no agreement on its measurement. The scope of this work is thus to propose a consistent framework based on functional dissimilarities among species for summarizing different facets of functional redundancy. The behaviour of the proposed measures is illustrated with one small artificial data set, together with actual examples on the species functional turnover along successional gradients. We believe this new framework provides an important contribution for the clarification and quantification of key metrics of community redundancy and vulnerability. The method, for which we provide a simple r function called ‘uniqueness’, further allows summarizing the functional contribution of single species to the overall redundancy of any type of biological community.","author":[{"dropping-particle":"","family":"Ricotta","given":"Carlo","non-dropping-particle":"","parse-names":false,"suffix":""},{"dropping-particle":"","family":"Bello","given":"Francesco","non-dropping-particle":"de","parse-names":false,"suffix":""},{"dropping-particle":"","family":"Moretti","given":"Marco","non-dropping-particle":"","parse-names":false,"suffix":""},{"dropping-particle":"","family":"Caccianiga","given":"Marco","non-dropping-particle":"","parse-names":false,"suffix":""},{"dropping-particle":"","family":"Cerabolini","given":"Bruno E.L.","non-dropping-particle":"","parse-names":false,"suffix":""},{"dropping-particle":"","family":"Pavoine","given":"Sandrine","non-dropping-particle":"","parse-names":false,"suffix":""}],"container-title":"Methods in Ecology and Evolution","id":"ITEM-1","issue":"11","issued":{"date-parts":[["2016"]]},"page":"1386-1395","title":"Measuring the functional redundancy of biological communities: a quantitative guide","type":"article-journal","volume":"7"},"uris":["http://www.mendeley.com/documents/?uuid=a4a1a205-a550-4685-bdb4-245917332160"]}],"mendeley":{"formattedCitation":"(91)","plainTextFormattedCitation":"(91)","previouslyFormattedCitation":"(90)"},"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(91)</w:t>
      </w:r>
      <w:r w:rsidRPr="00F23F20">
        <w:rPr>
          <w:rFonts w:ascii="Times New Roman" w:hAnsi="Times New Roman" w:cs="Times New Roman"/>
        </w:rPr>
        <w:fldChar w:fldCharType="end"/>
      </w:r>
      <w:r w:rsidRPr="00F23F20">
        <w:rPr>
          <w:rFonts w:ascii="Times New Roman" w:hAnsi="Times New Roman" w:cs="Times New Roman"/>
        </w:rPr>
        <w:t xml:space="preserve"> to draw comparison. As a general observation, this method performed poorly as no clear functional relationship existed between estimates in functional redundancy and trait resilience to extinction (Figure 3.4B). We suspect the discrepancy in performance between TCE and the method from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{"citationItems":[{"id":"ITEM-1","itemData":{"DOI":"10.1111/2041-210X.12604","ISSN":"2041210X","abstract":"The preservation of ecosystem processes under ongoing biotic erosion requires that some species within affected communities perform similar functions, a property that is usually defined as functional redundancy. Although functional redundancy has recently become a relevant part of ecological research, so far there is no agreement on its measurement. The scope of this work is thus to propose a consistent framework based on functional dissimilarities among species for summarizing different facets of functional redundancy. The behaviour of the proposed measures is illustrated with one small artificial data set, together with actual examples on the species functional turnover along successional gradients. We believe this new framework provides an important contribution for the clarification and quantification of key metrics of community redundancy and vulnerability. The method, for which we provide a simple r function called ‘uniqueness’, further allows summarizing the functional contribution of single species to the overall redundancy of any type of biological community.","author":[{"dropping-particle":"","family":"Ricotta","given":"Carlo","non-dropping-particle":"","parse-names":false,"suffix":""},{"dropping-particle":"","family":"Bello","given":"Francesco","non-dropping-particle":"de","parse-names":false,"suffix":""},{"dropping-particle":"","family":"Moretti","given":"Marco","non-dropping-particle":"","parse-names":false,"suffix":""},{"dropping-particle":"","family":"Caccianiga","given":"Marco","non-dropping-particle":"","parse-names":false,"suffix":""},{"dropping-particle":"","family":"Cerabolini","given":"Bruno E.L.","non-dropping-particle":"","parse-names":false,"suffix":""},{"dropping-particle":"","family":"Pavoine","given":"Sandrine","non-dropping-particle":"","parse-names":false,"suffix":""}],"container-title":"Methods in Ecology and Evolution","id":"ITEM-1","issue":"11","issued":{"date-parts":[["2016"]]},"page":"1386-1395","title":"Measuring the functional redundancy of biological communities: a quantitative guide","type":"article-journal","volume":"7"},"uris":["http://www.mendeley.com/documents/?uuid=a4a1a205-a550-4685-bdb4-245917332160"]}],"mendeley":{"formattedCitation":"(91)","plainTextFormattedCitation":"(91)","previouslyFormattedCitation":"(90)"},"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(91)</w:t>
      </w:r>
      <w:r w:rsidRPr="00F23F20">
        <w:rPr>
          <w:rFonts w:ascii="Times New Roman" w:hAnsi="Times New Roman" w:cs="Times New Roman"/>
        </w:rPr>
        <w:fldChar w:fldCharType="end"/>
      </w:r>
      <w:r w:rsidRPr="00F23F20">
        <w:rPr>
          <w:rFonts w:ascii="Times New Roman" w:hAnsi="Times New Roman" w:cs="Times New Roman"/>
        </w:rPr>
        <w:t xml:space="preserve"> is explained by TCE’s use of diversity to quantify functional redundancy. Specifically, the parametric diversity index (equation 3.5) is sensitive to the shape of the distributions of species abundance and trait contribution. These properties likely manifest in our extinction simulation, which is a hypergeometric probability distribution problem, weighted proportionally to the trait contribution distribution. In contrast, the formulation in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{"citationItems":[{"id":"ITEM-1","itemData":{"DOI":"10.1111/2041-210X.12604","ISSN":"2041210X","abstract":"The preservation of ecosystem processes under ongoing biotic erosion requires that some species within affected communities perform similar functions, a property that is usually defined as functional redundancy. Although functional redundancy has recently become a relevant part of ecological research, so far there is no agreement on its measurement. The scope of this work is thus to propose a consistent framework based on functional dissimilarities among species for summarizing different facets of functional redundancy. The behaviour of the proposed measures is illustrated with one small artificial data set, together with actual examples on the species functional turnover along successional gradients. We believe this new framework provides an important contribution for the clarification and quantification of key metrics of community redundancy and vulnerability. The method, for which we provide a simple r function called ‘uniqueness’, further allows summarizing the functional contribution of single species to the overall redundancy of any type of biological community.","author":[{"dropping-particle":"","family":"Ricotta","given":"Carlo","non-dropping-particle":"","parse-names":false,"suffix":""},{"dropping-particle":"","family":"Bello","given":"Francesco","non-dropping-particle":"de","parse-names":false,"suffix":""},{"dropping-particle":"","family":"Moretti","given":"Marco","non-dropping-particle":"","parse-names":false,"suffix":""},{"dropping-particle":"","family":"Caccianiga","given":"Marco","non-dropping-particle":"","parse-names":false,"suffix":""},{"dropping-particle":"","family":"Cerabolini","given":"Bruno E.L.","non-dropping-particle":"","parse-names":false,"suffix":""},{"dropping-particle":"","family":"Pavoine","given":"Sandrine","non-dropping-particle":"","parse-names":false,"suffix":""}],"container-title":"Methods in Ecology and Evolution","id":"ITEM-1","issue":"11","issued":{"date-parts":[["2016"]]},"page":"1386-1395","title":"Measuring the functional redundancy of biological communities: a quantitative guide","type":"article-journal","volume":"7"},"uris":["http://www.mendeley.com/documents/?uuid=a4a1a205-a550-4685-bdb4-245917332160"]}],"mendeley":{"formattedCitation":"(91)","plainTextFormattedCitation":"(91)","previouslyFormattedCitation":"(90)"},"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(91)</w:t>
      </w:r>
      <w:r w:rsidRPr="00F23F20">
        <w:rPr>
          <w:rFonts w:ascii="Times New Roman" w:hAnsi="Times New Roman" w:cs="Times New Roman"/>
        </w:rPr>
        <w:fldChar w:fldCharType="end"/>
      </w:r>
      <w:r w:rsidRPr="00F23F20">
        <w:rPr>
          <w:rFonts w:ascii="Times New Roman" w:hAnsi="Times New Roman" w:cs="Times New Roman"/>
        </w:rPr>
        <w:t xml:space="preserve"> is a measure of mean dissimilarity in trait contribution, and does not account for non-normal abundance distribution shapes. </w:t>
      </w:r>
    </w:p>
    <w:p w14:paraId="738CABB1" w14:textId="77777777" w:rsidR="00365526" w:rsidRPr="00F23F20" w:rsidRDefault="00365526" w:rsidP="00365526">
      <w:pPr>
        <w:spacing w:line="480" w:lineRule="auto"/>
        <w:ind w:firstLine="640"/>
        <w:rPr>
          <w:rFonts w:ascii="Times New Roman" w:hAnsi="Times New Roman" w:cs="Times New Roman"/>
        </w:rPr>
      </w:pPr>
      <w:r w:rsidRPr="00F23F20">
        <w:rPr>
          <w:rFonts w:ascii="Times New Roman" w:hAnsi="Times New Roman" w:cs="Times New Roman"/>
        </w:rPr>
        <w:t xml:space="preserve">We ensured the relationship between TCE and trait resilience was not an artifact of </w:t>
      </w:r>
      <w:r w:rsidRPr="00F23F20">
        <w:rPr>
          <w:rFonts w:ascii="Times New Roman" w:hAnsi="Times New Roman" w:cs="Times New Roman"/>
          <w:i/>
        </w:rPr>
        <w:t>α</w:t>
      </w:r>
      <w:r w:rsidRPr="00F23F20">
        <w:rPr>
          <w:rFonts w:ascii="Times New Roman" w:hAnsi="Times New Roman" w:cs="Times New Roman"/>
        </w:rPr>
        <w:t xml:space="preserve"> selection. This was done by testing a range of </w:t>
      </w:r>
      <w:r w:rsidRPr="00F23F20">
        <w:rPr>
          <w:rFonts w:ascii="Times New Roman" w:hAnsi="Times New Roman" w:cs="Times New Roman"/>
          <w:i/>
        </w:rPr>
        <w:t>α</w:t>
      </w:r>
      <w:r w:rsidRPr="00F23F20">
        <w:rPr>
          <w:rFonts w:ascii="Times New Roman" w:hAnsi="Times New Roman" w:cs="Times New Roman"/>
        </w:rPr>
        <w:t xml:space="preserve"> values against trait resilience to taxa extinction (</w:t>
      </w:r>
      <w:sdt>
        <w:sdtPr>
          <w:rPr>
            <w:rFonts w:ascii="Times New Roman" w:hAnsi="Times New Roman" w:cs="Times New Roman"/>
          </w:rPr>
          <w:tag w:val="goog_rdk_34"/>
          <w:id w:val="-643049337"/>
        </w:sdtPr>
        <w:sdtContent/>
      </w:sdt>
      <w:r w:rsidRPr="00F23F20">
        <w:rPr>
          <w:rFonts w:ascii="Times New Roman" w:hAnsi="Times New Roman" w:cs="Times New Roman"/>
        </w:rPr>
        <w:t xml:space="preserve">Figure 3.5). The relationship between functional redundancy and resilience to extinction remained positive for all evaluated values of </w:t>
      </w:r>
      <w:r w:rsidRPr="00F23F20">
        <w:rPr>
          <w:rFonts w:ascii="Times New Roman" w:hAnsi="Times New Roman" w:cs="Times New Roman"/>
          <w:i/>
        </w:rPr>
        <w:t>α</w:t>
      </w:r>
      <w:r w:rsidRPr="00F23F20">
        <w:rPr>
          <w:rFonts w:ascii="Times New Roman" w:hAnsi="Times New Roman" w:cs="Times New Roman"/>
          <w:iCs/>
        </w:rPr>
        <w:t xml:space="preserve"> (0.1, 1, and 2)</w:t>
      </w:r>
      <w:r w:rsidRPr="00F23F20">
        <w:rPr>
          <w:rFonts w:ascii="Times New Roman" w:hAnsi="Times New Roman" w:cs="Times New Roman"/>
        </w:rPr>
        <w:t xml:space="preserve">. The functional form (e.g., exponential-like versus linear) between functional redundancy and resilience </w:t>
      </w:r>
      <w:r w:rsidRPr="00F23F20">
        <w:rPr>
          <w:rFonts w:ascii="Times New Roman" w:hAnsi="Times New Roman" w:cs="Times New Roman"/>
        </w:rPr>
        <w:lastRenderedPageBreak/>
        <w:t xml:space="preserve">to extinction as well as variance in residuals differed depending on </w:t>
      </w:r>
      <w:r w:rsidRPr="00F23F20">
        <w:rPr>
          <w:rFonts w:ascii="Times New Roman" w:hAnsi="Times New Roman" w:cs="Times New Roman"/>
          <w:i/>
        </w:rPr>
        <w:t>α</w:t>
      </w:r>
      <w:r w:rsidRPr="00F23F20">
        <w:rPr>
          <w:rFonts w:ascii="Times New Roman" w:hAnsi="Times New Roman" w:cs="Times New Roman"/>
          <w:iCs/>
        </w:rPr>
        <w:t xml:space="preserve"> value selection</w:t>
      </w:r>
      <w:r w:rsidRPr="00F23F20">
        <w:rPr>
          <w:rFonts w:ascii="Times New Roman" w:hAnsi="Times New Roman" w:cs="Times New Roman"/>
        </w:rPr>
        <w:t xml:space="preserve">. Depending on the work, the relationship between functional redundancy and resilience to extinction may matter, and so flexibility in </w:t>
      </w:r>
      <w:r w:rsidRPr="00F23F20">
        <w:rPr>
          <w:rFonts w:ascii="Times New Roman" w:hAnsi="Times New Roman" w:cs="Times New Roman"/>
          <w:i/>
          <w:iCs/>
        </w:rPr>
        <w:t>α</w:t>
      </w:r>
      <w:r w:rsidRPr="00F23F20">
        <w:rPr>
          <w:rFonts w:ascii="Times New Roman" w:hAnsi="Times New Roman" w:cs="Times New Roman"/>
        </w:rPr>
        <w:t xml:space="preserve"> selection may prove useful. </w:t>
      </w:r>
    </w:p>
    <w:p w14:paraId="76A396AA" w14:textId="77777777" w:rsidR="00365526" w:rsidRPr="00F23F20" w:rsidRDefault="00365526" w:rsidP="00365526">
      <w:pPr>
        <w:pStyle w:val="Heading3"/>
      </w:pPr>
      <w:bookmarkStart w:id="239" w:name="_Toc41908118"/>
      <w:r w:rsidRPr="00F23F20">
        <w:t xml:space="preserve">Case Study: Redundancy of </w:t>
      </w:r>
      <w:r>
        <w:t>N</w:t>
      </w:r>
      <w:r w:rsidRPr="00F23F20">
        <w:t xml:space="preserve">itrogen </w:t>
      </w:r>
      <w:r>
        <w:t>C</w:t>
      </w:r>
      <w:r w:rsidRPr="00F23F20">
        <w:t xml:space="preserve">ycle </w:t>
      </w:r>
      <w:r>
        <w:t>M</w:t>
      </w:r>
      <w:r w:rsidRPr="00F23F20">
        <w:t xml:space="preserve">arker </w:t>
      </w:r>
      <w:r>
        <w:t>G</w:t>
      </w:r>
      <w:r w:rsidRPr="00F23F20">
        <w:t xml:space="preserve">enes in </w:t>
      </w:r>
      <w:r>
        <w:t>M</w:t>
      </w:r>
      <w:r w:rsidRPr="00F23F20">
        <w:t xml:space="preserve">arine </w:t>
      </w:r>
      <w:r>
        <w:t>M</w:t>
      </w:r>
      <w:r w:rsidRPr="00F23F20">
        <w:t>icrobiomes</w:t>
      </w:r>
      <w:bookmarkEnd w:id="239"/>
    </w:p>
    <w:p w14:paraId="7CD7F137" w14:textId="689E917F"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rPr>
        <w:tab/>
        <w:t xml:space="preserve">To demonstrate a use of TCE, we measured functional redundancy in the marine nitrogen cycle using genomic data from the </w:t>
      </w:r>
      <w:r w:rsidRPr="00F23F20">
        <w:rPr>
          <w:rFonts w:ascii="Times New Roman" w:hAnsi="Times New Roman" w:cs="Times New Roman"/>
          <w:i/>
          <w:iCs/>
        </w:rPr>
        <w:t>TARA Oceans</w:t>
      </w:r>
      <w:r w:rsidRPr="00F23F20">
        <w:rPr>
          <w:rFonts w:ascii="Times New Roman" w:hAnsi="Times New Roman" w:cs="Times New Roman"/>
        </w:rPr>
        <w:t xml:space="preserve"> project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{"citationItems":[{"id":"ITEM-1","itemData":{"DOI":"10.1126/science.1261359","ISSN":"0036-8075","abstract":"Microbes are dominant drivers of biogeochemical processes, yet drawing a global picture of functional diversity, microbial community structure, and their ecological determinants remains a grand challenge. We analyzed 7.2 terabases of metagenomic data from 243 Tara Oceans samples from 68 locations in epipelagic and mesopelagic waters across the globe to generate an ocean microbial reference gene catalog with &gt;40 million nonredundant, mostly novel sequences from viruses, prokaryotes, and picoeukaryotes. Using 139 prokaryote-enriched samples, containing &gt;35,000 species, we show vertical stratification with epipelagic community composition mostly driven by temperature rather than other environmental factors or geography. We identify ocean microbial core functionality and reveal that &gt;73% of its abundance is shared with the human gut microbiome despite the physicochemical differences between these two ecosystems.","author":[{"dropping-particle":"","family":"Sunagawa","given":"S.","non-dropping-particle":"","parse-names":false,"suffix":""},{"dropping-particle":"","family":"Coelho","given":"L. P.","non-dropping-particle":"","parse-names":false,"suffix":""},{"dropping-particle":"","family":"Chaffron","given":"S.","non-dropping-particle":"","parse-names":false,"suffix":""},{"dropping-particle":"","family":"Kultima","given":"J. R.","non-dropping-particle":"","parse-names":false,"suffix":""},{"dropping-particle":"","family":"Labadie","given":"K.","non-dropping-particle":"","parse-names":false,"suffix":""},{"dropping-particle":"","family":"Salazar","given":"G.","non-dropping-particle":"","parse-names":false,"suffix":""},{"dropping-particle":"","family":"Djahanschiri","given":"B.","non-dropping-particle":"","parse-names":false,"suffix":""},{"dropping-particle":"","family":"Zeller","given":"G.","non-dropping-particle":"","parse-names":false,"suffix":""},{"dropping-particle":"","family":"Mende","given":"D. R.","non-dropping-particle":"","parse-names":false,"suffix":""},{"dropping-particle":"","family":"Alberti","given":"A.","non-dropping-particle":"","parse-names":false,"suffix":""},{"dropping-particle":"","family":"Cornejo-Castillo","given":"F. M.","non-dropping-particle":"","parse-names":false,"suffix":""},{"dropping-particle":"","family":"Costea","given":"P. I.","non-dropping-particle":"","parse-names":false,"suffix":""},{"dropping-particle":"","family":"Cruaud","given":"C.","non-dropping-particle":"","parse-names":false,"suffix":""},{"dropping-particle":"","family":"d'Ovidio","given":"F.","non-dropping-particle":"","parse-names":false,"suffix":""},{"dropping-particle":"","family":"Engelen","given":"S.","non-dropping-particle":"","parse-names":false,"suffix":""},{"dropping-particle":"","family":"Ferrera","given":"I.","non-dropping-particle":"","parse-names":false,"suffix":""},{"dropping-particle":"","family":"Gasol","given":"J. M.","non-dropping-particle":"","parse-names":false,"suffix":""},{"dropping-particle":"","family":"Guidi","given":"L.","non-dropping-particle":"","parse-names":false,"suffix":""},{"dropping-particle":"","family":"Hildebrand","given":"F.","non-dropping-particle":"","parse-names":false,"suffix":""},{"dropping-particle":"","family":"Kokoszka","given":"F.","non-dropping-particle":"","parse-names":false,"suffix":""},{"dropping-particle":"","family":"Lepoivre","given":"C.","non-dropping-particle":"","parse-names":false,"suffix":""},{"dropping-particle":"","family":"Lima-Mendez","given":"G.","non-dropping-particle":"","parse-names":false,"suffix":""},{"dropping-particle":"","family":"Poulain","given":"J.","non-dropping-particle":"","parse-names":false,"suffix":""},{"dropping-particle":"","family":"Poulos","given":"B. T.","non-dropping-particle":"","parse-names":false,"suffix":""},{"dropping-particle":"","family":"Royo-Llonch","given":"M.","non-dropping-particle":"","parse-names":false,"suffix":""},{"dropping-particle":"","family":"Sarmento","given":"H.","non-dropping-particle":"","parse-names":false,"suffix":""},{"dropping-particle":"","family":"Vieira-Silva","given":"S.","non-dropping-particle":"","parse-names":false,"suffix":""},{"dropping-particle":"","family":"Dimier","given":"C.","non-dropping-particle":"","parse-names":false,"suffix":""},{"dropping-particle":"","family":"Picheral","given":"M.","non-dropping-particle":"","parse-names":false,"suffix":""},{"dropping-particle":"","family":"Searson","given":"S.","non-dropping-particle":"","parse-names":false,"suffix":""},{"dropping-particle":"","family":"Kandels-Lewis","given":"S.","non-dropping-particle":"","parse-names":false,"suffix":""},{"dropping-particle":"","family":"Bowler","given":"C.","non-dropping-particle":"","parse-names":false,"suffix":""},{"dropping-particle":"","family":"Vargas","given":"C.","non-dropping-particle":"de","parse-names":false,"suffix":""},{"dropping-particle":"","family":"Gorsky","given":"G.","non-dropping-particle":"","parse-names":false,"suffix":""},{"dropping-particle":"","family":"Grimsley","given":"N.","non-dropping-particle":"","parse-names":false,"suffix":""},{"dropping-particle":"","family":"Hingamp","given":"P.","non-dropping-particle":"","parse-names":false,"suffix":""},{"dropping-particle":"","family":"Iudicone","given":"D.","non-dropping-particle":"","parse-names":false,"suffix":""},{"dropping-particle":"","family":"Jaillon","given":"O.","non-dropping-particle":"","parse-names":false,"suffix":""},{"dropping-particle":"","family":"Not","given":"F.","non-dropping-particle":"","parse-names":false,"suffix":""},{"dropping-particle":"","family":"Ogata","given":"H.","non-dropping-particle":"","parse-names":false,"suffix":""},{"dropping-particle":"","family":"Pesant","given":"S.","non-dropping-particle":"","parse-names":false,"suffix":""},{"dropping-particle":"","family":"Speich","given":"S.","non-dropping-particle":"","parse-names":false,"suffix":""},{"dropping-particle":"","family":"Stemmann","given":"L.","non-dropping-particle":"","parse-names":false,"suffix":""},{"dropping-particle":"","family":"Sullivan","given":"M. B.","non-dropping-particle":"","parse-names":false,"suffix":""},{"dropping-particle":"","family":"Weissenbach","given":"J.","non-dropping-particle":"","parse-names":false,"suffix":""},{"dropping-particle":"","family":"Wincker","given":"P.","non-dropping-particle":"","parse-names":false,"suffix":""},{"dropping-particle":"","family":"Karsenti","given":"E.","non-dropping-particle":"","parse-names":false,"suffix":""},{"dropping-particle":"","family":"Raes","given":"J.","non-dropping-particle":"","parse-names":false,"suffix":""},{"dropping-particle":"","family":"Acinas","given":"S. G.","non-dropping-particle":"","parse-names":false,"suffix":""},{"dropping-particle":"","family":"Bork","given":"P.","non-dropping-particle":"","parse-names":false,"suffix":""},{"dropping-particle":"","family":"Boss","given":"E.","non-dropping-particle":"","parse-names":false,"suffix":""},{"dropping-particle":"","family":"Bowler","given":"C.","non-dropping-particle":"","parse-names":false,"suffix":""},{"dropping-particle":"","family":"Follows","given":"M.","non-dropping-particle":"","parse-names":false,"suffix":""},{"dropping-particle":"","family":"Karp-Boss","given":"L.","non-dropping-particle":"","parse-names":false,"suffix":""},{"dropping-particle":"","family":"Krzic","given":"U.","non-dropping-particle":"","parse-names":false,"suffix":""},{"dropping-particle":"","family":"Reynaud","given":"E. G.","non-dropping-particle":"","parse-names":false,"suffix":""},{"dropping-particle":"","family":"Sardet","given":"C.","non-dropping-particle":"","parse-names":false,"suffix":""},{"dropping-particle":"","family":"Sieracki","given":"M.","non-dropping-particle":"","parse-names":false,"suffix":""},{"dropping-particle":"","family":"Velayoudon","given":"D.","non-dropping-particle":"","parse-names":false,"suffix":""}],"container-title":"Science","id":"ITEM-1","issue":"6237","issued":{"date-parts":[["2015"]]},"page":"1261359-1261359","title":"Structure and function of the global ocean microbiome","type":"article-journal","volume":"348"},"uris":["http://www.mendeley.com/documents/?uuid=dd58474f-85fd-4d33-8afd-6b724c1f947a"]}],"mendeley":{"formattedCitation":"(85)","plainTextFormattedCitation":"(85)","previouslyFormattedCitation":"(84)"},"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(85)</w:t>
      </w:r>
      <w:r w:rsidRPr="00F23F20">
        <w:rPr>
          <w:rFonts w:ascii="Times New Roman" w:hAnsi="Times New Roman" w:cs="Times New Roman"/>
        </w:rPr>
        <w:fldChar w:fldCharType="end"/>
      </w:r>
      <w:r w:rsidRPr="00F23F20">
        <w:rPr>
          <w:rFonts w:ascii="Times New Roman" w:hAnsi="Times New Roman" w:cs="Times New Roman"/>
        </w:rPr>
        <w:t xml:space="preserve">.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{"citationItems":[{"id":"ITEM-1","itemData":{"DOI":"10.1038/sdata.2017.203","ISBN":"2052-4463 (Electronic) 2052-4463 (Linking)","ISSN":"20524463","PMID":"29337314","abstract":"The reconstruction of 2,631 draft metagenome-assembled genomes from the global oceans","author":[{"dropping-particle":"","family":"Tully","given":"Benjamin J.","non-dropping-particle":"","parse-names":false,"suffix":""},{"dropping-particle":"","family":"Graham","given":"Elaina D.","non-dropping-particle":"","parse-names":false,"suffix":""},{"dropping-particle":"","family":"Heidelberg","given":"John F.","non-dropping-particle":"","parse-names":false,"suffix":""}],"container-title":"Scientific Data","id":"ITEM-1","issued":{"date-parts":[["2018"]]},"page":"1-8","title":"The reconstruction of 2,631 draft metagenome-assembled genomes from the global oceans","type":"article-journal","volume":"5"},"uris":["http://www.mendeley.com/documents/?uuid=2a594b02-86bb-4243-85e4-75ed2e203301"]}],"mendeley":{"formattedCitation":"(50)","plainTextFormattedCitation":"(50)","previouslyFormattedCitation":"(49)"},"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(50)</w:t>
      </w:r>
      <w:r w:rsidRPr="00F23F20">
        <w:rPr>
          <w:rFonts w:ascii="Times New Roman" w:hAnsi="Times New Roman" w:cs="Times New Roman"/>
        </w:rPr>
        <w:fldChar w:fldCharType="end"/>
      </w:r>
      <w:r w:rsidRPr="00F23F20">
        <w:rPr>
          <w:rFonts w:ascii="Times New Roman" w:hAnsi="Times New Roman" w:cs="Times New Roman"/>
        </w:rPr>
        <w:t xml:space="preserve"> recently published 2,361 draft metagenome-assembled genomes (MAGs) which represent genomic content from seven oceanographic provinces, three different depths, and four filter size fractions. Relative abundance data used here was reported in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{"citationItems":[{"id":"ITEM-1","itemData":{"DOI":"10.1038/sdata.2017.203","ISBN":"2052-4463 (Electronic) 2052-4463 (Linking)","ISSN":"20524463","PMID":"29337314","abstract":"The reconstruction of 2,631 draft metagenome-assembled genomes from the global oceans","author":[{"dropping-particle":"","family":"Tully","given":"Benjamin J.","non-dropping-particle":"","parse-names":false,"suffix":""},{"dropping-particle":"","family":"Graham","given":"Elaina D.","non-dropping-particle":"","parse-names":false,"suffix":""},{"dropping-particle":"","family":"Heidelberg","given":"John F.","non-dropping-particle":"","parse-names":false,"suffix":""}],"container-title":"Scientific Data","id":"ITEM-1","issued":{"date-parts":[["2018"]]},"page":"1-8","title":"The reconstruction of 2,631 draft metagenome-assembled genomes from the global oceans","type":"article-journal","volume":"5"},"uris":["http://www.mendeley.com/documents/?uuid=2a594b02-86bb-4243-85e4-75ed2e203301"]}],"mendeley":{"formattedCitation":"(50)","plainTextFormattedCitation":"(50)","previouslyFormattedCitation":"(49)"},"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(50)</w:t>
      </w:r>
      <w:r w:rsidRPr="00F23F20">
        <w:rPr>
          <w:rFonts w:ascii="Times New Roman" w:hAnsi="Times New Roman" w:cs="Times New Roman"/>
        </w:rPr>
        <w:fldChar w:fldCharType="end"/>
      </w:r>
      <w:r w:rsidRPr="00F23F20">
        <w:rPr>
          <w:rFonts w:ascii="Times New Roman" w:hAnsi="Times New Roman" w:cs="Times New Roman"/>
        </w:rPr>
        <w:t xml:space="preserve"> and was determined by the proportion of sequence reads mapping to assembled MAGs. For simplicity, we limited our analysis to only MAGs identified in the bacterial size fraction (&lt;3</w:t>
      </w:r>
      <w:r w:rsidRPr="00F23F20">
        <w:rPr>
          <w:rFonts w:ascii="Times New Roman" w:hAnsi="Times New Roman" w:cs="Times New Roman"/>
          <w:i/>
        </w:rPr>
        <w:t>μ</w:t>
      </w:r>
      <w:r w:rsidRPr="00F23F20">
        <w:rPr>
          <w:rFonts w:ascii="Times New Roman" w:hAnsi="Times New Roman" w:cs="Times New Roman"/>
        </w:rPr>
        <w:t xml:space="preserve">m), which corresponds to free-living microbes. The nitrogen cycle was simplified to eight pathways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{"citationItems":[{"id":"ITEM-1","itemData":{"DOI":"10.3389/fmars.2019.00739","ISSN":"22967745","abstract":"Nitrogen (N) is a key element for life in the oceans. It controls primary productivity in many parts of the global ocean, consequently playing a crucial role in the uptake of atmospheric carbon dioxide. The marine N cycle is driven by multiple biogeochemical transformations mediated by microorganisms, including processes contributing to the marine fixed N pool (N2 fixation) and retained N pool (nitrification, assimilation, and dissimilatory nitrate reduction to ammonia), as well as processes contributing to the fixed N loss (denitrification, anaerobic ammonium oxidation and nitrite-dependent anaerobic methane oxidation). The N cycle maintains the functioning of marine ecosystems and will be a crucial component in how the ocean responds to global environmental change. In this review, we summarize the current understanding of the marine microbial N cycle, the ecology and distribution of the main functional players involved, and the main impacts of anthropogenic activities on the marine N cycle.","author":[{"dropping-particle":"","family":"Pajares","given":"Silvia","non-dropping-particle":"","parse-names":false,"suffix":""},{"dropping-particle":"","family":"Ramos","given":"Ramiro","non-dropping-particle":"","parse-names":false,"suffix":""}],"container-title":"Frontiers in Marine Science","id":"ITEM-1","issue":"November","issued":{"date-parts":[["2019"]]},"title":"Processes and Microorganisms Involved in the Marine Nitrogen Cycle: Knowledge and Gaps","type":"article-journal","volume":"6"},"uris":["http://www.mendeley.com/documents/?uuid=44c3760c-3d30-4234-9f20-a998fc7e7ecc"]}],"mendeley":{"formattedCitation":"(101)","plainTextFormattedCitation":"(101)","previouslyFormattedCitation":"(100)"},"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(101)</w:t>
      </w:r>
      <w:r w:rsidRPr="00F23F20">
        <w:rPr>
          <w:rFonts w:ascii="Times New Roman" w:hAnsi="Times New Roman" w:cs="Times New Roman"/>
        </w:rPr>
        <w:fldChar w:fldCharType="end"/>
      </w:r>
      <w:r w:rsidRPr="00F23F20">
        <w:rPr>
          <w:rFonts w:ascii="Times New Roman" w:hAnsi="Times New Roman" w:cs="Times New Roman"/>
        </w:rPr>
        <w:t xml:space="preserve"> and included N</w:t>
      </w:r>
      <w:r w:rsidRPr="00F23F20">
        <w:rPr>
          <w:rFonts w:ascii="Times New Roman" w:hAnsi="Times New Roman" w:cs="Times New Roman"/>
          <w:vertAlign w:val="subscript"/>
        </w:rPr>
        <w:t>2</w:t>
      </w:r>
      <w:r w:rsidRPr="00F23F20">
        <w:rPr>
          <w:rFonts w:ascii="Times New Roman" w:hAnsi="Times New Roman" w:cs="Times New Roman"/>
        </w:rPr>
        <w:t xml:space="preserve"> fixation, nitrification, NO</w:t>
      </w:r>
      <w:r w:rsidRPr="00F23F20">
        <w:rPr>
          <w:rFonts w:ascii="Times New Roman" w:hAnsi="Times New Roman" w:cs="Times New Roman"/>
          <w:vertAlign w:val="subscript"/>
        </w:rPr>
        <w:t>3</w:t>
      </w:r>
      <w:r w:rsidRPr="00F23F20">
        <w:rPr>
          <w:rFonts w:ascii="Times New Roman" w:hAnsi="Times New Roman" w:cs="Times New Roman"/>
          <w:vertAlign w:val="superscript"/>
        </w:rPr>
        <w:t>-</w:t>
      </w:r>
      <w:r w:rsidRPr="00F23F20">
        <w:rPr>
          <w:rFonts w:ascii="Times New Roman" w:hAnsi="Times New Roman" w:cs="Times New Roman"/>
        </w:rPr>
        <w:t xml:space="preserve"> reduction, dissimilatory NO</w:t>
      </w:r>
      <w:r w:rsidRPr="00F23F20">
        <w:rPr>
          <w:rFonts w:ascii="Times New Roman" w:hAnsi="Times New Roman" w:cs="Times New Roman"/>
          <w:vertAlign w:val="subscript"/>
        </w:rPr>
        <w:t>3</w:t>
      </w:r>
      <w:r w:rsidRPr="00F23F20">
        <w:rPr>
          <w:rFonts w:ascii="Times New Roman" w:hAnsi="Times New Roman" w:cs="Times New Roman"/>
          <w:vertAlign w:val="superscript"/>
        </w:rPr>
        <w:t>-</w:t>
      </w:r>
      <w:r w:rsidRPr="00F23F20">
        <w:rPr>
          <w:rFonts w:ascii="Times New Roman" w:hAnsi="Times New Roman" w:cs="Times New Roman"/>
        </w:rPr>
        <w:t xml:space="preserve"> reduction, assimilatory NO</w:t>
      </w:r>
      <w:r w:rsidRPr="00F23F20">
        <w:rPr>
          <w:rFonts w:ascii="Times New Roman" w:hAnsi="Times New Roman" w:cs="Times New Roman"/>
          <w:vertAlign w:val="subscript"/>
        </w:rPr>
        <w:t>3</w:t>
      </w:r>
      <w:r w:rsidRPr="00F23F20">
        <w:rPr>
          <w:rFonts w:ascii="Times New Roman" w:hAnsi="Times New Roman" w:cs="Times New Roman"/>
          <w:vertAlign w:val="superscript"/>
        </w:rPr>
        <w:t>-</w:t>
      </w:r>
      <w:r w:rsidRPr="00F23F20">
        <w:rPr>
          <w:rFonts w:ascii="Times New Roman" w:hAnsi="Times New Roman" w:cs="Times New Roman"/>
        </w:rPr>
        <w:t>/NO</w:t>
      </w:r>
      <w:r w:rsidRPr="00F23F20">
        <w:rPr>
          <w:rFonts w:ascii="Times New Roman" w:hAnsi="Times New Roman" w:cs="Times New Roman"/>
          <w:vertAlign w:val="subscript"/>
        </w:rPr>
        <w:t>2</w:t>
      </w:r>
      <w:r w:rsidRPr="00F23F20">
        <w:rPr>
          <w:rFonts w:ascii="Times New Roman" w:hAnsi="Times New Roman" w:cs="Times New Roman"/>
          <w:vertAlign w:val="superscript"/>
        </w:rPr>
        <w:t>-</w:t>
      </w:r>
      <w:r w:rsidRPr="00F23F20">
        <w:rPr>
          <w:rFonts w:ascii="Times New Roman" w:hAnsi="Times New Roman" w:cs="Times New Roman"/>
        </w:rPr>
        <w:t xml:space="preserve"> reduction, NH</w:t>
      </w:r>
      <w:r w:rsidRPr="00F23F20">
        <w:rPr>
          <w:rFonts w:ascii="Times New Roman" w:hAnsi="Times New Roman" w:cs="Times New Roman"/>
          <w:vertAlign w:val="subscript"/>
        </w:rPr>
        <w:t>4</w:t>
      </w:r>
      <w:r w:rsidRPr="00F23F20">
        <w:rPr>
          <w:rFonts w:ascii="Times New Roman" w:hAnsi="Times New Roman" w:cs="Times New Roman"/>
          <w:vertAlign w:val="superscript"/>
        </w:rPr>
        <w:t>+</w:t>
      </w:r>
      <w:r w:rsidRPr="00F23F20">
        <w:rPr>
          <w:rFonts w:ascii="Times New Roman" w:hAnsi="Times New Roman" w:cs="Times New Roman"/>
        </w:rPr>
        <w:t xml:space="preserve"> assimilation, N remineralization, and denitrification. A general summary of the marker genes (downloaded from Swiss-</w:t>
      </w:r>
      <w:proofErr w:type="spellStart"/>
      <w:r w:rsidRPr="00F23F20">
        <w:rPr>
          <w:rFonts w:ascii="Times New Roman" w:hAnsi="Times New Roman" w:cs="Times New Roman"/>
        </w:rPr>
        <w:t>Prot</w:t>
      </w:r>
      <w:proofErr w:type="spellEnd"/>
      <w:r w:rsidRPr="00F23F20">
        <w:rPr>
          <w:rFonts w:ascii="Times New Roman" w:hAnsi="Times New Roman" w:cs="Times New Roman"/>
        </w:rPr>
        <w:t xml:space="preserve">; see Methods) used for quantifying nitrogen cycle pathways in MAGs is summarized in Table 1. </w:t>
      </w:r>
    </w:p>
    <w:p w14:paraId="034DB5C2" w14:textId="74F7F4DD"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Overall, the functional redundancy for individual traits was consistent with our conceptual understanding of primary nitrogen-transforming pathways in the ocean (Figure 3.6). A clear example was the low functional redundancy in the nitrification pathway. This observation is expected as primary oceanic nitrifying phylum is </w:t>
      </w:r>
      <w:proofErr w:type="spellStart"/>
      <w:r w:rsidRPr="00F23F20">
        <w:rPr>
          <w:rFonts w:ascii="Times New Roman" w:hAnsi="Times New Roman" w:cs="Times New Roman"/>
          <w:i/>
        </w:rPr>
        <w:t>Crenarchaeota</w:t>
      </w:r>
      <w:proofErr w:type="spellEnd"/>
      <w:r w:rsidRPr="00F23F20">
        <w:rPr>
          <w:rFonts w:ascii="Times New Roman" w:hAnsi="Times New Roman" w:cs="Times New Roman"/>
        </w:rPr>
        <w:t xml:space="preserve">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{"citationItems":[{"id":"ITEM-1","itemData":{"DOI":"10.1073/pnas.0600756103","ISSN":"00278424","abstract":"Marine Crenarchaeota are the most abundant single group of prokaryotes in the ocean, but their physiology and role in marine biogeochemical cycles are unknown. Recently, a member of this clade was isolated from a sea aquarium and shown to be capable of nitrification, tentatively suggesting that Crenarchaeota may play a role in the oceanic nitrogen cycle. We enriched a crenarchaeote from North Sea water and showed that its abundance, and not that of bacteria, correlates with ammonium oxidation to nitrite. A time series study in the North Sea revealed that the abundance of the gene encoding for the archaeal ammonia monooxygenase alfa subunit (amoA) is correlated with a decline in ammonium concentrations and with the abundance of Crenarchaeota. Remarkably, the archaeal amoA abundance was 1-2 orders of magnitude higher than those of bacterial nitrifiers, which are commonly thought to mediate the oxidation of ammonium to nitrite in marine environments. Analysis of Atlantic waters of the upper 1,000 m, where most of the ammonium regeneration and oxidation takes place, showed that crenarchaeotal amoA copy numbers are also 1-3 orders of magnitude higher than those of bacterial amoA. Our data thus suggest a major role for Archaea in oceanic nitrification. © 2006 by The National Academy of Sciences of the USA.","author":[{"dropping-particle":"","family":"Wuchter","given":"Cornelia","non-dropping-particle":"","parse-names":false,"suffix":""},{"dropping-particle":"","family":"Abbas","given":"Ben","non-dropping-particle":"","parse-names":false,"suffix":""},{"dropping-particle":"","family":"Coolen","given":"Marco J.L.","non-dropping-particle":"","parse-names":false,"suffix":""},{"dropping-particle":"","family":"Herfort","given":"Lydie","non-dropping-particle":"","parse-names":false,"suffix":""},{"dropping-particle":"","family":"Bleijswijk","given":"Judith","non-dropping-particle":"Van","parse-names":false,"suffix":""},{"dropping-particle":"","family":"Timmers","given":"Peer","non-dropping-particle":"","parse-names":false,"suffix":""},{"dropping-particle":"","family":"Strous","given":"Marc","non-dropping-particle":"","parse-names":false,"suffix":""},{"dropping-particle":"","family":"Teira","given":"Eva","non-dropping-particle":"","parse-names":false,"suffix":""},{"dropping-particle":"","family":"Herndl","given":"Gerhard J.","non-dropping-particle":"","parse-names":false,"suffix":""},{"dropping-particle":"","family":"Middelburg","given":"Jack J.","non-dropping-particle":"","parse-names":false,"suffix":""},{"dropping-particle":"","family":"Schouten","given":"Stefan","non-dropping-particle":"","parse-names":false,"suffix":""},{"dropping-particle":"","family":"Damsté","given":"Jaap S.Sinninghe","non-dropping-particle":"","parse-names":false,"suffix":""}],"container-title":"Proceedings of the National Academy of Sciences of the United States of America","id":"ITEM-1","issue":"33","issued":{"date-parts":[["2006"]]},"page":"12317-12322","title":"Archaeal nitrification in the ocean","type":"article-journal","volume":"103"},"uris":["http://www.mendeley.com/documents/?uuid=dd87af20-55ae-4999-a280-ac4955925371"]}],"mendeley":{"formattedCitation":"(106)","plainTextFormattedCitation":"(106)","previouslyFormattedCitation":"(105)"},"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(106)</w:t>
      </w:r>
      <w:r w:rsidRPr="00F23F20">
        <w:rPr>
          <w:rFonts w:ascii="Times New Roman" w:hAnsi="Times New Roman" w:cs="Times New Roman"/>
        </w:rPr>
        <w:fldChar w:fldCharType="end"/>
      </w:r>
      <w:r w:rsidRPr="00F23F20">
        <w:rPr>
          <w:rFonts w:ascii="Times New Roman" w:hAnsi="Times New Roman" w:cs="Times New Roman"/>
        </w:rPr>
        <w:t>. Similarly, the N</w:t>
      </w:r>
      <w:r w:rsidRPr="00F23F20">
        <w:rPr>
          <w:rFonts w:ascii="Times New Roman" w:hAnsi="Times New Roman" w:cs="Times New Roman"/>
          <w:vertAlign w:val="subscript"/>
        </w:rPr>
        <w:t>2</w:t>
      </w:r>
      <w:r w:rsidRPr="00F23F20">
        <w:rPr>
          <w:rFonts w:ascii="Times New Roman" w:hAnsi="Times New Roman" w:cs="Times New Roman"/>
        </w:rPr>
        <w:t xml:space="preserve"> fixation pathway, which is predominantly </w:t>
      </w:r>
      <w:r w:rsidRPr="00F23F20">
        <w:rPr>
          <w:rFonts w:ascii="Times New Roman" w:hAnsi="Times New Roman" w:cs="Times New Roman"/>
        </w:rPr>
        <w:lastRenderedPageBreak/>
        <w:t xml:space="preserve">facilitated by a small group of </w:t>
      </w:r>
      <w:r w:rsidRPr="00F23F20">
        <w:rPr>
          <w:rFonts w:ascii="Times New Roman" w:hAnsi="Times New Roman" w:cs="Times New Roman"/>
          <w:i/>
        </w:rPr>
        <w:t>Cyanobacteria</w:t>
      </w:r>
      <w:r w:rsidRPr="00F23F20">
        <w:rPr>
          <w:rFonts w:ascii="Times New Roman" w:hAnsi="Times New Roman" w:cs="Times New Roman"/>
        </w:rPr>
        <w:t xml:space="preserve">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{"citationItems":[{"id":"ITEM-1","itemData":{"DOI":"10.3389/fmars.2019.00739","ISSN":"22967745","abstract":"Nitrogen (N) is a key element for life in the oceans. It controls primary productivity in many parts of the global ocean, consequently playing a crucial role in the uptake of atmospheric carbon dioxide. The marine N cycle is driven by multiple biogeochemical transformations mediated by microorganisms, including processes contributing to the marine fixed N pool (N2 fixation) and retained N pool (nitrification, assimilation, and dissimilatory nitrate reduction to ammonia), as well as processes contributing to the fixed N loss (denitrification, anaerobic ammonium oxidation and nitrite-dependent anaerobic methane oxidation). The N cycle maintains the functioning of marine ecosystems and will be a crucial component in how the ocean responds to global environmental change. In this review, we summarize the current understanding of the marine microbial N cycle, the ecology and distribution of the main functional players involved, and the main impacts of anthropogenic activities on the marine N cycle.","author":[{"dropping-particle":"","family":"Pajares","given":"Silvia","non-dropping-particle":"","parse-names":false,"suffix":""},{"dropping-particle":"","family":"Ramos","given":"Ramiro","non-dropping-particle":"","parse-names":false,"suffix":""}],"container-title":"Frontiers in Marine Science","id":"ITEM-1","issue":"November","issued":{"date-parts":[["2019"]]},"title":"Processes and Microorganisms Involved in the Marine Nitrogen Cycle: Knowledge and Gaps","type":"article-journal","volume":"6"},"uris":["http://www.mendeley.com/documents/?uuid=44c3760c-3d30-4234-9f20-a998fc7e7ecc"]}],"mendeley":{"formattedCitation":"(101)","plainTextFormattedCitation":"(101)","previouslyFormattedCitation":"(100)"},"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(101)</w:t>
      </w:r>
      <w:r w:rsidRPr="00F23F20">
        <w:rPr>
          <w:rFonts w:ascii="Times New Roman" w:hAnsi="Times New Roman" w:cs="Times New Roman"/>
        </w:rPr>
        <w:fldChar w:fldCharType="end"/>
      </w:r>
      <w:r w:rsidRPr="00F23F20">
        <w:rPr>
          <w:rFonts w:ascii="Times New Roman" w:hAnsi="Times New Roman" w:cs="Times New Roman"/>
        </w:rPr>
        <w:t>, exhibits low functional redundancy. Conversely, the uptake of inorganic N via NH</w:t>
      </w:r>
      <w:r w:rsidRPr="00F23F20">
        <w:rPr>
          <w:rFonts w:ascii="Times New Roman" w:hAnsi="Times New Roman" w:cs="Times New Roman"/>
          <w:vertAlign w:val="subscript"/>
        </w:rPr>
        <w:t>4</w:t>
      </w:r>
      <w:r w:rsidRPr="00F23F20">
        <w:rPr>
          <w:rFonts w:ascii="Times New Roman" w:hAnsi="Times New Roman" w:cs="Times New Roman"/>
          <w:vertAlign w:val="superscript"/>
        </w:rPr>
        <w:t>+</w:t>
      </w:r>
      <w:r w:rsidRPr="00F23F20">
        <w:rPr>
          <w:rFonts w:ascii="Times New Roman" w:hAnsi="Times New Roman" w:cs="Times New Roman"/>
        </w:rPr>
        <w:t xml:space="preserve"> and NO</w:t>
      </w:r>
      <w:r w:rsidRPr="00F23F20">
        <w:rPr>
          <w:rFonts w:ascii="Times New Roman" w:hAnsi="Times New Roman" w:cs="Times New Roman"/>
          <w:vertAlign w:val="subscript"/>
        </w:rPr>
        <w:t>3</w:t>
      </w:r>
      <w:r w:rsidRPr="00F23F20">
        <w:rPr>
          <w:rFonts w:ascii="Times New Roman" w:hAnsi="Times New Roman" w:cs="Times New Roman"/>
          <w:vertAlign w:val="superscript"/>
        </w:rPr>
        <w:t>-</w:t>
      </w:r>
      <w:r w:rsidRPr="00F23F20">
        <w:rPr>
          <w:rFonts w:ascii="Times New Roman" w:hAnsi="Times New Roman" w:cs="Times New Roman"/>
        </w:rPr>
        <w:t>/NO</w:t>
      </w:r>
      <w:r w:rsidRPr="00F23F20">
        <w:rPr>
          <w:rFonts w:ascii="Times New Roman" w:hAnsi="Times New Roman" w:cs="Times New Roman"/>
          <w:vertAlign w:val="subscript"/>
        </w:rPr>
        <w:t>2</w:t>
      </w:r>
      <w:r w:rsidRPr="00F23F20">
        <w:rPr>
          <w:rFonts w:ascii="Times New Roman" w:hAnsi="Times New Roman" w:cs="Times New Roman"/>
          <w:vertAlign w:val="superscript"/>
        </w:rPr>
        <w:t>-</w:t>
      </w:r>
      <w:r w:rsidRPr="00F23F20">
        <w:rPr>
          <w:rFonts w:ascii="Times New Roman" w:hAnsi="Times New Roman" w:cs="Times New Roman"/>
        </w:rPr>
        <w:t xml:space="preserve"> assimilation are broadly expressed traits and should exhibit higher levels of functional redundancy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{"citationItems":[{"id":"ITEM-1","itemData":{"DOI":"10.3389/fmars.2019.00739","ISSN":"22967745","abstract":"Nitrogen (N) is a key element for life in the oceans. It controls primary productivity in many parts of the global ocean, consequently playing a crucial role in the uptake of atmospheric carbon dioxide. The marine N cycle is driven by multiple biogeochemical transformations mediated by microorganisms, including processes contributing to the marine fixed N pool (N2 fixation) and retained N pool (nitrification, assimilation, and dissimilatory nitrate reduction to ammonia), as well as processes contributing to the fixed N loss (denitrification, anaerobic ammonium oxidation and nitrite-dependent anaerobic methane oxidation). The N cycle maintains the functioning of marine ecosystems and will be a crucial component in how the ocean responds to global environmental change. In this review, we summarize the current understanding of the marine microbial N cycle, the ecology and distribution of the main functional players involved, and the main impacts of anthropogenic activities on the marine N cycle.","author":[{"dropping-particle":"","family":"Pajares","given":"Silvia","non-dropping-particle":"","parse-names":false,"suffix":""},{"dropping-particle":"","family":"Ramos","given":"Ramiro","non-dropping-particle":"","parse-names":false,"suffix":""}],"container-title":"Frontiers in Marine Science","id":"ITEM-1","issue":"November","issued":{"date-parts":[["2019"]]},"title":"Processes and Microorganisms Involved in the Marine Nitrogen Cycle: Knowledge and Gaps","type":"article-journal","volume":"6"},"uris":["http://www.mendeley.com/documents/?uuid=44c3760c-3d30-4234-9f20-a998fc7e7ecc"]}],"mendeley":{"formattedCitation":"(101)","plainTextFormattedCitation":"(101)","previouslyFormattedCitation":"(100)"},"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(101)</w:t>
      </w:r>
      <w:r w:rsidRPr="00F23F20">
        <w:rPr>
          <w:rFonts w:ascii="Times New Roman" w:hAnsi="Times New Roman" w:cs="Times New Roman"/>
        </w:rPr>
        <w:fldChar w:fldCharType="end"/>
      </w:r>
      <w:r w:rsidRPr="00F23F20">
        <w:rPr>
          <w:rFonts w:ascii="Times New Roman" w:hAnsi="Times New Roman" w:cs="Times New Roman"/>
        </w:rPr>
        <w:t>. Lastly, the low functional redundancy in dissimilatory NO</w:t>
      </w:r>
      <w:r w:rsidRPr="00F23F20">
        <w:rPr>
          <w:rFonts w:ascii="Times New Roman" w:hAnsi="Times New Roman" w:cs="Times New Roman"/>
          <w:vertAlign w:val="subscript"/>
        </w:rPr>
        <w:t>3</w:t>
      </w:r>
      <w:r w:rsidRPr="00F23F20">
        <w:rPr>
          <w:rFonts w:ascii="Times New Roman" w:hAnsi="Times New Roman" w:cs="Times New Roman"/>
        </w:rPr>
        <w:t xml:space="preserve"> reduction and NO</w:t>
      </w:r>
      <w:r w:rsidRPr="00F23F20">
        <w:rPr>
          <w:rFonts w:ascii="Times New Roman" w:hAnsi="Times New Roman" w:cs="Times New Roman"/>
          <w:vertAlign w:val="subscript"/>
        </w:rPr>
        <w:t>3</w:t>
      </w:r>
      <w:r w:rsidRPr="00F23F20">
        <w:rPr>
          <w:rFonts w:ascii="Times New Roman" w:hAnsi="Times New Roman" w:cs="Times New Roman"/>
        </w:rPr>
        <w:t xml:space="preserve"> reduction were not surprising considering these pathways occur in anaerobic and low-oxygen environments, respectively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{"citationItems":[{"id":"ITEM-1","itemData":{"DOI":"10.3389/fmars.2019.00739","ISSN":"22967745","abstract":"Nitrogen (N) is a key element for life in the oceans. It controls primary productivity in many parts of the global ocean, consequently playing a crucial role in the uptake of atmospheric carbon dioxide. The marine N cycle is driven by multiple biogeochemical transformations mediated by microorganisms, including processes contributing to the marine fixed N pool (N2 fixation) and retained N pool (nitrification, assimilation, and dissimilatory nitrate reduction to ammonia), as well as processes contributing to the fixed N loss (denitrification, anaerobic ammonium oxidation and nitrite-dependent anaerobic methane oxidation). The N cycle maintains the functioning of marine ecosystems and will be a crucial component in how the ocean responds to global environmental change. In this review, we summarize the current understanding of the marine microbial N cycle, the ecology and distribution of the main functional players involved, and the main impacts of anthropogenic activities on the marine N cycle.","author":[{"dropping-particle":"","family":"Pajares","given":"Silvia","non-dropping-particle":"","parse-names":false,"suffix":""},{"dropping-particle":"","family":"Ramos","given":"Ramiro","non-dropping-particle":"","parse-names":false,"suffix":""}],"container-title":"Frontiers in Marine Science","id":"ITEM-1","issue":"November","issued":{"date-parts":[["2019"]]},"title":"Processes and Microorganisms Involved in the Marine Nitrogen Cycle: Knowledge and Gaps","type":"article-journal","volume":"6"},"uris":["http://www.mendeley.com/documents/?uuid=44c3760c-3d30-4234-9f20-a998fc7e7ecc"]}],"mendeley":{"formattedCitation":"(101)","plainTextFormattedCitation":"(101)","previouslyFormattedCitation":"(100)"},"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(101)</w:t>
      </w:r>
      <w:r w:rsidRPr="00F23F20">
        <w:rPr>
          <w:rFonts w:ascii="Times New Roman" w:hAnsi="Times New Roman" w:cs="Times New Roman"/>
        </w:rPr>
        <w:fldChar w:fldCharType="end"/>
      </w:r>
      <w:r w:rsidRPr="00F23F20">
        <w:rPr>
          <w:rFonts w:ascii="Times New Roman" w:hAnsi="Times New Roman" w:cs="Times New Roman"/>
        </w:rPr>
        <w:t xml:space="preserve">. </w:t>
      </w:r>
    </w:p>
    <w:p w14:paraId="574280CF" w14:textId="3A20CF12"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Some variance existed across oceanographic provinces and depth for intra-pathway functional redundancy (</w:t>
      </w:r>
      <w:r w:rsidRPr="00F23F20">
        <w:rPr>
          <w:rFonts w:ascii="Times New Roman" w:hAnsi="Times New Roman" w:cs="Times New Roman"/>
          <w:i/>
        </w:rPr>
        <w:t>α</w:t>
      </w:r>
      <w:r w:rsidRPr="00F23F20">
        <w:rPr>
          <w:rFonts w:ascii="Times New Roman" w:hAnsi="Times New Roman" w:cs="Times New Roman"/>
        </w:rPr>
        <w:t>=0.5). However, inter-pathway variance in functional redundancy was generally larger compared to intra-pathway variance in functional redundancy (Figure 3.6). This suggests that the marine nitrogen cycle marker genes considered here are consistently distributed within communities for MAGs retrieved in Earth’s ocean. This was consistent with the lack of relationship between the metagenome companion metadata (e.g., O</w:t>
      </w:r>
      <w:r w:rsidRPr="00F23F20">
        <w:rPr>
          <w:rFonts w:ascii="Times New Roman" w:hAnsi="Times New Roman" w:cs="Times New Roman"/>
          <w:vertAlign w:val="subscript"/>
        </w:rPr>
        <w:t>2</w:t>
      </w:r>
      <w:r w:rsidRPr="00F23F20">
        <w:rPr>
          <w:rFonts w:ascii="Times New Roman" w:hAnsi="Times New Roman" w:cs="Times New Roman"/>
        </w:rPr>
        <w:t>, inorganic N, PO</w:t>
      </w:r>
      <w:r w:rsidRPr="00F23F20">
        <w:rPr>
          <w:rFonts w:ascii="Times New Roman" w:hAnsi="Times New Roman" w:cs="Times New Roman"/>
          <w:vertAlign w:val="subscript"/>
        </w:rPr>
        <w:t>4</w:t>
      </w:r>
      <w:r w:rsidRPr="00F23F20">
        <w:rPr>
          <w:rFonts w:ascii="Times New Roman" w:hAnsi="Times New Roman" w:cs="Times New Roman"/>
          <w:vertAlign w:val="superscript"/>
        </w:rPr>
        <w:t>3-</w:t>
      </w:r>
      <w:r w:rsidRPr="00F23F20">
        <w:rPr>
          <w:rFonts w:ascii="Times New Roman" w:hAnsi="Times New Roman" w:cs="Times New Roman"/>
        </w:rPr>
        <w:t xml:space="preserve">, latitude, longitude, etc.) and functional redundancy. This is not particularly surprising as saline water biomes exhibit the lowest alpha-diversity (not to be confused with the </w:t>
      </w:r>
      <w:r w:rsidRPr="00F23F20">
        <w:rPr>
          <w:rFonts w:ascii="Times New Roman" w:hAnsi="Times New Roman" w:cs="Times New Roman"/>
          <w:i/>
        </w:rPr>
        <w:t>α</w:t>
      </w:r>
      <w:r w:rsidRPr="00F23F20">
        <w:rPr>
          <w:rFonts w:ascii="Times New Roman" w:hAnsi="Times New Roman" w:cs="Times New Roman"/>
        </w:rPr>
        <w:t xml:space="preserve"> parameter in equation 3.5)   and largely constrained beta-diversity among free-living microbiomes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{"citationItems":[{"id":"ITEM-1","itemData":{"DOI":"10.1038/nature24621","ISBN":"1476-4687 (Electronic) 0028-0836 (Linking)","ISSN":"14764687","PMID":"19201692","abstract":"AIMS: We have previously suggested that acute ethanol consumption by normal subjects decreases the availability of circulating tryptophan (Trp) to the brain by activating liver Trp pyrrolase, the first and rate-limiting enzyme of the (major) kynurenine pathway of Trp degradation. The aim of the present study was to examine this hypothesis further by measuring plasma levels of kynurenine metabolites following alcohol consumption. METHODS: After an overnight fast and a light breakfast, each of 10 healthy subjects received one of five drinks (placebo and doses of ethanol of 0.2, 0.4, 0.6 and 0.8 g/kg body weight in tonic water) on five different occasions. Blood samples were withdrawn 2 h later and plasma was analysed for concentrations Trp, competing amino acids (CAA) and kynurenine metabolites. RESULTS: Along with the depletion of plasma Trp and the decrease in its availability to the brain, as expressed by the ratio of [Trp]/[CAA], plasma kynurenine was elevated by doses of ethanol of 0.2-0.8 g/kg body weight. The ratio% of [kynurenine]/[Trp], an index of the expression of Trp pyrrolase activity, was also increased by all doses of ethanol. CONCLUSIONS: We conclude that activation of liver Trp pyrrolase mediates the depletion of plasma Trp and the decrease in its availability to the brain induced by acute ethanol consumption.","author":[{"dropping-particle":"","family":"Thompson","given":"Luke R.","non-dropping-particle":"","parse-names":false,"suffix":""},{"dropping-particle":"","family":"Sanders","given":"Jon G.","non-dropping-particle":"","parse-names":false,"suffix":""},{"dropping-particle":"","family":"McDonald","given":"Daniel","non-dropping-particle":"","parse-names":false,"suffix":""},{"dropping-particle":"","family":"Amir","given":"Amnon","non-dropping-particle":"","parse-names":false,"suffix":""},{"dropping-particle":"","family":"Ladau","given":"Joshua","non-dropping-particle":"","parse-names":false,"suffix":""},{"dropping-particle":"","family":"Locey","given":"Kenneth J.","non-dropping-particle":"","parse-names":false,"suffix":""},{"dropping-particle":"","family":"Prill","given":"Robert J.","non-dropping-particle":"","parse-names":false,"suffix":""},{"dropping-particle":"","family":"Tripathi","given":"Anupriya","non-dropping-particle":"","parse-names":false,"suffix":""},{"dropping-particle":"","family":"Gibbons","given":"Sean M.","non-dropping-particle":"","parse-names":false,"suffix":""},{"dropping-particle":"","family":"Ackermann","given":"Gail","non-dropping-particle":"","parse-names":false,"suffix":""},{"dropping-particle":"","family":"Navas-Molina","given":"Jose A.","non-dropping-particle":"","parse-names":false,"suffix":""},{"dropping-particle":"","family":"Janssen","given":"Stefan","non-dropping-particle":"","parse-names":false,"suffix":""},{"dropping-particle":"","family":"Kopylova","given":"Evguenia","non-dropping-particle":"","parse-names":false,"suffix":""},{"dropping-particle":"","family":"Vázquez-Baeza","given":"Yoshiki","non-dropping-particle":"","parse-names":false,"suffix":""},{"dropping-particle":"","family":"González","given":"Antonio","non-dropping-particle":"","parse-names":false,"suffix":""},{"dropping-particle":"","family":"Morton","given":"James T.","non-dropping-particle":"","parse-names":false,"suffix":""},{"dropping-particle":"","family":"Mirarab","given":"Siavash","non-dropping-particle":"","parse-names":false,"suffix":""},{"dropping-particle":"","family":"Xu","given":"Zhenjiang Zech","non-dropping-particle":"","parse-names":false,"suffix":""},{"dropping-particle":"","family":"Jiang","given":"Lingjing","non-dropping-particle":"","parse-names":false,"suffix":""},{"dropping-particle":"","family":"Haroon","given":"Mohamed F.","non-dropping-particle":"","parse-names":false,"suffix":""},{"dropping-particle":"","family":"Kanbar","given":"Jad","non-dropping-particle":"","parse-names":false,"suffix":""},{"dropping-particle":"","family":"Zhu","given":"Qiyun","non-dropping-particle":"","parse-names":false,"suffix":""},{"dropping-particle":"","family":"Song","given":"Se Jin","non-dropping-particle":"","parse-names":false,"suffix":""},{"dropping-particle":"","family":"Kosciolek","given":"Tomasz","non-dropping-particle":"","parse-names":false,"suffix":""},{"dropping-particle":"","family":"Bokulich","given":"Nicholas A.","non-dropping-particle":"","parse-names":false,"suffix":""},{"dropping-particle":"","family":"Lefler","given":"Joshua","non-dropping-particle":"","parse-names":false,"suffix":""},{"dropping-particle":"","family":"Brislawn","given":"Colin J.","non-dropping-particle":"","parse-names":false,"suffix":""},{"dropping-particle":"","family":"Humphrey","given":"Gregory","non-dropping-particle":"","parse-names":false,"suffix":""},{"dropping-particle":"","family":"Owens","given":"Sarah M.","non-dropping-particle":"","parse-names":false,"suffix":""},{"dropping-particle":"","family":"Hampton-Marcell","given":"Jarrad","non-dropping-particle":"","parse-names":false,"suffix":""},{"dropping-particle":"","family":"Berg-Lyons","given":"Donna","non-dropping-particle":"","parse-names":false,"suffix":""},{"dropping-particle":"","family":"McKenzie","given":"Valerie","non-dropping-particle":"","parse-names":false,"suffix":""},{"dropping-particle":"","family":"Fierer","given":"Noah","non-dropping-particle":"","parse-names":false,"suffix":""},{"dropping-particle":"","family":"Fuhrman","given":"Jed A.","non-dropping-particle":"","parse-names":false,"suffix":""},{"dropping-particle":"","family":"Clauset","given":"Aaron","non-dropping-particle":"","parse-names":false,"suffix":""},{"dropping-particle":"","family":"Stevens","given":"Rick L.","non-dropping-particle":"","parse-names":false,"suffix":""},{"dropping-particle":"","family":"Shade","given":"Ashley","non-dropping-particle":"","parse-names":false,"suffix":""},{"dropping-particle":"","family":"Pollard","given":"Katherine S.","non-dropping-particle":"","parse-names":false,"suffix":""},{"dropping-particle":"","family":"Goodwin","given":"Kelly D.","non-dropping-particle":"","parse-names":false,"suffix":""},{"dropping-particle":"","family":"Jansson","given":"Janet K.","non-dropping-particle":"","parse-names":false,"suffix":""},{"dropping-particle":"","family":"Gilbert","given":"Jack A.","non-dropping-particle":"","parse-names":false,"suffix":""},{"dropping-particle":"","family":"Knight","given":"Rob","non-dropping-particle":"","parse-names":false,"suffix":""},{"dropping-particle":"","family":"Agosto Rivera","given":"Jose L.","non-dropping-particle":"","parse-names":false,"suffix":""},{"dropping-particle":"","family":"Al-Moosawi","given":"Lisa","non-dropping-particle":"","parse-names":false,"suffix":""},{"dropping-particle":"","family":"Alverdy","given":"John","non-dropping-particle":"","parse-names":false,"suffix":""},{"dropping-particle":"","family":"Amato","given":"Katherine R.","non-dropping-particle":"","parse-names":false,"suffix":""},{"dropping-particle":"","family":"Andras","given":"Jason","non-dropping-particle":"","parse-names":false,"suffix":""},{"dropping-particle":"","family":"Angenent","given":"Largus T.","non-dropping-particle":"","parse-names":false,"suffix":""},{"dropping-particle":"","family":"Antonopoulos","given":"Dionysios A.","non-dropping-particle":"","parse-names":false,"suffix":""},{"dropping-particle":"","family":"Apprill","given":"Amy","non-dropping-particle":"","parse-names":false,"suffix":""},{"dropping-particle":"","family":"Armitage","given":"David","non-dropping-particle":"","parse-names":false,"suffix":""},{"dropping-particle":"","family":"Ballantine","given":"Kate","non-dropping-particle":"","parse-names":false,"suffix":""},{"dropping-particle":"","family":"Bárta","given":"Jiří","non-dropping-particle":"","parse-names":false,"suffix":""},{"dropping-particle":"","family":"Baum","given":"Julia K.","non-dropping-particle":"","parse-names":false,"suffix":""},{"dropping-particle":"","family":"Berry","given":"Allison","non-dropping-particle":"","parse-names":false,"suffix":""},{"dropping-particle":"","family":"Bhatnagar","given":"Ashish","non-dropping-particle":"","parse-names":false,"suffix":""},{"dropping-particle":"","family":"Bhatnagar","given":"Monica","non-dropping-particle":"","parse-names":false,"suffix":""},{"dropping-particle":"","family":"Biddle","given":"Jennifer F.","non-dropping-particle":"","parse-names":false,"suffix":""},{"dropping-particle":"","family":"Bittner","given":"Lucie","non-dropping-particle":"","parse-names":false,"suffix":""},{"dropping-particle":"","family":"Boldgiv","given":"Bazartseren","non-dropping-particle":"","parse-names":false,"suffix":""},{"dropping-particle":"","family":"Bottos","given":"Eric","non-dropping-particle":"","parse-names":false,"suffix":""},{"dropping-particle":"","family":"Boyer","given":"Donal M.","non-dropping-particle":"","parse-names":false,"suffix":""},{"dropping-particle":"","family":"Braun","given":"Josephine","non-dropping-particle":"","parse-names":false,"suffix":""},{"dropping-particle":"","family":"Brazelton","given":"William","non-dropping-particle":"","parse-names":false,"suffix":""},{"dropping-particle":"","family":"Brearley","given":"Francis Q.","non-dropping-particle":"","parse-names":false,"suffix":""},{"dropping-particle":"","family":"Campbell","given":"Alexandra H.","non-dropping-particle":"","parse-names":false,"suffix":""},{"dropping-particle":"","family":"Caporaso","given":"J. Gregory","non-dropping-particle":"","parse-names":false,"suffix":""},{"dropping-particle":"","family":"Cardona","given":"Cesar","non-dropping-particle":"","parse-names":false,"suffix":""},{"dropping-particle":"","family":"Carroll","given":"Jo Lynn","non-dropping-particle":"","parse-names":false,"suffix":""},{"dropping-particle":"","family":"Cary","given":"S. Craig","non-dropping-particle":"","parse-names":false,"suffix":""},{"dropping-particle":"","family":"Casper","given":"Brenda B.","non-dropping-particle":"","parse-names":false,"suffix":""},{"dropping-particle":"","family":"Charles","given":"Trevor C.","non-dropping-particle":"","parse-names":false,"suffix":""},{"dropping-particle":"","family":"Chu","given":"Haiyan","non-dropping-particle":"","parse-names":false,"suffix":""},{"dropping-particle":"","family":"Claar","given":"Danielle C.","non-dropping-particle":"","parse-names":false,"suffix":""},{"dropping-particle":"","family":"Clark","given":"Robert G.","non-dropping-particle":"","parse-names":false,"suffix":""},{"dropping-particle":"","family":"Clayton","given":"Jonathan B.","non-dropping-particle":"","parse-names":false,"suffix":""},{"dropping-particle":"","family":"Clemente","given":"Jose C.","non-dropping-particle":"","parse-names":false,"suffix":""},{"dropping-particle":"","family":"Cochran","given":"Alyssa","non-dropping-particle":"","parse-names":false,"suffix":""},{"dropping-particle":"","family":"Coleman","given":"Maureen L.","non-dropping-particle":"","parse-names":false,"suffix":""},{"dropping-particle":"","family":"Collins","given":"Gavin","non-dropping-particle":"","parse-names":false,"suffix":""},{"dropping-particle":"","family":"Colwell","given":"Rita R.","non-dropping-particle":"","parse-names":false,"suffix":""},{"dropping-particle":"","family":"Contreras","given":"Mónica","non-dropping-particle":"","parse-names":false,"suffix":""},{"dropping-particle":"","family":"Crary","given":"Benjamin B.","non-dropping-particle":"","parse-names":false,"suffix":""},{"dropping-particle":"","family":"Creer","given":"Simon","non-dropping-particle":"","parse-names":false,"suffix":""},{"dropping-particle":"","family":"Cristol","given":"Daniel A.","non-dropping-particle":"","parse-names":false,"suffix":""},{"dropping-particle":"","family":"Crump","given":"Byron C.","non-dropping-particle":"","parse-names":false,"suffix":""},{"dropping-particle":"","family":"Cui","given":"Duoying","non-dropping-particle":"","parse-names":false,"suffix":""},{"dropping-particle":"","family":"Daly","given":"Sarah E.","non-dropping-particle":"","parse-names":false,"suffix":""},{"dropping-particle":"","family":"Davalos","given":"Liliana","non-dropping-particle":"","parse-names":false,"suffix":""},{"dropping-particle":"","family":"Dawson","given":"Russell D.","non-dropping-particle":"","parse-names":false,"suffix":""},{"dropping-particle":"","family":"Defazio","given":"Jennifer","non-dropping-particle":"","parse-names":false,"suffix":""},{"dropping-particle":"","family":"Delsuc","given":"Frédéric","non-dropping-particle":"","parse-names":false,"suffix":""},{"dropping-particle":"","family":"Dionisi","given":"Hebe M.","non-dropping-particle":"","parse-names":false,"suffix":""},{"dropping-particle":"","family":"Dominguez-Bello","given":"Maria Gloria","non-dropping-particle":"","parse-names":false,"suffix":""},{"dropping-particle":"","family":"Dowell","given":"Robin","non-dropping-particle":"","parse-names":false,"suffix":""},{"dropping-particle":"","family":"Dubinsky","given":"Eric A.","non-dropping-particle":"","parse-names":false,"suffix":""},{"dropping-particle":"","family":"Dunn","given":"Peter O.","non-dropping-particle":"","parse-names":false,"suffix":""},{"dropping-particle":"","family":"Ercolini","given":"Danilo","non-dropping-particle":"","parse-names":false,"suffix":""},{"dropping-particle":"","family":"Espinoza","given":"Robert E.","non-dropping-particle":"","parse-names":false,"suffix":""},{"dropping-particle":"","family":"Ezenwa","given":"Vanessa","non-dropping-particle":"","parse-names":false,"suffix":""},{"dropping-particle":"","family":"Fenner","given":"Nathalie","non-dropping-particle":"","parse-names":false,"suffix":""},{"dropping-particle":"","family":"Findlay","given":"Helen S.","non-dropping-particle":"","parse-names":false,"suffix":""},{"dropping-particle":"","family":"Fleming","given":"Irma D.","non-dropping-particle":"","parse-names":false,"suffix":""},{"dropping-particle":"","family":"Fogliano","given":"Vincenzo","non-dropping-particle":"","parse-names":false,"suffix":""},{"dropping-particle":"","family":"Forsman","given":"Anna","non-dropping-particle":"","parse-names":false,"suffix":""},{"dropping-particle":"","family":"Freeman","given":"Chris","non-dropping-particle":"","parse-names":false,"suffix":""},{"dropping-particle":"","family":"Friedman","given":"Elliot S.","non-dropping-particle":"","parse-names":false,"suffix":""},{"dropping-particle":"","family":"Galindo","given":"Giancarlo","non-dropping-particle":"","parse-names":false,"suffix":""},{"dropping-particle":"","family":"Garcia","given":"Liza","non-dropping-particle":"","parse-names":false,"suffix":""},{"dropping-particle":"","family":"Garcia-Amado","given":"Maria Alexandra","non-dropping-particle":"","parse-names":false,"suffix":""},{"dropping-particle":"","family":"Garshelis","given":"David","non-dropping-particle":"","parse-names":false,"suffix":""},{"dropping-particle":"","family":"Gasser","given":"Robin B.","non-dropping-particle":"","parse-names":false,"suffix":""},{"dropping-particle":"","family":"Gerdts","given":"Gunnar","non-dropping-particle":"","parse-names":false,"suffix":""},{"dropping-particle":"","family":"Gibson","given":"Molly K.","non-dropping-particle":"","parse-names":false,"suffix":""},{"dropping-particle":"","family":"Gifford","given":"Isaac","non-dropping-particle":"","parse-names":false,"suffix":""},{"dropping-particle":"","family":"Gill","given":"Ryan T.","non-dropping-particle":"","parse-names":false,"suffix":""},{"dropping-particle":"","family":"Giray","given":"Tugrul","non-dropping-particle":"","parse-names":false,"suffix":""},{"dropping-particle":"","family":"Gittel","given":"Antje","non-dropping-particle":"","parse-names":false,"suffix":""},{"dropping-particle":"","family":"Golyshin","given":"Peter","non-dropping-particle":"","parse-names":false,"suffix":""},{"dropping-particle":"","family":"Gong","given":"Donglai","non-dropping-particle":"","parse-names":false,"suffix":""},{"dropping-particle":"","family":"Grossart","given":"Hans Peter","non-dropping-particle":"","parse-names":false,"suffix":""},{"dropping-particle":"","family":"Guyton","given":"Kristina","non-dropping-particle":"","parse-names":false,"suffix":""},{"dropping-particle":"","family":"Haig","given":"Sarah Jane","non-dropping-particle":"","parse-names":false,"suffix":""},{"dropping-particle":"","family":"Hale","given":"Vanessa","non-dropping-particle":"","parse-names":false,"suffix":""},{"dropping-particle":"","family":"Hall","given":"Ross Stephen","non-dropping-particle":"","parse-names":false,"suffix":""},{"dropping-particle":"","family":"Hallam","given":"Steven J.","non-dropping-particle":"","parse-names":false,"suffix":""},{"dropping-particle":"","family":"Handley","given":"Kim M.","non-dropping-particle":"","parse-names":false,"suffix":""},{"dropping-particle":"","family":"Hasan","given":"Nur A.","non-dropping-particle":"","parse-names":false,"suffix":""},{"dropping-particle":"","family":"Haydon","given":"Shane R.","non-dropping-particle":"","parse-names":false,"suffix":""},{"dropping-particle":"","family":"Hickman","given":"Jonathan E.","non-dropping-particle":"","parse-names":false,"suffix":""},{"dropping-particle":"","family":"Hidalgo","given":"Glida","non-dropping-particle":"","parse-names":false,"suffix":""},{"dropping-particle":"","family":"Hofmockel","given":"Kirsten S.","non-dropping-particle":"","parse-names":false,"suffix":""},{"dropping-particle":"","family":"Hooker","given":"Jeff","non-dropping-particle":"","parse-names":false,"suffix":""},{"dropping-particle":"","family":"Hulth","given":"Stefan","non-dropping-particle":"","parse-names":false,"suffix":""},{"dropping-particle":"","family":"Hultman","given":"Jenni","non-dropping-particle":"","parse-names":false,"suffix":""},{"dropping-particle":"","family":"Hyde","given":"Embriette","non-dropping-particle":"","parse-names":false,"suffix":""},{"dropping-particle":"","family":"Ibáñez-Álamo","given":"Juan Diego","non-dropping-particle":"","parse-names":false,"suffix":""},{"dropping-particle":"","family":"Jastrow","given":"Julie D.","non-dropping-particle":"","parse-names":false,"suffix":""},{"dropping-particle":"","family":"Jex","given":"Aaron R.","non-dropping-particle":"","parse-names":false,"suffix":""},{"dropping-particle":"","family":"Johnson","given":"L. Scott","non-dropping-particle":"","parse-names":false,"suffix":""},{"dropping-particle":"","family":"Johnston","given":"Eric R.","non-dropping-particle":"","parse-names":false,"suffix":""},{"dropping-particle":"","family":"Joseph","given":"Stephen","non-dropping-particle":"","parse-names":false,"suffix":""},{"dropping-particle":"","family":"Jurburg","given":"Stephanie D.","non-dropping-particle":"","parse-names":false,"suffix":""},{"dropping-particle":"","family":"Jurelevicius","given":"Diogo","non-dropping-particle":"","parse-names":false,"suffix":""},{"dropping-particle":"","family":"Karlsson","given":"Anders","non-dropping-particle":"","parse-names":false,"suffix":""},{"dropping-particle":"","family":"Karlsson","given":"Roger","non-dropping-particle":"","parse-names":false,"suffix":""},{"dropping-particle":"","family":"Kauppinen","given":"Seth","non-dropping-particle":"","parse-names":false,"suffix":""},{"dropping-particle":"","family":"Kellogg","given":"Colleen T.E.","non-dropping-particle":"","parse-names":false,"suffix":""},{"dropping-particle":"","family":"Kennedy","given":"Suzanne J.","non-dropping-particle":"","parse-names":false,"suffix":""},{"dropping-particle":"","family":"Kerkhof","given":"Lee J.","non-dropping-particle":"","parse-names":false,"suffix":""},{"dropping-particle":"","family":"King","given":"Gary M.","non-dropping-particle":"","parse-names":false,"suffix":""},{"dropping-particle":"","family":"Kling","given":"George W.","non-dropping-particle":"","parse-names":false,"suffix":""},{"dropping-particle":"V.","family":"Koehler","given":"Anson","non-dropping-particle":"","parse-names":false,"suffix":""},{"dropping-particle":"","family":"Krezalek","given":"Monika","non-dropping-particle":"","parse-names":false,"suffix":""},{"dropping-particle":"","family":"Kueneman","given":"Jordan","non-dropping-particle":"","parse-names":false,"suffix":""},{"dropping-particle":"","family":"Lamendella","given":"Regina","non-dropping-particle":"","parse-names":false,"suffix":""},{"dropping-particle":"","family":"Landon","given":"Emily M.","non-dropping-particle":"","parse-names":false,"suffix":""},{"dropping-particle":"","family":"Lanede Graaf","given":"Kelly","non-dropping-particle":"","parse-names":false,"suffix":""},{"dropping-particle":"","family":"LaRoche","given":"Julie","non-dropping-particle":"","parse-names":false,"suffix":""},{"dropping-particle":"","family":"Larsen","given":"Peter","non-dropping-particle":"","parse-names":false,"suffix":""},{"dropping-particle":"","family":"Laverock","given":"Bonnie","non-dropping-particle":"","parse-names":false,"suffix":""},{"dropping-particle":"","family":"Lax","given":"Simon","non-dropping-particle":"","parse-names":false,"suffix":""},{"dropping-particle":"","family":"Lentino","given":"Miguel","non-dropping-particle":"","parse-names":false,"suffix":""},{"dropping-particle":"","family":"Levin","given":"Iris I.","non-dropping-particle":"","parse-names":false,"suffix":""},{"dropping-particle":"","family":"Liancourt","given":"Pierre","non-dropping-particle":"","parse-names":false,"suffix":""},{"dropping-particle":"","family":"Liang","given":"Wenju","non-dropping-particle":"","parse-names":false,"suffix":""},{"dropping-particle":"","family":"Linz","given":"Alexandra M.","non-dropping-particle":"","parse-names":false,"suffix":""},{"dropping-particle":"","family":"Lipson","given":"David A.","non-dropping-particle":"","parse-names":false,"suffix":""},{"dropping-particle":"","family":"Liu","given":"Yongqin","non-dropping-particle":"","parse-names":false,"suffix":""},{"dropping-particle":"","family":"Lladser","given":"Manuel E.","non-dropping-particle":"","parse-names":false,"suffix":""},{"dropping-particle":"","family":"Lozada","given":"Mariana","non-dropping-particle":"","parse-names":false,"suffix":""},{"dropping-particle":"","family":"Spirito","given":"Catherine M.","non-dropping-particle":"","parse-names":false,"suffix":""},{"dropping-particle":"","family":"MacCormack","given":"Walter P.","non-dropping-particle":"","parse-names":false,"suffix":""},{"dropping-particle":"","family":"MacRae-Crerar","given":"Aurora","non-dropping-particle":"","parse-names":false,"suffix":""},{"dropping-particle":"","family":"Magris","given":"Magda","non-dropping-particle":"","parse-names":false,"suffix":""},{"dropping-particle":"","family":"Martín-Platero","given":"Antonio M.","non-dropping-particle":"","parse-names":false,"suffix":""},{"dropping-particle":"","family":"Martín-Vivaldi","given":"Manuel","non-dropping-particle":"","parse-names":false,"suffix":""},{"dropping-particle":"","family":"Martínez","given":"L. Margarita","non-dropping-particle":"","parse-names":false,"suffix":""},{"dropping-particle":"","family":"Martínez-Bueno","given":"Manuel","non-dropping-particle":"","parse-names":false,"suffix":""},{"dropping-particle":"","family":"Marzinelli","given":"Ezequiel M.","non-dropping-particle":"","parse-names":false,"suffix":""},{"dropping-particle":"","family":"Mason","given":"Olivia U.","non-dropping-particle":"","parse-names":false,"suffix":""},{"dropping-particle":"","family":"Mayer","given":"Gregory D.","non-dropping-particle":"","parse-names":false,"suffix":""},{"dropping-particle":"","family":"McDevitt-Irwin","given":"Jamie M.","non-dropping-particle":"","parse-names":false,"suffix":""},{"dropping-particle":"","family":"McDonald","given":"James E.","non-dropping-particle":"","parse-names":false,"suffix":""},{"dropping-particle":"","family":"McGuire","given":"Krista L.","non-dropping-particle":"","parse-names":false,"suffix":""},{"dropping-particle":"","family":"McMahon","given":"Katherine D.","non-dropping-particle":"","parse-names":false,"suffix":""},{"dropping-particle":"","family":"McMinds","given":"Ryan","non-dropping-particle":"","parse-names":false,"suffix":""},{"dropping-particle":"","family":"Medina","given":"Mónica","non-dropping-particle":"","parse-names":false,"suffix":""},{"dropping-particle":"","family":"Mendelson","given":"Joseph R.","non-dropping-particle":"","parse-names":false,"suffix":""},{"dropping-particle":"","family":"Metcalf","given":"Jessica L.","non-dropping-particle":"","parse-names":false,"suffix":""},{"dropping-particle":"","family":"Meyer","given":"Folker","non-dropping-particle":"","parse-names":false,"suffix":""},{"dropping-particle":"","family":"Michelangeli","given":"Fabian","non-dropping-particle":"","parse-names":false,"suffix":""},{"dropping-particle":"","family":"Miller","given":"Kim","non-dropping-particle":"","parse-names":false,"suffix":""},{"dropping-particle":"","family":"Mills","given":"David A.","non-dropping-particle":"","parse-names":false,"suffix":""},{"dropping-particle":"","family":"Minich","given":"Jeremiah","non-dropping-particle":"","parse-names":false,"suffix":""},{"dropping-particle":"","family":"Mocali","given":"Stefano","non-dropping-particle":"","parse-names":false,"suffix":""},{"dropping-particle":"","family":"Moitinho-Silva","given":"Lucas","non-dropping-particle":"","parse-names":false,"suffix":""},{"dropping-particle":"","family":"Moore","given":"Anni","non-dropping-particle":"","parse-names":false,"suffix":""},{"dropping-particle":"","family":"Morgan-Kiss","given":"Rachael M.","non-dropping-particle":"","parse-names":false,"suffix":""},{"dropping-particle":"","family":"Munroe","given":"Paul","non-dropping-particle":"","parse-names":false,"suffix":""},{"dropping-particle":"","family":"Myrold","given":"David","non-dropping-particle":"","parse-names":false,"suffix":""},{"dropping-particle":"","family":"Neufeld","given":"Josh D.","non-dropping-particle":"","parse-names":false,"suffix":""},{"dropping-particle":"","family":"Ni","given":"Yingying","non-dropping-particle":"","parse-names":false,"suffix":""},{"dropping-particle":"","family":"Nicol","given":"Graeme W.","non-dropping-particle":"","parse-names":false,"suffix":""},{"dropping-particle":"","family":"Nielsen","given":"Shaun","non-dropping-particle":"","parse-names":false,"suffix":""},{"dropping-particle":"","family":"Nissimov","given":"Jozef I.","non-dropping-particle":"","parse-names":false,"suffix":""},{"dropping-particle":"","family":"Niu","given":"Kefeng","non-dropping-particle":"","parse-names":false,"suffix":""},{"dropping-particle":"","family":"Nolan","given":"Matthew J.","non-dropping-particle":"","parse-names":false,"suffix":""},{"dropping-particle":"","family":"Noyce","given":"Karen","non-dropping-particle":"","parse-names":false,"suffix":""},{"dropping-particle":"","family":"O'Brien","given":"Sarah L.","non-dropping-particle":"","parse-names":false,"suffix":""},{"dropping-particle":"","family":"Okamoto","given":"Noriko","non-dropping-particle":"","parse-names":false,"suffix":""},{"dropping-particle":"","family":"Orlando","given":"Ludovic","non-dropping-particle":"","parse-names":false,"suffix":""},{"dropping-particle":"","family":"Castellano","given":"Yadira Ortiz","non-dropping-particle":"","parse-names":false,"suffix":""},{"dropping-particle":"","family":"Osuolale","given":"Olayinka","non-dropping-particle":"","parse-names":false,"suffix":""},{"dropping-particle":"","family":"Oswald","given":"Wyatt","non-dropping-particle":"","parse-names":false,"suffix":""},{"dropping-particle":"","family":"Parnell","given":"Jacob","non-dropping-particle":"","parse-names":false,"suffix":""},{"dropping-particle":"","family":"Peralta-Sánchez","given":"Juan M.","non-dropping-particle":"","parse-names":false,"suffix":""},{"dropping-particle":"","family":"Petraitis","given":"Peter","non-dropping-particle":"","parse-names":false,"suffix":""},{"dropping-particle":"","family":"Pfister","given":"Catherine","non-dropping-particle":"","parse-names":false,"suffix":""},{"dropping-particle":"","family":"Pilon-Smits","given":"Elizabeth","non-dropping-particle":"","parse-names":false,"suffix":""},{"dropping-particle":"","family":"Piombino","given":"Paola","non-dropping-particle":"","parse-names":false,"suffix":""},{"dropping-particle":"","family":"Pointing","given":"Stephen B.","non-dropping-particle":"","parse-names":false,"suffix":""},{"dropping-particle":"","family":"Pollock","given":"F. Joseph","non-dropping-particle":"","parse-names":false,"suffix":""},{"dropping-particle":"","family":"Potter","given":"Caitlin","non-dropping-particle":"","parse-names":false,"suffix":""},{"dropping-particle":"","family":"Prithiviraj","given":"Bharath","non-dropping-particle":"","parse-names":false,"suffix":""},{"dropping-particle":"","family":"Quince","given":"Christopher","non-dropping-particle":"","parse-names":false,"suffix":""},{"dropping-particle":"","family":"Rani","given":"Asha","non-dropping-particle":"","parse-names":false,"suffix":""},{"dropping-particle":"","family":"Ranjan","given":"Ravi","non-dropping-particle":"","parse-names":false,"suffix":""},{"dropping-particle":"","family":"Rao","given":"Subramanya","non-dropping-particle":"","parse-names":false,"suffix":""},{"dropping-particle":"","family":"Rees","given":"Andrew P.","non-dropping-particle":"","parse-names":false,"suffix":""},{"dropping-particle":"","family":"Richardson","given":"Miles","non-dropping-particle":"","parse-names":false,"suffix":""},{"dropping-particle":"","family":"Riebesell","given":"Ulf","non-dropping-particle":"","parse-names":false,"suffix":""},{"dropping-particle":"","family":"Robinson","given":"Carol","non-dropping-particle":"","parse-names":false,"suffix":""},{"dropping-particle":"","family":"Rockne","given":"Karl J.","non-dropping-particle":"","parse-names":false,"suffix":""},{"dropping-particle":"","family":"Rodriguezl","given":"Selena Marie","non-dropping-particle":"","parse-names":false,"suffix":""},{"dropping-particle":"","family":"Rohwer","given":"Forest","non-dropping-particle":"","parse-names":false,"suffix":""},{"dropping-particle":"","family":"Roundstone","given":"Wayne","non-dropping-particle":"","parse-names":false,"suffix":""},{"dropping-particle":"","family":"Safran","given":"Rebecca J.","non-dropping-particle":"","parse-names":false,"suffix":""},{"dropping-particle":"","family":"Sangwan","given":"Naseer","non-dropping-particle":"","parse-names":false,"suffix":""},{"dropping-particle":"","family":"Sanz","given":"Virginia","non-dropping-particle":"","parse-names":false,"suffix":""},{"dropping-particle":"","family":"Schrenk","given":"Matthew","non-dropping-particle":"","parse-names":false,"suffix":""},{"dropping-particle":"","family":"Schrenzel","given":"Mark D.","non-dropping-particle":"","parse-names":false,"suffix":""},{"dropping-particle":"","family":"Scott","given":"Nicole M.","non-dropping-particle":"","parse-names":false,"suffix":""},{"dropping-particle":"","family":"Seger","given":"Rita L.","non-dropping-particle":"","parse-names":false,"suffix":""},{"dropping-particle":"","family":"Seguinorlando","given":"Andaine","non-dropping-particle":"","parse-names":false,"suffix":""},{"dropping-particle":"","family":"Seldin","given":"Lucy","non-dropping-particle":"","parse-names":false,"suffix":""},{"dropping-particle":"","family":"Seyler","given":"Lauren M.","non-dropping-particle":"","parse-names":false,"suffix":""},{"dropping-particle":"","family":"Shakhsheer","given":"Baddr","non-dropping-particle":"","parse-names":false,"suffix":""},{"dropping-particle":"","family":"Sheets","given":"Gabriela M.","non-dropping-particle":"","parse-names":false,"suffix":""},{"dropping-particle":"","family":"Shen","given":"Congcong","non-dropping-particle":"","parse-names":false,"suffix":""},{"dropping-particle":"","family":"Shi","given":"Yu","non-dropping-particle":"","parse-names":false,"suffix":""},{"dropping-particle":"","family":"Shin","given":"Hakdong","non-dropping-particle":"","parse-names":false,"suffix":""},{"dropping-particle":"","family":"Shogan","given":"Benjamin D.","non-dropping-particle":"","parse-names":false,"suffix":""},{"dropping-particle":"","family":"Shutler","given":"Dave","non-dropping-particle":"","parse-names":false,"suffix":""},{"dropping-particle":"","family":"Siegel","given":"Jeffrey","non-dropping-particle":"","parse-names":false,"suffix":""},{"dropping-particle":"","family":"Simmons","given":"Steve","non-dropping-particle":"","parse-names":false,"suffix":""},{"dropping-particle":"","family":"Sjöling","given":"Sara","non-dropping-particle":"","parse-names":false,"suffix":""},{"dropping-particle":"","family":"Smith","given":"Daniel P.","non-dropping-particle":"","parse-names":false,"suffix":""},{"dropping-particle":"","family":"Soler","given":"Juan J.","non-dropping-particle":"","parse-names":false,"suffix":""},{"dropping-particle":"","family":"Sperling","given":"Martin","non-dropping-particle":"","parse-names":false,"suffix":""},{"dropping-particle":"","family":"Steinberg","given":"Peter D.","non-dropping-particle":"","parse-names":false,"suffix":""},{"dropping-particle":"","family":"Stephens","given":"Brent","non-dropping-particle":"","parse-names":false,"suffix":""},{"dropping-particle":"","family":"Stevens","given":"Melita A.","non-dropping-particle":"","parse-names":false,"suffix":""},{"dropping-particle":"","family":"Taghavi","given":"Safiyh","non-dropping-particle":"","parse-names":false,"suffix":""},{"dropping-particle":"","family":"Tai","given":"Vera","non-dropping-particle":"","parse-names":false,"suffix":""},{"dropping-particle":"","family":"Tait","given":"Karen","non-dropping-particle":"","parse-names":false,"suffix":""},{"dropping-particle":"","family":"Tan","given":"Chia L.","non-dropping-particle":"","parse-names":false,"suffix":""},{"dropping-particle":"","family":"Taş","given":"Neslihan","non-dropping-particle":"","parse-names":false,"suffix":""},{"dropping-particle":"","family":"Taylor","given":"D. Lee","non-dropping-particle":"","parse-names":false,"suffix":""},{"dropping-particle":"","family":"Thomas","given":"Torsten","non-dropping-particle":"","parse-names":false,"suffix":""},{"dropping-particle":"","family":"Timling","given":"Ina","non-dropping-particle":"","parse-names":false,"suffix":""},{"dropping-particle":"","family":"Turner","given":"Benjamin L.","non-dropping-particle":"","parse-names":false,"suffix":""},{"dropping-particle":"","family":"Urich","given":"Tim","non-dropping-particle":"","parse-names":false,"suffix":""},{"dropping-particle":"","family":"Ursell","given":"Luke K.","non-dropping-particle":"","parse-names":false,"suffix":""},{"dropping-particle":"","family":"Lelie","given":"Daniel","non-dropping-particle":"Van Der","parse-names":false,"suffix":""},{"dropping-particle":"","family":"Treuren","given":"William","non-dropping-particle":"Van","parse-names":false,"suffix":""},{"dropping-particle":"","family":"Zwieten","given":"Lukas","non-dropping-particle":"Van","parse-names":false,"suffix":""},{"dropping-particle":"","family":"Vargas-Robles","given":"Daniela","non-dropping-particle":"","parse-names":false,"suffix":""},{"dropping-particle":"","family":"Thurber","given":"Rebecca Vega","non-dropping-particle":"","parse-names":false,"suffix":""},{"dropping-particle":"","family":"Vitaglione","given":"Paola","non-dropping-particle":"","parse-names":false,"suffix":""},{"dropping-particle":"","family":"Walker","given":"Donald A.","non-dropping-particle":"","parse-names":false,"suffix":""},{"dropping-particle":"","family":"Walters","given":"William A.","non-dropping-particle":"","parse-names":false,"suffix":""},{"dropping-particle":"","family":"Wang","given":"Shi","non-dropping-particle":"","parse-names":false,"suffix":""},{"dropping-particle":"","family":"Wang","given":"Tao","non-dropping-particle":"","parse-names":false,"suffix":""},{"dropping-particle":"","family":"Weaver","given":"Tom","non-dropping-particle":"","parse-names":false,"suffix":""},{"dropping-particle":"","family":"Webster","given":"Nicole S.","non-dropping-particle":"","parse-names":false,"suffix":""},{"dropping-particle":"","family":"Wehrle","given":"Beck","non-dropping-particle":"","parse-names":false,"suffix":""},{"dropping-particle":"","family":"Weisenhorn","given":"Pamela","non-dropping-particle":"","parse-names":false,"suffix":""},{"dropping-particle":"","family":"Weiss","given":"Sophie","non-dropping-particle":"","parse-names":false,"suffix":""},{"dropping-particle":"","family":"Werner","given":"Jeffrey J.","non-dropping-particle":"","parse-names":false,"suffix":""},{"dropping-particle":"","family":"West","given":"Kristin","non-dropping-particle":"","parse-names":false,"suffix":""},{"dropping-particle":"","family":"Whitehead","given":"Andrew","non-dropping-particle":"","parse-names":false,"suffix":""},{"dropping-particle":"","family":"Whitehead","given":"Susan R.","non-dropping-particle":"","parse-names":false,"suffix":""},{"dropping-particle":"","family":"Whittingham","given":"Linda A.","non-dropping-particle":"","parse-names":false,"suffix":""},{"dropping-particle":"","family":"Willerslev","given":"Eske","non-dropping-particle":"","parse-names":false,"suffix":""},{"dropping-particle":"","family":"Williams","given":"Allison E.","non-dropping-particle":"","parse-names":false,"suffix":""},{"dropping-particle":"","family":"Wood","given":"Stephen A.","non-dropping-particle":"","parse-names":false,"suffix":""},{"dropping-particle":"","family":"Woodhams","given":"Douglas C.","non-dropping-particle":"","parse-names":false,"suffix":""},{"dropping-particle":"","family":"Yang","given":"Yeqin","non-dropping-particle":"","parse-names":false,"suffix":""},{"dropping-particle":"","family":"Zaneveld","given":"Jesse","non-dropping-particle":"","parse-names":false,"suffix":""},{"dropping-particle":"","family":"Zarraonaindia","given":"Iratxe","non-dropping-particle":"","parse-names":false,"suffix":""},{"dropping-particle":"","family":"Zhang","given":"Qikun","non-dropping-particle":"","parse-names":false,"suffix":""},{"dropping-particle":"","family":"Zhao","given":"Hongxia","non-dropping-particle":"","parse-names":false,"suffix":""}],"container-title":"Nature","id":"ITEM-1","issue":"7681","issued":{"date-parts":[["2017"]]},"page":"457-463","title":"A communal catalogue reveals Earth's multiscale microbial diversity","type":"article-journal","volume":"551"},"uris":["http://www.mendeley.com/documents/?uuid=cfa43c71-8c15-4fb2-801d-5827ed80bb43"]}],"mendeley":{"formattedCitation":"(107)","plainTextFormattedCitation":"(107)","previouslyFormattedCitation":"(106)"},"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(107)</w:t>
      </w:r>
      <w:r w:rsidRPr="00F23F20">
        <w:rPr>
          <w:rFonts w:ascii="Times New Roman" w:hAnsi="Times New Roman" w:cs="Times New Roman"/>
        </w:rPr>
        <w:fldChar w:fldCharType="end"/>
      </w:r>
      <w:r w:rsidRPr="00F23F20">
        <w:rPr>
          <w:rFonts w:ascii="Times New Roman" w:hAnsi="Times New Roman" w:cs="Times New Roman"/>
        </w:rPr>
        <w:t xml:space="preserve">. An earlier analysis qualitatively demonstrated similar KEGG ontology in </w:t>
      </w:r>
      <w:r w:rsidRPr="00F23F20">
        <w:rPr>
          <w:rFonts w:ascii="Times New Roman" w:hAnsi="Times New Roman" w:cs="Times New Roman"/>
          <w:i/>
        </w:rPr>
        <w:t>TARA</w:t>
      </w:r>
      <w:r w:rsidRPr="00F23F20">
        <w:rPr>
          <w:rFonts w:ascii="Times New Roman" w:hAnsi="Times New Roman" w:cs="Times New Roman"/>
        </w:rPr>
        <w:t xml:space="preserve"> </w:t>
      </w:r>
      <w:r w:rsidRPr="00F23F20">
        <w:rPr>
          <w:rFonts w:ascii="Times New Roman" w:hAnsi="Times New Roman" w:cs="Times New Roman"/>
          <w:i/>
        </w:rPr>
        <w:t>Oceans</w:t>
      </w:r>
      <w:r w:rsidRPr="00F23F20">
        <w:rPr>
          <w:rFonts w:ascii="Times New Roman" w:hAnsi="Times New Roman" w:cs="Times New Roman"/>
        </w:rPr>
        <w:t xml:space="preserve"> metagenomes, regardless of oceanographic province or depths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{"citationItems":[{"id":"ITEM-1","itemData":{"DOI":"10.1126/science.1261359","ISSN":"0036-8075","abstract":"Microbes are dominant drivers of biogeochemical processes, yet drawing a global picture of functional diversity, microbial community structure, and their ecological determinants remains a grand challenge. We analyzed 7.2 terabases of metagenomic data from 243 Tara Oceans samples from 68 locations in epipelagic and mesopelagic waters across the globe to generate an ocean microbial reference gene catalog with &gt;40 million nonredundant, mostly novel sequences from viruses, prokaryotes, and picoeukaryotes. Using 139 prokaryote-enriched samples, containing &gt;35,000 species, we show vertical stratification with epipelagic community composition mostly driven by temperature rather than other environmental factors or geography. We identify ocean microbial core functionality and reveal that &gt;73% of its abundance is shared with the human gut microbiome despite the physicochemical differences between these two ecosystems.","author":[{"dropping-particle":"","family":"Sunagawa","given":"S.","non-dropping-particle":"","parse-names":false,"suffix":""},{"dropping-particle":"","family":"Coelho","given":"L. P.","non-dropping-particle":"","parse-names":false,"suffix":""},{"dropping-particle":"","family":"Chaffron","given":"S.","non-dropping-particle":"","parse-names":false,"suffix":""},{"dropping-particle":"","family":"Kultima","given":"J. R.","non-dropping-particle":"","parse-names":false,"suffix":""},{"dropping-particle":"","family":"Labadie","given":"K.","non-dropping-particle":"","parse-names":false,"suffix":""},{"dropping-particle":"","family":"Salazar","given":"G.","non-dropping-particle":"","parse-names":false,"suffix":""},{"dropping-particle":"","family":"Djahanschiri","given":"B.","non-dropping-particle":"","parse-names":false,"suffix":""},{"dropping-particle":"","family":"Zeller","given":"G.","non-dropping-particle":"","parse-names":false,"suffix":""},{"dropping-particle":"","family":"Mende","given":"D. R.","non-dropping-particle":"","parse-names":false,"suffix":""},{"dropping-particle":"","family":"Alberti","given":"A.","non-dropping-particle":"","parse-names":false,"suffix":""},{"dropping-particle":"","family":"Cornejo-Castillo","given":"F. M.","non-dropping-particle":"","parse-names":false,"suffix":""},{"dropping-particle":"","family":"Costea","given":"P. I.","non-dropping-particle":"","parse-names":false,"suffix":""},{"dropping-particle":"","family":"Cruaud","given":"C.","non-dropping-particle":"","parse-names":false,"suffix":""},{"dropping-particle":"","family":"d'Ovidio","given":"F.","non-dropping-particle":"","parse-names":false,"suffix":""},{"dropping-particle":"","family":"Engelen","given":"S.","non-dropping-particle":"","parse-names":false,"suffix":""},{"dropping-particle":"","family":"Ferrera","given":"I.","non-dropping-particle":"","parse-names":false,"suffix":""},{"dropping-particle":"","family":"Gasol","given":"J. M.","non-dropping-particle":"","parse-names":false,"suffix":""},{"dropping-particle":"","family":"Guidi","given":"L.","non-dropping-particle":"","parse-names":false,"suffix":""},{"dropping-particle":"","family":"Hildebrand","given":"F.","non-dropping-particle":"","parse-names":false,"suffix":""},{"dropping-particle":"","family":"Kokoszka","given":"F.","non-dropping-particle":"","parse-names":false,"suffix":""},{"dropping-particle":"","family":"Lepoivre","given":"C.","non-dropping-particle":"","parse-names":false,"suffix":""},{"dropping-particle":"","family":"Lima-Mendez","given":"G.","non-dropping-particle":"","parse-names":false,"suffix":""},{"dropping-particle":"","family":"Poulain","given":"J.","non-dropping-particle":"","parse-names":false,"suffix":""},{"dropping-particle":"","family":"Poulos","given":"B. T.","non-dropping-particle":"","parse-names":false,"suffix":""},{"dropping-particle":"","family":"Royo-Llonch","given":"M.","non-dropping-particle":"","parse-names":false,"suffix":""},{"dropping-particle":"","family":"Sarmento","given":"H.","non-dropping-particle":"","parse-names":false,"suffix":""},{"dropping-particle":"","family":"Vieira-Silva","given":"S.","non-dropping-particle":"","parse-names":false,"suffix":""},{"dropping-particle":"","family":"Dimier","given":"C.","non-dropping-particle":"","parse-names":false,"suffix":""},{"dropping-particle":"","family":"Picheral","given":"M.","non-dropping-particle":"","parse-names":false,"suffix":""},{"dropping-particle":"","family":"Searson","given":"S.","non-dropping-particle":"","parse-names":false,"suffix":""},{"dropping-particle":"","family":"Kandels-Lewis","given":"S.","non-dropping-particle":"","parse-names":false,"suffix":""},{"dropping-particle":"","family":"Bowler","given":"C.","non-dropping-particle":"","parse-names":false,"suffix":""},{"dropping-particle":"","family":"Vargas","given":"C.","non-dropping-particle":"de","parse-names":false,"suffix":""},{"dropping-particle":"","family":"Gorsky","given":"G.","non-dropping-particle":"","parse-names":false,"suffix":""},{"dropping-particle":"","family":"Grimsley","given":"N.","non-dropping-particle":"","parse-names":false,"suffix":""},{"dropping-particle":"","family":"Hingamp","given":"P.","non-dropping-particle":"","parse-names":false,"suffix":""},{"dropping-particle":"","family":"Iudicone","given":"D.","non-dropping-particle":"","parse-names":false,"suffix":""},{"dropping-particle":"","family":"Jaillon","given":"O.","non-dropping-particle":"","parse-names":false,"suffix":""},{"dropping-particle":"","family":"Not","given":"F.","non-dropping-particle":"","parse-names":false,"suffix":""},{"dropping-particle":"","family":"Ogata","given":"H.","non-dropping-particle":"","parse-names":false,"suffix":""},{"dropping-particle":"","family":"Pesant","given":"S.","non-dropping-particle":"","parse-names":false,"suffix":""},{"dropping-particle":"","family":"Speich","given":"S.","non-dropping-particle":"","parse-names":false,"suffix":""},{"dropping-particle":"","family":"Stemmann","given":"L.","non-dropping-particle":"","parse-names":false,"suffix":""},{"dropping-particle":"","family":"Sullivan","given":"M. B.","non-dropping-particle":"","parse-names":false,"suffix":""},{"dropping-particle":"","family":"Weissenbach","given":"J.","non-dropping-particle":"","parse-names":false,"suffix":""},{"dropping-particle":"","family":"Wincker","given":"P.","non-dropping-particle":"","parse-names":false,"suffix":""},{"dropping-particle":"","family":"Karsenti","given":"E.","non-dropping-particle":"","parse-names":false,"suffix":""},{"dropping-particle":"","family":"Raes","given":"J.","non-dropping-particle":"","parse-names":false,"suffix":""},{"dropping-particle":"","family":"Acinas","given":"S. G.","non-dropping-particle":"","parse-names":false,"suffix":""},{"dropping-particle":"","family":"Bork","given":"P.","non-dropping-particle":"","parse-names":false,"suffix":""},{"dropping-particle":"","family":"Boss","given":"E.","non-dropping-particle":"","parse-names":false,"suffix":""},{"dropping-particle":"","family":"Bowler","given":"C.","non-dropping-particle":"","parse-names":false,"suffix":""},{"dropping-particle":"","family":"Follows","given":"M.","non-dropping-particle":"","parse-names":false,"suffix":""},{"dropping-particle":"","family":"Karp-Boss","given":"L.","non-dropping-particle":"","parse-names":false,"suffix":""},{"dropping-particle":"","family":"Krzic","given":"U.","non-dropping-particle":"","parse-names":false,"suffix":""},{"dropping-particle":"","family":"Reynaud","given":"E. G.","non-dropping-particle":"","parse-names":false,"suffix":""},{"dropping-particle":"","family":"Sardet","given":"C.","non-dropping-particle":"","parse-names":false,"suffix":""},{"dropping-particle":"","family":"Sieracki","given":"M.","non-dropping-particle":"","parse-names":false,"suffix":""},{"dropping-particle":"","family":"Velayoudon","given":"D.","non-dropping-particle":"","parse-names":false,"suffix":""}],"container-title":"Science","id":"ITEM-1","issue":"6237","issued":{"date-parts":[["2015"]]},"page":"1261359-1261359","title":"Structure and function of the global ocean microbiome","type":"article-journal","volume":"348"},"uris":["http://www.mendeley.com/documents/?uuid=dd58474f-85fd-4d33-8afd-6b724c1f947a"]}],"mendeley":{"formattedCitation":"(85)","plainTextFormattedCitation":"(85)","previouslyFormattedCitation":"(84)"},"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(85)</w:t>
      </w:r>
      <w:r w:rsidRPr="00F23F20">
        <w:rPr>
          <w:rFonts w:ascii="Times New Roman" w:hAnsi="Times New Roman" w:cs="Times New Roman"/>
        </w:rPr>
        <w:fldChar w:fldCharType="end"/>
      </w:r>
      <w:r w:rsidRPr="00F23F20">
        <w:rPr>
          <w:rFonts w:ascii="Times New Roman" w:hAnsi="Times New Roman" w:cs="Times New Roman"/>
        </w:rPr>
        <w:t xml:space="preserve">. </w:t>
      </w:r>
    </w:p>
    <w:p w14:paraId="2D545AEC" w14:textId="22D92315" w:rsidR="00365526" w:rsidRPr="00F23F20" w:rsidRDefault="00365526" w:rsidP="00365526">
      <w:pPr>
        <w:spacing w:line="480" w:lineRule="auto"/>
        <w:ind w:firstLine="720"/>
        <w:rPr>
          <w:rFonts w:ascii="Times New Roman" w:hAnsi="Times New Roman" w:cs="Times New Roman"/>
        </w:rPr>
      </w:pPr>
      <w:r w:rsidRPr="00F23F20">
        <w:rPr>
          <w:rFonts w:ascii="Times New Roman" w:hAnsi="Times New Roman" w:cs="Times New Roman"/>
        </w:rPr>
        <w:t xml:space="preserve">In our analysis of </w:t>
      </w:r>
      <w:r w:rsidRPr="00F23F20">
        <w:rPr>
          <w:rFonts w:ascii="Times New Roman" w:hAnsi="Times New Roman" w:cs="Times New Roman"/>
          <w:i/>
        </w:rPr>
        <w:t>TARA Oceans</w:t>
      </w:r>
      <w:r w:rsidRPr="00F23F20">
        <w:rPr>
          <w:rFonts w:ascii="Times New Roman" w:hAnsi="Times New Roman" w:cs="Times New Roman"/>
        </w:rPr>
        <w:t xml:space="preserve"> metagenomes, traits were loosely defined such that redundancy in function may be observed based on genomic potential. As a point of emphasis, measurable properties (e.g., nitrogen uptake) provide direct measures of ecosystem function which are more easily integrated into predictive numerical models. In </w:t>
      </w:r>
      <w:r w:rsidRPr="00F23F20">
        <w:rPr>
          <w:rFonts w:ascii="Times New Roman" w:hAnsi="Times New Roman" w:cs="Times New Roman"/>
        </w:rPr>
        <w:lastRenderedPageBreak/>
        <w:t xml:space="preserve">an ideal scenario, the latter would be discernible in all ecological studies, for all ecosystem functions. However, the disproportionate number of lineages which lack cultured representatives highlights the continued importance of nucleotide sequencing in microbial ecology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{"citationItems":[{"id":"ITEM-1","itemData":{"DOI":"10.1038/s41396-019-0484-y","ISSN":"17517370","abstract":"A recent paper by Martiny argues that “high proportions” of bacteria in diverse Earth environments have been cultured. Here we reanalyze a portion of the data in that paper, and argue that the conclusion is based on several technical errors, most notably a calculation of sequence similarity that does not account for sequence gaps, and the reliance on 16S rRNA gene amplicons that are known to be biased towards cultured organisms. We further argue that the paper is also based on a conceptual error: namely, that sequence similarity cannot be used to infer “culturability” because one cannot infer physiology from 16S rRNA gene sequences. Combined with other recent, more reliable studies, the evidence supports the conclusion that most bacterial and archaeal taxa remain uncultured.","author":[{"dropping-particle":"","family":"Steen","given":"Andrew D.","non-dropping-particle":"","parse-names":false,"suffix":""},{"dropping-particle":"","family":"Crits-Christoph","given":"Alexander","non-dropping-particle":"","parse-names":false,"suffix":""},{"dropping-particle":"","family":"Carini","given":"Paul","non-dropping-particle":"","parse-names":false,"suffix":""},{"dropping-particle":"","family":"DeAngelis","given":"Kristen M.","non-dropping-particle":"","parse-names":false,"suffix":""},{"dropping-particle":"","family":"Fierer","given":"Noah","non-dropping-particle":"","parse-names":false,"suffix":""},{"dropping-particle":"","family":"Lloyd","given":"Karen G.","non-dropping-particle":"","parse-names":false,"suffix":""},{"dropping-particle":"","family":"Cameron Thrash","given":"J.","non-dropping-particle":"","parse-names":false,"suffix":""}],"container-title":"ISME Journal","id":"ITEM-1","issue":"12","issued":{"date-parts":[["2019"]]},"page":"3126-3130","publisher":"Springer US","title":"High proportions of bacteria and archaea across most biomes remain uncultured","type":"article-journal","volume":"13"},"uris":["http://www.mendeley.com/documents/?uuid=15dcdc14-c0ce-43ad-bac1-1fc203fca609"]},{"id":"ITEM-2","itemData":{"DOI":"10.1128/mSystems.00055-18","ISBN":"2379-5077 (Print) 2379-5077 (Linking)","ISSN":"2379-5077","PMID":"30273414","abstract":"&lt;p&gt; To describe a microbe’s physiology, including its metabolism, environmental roles, and growth characteristics, it must be grown in a laboratory culture. Unfortunately, many phylogenetically novel groups have never been cultured, so their physiologies have only been inferred from genomics and environmental characteristics. Although the diversity, or number of different taxonomic groups, of uncultured clades has been studied well, their global abundances, or numbers of cells in any given environment, have not been assessed. We quantified the degree of similarity of 16S rRNA gene sequences from diverse environments in publicly available metagenome and metatranscriptome databases, which we show have far less of the culture bias present in primer-amplified 16S rRNA gene surveys, to those of their nearest cultured relatives. Whether normalized to scaffold read depths or not, the highest abundances of metagenomic 16S rRNA gene sequences belong to phylogenetically novel uncultured groups in seawater, freshwater, terrestrial subsurface, soil, hypersaline environments, marine sediment, hot springs, hydrothermal vents, nonhuman hosts, snow, and bioreactors (22% to 87% uncultured genera to classes and 0% to 64% uncultured phyla). The exceptions were human and human-associated environments, which were dominated by cultured genera (45% to 97%). We estimate that uncultured genera and phyla could comprise 7.3 × 10 &lt;sup&gt;29&lt;/sup&gt; (81%) and 2.2 × 10 &lt;sup&gt;29&lt;/sup&gt; (25%) of microbial cells, respectively. Uncultured phyla were overrepresented in metatranscriptomes relative to metagenomes (46% to 84% of sequences in a given environment), suggesting that they are viable. Therefore, uncultured microbes, often from deeply phylogenetically divergent groups, dominate nonhuman environments on Earth, and their undiscovered physiologies may matter for Earth systems. &lt;/p&gt;","author":[{"dropping-particle":"","family":"Lloyd","given":"Karen G.","non-dropping-particle":"","parse-names":false,"suffix":""},{"dropping-particle":"","family":"Steen","given":"Andrew D.","non-dropping-particle":"","parse-names":false,"suffix":""},{"dropping-particle":"","family":"Ladau","given":"Joshua","non-dropping-particle":"","parse-names":false,"suffix":""},{"dropping-particle":"","family":"Yin","given":"Junqi","non-dropping-particle":"","parse-names":false,"suffix":""},{"dropping-particle":"","family":"Crosby","given":"Lonnie","non-dropping-particle":"","parse-names":false,"suffix":""}],"container-title":"mSystems","id":"ITEM-2","issue":"5","issued":{"date-parts":[["2018"]]},"page":"1-12","title":"Phylogenetically Novel Uncultured Microbial Cells Dominate Earth Microbiomes","type":"article-journal","volume":"3"},"uris":["http://www.mendeley.com/documents/?uuid=cbe35562-7a0a-4fc0-afb3-f48ebed5c158"]}],"mendeley":{"formattedCitation":"(6, 108)","plainTextFormattedCitation":"(6, 108)","previouslyFormattedCitation":"(6, 107)"},"properties":{"noteIndex":0},"schema":"https://github.com/citation-style-language/schema/raw/master/csl-citation.json"}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(6, 108)</w:t>
      </w:r>
      <w:r w:rsidRPr="00F23F20">
        <w:rPr>
          <w:rFonts w:ascii="Times New Roman" w:hAnsi="Times New Roman" w:cs="Times New Roman"/>
        </w:rPr>
        <w:fldChar w:fldCharType="end"/>
      </w:r>
      <w:r w:rsidRPr="00F23F20">
        <w:rPr>
          <w:rFonts w:ascii="Times New Roman" w:hAnsi="Times New Roman" w:cs="Times New Roman"/>
        </w:rPr>
        <w:t xml:space="preserve">. Thus, this observation necessitates the development of ecological theory which is inclusive to potential traits as well as realized traits. For instance, technological advances with single-cell </w:t>
      </w:r>
      <w:proofErr w:type="spellStart"/>
      <w:r w:rsidRPr="00F23F20">
        <w:rPr>
          <w:rFonts w:ascii="Times New Roman" w:hAnsi="Times New Roman" w:cs="Times New Roman"/>
        </w:rPr>
        <w:t>nanoSIMS</w:t>
      </w:r>
      <w:proofErr w:type="spellEnd"/>
      <w:r w:rsidRPr="00F23F20">
        <w:rPr>
          <w:rFonts w:ascii="Times New Roman" w:hAnsi="Times New Roman" w:cs="Times New Roman"/>
          <w:i/>
          <w:iCs/>
        </w:rPr>
        <w:t xml:space="preserve"> </w:t>
      </w:r>
      <w:r w:rsidRPr="00F23F20">
        <w:rPr>
          <w:rFonts w:ascii="Times New Roman" w:hAnsi="Times New Roman" w:cs="Times New Roman"/>
        </w:rPr>
        <w:t xml:space="preserve">may provide a method for quantifying lineage-specific metabolic rates for </w:t>
      </w:r>
      <w:r w:rsidRPr="00F23F20">
        <w:rPr>
          <w:rFonts w:ascii="Times New Roman" w:hAnsi="Times New Roman" w:cs="Times New Roman"/>
          <w:i/>
          <w:iCs/>
        </w:rPr>
        <w:t>in situ</w:t>
      </w:r>
      <w:r w:rsidRPr="00F23F20">
        <w:rPr>
          <w:rFonts w:ascii="Times New Roman" w:hAnsi="Times New Roman" w:cs="Times New Roman"/>
        </w:rPr>
        <w:t xml:space="preserve"> inoculation studies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{"citationItems":[{"id":"ITEM-1","itemData":{"DOI":"10.1111/j.1574-6976.2011.00303.x","ISSN":"01686445","abstract":"Investigating the contribution of microbial populations to biochemical processes of global significance is challenging as there are few approaches that can detect microbial metabolic activities on single-cell level. Given the widespread distribution and importance of microorganisms in elemental transformations, improved methods for measuring microbial activities in naturally occurring microbial communities is essential. In this article, microautoradiography (MAR), Raman microspectroscopy, and Secondary Ion Mass Spectrometry (SIMS) and their combination with isotope labeling and molecular genetic methods for cell identification (i.e. FISH and related methods) are reviewed. We focus our review on the application of MAR-FISH, Raman-FISH, and FISH-SIMS to environmental samples, with a more detailed description of the use of nanoSIMS-based methodologies to identify, quantify, and visualize the incorporation of labeled substrates of single microorganisms in complex microbial communities. We highlight examples from the marine habitat. In addition, relevant technical aspects as well as important considerations concerning sample preparation and handling are presented. We conclude with a perspective on the usefulness of such tools to study the role of microorganisms in biogeochemical cycling from micron to global scales. © 2011 Federation of European Microbiological Societies.","author":[{"dropping-particle":"","family":"Musat","given":"Niculina","non-dropping-particle":"","parse-names":false,"suffix":""},{"dropping-particle":"","family":"Foster","given":"Rachel","non-dropping-particle":"","parse-names":false,"suffix":""},{"dropping-particle":"","family":"Vagner","given":"Tomas","non-dropping-particle":"","parse-names":false,"suffix":""},{"dropping-particle":"","family":"Adam","given":"Birgit","non-dropping-particle":"","parse-names":false,"suffix":""},{"dropping-particle":"","family":"Kuypers","given":"Marcel M.M.","non-dropping-particle":"","parse-names":false,"suffix":""}],"container-title":"FEMS Microbiology Reviews","id":"ITEM-1","issue":"2","issued":{"date-parts":[["2012"]]},"page":"486-511","title":"Detecting metabolic activities in single cells, with emphasis on nanoSIMS","type":"article-journal","volume":"36"},"uris":["http://www.mendeley.com/documents/?uuid=e9fd0166-d32a-42fa-aa0b-dda95320cc89"]}],"mendeley":{"formattedCitation":"(109)","plainTextFormattedCitation":"(109)","previouslyFormattedCitation":"(108)"},"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(109)</w:t>
      </w:r>
      <w:r w:rsidRPr="00F23F20">
        <w:rPr>
          <w:rFonts w:ascii="Times New Roman" w:hAnsi="Times New Roman" w:cs="Times New Roman"/>
        </w:rPr>
        <w:fldChar w:fldCharType="end"/>
      </w:r>
      <w:r w:rsidRPr="00F23F20">
        <w:rPr>
          <w:rFonts w:ascii="Times New Roman" w:hAnsi="Times New Roman" w:cs="Times New Roman"/>
        </w:rPr>
        <w:t xml:space="preserve">. Coupling these metabolic rates with abundance data, we believe functional redundancy can be measured for realized traits with TCE. </w:t>
      </w:r>
    </w:p>
    <w:p w14:paraId="1830D26C" w14:textId="77777777" w:rsidR="00365526" w:rsidRPr="00F23F20" w:rsidRDefault="00365526" w:rsidP="00365526">
      <w:pPr>
        <w:pStyle w:val="Heading2"/>
      </w:pPr>
      <w:bookmarkStart w:id="240" w:name="_Toc41908119"/>
      <w:r w:rsidRPr="00F23F20">
        <w:t>Methods and Theory</w:t>
      </w:r>
      <w:bookmarkEnd w:id="240"/>
    </w:p>
    <w:p w14:paraId="2405460A" w14:textId="77777777" w:rsidR="00365526" w:rsidRPr="00F23F20" w:rsidRDefault="00365526" w:rsidP="00365526">
      <w:pPr>
        <w:pStyle w:val="Heading3"/>
        <w:rPr>
          <w:rFonts w:eastAsiaTheme="minorEastAsia"/>
        </w:rPr>
      </w:pPr>
      <w:bookmarkStart w:id="241" w:name="_Toc41908120"/>
      <w:r w:rsidRPr="00F23F20">
        <w:rPr>
          <w:rFonts w:eastAsiaTheme="minorEastAsia"/>
        </w:rPr>
        <w:t>Definition of Functional Redundancy</w:t>
      </w:r>
      <w:bookmarkEnd w:id="241"/>
    </w:p>
    <w:p w14:paraId="795CA813" w14:textId="00BFFF54" w:rsidR="00365526" w:rsidRPr="00F23F20" w:rsidRDefault="00365526" w:rsidP="00365526">
      <w:pPr>
        <w:spacing w:line="480" w:lineRule="auto"/>
        <w:ind w:firstLine="720"/>
        <w:rPr>
          <w:rFonts w:ascii="Times New Roman" w:eastAsiaTheme="minorEastAsia" w:hAnsi="Times New Roman" w:cs="Times New Roman"/>
        </w:rPr>
      </w:pPr>
      <w:bookmarkStart w:id="242" w:name="_Hlk36821162"/>
      <w:r w:rsidRPr="00F23F20">
        <w:rPr>
          <w:rFonts w:ascii="Times New Roman" w:eastAsiaTheme="minorEastAsia" w:hAnsi="Times New Roman" w:cs="Times New Roman"/>
        </w:rPr>
        <w:t xml:space="preserve">Here, we present the underlying theory used to quantify functional redundancy. Functional redundancy was defined as how evenly community members contribute to a net trait within the community. Community members represent the aggregation of individuals within phylogenetic clades of a predefined taxonomic level, and thus, are referred to as taxa from henceforth. As this definition of functional redundancy is a measure of the evenness in trait contribution from individual taxa, we propose adapting traditional approaches of measuring diversity and evenness for quantifying functional redundancy. Specifically, we adopt the parametric diversity index due to the degree of generalizability. Consequently, relative trait contribution by taxa to a net trait on a </w:t>
      </w:r>
      <w:r w:rsidRPr="00F23F20">
        <w:rPr>
          <w:rFonts w:ascii="Times New Roman" w:eastAsiaTheme="minorEastAsia" w:hAnsi="Times New Roman" w:cs="Times New Roman"/>
        </w:rPr>
        <w:lastRenderedPageBreak/>
        <w:t xml:space="preserve">community level has to be expressed as an abundance distribution </w:t>
      </w:r>
      <w:r w:rsidRPr="00F23F20">
        <w:rPr>
          <w:rFonts w:ascii="Times New Roman" w:eastAsiaTheme="minorEastAsia" w:hAnsi="Times New Roman" w:cs="Times New Roman"/>
        </w:rPr>
        <w:fldChar w:fldCharType="begin" w:fldLock="1"/>
      </w:r>
      <w:r w:rsidR="00307058">
        <w:rPr>
          <w:rFonts w:ascii="Times New Roman" w:eastAsiaTheme="minorEastAsia" w:hAnsi="Times New Roman" w:cs="Times New Roman"/>
        </w:rPr>
        <w:instrText>ADDIN CSL_CITATION {"citationItems":[{"id":"ITEM-1","itemData":{"DOI":"10.1080/01621459.1982.10477845","ISSN":"1537274X","abstract":"This paper puts forth the view that diversity is an average property of a community and identifies that property as species rarity. An intrinsic diversity ordering of communities is defined and is shown to be equivalent to stochastic ordering. Also, the sensitivity of an index to rare species is developed, culminating in a crossing-point theorem and a response theory to perturbations. Diversity decompositions, analogous to the analysis of variance, are discussed for two-way classifications and mixtures. The paper concludes with a brief survey of genetic diversity, linguistic diversity, industrial concentration, and income inequality. © 1982 Taylor &amp; Francis Group, LLC.","author":[{"dropping-particle":"","family":"Patil","given":"G. P.","non-dropping-particle":"","parse-names":false,"suffix":""},{"dropping-particle":"","family":"Taillie","given":"C.","non-dropping-particle":"","parse-names":false,"suffix":""}],"container-title":"Journal of the American Statistical Association","id":"ITEM-1","issue":"379","issued":{"date-parts":[["1982"]]},"page":"548-561","title":"Diversity as a concept and its measurement","type":"article-journal","volume":"77"},"uris":["http://www.mendeley.com/documents/?uuid=fad30308-9969-47c6-a1dd-011e720f7ddc"]}],"mendeley":{"formattedCitation":"(99)","plainTextFormattedCitation":"(99)","previouslyFormattedCitation":"(98)"},"properties":{"noteIndex":0},"schema":"https://github.com/citation-style-language/schema/raw/master/csl-citation.json"}</w:instrText>
      </w:r>
      <w:r w:rsidRPr="00F23F20">
        <w:rPr>
          <w:rFonts w:ascii="Times New Roman" w:eastAsiaTheme="minorEastAsia" w:hAnsi="Times New Roman" w:cs="Times New Roman"/>
        </w:rPr>
        <w:fldChar w:fldCharType="separate"/>
      </w:r>
      <w:r w:rsidR="00307058" w:rsidRPr="00307058">
        <w:rPr>
          <w:rFonts w:ascii="Times New Roman" w:eastAsiaTheme="minorEastAsia" w:hAnsi="Times New Roman" w:cs="Times New Roman"/>
          <w:noProof/>
        </w:rPr>
        <w:t>(99)</w:t>
      </w:r>
      <w:r w:rsidRPr="00F23F20">
        <w:rPr>
          <w:rFonts w:ascii="Times New Roman" w:eastAsiaTheme="minorEastAsia" w:hAnsi="Times New Roman" w:cs="Times New Roman"/>
        </w:rPr>
        <w:fldChar w:fldCharType="end"/>
      </w:r>
      <w:r w:rsidRPr="00F23F20">
        <w:rPr>
          <w:rFonts w:ascii="Times New Roman" w:eastAsiaTheme="minorEastAsia" w:hAnsi="Times New Roman" w:cs="Times New Roman"/>
        </w:rPr>
        <w:t xml:space="preserve">, or the trait contribution distribution. </w:t>
      </w:r>
    </w:p>
    <w:bookmarkEnd w:id="242"/>
    <w:p w14:paraId="72A8D4D0" w14:textId="77777777" w:rsidR="00365526" w:rsidRPr="00F23F20" w:rsidRDefault="00365526" w:rsidP="00365526">
      <w:pPr>
        <w:spacing w:line="480" w:lineRule="auto"/>
        <w:ind w:firstLine="720"/>
        <w:rPr>
          <w:rFonts w:ascii="Times New Roman" w:eastAsiaTheme="minorEastAsia" w:hAnsi="Times New Roman" w:cs="Times New Roman"/>
        </w:rPr>
      </w:pPr>
      <w:r w:rsidRPr="00F23F20">
        <w:rPr>
          <w:rFonts w:ascii="Times New Roman" w:eastAsiaTheme="minorEastAsia" w:hAnsi="Times New Roman" w:cs="Times New Roman"/>
        </w:rPr>
        <w:t xml:space="preserve">Here, we define a microbial community, </w:t>
      </w:r>
      <w:r w:rsidRPr="00F23F20">
        <w:rPr>
          <w:rFonts w:ascii="Times New Roman" w:eastAsiaTheme="minorEastAsia" w:hAnsi="Times New Roman" w:cs="Times New Roman"/>
          <w:i/>
        </w:rPr>
        <w:t>C</w:t>
      </w:r>
      <w:r w:rsidRPr="00F23F20">
        <w:rPr>
          <w:rFonts w:ascii="Times New Roman" w:eastAsiaTheme="minorEastAsia" w:hAnsi="Times New Roman" w:cs="Times New Roman"/>
        </w:rPr>
        <w:t xml:space="preserve">, with </w:t>
      </w:r>
      <w:r w:rsidRPr="00F23F20">
        <w:rPr>
          <w:rFonts w:ascii="Times New Roman" w:eastAsiaTheme="minorEastAsia" w:hAnsi="Times New Roman" w:cs="Times New Roman"/>
          <w:i/>
        </w:rPr>
        <w:t>n</w:t>
      </w:r>
      <w:r w:rsidRPr="00F23F20">
        <w:rPr>
          <w:rFonts w:ascii="Times New Roman" w:eastAsiaTheme="minorEastAsia" w:hAnsi="Times New Roman" w:cs="Times New Roman"/>
        </w:rPr>
        <w:t xml:space="preserve"> taxa, each with a relative abundance of </w:t>
      </w:r>
      <w:r w:rsidRPr="00F23F20">
        <w:rPr>
          <w:rFonts w:ascii="Times New Roman" w:eastAsiaTheme="minorEastAsia" w:hAnsi="Times New Roman" w:cs="Times New Roman"/>
          <w:i/>
        </w:rPr>
        <w:t>p</w:t>
      </w:r>
      <w:r w:rsidRPr="00F23F20">
        <w:rPr>
          <w:rFonts w:ascii="Times New Roman" w:eastAsiaTheme="minorEastAsia" w:hAnsi="Times New Roman" w:cs="Times New Roman"/>
          <w:i/>
          <w:vertAlign w:val="subscript"/>
        </w:rPr>
        <w:t>i</w:t>
      </w:r>
      <w:r w:rsidRPr="00F23F20">
        <w:rPr>
          <w:rFonts w:ascii="Times New Roman" w:eastAsiaTheme="minorEastAsia" w:hAnsi="Times New Roman" w:cs="Times New Roman"/>
        </w:rPr>
        <w:t xml:space="preserve">. Thus, the set of taxa in </w:t>
      </w:r>
      <w:r w:rsidRPr="00F23F20">
        <w:rPr>
          <w:rFonts w:ascii="Times New Roman" w:eastAsiaTheme="minorEastAsia" w:hAnsi="Times New Roman" w:cs="Times New Roman"/>
          <w:i/>
        </w:rPr>
        <w:t>C</w:t>
      </w:r>
      <w:r w:rsidRPr="00F23F20">
        <w:rPr>
          <w:rFonts w:ascii="Times New Roman" w:eastAsiaTheme="minorEastAsia" w:hAnsi="Times New Roman" w:cs="Times New Roman"/>
        </w:rPr>
        <w:t xml:space="preserve"> can be described as follows: </w:t>
      </w:r>
    </w:p>
    <w:p w14:paraId="51F92FC4" w14:textId="77777777" w:rsidR="00365526" w:rsidRPr="00F23F20" w:rsidRDefault="00365526" w:rsidP="00365526">
      <w:pPr>
        <w:spacing w:line="480" w:lineRule="auto"/>
        <w:rPr>
          <w:rFonts w:ascii="Times New Roman" w:eastAsiaTheme="minorEastAsia" w:hAnsi="Times New Roman" w:cs="Times New Roman"/>
        </w:rPr>
      </w:pPr>
      <m:oMath>
        <m:r>
          <w:rPr>
            <w:rFonts w:ascii="Cambria Math" w:eastAsiaTheme="minorEastAsia" w:hAnsi="Cambria Math" w:cs="Times New Roman"/>
          </w:rPr>
          <m:t>C=</m:t>
        </m:r>
        <m:d>
          <m:dPr>
            <m:begChr m:val="{"/>
            <m:endChr m:val="}"/>
            <m:ctrlPr>
              <w:rPr>
                <w:rFonts w:ascii="Cambria Math" w:eastAsiaTheme="minorEastAsia" w:hAnsi="Cambria Math" w:cs="Times New Roman"/>
                <w:i/>
              </w:rPr>
            </m:ctrlPr>
          </m:dPr>
          <m:e>
            <m:r>
              <w:rPr>
                <w:rFonts w:ascii="Cambria Math" w:eastAsiaTheme="minorEastAsia" w:hAnsi="Cambria Math" w:cs="Times New Roman"/>
              </w:rPr>
              <m:t>p</m:t>
            </m:r>
          </m:e>
          <m:e>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i</m:t>
                </m:r>
              </m:sub>
            </m:sSub>
            <m:r>
              <w:rPr>
                <w:rFonts w:ascii="Cambria Math" w:eastAsiaTheme="minorEastAsia" w:hAnsi="Cambria Math" w:cs="Times New Roman"/>
              </w:rPr>
              <m:t xml:space="preserve">&gt;0 ∀ </m:t>
            </m:r>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i</m:t>
                </m:r>
              </m:sub>
            </m:sSub>
            <m:r>
              <w:rPr>
                <w:rFonts w:ascii="Cambria Math" w:eastAsiaTheme="minorEastAsia" w:hAnsi="Cambria Math" w:cs="Times New Roman"/>
              </w:rPr>
              <m:t>;</m:t>
            </m:r>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n</m:t>
                </m:r>
              </m:sup>
              <m:e>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i</m:t>
                    </m:r>
                  </m:sub>
                </m:sSub>
              </m:e>
            </m:nary>
            <m:r>
              <w:rPr>
                <w:rFonts w:ascii="Cambria Math" w:eastAsiaTheme="minorEastAsia" w:hAnsi="Cambria Math" w:cs="Times New Roman"/>
              </w:rPr>
              <m:t>=1</m:t>
            </m:r>
          </m:e>
        </m:d>
      </m:oMath>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t xml:space="preserve">     (3.1</w:t>
      </w:r>
    </w:p>
    <w:p w14:paraId="5FAA43F3" w14:textId="479F7C2E" w:rsidR="00365526" w:rsidRPr="00F23F20" w:rsidRDefault="00365526" w:rsidP="00365526">
      <w:pPr>
        <w:spacing w:line="480" w:lineRule="auto"/>
        <w:rPr>
          <w:rFonts w:ascii="Times New Roman" w:eastAsiaTheme="minorEastAsia" w:hAnsi="Times New Roman" w:cs="Times New Roman"/>
        </w:rPr>
      </w:pPr>
      <w:r w:rsidRPr="00F23F20">
        <w:rPr>
          <w:rFonts w:ascii="Times New Roman" w:eastAsiaTheme="minorEastAsia" w:hAnsi="Times New Roman" w:cs="Times New Roman"/>
        </w:rPr>
        <w:t xml:space="preserve">where </w:t>
      </w:r>
      <w:r w:rsidRPr="00F23F20">
        <w:rPr>
          <w:rFonts w:ascii="Times New Roman" w:eastAsiaTheme="minorEastAsia" w:hAnsi="Times New Roman" w:cs="Times New Roman"/>
          <w:i/>
        </w:rPr>
        <w:t>p</w:t>
      </w:r>
      <w:r w:rsidRPr="00F23F20">
        <w:rPr>
          <w:rFonts w:ascii="Times New Roman" w:eastAsiaTheme="minorEastAsia" w:hAnsi="Times New Roman" w:cs="Times New Roman"/>
        </w:rPr>
        <w:t xml:space="preserve"> is the set of relative abundances of taxa, such that any given relative abundance for the </w:t>
      </w:r>
      <w:proofErr w:type="spellStart"/>
      <w:r w:rsidRPr="00F23F20">
        <w:rPr>
          <w:rFonts w:ascii="Times New Roman" w:eastAsiaTheme="minorEastAsia" w:hAnsi="Times New Roman" w:cs="Times New Roman"/>
          <w:i/>
        </w:rPr>
        <w:t>i</w:t>
      </w:r>
      <w:r w:rsidRPr="00F23F20">
        <w:rPr>
          <w:rFonts w:ascii="Times New Roman" w:eastAsiaTheme="minorEastAsia" w:hAnsi="Times New Roman" w:cs="Times New Roman"/>
          <w:vertAlign w:val="superscript"/>
        </w:rPr>
        <w:t>th</w:t>
      </w:r>
      <w:proofErr w:type="spellEnd"/>
      <w:r w:rsidRPr="00F23F20">
        <w:rPr>
          <w:rFonts w:ascii="Times New Roman" w:eastAsiaTheme="minorEastAsia" w:hAnsi="Times New Roman" w:cs="Times New Roman"/>
          <w:vertAlign w:val="superscript"/>
        </w:rPr>
        <w:t xml:space="preserve"> </w:t>
      </w:r>
      <w:r w:rsidRPr="00F23F20">
        <w:rPr>
          <w:rFonts w:ascii="Times New Roman" w:eastAsiaTheme="minorEastAsia" w:hAnsi="Times New Roman" w:cs="Times New Roman"/>
        </w:rPr>
        <w:t xml:space="preserve">taxon is greater than zero and all taxa relative abundances sum to one. Equation 3.1 represents a traditional abundance distribution </w:t>
      </w:r>
      <w:r w:rsidRPr="00F23F20">
        <w:rPr>
          <w:rFonts w:ascii="Times New Roman" w:eastAsiaTheme="minorEastAsia" w:hAnsi="Times New Roman" w:cs="Times New Roman"/>
        </w:rPr>
        <w:fldChar w:fldCharType="begin" w:fldLock="1"/>
      </w:r>
      <w:r w:rsidR="00307058">
        <w:rPr>
          <w:rFonts w:ascii="Times New Roman" w:eastAsiaTheme="minorEastAsia" w:hAnsi="Times New Roman" w:cs="Times New Roman"/>
        </w:rPr>
        <w:instrText>ADDIN CSL_CITATION {"citationItems":[{"id":"ITEM-1","itemData":{"DOI":"10.1111/j.1461-0248.2007.01094.x","ISSN":"1461023X","PMID":"17845298","abstract":"Species abundance distributions (SADs) follow one of ecology's oldest and most universal laws - every community shows a hollow curve or hyperbolic shape on a histogram with many rare species and just a few common species. Here, we review theoretical, empirical and statistical developments in the study of SADs. Several key points emerge. (i) Literally dozens of models have been proposed to explain the hollow curve. Unfortunately, very few models are ever rejected, primarily because few theories make any predictions beyond the hollow-curve SAD itself. (ii) Interesting work has been performed both empirically and theoretically, which goes beyond the hollow-curve prediction to provide a rich variety of information about how SADs behave. These include the study of SADs along environmental gradients and theories that integrate SADs with other biodiversity patterns. Central to this body of work is an effort to move beyond treating the SAD in isolation and to integrate the SAD into its ecological context to enable making many predictions. (iii) Moving forward will entail understanding how sampling and scale affect SADs and developing statistical tools for describing and comparing SADs. We are optimistic that SADs can provide significant insights into basic and applied ecological science. © 2007 Blackwell Publishing Ltd/CNRS.","author":[{"dropping-particle":"","family":"McGill","given":"Brian J.","non-dropping-particle":"","parse-names":false,"suffix":""},{"dropping-particle":"","family":"Etienne","given":"Rampal S.","non-dropping-particle":"","parse-names":false,"suffix":""},{"dropping-particle":"","family":"Gray","given":"John S.","non-dropping-particle":"","parse-names":false,"suffix":""},{"dropping-particle":"","family":"Alonso","given":"David","non-dropping-particle":"","parse-names":false,"suffix":""},{"dropping-particle":"","family":"Anderson","given":"Marti J.","non-dropping-particle":"","parse-names":false,"suffix":""},{"dropping-particle":"","family":"Benecha","given":"Habtamu Kassa","non-dropping-particle":"","parse-names":false,"suffix":""},{"dropping-particle":"","family":"Dornelas","given":"Maria","non-dropping-particle":"","parse-names":false,"suffix":""},{"dropping-particle":"","family":"Enquist","given":"Brian J.","non-dropping-particle":"","parse-names":false,"suffix":""},{"dropping-particle":"","family":"Green","given":"Jessica L.","non-dropping-particle":"","parse-names":false,"suffix":""},{"dropping-particle":"","family":"He","given":"Fangliang","non-dropping-particle":"","parse-names":false,"suffix":""},{"dropping-particle":"","family":"Hurlbert","given":"Allen H.","non-dropping-particle":"","parse-names":false,"suffix":""},{"dropping-particle":"","family":"Magurran","given":"Anne E.","non-dropping-particle":"","parse-names":false,"suffix":""},{"dropping-particle":"","family":"Marquet","given":"Pablo A.","non-dropping-particle":"","parse-names":false,"suffix":""},{"dropping-particle":"","family":"Maurer","given":"Brian A.","non-dropping-particle":"","parse-names":false,"suffix":""},{"dropping-particle":"","family":"Ostling","given":"Annette","non-dropping-particle":"","parse-names":false,"suffix":""},{"dropping-particle":"","family":"Soykan","given":"Candan U.","non-dropping-particle":"","parse-names":false,"suffix":""},{"dropping-particle":"","family":"Ugland","given":"Karl I.","non-dropping-particle":"","parse-names":false,"suffix":""},{"dropping-particle":"","family":"White","given":"Ethan P.","non-dropping-particle":"","parse-names":false,"suffix":""}],"container-title":"Ecology Letters","id":"ITEM-1","issue":"10","issued":{"date-parts":[["2007"]]},"page":"995-1015","title":"Species abundance distributions: Moving beyond single prediction theories to integration within an ecological framework","type":"article-journal","volume":"10"},"uris":["http://www.mendeley.com/documents/?uuid=61694212-0fbc-4b65-892a-c037cf20a0be"]}],"mendeley":{"formattedCitation":"(100)","plainTextFormattedCitation":"(100)","previouslyFormattedCitation":"(99)"},"properties":{"noteIndex":0},"schema":"https://github.com/citation-style-language/schema/raw/master/csl-citation.json"}</w:instrText>
      </w:r>
      <w:r w:rsidRPr="00F23F20">
        <w:rPr>
          <w:rFonts w:ascii="Times New Roman" w:eastAsiaTheme="minorEastAsia" w:hAnsi="Times New Roman" w:cs="Times New Roman"/>
        </w:rPr>
        <w:fldChar w:fldCharType="separate"/>
      </w:r>
      <w:r w:rsidR="00307058" w:rsidRPr="00307058">
        <w:rPr>
          <w:rFonts w:ascii="Times New Roman" w:eastAsiaTheme="minorEastAsia" w:hAnsi="Times New Roman" w:cs="Times New Roman"/>
          <w:noProof/>
        </w:rPr>
        <w:t>(100)</w:t>
      </w:r>
      <w:r w:rsidRPr="00F23F20">
        <w:rPr>
          <w:rFonts w:ascii="Times New Roman" w:eastAsiaTheme="minorEastAsia" w:hAnsi="Times New Roman" w:cs="Times New Roman"/>
        </w:rPr>
        <w:fldChar w:fldCharType="end"/>
      </w:r>
      <w:r w:rsidRPr="00F23F20">
        <w:rPr>
          <w:rFonts w:ascii="Times New Roman" w:eastAsiaTheme="minorEastAsia" w:hAnsi="Times New Roman" w:cs="Times New Roman"/>
        </w:rPr>
        <w:t xml:space="preserve">. </w:t>
      </w:r>
    </w:p>
    <w:p w14:paraId="21FDA1A3" w14:textId="77777777" w:rsidR="00365526" w:rsidRPr="00F23F20" w:rsidRDefault="00365526" w:rsidP="00365526">
      <w:pPr>
        <w:spacing w:line="480" w:lineRule="auto"/>
        <w:ind w:firstLine="720"/>
        <w:rPr>
          <w:rFonts w:ascii="Times New Roman" w:eastAsiaTheme="minorEastAsia" w:hAnsi="Times New Roman" w:cs="Times New Roman"/>
          <w:vertAlign w:val="subscript"/>
        </w:rPr>
      </w:pPr>
      <w:r w:rsidRPr="00F23F20">
        <w:rPr>
          <w:rFonts w:ascii="Times New Roman" w:eastAsiaTheme="minorEastAsia" w:hAnsi="Times New Roman" w:cs="Times New Roman"/>
        </w:rPr>
        <w:t xml:space="preserve">Taxa in </w:t>
      </w:r>
      <w:r w:rsidRPr="00F23F20">
        <w:rPr>
          <w:rFonts w:ascii="Times New Roman" w:eastAsiaTheme="minorEastAsia" w:hAnsi="Times New Roman" w:cs="Times New Roman"/>
          <w:i/>
          <w:iCs/>
        </w:rPr>
        <w:t>C</w:t>
      </w:r>
      <w:r w:rsidRPr="00F23F20">
        <w:rPr>
          <w:rFonts w:ascii="Times New Roman" w:eastAsiaTheme="minorEastAsia" w:hAnsi="Times New Roman" w:cs="Times New Roman"/>
        </w:rPr>
        <w:t xml:space="preserve"> cumulatively contribute to a net trait,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which reflects the quantity of a trait on the community level. Units of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are flexible such that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can be expressed in terms of rates (e.g., g C m</w:t>
      </w:r>
      <w:r w:rsidRPr="00F23F20">
        <w:rPr>
          <w:rFonts w:ascii="Times New Roman" w:eastAsiaTheme="minorEastAsia" w:hAnsi="Times New Roman" w:cs="Times New Roman"/>
          <w:vertAlign w:val="superscript"/>
        </w:rPr>
        <w:t>-2</w:t>
      </w:r>
      <w:r w:rsidRPr="00F23F20">
        <w:rPr>
          <w:rFonts w:ascii="Times New Roman" w:eastAsiaTheme="minorEastAsia" w:hAnsi="Times New Roman" w:cs="Times New Roman"/>
        </w:rPr>
        <w:t xml:space="preserve"> year</w:t>
      </w:r>
      <w:r w:rsidRPr="00F23F20">
        <w:rPr>
          <w:rFonts w:ascii="Times New Roman" w:eastAsiaTheme="minorEastAsia" w:hAnsi="Times New Roman" w:cs="Times New Roman"/>
          <w:vertAlign w:val="superscript"/>
        </w:rPr>
        <w:t>-1</w:t>
      </w:r>
      <w:r w:rsidRPr="00F23F20">
        <w:rPr>
          <w:rFonts w:ascii="Times New Roman" w:eastAsiaTheme="minorEastAsia" w:hAnsi="Times New Roman" w:cs="Times New Roman"/>
        </w:rPr>
        <w:t xml:space="preserve"> for net primary productivity), quantities (e.g., gene copies), or dimensionless numbers; however,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must be quantitative. Our goal was to express the community, </w:t>
      </w:r>
      <w:r w:rsidRPr="00F23F20">
        <w:rPr>
          <w:rFonts w:ascii="Times New Roman" w:eastAsiaTheme="minorEastAsia" w:hAnsi="Times New Roman" w:cs="Times New Roman"/>
          <w:i/>
          <w:iCs/>
        </w:rPr>
        <w:t>C</w:t>
      </w:r>
      <w:r w:rsidRPr="00F23F20">
        <w:rPr>
          <w:rFonts w:ascii="Times New Roman" w:eastAsiaTheme="minorEastAsia" w:hAnsi="Times New Roman" w:cs="Times New Roman"/>
        </w:rPr>
        <w:t xml:space="preserve"> (equation 3.1),</w:t>
      </w:r>
      <w:r w:rsidRPr="00F23F20">
        <w:rPr>
          <w:rFonts w:ascii="Times New Roman" w:eastAsiaTheme="minorEastAsia" w:hAnsi="Times New Roman" w:cs="Times New Roman"/>
          <w:i/>
          <w:iCs/>
        </w:rPr>
        <w:t xml:space="preserve"> </w:t>
      </w:r>
      <w:r w:rsidRPr="00F23F20">
        <w:rPr>
          <w:rFonts w:ascii="Times New Roman" w:eastAsiaTheme="minorEastAsia" w:hAnsi="Times New Roman" w:cs="Times New Roman"/>
        </w:rPr>
        <w:t xml:space="preserve">in terms of the relative contribution by individual taxa towards a total trait,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at a fixed time and space. This requires knowing the taxa-specific trait level, </w:t>
      </w:r>
      <w:proofErr w:type="spellStart"/>
      <w:r w:rsidRPr="00F23F20">
        <w:rPr>
          <w:rFonts w:ascii="Times New Roman" w:eastAsiaTheme="minorEastAsia" w:hAnsi="Times New Roman" w:cs="Times New Roman"/>
          <w:i/>
          <w:iCs/>
        </w:rPr>
        <w:t>t</w:t>
      </w:r>
      <w:r w:rsidRPr="00F23F20">
        <w:rPr>
          <w:rFonts w:ascii="Times New Roman" w:eastAsiaTheme="minorEastAsia" w:hAnsi="Times New Roman" w:cs="Times New Roman"/>
          <w:i/>
          <w:iCs/>
          <w:vertAlign w:val="subscript"/>
        </w:rPr>
        <w:t>i</w:t>
      </w:r>
      <w:proofErr w:type="spellEnd"/>
      <w:r w:rsidRPr="00F23F20">
        <w:rPr>
          <w:rFonts w:ascii="Times New Roman" w:eastAsiaTheme="minorEastAsia" w:hAnsi="Times New Roman" w:cs="Times New Roman"/>
          <w:i/>
          <w:iCs/>
        </w:rPr>
        <w:t xml:space="preserve">, </w:t>
      </w:r>
      <w:r w:rsidRPr="00F23F20">
        <w:rPr>
          <w:rFonts w:ascii="Times New Roman" w:eastAsiaTheme="minorEastAsia" w:hAnsi="Times New Roman" w:cs="Times New Roman"/>
        </w:rPr>
        <w:t xml:space="preserve">and the respective taxa relative abundance, </w:t>
      </w:r>
      <w:r w:rsidRPr="00F23F20">
        <w:rPr>
          <w:rFonts w:ascii="Times New Roman" w:eastAsiaTheme="minorEastAsia" w:hAnsi="Times New Roman" w:cs="Times New Roman"/>
          <w:i/>
          <w:iCs/>
        </w:rPr>
        <w:t>p</w:t>
      </w:r>
      <w:r w:rsidRPr="00F23F20">
        <w:rPr>
          <w:rFonts w:ascii="Times New Roman" w:eastAsiaTheme="minorEastAsia" w:hAnsi="Times New Roman" w:cs="Times New Roman"/>
          <w:i/>
          <w:iCs/>
          <w:vertAlign w:val="subscript"/>
        </w:rPr>
        <w:t>i</w:t>
      </w:r>
      <w:r w:rsidRPr="00F23F20">
        <w:rPr>
          <w:rFonts w:ascii="Times New Roman" w:eastAsiaTheme="minorEastAsia" w:hAnsi="Times New Roman" w:cs="Times New Roman"/>
        </w:rPr>
        <w:t>. If the distribution of taxa-specific trait levels</w:t>
      </w:r>
      <w:r w:rsidRPr="00F23F20">
        <w:rPr>
          <w:rFonts w:ascii="Times New Roman" w:eastAsiaTheme="minorEastAsia" w:hAnsi="Times New Roman" w:cs="Times New Roman"/>
          <w:i/>
          <w:iCs/>
        </w:rPr>
        <w:t xml:space="preserve">, </w:t>
      </w:r>
      <w:proofErr w:type="spellStart"/>
      <w:r w:rsidRPr="00F23F20">
        <w:rPr>
          <w:rFonts w:ascii="Times New Roman" w:eastAsiaTheme="minorEastAsia" w:hAnsi="Times New Roman" w:cs="Times New Roman"/>
          <w:i/>
          <w:iCs/>
        </w:rPr>
        <w:t>t</w:t>
      </w:r>
      <w:r w:rsidRPr="00F23F20">
        <w:rPr>
          <w:rFonts w:ascii="Times New Roman" w:eastAsiaTheme="minorEastAsia" w:hAnsi="Times New Roman" w:cs="Times New Roman"/>
          <w:vertAlign w:val="subscript"/>
        </w:rPr>
        <w:t>i</w:t>
      </w:r>
      <w:proofErr w:type="spellEnd"/>
      <w:r w:rsidRPr="00F23F20">
        <w:rPr>
          <w:rFonts w:ascii="Times New Roman" w:eastAsiaTheme="minorEastAsia" w:hAnsi="Times New Roman" w:cs="Times New Roman"/>
        </w:rPr>
        <w:t xml:space="preserve">, are known, then relative abundances in equation 3.1 can be substituted with </w:t>
      </w:r>
      <w:proofErr w:type="spellStart"/>
      <w:r w:rsidRPr="00F23F20">
        <w:rPr>
          <w:rFonts w:ascii="Times New Roman" w:eastAsiaTheme="minorEastAsia" w:hAnsi="Times New Roman" w:cs="Times New Roman"/>
          <w:i/>
          <w:iCs/>
        </w:rPr>
        <w:t>t</w:t>
      </w:r>
      <w:r w:rsidRPr="00F23F20">
        <w:rPr>
          <w:rFonts w:ascii="Times New Roman" w:eastAsiaTheme="minorEastAsia" w:hAnsi="Times New Roman" w:cs="Times New Roman"/>
          <w:i/>
          <w:iCs/>
          <w:vertAlign w:val="subscript"/>
        </w:rPr>
        <w:t>i</w:t>
      </w:r>
      <w:proofErr w:type="spellEnd"/>
      <w:r w:rsidRPr="00F23F20">
        <w:rPr>
          <w:rFonts w:ascii="Times New Roman" w:eastAsiaTheme="minorEastAsia" w:hAnsi="Times New Roman" w:cs="Times New Roman"/>
        </w:rPr>
        <w:t xml:space="preserve"> such that:</w:t>
      </w:r>
    </w:p>
    <w:p w14:paraId="1A2EB452" w14:textId="77777777" w:rsidR="00365526" w:rsidRPr="00F23F20" w:rsidRDefault="002A3883" w:rsidP="00365526">
      <w:pPr>
        <w:spacing w:line="480" w:lineRule="auto"/>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t</m:t>
            </m:r>
          </m:sub>
        </m:sSub>
        <m:r>
          <w:rPr>
            <w:rFonts w:ascii="Cambria Math" w:eastAsiaTheme="minorEastAsia" w:hAnsi="Cambria Math" w:cs="Times New Roman"/>
          </w:rPr>
          <m:t>=</m:t>
        </m:r>
        <m:d>
          <m:dPr>
            <m:begChr m:val="{"/>
            <m:endChr m:val="}"/>
            <m:ctrlPr>
              <w:rPr>
                <w:rFonts w:ascii="Cambria Math" w:eastAsiaTheme="minorEastAsia" w:hAnsi="Cambria Math" w:cs="Times New Roman"/>
                <w:i/>
              </w:rPr>
            </m:ctrlPr>
          </m:dPr>
          <m:e>
            <m:r>
              <w:rPr>
                <w:rFonts w:ascii="Cambria Math" w:eastAsiaTheme="minorEastAsia" w:hAnsi="Cambria Math" w:cs="Times New Roman"/>
              </w:rPr>
              <m:t>t</m:t>
            </m:r>
          </m:e>
          <m:e>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i</m:t>
                </m:r>
              </m:sub>
            </m:sSub>
            <m:r>
              <w:rPr>
                <w:rFonts w:ascii="Cambria Math" w:eastAsiaTheme="minorEastAsia" w:hAnsi="Cambria Math" w:cs="Times New Roman"/>
              </w:rPr>
              <m:t xml:space="preserve">≥0 ∀ </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i</m:t>
                </m:r>
              </m:sub>
            </m:sSub>
            <m:r>
              <w:rPr>
                <w:rFonts w:ascii="Cambria Math" w:eastAsiaTheme="minorEastAsia" w:hAnsi="Cambria Math" w:cs="Times New Roman"/>
              </w:rPr>
              <m:t>;</m:t>
            </m:r>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n</m:t>
                </m:r>
              </m:sup>
              <m:e>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i</m:t>
                    </m:r>
                  </m:sub>
                </m:sSub>
              </m:e>
            </m:nary>
            <m:r>
              <w:rPr>
                <w:rFonts w:ascii="Cambria Math" w:eastAsiaTheme="minorEastAsia" w:hAnsi="Cambria Math" w:cs="Times New Roman"/>
              </w:rPr>
              <m:t>=T</m:t>
            </m:r>
          </m:e>
        </m:d>
      </m:oMath>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t xml:space="preserve">     (3.2</w:t>
      </w:r>
    </w:p>
    <w:p w14:paraId="0CC879EB" w14:textId="77777777" w:rsidR="00365526" w:rsidRPr="00F23F20" w:rsidRDefault="00365526" w:rsidP="00365526">
      <w:pPr>
        <w:spacing w:line="480" w:lineRule="auto"/>
        <w:rPr>
          <w:rFonts w:ascii="Times New Roman" w:eastAsiaTheme="minorEastAsia" w:hAnsi="Times New Roman" w:cs="Times New Roman"/>
        </w:rPr>
      </w:pPr>
      <w:r w:rsidRPr="00F23F20">
        <w:rPr>
          <w:rFonts w:ascii="Times New Roman" w:eastAsiaTheme="minorEastAsia" w:hAnsi="Times New Roman" w:cs="Times New Roman"/>
        </w:rPr>
        <w:t xml:space="preserve">where </w:t>
      </w:r>
      <w:r w:rsidRPr="00F23F20">
        <w:rPr>
          <w:rFonts w:ascii="Times New Roman" w:eastAsiaTheme="minorEastAsia" w:hAnsi="Times New Roman" w:cs="Times New Roman"/>
          <w:i/>
          <w:iCs/>
        </w:rPr>
        <w:t>C</w:t>
      </w:r>
      <w:r w:rsidRPr="00F23F20">
        <w:rPr>
          <w:rFonts w:ascii="Times New Roman" w:eastAsiaTheme="minorEastAsia" w:hAnsi="Times New Roman" w:cs="Times New Roman"/>
          <w:i/>
          <w:iCs/>
          <w:vertAlign w:val="subscript"/>
        </w:rPr>
        <w:t>t</w:t>
      </w:r>
      <w:r w:rsidRPr="00F23F20">
        <w:rPr>
          <w:rFonts w:ascii="Times New Roman" w:eastAsiaTheme="minorEastAsia" w:hAnsi="Times New Roman" w:cs="Times New Roman"/>
        </w:rPr>
        <w:t xml:space="preserve"> is the distribution of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across all taxa in a community and the sum of all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equals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Thus, the relative contribution that the </w:t>
      </w:r>
      <w:proofErr w:type="spellStart"/>
      <w:r w:rsidRPr="00F23F20">
        <w:rPr>
          <w:rFonts w:ascii="Times New Roman" w:eastAsiaTheme="minorEastAsia" w:hAnsi="Times New Roman" w:cs="Times New Roman"/>
          <w:i/>
          <w:iCs/>
        </w:rPr>
        <w:t>i</w:t>
      </w:r>
      <w:r w:rsidRPr="00F23F20">
        <w:rPr>
          <w:rFonts w:ascii="Times New Roman" w:eastAsiaTheme="minorEastAsia" w:hAnsi="Times New Roman" w:cs="Times New Roman"/>
          <w:vertAlign w:val="superscript"/>
        </w:rPr>
        <w:t>th</w:t>
      </w:r>
      <w:proofErr w:type="spellEnd"/>
      <w:r w:rsidRPr="00F23F20">
        <w:rPr>
          <w:rFonts w:ascii="Times New Roman" w:eastAsiaTheme="minorEastAsia" w:hAnsi="Times New Roman" w:cs="Times New Roman"/>
        </w:rPr>
        <w:t xml:space="preserve"> taxon makes towards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defined here as </w:t>
      </w:r>
      <w:proofErr w:type="spellStart"/>
      <w:r w:rsidRPr="00F23F20">
        <w:rPr>
          <w:rFonts w:ascii="Times New Roman" w:eastAsiaTheme="minorEastAsia" w:hAnsi="Times New Roman" w:cs="Times New Roman"/>
          <w:i/>
          <w:iCs/>
        </w:rPr>
        <w:t>τ</w:t>
      </w:r>
      <w:r w:rsidRPr="00F23F20">
        <w:rPr>
          <w:rFonts w:ascii="Times New Roman" w:eastAsiaTheme="minorEastAsia" w:hAnsi="Times New Roman" w:cs="Times New Roman"/>
          <w:i/>
          <w:iCs/>
          <w:vertAlign w:val="subscript"/>
        </w:rPr>
        <w:t>i</w:t>
      </w:r>
      <w:proofErr w:type="spellEnd"/>
      <w:r w:rsidRPr="00F23F20">
        <w:rPr>
          <w:rFonts w:ascii="Times New Roman" w:eastAsiaTheme="minorEastAsia" w:hAnsi="Times New Roman" w:cs="Times New Roman"/>
          <w:vertAlign w:val="subscript"/>
        </w:rPr>
        <w:t>,</w:t>
      </w:r>
      <w:r w:rsidRPr="00F23F20">
        <w:rPr>
          <w:rFonts w:ascii="Times New Roman" w:eastAsiaTheme="minorEastAsia" w:hAnsi="Times New Roman" w:cs="Times New Roman"/>
        </w:rPr>
        <w:t xml:space="preserve"> was calculated as:</w:t>
      </w:r>
    </w:p>
    <w:p w14:paraId="01F9F4D5" w14:textId="77777777" w:rsidR="00365526" w:rsidRPr="00F23F20" w:rsidRDefault="002A3883" w:rsidP="00365526">
      <w:pPr>
        <w:spacing w:line="480" w:lineRule="auto"/>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i</m:t>
            </m:r>
          </m:sub>
        </m:sSub>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i</m:t>
                </m:r>
              </m:sub>
            </m:sSub>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i</m:t>
                </m:r>
              </m:sub>
            </m:sSub>
          </m:num>
          <m:den>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n</m:t>
                </m:r>
              </m:sup>
              <m:e>
                <m:sSub>
                  <m:sSubPr>
                    <m:ctrlPr>
                      <w:rPr>
                        <w:rFonts w:ascii="Cambria Math" w:eastAsiaTheme="minorEastAsia" w:hAnsi="Cambria Math" w:cs="Times New Roman"/>
                        <w:i/>
                      </w:rPr>
                    </m:ctrlPr>
                  </m:sSubPr>
                  <m:e>
                    <m:r>
                      <w:rPr>
                        <w:rFonts w:ascii="Cambria Math" w:eastAsiaTheme="minorEastAsia" w:hAnsi="Cambria Math" w:cs="Times New Roman"/>
                      </w:rPr>
                      <m:t>p</m:t>
                    </m:r>
                  </m:e>
                  <m:sub>
                    <m:r>
                      <w:rPr>
                        <w:rFonts w:ascii="Cambria Math" w:eastAsiaTheme="minorEastAsia" w:hAnsi="Cambria Math" w:cs="Times New Roman"/>
                      </w:rPr>
                      <m:t>i</m:t>
                    </m:r>
                  </m:sub>
                </m:sSub>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i</m:t>
                    </m:r>
                  </m:sub>
                </m:sSub>
              </m:e>
            </m:nary>
          </m:den>
        </m:f>
      </m:oMath>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t xml:space="preserve">     (3.3</w:t>
      </w:r>
    </w:p>
    <w:p w14:paraId="6D32354A" w14:textId="77777777" w:rsidR="00365526" w:rsidRPr="00F23F20" w:rsidRDefault="00365526" w:rsidP="00365526">
      <w:pPr>
        <w:spacing w:line="480" w:lineRule="auto"/>
        <w:ind w:firstLine="720"/>
        <w:rPr>
          <w:rFonts w:ascii="Times New Roman" w:eastAsiaTheme="minorEastAsia" w:hAnsi="Times New Roman" w:cs="Times New Roman"/>
        </w:rPr>
      </w:pPr>
      <w:r w:rsidRPr="00F23F20">
        <w:rPr>
          <w:rFonts w:ascii="Times New Roman" w:eastAsiaTheme="minorEastAsia" w:hAnsi="Times New Roman" w:cs="Times New Roman"/>
        </w:rPr>
        <w:lastRenderedPageBreak/>
        <w:t xml:space="preserve">As each </w:t>
      </w:r>
      <w:proofErr w:type="spellStart"/>
      <w:r w:rsidRPr="00F23F20">
        <w:rPr>
          <w:rFonts w:ascii="Times New Roman" w:eastAsiaTheme="minorEastAsia" w:hAnsi="Times New Roman" w:cs="Times New Roman"/>
          <w:i/>
          <w:iCs/>
        </w:rPr>
        <w:t>τ</w:t>
      </w:r>
      <w:r w:rsidRPr="00F23F20">
        <w:rPr>
          <w:rFonts w:ascii="Times New Roman" w:eastAsiaTheme="minorEastAsia" w:hAnsi="Times New Roman" w:cs="Times New Roman"/>
          <w:i/>
          <w:iCs/>
          <w:vertAlign w:val="subscript"/>
        </w:rPr>
        <w:t>i</w:t>
      </w:r>
      <w:proofErr w:type="spellEnd"/>
      <w:r w:rsidRPr="00F23F20">
        <w:rPr>
          <w:rFonts w:ascii="Times New Roman" w:eastAsiaTheme="minorEastAsia" w:hAnsi="Times New Roman" w:cs="Times New Roman"/>
        </w:rPr>
        <w:t xml:space="preserve"> is a fraction of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we reformulate the abundance distribution for the community, </w:t>
      </w:r>
      <w:r w:rsidRPr="00F23F20">
        <w:rPr>
          <w:rFonts w:ascii="Times New Roman" w:eastAsiaTheme="minorEastAsia" w:hAnsi="Times New Roman" w:cs="Times New Roman"/>
          <w:i/>
          <w:iCs/>
        </w:rPr>
        <w:t>C</w:t>
      </w:r>
      <w:r w:rsidRPr="00F23F20">
        <w:rPr>
          <w:rFonts w:ascii="Times New Roman" w:eastAsiaTheme="minorEastAsia" w:hAnsi="Times New Roman" w:cs="Times New Roman"/>
        </w:rPr>
        <w:t xml:space="preserve">, as an abundance distribution with respect to </w:t>
      </w:r>
      <w:r w:rsidRPr="00F23F20">
        <w:rPr>
          <w:rFonts w:ascii="Times New Roman" w:eastAsiaTheme="minorEastAsia" w:hAnsi="Times New Roman" w:cs="Times New Roman"/>
          <w:i/>
          <w:iCs/>
        </w:rPr>
        <w:t>τ</w:t>
      </w:r>
      <w:r w:rsidRPr="00F23F20">
        <w:rPr>
          <w:rFonts w:ascii="Times New Roman" w:eastAsiaTheme="minorEastAsia" w:hAnsi="Times New Roman" w:cs="Times New Roman"/>
        </w:rPr>
        <w:t xml:space="preserve"> (trait contribution distribution)</w:t>
      </w:r>
      <w:r w:rsidRPr="00F23F20">
        <w:rPr>
          <w:rFonts w:ascii="Times New Roman" w:eastAsiaTheme="minorEastAsia" w:hAnsi="Times New Roman" w:cs="Times New Roman"/>
          <w:i/>
          <w:iCs/>
        </w:rPr>
        <w:t>,</w:t>
      </w:r>
      <w:r w:rsidRPr="00F23F20">
        <w:rPr>
          <w:rFonts w:ascii="Times New Roman" w:eastAsiaTheme="minorEastAsia" w:hAnsi="Times New Roman" w:cs="Times New Roman"/>
        </w:rPr>
        <w:t xml:space="preserve"> such that:</w:t>
      </w:r>
    </w:p>
    <w:p w14:paraId="3A3354A4" w14:textId="77777777" w:rsidR="00365526" w:rsidRPr="00F23F20" w:rsidRDefault="002A3883" w:rsidP="00365526">
      <w:pPr>
        <w:spacing w:line="480" w:lineRule="auto"/>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τ,all</m:t>
            </m:r>
          </m:sub>
        </m:sSub>
        <m:r>
          <w:rPr>
            <w:rFonts w:ascii="Cambria Math" w:eastAsiaTheme="minorEastAsia" w:hAnsi="Cambria Math" w:cs="Times New Roman"/>
          </w:rPr>
          <m:t>=</m:t>
        </m:r>
        <m:d>
          <m:dPr>
            <m:begChr m:val="{"/>
            <m:endChr m:val="}"/>
            <m:ctrlPr>
              <w:rPr>
                <w:rFonts w:ascii="Cambria Math" w:eastAsiaTheme="minorEastAsia" w:hAnsi="Cambria Math" w:cs="Times New Roman"/>
                <w:i/>
              </w:rPr>
            </m:ctrlPr>
          </m:dPr>
          <m:e>
            <m:r>
              <w:rPr>
                <w:rFonts w:ascii="Cambria Math" w:eastAsiaTheme="minorEastAsia" w:hAnsi="Cambria Math" w:cs="Times New Roman"/>
              </w:rPr>
              <m:t>τ</m:t>
            </m:r>
          </m:e>
          <m:e>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i</m:t>
                </m:r>
              </m:sub>
            </m:sSub>
            <m:r>
              <w:rPr>
                <w:rFonts w:ascii="Cambria Math" w:eastAsiaTheme="minorEastAsia" w:hAnsi="Cambria Math" w:cs="Times New Roman"/>
              </w:rPr>
              <m:t xml:space="preserve">≥0 ∀ </m:t>
            </m:r>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i</m:t>
                </m:r>
              </m:sub>
            </m:sSub>
            <m:r>
              <w:rPr>
                <w:rFonts w:ascii="Cambria Math" w:eastAsiaTheme="minorEastAsia" w:hAnsi="Cambria Math" w:cs="Times New Roman"/>
              </w:rPr>
              <m:t>;</m:t>
            </m:r>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n</m:t>
                </m:r>
              </m:sup>
              <m:e>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j</m:t>
                    </m:r>
                  </m:sub>
                </m:sSub>
              </m:e>
            </m:nary>
            <m:r>
              <w:rPr>
                <w:rFonts w:ascii="Cambria Math" w:eastAsiaTheme="minorEastAsia" w:hAnsi="Cambria Math" w:cs="Times New Roman"/>
              </w:rPr>
              <m:t>=1</m:t>
            </m:r>
          </m:e>
        </m:d>
      </m:oMath>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t xml:space="preserve">  (3.4.1</w:t>
      </w:r>
    </w:p>
    <w:p w14:paraId="5E42F29D" w14:textId="77777777" w:rsidR="00365526" w:rsidRPr="00F23F20" w:rsidRDefault="00365526" w:rsidP="00365526">
      <w:pPr>
        <w:spacing w:line="480" w:lineRule="auto"/>
        <w:jc w:val="both"/>
        <w:rPr>
          <w:rFonts w:ascii="Times New Roman" w:eastAsiaTheme="minorEastAsia" w:hAnsi="Times New Roman" w:cs="Times New Roman"/>
        </w:rPr>
      </w:pPr>
      <w:r w:rsidRPr="00F23F20">
        <w:rPr>
          <w:rFonts w:ascii="Times New Roman" w:eastAsiaTheme="minorEastAsia" w:hAnsi="Times New Roman" w:cs="Times New Roman"/>
        </w:rPr>
        <w:t>and</w:t>
      </w:r>
    </w:p>
    <w:p w14:paraId="49626579" w14:textId="77777777" w:rsidR="00365526" w:rsidRPr="00F23F20" w:rsidRDefault="002A3883" w:rsidP="00365526">
      <w:pPr>
        <w:spacing w:line="480" w:lineRule="auto"/>
        <w:jc w:val="both"/>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τ</m:t>
            </m:r>
          </m:sub>
        </m:sSub>
        <m:r>
          <w:rPr>
            <w:rFonts w:ascii="Cambria Math" w:eastAsiaTheme="minorEastAsia" w:hAnsi="Cambria Math" w:cs="Times New Roman"/>
          </w:rPr>
          <m:t xml:space="preserve">= </m:t>
        </m:r>
        <m:d>
          <m:dPr>
            <m:begChr m:val="{"/>
            <m:endChr m:val="}"/>
            <m:ctrlPr>
              <w:rPr>
                <w:rFonts w:ascii="Cambria Math" w:eastAsiaTheme="minorEastAsia" w:hAnsi="Cambria Math" w:cs="Times New Roman"/>
                <w:i/>
              </w:rPr>
            </m:ctrlPr>
          </m:dPr>
          <m:e>
            <m:r>
              <w:rPr>
                <w:rFonts w:ascii="Cambria Math" w:eastAsiaTheme="minorEastAsia" w:hAnsi="Cambria Math" w:cs="Times New Roman"/>
              </w:rPr>
              <m:t>τ∈</m:t>
            </m:r>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τ,all</m:t>
                </m:r>
              </m:sub>
            </m:sSub>
          </m:e>
          <m:e>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i</m:t>
                </m:r>
              </m:sub>
            </m:sSub>
            <m:r>
              <w:rPr>
                <w:rFonts w:ascii="Cambria Math" w:eastAsiaTheme="minorEastAsia" w:hAnsi="Cambria Math" w:cs="Times New Roman"/>
              </w:rPr>
              <m:t xml:space="preserve">&gt;0 ∀ </m:t>
            </m:r>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i</m:t>
                </m:r>
              </m:sub>
            </m:sSub>
            <m:r>
              <w:rPr>
                <w:rFonts w:ascii="Cambria Math" w:eastAsiaTheme="minorEastAsia" w:hAnsi="Cambria Math" w:cs="Times New Roman"/>
              </w:rPr>
              <m:t>;</m:t>
            </m:r>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ν</m:t>
                </m:r>
              </m:sup>
              <m:e>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i</m:t>
                    </m:r>
                  </m:sub>
                </m:sSub>
              </m:e>
            </m:nary>
            <m:r>
              <w:rPr>
                <w:rFonts w:ascii="Cambria Math" w:eastAsiaTheme="minorEastAsia" w:hAnsi="Cambria Math" w:cs="Times New Roman"/>
              </w:rPr>
              <m:t>=1</m:t>
            </m:r>
          </m:e>
        </m:d>
      </m:oMath>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t xml:space="preserve">  (3.4.2</w:t>
      </w:r>
    </w:p>
    <w:p w14:paraId="5EDBB722" w14:textId="77777777" w:rsidR="00365526" w:rsidRPr="00F23F20" w:rsidRDefault="00365526" w:rsidP="00365526">
      <w:pPr>
        <w:spacing w:line="480" w:lineRule="auto"/>
        <w:rPr>
          <w:rFonts w:ascii="Times New Roman" w:eastAsiaTheme="minorEastAsia" w:hAnsi="Times New Roman" w:cs="Times New Roman"/>
        </w:rPr>
      </w:pPr>
      <w:bookmarkStart w:id="243" w:name="_Hlk36821338"/>
      <w:r w:rsidRPr="00F23F20">
        <w:rPr>
          <w:rFonts w:ascii="Times New Roman" w:eastAsiaTheme="minorEastAsia" w:hAnsi="Times New Roman" w:cs="Times New Roman"/>
        </w:rPr>
        <w:t xml:space="preserve">where again, </w:t>
      </w:r>
      <w:proofErr w:type="spellStart"/>
      <w:r w:rsidRPr="00F23F20">
        <w:rPr>
          <w:rFonts w:ascii="Times New Roman" w:eastAsiaTheme="minorEastAsia" w:hAnsi="Times New Roman" w:cs="Times New Roman"/>
          <w:i/>
        </w:rPr>
        <w:t>τ</w:t>
      </w:r>
      <w:r w:rsidRPr="00F23F20">
        <w:rPr>
          <w:rFonts w:ascii="Times New Roman" w:eastAsiaTheme="minorEastAsia" w:hAnsi="Times New Roman" w:cs="Times New Roman"/>
          <w:i/>
          <w:vertAlign w:val="subscript"/>
        </w:rPr>
        <w:t>i</w:t>
      </w:r>
      <w:proofErr w:type="spellEnd"/>
      <w:r w:rsidRPr="00F23F20">
        <w:rPr>
          <w:rFonts w:ascii="Times New Roman" w:eastAsiaTheme="minorEastAsia" w:hAnsi="Times New Roman" w:cs="Times New Roman"/>
        </w:rPr>
        <w:t xml:space="preserve"> is the relative contribution by the </w:t>
      </w:r>
      <w:proofErr w:type="spellStart"/>
      <w:r w:rsidRPr="00F23F20">
        <w:rPr>
          <w:rFonts w:ascii="Times New Roman" w:eastAsiaTheme="minorEastAsia" w:hAnsi="Times New Roman" w:cs="Times New Roman"/>
          <w:i/>
          <w:iCs/>
        </w:rPr>
        <w:t>i</w:t>
      </w:r>
      <w:r w:rsidRPr="00F23F20">
        <w:rPr>
          <w:rFonts w:ascii="Times New Roman" w:eastAsiaTheme="minorEastAsia" w:hAnsi="Times New Roman" w:cs="Times New Roman"/>
          <w:vertAlign w:val="superscript"/>
        </w:rPr>
        <w:t>th</w:t>
      </w:r>
      <w:proofErr w:type="spellEnd"/>
      <w:r w:rsidRPr="00F23F20">
        <w:rPr>
          <w:rFonts w:ascii="Times New Roman" w:eastAsiaTheme="minorEastAsia" w:hAnsi="Times New Roman" w:cs="Times New Roman"/>
          <w:i/>
          <w:iCs/>
        </w:rPr>
        <w:t xml:space="preserve"> </w:t>
      </w:r>
      <w:r w:rsidRPr="00F23F20">
        <w:rPr>
          <w:rFonts w:ascii="Times New Roman" w:eastAsiaTheme="minorEastAsia" w:hAnsi="Times New Roman" w:cs="Times New Roman"/>
        </w:rPr>
        <w:t xml:space="preserve">taxon to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w:t>
      </w:r>
      <w:r w:rsidRPr="00F23F20">
        <w:rPr>
          <w:rFonts w:ascii="Times New Roman" w:eastAsiaTheme="minorEastAsia" w:hAnsi="Times New Roman" w:cs="Times New Roman"/>
          <w:i/>
        </w:rPr>
        <w:t xml:space="preserve"> </w:t>
      </w:r>
      <w:r w:rsidRPr="00F23F20">
        <w:rPr>
          <w:rFonts w:ascii="Times New Roman" w:eastAsiaTheme="minorEastAsia" w:hAnsi="Times New Roman" w:cs="Times New Roman"/>
        </w:rPr>
        <w:t xml:space="preserve">such that all </w:t>
      </w:r>
      <w:r w:rsidRPr="00F23F20">
        <w:rPr>
          <w:rFonts w:ascii="Times New Roman" w:eastAsiaTheme="minorEastAsia" w:hAnsi="Times New Roman" w:cs="Times New Roman"/>
          <w:i/>
        </w:rPr>
        <w:t>τ</w:t>
      </w:r>
      <w:r w:rsidRPr="00F23F20">
        <w:rPr>
          <w:rFonts w:ascii="Times New Roman" w:eastAsiaTheme="minorEastAsia" w:hAnsi="Times New Roman" w:cs="Times New Roman"/>
        </w:rPr>
        <w:t xml:space="preserve"> sum to equal 1. The community represented in equation 3.4.1 considers the situation where </w:t>
      </w:r>
      <w:r w:rsidRPr="00F23F20">
        <w:rPr>
          <w:rFonts w:ascii="Times New Roman" w:eastAsiaTheme="minorEastAsia" w:hAnsi="Times New Roman" w:cs="Times New Roman"/>
          <w:i/>
        </w:rPr>
        <w:t>τ</w:t>
      </w:r>
      <w:r w:rsidRPr="00F23F20">
        <w:rPr>
          <w:rFonts w:ascii="Times New Roman" w:eastAsiaTheme="minorEastAsia" w:hAnsi="Times New Roman" w:cs="Times New Roman"/>
        </w:rPr>
        <w:t xml:space="preserve"> can equal 0 because the </w:t>
      </w:r>
      <w:proofErr w:type="spellStart"/>
      <w:r w:rsidRPr="00F23F20">
        <w:rPr>
          <w:rFonts w:ascii="Times New Roman" w:eastAsiaTheme="minorEastAsia" w:hAnsi="Times New Roman" w:cs="Times New Roman"/>
          <w:i/>
        </w:rPr>
        <w:t>i</w:t>
      </w:r>
      <w:r w:rsidRPr="00F23F20">
        <w:rPr>
          <w:rFonts w:ascii="Times New Roman" w:eastAsiaTheme="minorEastAsia" w:hAnsi="Times New Roman" w:cs="Times New Roman"/>
          <w:vertAlign w:val="superscript"/>
        </w:rPr>
        <w:t>th</w:t>
      </w:r>
      <w:proofErr w:type="spellEnd"/>
      <w:r w:rsidRPr="00F23F20">
        <w:rPr>
          <w:rFonts w:ascii="Times New Roman" w:eastAsiaTheme="minorEastAsia" w:hAnsi="Times New Roman" w:cs="Times New Roman"/>
          <w:i/>
        </w:rPr>
        <w:t xml:space="preserve"> </w:t>
      </w:r>
      <w:r w:rsidRPr="00F23F20">
        <w:rPr>
          <w:rFonts w:ascii="Times New Roman" w:eastAsiaTheme="minorEastAsia" w:hAnsi="Times New Roman" w:cs="Times New Roman"/>
        </w:rPr>
        <w:t xml:space="preserve">taxon has a </w:t>
      </w:r>
      <w:r w:rsidRPr="00F23F20">
        <w:rPr>
          <w:rFonts w:ascii="Times New Roman" w:eastAsiaTheme="minorEastAsia" w:hAnsi="Times New Roman" w:cs="Times New Roman"/>
          <w:i/>
          <w:iCs/>
        </w:rPr>
        <w:t>p</w:t>
      </w:r>
      <w:r w:rsidRPr="00F23F20">
        <w:rPr>
          <w:rFonts w:ascii="Times New Roman" w:eastAsiaTheme="minorEastAsia" w:hAnsi="Times New Roman" w:cs="Times New Roman"/>
          <w:i/>
          <w:iCs/>
          <w:vertAlign w:val="subscript"/>
        </w:rPr>
        <w:t>i</w:t>
      </w:r>
      <w:r w:rsidRPr="00F23F20">
        <w:rPr>
          <w:rFonts w:ascii="Times New Roman" w:eastAsiaTheme="minorEastAsia" w:hAnsi="Times New Roman" w:cs="Times New Roman"/>
        </w:rPr>
        <w:t xml:space="preserve">&gt;0 but may not contribute to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w:t>
      </w:r>
      <w:proofErr w:type="spellStart"/>
      <w:r w:rsidRPr="00F23F20">
        <w:rPr>
          <w:rFonts w:ascii="Times New Roman" w:eastAsiaTheme="minorEastAsia" w:hAnsi="Times New Roman" w:cs="Times New Roman"/>
          <w:i/>
          <w:iCs/>
        </w:rPr>
        <w:t>t</w:t>
      </w:r>
      <w:r w:rsidRPr="00F23F20">
        <w:rPr>
          <w:rFonts w:ascii="Times New Roman" w:eastAsiaTheme="minorEastAsia" w:hAnsi="Times New Roman" w:cs="Times New Roman"/>
          <w:i/>
          <w:iCs/>
          <w:vertAlign w:val="subscript"/>
        </w:rPr>
        <w:t>i</w:t>
      </w:r>
      <w:proofErr w:type="spellEnd"/>
      <w:r w:rsidRPr="00F23F20">
        <w:rPr>
          <w:rFonts w:ascii="Times New Roman" w:eastAsiaTheme="minorEastAsia" w:hAnsi="Times New Roman" w:cs="Times New Roman"/>
        </w:rPr>
        <w:t xml:space="preserve">=0). The community represented in equation 3.4.2 is a subset of equation 3.4.1, where </w:t>
      </w:r>
      <w:proofErr w:type="spellStart"/>
      <w:r w:rsidRPr="00F23F20">
        <w:rPr>
          <w:rFonts w:ascii="Times New Roman" w:eastAsiaTheme="minorEastAsia" w:hAnsi="Times New Roman" w:cs="Times New Roman"/>
          <w:i/>
          <w:iCs/>
        </w:rPr>
        <w:t>C</w:t>
      </w:r>
      <w:r w:rsidRPr="00F23F20">
        <w:rPr>
          <w:rFonts w:ascii="Times New Roman" w:eastAsiaTheme="minorEastAsia" w:hAnsi="Times New Roman" w:cs="Times New Roman"/>
          <w:i/>
          <w:iCs/>
          <w:vertAlign w:val="subscript"/>
        </w:rPr>
        <w:t>τ</w:t>
      </w:r>
      <w:proofErr w:type="spellEnd"/>
      <w:r w:rsidRPr="00F23F20">
        <w:rPr>
          <w:rFonts w:ascii="Times New Roman" w:eastAsiaTheme="minorEastAsia" w:hAnsi="Times New Roman" w:cs="Times New Roman"/>
        </w:rPr>
        <w:t xml:space="preserve"> contains only taxa from </w:t>
      </w:r>
      <w:proofErr w:type="spellStart"/>
      <w:r w:rsidRPr="00F23F20">
        <w:rPr>
          <w:rFonts w:ascii="Times New Roman" w:eastAsiaTheme="minorEastAsia" w:hAnsi="Times New Roman" w:cs="Times New Roman"/>
          <w:i/>
          <w:iCs/>
        </w:rPr>
        <w:t>C</w:t>
      </w:r>
      <w:r w:rsidRPr="00F23F20">
        <w:rPr>
          <w:rFonts w:ascii="Times New Roman" w:eastAsiaTheme="minorEastAsia" w:hAnsi="Times New Roman" w:cs="Times New Roman"/>
          <w:i/>
          <w:iCs/>
          <w:vertAlign w:val="subscript"/>
        </w:rPr>
        <w:t>τ,all</w:t>
      </w:r>
      <w:proofErr w:type="spellEnd"/>
      <w:r w:rsidRPr="00F23F20">
        <w:rPr>
          <w:rFonts w:ascii="Times New Roman" w:eastAsiaTheme="minorEastAsia" w:hAnsi="Times New Roman" w:cs="Times New Roman"/>
        </w:rPr>
        <w:t xml:space="preserve"> with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&gt;0. As such, we adopted the variable, </w:t>
      </w:r>
      <w:r w:rsidRPr="00F23F20">
        <w:rPr>
          <w:rFonts w:ascii="Times New Roman" w:eastAsiaTheme="minorEastAsia" w:hAnsi="Times New Roman" w:cs="Times New Roman"/>
          <w:i/>
        </w:rPr>
        <w:t>ν</w:t>
      </w:r>
      <w:r w:rsidRPr="00F23F20">
        <w:rPr>
          <w:rFonts w:ascii="Times New Roman" w:eastAsiaTheme="minorEastAsia" w:hAnsi="Times New Roman" w:cs="Times New Roman"/>
        </w:rPr>
        <w:t xml:space="preserve">, which represents the richness of taxa in </w:t>
      </w:r>
      <w:proofErr w:type="spellStart"/>
      <w:r w:rsidRPr="00F23F20">
        <w:rPr>
          <w:rFonts w:ascii="Times New Roman" w:eastAsiaTheme="minorEastAsia" w:hAnsi="Times New Roman" w:cs="Times New Roman"/>
          <w:i/>
          <w:iCs/>
        </w:rPr>
        <w:t>C</w:t>
      </w:r>
      <w:r w:rsidRPr="00F23F20">
        <w:rPr>
          <w:rFonts w:ascii="Times New Roman" w:eastAsiaTheme="minorEastAsia" w:hAnsi="Times New Roman" w:cs="Times New Roman"/>
          <w:i/>
          <w:iCs/>
          <w:vertAlign w:val="subscript"/>
        </w:rPr>
        <w:t>τ</w:t>
      </w:r>
      <w:proofErr w:type="spellEnd"/>
      <w:r w:rsidRPr="00F23F20">
        <w:rPr>
          <w:rFonts w:ascii="Times New Roman" w:eastAsiaTheme="minorEastAsia" w:hAnsi="Times New Roman" w:cs="Times New Roman"/>
        </w:rPr>
        <w:t xml:space="preserve">. Note that equation 3.4.1 and 3.4.2 equal when all taxa contribute to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&gt;0).</w:t>
      </w:r>
    </w:p>
    <w:bookmarkEnd w:id="243"/>
    <w:p w14:paraId="2E0D8DF0" w14:textId="78430E97" w:rsidR="00365526" w:rsidRPr="00F23F20" w:rsidRDefault="00365526" w:rsidP="00365526">
      <w:pPr>
        <w:spacing w:line="480" w:lineRule="auto"/>
        <w:ind w:firstLine="720"/>
        <w:rPr>
          <w:rFonts w:ascii="Times New Roman" w:eastAsiaTheme="minorEastAsia" w:hAnsi="Times New Roman" w:cs="Times New Roman"/>
        </w:rPr>
      </w:pPr>
      <w:r w:rsidRPr="00F23F20">
        <w:rPr>
          <w:rFonts w:ascii="Times New Roman" w:eastAsiaTheme="minorEastAsia" w:hAnsi="Times New Roman" w:cs="Times New Roman"/>
        </w:rPr>
        <w:t xml:space="preserve">The necessity for differentiating equation 3.4.1 and equation 3.4.2 is that the trait contribution distribution in equation 3.4.2 is consistent with attributes of a community. Specifically, equation 3.4.2 does not include absent taxa which are not incorporated in conventional diversity metrics </w:t>
      </w:r>
      <w:r w:rsidRPr="00F23F20">
        <w:rPr>
          <w:rFonts w:ascii="Times New Roman" w:eastAsiaTheme="minorEastAsia" w:hAnsi="Times New Roman" w:cs="Times New Roman"/>
        </w:rPr>
        <w:fldChar w:fldCharType="begin" w:fldLock="1"/>
      </w:r>
      <w:r w:rsidR="00307058">
        <w:rPr>
          <w:rFonts w:ascii="Times New Roman" w:eastAsiaTheme="minorEastAsia" w:hAnsi="Times New Roman" w:cs="Times New Roman"/>
        </w:rPr>
        <w:instrText>ADDIN CSL_CITATION {"citationItems":[{"id":"ITEM-1","itemData":{"DOI":"10.1080/01621459.1982.10477845","ISSN":"1537274X","abstract":"This paper puts forth the view that diversity is an average property of a community and identifies that property as species rarity. An intrinsic diversity ordering of communities is defined and is shown to be equivalent to stochastic ordering. Also, the sensitivity of an index to rare species is developed, culminating in a crossing-point theorem and a response theory to perturbations. Diversity decompositions, analogous to the analysis of variance, are discussed for two-way classifications and mixtures. The paper concludes with a brief survey of genetic diversity, linguistic diversity, industrial concentration, and income inequality. © 1982 Taylor &amp; Francis Group, LLC.","author":[{"dropping-particle":"","family":"Patil","given":"G. P.","non-dropping-particle":"","parse-names":false,"suffix":""},{"dropping-particle":"","family":"Taillie","given":"C.","non-dropping-particle":"","parse-names":false,"suffix":""}],"container-title":"Journal of the American Statistical Association","id":"ITEM-1","issue":"379","issued":{"date-parts":[["1982"]]},"page":"548-561","title":"Diversity as a concept and its measurement","type":"article-journal","volume":"77"},"uris":["http://www.mendeley.com/documents/?uuid=fad30308-9969-47c6-a1dd-011e720f7ddc"]},{"id":"ITEM-2","itemData":{"DOI":"10.1111/j.1461-0248.2007.01094.x","ISSN":"1461023X","PMID":"17845298","abstract":"Species abundance distributions (SADs) follow one of ecology's oldest and most universal laws - every community shows a hollow curve or hyperbolic shape on a histogram with many rare species and just a few common species. Here, we review theoretical, empirical and statistical developments in the study of SADs. Several key points emerge. (i) Literally dozens of models have been proposed to explain the hollow curve. Unfortunately, very few models are ever rejected, primarily because few theories make any predictions beyond the hollow-curve SAD itself. (ii) Interesting work has been performed both empirically and theoretically, which goes beyond the hollow-curve prediction to provide a rich variety of information about how SADs behave. These include the study of SADs along environmental gradients and theories that integrate SADs with other biodiversity patterns. Central to this body of work is an effort to move beyond treating the SAD in isolation and to integrate the SAD into its ecological context to enable making many predictions. (iii) Moving forward will entail understanding how sampling and scale affect SADs and developing statistical tools for describing and comparing SADs. We are optimistic that SADs can provide significant insights into basic and applied ecological science. © 2007 Blackwell Publishing Ltd/CNRS.","author":[{"dropping-particle":"","family":"McGill","given":"Brian J.","non-dropping-particle":"","parse-names":false,"suffix":""},{"dropping-particle":"","family":"Etienne","given":"Rampal S.","non-dropping-particle":"","parse-names":false,"suffix":""},{"dropping-particle":"","family":"Gray","given":"John S.","non-dropping-particle":"","parse-names":false,"suffix":""},{"dropping-particle":"","family":"Alonso","given":"David","non-dropping-particle":"","parse-names":false,"suffix":""},{"dropping-particle":"","family":"Anderson","given":"Marti J.","non-dropping-particle":"","parse-names":false,"suffix":""},{"dropping-particle":"","family":"Benecha","given":"Habtamu Kassa","non-dropping-particle":"","parse-names":false,"suffix":""},{"dropping-particle":"","family":"Dornelas","given":"Maria","non-dropping-particle":"","parse-names":false,"suffix":""},{"dropping-particle":"","family":"Enquist","given":"Brian J.","non-dropping-particle":"","parse-names":false,"suffix":""},{"dropping-particle":"","family":"Green","given":"Jessica L.","non-dropping-particle":"","parse-names":false,"suffix":""},{"dropping-particle":"","family":"He","given":"Fangliang","non-dropping-particle":"","parse-names":false,"suffix":""},{"dropping-particle":"","family":"Hurlbert","given":"Allen H.","non-dropping-particle":"","parse-names":false,"suffix":""},{"dropping-particle":"","family":"Magurran","given":"Anne E.","non-dropping-particle":"","parse-names":false,"suffix":""},{"dropping-particle":"","family":"Marquet","given":"Pablo A.","non-dropping-particle":"","parse-names":false,"suffix":""},{"dropping-particle":"","family":"Maurer","given":"Brian A.","non-dropping-particle":"","parse-names":false,"suffix":""},{"dropping-particle":"","family":"Ostling","given":"Annette","non-dropping-particle":"","parse-names":false,"suffix":""},{"dropping-particle":"","family":"Soykan","given":"Candan U.","non-dropping-particle":"","parse-names":false,"suffix":""},{"dropping-particle":"","family":"Ugland","given":"Karl I.","non-dropping-particle":"","parse-names":false,"suffix":""},{"dropping-particle":"","family":"White","given":"Ethan P.","non-dropping-particle":"","parse-names":false,"suffix":""}],"container-title":"Ecology Letters","id":"ITEM-2","issue":"10","issued":{"date-parts":[["2007"]]},"page":"995-1015","title":"Species abundance distributions: Moving beyond single prediction theories to integration within an ecological framework","type":"article-journal","volume":"10"},"uris":["http://www.mendeley.com/documents/?uuid=61694212-0fbc-4b65-892a-c037cf20a0be"]}],"mendeley":{"formattedCitation":"(99, 100)","plainTextFormattedCitation":"(99, 100)","previouslyFormattedCitation":"(98, 99)"},"properties":{"noteIndex":0},"schema":"https://github.com/citation-style-language/schema/raw/master/csl-citation.json"}</w:instrText>
      </w:r>
      <w:r w:rsidRPr="00F23F20">
        <w:rPr>
          <w:rFonts w:ascii="Times New Roman" w:eastAsiaTheme="minorEastAsia" w:hAnsi="Times New Roman" w:cs="Times New Roman"/>
        </w:rPr>
        <w:fldChar w:fldCharType="separate"/>
      </w:r>
      <w:r w:rsidR="00307058" w:rsidRPr="00307058">
        <w:rPr>
          <w:rFonts w:ascii="Times New Roman" w:eastAsiaTheme="minorEastAsia" w:hAnsi="Times New Roman" w:cs="Times New Roman"/>
          <w:noProof/>
        </w:rPr>
        <w:t>(99, 100)</w:t>
      </w:r>
      <w:r w:rsidRPr="00F23F20">
        <w:rPr>
          <w:rFonts w:ascii="Times New Roman" w:eastAsiaTheme="minorEastAsia" w:hAnsi="Times New Roman" w:cs="Times New Roman"/>
        </w:rPr>
        <w:fldChar w:fldCharType="end"/>
      </w:r>
      <w:r w:rsidRPr="00F23F20">
        <w:rPr>
          <w:rFonts w:ascii="Times New Roman" w:eastAsiaTheme="minorEastAsia" w:hAnsi="Times New Roman" w:cs="Times New Roman"/>
        </w:rPr>
        <w:t xml:space="preserve">. Thus, we utilized a parametric approach for characterizing parameters of diversity and evenness with respect to equation 3.4.2 </w:t>
      </w:r>
      <w:r w:rsidRPr="00F23F20">
        <w:rPr>
          <w:rFonts w:ascii="Times New Roman" w:eastAsiaTheme="minorEastAsia" w:hAnsi="Times New Roman" w:cs="Times New Roman"/>
        </w:rPr>
        <w:fldChar w:fldCharType="begin" w:fldLock="1"/>
      </w:r>
      <w:r w:rsidR="00307058">
        <w:rPr>
          <w:rFonts w:ascii="Times New Roman" w:eastAsiaTheme="minorEastAsia" w:hAnsi="Times New Roman" w:cs="Times New Roman"/>
        </w:rPr>
        <w:instrText>ADDIN CSL_CITATION {"citationItems":[{"id":"ITEM-1","itemData":{"DOI":"10.1016/j.tpb.2006.06.003","ISSN":"00405809","abstract":"The diversity of a species assemblage has been studied extensively for many decades in relation to its possible connection with ecosystem functioning and organization. In this view most diversity measures, such as Shannon's entropy, rely upon information theory as a basis for the quantification of diversity. Also, traditional diversity measures are computed using species relative abundances and cannot account for the ecological differences between species. Rao first proposed a diversity index, termed quadratic diversity (Q) that incorporates both species relative abundances and pairwise distances between species. Quadratic diversity is traditionally defined as the expected distance between two randomly selected individuals. In this paper, we show that quadratic diversity can be interpreted as the expected conflict among the species of a given assemblage. From this unusual interpretation, it naturally follows that Rao's Q can be related to the Shannon entropy through a generalized version of the Tsallis parametric entropy. © 2006 Elsevier Inc. All rights reserved.","author":[{"dropping-particle":"","family":"Ricotta","given":"Carlo","non-dropping-particle":"","parse-names":false,"suffix":""},{"dropping-particle":"","family":"Szeidl","given":"Laszlo","non-dropping-particle":"","parse-names":false,"suffix":""}],"container-title":"Theoretical Population Biology","id":"ITEM-1","issue":"3","issued":{"date-parts":[["2006"]]},"page":"237-243","title":"Towards a unifying approach to diversity measures: Bridging the gap between the Shannon entropy and Rao's quadratic index","type":"article-journal","volume":"70"},"uris":["http://www.mendeley.com/documents/?uuid=ee6f2528-5f6c-424d-ba46-c2f924988732"]}],"mendeley":{"formattedCitation":"(93)","plainTextFormattedCitation":"(93)","previouslyFormattedCitation":"(92)"},"properties":{"noteIndex":0},"schema":"https://github.com/citation-style-language/schema/raw/master/csl-citation.json"}</w:instrText>
      </w:r>
      <w:r w:rsidRPr="00F23F20">
        <w:rPr>
          <w:rFonts w:ascii="Times New Roman" w:eastAsiaTheme="minorEastAsia" w:hAnsi="Times New Roman" w:cs="Times New Roman"/>
        </w:rPr>
        <w:fldChar w:fldCharType="separate"/>
      </w:r>
      <w:r w:rsidR="00307058" w:rsidRPr="00307058">
        <w:rPr>
          <w:rFonts w:ascii="Times New Roman" w:eastAsiaTheme="minorEastAsia" w:hAnsi="Times New Roman" w:cs="Times New Roman"/>
          <w:noProof/>
        </w:rPr>
        <w:t>(93)</w:t>
      </w:r>
      <w:r w:rsidRPr="00F23F20">
        <w:rPr>
          <w:rFonts w:ascii="Times New Roman" w:eastAsiaTheme="minorEastAsia" w:hAnsi="Times New Roman" w:cs="Times New Roman"/>
        </w:rPr>
        <w:fldChar w:fldCharType="end"/>
      </w:r>
      <w:r w:rsidRPr="00F23F20">
        <w:rPr>
          <w:rFonts w:ascii="Times New Roman" w:eastAsiaTheme="minorEastAsia" w:hAnsi="Times New Roman" w:cs="Times New Roman"/>
        </w:rPr>
        <w:t>. Diversity in trait-contributing taxa was determined as:</w:t>
      </w:r>
    </w:p>
    <w:p w14:paraId="590AE9F5" w14:textId="77777777" w:rsidR="00365526" w:rsidRPr="00F23F20" w:rsidRDefault="002A3883" w:rsidP="00365526">
      <w:pPr>
        <w:spacing w:line="480" w:lineRule="auto"/>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eastAsiaTheme="minorEastAsia" w:hAnsi="Cambria Math" w:cs="Times New Roman"/>
              </w:rPr>
              <m:t>τ</m:t>
            </m:r>
          </m:sub>
        </m:sSub>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f>
                  <m:fPr>
                    <m:ctrlPr>
                      <w:rPr>
                        <w:rFonts w:ascii="Cambria Math" w:hAnsi="Cambria Math" w:cs="Times New Roman"/>
                        <w:i/>
                      </w:rPr>
                    </m:ctrlPr>
                  </m:fPr>
                  <m:num>
                    <m:r>
                      <w:rPr>
                        <w:rFonts w:ascii="Cambria Math" w:hAnsi="Cambria Math" w:cs="Times New Roman"/>
                      </w:rPr>
                      <m:t>1-</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ν</m:t>
                        </m:r>
                      </m:sup>
                      <m:e>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τ</m:t>
                                </m:r>
                              </m:e>
                              <m:sub>
                                <m:r>
                                  <w:rPr>
                                    <w:rFonts w:ascii="Cambria Math" w:hAnsi="Cambria Math" w:cs="Times New Roman"/>
                                  </w:rPr>
                                  <m:t>i</m:t>
                                </m:r>
                              </m:sub>
                            </m:sSub>
                          </m:e>
                          <m:sup>
                            <m:r>
                              <w:rPr>
                                <w:rFonts w:ascii="Cambria Math" w:hAnsi="Cambria Math" w:cs="Times New Roman"/>
                              </w:rPr>
                              <m:t>α</m:t>
                            </m:r>
                          </m:sup>
                        </m:sSup>
                      </m:e>
                    </m:nary>
                  </m:num>
                  <m:den>
                    <m:r>
                      <w:rPr>
                        <w:rFonts w:ascii="Cambria Math" w:hAnsi="Cambria Math" w:cs="Times New Roman"/>
                      </w:rPr>
                      <m:t>α-1</m:t>
                    </m:r>
                  </m:den>
                </m:f>
              </m:e>
              <m:e>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ν</m:t>
                    </m:r>
                  </m:sup>
                  <m:e>
                    <m:r>
                      <w:rPr>
                        <w:rFonts w:ascii="Cambria Math" w:hAnsi="Cambria Math" w:cs="Times New Roman"/>
                      </w:rPr>
                      <m:t>-</m:t>
                    </m:r>
                    <m:sSub>
                      <m:sSubPr>
                        <m:ctrlPr>
                          <w:rPr>
                            <w:rFonts w:ascii="Cambria Math" w:hAnsi="Cambria Math" w:cs="Times New Roman"/>
                            <w:i/>
                          </w:rPr>
                        </m:ctrlPr>
                      </m:sSubPr>
                      <m:e>
                        <m:r>
                          <w:rPr>
                            <w:rFonts w:ascii="Cambria Math" w:eastAsiaTheme="minorEastAsia" w:hAnsi="Cambria Math" w:cs="Times New Roman"/>
                          </w:rPr>
                          <m:t>τ</m:t>
                        </m:r>
                      </m:e>
                      <m:sub>
                        <m:r>
                          <w:rPr>
                            <w:rFonts w:ascii="Cambria Math" w:hAnsi="Cambria Math" w:cs="Times New Roman"/>
                          </w:rPr>
                          <m:t>i</m:t>
                        </m:r>
                      </m:sub>
                    </m:sSub>
                    <m:func>
                      <m:funcPr>
                        <m:ctrlPr>
                          <w:rPr>
                            <w:rFonts w:ascii="Cambria Math" w:hAnsi="Cambria Math" w:cs="Times New Roman"/>
                            <w:i/>
                          </w:rPr>
                        </m:ctrlPr>
                      </m:funcPr>
                      <m:fName>
                        <m:r>
                          <m:rPr>
                            <m:sty m:val="p"/>
                          </m:rPr>
                          <w:rPr>
                            <w:rFonts w:ascii="Cambria Math" w:hAnsi="Cambria Math" w:cs="Times New Roman"/>
                          </w:rPr>
                          <m:t>log</m:t>
                        </m:r>
                      </m:fName>
                      <m:e>
                        <m:sSub>
                          <m:sSubPr>
                            <m:ctrlPr>
                              <w:rPr>
                                <w:rFonts w:ascii="Cambria Math" w:hAnsi="Cambria Math" w:cs="Times New Roman"/>
                                <w:i/>
                              </w:rPr>
                            </m:ctrlPr>
                          </m:sSubPr>
                          <m:e>
                            <m:r>
                              <w:rPr>
                                <w:rFonts w:ascii="Cambria Math" w:eastAsiaTheme="minorEastAsia" w:hAnsi="Cambria Math" w:cs="Times New Roman"/>
                              </w:rPr>
                              <m:t>τ</m:t>
                            </m:r>
                          </m:e>
                          <m:sub>
                            <m:r>
                              <w:rPr>
                                <w:rFonts w:ascii="Cambria Math" w:hAnsi="Cambria Math" w:cs="Times New Roman"/>
                              </w:rPr>
                              <m:t>i</m:t>
                            </m:r>
                          </m:sub>
                        </m:sSub>
                      </m:e>
                    </m:func>
                  </m:e>
                </m:nary>
              </m:e>
            </m:eqArr>
            <m:r>
              <w:rPr>
                <w:rFonts w:ascii="Cambria Math" w:hAnsi="Cambria Math" w:cs="Times New Roman"/>
              </w:rPr>
              <m:t xml:space="preserve">     </m:t>
            </m:r>
            <m:f>
              <m:fPr>
                <m:type m:val="noBar"/>
                <m:ctrlPr>
                  <w:rPr>
                    <w:rFonts w:ascii="Cambria Math" w:hAnsi="Cambria Math" w:cs="Times New Roman"/>
                    <w:i/>
                  </w:rPr>
                </m:ctrlPr>
              </m:fPr>
              <m:num>
                <m:r>
                  <w:rPr>
                    <w:rFonts w:ascii="Cambria Math" w:hAnsi="Cambria Math" w:cs="Times New Roman"/>
                  </w:rPr>
                  <m:t>α≠1</m:t>
                </m:r>
              </m:num>
              <m:den>
                <m:r>
                  <w:rPr>
                    <w:rFonts w:ascii="Cambria Math" w:hAnsi="Cambria Math" w:cs="Times New Roman"/>
                  </w:rPr>
                  <m:t>α=1</m:t>
                </m:r>
              </m:den>
            </m:f>
          </m:e>
        </m:d>
      </m:oMath>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t xml:space="preserve">     (3.5</w:t>
      </w:r>
    </w:p>
    <w:p w14:paraId="12BE3792" w14:textId="77777777" w:rsidR="00365526" w:rsidRPr="00F23F20" w:rsidRDefault="00365526" w:rsidP="00365526">
      <w:pPr>
        <w:spacing w:line="480" w:lineRule="auto"/>
        <w:rPr>
          <w:rFonts w:ascii="Times New Roman" w:eastAsiaTheme="minorEastAsia" w:hAnsi="Times New Roman" w:cs="Times New Roman"/>
        </w:rPr>
      </w:pPr>
      <w:r w:rsidRPr="00F23F20">
        <w:rPr>
          <w:rFonts w:ascii="Times New Roman" w:eastAsiaTheme="minorEastAsia" w:hAnsi="Times New Roman" w:cs="Times New Roman"/>
        </w:rPr>
        <w:lastRenderedPageBreak/>
        <w:t xml:space="preserve">where </w:t>
      </w:r>
      <w:r w:rsidRPr="00F23F20">
        <w:rPr>
          <w:rFonts w:ascii="Times New Roman" w:eastAsiaTheme="minorEastAsia" w:hAnsi="Times New Roman" w:cs="Times New Roman"/>
          <w:i/>
        </w:rPr>
        <w:t>α</w:t>
      </w:r>
      <w:r w:rsidRPr="00F23F20">
        <w:rPr>
          <w:rFonts w:ascii="Times New Roman" w:eastAsiaTheme="minorEastAsia" w:hAnsi="Times New Roman" w:cs="Times New Roman"/>
        </w:rPr>
        <w:t xml:space="preserve"> is a weighting parameter that defines the importance of taxa contributing less to </w:t>
      </w:r>
      <w:r w:rsidRPr="00F23F20">
        <w:rPr>
          <w:rFonts w:ascii="Times New Roman" w:eastAsiaTheme="minorEastAsia" w:hAnsi="Times New Roman" w:cs="Times New Roman"/>
          <w:i/>
          <w:iCs/>
        </w:rPr>
        <w:t xml:space="preserve">T </w:t>
      </w:r>
      <w:r w:rsidRPr="00F23F20">
        <w:rPr>
          <w:rFonts w:ascii="Times New Roman" w:eastAsiaTheme="minorEastAsia" w:hAnsi="Times New Roman" w:cs="Times New Roman"/>
        </w:rPr>
        <w:t xml:space="preserve">compared to taxa which contribute more. When </w:t>
      </w:r>
      <w:r w:rsidRPr="00F23F20">
        <w:rPr>
          <w:rFonts w:ascii="Times New Roman" w:eastAsiaTheme="minorEastAsia" w:hAnsi="Times New Roman" w:cs="Times New Roman"/>
          <w:i/>
        </w:rPr>
        <w:t>α</w:t>
      </w:r>
      <w:r w:rsidRPr="00F23F20">
        <w:rPr>
          <w:rFonts w:ascii="Times New Roman" w:eastAsiaTheme="minorEastAsia" w:hAnsi="Times New Roman" w:cs="Times New Roman"/>
        </w:rPr>
        <w:t xml:space="preserve">=0, </w:t>
      </w:r>
      <w:proofErr w:type="spellStart"/>
      <w:r w:rsidRPr="00F23F20">
        <w:rPr>
          <w:rFonts w:ascii="Times New Roman" w:eastAsiaTheme="minorEastAsia" w:hAnsi="Times New Roman" w:cs="Times New Roman"/>
          <w:i/>
        </w:rPr>
        <w:t>H</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rPr>
        <w:t xml:space="preserve"> simplifies to </w:t>
      </w:r>
      <w:r w:rsidRPr="00F23F20">
        <w:rPr>
          <w:rFonts w:ascii="Times New Roman" w:eastAsiaTheme="minorEastAsia" w:hAnsi="Times New Roman" w:cs="Times New Roman"/>
          <w:i/>
        </w:rPr>
        <w:t>ν</w:t>
      </w:r>
      <w:r w:rsidRPr="00F23F20">
        <w:rPr>
          <w:rFonts w:ascii="Times New Roman" w:eastAsiaTheme="minorEastAsia" w:hAnsi="Times New Roman" w:cs="Times New Roman"/>
        </w:rPr>
        <w:t xml:space="preserve">-1, or the richness of trait-containing taxa minus one. When </w:t>
      </w:r>
      <w:r w:rsidRPr="00F23F20">
        <w:rPr>
          <w:rFonts w:ascii="Times New Roman" w:eastAsiaTheme="minorEastAsia" w:hAnsi="Times New Roman" w:cs="Times New Roman"/>
          <w:i/>
        </w:rPr>
        <w:t>α</w:t>
      </w:r>
      <w:r w:rsidRPr="00F23F20">
        <w:rPr>
          <w:rFonts w:ascii="Times New Roman" w:eastAsiaTheme="minorEastAsia" w:hAnsi="Times New Roman" w:cs="Times New Roman"/>
        </w:rPr>
        <w:t xml:space="preserve">=1, </w:t>
      </w:r>
      <w:proofErr w:type="spellStart"/>
      <w:r w:rsidRPr="00F23F20">
        <w:rPr>
          <w:rFonts w:ascii="Times New Roman" w:eastAsiaTheme="minorEastAsia" w:hAnsi="Times New Roman" w:cs="Times New Roman"/>
          <w:i/>
        </w:rPr>
        <w:t>H</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rPr>
        <w:t xml:space="preserve"> simplifies to Shannon’s index. When </w:t>
      </w:r>
      <w:r w:rsidRPr="00F23F20">
        <w:rPr>
          <w:rFonts w:ascii="Times New Roman" w:eastAsiaTheme="minorEastAsia" w:hAnsi="Times New Roman" w:cs="Times New Roman"/>
          <w:i/>
        </w:rPr>
        <w:t>α</w:t>
      </w:r>
      <w:r w:rsidRPr="00F23F20">
        <w:rPr>
          <w:rFonts w:ascii="Times New Roman" w:eastAsiaTheme="minorEastAsia" w:hAnsi="Times New Roman" w:cs="Times New Roman"/>
        </w:rPr>
        <w:t xml:space="preserve">=2, </w:t>
      </w:r>
      <w:proofErr w:type="spellStart"/>
      <w:r w:rsidRPr="00F23F20">
        <w:rPr>
          <w:rFonts w:ascii="Times New Roman" w:eastAsiaTheme="minorEastAsia" w:hAnsi="Times New Roman" w:cs="Times New Roman"/>
          <w:i/>
        </w:rPr>
        <w:t>H</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rPr>
        <w:t xml:space="preserve"> simplifies to Simpson’s index. The first scenario represents the least sensitive weighting towards relative trait contribution as it effectively measures how many taxa contain a trait. In contrast, increasing </w:t>
      </w:r>
      <w:r w:rsidRPr="00F23F20">
        <w:rPr>
          <w:rFonts w:ascii="Times New Roman" w:eastAsiaTheme="minorEastAsia" w:hAnsi="Times New Roman" w:cs="Times New Roman"/>
          <w:i/>
        </w:rPr>
        <w:t>α</w:t>
      </w:r>
      <w:r w:rsidRPr="00F23F20">
        <w:rPr>
          <w:rFonts w:ascii="Times New Roman" w:eastAsiaTheme="minorEastAsia" w:hAnsi="Times New Roman" w:cs="Times New Roman"/>
        </w:rPr>
        <w:t xml:space="preserve"> decreases the sensitivity of </w:t>
      </w:r>
      <w:proofErr w:type="spellStart"/>
      <w:r w:rsidRPr="00F23F20">
        <w:rPr>
          <w:rFonts w:ascii="Times New Roman" w:eastAsiaTheme="minorEastAsia" w:hAnsi="Times New Roman" w:cs="Times New Roman"/>
          <w:i/>
        </w:rPr>
        <w:t>H</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rPr>
        <w:t xml:space="preserve"> to taxa which contribute less to </w:t>
      </w:r>
      <w:r w:rsidRPr="00F23F20">
        <w:rPr>
          <w:rFonts w:ascii="Times New Roman" w:eastAsiaTheme="minorEastAsia" w:hAnsi="Times New Roman" w:cs="Times New Roman"/>
          <w:i/>
          <w:iCs/>
        </w:rPr>
        <w:t>T</w:t>
      </w:r>
      <w:r w:rsidRPr="00F23F20">
        <w:rPr>
          <w:rFonts w:ascii="Times New Roman" w:eastAsiaTheme="minorEastAsia" w:hAnsi="Times New Roman" w:cs="Times New Roman"/>
        </w:rPr>
        <w:t xml:space="preserve">. As, our definition of functional redundancy is how evenly different taxa contribute to the community-level total trait within the community, we calculated a theoretical maximum for </w:t>
      </w:r>
      <m:oMath>
        <m:sSub>
          <m:sSubPr>
            <m:ctrlPr>
              <w:rPr>
                <w:rFonts w:ascii="Cambria Math" w:hAnsi="Cambria Math" w:cs="Times New Roman"/>
                <w:i/>
              </w:rPr>
            </m:ctrlPr>
          </m:sSubPr>
          <m:e>
            <m:r>
              <w:rPr>
                <w:rFonts w:ascii="Cambria Math" w:hAnsi="Cambria Math" w:cs="Times New Roman"/>
              </w:rPr>
              <m:t>H</m:t>
            </m:r>
          </m:e>
          <m:sub>
            <m:r>
              <w:rPr>
                <w:rFonts w:ascii="Cambria Math" w:eastAsiaTheme="minorEastAsia" w:hAnsi="Cambria Math" w:cs="Times New Roman"/>
              </w:rPr>
              <m:t>τ</m:t>
            </m:r>
          </m:sub>
        </m:sSub>
      </m:oMath>
      <w:r w:rsidRPr="00F23F20">
        <w:rPr>
          <w:rFonts w:ascii="Times New Roman" w:eastAsiaTheme="minorEastAsia" w:hAnsi="Times New Roman" w:cs="Times New Roman"/>
        </w:rPr>
        <w:t xml:space="preserve"> which assumes that trait level, </w:t>
      </w:r>
      <w:proofErr w:type="spellStart"/>
      <w:r w:rsidRPr="00F23F20">
        <w:rPr>
          <w:rFonts w:ascii="Times New Roman" w:eastAsiaTheme="minorEastAsia" w:hAnsi="Times New Roman" w:cs="Times New Roman"/>
          <w:i/>
          <w:iCs/>
        </w:rPr>
        <w:t>t</w:t>
      </w:r>
      <w:r w:rsidRPr="00F23F20">
        <w:rPr>
          <w:rFonts w:ascii="Times New Roman" w:eastAsiaTheme="minorEastAsia" w:hAnsi="Times New Roman" w:cs="Times New Roman"/>
          <w:i/>
          <w:iCs/>
          <w:vertAlign w:val="subscript"/>
        </w:rPr>
        <w:t>i</w:t>
      </w:r>
      <w:proofErr w:type="spellEnd"/>
      <w:r w:rsidRPr="00F23F20">
        <w:rPr>
          <w:rFonts w:ascii="Times New Roman" w:eastAsiaTheme="minorEastAsia" w:hAnsi="Times New Roman" w:cs="Times New Roman"/>
        </w:rPr>
        <w:t>, is evenly distributed in equation 3.4 such that:</w:t>
      </w:r>
    </w:p>
    <w:p w14:paraId="26668E2B" w14:textId="77777777" w:rsidR="00365526" w:rsidRPr="00F23F20" w:rsidRDefault="002A3883" w:rsidP="00365526">
      <w:pPr>
        <w:spacing w:line="480" w:lineRule="auto"/>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τ,E</m:t>
            </m:r>
          </m:sub>
        </m:sSub>
        <m:r>
          <w:rPr>
            <w:rFonts w:ascii="Cambria Math" w:eastAsiaTheme="minorEastAsia" w:hAnsi="Cambria Math" w:cs="Times New Roman"/>
          </w:rPr>
          <m:t>=</m:t>
        </m:r>
        <m:d>
          <m:dPr>
            <m:begChr m:val="{"/>
            <m:endChr m:val="}"/>
            <m:ctrlPr>
              <w:rPr>
                <w:rFonts w:ascii="Cambria Math" w:eastAsiaTheme="minorEastAsia" w:hAnsi="Cambria Math" w:cs="Times New Roman"/>
                <w:i/>
              </w:rPr>
            </m:ctrlPr>
          </m:dPr>
          <m:e>
            <m:r>
              <w:rPr>
                <w:rFonts w:ascii="Cambria Math" w:eastAsiaTheme="minorEastAsia" w:hAnsi="Cambria Math" w:cs="Times New Roman"/>
              </w:rPr>
              <m:t>τ</m:t>
            </m:r>
          </m:e>
          <m:e>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i</m:t>
                </m:r>
              </m:sub>
            </m:sSub>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n</m:t>
                </m:r>
              </m:den>
            </m:f>
            <m:r>
              <w:rPr>
                <w:rFonts w:ascii="Cambria Math" w:eastAsiaTheme="minorEastAsia" w:hAnsi="Cambria Math" w:cs="Times New Roman"/>
              </w:rPr>
              <m:t xml:space="preserve"> ∀ </m:t>
            </m:r>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i</m:t>
                </m:r>
              </m:sub>
            </m:sSub>
            <m:r>
              <w:rPr>
                <w:rFonts w:ascii="Cambria Math" w:eastAsiaTheme="minorEastAsia" w:hAnsi="Cambria Math" w:cs="Times New Roman"/>
              </w:rPr>
              <m:t>;</m:t>
            </m:r>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ν</m:t>
                </m:r>
              </m:sup>
              <m:e>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i</m:t>
                    </m:r>
                  </m:sub>
                </m:sSub>
              </m:e>
            </m:nary>
            <m:r>
              <w:rPr>
                <w:rFonts w:ascii="Cambria Math" w:eastAsiaTheme="minorEastAsia" w:hAnsi="Cambria Math" w:cs="Times New Roman"/>
              </w:rPr>
              <m:t>=1</m:t>
            </m:r>
          </m:e>
        </m:d>
      </m:oMath>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r>
      <w:r w:rsidR="00365526" w:rsidRPr="00F23F20">
        <w:rPr>
          <w:rFonts w:ascii="Times New Roman" w:eastAsiaTheme="minorEastAsia" w:hAnsi="Times New Roman" w:cs="Times New Roman"/>
        </w:rPr>
        <w:tab/>
        <w:t xml:space="preserve">     (3.6</w:t>
      </w:r>
    </w:p>
    <w:p w14:paraId="4768CEF4" w14:textId="77777777" w:rsidR="00365526" w:rsidRPr="00F23F20" w:rsidRDefault="00365526" w:rsidP="00365526">
      <w:pPr>
        <w:spacing w:line="480" w:lineRule="auto"/>
        <w:rPr>
          <w:rFonts w:ascii="Times New Roman" w:eastAsiaTheme="minorEastAsia" w:hAnsi="Times New Roman" w:cs="Times New Roman"/>
        </w:rPr>
      </w:pPr>
      <w:r w:rsidRPr="00F23F20">
        <w:rPr>
          <w:rFonts w:ascii="Times New Roman" w:eastAsiaTheme="minorEastAsia" w:hAnsi="Times New Roman" w:cs="Times New Roman"/>
        </w:rPr>
        <w:t xml:space="preserve">Implicitly, equation 3.6 assumes </w:t>
      </w:r>
      <w:r w:rsidRPr="00F23F20">
        <w:rPr>
          <w:rFonts w:ascii="Times New Roman" w:eastAsiaTheme="minorEastAsia" w:hAnsi="Times New Roman" w:cs="Times New Roman"/>
          <w:i/>
        </w:rPr>
        <w:t>ν</w:t>
      </w:r>
      <w:r w:rsidRPr="00F23F20">
        <w:rPr>
          <w:rFonts w:ascii="Times New Roman" w:eastAsiaTheme="minorEastAsia" w:hAnsi="Times New Roman" w:cs="Times New Roman"/>
        </w:rPr>
        <w:t>=</w:t>
      </w:r>
      <w:r w:rsidRPr="00F23F20">
        <w:rPr>
          <w:rFonts w:ascii="Times New Roman" w:eastAsiaTheme="minorEastAsia" w:hAnsi="Times New Roman" w:cs="Times New Roman"/>
          <w:i/>
        </w:rPr>
        <w:t>n</w:t>
      </w:r>
      <w:r w:rsidRPr="00F23F20">
        <w:rPr>
          <w:rFonts w:ascii="Times New Roman" w:eastAsiaTheme="minorEastAsia" w:hAnsi="Times New Roman" w:cs="Times New Roman"/>
        </w:rPr>
        <w:t xml:space="preserve">, as this is the only scenario where the condition </w:t>
      </w:r>
      <m:oMath>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ν</m:t>
            </m:r>
          </m:sup>
          <m:e>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i</m:t>
                </m:r>
              </m:sub>
            </m:sSub>
          </m:e>
        </m:nary>
        <m:r>
          <w:rPr>
            <w:rFonts w:ascii="Cambria Math" w:eastAsiaTheme="minorEastAsia" w:hAnsi="Cambria Math" w:cs="Times New Roman"/>
          </w:rPr>
          <m:t>=1</m:t>
        </m:r>
      </m:oMath>
      <w:r w:rsidRPr="00F23F20">
        <w:rPr>
          <w:rFonts w:ascii="Times New Roman" w:eastAsiaTheme="minorEastAsia" w:hAnsi="Times New Roman" w:cs="Times New Roman"/>
        </w:rPr>
        <w:t xml:space="preserve"> is held true. Thus, </w:t>
      </w:r>
      <w:r w:rsidRPr="00F23F20">
        <w:rPr>
          <w:rFonts w:ascii="Times New Roman" w:eastAsiaTheme="minorEastAsia" w:hAnsi="Times New Roman" w:cs="Times New Roman"/>
          <w:i/>
        </w:rPr>
        <w:t>H</w:t>
      </w:r>
      <w:r w:rsidRPr="00F23F20">
        <w:rPr>
          <w:rFonts w:ascii="Times New Roman" w:eastAsiaTheme="minorEastAsia" w:hAnsi="Times New Roman" w:cs="Times New Roman"/>
          <w:vertAlign w:val="subscript"/>
        </w:rPr>
        <w:t>E</w:t>
      </w:r>
      <w:r w:rsidRPr="00F23F20">
        <w:rPr>
          <w:rFonts w:ascii="Times New Roman" w:eastAsiaTheme="minorEastAsia" w:hAnsi="Times New Roman" w:cs="Times New Roman"/>
          <w:i/>
        </w:rPr>
        <w:t xml:space="preserve"> </w:t>
      </w:r>
      <w:r w:rsidRPr="00F23F20">
        <w:rPr>
          <w:rFonts w:ascii="Times New Roman" w:eastAsiaTheme="minorEastAsia" w:hAnsi="Times New Roman" w:cs="Times New Roman"/>
        </w:rPr>
        <w:t xml:space="preserve">is derived by calculating equation 3.5 using equation 3.6. As evenness is the ratio between observed diversity and the theoretical maximum diversity, we calculated functional redundancy, </w:t>
      </w:r>
      <w:r w:rsidRPr="00F23F20">
        <w:rPr>
          <w:rFonts w:ascii="Times New Roman" w:eastAsiaTheme="minorEastAsia" w:hAnsi="Times New Roman" w:cs="Times New Roman"/>
          <w:i/>
        </w:rPr>
        <w:t>R</w:t>
      </w:r>
      <w:r w:rsidRPr="00F23F20">
        <w:rPr>
          <w:rFonts w:ascii="Times New Roman" w:eastAsiaTheme="minorEastAsia" w:hAnsi="Times New Roman" w:cs="Times New Roman"/>
        </w:rPr>
        <w:t>, as:</w:t>
      </w:r>
    </w:p>
    <w:p w14:paraId="1AD83D7C" w14:textId="77777777" w:rsidR="00365526" w:rsidRPr="00F23F20" w:rsidRDefault="00365526" w:rsidP="00365526">
      <w:pPr>
        <w:spacing w:line="480" w:lineRule="auto"/>
        <w:rPr>
          <w:rFonts w:ascii="Times New Roman" w:eastAsiaTheme="minorEastAsia" w:hAnsi="Times New Roman" w:cs="Times New Roman"/>
        </w:rPr>
      </w:pPr>
      <m:oMath>
        <m:r>
          <w:rPr>
            <w:rFonts w:ascii="Cambria Math" w:hAnsi="Cambria Math" w:cs="Times New Roman"/>
          </w:rPr>
          <m:t>R=</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H</m:t>
                </m:r>
              </m:e>
              <m:sub>
                <m:r>
                  <w:rPr>
                    <w:rFonts w:ascii="Cambria Math" w:eastAsiaTheme="minorEastAsia" w:hAnsi="Cambria Math" w:cs="Times New Roman"/>
                  </w:rPr>
                  <m:t>τ</m:t>
                </m:r>
              </m:sub>
            </m:sSub>
          </m:num>
          <m:den>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E</m:t>
                </m:r>
              </m:sub>
            </m:sSub>
          </m:den>
        </m:f>
      </m:oMath>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t xml:space="preserve">     (3.7</w:t>
      </w:r>
    </w:p>
    <w:p w14:paraId="74BB8587" w14:textId="77777777" w:rsidR="00365526" w:rsidRPr="00F23F20" w:rsidRDefault="00365526" w:rsidP="00365526">
      <w:pPr>
        <w:rPr>
          <w:rFonts w:ascii="Times New Roman" w:hAnsi="Times New Roman" w:cs="Times New Roman"/>
        </w:rPr>
      </w:pPr>
    </w:p>
    <w:p w14:paraId="58FE70D2" w14:textId="77777777" w:rsidR="00365526" w:rsidRPr="00F23F20" w:rsidRDefault="00365526" w:rsidP="00365526">
      <w:pPr>
        <w:pStyle w:val="Heading3"/>
        <w:rPr>
          <w:rFonts w:eastAsiaTheme="minorEastAsia"/>
        </w:rPr>
      </w:pPr>
      <w:bookmarkStart w:id="244" w:name="_Toc41908121"/>
      <w:r w:rsidRPr="00F23F20">
        <w:rPr>
          <w:rFonts w:eastAsiaTheme="minorEastAsia"/>
        </w:rPr>
        <w:t>Functional Redundancy’s Dependency on Diversity Continuum</w:t>
      </w:r>
      <w:bookmarkEnd w:id="244"/>
      <w:r w:rsidRPr="00F23F20">
        <w:rPr>
          <w:rFonts w:eastAsiaTheme="minorEastAsia"/>
        </w:rPr>
        <w:t xml:space="preserve"> </w:t>
      </w:r>
    </w:p>
    <w:p w14:paraId="343B0DF8" w14:textId="1237497F" w:rsidR="00365526" w:rsidRPr="00F23F20" w:rsidRDefault="00365526" w:rsidP="00365526">
      <w:pPr>
        <w:spacing w:line="480" w:lineRule="auto"/>
        <w:rPr>
          <w:rFonts w:ascii="Times New Roman" w:eastAsiaTheme="minorEastAsia" w:hAnsi="Times New Roman" w:cs="Times New Roman"/>
        </w:rPr>
      </w:pPr>
      <w:r w:rsidRPr="00F23F20">
        <w:rPr>
          <w:rFonts w:ascii="Times New Roman" w:eastAsiaTheme="minorEastAsia" w:hAnsi="Times New Roman" w:cs="Times New Roman"/>
        </w:rPr>
        <w:t xml:space="preserve">We wanted to observe the effect that different diversity metrics (i.e., different values of </w:t>
      </w:r>
      <w:r w:rsidRPr="00F23F20">
        <w:rPr>
          <w:rFonts w:ascii="Times New Roman" w:eastAsiaTheme="minorEastAsia" w:hAnsi="Times New Roman" w:cs="Times New Roman"/>
          <w:i/>
        </w:rPr>
        <w:t>α</w:t>
      </w:r>
      <w:r w:rsidRPr="00F23F20">
        <w:rPr>
          <w:rFonts w:ascii="Times New Roman" w:eastAsiaTheme="minorEastAsia" w:hAnsi="Times New Roman" w:cs="Times New Roman"/>
        </w:rPr>
        <w:t xml:space="preserve"> in equation 3.5) had on </w:t>
      </w:r>
      <w:r w:rsidRPr="00F23F20">
        <w:rPr>
          <w:rFonts w:ascii="Times New Roman" w:eastAsiaTheme="minorEastAsia" w:hAnsi="Times New Roman" w:cs="Times New Roman"/>
          <w:i/>
        </w:rPr>
        <w:t>R</w:t>
      </w:r>
      <w:r w:rsidRPr="00F23F20">
        <w:rPr>
          <w:rFonts w:ascii="Times New Roman" w:eastAsiaTheme="minorEastAsia" w:hAnsi="Times New Roman" w:cs="Times New Roman"/>
        </w:rPr>
        <w:t xml:space="preserve">. This was performed by calculating </w:t>
      </w:r>
      <w:r w:rsidRPr="00F23F20">
        <w:rPr>
          <w:rFonts w:ascii="Times New Roman" w:eastAsiaTheme="minorEastAsia" w:hAnsi="Times New Roman" w:cs="Times New Roman"/>
          <w:i/>
        </w:rPr>
        <w:t>R</w:t>
      </w:r>
      <w:r w:rsidRPr="00F23F20">
        <w:rPr>
          <w:rFonts w:ascii="Times New Roman" w:eastAsiaTheme="minorEastAsia" w:hAnsi="Times New Roman" w:cs="Times New Roman"/>
        </w:rPr>
        <w:t xml:space="preserve"> with a fixed community and varying </w:t>
      </w:r>
      <w:r w:rsidRPr="00F23F20">
        <w:rPr>
          <w:rFonts w:ascii="Times New Roman" w:eastAsiaTheme="minorEastAsia" w:hAnsi="Times New Roman" w:cs="Times New Roman"/>
          <w:i/>
        </w:rPr>
        <w:t>α</w:t>
      </w:r>
      <w:r w:rsidRPr="00F23F20">
        <w:rPr>
          <w:rFonts w:ascii="Times New Roman" w:eastAsiaTheme="minorEastAsia" w:hAnsi="Times New Roman" w:cs="Times New Roman"/>
        </w:rPr>
        <w:t xml:space="preserve"> from 0 to 2. We further characterized sensitivity in </w:t>
      </w:r>
      <w:r w:rsidRPr="00F23F20">
        <w:rPr>
          <w:rFonts w:ascii="Times New Roman" w:eastAsiaTheme="minorEastAsia" w:hAnsi="Times New Roman" w:cs="Times New Roman"/>
          <w:i/>
        </w:rPr>
        <w:t>R</w:t>
      </w:r>
      <w:r w:rsidRPr="00F23F20">
        <w:rPr>
          <w:rFonts w:ascii="Times New Roman" w:eastAsiaTheme="minorEastAsia" w:hAnsi="Times New Roman" w:cs="Times New Roman"/>
        </w:rPr>
        <w:t xml:space="preserve"> with changes in community richness while fixing the trait-containing taxa (i.e., </w:t>
      </w:r>
      <w:r w:rsidRPr="00F23F20">
        <w:rPr>
          <w:rFonts w:ascii="Times New Roman" w:eastAsiaTheme="minorEastAsia" w:hAnsi="Times New Roman" w:cs="Times New Roman"/>
          <w:iCs/>
        </w:rPr>
        <w:t>equation 3.4</w:t>
      </w:r>
      <w:r w:rsidRPr="00F23F20">
        <w:rPr>
          <w:rFonts w:ascii="Times New Roman" w:eastAsiaTheme="minorEastAsia" w:hAnsi="Times New Roman" w:cs="Times New Roman"/>
        </w:rPr>
        <w:t xml:space="preserve"> constant </w:t>
      </w:r>
      <w:r w:rsidRPr="00F23F20">
        <w:rPr>
          <w:rFonts w:ascii="Times New Roman" w:eastAsiaTheme="minorEastAsia" w:hAnsi="Times New Roman" w:cs="Times New Roman"/>
        </w:rPr>
        <w:lastRenderedPageBreak/>
        <w:t xml:space="preserve">while equation3.1 changes). This scenario evaluated the sensitivity in </w:t>
      </w:r>
      <w:r w:rsidRPr="00F23F20">
        <w:rPr>
          <w:rFonts w:ascii="Times New Roman" w:eastAsiaTheme="minorEastAsia" w:hAnsi="Times New Roman" w:cs="Times New Roman"/>
          <w:i/>
        </w:rPr>
        <w:t>H</w:t>
      </w:r>
      <w:r w:rsidRPr="00F23F20">
        <w:rPr>
          <w:rFonts w:ascii="Times New Roman" w:eastAsiaTheme="minorEastAsia" w:hAnsi="Times New Roman" w:cs="Times New Roman"/>
          <w:vertAlign w:val="subscript"/>
        </w:rPr>
        <w:t>E</w:t>
      </w:r>
      <w:r w:rsidRPr="00F23F20">
        <w:rPr>
          <w:rFonts w:ascii="Times New Roman" w:eastAsiaTheme="minorEastAsia" w:hAnsi="Times New Roman" w:cs="Times New Roman"/>
          <w:i/>
        </w:rPr>
        <w:t xml:space="preserve"> </w:t>
      </w:r>
      <w:r w:rsidRPr="00F23F20">
        <w:rPr>
          <w:rFonts w:ascii="Times New Roman" w:eastAsiaTheme="minorEastAsia" w:hAnsi="Times New Roman" w:cs="Times New Roman"/>
        </w:rPr>
        <w:t xml:space="preserve">to equation 3.5 for different </w:t>
      </w:r>
      <w:r w:rsidRPr="00F23F20">
        <w:rPr>
          <w:rFonts w:ascii="Times New Roman" w:eastAsiaTheme="minorEastAsia" w:hAnsi="Times New Roman" w:cs="Times New Roman"/>
          <w:i/>
        </w:rPr>
        <w:t xml:space="preserve">α </w:t>
      </w:r>
      <w:r w:rsidRPr="00F23F20">
        <w:rPr>
          <w:rFonts w:ascii="Times New Roman" w:eastAsiaTheme="minorEastAsia" w:hAnsi="Times New Roman" w:cs="Times New Roman"/>
        </w:rPr>
        <w:t xml:space="preserve">while maintaining a constant </w:t>
      </w:r>
      <w:proofErr w:type="spellStart"/>
      <w:r w:rsidRPr="00F23F20">
        <w:rPr>
          <w:rFonts w:ascii="Times New Roman" w:eastAsiaTheme="minorEastAsia" w:hAnsi="Times New Roman" w:cs="Times New Roman"/>
          <w:i/>
        </w:rPr>
        <w:t>H</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rPr>
        <w:t xml:space="preserve">. </w:t>
      </w:r>
      <w:proofErr w:type="spellStart"/>
      <w:r w:rsidRPr="00F23F20">
        <w:rPr>
          <w:rFonts w:ascii="Times New Roman" w:eastAsiaTheme="minorEastAsia" w:hAnsi="Times New Roman" w:cs="Times New Roman"/>
          <w:i/>
        </w:rPr>
        <w:t>C</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rPr>
        <w:t xml:space="preserve"> was defined as a lognormally-distributed community </w:t>
      </w:r>
      <w:r w:rsidRPr="00F23F20">
        <w:rPr>
          <w:rFonts w:ascii="Times New Roman" w:eastAsiaTheme="minorEastAsia" w:hAnsi="Times New Roman" w:cs="Times New Roman"/>
        </w:rPr>
        <w:fldChar w:fldCharType="begin" w:fldLock="1"/>
      </w:r>
      <w:r w:rsidR="00307058">
        <w:rPr>
          <w:rFonts w:ascii="Times New Roman" w:eastAsiaTheme="minorEastAsia" w:hAnsi="Times New Roman" w:cs="Times New Roman"/>
        </w:rPr>
        <w:instrText>ADDIN CSL_CITATION {"citationItems":[{"id":"ITEM-1","itemData":{"DOI":"10.1007/978-94-015-7358-0","ISBN":"978-94-015-7360-3","author":[{"dropping-particle":"","family":"Magurran","given":"Anne E.","non-dropping-particle":"","parse-names":false,"suffix":""}],"edition":"1","id":"ITEM-1","issued":{"date-parts":[["1988"]]},"number-of-pages":"7-46","publisher":"Croom Helm Ltd","title":"Ecological Diversity and Its Measurement","type":"book"},"uris":["http://www.mendeley.com/documents/?uuid=6163fea9-35eb-4858-882e-bbf78403170b"]}],"mendeley":{"formattedCitation":"(72)","plainTextFormattedCitation":"(72)","previouslyFormattedCitation":"(71)"},"properties":{"noteIndex":0},"schema":"https://github.com/citation-style-language/schema/raw/master/csl-citation.json"}</w:instrText>
      </w:r>
      <w:r w:rsidRPr="00F23F20">
        <w:rPr>
          <w:rFonts w:ascii="Times New Roman" w:eastAsiaTheme="minorEastAsia" w:hAnsi="Times New Roman" w:cs="Times New Roman"/>
        </w:rPr>
        <w:fldChar w:fldCharType="separate"/>
      </w:r>
      <w:r w:rsidR="00307058" w:rsidRPr="00307058">
        <w:rPr>
          <w:rFonts w:ascii="Times New Roman" w:eastAsiaTheme="minorEastAsia" w:hAnsi="Times New Roman" w:cs="Times New Roman"/>
          <w:noProof/>
        </w:rPr>
        <w:t>(72)</w:t>
      </w:r>
      <w:r w:rsidRPr="00F23F20">
        <w:rPr>
          <w:rFonts w:ascii="Times New Roman" w:eastAsiaTheme="minorEastAsia" w:hAnsi="Times New Roman" w:cs="Times New Roman"/>
        </w:rPr>
        <w:fldChar w:fldCharType="end"/>
      </w:r>
      <w:r w:rsidRPr="00F23F20">
        <w:rPr>
          <w:rFonts w:ascii="Times New Roman" w:eastAsiaTheme="minorEastAsia" w:hAnsi="Times New Roman" w:cs="Times New Roman"/>
        </w:rPr>
        <w:t xml:space="preserve"> following the functional form:</w:t>
      </w:r>
    </w:p>
    <w:p w14:paraId="5893A93A" w14:textId="77777777" w:rsidR="00365526" w:rsidRPr="00F23F20" w:rsidRDefault="00365526" w:rsidP="00365526">
      <w:pPr>
        <w:spacing w:line="480" w:lineRule="auto"/>
        <w:rPr>
          <w:rFonts w:ascii="Times New Roman" w:eastAsiaTheme="minorEastAsia" w:hAnsi="Times New Roman" w:cs="Times New Roman"/>
        </w:rPr>
      </w:pPr>
      <m:oMath>
        <m:r>
          <w:rPr>
            <w:rFonts w:ascii="Cambria Math" w:eastAsiaTheme="minorEastAsia" w:hAnsi="Cambria Math" w:cs="Times New Roman"/>
          </w:rPr>
          <m:t>S</m:t>
        </m:r>
        <m:d>
          <m:dPr>
            <m:ctrlPr>
              <w:rPr>
                <w:rFonts w:ascii="Cambria Math" w:eastAsiaTheme="minorEastAsia" w:hAnsi="Cambria Math" w:cs="Times New Roman"/>
                <w:i/>
              </w:rPr>
            </m:ctrlPr>
          </m:dPr>
          <m:e>
            <m:r>
              <w:rPr>
                <w:rFonts w:ascii="Cambria Math" w:eastAsiaTheme="minorEastAsia" w:hAnsi="Cambria Math" w:cs="Times New Roman"/>
              </w:rPr>
              <m:t>r</m:t>
            </m:r>
          </m:e>
        </m:d>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0</m:t>
            </m:r>
          </m:sub>
        </m:sSub>
        <m:sSup>
          <m:sSupPr>
            <m:ctrlPr>
              <w:rPr>
                <w:rFonts w:ascii="Cambria Math" w:eastAsiaTheme="minorEastAsia" w:hAnsi="Cambria Math" w:cs="Times New Roman"/>
                <w:i/>
              </w:rPr>
            </m:ctrlPr>
          </m:sSupPr>
          <m:e>
            <m:r>
              <w:rPr>
                <w:rFonts w:ascii="Cambria Math" w:eastAsiaTheme="minorEastAsia" w:hAnsi="Cambria Math" w:cs="Times New Roman"/>
              </w:rPr>
              <m:t>e</m:t>
            </m:r>
          </m:e>
          <m:sup>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a</m:t>
                </m:r>
              </m:e>
              <m:sup>
                <m:r>
                  <w:rPr>
                    <w:rFonts w:ascii="Cambria Math" w:eastAsiaTheme="minorEastAsia" w:hAnsi="Cambria Math" w:cs="Times New Roman"/>
                  </w:rPr>
                  <m:t>2</m:t>
                </m:r>
              </m:sup>
            </m:sSup>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sup>
        </m:sSup>
      </m:oMath>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r>
      <w:r w:rsidRPr="00F23F20">
        <w:rPr>
          <w:rFonts w:ascii="Times New Roman" w:eastAsiaTheme="minorEastAsia" w:hAnsi="Times New Roman" w:cs="Times New Roman"/>
        </w:rPr>
        <w:tab/>
        <w:t xml:space="preserve">     (3.8</w:t>
      </w:r>
    </w:p>
    <w:p w14:paraId="33CFF083" w14:textId="77777777" w:rsidR="00365526" w:rsidRPr="00F23F20" w:rsidRDefault="00365526" w:rsidP="00365526">
      <w:pPr>
        <w:spacing w:line="480" w:lineRule="auto"/>
        <w:rPr>
          <w:rFonts w:ascii="Times New Roman" w:eastAsiaTheme="minorEastAsia" w:hAnsi="Times New Roman" w:cs="Times New Roman"/>
        </w:rPr>
      </w:pPr>
      <w:r w:rsidRPr="00F23F20">
        <w:rPr>
          <w:rFonts w:ascii="Times New Roman" w:eastAsiaTheme="minorEastAsia" w:hAnsi="Times New Roman" w:cs="Times New Roman"/>
        </w:rPr>
        <w:t xml:space="preserve">where </w:t>
      </w:r>
      <w:r w:rsidRPr="00F23F20">
        <w:rPr>
          <w:rFonts w:ascii="Times New Roman" w:eastAsiaTheme="minorEastAsia" w:hAnsi="Times New Roman" w:cs="Times New Roman"/>
          <w:i/>
        </w:rPr>
        <w:t>S</w:t>
      </w:r>
      <w:r w:rsidRPr="00F23F20">
        <w:rPr>
          <w:rFonts w:ascii="Times New Roman" w:eastAsiaTheme="minorEastAsia" w:hAnsi="Times New Roman" w:cs="Times New Roman"/>
          <w:vertAlign w:val="subscript"/>
        </w:rPr>
        <w:t>0</w:t>
      </w:r>
      <w:r w:rsidRPr="00F23F20">
        <w:rPr>
          <w:rFonts w:ascii="Times New Roman" w:eastAsiaTheme="minorEastAsia" w:hAnsi="Times New Roman" w:cs="Times New Roman"/>
        </w:rPr>
        <w:t xml:space="preserve"> was the maximum abundance, </w:t>
      </w:r>
      <w:r w:rsidRPr="00F23F20">
        <w:rPr>
          <w:rFonts w:ascii="Times New Roman" w:eastAsiaTheme="minorEastAsia" w:hAnsi="Times New Roman" w:cs="Times New Roman"/>
          <w:i/>
        </w:rPr>
        <w:t>r</w:t>
      </w:r>
      <w:r w:rsidRPr="00F23F20">
        <w:rPr>
          <w:rFonts w:ascii="Times New Roman" w:eastAsiaTheme="minorEastAsia" w:hAnsi="Times New Roman" w:cs="Times New Roman"/>
        </w:rPr>
        <w:t xml:space="preserve"> was the </w:t>
      </w:r>
      <w:proofErr w:type="spellStart"/>
      <w:r w:rsidRPr="00F23F20">
        <w:rPr>
          <w:rFonts w:ascii="Times New Roman" w:eastAsiaTheme="minorEastAsia" w:hAnsi="Times New Roman" w:cs="Times New Roman"/>
          <w:i/>
        </w:rPr>
        <w:t>i</w:t>
      </w:r>
      <w:r w:rsidRPr="00F23F20">
        <w:rPr>
          <w:rFonts w:ascii="Times New Roman" w:eastAsiaTheme="minorEastAsia" w:hAnsi="Times New Roman" w:cs="Times New Roman"/>
          <w:vertAlign w:val="superscript"/>
        </w:rPr>
        <w:t>th</w:t>
      </w:r>
      <w:proofErr w:type="spellEnd"/>
      <w:r w:rsidRPr="00F23F20">
        <w:rPr>
          <w:rFonts w:ascii="Times New Roman" w:eastAsiaTheme="minorEastAsia" w:hAnsi="Times New Roman" w:cs="Times New Roman"/>
          <w:i/>
        </w:rPr>
        <w:t xml:space="preserve"> </w:t>
      </w:r>
      <w:r w:rsidRPr="00F23F20">
        <w:rPr>
          <w:rFonts w:ascii="Times New Roman" w:eastAsiaTheme="minorEastAsia" w:hAnsi="Times New Roman" w:cs="Times New Roman"/>
        </w:rPr>
        <w:t xml:space="preserve">octave, and </w:t>
      </w:r>
      <w:r w:rsidRPr="00F23F20">
        <w:rPr>
          <w:rFonts w:ascii="Times New Roman" w:eastAsiaTheme="minorEastAsia" w:hAnsi="Times New Roman" w:cs="Times New Roman"/>
          <w:i/>
        </w:rPr>
        <w:t>a</w:t>
      </w:r>
      <w:r w:rsidRPr="00F23F20">
        <w:rPr>
          <w:rFonts w:ascii="Times New Roman" w:eastAsiaTheme="minorEastAsia" w:hAnsi="Times New Roman" w:cs="Times New Roman"/>
        </w:rPr>
        <w:t xml:space="preserve"> was the inverse width of the lognormal distribution. Values for equation 3.8 were </w:t>
      </w:r>
      <w:r w:rsidRPr="00F23F20">
        <w:rPr>
          <w:rFonts w:ascii="Times New Roman" w:eastAsiaTheme="minorEastAsia" w:hAnsi="Times New Roman" w:cs="Times New Roman"/>
          <w:i/>
        </w:rPr>
        <w:t>a</w:t>
      </w:r>
      <w:r w:rsidRPr="00F23F20">
        <w:rPr>
          <w:rFonts w:ascii="Times New Roman" w:eastAsiaTheme="minorEastAsia" w:hAnsi="Times New Roman" w:cs="Times New Roman"/>
        </w:rPr>
        <w:t xml:space="preserve">=0.2, </w:t>
      </w:r>
      <w:proofErr w:type="spellStart"/>
      <w:r w:rsidRPr="00F23F20">
        <w:rPr>
          <w:rFonts w:ascii="Times New Roman" w:eastAsiaTheme="minorEastAsia" w:hAnsi="Times New Roman" w:cs="Times New Roman"/>
          <w:i/>
        </w:rPr>
        <w:t>r</w:t>
      </w:r>
      <w:proofErr w:type="spellEnd"/>
      <w:r w:rsidRPr="00F23F20">
        <w:rPr>
          <w:rFonts w:ascii="Times New Roman" w:eastAsiaTheme="minorEastAsia" w:hAnsi="Times New Roman" w:cs="Times New Roman"/>
        </w:rPr>
        <w:t xml:space="preserve"> spanned between 0 to 9 (</w:t>
      </w:r>
      <w:r w:rsidRPr="00F23F20">
        <w:rPr>
          <w:rFonts w:ascii="Times New Roman" w:eastAsiaTheme="minorEastAsia" w:hAnsi="Times New Roman" w:cs="Times New Roman"/>
          <w:i/>
        </w:rPr>
        <w:t>v</w:t>
      </w:r>
      <w:r w:rsidRPr="00F23F20">
        <w:rPr>
          <w:rFonts w:ascii="Times New Roman" w:eastAsiaTheme="minorEastAsia" w:hAnsi="Times New Roman" w:cs="Times New Roman"/>
        </w:rPr>
        <w:t>=10), and</w:t>
      </w:r>
      <w:r w:rsidRPr="00F23F20">
        <w:rPr>
          <w:rFonts w:ascii="Times New Roman" w:eastAsiaTheme="minorEastAsia" w:hAnsi="Times New Roman" w:cs="Times New Roman"/>
          <w:i/>
        </w:rPr>
        <w:t xml:space="preserve"> S</w:t>
      </w:r>
      <w:r w:rsidRPr="00F23F20">
        <w:rPr>
          <w:rFonts w:ascii="Times New Roman" w:eastAsiaTheme="minorEastAsia" w:hAnsi="Times New Roman" w:cs="Times New Roman"/>
          <w:vertAlign w:val="subscript"/>
        </w:rPr>
        <w:t>0</w:t>
      </w:r>
      <w:r w:rsidRPr="00F23F20">
        <w:rPr>
          <w:rFonts w:ascii="Times New Roman" w:eastAsiaTheme="minorEastAsia" w:hAnsi="Times New Roman" w:cs="Times New Roman"/>
        </w:rPr>
        <w:t xml:space="preserve">=1. </w:t>
      </w:r>
      <w:r w:rsidRPr="00F23F20">
        <w:rPr>
          <w:rFonts w:ascii="Times New Roman" w:eastAsiaTheme="minorEastAsia" w:hAnsi="Times New Roman" w:cs="Times New Roman"/>
          <w:i/>
        </w:rPr>
        <w:t>S</w:t>
      </w:r>
      <w:r w:rsidRPr="00F23F20">
        <w:rPr>
          <w:rFonts w:ascii="Times New Roman" w:eastAsiaTheme="minorEastAsia" w:hAnsi="Times New Roman" w:cs="Times New Roman"/>
        </w:rPr>
        <w:t>(</w:t>
      </w:r>
      <w:r w:rsidRPr="00F23F20">
        <w:rPr>
          <w:rFonts w:ascii="Times New Roman" w:eastAsiaTheme="minorEastAsia" w:hAnsi="Times New Roman" w:cs="Times New Roman"/>
          <w:i/>
        </w:rPr>
        <w:t>r</w:t>
      </w:r>
      <w:r w:rsidRPr="00F23F20">
        <w:rPr>
          <w:rFonts w:ascii="Times New Roman" w:eastAsiaTheme="minorEastAsia" w:hAnsi="Times New Roman" w:cs="Times New Roman"/>
        </w:rPr>
        <w:t xml:space="preserve">) was then normalized by the sum of abundances across all </w:t>
      </w:r>
      <w:r w:rsidRPr="00F23F20">
        <w:rPr>
          <w:rFonts w:ascii="Times New Roman" w:eastAsiaTheme="minorEastAsia" w:hAnsi="Times New Roman" w:cs="Times New Roman"/>
          <w:i/>
        </w:rPr>
        <w:t>r</w:t>
      </w:r>
      <w:r w:rsidRPr="00F23F20">
        <w:rPr>
          <w:rFonts w:ascii="Times New Roman" w:eastAsiaTheme="minorEastAsia" w:hAnsi="Times New Roman" w:cs="Times New Roman"/>
        </w:rPr>
        <w:t xml:space="preserve"> so that the condition, </w:t>
      </w:r>
      <m:oMath>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i=1</m:t>
            </m:r>
          </m:sub>
          <m:sup>
            <m:r>
              <w:rPr>
                <w:rFonts w:ascii="Cambria Math" w:eastAsiaTheme="minorEastAsia" w:hAnsi="Cambria Math" w:cs="Times New Roman"/>
              </w:rPr>
              <m:t>ν</m:t>
            </m:r>
          </m:sup>
          <m:e>
            <m:sSub>
              <m:sSubPr>
                <m:ctrlPr>
                  <w:rPr>
                    <w:rFonts w:ascii="Cambria Math" w:eastAsiaTheme="minorEastAsia" w:hAnsi="Cambria Math" w:cs="Times New Roman"/>
                    <w:i/>
                  </w:rPr>
                </m:ctrlPr>
              </m:sSubPr>
              <m:e>
                <m:r>
                  <w:rPr>
                    <w:rFonts w:ascii="Cambria Math" w:eastAsiaTheme="minorEastAsia" w:hAnsi="Cambria Math" w:cs="Times New Roman"/>
                  </w:rPr>
                  <m:t>τ</m:t>
                </m:r>
              </m:e>
              <m:sub>
                <m:r>
                  <w:rPr>
                    <w:rFonts w:ascii="Cambria Math" w:eastAsiaTheme="minorEastAsia" w:hAnsi="Cambria Math" w:cs="Times New Roman"/>
                  </w:rPr>
                  <m:t>i</m:t>
                </m:r>
              </m:sub>
            </m:sSub>
            <m:r>
              <w:rPr>
                <w:rFonts w:ascii="Cambria Math" w:eastAsiaTheme="minorEastAsia" w:hAnsi="Cambria Math" w:cs="Times New Roman"/>
              </w:rPr>
              <m:t>=1</m:t>
            </m:r>
          </m:e>
        </m:nary>
      </m:oMath>
      <w:r w:rsidRPr="00F23F20">
        <w:rPr>
          <w:rFonts w:ascii="Times New Roman" w:eastAsiaTheme="minorEastAsia" w:hAnsi="Times New Roman" w:cs="Times New Roman"/>
        </w:rPr>
        <w:t xml:space="preserve">, was met. Afterwards, we dynamically increased values of </w:t>
      </w:r>
      <w:r w:rsidRPr="00F23F20">
        <w:rPr>
          <w:rFonts w:ascii="Times New Roman" w:eastAsiaTheme="minorEastAsia" w:hAnsi="Times New Roman" w:cs="Times New Roman"/>
          <w:i/>
        </w:rPr>
        <w:t>n</w:t>
      </w:r>
      <w:r w:rsidRPr="00F23F20">
        <w:rPr>
          <w:rFonts w:ascii="Times New Roman" w:eastAsiaTheme="minorEastAsia" w:hAnsi="Times New Roman" w:cs="Times New Roman"/>
        </w:rPr>
        <w:t xml:space="preserve"> from 10 to 100 (lognormal-evenly distributed increments) for generating the theoretical, maximally diverse trait contribution distributions (equation 3.6). </w:t>
      </w:r>
      <w:r w:rsidRPr="00F23F20">
        <w:rPr>
          <w:rFonts w:ascii="Times New Roman" w:eastAsiaTheme="minorEastAsia" w:hAnsi="Times New Roman" w:cs="Times New Roman"/>
          <w:i/>
        </w:rPr>
        <w:t>R</w:t>
      </w:r>
      <w:r w:rsidRPr="00F23F20">
        <w:rPr>
          <w:rFonts w:ascii="Times New Roman" w:eastAsiaTheme="minorEastAsia" w:hAnsi="Times New Roman" w:cs="Times New Roman"/>
          <w:iCs/>
        </w:rPr>
        <w:t xml:space="preserve"> was then calculated</w:t>
      </w:r>
      <w:r w:rsidRPr="00F23F20">
        <w:rPr>
          <w:rFonts w:ascii="Times New Roman" w:eastAsiaTheme="minorEastAsia" w:hAnsi="Times New Roman" w:cs="Times New Roman"/>
        </w:rPr>
        <w:t xml:space="preserve"> while keeping the </w:t>
      </w:r>
      <w:proofErr w:type="spellStart"/>
      <w:r w:rsidRPr="00F23F20">
        <w:rPr>
          <w:rFonts w:ascii="Times New Roman" w:eastAsiaTheme="minorEastAsia" w:hAnsi="Times New Roman" w:cs="Times New Roman"/>
          <w:i/>
        </w:rPr>
        <w:t>H</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rPr>
        <w:t xml:space="preserve"> at a fixed</w:t>
      </w:r>
      <w:r w:rsidRPr="00F23F20">
        <w:rPr>
          <w:rFonts w:ascii="Times New Roman" w:eastAsiaTheme="minorEastAsia" w:hAnsi="Times New Roman" w:cs="Times New Roman"/>
          <w:i/>
        </w:rPr>
        <w:t xml:space="preserve"> </w:t>
      </w:r>
      <w:r w:rsidRPr="00F23F20">
        <w:rPr>
          <w:rFonts w:ascii="Times New Roman" w:eastAsiaTheme="minorEastAsia" w:hAnsi="Times New Roman" w:cs="Times New Roman"/>
        </w:rPr>
        <w:t xml:space="preserve">value. This exercise was performed for </w:t>
      </w:r>
      <w:r w:rsidRPr="00F23F20">
        <w:rPr>
          <w:rFonts w:ascii="Times New Roman" w:eastAsiaTheme="minorEastAsia" w:hAnsi="Times New Roman" w:cs="Times New Roman"/>
          <w:i/>
        </w:rPr>
        <w:t>α</w:t>
      </w:r>
      <w:r w:rsidRPr="00F23F20">
        <w:rPr>
          <w:rFonts w:ascii="Times New Roman" w:eastAsiaTheme="minorEastAsia" w:hAnsi="Times New Roman" w:cs="Times New Roman"/>
        </w:rPr>
        <w:t xml:space="preserve"> spanning from values 0 to 2 at increments of 0.01.  </w:t>
      </w:r>
    </w:p>
    <w:p w14:paraId="4B4A8E48" w14:textId="77777777" w:rsidR="00365526" w:rsidRPr="00F23F20" w:rsidRDefault="00365526" w:rsidP="00365526">
      <w:pPr>
        <w:pStyle w:val="Heading3"/>
        <w:rPr>
          <w:rFonts w:eastAsiaTheme="minorEastAsia"/>
        </w:rPr>
      </w:pPr>
      <w:bookmarkStart w:id="245" w:name="_Toc41908122"/>
      <w:r w:rsidRPr="00F23F20">
        <w:rPr>
          <w:rFonts w:eastAsiaTheme="minorEastAsia"/>
        </w:rPr>
        <w:t>Functional Redundancy Against Trait Vulnerability Simulations</w:t>
      </w:r>
      <w:bookmarkEnd w:id="245"/>
    </w:p>
    <w:p w14:paraId="06413EF2" w14:textId="766E17D8" w:rsidR="00365526" w:rsidRPr="00F23F20" w:rsidRDefault="00365526" w:rsidP="00365526">
      <w:pPr>
        <w:spacing w:line="480" w:lineRule="auto"/>
        <w:ind w:firstLine="720"/>
        <w:rPr>
          <w:rFonts w:ascii="Times New Roman" w:eastAsiaTheme="minorEastAsia" w:hAnsi="Times New Roman" w:cs="Times New Roman"/>
        </w:rPr>
      </w:pPr>
      <w:r w:rsidRPr="00F23F20">
        <w:rPr>
          <w:rFonts w:ascii="Times New Roman" w:eastAsiaTheme="minorEastAsia" w:hAnsi="Times New Roman" w:cs="Times New Roman"/>
        </w:rPr>
        <w:t xml:space="preserve">We generated artificial communities such that the variables of community richness, diversity (with respect to </w:t>
      </w:r>
      <w:r w:rsidRPr="00F23F20">
        <w:rPr>
          <w:rFonts w:ascii="Times New Roman" w:eastAsiaTheme="minorEastAsia" w:hAnsi="Times New Roman" w:cs="Times New Roman"/>
          <w:i/>
        </w:rPr>
        <w:t>p</w:t>
      </w:r>
      <w:r w:rsidRPr="00F23F20">
        <w:rPr>
          <w:rFonts w:ascii="Times New Roman" w:eastAsiaTheme="minorEastAsia" w:hAnsi="Times New Roman" w:cs="Times New Roman"/>
        </w:rPr>
        <w:t xml:space="preserve">), and </w:t>
      </w:r>
      <w:r w:rsidRPr="00F23F20">
        <w:rPr>
          <w:rFonts w:ascii="Times New Roman" w:eastAsiaTheme="minorEastAsia" w:hAnsi="Times New Roman" w:cs="Times New Roman"/>
          <w:i/>
        </w:rPr>
        <w:t>t</w:t>
      </w:r>
      <w:r w:rsidRPr="00F23F20">
        <w:rPr>
          <w:rFonts w:ascii="Times New Roman" w:eastAsiaTheme="minorEastAsia" w:hAnsi="Times New Roman" w:cs="Times New Roman"/>
        </w:rPr>
        <w:t xml:space="preserve"> were varied over a dynamic range. Community richness, </w:t>
      </w:r>
      <w:r w:rsidRPr="00F23F20">
        <w:rPr>
          <w:rFonts w:ascii="Times New Roman" w:eastAsiaTheme="minorEastAsia" w:hAnsi="Times New Roman" w:cs="Times New Roman"/>
          <w:i/>
        </w:rPr>
        <w:t>n</w:t>
      </w:r>
      <w:r w:rsidRPr="00F23F20">
        <w:rPr>
          <w:rFonts w:ascii="Times New Roman" w:eastAsiaTheme="minorEastAsia" w:hAnsi="Times New Roman" w:cs="Times New Roman"/>
        </w:rPr>
        <w:t xml:space="preserve">, was randomly assigned a value from 30 to 100 for individual communities. The relative abundance, </w:t>
      </w:r>
      <w:r w:rsidRPr="00F23F20">
        <w:rPr>
          <w:rFonts w:ascii="Times New Roman" w:eastAsiaTheme="minorEastAsia" w:hAnsi="Times New Roman" w:cs="Times New Roman"/>
          <w:i/>
        </w:rPr>
        <w:t>p</w:t>
      </w:r>
      <w:r w:rsidRPr="00F23F20">
        <w:rPr>
          <w:rFonts w:ascii="Times New Roman" w:eastAsiaTheme="minorEastAsia" w:hAnsi="Times New Roman" w:cs="Times New Roman"/>
        </w:rPr>
        <w:t xml:space="preserve">, for individual taxa within a community were then defined using equation 3.8. Values of </w:t>
      </w:r>
      <w:r w:rsidRPr="00F23F20">
        <w:rPr>
          <w:rFonts w:ascii="Times New Roman" w:eastAsiaTheme="minorEastAsia" w:hAnsi="Times New Roman" w:cs="Times New Roman"/>
          <w:i/>
        </w:rPr>
        <w:t>a</w:t>
      </w:r>
      <w:r w:rsidRPr="00F23F20">
        <w:rPr>
          <w:rFonts w:ascii="Times New Roman" w:eastAsiaTheme="minorEastAsia" w:hAnsi="Times New Roman" w:cs="Times New Roman"/>
        </w:rPr>
        <w:t xml:space="preserve"> where randomly selected from 0 (even) to 0.4 (operationally more uneven) at 0.01 intervals. After establishing taxa relative abundances, we prescribed levels of trait to individual taxa. Level of trait, </w:t>
      </w:r>
      <w:r w:rsidRPr="00F23F20">
        <w:rPr>
          <w:rFonts w:ascii="Times New Roman" w:eastAsiaTheme="minorEastAsia" w:hAnsi="Times New Roman" w:cs="Times New Roman"/>
          <w:i/>
        </w:rPr>
        <w:t>t</w:t>
      </w:r>
      <w:r w:rsidRPr="00F23F20">
        <w:rPr>
          <w:rFonts w:ascii="Times New Roman" w:eastAsiaTheme="minorEastAsia" w:hAnsi="Times New Roman" w:cs="Times New Roman"/>
        </w:rPr>
        <w:t xml:space="preserve">, was assigned a value between 0 (does not contain) and 1 (maximum level) at intervals of 0.01. We randomly selected one of three scenarios in the assignment of </w:t>
      </w:r>
      <w:r w:rsidRPr="00F23F20">
        <w:rPr>
          <w:rFonts w:ascii="Times New Roman" w:eastAsiaTheme="minorEastAsia" w:hAnsi="Times New Roman" w:cs="Times New Roman"/>
          <w:i/>
        </w:rPr>
        <w:t>t</w:t>
      </w:r>
      <w:r w:rsidRPr="00F23F20">
        <w:rPr>
          <w:rFonts w:ascii="Times New Roman" w:eastAsiaTheme="minorEastAsia" w:hAnsi="Times New Roman" w:cs="Times New Roman"/>
        </w:rPr>
        <w:t xml:space="preserve">. The first scenario </w:t>
      </w:r>
      <w:r w:rsidRPr="00F23F20">
        <w:rPr>
          <w:rFonts w:ascii="Times New Roman" w:eastAsiaTheme="minorEastAsia" w:hAnsi="Times New Roman" w:cs="Times New Roman"/>
        </w:rPr>
        <w:lastRenderedPageBreak/>
        <w:t xml:space="preserve">considered every taxon containing the trait, where every taxon had the trait greater than 0. The second scenario had 50% of the taxa containing the trait at a random level greater than 0 while the other 50% did not contain the trait. The last scenario had 20% of taxa containing the trait at a random level greater than 0 while 80% of taxa did not have the trait. In total, 10,000 artificial communities were generated with this approach. For each artificial community, functional redundancy with equations 3.1-3.8. For comparison, we calculated </w:t>
      </w:r>
      <w:r w:rsidRPr="00F23F20">
        <w:rPr>
          <w:rFonts w:ascii="Times New Roman" w:eastAsiaTheme="minorEastAsia" w:hAnsi="Times New Roman" w:cs="Times New Roman"/>
          <w:i/>
        </w:rPr>
        <w:t>R</w:t>
      </w:r>
      <w:r w:rsidRPr="00F23F20">
        <w:rPr>
          <w:rFonts w:ascii="Times New Roman" w:eastAsiaTheme="minorEastAsia" w:hAnsi="Times New Roman" w:cs="Times New Roman"/>
        </w:rPr>
        <w:t xml:space="preserve"> based on </w:t>
      </w:r>
      <w:r w:rsidR="009B61E4">
        <w:rPr>
          <w:rFonts w:ascii="Times New Roman" w:eastAsiaTheme="minorEastAsia" w:hAnsi="Times New Roman" w:cs="Times New Roman"/>
        </w:rPr>
        <w:fldChar w:fldCharType="begin" w:fldLock="1"/>
      </w:r>
      <w:r w:rsidR="00307058">
        <w:rPr>
          <w:rFonts w:ascii="Times New Roman" w:eastAsiaTheme="minorEastAsia" w:hAnsi="Times New Roman" w:cs="Times New Roman"/>
        </w:rPr>
        <w:instrText>ADDIN CSL_CITATION {"citationItems":[{"id":"ITEM-1","itemData":{"DOI":"10.1111/2041-210X.12604","ISSN":"2041210X","abstract":"The preservation of ecosystem processes under ongoing biotic erosion requires that some species within affected communities perform similar functions, a property that is usually defined as functional redundancy. Although functional redundancy has recently become a relevant part of ecological research, so far there is no agreement on its measurement. The scope of this work is thus to propose a consistent framework based on functional dissimilarities among species for summarizing different facets of functional redundancy. The behaviour of the proposed measures is illustrated with one small artificial data set, together with actual examples on the species functional turnover along successional gradients. We believe this new framework provides an important contribution for the clarification and quantification of key metrics of community redundancy and vulnerability. The method, for which we provide a simple r function called ‘uniqueness’, further allows summarizing the functional contribution of single species to the overall redundancy of any type of biological community.","author":[{"dropping-particle":"","family":"Ricotta","given":"Carlo","non-dropping-particle":"","parse-names":false,"suffix":""},{"dropping-particle":"","family":"Bello","given":"Francesco","non-dropping-particle":"de","parse-names":false,"suffix":""},{"dropping-particle":"","family":"Moretti","given":"Marco","non-dropping-particle":"","parse-names":false,"suffix":""},{"dropping-particle":"","family":"Caccianiga","given":"Marco","non-dropping-particle":"","parse-names":false,"suffix":""},{"dropping-particle":"","family":"Cerabolini","given":"Bruno E.L.","non-dropping-particle":"","parse-names":false,"suffix":""},{"dropping-particle":"","family":"Pavoine","given":"Sandrine","non-dropping-particle":"","parse-names":false,"suffix":""}],"container-title":"Methods in Ecology and Evolution","id":"ITEM-1","issue":"11","issued":{"date-parts":[["2016"]]},"page":"1386-1395","title":"Measuring the functional redundancy of biological communities: a quantitative guide","type":"article-journal","volume":"7"},"uris":["http://www.mendeley.com/documents/?uuid=a4a1a205-a550-4685-bdb4-245917332160"]}],"mendeley":{"formattedCitation":"(91)","plainTextFormattedCitation":"(91)","previouslyFormattedCitation":"(90)"},"properties":{"noteIndex":0},"schema":"https://github.com/citation-style-language/schema/raw/master/csl-citation.json"}</w:instrText>
      </w:r>
      <w:r w:rsidR="009B61E4">
        <w:rPr>
          <w:rFonts w:ascii="Times New Roman" w:eastAsiaTheme="minorEastAsia" w:hAnsi="Times New Roman" w:cs="Times New Roman"/>
        </w:rPr>
        <w:fldChar w:fldCharType="separate"/>
      </w:r>
      <w:r w:rsidR="00307058" w:rsidRPr="00307058">
        <w:rPr>
          <w:rFonts w:ascii="Times New Roman" w:eastAsiaTheme="minorEastAsia" w:hAnsi="Times New Roman" w:cs="Times New Roman"/>
          <w:noProof/>
        </w:rPr>
        <w:t>(91)</w:t>
      </w:r>
      <w:r w:rsidR="009B61E4">
        <w:rPr>
          <w:rFonts w:ascii="Times New Roman" w:eastAsiaTheme="minorEastAsia" w:hAnsi="Times New Roman" w:cs="Times New Roman"/>
        </w:rPr>
        <w:fldChar w:fldCharType="end"/>
      </w:r>
      <w:r w:rsidR="009B61E4">
        <w:rPr>
          <w:rFonts w:ascii="Times New Roman" w:eastAsiaTheme="minorEastAsia" w:hAnsi="Times New Roman" w:cs="Times New Roman"/>
        </w:rPr>
        <w:t xml:space="preserve"> </w:t>
      </w:r>
      <w:r w:rsidRPr="00F23F20">
        <w:rPr>
          <w:rFonts w:ascii="Times New Roman" w:eastAsiaTheme="minorEastAsia" w:hAnsi="Times New Roman" w:cs="Times New Roman"/>
        </w:rPr>
        <w:t>(using code published in Appendix S1). In our calculations of Rao’s functional diversity, we utilized Euclidean distances.</w:t>
      </w:r>
    </w:p>
    <w:p w14:paraId="101874C7" w14:textId="77777777" w:rsidR="00365526" w:rsidRPr="00F23F20" w:rsidRDefault="00365526" w:rsidP="00365526">
      <w:pPr>
        <w:spacing w:line="480" w:lineRule="auto"/>
        <w:ind w:firstLine="720"/>
        <w:rPr>
          <w:rFonts w:ascii="Times New Roman" w:eastAsiaTheme="minorEastAsia" w:hAnsi="Times New Roman" w:cs="Times New Roman"/>
        </w:rPr>
      </w:pPr>
      <w:r w:rsidRPr="00F23F20">
        <w:rPr>
          <w:rFonts w:ascii="Times New Roman" w:eastAsiaTheme="minorEastAsia" w:hAnsi="Times New Roman" w:cs="Times New Roman"/>
        </w:rPr>
        <w:t xml:space="preserve">We performed two separate simulations with the artificially generated communities described above. The first simulation varied </w:t>
      </w:r>
      <w:r w:rsidRPr="00F23F20">
        <w:rPr>
          <w:rFonts w:ascii="Times New Roman" w:eastAsiaTheme="minorEastAsia" w:hAnsi="Times New Roman" w:cs="Times New Roman"/>
          <w:i/>
          <w:iCs/>
        </w:rPr>
        <w:t>α</w:t>
      </w:r>
      <w:r w:rsidRPr="00F23F20">
        <w:rPr>
          <w:rFonts w:ascii="Times New Roman" w:eastAsiaTheme="minorEastAsia" w:hAnsi="Times New Roman" w:cs="Times New Roman"/>
        </w:rPr>
        <w:t xml:space="preserve"> from 0 to 2 in equation 3.5 to determine which </w:t>
      </w:r>
      <w:r w:rsidRPr="00F23F20">
        <w:rPr>
          <w:rFonts w:ascii="Times New Roman" w:eastAsiaTheme="minorEastAsia" w:hAnsi="Times New Roman" w:cs="Times New Roman"/>
          <w:i/>
          <w:iCs/>
        </w:rPr>
        <w:t>α</w:t>
      </w:r>
      <w:r w:rsidRPr="00F23F20">
        <w:rPr>
          <w:rFonts w:ascii="Times New Roman" w:eastAsiaTheme="minorEastAsia" w:hAnsi="Times New Roman" w:cs="Times New Roman"/>
        </w:rPr>
        <w:t xml:space="preserve"> maximized the dynamic range in observed functional redundancy. In this analysis, we excluded scenarios where </w:t>
      </w:r>
      <w:r w:rsidRPr="00F23F20">
        <w:rPr>
          <w:rFonts w:ascii="Times New Roman" w:eastAsiaTheme="minorEastAsia" w:hAnsi="Times New Roman" w:cs="Times New Roman"/>
          <w:i/>
          <w:iCs/>
        </w:rPr>
        <w:t>R</w:t>
      </w:r>
      <w:r w:rsidRPr="00F23F20">
        <w:rPr>
          <w:rFonts w:ascii="Times New Roman" w:eastAsiaTheme="minorEastAsia" w:hAnsi="Times New Roman" w:cs="Times New Roman"/>
        </w:rPr>
        <w:t xml:space="preserve">=0 and </w:t>
      </w:r>
      <w:r w:rsidRPr="00F23F20">
        <w:rPr>
          <w:rFonts w:ascii="Times New Roman" w:eastAsiaTheme="minorEastAsia" w:hAnsi="Times New Roman" w:cs="Times New Roman"/>
          <w:i/>
          <w:iCs/>
        </w:rPr>
        <w:t>R</w:t>
      </w:r>
      <w:r w:rsidRPr="00F23F20">
        <w:rPr>
          <w:rFonts w:ascii="Times New Roman" w:eastAsiaTheme="minorEastAsia" w:hAnsi="Times New Roman" w:cs="Times New Roman"/>
        </w:rPr>
        <w:t>=1.</w:t>
      </w:r>
      <w:r w:rsidRPr="00F23F20">
        <w:rPr>
          <w:rFonts w:ascii="Times New Roman" w:eastAsiaTheme="minorEastAsia" w:hAnsi="Times New Roman" w:cs="Times New Roman"/>
          <w:i/>
          <w:iCs/>
        </w:rPr>
        <w:t xml:space="preserve"> </w:t>
      </w:r>
      <w:r w:rsidRPr="00F23F20">
        <w:rPr>
          <w:rFonts w:ascii="Times New Roman" w:eastAsiaTheme="minorEastAsia" w:hAnsi="Times New Roman" w:cs="Times New Roman"/>
        </w:rPr>
        <w:t>As functional redundancy spanned ~10 orders of magnitude, we reported the range after taking the log</w:t>
      </w:r>
      <w:r w:rsidRPr="00F23F20">
        <w:rPr>
          <w:rFonts w:ascii="Times New Roman" w:eastAsiaTheme="minorEastAsia" w:hAnsi="Times New Roman" w:cs="Times New Roman"/>
          <w:vertAlign w:val="subscript"/>
        </w:rPr>
        <w:t>10</w:t>
      </w:r>
      <w:r w:rsidRPr="00F23F20">
        <w:rPr>
          <w:rFonts w:ascii="Times New Roman" w:eastAsiaTheme="minorEastAsia" w:hAnsi="Times New Roman" w:cs="Times New Roman"/>
        </w:rPr>
        <w:t xml:space="preserve"> functional redundancy. The second simulation caused random taxon extinction events within the artificial communities described above. </w:t>
      </w:r>
      <w:proofErr w:type="spellStart"/>
      <w:r w:rsidRPr="00F23F20">
        <w:rPr>
          <w:rFonts w:ascii="Times New Roman" w:eastAsiaTheme="minorEastAsia" w:hAnsi="Times New Roman" w:cs="Times New Roman"/>
          <w:i/>
        </w:rPr>
        <w:t>C</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rPr>
        <w:t xml:space="preserve"> was determined for individual artificial communities with equations 3.1-3.4. Taxon extinction events were simulated by randomly removing the same taxa from </w:t>
      </w:r>
      <w:r w:rsidRPr="00F23F20">
        <w:rPr>
          <w:rFonts w:ascii="Times New Roman" w:eastAsiaTheme="minorEastAsia" w:hAnsi="Times New Roman" w:cs="Times New Roman"/>
          <w:i/>
        </w:rPr>
        <w:t>C</w:t>
      </w:r>
      <w:r w:rsidRPr="00F23F20">
        <w:rPr>
          <w:rFonts w:ascii="Times New Roman" w:eastAsiaTheme="minorEastAsia" w:hAnsi="Times New Roman" w:cs="Times New Roman"/>
          <w:iCs/>
        </w:rPr>
        <w:t xml:space="preserve"> (equation 1) and </w:t>
      </w:r>
      <w:proofErr w:type="spellStart"/>
      <w:r w:rsidRPr="00F23F20">
        <w:rPr>
          <w:rFonts w:ascii="Times New Roman" w:eastAsiaTheme="minorEastAsia" w:hAnsi="Times New Roman" w:cs="Times New Roman"/>
          <w:i/>
        </w:rPr>
        <w:t>C</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iCs/>
        </w:rPr>
        <w:t xml:space="preserve"> (equation 3.4)</w:t>
      </w:r>
      <w:r w:rsidRPr="00F23F20">
        <w:rPr>
          <w:rFonts w:ascii="Times New Roman" w:eastAsiaTheme="minorEastAsia" w:hAnsi="Times New Roman" w:cs="Times New Roman"/>
        </w:rPr>
        <w:t xml:space="preserve">. If a </w:t>
      </w:r>
      <w:proofErr w:type="spellStart"/>
      <w:r w:rsidRPr="00F23F20">
        <w:rPr>
          <w:rFonts w:ascii="Times New Roman" w:eastAsiaTheme="minorEastAsia" w:hAnsi="Times New Roman" w:cs="Times New Roman"/>
        </w:rPr>
        <w:t>taxon</w:t>
      </w:r>
      <w:proofErr w:type="spellEnd"/>
      <w:r w:rsidRPr="00F23F20">
        <w:rPr>
          <w:rFonts w:ascii="Times New Roman" w:eastAsiaTheme="minorEastAsia" w:hAnsi="Times New Roman" w:cs="Times New Roman"/>
        </w:rPr>
        <w:t xml:space="preserve"> in </w:t>
      </w:r>
      <w:r w:rsidRPr="00F23F20">
        <w:rPr>
          <w:rFonts w:ascii="Times New Roman" w:eastAsiaTheme="minorEastAsia" w:hAnsi="Times New Roman" w:cs="Times New Roman"/>
          <w:i/>
          <w:iCs/>
        </w:rPr>
        <w:t>C</w:t>
      </w:r>
      <w:r w:rsidRPr="00F23F20">
        <w:rPr>
          <w:rFonts w:ascii="Times New Roman" w:eastAsiaTheme="minorEastAsia" w:hAnsi="Times New Roman" w:cs="Times New Roman"/>
        </w:rPr>
        <w:t xml:space="preserve"> did not contain the trait, then no taxa were removed from </w:t>
      </w:r>
      <w:proofErr w:type="spellStart"/>
      <w:r w:rsidRPr="00F23F20">
        <w:rPr>
          <w:rFonts w:ascii="Times New Roman" w:eastAsiaTheme="minorEastAsia" w:hAnsi="Times New Roman" w:cs="Times New Roman"/>
          <w:i/>
        </w:rPr>
        <w:t>C</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rPr>
        <w:t xml:space="preserve">. After each taxon extinction event, the total </w:t>
      </w:r>
      <w:r w:rsidRPr="00F23F20">
        <w:rPr>
          <w:rFonts w:ascii="Times New Roman" w:eastAsiaTheme="minorEastAsia" w:hAnsi="Times New Roman" w:cs="Times New Roman"/>
          <w:i/>
        </w:rPr>
        <w:t>τ</w:t>
      </w:r>
      <w:r w:rsidRPr="00F23F20">
        <w:rPr>
          <w:rFonts w:ascii="Times New Roman" w:eastAsiaTheme="minorEastAsia" w:hAnsi="Times New Roman" w:cs="Times New Roman"/>
        </w:rPr>
        <w:t xml:space="preserve"> in </w:t>
      </w:r>
      <w:proofErr w:type="spellStart"/>
      <w:r w:rsidRPr="00F23F20">
        <w:rPr>
          <w:rFonts w:ascii="Times New Roman" w:eastAsiaTheme="minorEastAsia" w:hAnsi="Times New Roman" w:cs="Times New Roman"/>
          <w:i/>
        </w:rPr>
        <w:t>C</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rPr>
        <w:t xml:space="preserve"> was determined by summing the remaining elements within </w:t>
      </w:r>
      <w:proofErr w:type="spellStart"/>
      <w:r w:rsidRPr="00F23F20">
        <w:rPr>
          <w:rFonts w:ascii="Times New Roman" w:eastAsiaTheme="minorEastAsia" w:hAnsi="Times New Roman" w:cs="Times New Roman"/>
          <w:i/>
        </w:rPr>
        <w:t>C</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rPr>
        <w:t xml:space="preserve">. Random taxon extinction events continued until the sum of </w:t>
      </w:r>
      <w:r w:rsidRPr="00F23F20">
        <w:rPr>
          <w:rFonts w:ascii="Times New Roman" w:eastAsiaTheme="minorEastAsia" w:hAnsi="Times New Roman" w:cs="Times New Roman"/>
          <w:i/>
        </w:rPr>
        <w:t>τ</w:t>
      </w:r>
      <w:r w:rsidRPr="00F23F20">
        <w:rPr>
          <w:rFonts w:ascii="Times New Roman" w:eastAsiaTheme="minorEastAsia" w:hAnsi="Times New Roman" w:cs="Times New Roman"/>
        </w:rPr>
        <w:t xml:space="preserve"> remaining in </w:t>
      </w:r>
      <w:proofErr w:type="spellStart"/>
      <w:r w:rsidRPr="00F23F20">
        <w:rPr>
          <w:rFonts w:ascii="Times New Roman" w:eastAsiaTheme="minorEastAsia" w:hAnsi="Times New Roman" w:cs="Times New Roman"/>
          <w:i/>
        </w:rPr>
        <w:t>C</w:t>
      </w:r>
      <w:r w:rsidRPr="00F23F20">
        <w:rPr>
          <w:rFonts w:ascii="Times New Roman" w:eastAsiaTheme="minorEastAsia" w:hAnsi="Times New Roman" w:cs="Times New Roman"/>
          <w:vertAlign w:val="subscript"/>
        </w:rPr>
        <w:t>τ</w:t>
      </w:r>
      <w:proofErr w:type="spellEnd"/>
      <w:r w:rsidRPr="00F23F20">
        <w:rPr>
          <w:rFonts w:ascii="Times New Roman" w:eastAsiaTheme="minorEastAsia" w:hAnsi="Times New Roman" w:cs="Times New Roman"/>
        </w:rPr>
        <w:t xml:space="preserve"> was &gt;95% from starting value of </w:t>
      </w:r>
      <w:r w:rsidRPr="00F23F20">
        <w:rPr>
          <w:rFonts w:ascii="Times New Roman" w:eastAsiaTheme="minorEastAsia" w:hAnsi="Times New Roman" w:cs="Times New Roman"/>
          <w:i/>
        </w:rPr>
        <w:t>τ</w:t>
      </w:r>
      <w:r w:rsidRPr="00F23F20">
        <w:rPr>
          <w:rFonts w:ascii="Times New Roman" w:eastAsiaTheme="minorEastAsia" w:hAnsi="Times New Roman" w:cs="Times New Roman"/>
        </w:rPr>
        <w:t xml:space="preserve"> (</w:t>
      </w:r>
      <w:proofErr w:type="spellStart"/>
      <w:r w:rsidRPr="00F23F20">
        <w:rPr>
          <w:rFonts w:ascii="Times New Roman" w:eastAsiaTheme="minorEastAsia" w:hAnsi="Times New Roman" w:cs="Times New Roman"/>
        </w:rPr>
        <w:t>i.e</w:t>
      </w:r>
      <w:proofErr w:type="spellEnd"/>
      <w:r w:rsidRPr="00F23F20">
        <w:rPr>
          <w:rFonts w:ascii="Times New Roman" w:eastAsiaTheme="minorEastAsia" w:hAnsi="Times New Roman" w:cs="Times New Roman"/>
        </w:rPr>
        <w:t xml:space="preserve">, </w:t>
      </w:r>
      <w:r w:rsidRPr="00F23F20">
        <w:rPr>
          <w:rFonts w:ascii="Times New Roman" w:eastAsiaTheme="minorEastAsia" w:hAnsi="Times New Roman" w:cs="Times New Roman"/>
          <w:i/>
        </w:rPr>
        <w:t>τ</w:t>
      </w:r>
      <w:r w:rsidRPr="00F23F20">
        <w:rPr>
          <w:rFonts w:ascii="Times New Roman" w:eastAsiaTheme="minorEastAsia" w:hAnsi="Times New Roman" w:cs="Times New Roman"/>
        </w:rPr>
        <w:t>=1). Trait robustness to extinctions was then defined as the fraction of taxon richness (</w:t>
      </w:r>
      <w:r w:rsidRPr="00F23F20">
        <w:rPr>
          <w:rFonts w:ascii="Times New Roman" w:eastAsiaTheme="minorEastAsia" w:hAnsi="Times New Roman" w:cs="Times New Roman"/>
          <w:i/>
        </w:rPr>
        <w:t>n</w:t>
      </w:r>
      <w:r w:rsidRPr="00F23F20">
        <w:rPr>
          <w:rFonts w:ascii="Times New Roman" w:eastAsiaTheme="minorEastAsia" w:hAnsi="Times New Roman" w:cs="Times New Roman"/>
        </w:rPr>
        <w:t xml:space="preserve">) which went extinct prior to 95% of the trait </w:t>
      </w:r>
      <w:r w:rsidRPr="00F23F20">
        <w:rPr>
          <w:rFonts w:ascii="Times New Roman" w:eastAsiaTheme="minorEastAsia" w:hAnsi="Times New Roman" w:cs="Times New Roman"/>
        </w:rPr>
        <w:lastRenderedPageBreak/>
        <w:t xml:space="preserve">being lost. The extinction simulation was performed 100 times for each of the individual 10,000 artificial communities. The trait robustness generated from the 100 simulations were then averaged for each of the individual 10,000 artificial communities. </w:t>
      </w:r>
    </w:p>
    <w:p w14:paraId="1544A5E0" w14:textId="77777777" w:rsidR="00365526" w:rsidRPr="00F23F20" w:rsidRDefault="00365526" w:rsidP="00365526">
      <w:pPr>
        <w:pStyle w:val="Heading3"/>
        <w:rPr>
          <w:rFonts w:eastAsiaTheme="minorEastAsia"/>
        </w:rPr>
      </w:pPr>
      <w:bookmarkStart w:id="246" w:name="_Toc41908123"/>
      <w:r w:rsidRPr="00F23F20">
        <w:rPr>
          <w:rFonts w:eastAsiaTheme="minorEastAsia"/>
        </w:rPr>
        <w:t>A Case Study of Functional Redundancy in the Global Ocean Nitrogen Cycle</w:t>
      </w:r>
      <w:bookmarkEnd w:id="246"/>
    </w:p>
    <w:p w14:paraId="059C42F8" w14:textId="75C2AFF4"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eastAsiaTheme="minorEastAsia" w:hAnsi="Times New Roman" w:cs="Times New Roman"/>
          <w:iCs/>
        </w:rPr>
      </w:pPr>
      <w:r w:rsidRPr="00F23F20">
        <w:rPr>
          <w:rFonts w:ascii="Times New Roman" w:eastAsiaTheme="minorEastAsia" w:hAnsi="Times New Roman" w:cs="Times New Roman"/>
          <w:iCs/>
        </w:rPr>
        <w:tab/>
        <w:t xml:space="preserve">Draft metagenome-assembled genomes (MAGs) from </w:t>
      </w:r>
      <w:r w:rsidRPr="00F23F20">
        <w:rPr>
          <w:rFonts w:ascii="Times New Roman" w:eastAsiaTheme="minorEastAsia" w:hAnsi="Times New Roman" w:cs="Times New Roman"/>
          <w:iCs/>
        </w:rPr>
        <w:fldChar w:fldCharType="begin" w:fldLock="1"/>
      </w:r>
      <w:r w:rsidR="00307058">
        <w:rPr>
          <w:rFonts w:ascii="Times New Roman" w:eastAsiaTheme="minorEastAsia" w:hAnsi="Times New Roman" w:cs="Times New Roman"/>
          <w:iCs/>
        </w:rPr>
        <w:instrText>ADDIN CSL_CITATION {"citationItems":[{"id":"ITEM-1","itemData":{"DOI":"10.1038/sdata.2017.203","ISBN":"2052-4463 (Electronic) 2052-4463 (Linking)","ISSN":"20524463","PMID":"29337314","abstract":"The reconstruction of 2,631 draft metagenome-assembled genomes from the global oceans","author":[{"dropping-particle":"","family":"Tully","given":"Benjamin J.","non-dropping-particle":"","parse-names":false,"suffix":""},{"dropping-particle":"","family":"Graham","given":"Elaina D.","non-dropping-particle":"","parse-names":false,"suffix":""},{"dropping-particle":"","family":"Heidelberg","given":"John F.","non-dropping-particle":"","parse-names":false,"suffix":""}],"container-title":"Scientific Data","id":"ITEM-1","issued":{"date-parts":[["2018"]]},"page":"1-8","title":"The reconstruction of 2,631 draft metagenome-assembled genomes from the global oceans","type":"article-journal","volume":"5"},"uris":["http://www.mendeley.com/documents/?uuid=2a594b02-86bb-4243-85e4-75ed2e203301"]}],"mendeley":{"formattedCitation":"(50)","plainTextFormattedCitation":"(50)","previouslyFormattedCitation":"(49)"},"properties":{"noteIndex":0},"schema":"https://github.com/citation-style-language/schema/raw/master/csl-citation.json"}</w:instrText>
      </w:r>
      <w:r w:rsidRPr="00F23F20">
        <w:rPr>
          <w:rFonts w:ascii="Times New Roman" w:eastAsiaTheme="minorEastAsia" w:hAnsi="Times New Roman" w:cs="Times New Roman"/>
          <w:iCs/>
        </w:rPr>
        <w:fldChar w:fldCharType="separate"/>
      </w:r>
      <w:r w:rsidR="00307058" w:rsidRPr="00307058">
        <w:rPr>
          <w:rFonts w:ascii="Times New Roman" w:eastAsiaTheme="minorEastAsia" w:hAnsi="Times New Roman" w:cs="Times New Roman"/>
          <w:iCs/>
          <w:noProof/>
        </w:rPr>
        <w:t>(50)</w:t>
      </w:r>
      <w:r w:rsidRPr="00F23F20">
        <w:rPr>
          <w:rFonts w:ascii="Times New Roman" w:eastAsiaTheme="minorEastAsia" w:hAnsi="Times New Roman" w:cs="Times New Roman"/>
          <w:iCs/>
        </w:rPr>
        <w:fldChar w:fldCharType="end"/>
      </w:r>
      <w:r w:rsidRPr="00F23F20">
        <w:rPr>
          <w:rFonts w:ascii="Times New Roman" w:eastAsiaTheme="minorEastAsia" w:hAnsi="Times New Roman" w:cs="Times New Roman"/>
          <w:iCs/>
        </w:rPr>
        <w:t xml:space="preserve"> were downloaded from NCBI </w:t>
      </w:r>
      <w:r w:rsidRPr="00F23F20">
        <w:rPr>
          <w:rFonts w:ascii="Times New Roman" w:eastAsiaTheme="minorEastAsia" w:hAnsi="Times New Roman" w:cs="Times New Roman"/>
          <w:iCs/>
        </w:rPr>
        <w:fldChar w:fldCharType="begin" w:fldLock="1"/>
      </w:r>
      <w:r w:rsidR="00307058">
        <w:rPr>
          <w:rFonts w:ascii="Times New Roman" w:eastAsiaTheme="minorEastAsia" w:hAnsi="Times New Roman" w:cs="Times New Roman"/>
          <w:iCs/>
        </w:rPr>
        <w:instrText>ADDIN CSL_CITATION {"citationItems":[{"id":"ITEM-1","itemData":{"DOI":"10.1093/nar/gkr1178","ISSN":"03051048","abstract":"The NCBI Taxonomy database (http://www.ncbi.nlm.nih.gov/taxonomy) is the standard nomenclature and classification repository for the International Nucleotide Sequence Database Collaboration (INSDC), comprising the GenBank, ENA (EMBL) and DDBJ databases. It includes organism names and taxonomic lineages for each of the sequences represented in the INSDC's nucleotide and protein sequence databases. The taxonomy database is manually curated by a small group of scientists at the NCBI who use the current taxonomic literature to maintain a phylogenetic taxonomy for the source organisms represented in the sequence databases. The taxonomy database is a central organizing hub for many of the resources at the NCBI, and provides a means for clustering elements within other domains of NCBI web site, for internal linking between domains of the Entrez system and for linking out to taxon-specific external resources on the web. Our primary purpose is to index the domain of sequences as conveniently as possible for our user community.","author":[{"dropping-particle":"","family":"Federhen","given":"Scott","non-dropping-particle":"","parse-names":false,"suffix":""}],"container-title":"Nucleic Acids Research","id":"ITEM-1","issue":"D1","issued":{"date-parts":[["2012"]]},"page":"136-143","title":"The NCBI Taxonomy database","type":"article-journal","volume":"40"},"uris":["http://www.mendeley.com/documents/?uuid=6264de8b-087f-468d-86e2-83dbf62d86ac"]}],"mendeley":{"formattedCitation":"(22)","plainTextFormattedCitation":"(22)","previouslyFormattedCitation":"(21)"},"properties":{"noteIndex":0},"schema":"https://github.com/citation-style-language/schema/raw/master/csl-citation.json"}</w:instrText>
      </w:r>
      <w:r w:rsidRPr="00F23F20">
        <w:rPr>
          <w:rFonts w:ascii="Times New Roman" w:eastAsiaTheme="minorEastAsia" w:hAnsi="Times New Roman" w:cs="Times New Roman"/>
          <w:iCs/>
        </w:rPr>
        <w:fldChar w:fldCharType="separate"/>
      </w:r>
      <w:r w:rsidR="00307058" w:rsidRPr="00307058">
        <w:rPr>
          <w:rFonts w:ascii="Times New Roman" w:eastAsiaTheme="minorEastAsia" w:hAnsi="Times New Roman" w:cs="Times New Roman"/>
          <w:iCs/>
          <w:noProof/>
        </w:rPr>
        <w:t>(22)</w:t>
      </w:r>
      <w:r w:rsidRPr="00F23F20">
        <w:rPr>
          <w:rFonts w:ascii="Times New Roman" w:eastAsiaTheme="minorEastAsia" w:hAnsi="Times New Roman" w:cs="Times New Roman"/>
          <w:iCs/>
        </w:rPr>
        <w:fldChar w:fldCharType="end"/>
      </w:r>
      <w:r w:rsidRPr="00F23F20">
        <w:rPr>
          <w:rFonts w:ascii="Times New Roman" w:eastAsiaTheme="minorEastAsia" w:hAnsi="Times New Roman" w:cs="Times New Roman"/>
          <w:iCs/>
        </w:rPr>
        <w:t xml:space="preserve">. In addition, MAG completeness, MAG relative abundance estimates, ocean depths, and ocean regions, defined in </w:t>
      </w:r>
      <w:r w:rsidRPr="00F23F20">
        <w:rPr>
          <w:rFonts w:ascii="Times New Roman" w:eastAsiaTheme="minorEastAsia" w:hAnsi="Times New Roman" w:cs="Times New Roman"/>
          <w:iCs/>
        </w:rPr>
        <w:fldChar w:fldCharType="begin" w:fldLock="1"/>
      </w:r>
      <w:r w:rsidR="00307058">
        <w:rPr>
          <w:rFonts w:ascii="Times New Roman" w:eastAsiaTheme="minorEastAsia" w:hAnsi="Times New Roman" w:cs="Times New Roman"/>
          <w:iCs/>
        </w:rPr>
        <w:instrText>ADDIN CSL_CITATION {"citationItems":[{"id":"ITEM-1","itemData":{"DOI":"10.1038/sdata.2017.203","ISBN":"2052-4463 (Electronic) 2052-4463 (Linking)","ISSN":"20524463","PMID":"29337314","abstract":"The reconstruction of 2,631 draft metagenome-assembled genomes from the global oceans","author":[{"dropping-particle":"","family":"Tully","given":"Benjamin J.","non-dropping-particle":"","parse-names":false,"suffix":""},{"dropping-particle":"","family":"Graham","given":"Elaina D.","non-dropping-particle":"","parse-names":false,"suffix":""},{"dropping-particle":"","family":"Heidelberg","given":"John F.","non-dropping-particle":"","parse-names":false,"suffix":""}],"container-title":"Scientific Data","id":"ITEM-1","issued":{"date-parts":[["2018"]]},"page":"1-8","title":"The reconstruction of 2,631 draft metagenome-assembled genomes from the global oceans","type":"article-journal","volume":"5"},"uris":["http://www.mendeley.com/documents/?uuid=2a594b02-86bb-4243-85e4-75ed2e203301"]}],"mendeley":{"formattedCitation":"(50)","plainTextFormattedCitation":"(50)","previouslyFormattedCitation":"(49)"},"properties":{"noteIndex":0},"schema":"https://github.com/citation-style-language/schema/raw/master/csl-citation.json"}</w:instrText>
      </w:r>
      <w:r w:rsidRPr="00F23F20">
        <w:rPr>
          <w:rFonts w:ascii="Times New Roman" w:eastAsiaTheme="minorEastAsia" w:hAnsi="Times New Roman" w:cs="Times New Roman"/>
          <w:iCs/>
        </w:rPr>
        <w:fldChar w:fldCharType="separate"/>
      </w:r>
      <w:r w:rsidR="00307058" w:rsidRPr="00307058">
        <w:rPr>
          <w:rFonts w:ascii="Times New Roman" w:eastAsiaTheme="minorEastAsia" w:hAnsi="Times New Roman" w:cs="Times New Roman"/>
          <w:iCs/>
          <w:noProof/>
        </w:rPr>
        <w:t>(50)</w:t>
      </w:r>
      <w:r w:rsidRPr="00F23F20">
        <w:rPr>
          <w:rFonts w:ascii="Times New Roman" w:eastAsiaTheme="minorEastAsia" w:hAnsi="Times New Roman" w:cs="Times New Roman"/>
          <w:iCs/>
        </w:rPr>
        <w:fldChar w:fldCharType="end"/>
      </w:r>
      <w:r w:rsidRPr="00F23F20">
        <w:rPr>
          <w:rFonts w:ascii="Times New Roman" w:eastAsiaTheme="minorEastAsia" w:hAnsi="Times New Roman" w:cs="Times New Roman"/>
          <w:iCs/>
        </w:rPr>
        <w:t xml:space="preserve">, were directly downloaded from </w:t>
      </w:r>
      <w:proofErr w:type="spellStart"/>
      <w:r w:rsidRPr="00F23F20">
        <w:rPr>
          <w:rFonts w:ascii="Times New Roman" w:eastAsiaTheme="minorEastAsia" w:hAnsi="Times New Roman" w:cs="Times New Roman"/>
          <w:iCs/>
        </w:rPr>
        <w:t>Figshare</w:t>
      </w:r>
      <w:proofErr w:type="spellEnd"/>
      <w:r w:rsidRPr="00F23F20">
        <w:rPr>
          <w:rFonts w:ascii="Times New Roman" w:eastAsiaTheme="minorEastAsia" w:hAnsi="Times New Roman" w:cs="Times New Roman"/>
          <w:iCs/>
        </w:rPr>
        <w:t xml:space="preserve"> (</w:t>
      </w:r>
      <w:hyperlink r:id="rId32" w:history="1">
        <w:r w:rsidRPr="00F23F20">
          <w:rPr>
            <w:rStyle w:val="Hyperlink"/>
            <w:rFonts w:ascii="Times New Roman" w:hAnsi="Times New Roman" w:cs="Times New Roman"/>
            <w:color w:val="006699"/>
            <w:shd w:val="clear" w:color="auto" w:fill="FFFFFF"/>
          </w:rPr>
          <w:t>https://doi.org/10.6084/m9.figshare.5188273</w:t>
        </w:r>
      </w:hyperlink>
      <w:r w:rsidRPr="00F23F20">
        <w:rPr>
          <w:rFonts w:ascii="Times New Roman" w:hAnsi="Times New Roman" w:cs="Times New Roman"/>
        </w:rPr>
        <w:t>)</w:t>
      </w:r>
      <w:r w:rsidRPr="00F23F20">
        <w:rPr>
          <w:rFonts w:ascii="Times New Roman" w:eastAsiaTheme="minorEastAsia" w:hAnsi="Times New Roman" w:cs="Times New Roman"/>
          <w:iCs/>
        </w:rPr>
        <w:t>. We tabulated nitrogen-cycle marker genes in individual MAGs by blasting MAG proteins against nitrogen-cycle marker gene databases using the BLASTP algorithm (</w:t>
      </w:r>
      <w:r w:rsidRPr="00F23F20">
        <w:rPr>
          <w:rFonts w:ascii="Times New Roman" w:eastAsiaTheme="minorEastAsia" w:hAnsi="Times New Roman" w:cs="Times New Roman"/>
          <w:i/>
        </w:rPr>
        <w:t>E</w:t>
      </w:r>
      <w:r w:rsidRPr="00F23F20">
        <w:rPr>
          <w:rFonts w:ascii="Times New Roman" w:eastAsiaTheme="minorEastAsia" w:hAnsi="Times New Roman" w:cs="Times New Roman"/>
          <w:iCs/>
        </w:rPr>
        <w:t>-value=10</w:t>
      </w:r>
      <w:r w:rsidRPr="00F23F20">
        <w:rPr>
          <w:rFonts w:ascii="Times New Roman" w:eastAsiaTheme="minorEastAsia" w:hAnsi="Times New Roman" w:cs="Times New Roman"/>
          <w:iCs/>
          <w:vertAlign w:val="superscript"/>
        </w:rPr>
        <w:t>-10</w:t>
      </w:r>
      <w:r w:rsidRPr="00F23F20">
        <w:rPr>
          <w:rFonts w:ascii="Times New Roman" w:eastAsiaTheme="minorEastAsia" w:hAnsi="Times New Roman" w:cs="Times New Roman"/>
          <w:iCs/>
        </w:rPr>
        <w:t xml:space="preserve">) </w:t>
      </w:r>
      <w:r w:rsidRPr="00F23F20">
        <w:rPr>
          <w:rFonts w:ascii="Times New Roman" w:eastAsiaTheme="minorEastAsia" w:hAnsi="Times New Roman" w:cs="Times New Roman"/>
          <w:iCs/>
        </w:rPr>
        <w:fldChar w:fldCharType="begin" w:fldLock="1"/>
      </w:r>
      <w:r w:rsidR="00307058">
        <w:rPr>
          <w:rFonts w:ascii="Times New Roman" w:eastAsiaTheme="minorEastAsia" w:hAnsi="Times New Roman" w:cs="Times New Roman"/>
          <w:iCs/>
        </w:rPr>
        <w:instrText>ADDIN CSL_CITATION {"citationItems":[{"id":"ITEM-1","itemData":{"DOI":"10.1093/nar/gky989","ISSN":"13624962","abstract":"GenBank® is a comprehensive database that contains publicly available nucleotide sequences for more than 250,00 formally described species. These sequences are obtained primarily through submissions from individual laboratories and batch submissions from large-scale sequencing projects, including whole-genome shotgun (WGS) and environmental sampling projects. Most submissions are made using the web-based BankIt or standalone Sequin programs, and accession numbers are assigned by GenBank staff upon receipt. Daily data exchange with the European Nucleotide Archive (ENA) and the DNA Data Bank of Japan (DDBJ) ensures worldwide coverage. GenBank is accessible through the NCBI Entrez retrieval system, which integrates data from the major DNA and protein sequence databases along with taxonomy, genome, mapping, protein structure and domain information, and the biomedical journal literature via PubMed. BLAST provides sequence similarity searches of GenBank and other sequence databases. Complete bimonthly releases and daily updates of the GenBank database are available by FTP. To access GenBank and its related retrieval and analysis services, begin at the NCBI home page: www.ncbi.nlm.nih.gov.","author":[{"dropping-particle":"","family":"Clark","given":"Karen","non-dropping-particle":"","parse-names":false,"suffix":""},{"dropping-particle":"","family":"Karsch-Mizrachi","given":"Ilene","non-dropping-particle":"","parse-names":false,"suffix":""},{"dropping-particle":"","family":"Lipman","given":"David J.","non-dropping-particle":"","parse-names":false,"suffix":""},{"dropping-particle":"","family":"Ostell","given":"James","non-dropping-particle":"","parse-names":false,"suffix":""},{"dropping-particle":"","family":"Sayers","given":"Eric W.","non-dropping-particle":"","parse-names":false,"suffix":""}],"container-title":"Nucleic acids research","id":"ITEM-1","issue":"D1","issued":{"date-parts":[["2019"]]},"page":"D94-D99","title":"GenBank","type":"article-journal","volume":"47"},"uris":["http://www.mendeley.com/documents/?uuid=0bb1736f-b552-4001-8af6-df7be82eb986"]}],"mendeley":{"formattedCitation":"(110)","plainTextFormattedCitation":"(110)","previouslyFormattedCitation":"(109)"},"properties":{"noteIndex":0},"schema":"https://github.com/citation-style-language/schema/raw/master/csl-citation.json"}</w:instrText>
      </w:r>
      <w:r w:rsidRPr="00F23F20">
        <w:rPr>
          <w:rFonts w:ascii="Times New Roman" w:eastAsiaTheme="minorEastAsia" w:hAnsi="Times New Roman" w:cs="Times New Roman"/>
          <w:iCs/>
        </w:rPr>
        <w:fldChar w:fldCharType="separate"/>
      </w:r>
      <w:r w:rsidR="00307058" w:rsidRPr="00307058">
        <w:rPr>
          <w:rFonts w:ascii="Times New Roman" w:eastAsiaTheme="minorEastAsia" w:hAnsi="Times New Roman" w:cs="Times New Roman"/>
          <w:iCs/>
          <w:noProof/>
        </w:rPr>
        <w:t>(110)</w:t>
      </w:r>
      <w:r w:rsidRPr="00F23F20">
        <w:rPr>
          <w:rFonts w:ascii="Times New Roman" w:eastAsiaTheme="minorEastAsia" w:hAnsi="Times New Roman" w:cs="Times New Roman"/>
          <w:iCs/>
        </w:rPr>
        <w:fldChar w:fldCharType="end"/>
      </w:r>
      <w:r w:rsidRPr="00F23F20">
        <w:rPr>
          <w:rFonts w:ascii="Times New Roman" w:eastAsiaTheme="minorEastAsia" w:hAnsi="Times New Roman" w:cs="Times New Roman"/>
          <w:iCs/>
        </w:rPr>
        <w:t>. Nitrogen cycle marker genes were categorized into eight categories: N</w:t>
      </w:r>
      <w:r w:rsidRPr="00F23F20">
        <w:rPr>
          <w:rFonts w:ascii="Times New Roman" w:eastAsiaTheme="minorEastAsia" w:hAnsi="Times New Roman" w:cs="Times New Roman"/>
          <w:iCs/>
          <w:vertAlign w:val="subscript"/>
        </w:rPr>
        <w:t>2</w:t>
      </w:r>
      <w:r w:rsidRPr="00F23F20">
        <w:rPr>
          <w:rFonts w:ascii="Times New Roman" w:eastAsiaTheme="minorEastAsia" w:hAnsi="Times New Roman" w:cs="Times New Roman"/>
          <w:iCs/>
        </w:rPr>
        <w:t xml:space="preserve"> fixation (</w:t>
      </w:r>
      <w:proofErr w:type="spellStart"/>
      <w:r w:rsidRPr="00F23F20">
        <w:rPr>
          <w:rFonts w:ascii="Times New Roman" w:eastAsiaTheme="minorEastAsia" w:hAnsi="Times New Roman" w:cs="Times New Roman"/>
          <w:i/>
        </w:rPr>
        <w:t>nifH</w:t>
      </w:r>
      <w:proofErr w:type="spellEnd"/>
      <w:r w:rsidRPr="00F23F20">
        <w:rPr>
          <w:rFonts w:ascii="Times New Roman" w:eastAsiaTheme="minorEastAsia" w:hAnsi="Times New Roman" w:cs="Times New Roman"/>
          <w:iCs/>
        </w:rPr>
        <w:t>), nitrification (</w:t>
      </w:r>
      <w:proofErr w:type="spellStart"/>
      <w:r w:rsidRPr="00F23F20">
        <w:rPr>
          <w:rFonts w:ascii="Times New Roman" w:eastAsiaTheme="minorEastAsia" w:hAnsi="Times New Roman" w:cs="Times New Roman"/>
          <w:i/>
        </w:rPr>
        <w:t>amoA</w:t>
      </w:r>
      <w:proofErr w:type="spellEnd"/>
      <w:r w:rsidRPr="00F23F20">
        <w:rPr>
          <w:rFonts w:ascii="Times New Roman" w:eastAsiaTheme="minorEastAsia" w:hAnsi="Times New Roman" w:cs="Times New Roman"/>
          <w:iCs/>
        </w:rPr>
        <w:t xml:space="preserve">, </w:t>
      </w:r>
      <w:proofErr w:type="spellStart"/>
      <w:r w:rsidRPr="00F23F20">
        <w:rPr>
          <w:rFonts w:ascii="Times New Roman" w:eastAsiaTheme="minorEastAsia" w:hAnsi="Times New Roman" w:cs="Times New Roman"/>
          <w:i/>
        </w:rPr>
        <w:t>hao</w:t>
      </w:r>
      <w:proofErr w:type="spellEnd"/>
      <w:r w:rsidRPr="00F23F20">
        <w:rPr>
          <w:rFonts w:ascii="Times New Roman" w:eastAsiaTheme="minorEastAsia" w:hAnsi="Times New Roman" w:cs="Times New Roman"/>
          <w:iCs/>
        </w:rPr>
        <w:t>), NO</w:t>
      </w:r>
      <w:r w:rsidRPr="00F23F20">
        <w:rPr>
          <w:rFonts w:ascii="Times New Roman" w:eastAsiaTheme="minorEastAsia" w:hAnsi="Times New Roman" w:cs="Times New Roman"/>
          <w:iCs/>
          <w:vertAlign w:val="subscript"/>
        </w:rPr>
        <w:t>3</w:t>
      </w:r>
      <w:r w:rsidRPr="00F23F20">
        <w:rPr>
          <w:rFonts w:ascii="Times New Roman" w:eastAsiaTheme="minorEastAsia" w:hAnsi="Times New Roman" w:cs="Times New Roman"/>
          <w:iCs/>
        </w:rPr>
        <w:t xml:space="preserve"> reduction (</w:t>
      </w:r>
      <w:proofErr w:type="spellStart"/>
      <w:r w:rsidRPr="00F23F20">
        <w:rPr>
          <w:rFonts w:ascii="Times New Roman" w:eastAsiaTheme="minorEastAsia" w:hAnsi="Times New Roman" w:cs="Times New Roman"/>
          <w:i/>
        </w:rPr>
        <w:t>napA</w:t>
      </w:r>
      <w:proofErr w:type="spellEnd"/>
      <w:r w:rsidRPr="00F23F20">
        <w:rPr>
          <w:rFonts w:ascii="Times New Roman" w:eastAsiaTheme="minorEastAsia" w:hAnsi="Times New Roman" w:cs="Times New Roman"/>
          <w:iCs/>
        </w:rPr>
        <w:t xml:space="preserve">, </w:t>
      </w:r>
      <w:proofErr w:type="spellStart"/>
      <w:r w:rsidRPr="00F23F20">
        <w:rPr>
          <w:rFonts w:ascii="Times New Roman" w:eastAsiaTheme="minorEastAsia" w:hAnsi="Times New Roman" w:cs="Times New Roman"/>
          <w:i/>
        </w:rPr>
        <w:t>narG</w:t>
      </w:r>
      <w:proofErr w:type="spellEnd"/>
      <w:r w:rsidRPr="00F23F20">
        <w:rPr>
          <w:rFonts w:ascii="Times New Roman" w:eastAsiaTheme="minorEastAsia" w:hAnsi="Times New Roman" w:cs="Times New Roman"/>
          <w:iCs/>
        </w:rPr>
        <w:t>), dissimilatory NO</w:t>
      </w:r>
      <w:r w:rsidRPr="00F23F20">
        <w:rPr>
          <w:rFonts w:ascii="Times New Roman" w:eastAsiaTheme="minorEastAsia" w:hAnsi="Times New Roman" w:cs="Times New Roman"/>
          <w:iCs/>
          <w:vertAlign w:val="subscript"/>
        </w:rPr>
        <w:t>3</w:t>
      </w:r>
      <w:r w:rsidRPr="00F23F20">
        <w:rPr>
          <w:rFonts w:ascii="Times New Roman" w:eastAsiaTheme="minorEastAsia" w:hAnsi="Times New Roman" w:cs="Times New Roman"/>
          <w:iCs/>
        </w:rPr>
        <w:t xml:space="preserve"> reduction (</w:t>
      </w:r>
      <w:proofErr w:type="spellStart"/>
      <w:r w:rsidRPr="00F23F20">
        <w:rPr>
          <w:rFonts w:ascii="Times New Roman" w:eastAsiaTheme="minorEastAsia" w:hAnsi="Times New Roman" w:cs="Times New Roman"/>
          <w:i/>
        </w:rPr>
        <w:t>nrfA</w:t>
      </w:r>
      <w:proofErr w:type="spellEnd"/>
      <w:r w:rsidRPr="00F23F20">
        <w:rPr>
          <w:rFonts w:ascii="Times New Roman" w:eastAsiaTheme="minorEastAsia" w:hAnsi="Times New Roman" w:cs="Times New Roman"/>
          <w:iCs/>
        </w:rPr>
        <w:t>), assimilatory NO</w:t>
      </w:r>
      <w:r w:rsidRPr="00F23F20">
        <w:rPr>
          <w:rFonts w:ascii="Times New Roman" w:eastAsiaTheme="minorEastAsia" w:hAnsi="Times New Roman" w:cs="Times New Roman"/>
          <w:iCs/>
          <w:vertAlign w:val="subscript"/>
        </w:rPr>
        <w:t>3</w:t>
      </w:r>
      <w:r w:rsidRPr="00F23F20">
        <w:rPr>
          <w:rFonts w:ascii="Times New Roman" w:eastAsiaTheme="minorEastAsia" w:hAnsi="Times New Roman" w:cs="Times New Roman"/>
          <w:iCs/>
        </w:rPr>
        <w:t>/NO</w:t>
      </w:r>
      <w:r w:rsidRPr="00F23F20">
        <w:rPr>
          <w:rFonts w:ascii="Times New Roman" w:eastAsiaTheme="minorEastAsia" w:hAnsi="Times New Roman" w:cs="Times New Roman"/>
          <w:iCs/>
          <w:vertAlign w:val="subscript"/>
        </w:rPr>
        <w:t>2</w:t>
      </w:r>
      <w:r w:rsidRPr="00F23F20">
        <w:rPr>
          <w:rFonts w:ascii="Times New Roman" w:eastAsiaTheme="minorEastAsia" w:hAnsi="Times New Roman" w:cs="Times New Roman"/>
          <w:iCs/>
        </w:rPr>
        <w:t xml:space="preserve"> reduction (</w:t>
      </w:r>
      <w:proofErr w:type="spellStart"/>
      <w:r w:rsidRPr="00F23F20">
        <w:rPr>
          <w:rFonts w:ascii="Times New Roman" w:eastAsiaTheme="minorEastAsia" w:hAnsi="Times New Roman" w:cs="Times New Roman"/>
          <w:i/>
        </w:rPr>
        <w:t>narB</w:t>
      </w:r>
      <w:proofErr w:type="spellEnd"/>
      <w:r w:rsidRPr="00F23F20">
        <w:rPr>
          <w:rFonts w:ascii="Times New Roman" w:eastAsiaTheme="minorEastAsia" w:hAnsi="Times New Roman" w:cs="Times New Roman"/>
          <w:iCs/>
        </w:rPr>
        <w:t xml:space="preserve">, </w:t>
      </w:r>
      <w:proofErr w:type="spellStart"/>
      <w:r w:rsidRPr="00F23F20">
        <w:rPr>
          <w:rFonts w:ascii="Times New Roman" w:eastAsiaTheme="minorEastAsia" w:hAnsi="Times New Roman" w:cs="Times New Roman"/>
          <w:i/>
        </w:rPr>
        <w:t>nasA</w:t>
      </w:r>
      <w:proofErr w:type="spellEnd"/>
      <w:r w:rsidRPr="00F23F20">
        <w:rPr>
          <w:rFonts w:ascii="Times New Roman" w:eastAsiaTheme="minorEastAsia" w:hAnsi="Times New Roman" w:cs="Times New Roman"/>
          <w:iCs/>
        </w:rPr>
        <w:t xml:space="preserve">, </w:t>
      </w:r>
      <w:proofErr w:type="spellStart"/>
      <w:r w:rsidRPr="00F23F20">
        <w:rPr>
          <w:rFonts w:ascii="Times New Roman" w:eastAsiaTheme="minorEastAsia" w:hAnsi="Times New Roman" w:cs="Times New Roman"/>
          <w:i/>
        </w:rPr>
        <w:t>nasB</w:t>
      </w:r>
      <w:proofErr w:type="spellEnd"/>
      <w:r w:rsidRPr="00F23F20">
        <w:rPr>
          <w:rFonts w:ascii="Times New Roman" w:eastAsiaTheme="minorEastAsia" w:hAnsi="Times New Roman" w:cs="Times New Roman"/>
          <w:iCs/>
        </w:rPr>
        <w:t xml:space="preserve">, and </w:t>
      </w:r>
      <w:proofErr w:type="spellStart"/>
      <w:r w:rsidRPr="00F23F20">
        <w:rPr>
          <w:rFonts w:ascii="Times New Roman" w:eastAsiaTheme="minorEastAsia" w:hAnsi="Times New Roman" w:cs="Times New Roman"/>
          <w:i/>
        </w:rPr>
        <w:t>nirB</w:t>
      </w:r>
      <w:proofErr w:type="spellEnd"/>
      <w:r w:rsidRPr="00F23F20">
        <w:rPr>
          <w:rFonts w:ascii="Times New Roman" w:eastAsiaTheme="minorEastAsia" w:hAnsi="Times New Roman" w:cs="Times New Roman"/>
          <w:iCs/>
        </w:rPr>
        <w:t>), NH</w:t>
      </w:r>
      <w:r w:rsidRPr="00F23F20">
        <w:rPr>
          <w:rFonts w:ascii="Times New Roman" w:eastAsiaTheme="minorEastAsia" w:hAnsi="Times New Roman" w:cs="Times New Roman"/>
          <w:iCs/>
          <w:vertAlign w:val="subscript"/>
        </w:rPr>
        <w:t>4</w:t>
      </w:r>
      <w:r w:rsidRPr="00F23F20">
        <w:rPr>
          <w:rFonts w:ascii="Times New Roman" w:eastAsiaTheme="minorEastAsia" w:hAnsi="Times New Roman" w:cs="Times New Roman"/>
          <w:iCs/>
          <w:vertAlign w:val="superscript"/>
        </w:rPr>
        <w:t>+</w:t>
      </w:r>
      <w:r w:rsidRPr="00F23F20">
        <w:rPr>
          <w:rFonts w:ascii="Times New Roman" w:eastAsiaTheme="minorEastAsia" w:hAnsi="Times New Roman" w:cs="Times New Roman"/>
          <w:iCs/>
        </w:rPr>
        <w:t xml:space="preserve"> assimilation (</w:t>
      </w:r>
      <w:proofErr w:type="spellStart"/>
      <w:r w:rsidRPr="00F23F20">
        <w:rPr>
          <w:rFonts w:ascii="Times New Roman" w:eastAsiaTheme="minorEastAsia" w:hAnsi="Times New Roman" w:cs="Times New Roman"/>
          <w:i/>
        </w:rPr>
        <w:t>gdhA</w:t>
      </w:r>
      <w:proofErr w:type="spellEnd"/>
      <w:r w:rsidRPr="00F23F20">
        <w:rPr>
          <w:rFonts w:ascii="Times New Roman" w:eastAsiaTheme="minorEastAsia" w:hAnsi="Times New Roman" w:cs="Times New Roman"/>
          <w:iCs/>
        </w:rPr>
        <w:t xml:space="preserve">, </w:t>
      </w:r>
      <w:proofErr w:type="spellStart"/>
      <w:r w:rsidRPr="00F23F20">
        <w:rPr>
          <w:rFonts w:ascii="Times New Roman" w:eastAsiaTheme="minorEastAsia" w:hAnsi="Times New Roman" w:cs="Times New Roman"/>
          <w:i/>
        </w:rPr>
        <w:t>glnA</w:t>
      </w:r>
      <w:proofErr w:type="spellEnd"/>
      <w:r w:rsidRPr="00F23F20">
        <w:rPr>
          <w:rFonts w:ascii="Times New Roman" w:eastAsiaTheme="minorEastAsia" w:hAnsi="Times New Roman" w:cs="Times New Roman"/>
          <w:iCs/>
        </w:rPr>
        <w:t>), N remineralization (</w:t>
      </w:r>
      <w:proofErr w:type="spellStart"/>
      <w:r w:rsidRPr="00F23F20">
        <w:rPr>
          <w:rFonts w:ascii="Times New Roman" w:eastAsiaTheme="minorEastAsia" w:hAnsi="Times New Roman" w:cs="Times New Roman"/>
          <w:i/>
        </w:rPr>
        <w:t>gltB</w:t>
      </w:r>
      <w:proofErr w:type="spellEnd"/>
      <w:r w:rsidRPr="00F23F20">
        <w:rPr>
          <w:rFonts w:ascii="Times New Roman" w:eastAsiaTheme="minorEastAsia" w:hAnsi="Times New Roman" w:cs="Times New Roman"/>
          <w:iCs/>
        </w:rPr>
        <w:t>), and denitrification (</w:t>
      </w:r>
      <w:proofErr w:type="spellStart"/>
      <w:r w:rsidRPr="00F23F20">
        <w:rPr>
          <w:rFonts w:ascii="Times New Roman" w:eastAsiaTheme="minorEastAsia" w:hAnsi="Times New Roman" w:cs="Times New Roman"/>
          <w:i/>
        </w:rPr>
        <w:t>nirK</w:t>
      </w:r>
      <w:proofErr w:type="spellEnd"/>
      <w:r w:rsidRPr="00F23F20">
        <w:rPr>
          <w:rFonts w:ascii="Times New Roman" w:eastAsiaTheme="minorEastAsia" w:hAnsi="Times New Roman" w:cs="Times New Roman"/>
          <w:iCs/>
        </w:rPr>
        <w:t xml:space="preserve">, </w:t>
      </w:r>
      <w:proofErr w:type="spellStart"/>
      <w:r w:rsidRPr="00F23F20">
        <w:rPr>
          <w:rFonts w:ascii="Times New Roman" w:eastAsiaTheme="minorEastAsia" w:hAnsi="Times New Roman" w:cs="Times New Roman"/>
          <w:i/>
        </w:rPr>
        <w:t>nirS</w:t>
      </w:r>
      <w:proofErr w:type="spellEnd"/>
      <w:r w:rsidRPr="00F23F20">
        <w:rPr>
          <w:rFonts w:ascii="Times New Roman" w:eastAsiaTheme="minorEastAsia" w:hAnsi="Times New Roman" w:cs="Times New Roman"/>
          <w:iCs/>
        </w:rPr>
        <w:t xml:space="preserve">, </w:t>
      </w:r>
      <w:proofErr w:type="spellStart"/>
      <w:r w:rsidRPr="00F23F20">
        <w:rPr>
          <w:rFonts w:ascii="Times New Roman" w:eastAsiaTheme="minorEastAsia" w:hAnsi="Times New Roman" w:cs="Times New Roman"/>
          <w:i/>
        </w:rPr>
        <w:t>norB</w:t>
      </w:r>
      <w:proofErr w:type="spellEnd"/>
      <w:r w:rsidRPr="00F23F20">
        <w:rPr>
          <w:rFonts w:ascii="Times New Roman" w:eastAsiaTheme="minorEastAsia" w:hAnsi="Times New Roman" w:cs="Times New Roman"/>
          <w:iCs/>
        </w:rPr>
        <w:t xml:space="preserve">, and </w:t>
      </w:r>
      <w:proofErr w:type="spellStart"/>
      <w:r w:rsidRPr="00F23F20">
        <w:rPr>
          <w:rFonts w:ascii="Times New Roman" w:eastAsiaTheme="minorEastAsia" w:hAnsi="Times New Roman" w:cs="Times New Roman"/>
          <w:i/>
        </w:rPr>
        <w:t>nosZ</w:t>
      </w:r>
      <w:proofErr w:type="spellEnd"/>
      <w:r w:rsidRPr="00F23F20">
        <w:rPr>
          <w:rFonts w:ascii="Times New Roman" w:eastAsiaTheme="minorEastAsia" w:hAnsi="Times New Roman" w:cs="Times New Roman"/>
          <w:iCs/>
        </w:rPr>
        <w:t xml:space="preserve">) </w:t>
      </w:r>
      <w:r w:rsidRPr="00F23F20">
        <w:rPr>
          <w:rFonts w:ascii="Times New Roman" w:eastAsiaTheme="minorEastAsia" w:hAnsi="Times New Roman" w:cs="Times New Roman"/>
          <w:iCs/>
        </w:rPr>
        <w:fldChar w:fldCharType="begin" w:fldLock="1"/>
      </w:r>
      <w:r w:rsidR="00307058">
        <w:rPr>
          <w:rFonts w:ascii="Times New Roman" w:eastAsiaTheme="minorEastAsia" w:hAnsi="Times New Roman" w:cs="Times New Roman"/>
          <w:iCs/>
        </w:rPr>
        <w:instrText>ADDIN CSL_CITATION {"citationItems":[{"id":"ITEM-1","itemData":{"DOI":"10.3389/fmars.2019.00739","ISSN":"22967745","abstract":"Nitrogen (N) is a key element for life in the oceans. It controls primary productivity in many parts of the global ocean, consequently playing a crucial role in the uptake of atmospheric carbon dioxide. The marine N cycle is driven by multiple biogeochemical transformations mediated by microorganisms, including processes contributing to the marine fixed N pool (N2 fixation) and retained N pool (nitrification, assimilation, and dissimilatory nitrate reduction to ammonia), as well as processes contributing to the fixed N loss (denitrification, anaerobic ammonium oxidation and nitrite-dependent anaerobic methane oxidation). The N cycle maintains the functioning of marine ecosystems and will be a crucial component in how the ocean responds to global environmental change. In this review, we summarize the current understanding of the marine microbial N cycle, the ecology and distribution of the main functional players involved, and the main impacts of anthropogenic activities on the marine N cycle.","author":[{"dropping-particle":"","family":"Pajares","given":"Silvia","non-dropping-particle":"","parse-names":false,"suffix":""},{"dropping-particle":"","family":"Ramos","given":"Ramiro","non-dropping-particle":"","parse-names":false,"suffix":""}],"container-title":"Frontiers in Marine Science","id":"ITEM-1","issue":"November","issued":{"date-parts":[["2019"]]},"title":"Processes and Microorganisms Involved in the Marine Nitrogen Cycle: Knowledge and Gaps","type":"article-journal","volume":"6"},"uris":["http://www.mendeley.com/documents/?uuid=44c3760c-3d30-4234-9f20-a998fc7e7ecc"]}],"mendeley":{"formattedCitation":"(101)","plainTextFormattedCitation":"(101)","previouslyFormattedCitation":"(100)"},"properties":{"noteIndex":0},"schema":"https://github.com/citation-style-language/schema/raw/master/csl-citation.json"}</w:instrText>
      </w:r>
      <w:r w:rsidRPr="00F23F20">
        <w:rPr>
          <w:rFonts w:ascii="Times New Roman" w:eastAsiaTheme="minorEastAsia" w:hAnsi="Times New Roman" w:cs="Times New Roman"/>
          <w:iCs/>
        </w:rPr>
        <w:fldChar w:fldCharType="separate"/>
      </w:r>
      <w:r w:rsidR="00307058" w:rsidRPr="00307058">
        <w:rPr>
          <w:rFonts w:ascii="Times New Roman" w:eastAsiaTheme="minorEastAsia" w:hAnsi="Times New Roman" w:cs="Times New Roman"/>
          <w:iCs/>
          <w:noProof/>
        </w:rPr>
        <w:t>(101)</w:t>
      </w:r>
      <w:r w:rsidRPr="00F23F20">
        <w:rPr>
          <w:rFonts w:ascii="Times New Roman" w:eastAsiaTheme="minorEastAsia" w:hAnsi="Times New Roman" w:cs="Times New Roman"/>
          <w:iCs/>
        </w:rPr>
        <w:fldChar w:fldCharType="end"/>
      </w:r>
      <w:r w:rsidRPr="00F23F20">
        <w:rPr>
          <w:rFonts w:ascii="Times New Roman" w:eastAsiaTheme="minorEastAsia" w:hAnsi="Times New Roman" w:cs="Times New Roman"/>
          <w:iCs/>
        </w:rPr>
        <w:t>. Individual BLAST databases were constructed for each nitrogen cycle category. Gene names associated with individual categories were searched for in the Swiss-</w:t>
      </w:r>
      <w:proofErr w:type="spellStart"/>
      <w:r w:rsidRPr="00F23F20">
        <w:rPr>
          <w:rFonts w:ascii="Times New Roman" w:eastAsiaTheme="minorEastAsia" w:hAnsi="Times New Roman" w:cs="Times New Roman"/>
          <w:iCs/>
        </w:rPr>
        <w:t>Prot</w:t>
      </w:r>
      <w:proofErr w:type="spellEnd"/>
      <w:r w:rsidRPr="00F23F20">
        <w:rPr>
          <w:rFonts w:ascii="Times New Roman" w:eastAsiaTheme="minorEastAsia" w:hAnsi="Times New Roman" w:cs="Times New Roman"/>
          <w:iCs/>
        </w:rPr>
        <w:t xml:space="preserve"> database </w:t>
      </w:r>
      <w:r w:rsidRPr="00F23F20">
        <w:rPr>
          <w:rFonts w:ascii="Times New Roman" w:eastAsiaTheme="minorEastAsia" w:hAnsi="Times New Roman" w:cs="Times New Roman"/>
          <w:iCs/>
        </w:rPr>
        <w:fldChar w:fldCharType="begin" w:fldLock="1"/>
      </w:r>
      <w:r w:rsidR="00307058">
        <w:rPr>
          <w:rFonts w:ascii="Times New Roman" w:eastAsiaTheme="minorEastAsia" w:hAnsi="Times New Roman" w:cs="Times New Roman"/>
          <w:iCs/>
        </w:rPr>
        <w:instrText>ADDIN CSL_CITATION {"citationItems":[{"id":"ITEM-1","itemData":{"DOI":"10.1093/nar/28.1.45","ISSN":"0305-1048","PMID":"10592178","abstract":"SWISS-PROT is a curated protein sequence database which strives to provide a high level of annotation (such as the description of the function of a protein, its domains structure, post-translational modifications, variants, etc.), a minimal level of redundancy and high level of integration with other databases. Recent developments of the database include format and content enhancements, cross-references to additional databases, new documentation files and improvements to TrEMBL, a computer-annotated supplement to SWISS-PROT. TrEMBL consists of entries in SWISS-PROT-like format derived from the translation of all coding sequences (CDSs) in the EMBL Nucleotide Sequence Database, except the CDSs already included in SWISS-PROT. We also describe the Human Proteomics Initiative (HPI), a major project to annotate all known human sequences according to the quality standards of SWISS-PROT. SWISS-PROT is available at: http://www.expasy.ch/sprot/ and http://www.ebi.ac.uk/swissprot/","author":[{"dropping-particle":"","family":"Bairoch","given":"A.","non-dropping-particle":"","parse-names":false,"suffix":""},{"dropping-particle":"","family":"Apweiler","given":"Rolf","non-dropping-particle":"","parse-names":false,"suffix":""}],"container-title":"Nucleic Acids Research","id":"ITEM-1","issue":"1","issued":{"date-parts":[["2000"]]},"page":"45-48","title":"The SWISS-PROT protein sequence database and its supplement TrEMBL in 2000","type":"article-journal","volume":"28"},"uris":["http://www.mendeley.com/documents/?uuid=231da309-dbc4-4a86-ac0e-f7994fbb553c"]}],"mendeley":{"formattedCitation":"(111)","plainTextFormattedCitation":"(111)","previouslyFormattedCitation":"(110)"},"properties":{"noteIndex":0},"schema":"https://github.com/citation-style-language/schema/raw/master/csl-citation.json"}</w:instrText>
      </w:r>
      <w:r w:rsidRPr="00F23F20">
        <w:rPr>
          <w:rFonts w:ascii="Times New Roman" w:eastAsiaTheme="minorEastAsia" w:hAnsi="Times New Roman" w:cs="Times New Roman"/>
          <w:iCs/>
        </w:rPr>
        <w:fldChar w:fldCharType="separate"/>
      </w:r>
      <w:r w:rsidR="00307058" w:rsidRPr="00307058">
        <w:rPr>
          <w:rFonts w:ascii="Times New Roman" w:eastAsiaTheme="minorEastAsia" w:hAnsi="Times New Roman" w:cs="Times New Roman"/>
          <w:iCs/>
          <w:noProof/>
        </w:rPr>
        <w:t>(111)</w:t>
      </w:r>
      <w:r w:rsidRPr="00F23F20">
        <w:rPr>
          <w:rFonts w:ascii="Times New Roman" w:eastAsiaTheme="minorEastAsia" w:hAnsi="Times New Roman" w:cs="Times New Roman"/>
          <w:iCs/>
        </w:rPr>
        <w:fldChar w:fldCharType="end"/>
      </w:r>
      <w:r w:rsidRPr="00F23F20">
        <w:rPr>
          <w:rFonts w:ascii="Times New Roman" w:eastAsiaTheme="minorEastAsia" w:hAnsi="Times New Roman" w:cs="Times New Roman"/>
          <w:iCs/>
        </w:rPr>
        <w:t xml:space="preserve">. All proteins matching gene names were subsequently downloaded and used in BLAST database construction. The number of matching genes for individual MAGs were normalized by the MAG completeness (fraction) to account for incomplete binning and assembly. Functional redundancy was then calculated for individual stations, at individual depths, for each nitrogen cycle category using equations 3.1-3.7. </w:t>
      </w:r>
    </w:p>
    <w:p w14:paraId="56C1C73C" w14:textId="77777777" w:rsidR="00365526" w:rsidRPr="00F23F20" w:rsidRDefault="00365526" w:rsidP="00365526">
      <w:pPr>
        <w:rPr>
          <w:rFonts w:ascii="Times New Roman" w:eastAsiaTheme="minorEastAsia" w:hAnsi="Times New Roman" w:cs="Times New Roman"/>
          <w:iCs/>
        </w:rPr>
      </w:pPr>
      <w:r w:rsidRPr="00F23F20">
        <w:rPr>
          <w:rFonts w:ascii="Times New Roman" w:eastAsiaTheme="minorEastAsia" w:hAnsi="Times New Roman" w:cs="Times New Roman"/>
          <w:iCs/>
        </w:rPr>
        <w:br w:type="page"/>
      </w:r>
    </w:p>
    <w:p w14:paraId="630529E7" w14:textId="77777777" w:rsidR="00365526" w:rsidRPr="00F23F20" w:rsidRDefault="00365526" w:rsidP="00365526">
      <w:pPr>
        <w:pStyle w:val="Heading2"/>
        <w:rPr>
          <w:rFonts w:eastAsiaTheme="minorEastAsia"/>
        </w:rPr>
      </w:pPr>
      <w:bookmarkStart w:id="247" w:name="_Toc41908124"/>
      <w:r w:rsidRPr="00F23F20">
        <w:rPr>
          <w:rFonts w:eastAsiaTheme="minorEastAsia"/>
        </w:rPr>
        <w:lastRenderedPageBreak/>
        <w:t>Appendix Three</w:t>
      </w:r>
      <w:bookmarkEnd w:id="247"/>
    </w:p>
    <w:p w14:paraId="58256C57" w14:textId="77777777" w:rsidR="00365526" w:rsidRPr="00F23F20" w:rsidRDefault="00365526" w:rsidP="00365526">
      <w:pPr>
        <w:rPr>
          <w:rFonts w:ascii="Times New Roman" w:eastAsiaTheme="minorEastAsia" w:hAnsi="Times New Roman" w:cs="Times New Roman"/>
          <w:b/>
          <w:bCs/>
          <w:iCs/>
          <w:sz w:val="28"/>
          <w:szCs w:val="28"/>
        </w:rPr>
      </w:pPr>
      <w:r w:rsidRPr="00F23F20">
        <w:rPr>
          <w:rFonts w:ascii="Times New Roman" w:eastAsiaTheme="minorEastAsia" w:hAnsi="Times New Roman" w:cs="Times New Roman"/>
        </w:rPr>
        <w:br w:type="page"/>
      </w:r>
    </w:p>
    <w:p w14:paraId="4E9ACF1A" w14:textId="77777777" w:rsidR="00A22E51" w:rsidRPr="00F23F20" w:rsidRDefault="00A22E51" w:rsidP="00A22E51">
      <w:pPr>
        <w:pStyle w:val="Heading3"/>
      </w:pPr>
      <w:bookmarkStart w:id="248" w:name="_Toc41908125"/>
      <w:r w:rsidRPr="00F23F20">
        <w:lastRenderedPageBreak/>
        <w:t>Tables</w:t>
      </w:r>
      <w:bookmarkEnd w:id="248"/>
    </w:p>
    <w:p w14:paraId="2407EEB1" w14:textId="77777777" w:rsidR="00A22E51" w:rsidRPr="00F23F20" w:rsidRDefault="00A22E51" w:rsidP="00A22E51">
      <w:pPr>
        <w:spacing w:line="480" w:lineRule="auto"/>
        <w:rPr>
          <w:rFonts w:ascii="Times New Roman" w:hAnsi="Times New Roman" w:cs="Times New Roman"/>
          <w:b/>
        </w:rPr>
      </w:pPr>
      <w:r w:rsidRPr="00F23F20">
        <w:rPr>
          <w:rFonts w:ascii="Times New Roman" w:hAnsi="Times New Roman" w:cs="Times New Roman"/>
          <w:b/>
        </w:rPr>
        <w:t xml:space="preserve">Table 3.1. </w:t>
      </w:r>
      <w:r w:rsidRPr="00CF01A8">
        <w:rPr>
          <w:rFonts w:ascii="Times New Roman" w:hAnsi="Times New Roman" w:cs="Times New Roman"/>
          <w:bCs/>
        </w:rPr>
        <w:t xml:space="preserve">A summary of marker gene sequences used in the BLASTP analysis of </w:t>
      </w:r>
      <w:r w:rsidRPr="00CF01A8">
        <w:rPr>
          <w:rFonts w:ascii="Times New Roman" w:hAnsi="Times New Roman" w:cs="Times New Roman"/>
          <w:bCs/>
          <w:i/>
        </w:rPr>
        <w:t>TARA Oceans</w:t>
      </w:r>
      <w:r w:rsidRPr="00CF01A8">
        <w:rPr>
          <w:rFonts w:ascii="Times New Roman" w:hAnsi="Times New Roman" w:cs="Times New Roman"/>
          <w:bCs/>
        </w:rPr>
        <w:t xml:space="preserve"> MAGs. All marker genes were downloaded from Swiss-Prot.</w:t>
      </w:r>
      <w:r w:rsidRPr="00F23F20">
        <w:rPr>
          <w:rFonts w:ascii="Times New Roman" w:hAnsi="Times New Roman" w:cs="Times New Roman"/>
          <w:b/>
        </w:rPr>
        <w:t xml:space="preserve"> </w:t>
      </w:r>
    </w:p>
    <w:tbl>
      <w:tblPr>
        <w:tblStyle w:val="1"/>
        <w:tblW w:w="8910" w:type="dxa"/>
        <w:tblBorders>
          <w:top w:val="single" w:sz="18" w:space="0" w:color="000000"/>
          <w:left w:val="nil"/>
          <w:bottom w:val="single" w:sz="18" w:space="0" w:color="000000"/>
          <w:right w:val="nil"/>
          <w:insideH w:val="nil"/>
          <w:insideV w:val="nil"/>
        </w:tblBorders>
        <w:tblLayout w:type="fixed"/>
        <w:tblLook w:val="0400" w:firstRow="0" w:lastRow="0" w:firstColumn="0" w:lastColumn="0" w:noHBand="0" w:noVBand="1"/>
      </w:tblPr>
      <w:tblGrid>
        <w:gridCol w:w="3600"/>
        <w:gridCol w:w="1578"/>
        <w:gridCol w:w="1842"/>
        <w:gridCol w:w="1890"/>
      </w:tblGrid>
      <w:tr w:rsidR="00A22E51" w:rsidRPr="00F23F20" w14:paraId="32166A15" w14:textId="77777777" w:rsidTr="00E14F7B">
        <w:trPr>
          <w:trHeight w:val="549"/>
        </w:trPr>
        <w:tc>
          <w:tcPr>
            <w:tcW w:w="3600" w:type="dxa"/>
            <w:tcBorders>
              <w:top w:val="single" w:sz="18" w:space="0" w:color="000000"/>
              <w:bottom w:val="single" w:sz="18" w:space="0" w:color="000000"/>
            </w:tcBorders>
            <w:vAlign w:val="center"/>
          </w:tcPr>
          <w:p w14:paraId="5F5CB266" w14:textId="77777777" w:rsidR="00A22E51" w:rsidRPr="00F23F20" w:rsidRDefault="00A22E51" w:rsidP="00E14F7B">
            <w:pPr>
              <w:jc w:val="center"/>
              <w:rPr>
                <w:rFonts w:ascii="Times New Roman" w:eastAsia="Times New Roman" w:hAnsi="Times New Roman" w:cs="Times New Roman"/>
                <w:b/>
                <w:sz w:val="24"/>
                <w:szCs w:val="24"/>
              </w:rPr>
            </w:pPr>
            <w:r w:rsidRPr="00F23F20">
              <w:rPr>
                <w:rFonts w:ascii="Times New Roman" w:eastAsia="Times New Roman" w:hAnsi="Times New Roman" w:cs="Times New Roman"/>
                <w:b/>
                <w:sz w:val="24"/>
                <w:szCs w:val="24"/>
              </w:rPr>
              <w:t>Pathway</w:t>
            </w:r>
          </w:p>
        </w:tc>
        <w:tc>
          <w:tcPr>
            <w:tcW w:w="1578" w:type="dxa"/>
            <w:tcBorders>
              <w:top w:val="single" w:sz="18" w:space="0" w:color="000000"/>
              <w:bottom w:val="single" w:sz="18" w:space="0" w:color="000000"/>
            </w:tcBorders>
            <w:vAlign w:val="center"/>
          </w:tcPr>
          <w:p w14:paraId="0234D271" w14:textId="77777777" w:rsidR="00A22E51" w:rsidRPr="00F23F20" w:rsidRDefault="00A22E51" w:rsidP="00E14F7B">
            <w:pPr>
              <w:jc w:val="center"/>
              <w:rPr>
                <w:rFonts w:ascii="Times New Roman" w:eastAsia="Times New Roman" w:hAnsi="Times New Roman" w:cs="Times New Roman"/>
                <w:b/>
                <w:sz w:val="24"/>
                <w:szCs w:val="24"/>
              </w:rPr>
            </w:pPr>
            <w:r w:rsidRPr="00F23F20">
              <w:rPr>
                <w:rFonts w:ascii="Times New Roman" w:eastAsia="Times New Roman" w:hAnsi="Times New Roman" w:cs="Times New Roman"/>
                <w:b/>
                <w:sz w:val="24"/>
                <w:szCs w:val="24"/>
              </w:rPr>
              <w:t>Gene Names</w:t>
            </w:r>
          </w:p>
        </w:tc>
        <w:tc>
          <w:tcPr>
            <w:tcW w:w="1842" w:type="dxa"/>
            <w:tcBorders>
              <w:top w:val="single" w:sz="18" w:space="0" w:color="000000"/>
              <w:bottom w:val="single" w:sz="18" w:space="0" w:color="000000"/>
            </w:tcBorders>
            <w:vAlign w:val="center"/>
          </w:tcPr>
          <w:p w14:paraId="3F79F54B" w14:textId="77777777" w:rsidR="00A22E51" w:rsidRPr="00F23F20" w:rsidRDefault="00A22E51" w:rsidP="00E14F7B">
            <w:pPr>
              <w:jc w:val="center"/>
              <w:rPr>
                <w:rFonts w:ascii="Times New Roman" w:eastAsia="Times New Roman" w:hAnsi="Times New Roman" w:cs="Times New Roman"/>
                <w:b/>
                <w:sz w:val="24"/>
                <w:szCs w:val="24"/>
              </w:rPr>
            </w:pPr>
            <w:r w:rsidRPr="00F23F20">
              <w:rPr>
                <w:rFonts w:ascii="Times New Roman" w:eastAsia="Times New Roman" w:hAnsi="Times New Roman" w:cs="Times New Roman"/>
                <w:b/>
                <w:sz w:val="24"/>
                <w:szCs w:val="24"/>
              </w:rPr>
              <w:t>EC Number</w:t>
            </w:r>
          </w:p>
        </w:tc>
        <w:tc>
          <w:tcPr>
            <w:tcW w:w="1890" w:type="dxa"/>
            <w:tcBorders>
              <w:top w:val="single" w:sz="18" w:space="0" w:color="000000"/>
              <w:bottom w:val="single" w:sz="18" w:space="0" w:color="000000"/>
            </w:tcBorders>
            <w:vAlign w:val="center"/>
          </w:tcPr>
          <w:p w14:paraId="44C41996" w14:textId="77777777" w:rsidR="00A22E51" w:rsidRPr="00F23F20" w:rsidRDefault="00A22E51" w:rsidP="00E14F7B">
            <w:pPr>
              <w:jc w:val="center"/>
              <w:rPr>
                <w:rFonts w:ascii="Times New Roman" w:eastAsia="Times New Roman" w:hAnsi="Times New Roman" w:cs="Times New Roman"/>
                <w:b/>
                <w:sz w:val="24"/>
                <w:szCs w:val="24"/>
              </w:rPr>
            </w:pPr>
            <w:r w:rsidRPr="00F23F20">
              <w:rPr>
                <w:rFonts w:ascii="Times New Roman" w:eastAsia="Times New Roman" w:hAnsi="Times New Roman" w:cs="Times New Roman"/>
                <w:b/>
                <w:sz w:val="24"/>
                <w:szCs w:val="24"/>
              </w:rPr>
              <w:t># Marker Genes</w:t>
            </w:r>
          </w:p>
        </w:tc>
      </w:tr>
      <w:tr w:rsidR="00A22E51" w:rsidRPr="00F23F20" w14:paraId="323A81C3" w14:textId="77777777" w:rsidTr="00E14F7B">
        <w:trPr>
          <w:trHeight w:val="269"/>
        </w:trPr>
        <w:tc>
          <w:tcPr>
            <w:tcW w:w="3600" w:type="dxa"/>
            <w:tcBorders>
              <w:top w:val="single" w:sz="18" w:space="0" w:color="000000"/>
            </w:tcBorders>
            <w:vAlign w:val="center"/>
          </w:tcPr>
          <w:p w14:paraId="20F07242"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N Remineralization</w:t>
            </w:r>
          </w:p>
        </w:tc>
        <w:tc>
          <w:tcPr>
            <w:tcW w:w="1578" w:type="dxa"/>
            <w:tcBorders>
              <w:top w:val="single" w:sz="18" w:space="0" w:color="000000"/>
              <w:bottom w:val="single" w:sz="8" w:space="0" w:color="000000"/>
            </w:tcBorders>
            <w:vAlign w:val="center"/>
          </w:tcPr>
          <w:p w14:paraId="435C2485" w14:textId="77777777" w:rsidR="00A22E51" w:rsidRPr="00F23F20" w:rsidRDefault="00A22E51" w:rsidP="00E14F7B">
            <w:pPr>
              <w:jc w:val="center"/>
              <w:rPr>
                <w:rFonts w:ascii="Times New Roman" w:eastAsia="Times New Roman" w:hAnsi="Times New Roman" w:cs="Times New Roman"/>
                <w:sz w:val="24"/>
                <w:szCs w:val="24"/>
              </w:rPr>
            </w:pPr>
            <w:proofErr w:type="spellStart"/>
            <w:r w:rsidRPr="00F23F20">
              <w:rPr>
                <w:rFonts w:ascii="Times New Roman" w:eastAsia="Times New Roman" w:hAnsi="Times New Roman" w:cs="Times New Roman"/>
                <w:i/>
                <w:sz w:val="24"/>
                <w:szCs w:val="24"/>
              </w:rPr>
              <w:t>gltB</w:t>
            </w:r>
            <w:proofErr w:type="spellEnd"/>
          </w:p>
        </w:tc>
        <w:tc>
          <w:tcPr>
            <w:tcW w:w="1842" w:type="dxa"/>
            <w:tcBorders>
              <w:top w:val="single" w:sz="18" w:space="0" w:color="000000"/>
              <w:bottom w:val="single" w:sz="8" w:space="0" w:color="000000"/>
            </w:tcBorders>
            <w:vAlign w:val="center"/>
          </w:tcPr>
          <w:p w14:paraId="40F1D44A"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1.4.1.13</w:t>
            </w:r>
          </w:p>
        </w:tc>
        <w:tc>
          <w:tcPr>
            <w:tcW w:w="1890" w:type="dxa"/>
            <w:tcBorders>
              <w:top w:val="single" w:sz="18" w:space="0" w:color="000000"/>
              <w:bottom w:val="single" w:sz="8" w:space="0" w:color="000000"/>
            </w:tcBorders>
            <w:vAlign w:val="center"/>
          </w:tcPr>
          <w:p w14:paraId="1869E9C9"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14</w:t>
            </w:r>
          </w:p>
        </w:tc>
      </w:tr>
      <w:tr w:rsidR="00A22E51" w:rsidRPr="00F23F20" w14:paraId="0349A7C4" w14:textId="77777777" w:rsidTr="00E14F7B">
        <w:trPr>
          <w:trHeight w:val="269"/>
        </w:trPr>
        <w:tc>
          <w:tcPr>
            <w:tcW w:w="3600" w:type="dxa"/>
            <w:vAlign w:val="center"/>
          </w:tcPr>
          <w:p w14:paraId="0990E318"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N Fixation</w:t>
            </w:r>
          </w:p>
        </w:tc>
        <w:tc>
          <w:tcPr>
            <w:tcW w:w="1578" w:type="dxa"/>
            <w:tcBorders>
              <w:top w:val="single" w:sz="8" w:space="0" w:color="000000"/>
              <w:bottom w:val="single" w:sz="8" w:space="0" w:color="000000"/>
            </w:tcBorders>
            <w:vAlign w:val="center"/>
          </w:tcPr>
          <w:p w14:paraId="1664CD9D"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nifH</w:t>
            </w:r>
            <w:proofErr w:type="spellEnd"/>
          </w:p>
        </w:tc>
        <w:tc>
          <w:tcPr>
            <w:tcW w:w="1842" w:type="dxa"/>
            <w:tcBorders>
              <w:top w:val="single" w:sz="8" w:space="0" w:color="000000"/>
              <w:bottom w:val="single" w:sz="8" w:space="0" w:color="000000"/>
            </w:tcBorders>
            <w:vAlign w:val="center"/>
          </w:tcPr>
          <w:p w14:paraId="3430B4DC"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1.18.6.1</w:t>
            </w:r>
          </w:p>
        </w:tc>
        <w:tc>
          <w:tcPr>
            <w:tcW w:w="1890" w:type="dxa"/>
            <w:tcBorders>
              <w:top w:val="single" w:sz="8" w:space="0" w:color="000000"/>
              <w:bottom w:val="single" w:sz="8" w:space="0" w:color="000000"/>
            </w:tcBorders>
            <w:vAlign w:val="center"/>
          </w:tcPr>
          <w:p w14:paraId="4B9737EF"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127</w:t>
            </w:r>
          </w:p>
        </w:tc>
      </w:tr>
      <w:tr w:rsidR="00A22E51" w:rsidRPr="00F23F20" w14:paraId="6B5F7933" w14:textId="77777777" w:rsidTr="00E14F7B">
        <w:trPr>
          <w:trHeight w:val="279"/>
        </w:trPr>
        <w:tc>
          <w:tcPr>
            <w:tcW w:w="3600" w:type="dxa"/>
            <w:vMerge w:val="restart"/>
            <w:vAlign w:val="center"/>
          </w:tcPr>
          <w:p w14:paraId="3BB5B8CF"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Nitrification</w:t>
            </w:r>
          </w:p>
        </w:tc>
        <w:tc>
          <w:tcPr>
            <w:tcW w:w="1578" w:type="dxa"/>
            <w:tcBorders>
              <w:top w:val="single" w:sz="8" w:space="0" w:color="000000"/>
              <w:bottom w:val="nil"/>
            </w:tcBorders>
            <w:vAlign w:val="center"/>
          </w:tcPr>
          <w:p w14:paraId="457FB64B"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amoA</w:t>
            </w:r>
            <w:proofErr w:type="spellEnd"/>
          </w:p>
        </w:tc>
        <w:tc>
          <w:tcPr>
            <w:tcW w:w="1842" w:type="dxa"/>
            <w:tcBorders>
              <w:top w:val="single" w:sz="8" w:space="0" w:color="000000"/>
              <w:bottom w:val="nil"/>
            </w:tcBorders>
            <w:vAlign w:val="center"/>
          </w:tcPr>
          <w:p w14:paraId="4F81249A"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1.14.99.39</w:t>
            </w:r>
          </w:p>
        </w:tc>
        <w:tc>
          <w:tcPr>
            <w:tcW w:w="1890" w:type="dxa"/>
            <w:tcBorders>
              <w:top w:val="single" w:sz="8" w:space="0" w:color="000000"/>
              <w:bottom w:val="nil"/>
            </w:tcBorders>
            <w:vAlign w:val="center"/>
          </w:tcPr>
          <w:p w14:paraId="2865FB1E"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2</w:t>
            </w:r>
          </w:p>
        </w:tc>
      </w:tr>
      <w:tr w:rsidR="00A22E51" w:rsidRPr="00F23F20" w14:paraId="4E72B721" w14:textId="77777777" w:rsidTr="00E14F7B">
        <w:trPr>
          <w:trHeight w:val="279"/>
        </w:trPr>
        <w:tc>
          <w:tcPr>
            <w:tcW w:w="3600" w:type="dxa"/>
            <w:vMerge/>
            <w:vAlign w:val="center"/>
          </w:tcPr>
          <w:p w14:paraId="48B9886C" w14:textId="77777777" w:rsidR="00A22E51" w:rsidRPr="00F23F20" w:rsidRDefault="00A22E51" w:rsidP="00E14F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78" w:type="dxa"/>
            <w:tcBorders>
              <w:top w:val="nil"/>
              <w:bottom w:val="single" w:sz="8" w:space="0" w:color="000000"/>
            </w:tcBorders>
            <w:vAlign w:val="center"/>
          </w:tcPr>
          <w:p w14:paraId="10B36A7C"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hoa</w:t>
            </w:r>
            <w:proofErr w:type="spellEnd"/>
          </w:p>
        </w:tc>
        <w:tc>
          <w:tcPr>
            <w:tcW w:w="1842" w:type="dxa"/>
            <w:tcBorders>
              <w:top w:val="nil"/>
              <w:bottom w:val="single" w:sz="8" w:space="0" w:color="000000"/>
            </w:tcBorders>
            <w:vAlign w:val="center"/>
          </w:tcPr>
          <w:p w14:paraId="4E08C2F4"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1.7.2.6</w:t>
            </w:r>
          </w:p>
        </w:tc>
        <w:tc>
          <w:tcPr>
            <w:tcW w:w="1890" w:type="dxa"/>
            <w:tcBorders>
              <w:top w:val="nil"/>
              <w:bottom w:val="single" w:sz="8" w:space="0" w:color="000000"/>
            </w:tcBorders>
            <w:vAlign w:val="center"/>
          </w:tcPr>
          <w:p w14:paraId="412BF56A"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w:t>
            </w:r>
          </w:p>
        </w:tc>
      </w:tr>
      <w:tr w:rsidR="00A22E51" w:rsidRPr="00F23F20" w14:paraId="12F8EB2B" w14:textId="77777777" w:rsidTr="00E14F7B">
        <w:trPr>
          <w:trHeight w:val="269"/>
        </w:trPr>
        <w:tc>
          <w:tcPr>
            <w:tcW w:w="3600" w:type="dxa"/>
            <w:vMerge w:val="restart"/>
            <w:tcBorders>
              <w:top w:val="nil"/>
              <w:bottom w:val="nil"/>
            </w:tcBorders>
            <w:vAlign w:val="center"/>
          </w:tcPr>
          <w:p w14:paraId="21E83BBD"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NO</w:t>
            </w:r>
            <w:r w:rsidRPr="00F23F20">
              <w:rPr>
                <w:rFonts w:ascii="Times New Roman" w:eastAsia="Times New Roman" w:hAnsi="Times New Roman" w:cs="Times New Roman"/>
                <w:sz w:val="24"/>
                <w:szCs w:val="24"/>
                <w:vertAlign w:val="subscript"/>
              </w:rPr>
              <w:t>3</w:t>
            </w:r>
            <w:r w:rsidRPr="00F23F20">
              <w:rPr>
                <w:rFonts w:ascii="Times New Roman" w:eastAsia="Times New Roman" w:hAnsi="Times New Roman" w:cs="Times New Roman"/>
                <w:sz w:val="24"/>
                <w:szCs w:val="24"/>
                <w:vertAlign w:val="superscript"/>
              </w:rPr>
              <w:t>-</w:t>
            </w:r>
            <w:r w:rsidRPr="00F23F20">
              <w:rPr>
                <w:rFonts w:ascii="Times New Roman" w:eastAsia="Times New Roman" w:hAnsi="Times New Roman" w:cs="Times New Roman"/>
                <w:sz w:val="24"/>
                <w:szCs w:val="24"/>
              </w:rPr>
              <w:t xml:space="preserve"> Reduction</w:t>
            </w:r>
          </w:p>
        </w:tc>
        <w:tc>
          <w:tcPr>
            <w:tcW w:w="1578" w:type="dxa"/>
            <w:tcBorders>
              <w:top w:val="single" w:sz="8" w:space="0" w:color="000000"/>
              <w:bottom w:val="nil"/>
            </w:tcBorders>
            <w:vAlign w:val="center"/>
          </w:tcPr>
          <w:p w14:paraId="654897D3"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napA</w:t>
            </w:r>
            <w:proofErr w:type="spellEnd"/>
          </w:p>
        </w:tc>
        <w:tc>
          <w:tcPr>
            <w:tcW w:w="1842" w:type="dxa"/>
            <w:tcBorders>
              <w:top w:val="single" w:sz="8" w:space="0" w:color="000000"/>
              <w:bottom w:val="nil"/>
            </w:tcBorders>
            <w:vAlign w:val="center"/>
          </w:tcPr>
          <w:p w14:paraId="2CF57583"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1.9.6.1</w:t>
            </w:r>
          </w:p>
        </w:tc>
        <w:tc>
          <w:tcPr>
            <w:tcW w:w="1890" w:type="dxa"/>
            <w:tcBorders>
              <w:top w:val="single" w:sz="8" w:space="0" w:color="000000"/>
              <w:bottom w:val="nil"/>
            </w:tcBorders>
            <w:vAlign w:val="center"/>
          </w:tcPr>
          <w:p w14:paraId="5FA9DFBB"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136</w:t>
            </w:r>
          </w:p>
        </w:tc>
      </w:tr>
      <w:tr w:rsidR="00A22E51" w:rsidRPr="00F23F20" w14:paraId="37E6FDB9" w14:textId="77777777" w:rsidTr="00E14F7B">
        <w:trPr>
          <w:trHeight w:val="279"/>
        </w:trPr>
        <w:tc>
          <w:tcPr>
            <w:tcW w:w="3600" w:type="dxa"/>
            <w:vMerge/>
            <w:tcBorders>
              <w:top w:val="nil"/>
              <w:bottom w:val="nil"/>
            </w:tcBorders>
            <w:vAlign w:val="center"/>
          </w:tcPr>
          <w:p w14:paraId="7262891D" w14:textId="77777777" w:rsidR="00A22E51" w:rsidRPr="00F23F20" w:rsidRDefault="00A22E51" w:rsidP="00E14F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78" w:type="dxa"/>
            <w:tcBorders>
              <w:top w:val="nil"/>
              <w:bottom w:val="single" w:sz="8" w:space="0" w:color="000000"/>
            </w:tcBorders>
            <w:vAlign w:val="center"/>
          </w:tcPr>
          <w:p w14:paraId="49331C17"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narG</w:t>
            </w:r>
            <w:proofErr w:type="spellEnd"/>
          </w:p>
        </w:tc>
        <w:tc>
          <w:tcPr>
            <w:tcW w:w="1842" w:type="dxa"/>
            <w:tcBorders>
              <w:top w:val="nil"/>
              <w:bottom w:val="single" w:sz="8" w:space="0" w:color="000000"/>
            </w:tcBorders>
            <w:vAlign w:val="center"/>
          </w:tcPr>
          <w:p w14:paraId="48C97040"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1.7.5.1</w:t>
            </w:r>
          </w:p>
        </w:tc>
        <w:tc>
          <w:tcPr>
            <w:tcW w:w="1890" w:type="dxa"/>
            <w:tcBorders>
              <w:top w:val="nil"/>
              <w:bottom w:val="single" w:sz="8" w:space="0" w:color="000000"/>
            </w:tcBorders>
            <w:vAlign w:val="center"/>
          </w:tcPr>
          <w:p w14:paraId="72E4358B"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13</w:t>
            </w:r>
          </w:p>
        </w:tc>
      </w:tr>
      <w:tr w:rsidR="00A22E51" w:rsidRPr="00F23F20" w14:paraId="0BB1B508" w14:textId="77777777" w:rsidTr="00E14F7B">
        <w:trPr>
          <w:trHeight w:val="549"/>
        </w:trPr>
        <w:tc>
          <w:tcPr>
            <w:tcW w:w="3600" w:type="dxa"/>
            <w:tcBorders>
              <w:top w:val="nil"/>
              <w:bottom w:val="nil"/>
            </w:tcBorders>
            <w:vAlign w:val="center"/>
          </w:tcPr>
          <w:p w14:paraId="33A06F29"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Dissimilatory NO</w:t>
            </w:r>
            <w:r w:rsidRPr="00F23F20">
              <w:rPr>
                <w:rFonts w:ascii="Times New Roman" w:eastAsia="Times New Roman" w:hAnsi="Times New Roman" w:cs="Times New Roman"/>
                <w:sz w:val="24"/>
                <w:szCs w:val="24"/>
                <w:vertAlign w:val="subscript"/>
              </w:rPr>
              <w:t>3</w:t>
            </w:r>
            <w:r w:rsidRPr="00F23F20">
              <w:rPr>
                <w:rFonts w:ascii="Times New Roman" w:eastAsia="Times New Roman" w:hAnsi="Times New Roman" w:cs="Times New Roman"/>
                <w:sz w:val="24"/>
                <w:szCs w:val="24"/>
                <w:vertAlign w:val="superscript"/>
              </w:rPr>
              <w:t>-</w:t>
            </w:r>
            <w:r w:rsidRPr="00F23F20">
              <w:rPr>
                <w:rFonts w:ascii="Times New Roman" w:eastAsia="Times New Roman" w:hAnsi="Times New Roman" w:cs="Times New Roman"/>
                <w:sz w:val="24"/>
                <w:szCs w:val="24"/>
              </w:rPr>
              <w:t xml:space="preserve"> Reduction</w:t>
            </w:r>
          </w:p>
        </w:tc>
        <w:tc>
          <w:tcPr>
            <w:tcW w:w="1578" w:type="dxa"/>
            <w:tcBorders>
              <w:top w:val="single" w:sz="8" w:space="0" w:color="000000"/>
              <w:bottom w:val="single" w:sz="8" w:space="0" w:color="000000"/>
            </w:tcBorders>
            <w:vAlign w:val="center"/>
          </w:tcPr>
          <w:p w14:paraId="2CD54047"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nrfA</w:t>
            </w:r>
            <w:proofErr w:type="spellEnd"/>
          </w:p>
        </w:tc>
        <w:tc>
          <w:tcPr>
            <w:tcW w:w="1842" w:type="dxa"/>
            <w:tcBorders>
              <w:top w:val="single" w:sz="8" w:space="0" w:color="000000"/>
              <w:bottom w:val="single" w:sz="8" w:space="0" w:color="000000"/>
            </w:tcBorders>
            <w:vAlign w:val="center"/>
          </w:tcPr>
          <w:p w14:paraId="0C0FA91B"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1.7.2.2</w:t>
            </w:r>
          </w:p>
        </w:tc>
        <w:tc>
          <w:tcPr>
            <w:tcW w:w="1890" w:type="dxa"/>
            <w:tcBorders>
              <w:top w:val="single" w:sz="8" w:space="0" w:color="000000"/>
              <w:bottom w:val="single" w:sz="8" w:space="0" w:color="000000"/>
            </w:tcBorders>
            <w:vAlign w:val="center"/>
          </w:tcPr>
          <w:p w14:paraId="4FD724F5"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77</w:t>
            </w:r>
          </w:p>
        </w:tc>
      </w:tr>
      <w:tr w:rsidR="00A22E51" w:rsidRPr="00F23F20" w14:paraId="1EF8A4C4" w14:textId="77777777" w:rsidTr="00E14F7B">
        <w:trPr>
          <w:trHeight w:val="279"/>
        </w:trPr>
        <w:tc>
          <w:tcPr>
            <w:tcW w:w="3600" w:type="dxa"/>
            <w:vMerge w:val="restart"/>
            <w:tcBorders>
              <w:top w:val="nil"/>
              <w:bottom w:val="nil"/>
            </w:tcBorders>
            <w:vAlign w:val="center"/>
          </w:tcPr>
          <w:p w14:paraId="3B7AA835"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Assimilatory NO</w:t>
            </w:r>
            <w:r w:rsidRPr="00F23F20">
              <w:rPr>
                <w:rFonts w:ascii="Times New Roman" w:eastAsia="Times New Roman" w:hAnsi="Times New Roman" w:cs="Times New Roman"/>
                <w:sz w:val="24"/>
                <w:szCs w:val="24"/>
                <w:vertAlign w:val="subscript"/>
              </w:rPr>
              <w:t>3</w:t>
            </w:r>
            <w:r w:rsidRPr="00F23F20">
              <w:rPr>
                <w:rFonts w:ascii="Times New Roman" w:eastAsia="Times New Roman" w:hAnsi="Times New Roman" w:cs="Times New Roman"/>
                <w:sz w:val="24"/>
                <w:szCs w:val="24"/>
                <w:vertAlign w:val="superscript"/>
              </w:rPr>
              <w:t>-</w:t>
            </w:r>
            <w:r w:rsidRPr="00F23F20">
              <w:rPr>
                <w:rFonts w:ascii="Times New Roman" w:eastAsia="Times New Roman" w:hAnsi="Times New Roman" w:cs="Times New Roman"/>
                <w:sz w:val="24"/>
                <w:szCs w:val="24"/>
              </w:rPr>
              <w:t>/NO</w:t>
            </w:r>
            <w:r w:rsidRPr="00F23F20">
              <w:rPr>
                <w:rFonts w:ascii="Times New Roman" w:eastAsia="Times New Roman" w:hAnsi="Times New Roman" w:cs="Times New Roman"/>
                <w:sz w:val="24"/>
                <w:szCs w:val="24"/>
                <w:vertAlign w:val="subscript"/>
              </w:rPr>
              <w:t>2</w:t>
            </w:r>
            <w:r w:rsidRPr="00F23F20">
              <w:rPr>
                <w:rFonts w:ascii="Times New Roman" w:eastAsia="Times New Roman" w:hAnsi="Times New Roman" w:cs="Times New Roman"/>
                <w:sz w:val="24"/>
                <w:szCs w:val="24"/>
                <w:vertAlign w:val="superscript"/>
              </w:rPr>
              <w:t>-</w:t>
            </w:r>
            <w:r w:rsidRPr="00F23F20">
              <w:rPr>
                <w:rFonts w:ascii="Times New Roman" w:eastAsia="Times New Roman" w:hAnsi="Times New Roman" w:cs="Times New Roman"/>
                <w:sz w:val="24"/>
                <w:szCs w:val="24"/>
              </w:rPr>
              <w:t xml:space="preserve"> Reduction</w:t>
            </w:r>
          </w:p>
        </w:tc>
        <w:tc>
          <w:tcPr>
            <w:tcW w:w="1578" w:type="dxa"/>
            <w:tcBorders>
              <w:top w:val="single" w:sz="8" w:space="0" w:color="000000"/>
              <w:bottom w:val="nil"/>
            </w:tcBorders>
            <w:vAlign w:val="center"/>
          </w:tcPr>
          <w:p w14:paraId="6B93CAD9"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narB</w:t>
            </w:r>
            <w:proofErr w:type="spellEnd"/>
          </w:p>
        </w:tc>
        <w:tc>
          <w:tcPr>
            <w:tcW w:w="1842" w:type="dxa"/>
            <w:tcBorders>
              <w:top w:val="single" w:sz="8" w:space="0" w:color="000000"/>
              <w:bottom w:val="nil"/>
            </w:tcBorders>
            <w:vAlign w:val="center"/>
          </w:tcPr>
          <w:p w14:paraId="1FD9DF9E"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1.7.5.1</w:t>
            </w:r>
          </w:p>
        </w:tc>
        <w:tc>
          <w:tcPr>
            <w:tcW w:w="1890" w:type="dxa"/>
            <w:tcBorders>
              <w:top w:val="single" w:sz="8" w:space="0" w:color="000000"/>
              <w:bottom w:val="nil"/>
            </w:tcBorders>
            <w:vAlign w:val="center"/>
          </w:tcPr>
          <w:p w14:paraId="046482C0"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3</w:t>
            </w:r>
          </w:p>
        </w:tc>
      </w:tr>
      <w:tr w:rsidR="00A22E51" w:rsidRPr="00F23F20" w14:paraId="238EE8A1" w14:textId="77777777" w:rsidTr="00E14F7B">
        <w:trPr>
          <w:trHeight w:val="269"/>
        </w:trPr>
        <w:tc>
          <w:tcPr>
            <w:tcW w:w="3600" w:type="dxa"/>
            <w:vMerge/>
            <w:tcBorders>
              <w:top w:val="nil"/>
              <w:bottom w:val="nil"/>
            </w:tcBorders>
            <w:vAlign w:val="center"/>
          </w:tcPr>
          <w:p w14:paraId="43D5C2B4" w14:textId="77777777" w:rsidR="00A22E51" w:rsidRPr="00F23F20" w:rsidRDefault="00A22E51" w:rsidP="00E14F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78" w:type="dxa"/>
            <w:tcBorders>
              <w:top w:val="nil"/>
              <w:bottom w:val="nil"/>
            </w:tcBorders>
            <w:vAlign w:val="center"/>
          </w:tcPr>
          <w:p w14:paraId="7A9B4283"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nasA</w:t>
            </w:r>
            <w:proofErr w:type="spellEnd"/>
          </w:p>
        </w:tc>
        <w:tc>
          <w:tcPr>
            <w:tcW w:w="1842" w:type="dxa"/>
            <w:tcBorders>
              <w:top w:val="nil"/>
              <w:bottom w:val="nil"/>
            </w:tcBorders>
            <w:vAlign w:val="center"/>
          </w:tcPr>
          <w:p w14:paraId="3153949A"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1.7.7.2</w:t>
            </w:r>
          </w:p>
        </w:tc>
        <w:tc>
          <w:tcPr>
            <w:tcW w:w="1890" w:type="dxa"/>
            <w:tcBorders>
              <w:top w:val="nil"/>
              <w:bottom w:val="nil"/>
            </w:tcBorders>
            <w:vAlign w:val="center"/>
          </w:tcPr>
          <w:p w14:paraId="6E7898E8"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w:t>
            </w:r>
          </w:p>
        </w:tc>
      </w:tr>
      <w:tr w:rsidR="00A22E51" w:rsidRPr="00F23F20" w14:paraId="7DD81033" w14:textId="77777777" w:rsidTr="00E14F7B">
        <w:trPr>
          <w:trHeight w:val="279"/>
        </w:trPr>
        <w:tc>
          <w:tcPr>
            <w:tcW w:w="3600" w:type="dxa"/>
            <w:vMerge/>
            <w:tcBorders>
              <w:top w:val="nil"/>
              <w:bottom w:val="nil"/>
            </w:tcBorders>
            <w:vAlign w:val="center"/>
          </w:tcPr>
          <w:p w14:paraId="3C7F3524" w14:textId="77777777" w:rsidR="00A22E51" w:rsidRPr="00F23F20" w:rsidRDefault="00A22E51" w:rsidP="00E14F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78" w:type="dxa"/>
            <w:tcBorders>
              <w:top w:val="nil"/>
              <w:bottom w:val="nil"/>
            </w:tcBorders>
            <w:vAlign w:val="center"/>
          </w:tcPr>
          <w:p w14:paraId="772678F2"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nasB</w:t>
            </w:r>
            <w:proofErr w:type="spellEnd"/>
          </w:p>
        </w:tc>
        <w:tc>
          <w:tcPr>
            <w:tcW w:w="1842" w:type="dxa"/>
            <w:tcBorders>
              <w:top w:val="nil"/>
              <w:bottom w:val="nil"/>
            </w:tcBorders>
            <w:vAlign w:val="center"/>
          </w:tcPr>
          <w:p w14:paraId="19FAD813"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1.7.1.4</w:t>
            </w:r>
          </w:p>
        </w:tc>
        <w:tc>
          <w:tcPr>
            <w:tcW w:w="1890" w:type="dxa"/>
            <w:tcBorders>
              <w:top w:val="nil"/>
              <w:bottom w:val="nil"/>
            </w:tcBorders>
            <w:vAlign w:val="center"/>
          </w:tcPr>
          <w:p w14:paraId="474003A1"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3</w:t>
            </w:r>
          </w:p>
        </w:tc>
      </w:tr>
      <w:tr w:rsidR="00A22E51" w:rsidRPr="00F23F20" w14:paraId="6B841460" w14:textId="77777777" w:rsidTr="00E14F7B">
        <w:trPr>
          <w:trHeight w:val="269"/>
        </w:trPr>
        <w:tc>
          <w:tcPr>
            <w:tcW w:w="3600" w:type="dxa"/>
            <w:vMerge/>
            <w:tcBorders>
              <w:top w:val="nil"/>
              <w:bottom w:val="nil"/>
            </w:tcBorders>
            <w:vAlign w:val="center"/>
          </w:tcPr>
          <w:p w14:paraId="64F27720" w14:textId="77777777" w:rsidR="00A22E51" w:rsidRPr="00F23F20" w:rsidRDefault="00A22E51" w:rsidP="00E14F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78" w:type="dxa"/>
            <w:tcBorders>
              <w:top w:val="nil"/>
              <w:bottom w:val="single" w:sz="8" w:space="0" w:color="000000"/>
            </w:tcBorders>
            <w:vAlign w:val="center"/>
          </w:tcPr>
          <w:p w14:paraId="44D0F78B"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nirB</w:t>
            </w:r>
            <w:proofErr w:type="spellEnd"/>
          </w:p>
        </w:tc>
        <w:tc>
          <w:tcPr>
            <w:tcW w:w="1842" w:type="dxa"/>
            <w:tcBorders>
              <w:top w:val="nil"/>
              <w:bottom w:val="single" w:sz="8" w:space="0" w:color="000000"/>
            </w:tcBorders>
            <w:vAlign w:val="center"/>
          </w:tcPr>
          <w:p w14:paraId="1FB55F12"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1.7.1.15</w:t>
            </w:r>
          </w:p>
        </w:tc>
        <w:tc>
          <w:tcPr>
            <w:tcW w:w="1890" w:type="dxa"/>
            <w:tcBorders>
              <w:top w:val="nil"/>
              <w:bottom w:val="single" w:sz="8" w:space="0" w:color="000000"/>
            </w:tcBorders>
            <w:vAlign w:val="center"/>
          </w:tcPr>
          <w:p w14:paraId="0C0D0BA3"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5</w:t>
            </w:r>
          </w:p>
        </w:tc>
      </w:tr>
      <w:tr w:rsidR="00A22E51" w:rsidRPr="00F23F20" w14:paraId="383C2133" w14:textId="77777777" w:rsidTr="00E14F7B">
        <w:trPr>
          <w:trHeight w:val="279"/>
        </w:trPr>
        <w:tc>
          <w:tcPr>
            <w:tcW w:w="3600" w:type="dxa"/>
            <w:vMerge w:val="restart"/>
            <w:tcBorders>
              <w:top w:val="nil"/>
              <w:bottom w:val="nil"/>
            </w:tcBorders>
            <w:vAlign w:val="center"/>
          </w:tcPr>
          <w:p w14:paraId="450E8E80"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NH</w:t>
            </w:r>
            <w:r w:rsidRPr="00F23F20">
              <w:rPr>
                <w:rFonts w:ascii="Times New Roman" w:eastAsia="Times New Roman" w:hAnsi="Times New Roman" w:cs="Times New Roman"/>
                <w:sz w:val="24"/>
                <w:szCs w:val="24"/>
                <w:vertAlign w:val="subscript"/>
              </w:rPr>
              <w:t>4</w:t>
            </w:r>
            <w:r w:rsidRPr="00F23F20">
              <w:rPr>
                <w:rFonts w:ascii="Times New Roman" w:eastAsia="Times New Roman" w:hAnsi="Times New Roman" w:cs="Times New Roman"/>
                <w:sz w:val="24"/>
                <w:szCs w:val="24"/>
                <w:vertAlign w:val="superscript"/>
              </w:rPr>
              <w:t>+</w:t>
            </w:r>
            <w:r w:rsidRPr="00F23F20">
              <w:rPr>
                <w:rFonts w:ascii="Times New Roman" w:eastAsia="Times New Roman" w:hAnsi="Times New Roman" w:cs="Times New Roman"/>
                <w:sz w:val="24"/>
                <w:szCs w:val="24"/>
              </w:rPr>
              <w:t xml:space="preserve"> Assimilation</w:t>
            </w:r>
          </w:p>
        </w:tc>
        <w:tc>
          <w:tcPr>
            <w:tcW w:w="1578" w:type="dxa"/>
            <w:tcBorders>
              <w:top w:val="single" w:sz="8" w:space="0" w:color="000000"/>
              <w:bottom w:val="nil"/>
            </w:tcBorders>
            <w:vAlign w:val="center"/>
          </w:tcPr>
          <w:p w14:paraId="5A7DA66E"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gdhA</w:t>
            </w:r>
            <w:proofErr w:type="spellEnd"/>
          </w:p>
        </w:tc>
        <w:tc>
          <w:tcPr>
            <w:tcW w:w="1842" w:type="dxa"/>
            <w:tcBorders>
              <w:top w:val="single" w:sz="8" w:space="0" w:color="000000"/>
              <w:bottom w:val="nil"/>
            </w:tcBorders>
            <w:vAlign w:val="center"/>
          </w:tcPr>
          <w:p w14:paraId="2166B350"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1.4.1.3</w:t>
            </w:r>
          </w:p>
        </w:tc>
        <w:tc>
          <w:tcPr>
            <w:tcW w:w="1890" w:type="dxa"/>
            <w:tcBorders>
              <w:top w:val="single" w:sz="8" w:space="0" w:color="000000"/>
              <w:bottom w:val="nil"/>
            </w:tcBorders>
            <w:vAlign w:val="center"/>
          </w:tcPr>
          <w:p w14:paraId="7BF9C65F"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14</w:t>
            </w:r>
          </w:p>
        </w:tc>
      </w:tr>
      <w:tr w:rsidR="00A22E51" w:rsidRPr="00F23F20" w14:paraId="0DA18717" w14:textId="77777777" w:rsidTr="00E14F7B">
        <w:trPr>
          <w:trHeight w:val="279"/>
        </w:trPr>
        <w:tc>
          <w:tcPr>
            <w:tcW w:w="3600" w:type="dxa"/>
            <w:vMerge/>
            <w:tcBorders>
              <w:top w:val="nil"/>
              <w:bottom w:val="nil"/>
            </w:tcBorders>
            <w:vAlign w:val="center"/>
          </w:tcPr>
          <w:p w14:paraId="75D27093" w14:textId="77777777" w:rsidR="00A22E51" w:rsidRPr="00F23F20" w:rsidRDefault="00A22E51" w:rsidP="00E14F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78" w:type="dxa"/>
            <w:tcBorders>
              <w:top w:val="nil"/>
              <w:bottom w:val="single" w:sz="8" w:space="0" w:color="000000"/>
            </w:tcBorders>
            <w:vAlign w:val="center"/>
          </w:tcPr>
          <w:p w14:paraId="2535A972"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glnA</w:t>
            </w:r>
            <w:proofErr w:type="spellEnd"/>
          </w:p>
        </w:tc>
        <w:tc>
          <w:tcPr>
            <w:tcW w:w="1842" w:type="dxa"/>
            <w:tcBorders>
              <w:top w:val="nil"/>
              <w:bottom w:val="single" w:sz="8" w:space="0" w:color="000000"/>
            </w:tcBorders>
            <w:vAlign w:val="center"/>
          </w:tcPr>
          <w:p w14:paraId="16B23F93"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6.3.1.2</w:t>
            </w:r>
          </w:p>
        </w:tc>
        <w:tc>
          <w:tcPr>
            <w:tcW w:w="1890" w:type="dxa"/>
            <w:tcBorders>
              <w:top w:val="nil"/>
              <w:bottom w:val="single" w:sz="8" w:space="0" w:color="000000"/>
            </w:tcBorders>
            <w:vAlign w:val="center"/>
          </w:tcPr>
          <w:p w14:paraId="4F3DB6FA"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173</w:t>
            </w:r>
          </w:p>
        </w:tc>
      </w:tr>
      <w:tr w:rsidR="00A22E51" w:rsidRPr="00F23F20" w14:paraId="5B2ACDF4" w14:textId="77777777" w:rsidTr="00E14F7B">
        <w:trPr>
          <w:trHeight w:val="269"/>
        </w:trPr>
        <w:tc>
          <w:tcPr>
            <w:tcW w:w="3600" w:type="dxa"/>
            <w:vMerge w:val="restart"/>
            <w:tcBorders>
              <w:top w:val="nil"/>
              <w:bottom w:val="single" w:sz="4" w:space="0" w:color="auto"/>
            </w:tcBorders>
            <w:vAlign w:val="center"/>
          </w:tcPr>
          <w:p w14:paraId="08C830E9"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Denitrification</w:t>
            </w:r>
          </w:p>
        </w:tc>
        <w:tc>
          <w:tcPr>
            <w:tcW w:w="1578" w:type="dxa"/>
            <w:tcBorders>
              <w:top w:val="single" w:sz="8" w:space="0" w:color="000000"/>
              <w:bottom w:val="nil"/>
            </w:tcBorders>
            <w:vAlign w:val="center"/>
          </w:tcPr>
          <w:p w14:paraId="03090CED"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nirK</w:t>
            </w:r>
            <w:proofErr w:type="spellEnd"/>
          </w:p>
        </w:tc>
        <w:tc>
          <w:tcPr>
            <w:tcW w:w="1842" w:type="dxa"/>
            <w:tcBorders>
              <w:top w:val="single" w:sz="8" w:space="0" w:color="000000"/>
              <w:bottom w:val="nil"/>
            </w:tcBorders>
            <w:vAlign w:val="center"/>
          </w:tcPr>
          <w:p w14:paraId="0D418F02"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1.7.2.1</w:t>
            </w:r>
          </w:p>
        </w:tc>
        <w:tc>
          <w:tcPr>
            <w:tcW w:w="1890" w:type="dxa"/>
            <w:tcBorders>
              <w:top w:val="single" w:sz="8" w:space="0" w:color="000000"/>
              <w:bottom w:val="nil"/>
            </w:tcBorders>
            <w:vAlign w:val="center"/>
          </w:tcPr>
          <w:p w14:paraId="2717E7F8"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7</w:t>
            </w:r>
          </w:p>
        </w:tc>
      </w:tr>
      <w:tr w:rsidR="00A22E51" w:rsidRPr="00F23F20" w14:paraId="6AB207F6" w14:textId="77777777" w:rsidTr="00E14F7B">
        <w:trPr>
          <w:trHeight w:val="279"/>
        </w:trPr>
        <w:tc>
          <w:tcPr>
            <w:tcW w:w="3600" w:type="dxa"/>
            <w:vMerge/>
            <w:tcBorders>
              <w:top w:val="nil"/>
              <w:bottom w:val="single" w:sz="4" w:space="0" w:color="auto"/>
            </w:tcBorders>
            <w:vAlign w:val="center"/>
          </w:tcPr>
          <w:p w14:paraId="142BF56E" w14:textId="77777777" w:rsidR="00A22E51" w:rsidRPr="00F23F20" w:rsidRDefault="00A22E51" w:rsidP="00E14F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78" w:type="dxa"/>
            <w:tcBorders>
              <w:top w:val="nil"/>
              <w:bottom w:val="nil"/>
            </w:tcBorders>
            <w:vAlign w:val="center"/>
          </w:tcPr>
          <w:p w14:paraId="7573286B"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nirS</w:t>
            </w:r>
            <w:proofErr w:type="spellEnd"/>
          </w:p>
        </w:tc>
        <w:tc>
          <w:tcPr>
            <w:tcW w:w="1842" w:type="dxa"/>
            <w:tcBorders>
              <w:top w:val="nil"/>
              <w:bottom w:val="nil"/>
            </w:tcBorders>
            <w:vAlign w:val="center"/>
          </w:tcPr>
          <w:p w14:paraId="5DE27832"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1.7.2.1; 1.7.99.1</w:t>
            </w:r>
          </w:p>
        </w:tc>
        <w:tc>
          <w:tcPr>
            <w:tcW w:w="1890" w:type="dxa"/>
            <w:tcBorders>
              <w:top w:val="nil"/>
              <w:bottom w:val="nil"/>
            </w:tcBorders>
            <w:vAlign w:val="center"/>
          </w:tcPr>
          <w:p w14:paraId="542A0296"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4</w:t>
            </w:r>
          </w:p>
        </w:tc>
      </w:tr>
      <w:tr w:rsidR="00A22E51" w:rsidRPr="00F23F20" w14:paraId="2F8B6EA6" w14:textId="77777777" w:rsidTr="00E14F7B">
        <w:trPr>
          <w:trHeight w:val="269"/>
        </w:trPr>
        <w:tc>
          <w:tcPr>
            <w:tcW w:w="3600" w:type="dxa"/>
            <w:vMerge/>
            <w:tcBorders>
              <w:top w:val="nil"/>
              <w:bottom w:val="single" w:sz="4" w:space="0" w:color="auto"/>
            </w:tcBorders>
            <w:vAlign w:val="center"/>
          </w:tcPr>
          <w:p w14:paraId="4AE84F8B" w14:textId="77777777" w:rsidR="00A22E51" w:rsidRPr="00F23F20" w:rsidRDefault="00A22E51" w:rsidP="00E14F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78" w:type="dxa"/>
            <w:tcBorders>
              <w:top w:val="nil"/>
              <w:bottom w:val="nil"/>
            </w:tcBorders>
            <w:vAlign w:val="center"/>
          </w:tcPr>
          <w:p w14:paraId="4D4065E8"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norB</w:t>
            </w:r>
            <w:proofErr w:type="spellEnd"/>
          </w:p>
        </w:tc>
        <w:tc>
          <w:tcPr>
            <w:tcW w:w="1842" w:type="dxa"/>
            <w:tcBorders>
              <w:top w:val="nil"/>
              <w:bottom w:val="nil"/>
            </w:tcBorders>
            <w:vAlign w:val="center"/>
          </w:tcPr>
          <w:p w14:paraId="3A924A07"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1.7.2.5</w:t>
            </w:r>
          </w:p>
        </w:tc>
        <w:tc>
          <w:tcPr>
            <w:tcW w:w="1890" w:type="dxa"/>
            <w:tcBorders>
              <w:top w:val="nil"/>
              <w:bottom w:val="nil"/>
            </w:tcBorders>
            <w:vAlign w:val="center"/>
          </w:tcPr>
          <w:p w14:paraId="192EB2BB"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2</w:t>
            </w:r>
          </w:p>
        </w:tc>
      </w:tr>
      <w:tr w:rsidR="00A22E51" w:rsidRPr="00F23F20" w14:paraId="64B14D40" w14:textId="77777777" w:rsidTr="00E14F7B">
        <w:trPr>
          <w:trHeight w:val="269"/>
        </w:trPr>
        <w:tc>
          <w:tcPr>
            <w:tcW w:w="3600" w:type="dxa"/>
            <w:vMerge/>
            <w:tcBorders>
              <w:top w:val="nil"/>
              <w:bottom w:val="single" w:sz="18" w:space="0" w:color="auto"/>
            </w:tcBorders>
            <w:vAlign w:val="center"/>
          </w:tcPr>
          <w:p w14:paraId="1320B16C" w14:textId="77777777" w:rsidR="00A22E51" w:rsidRPr="00F23F20" w:rsidRDefault="00A22E51" w:rsidP="00E14F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578" w:type="dxa"/>
            <w:tcBorders>
              <w:top w:val="nil"/>
              <w:bottom w:val="single" w:sz="18" w:space="0" w:color="000000"/>
            </w:tcBorders>
            <w:vAlign w:val="center"/>
          </w:tcPr>
          <w:p w14:paraId="68432AEA" w14:textId="77777777" w:rsidR="00A22E51" w:rsidRPr="00F23F20" w:rsidRDefault="00A22E51" w:rsidP="00E14F7B">
            <w:pPr>
              <w:jc w:val="center"/>
              <w:rPr>
                <w:rFonts w:ascii="Times New Roman" w:eastAsia="Times New Roman" w:hAnsi="Times New Roman" w:cs="Times New Roman"/>
                <w:i/>
                <w:sz w:val="24"/>
                <w:szCs w:val="24"/>
              </w:rPr>
            </w:pPr>
            <w:proofErr w:type="spellStart"/>
            <w:r w:rsidRPr="00F23F20">
              <w:rPr>
                <w:rFonts w:ascii="Times New Roman" w:eastAsia="Times New Roman" w:hAnsi="Times New Roman" w:cs="Times New Roman"/>
                <w:i/>
                <w:sz w:val="24"/>
                <w:szCs w:val="24"/>
              </w:rPr>
              <w:t>nosZ</w:t>
            </w:r>
            <w:proofErr w:type="spellEnd"/>
          </w:p>
        </w:tc>
        <w:tc>
          <w:tcPr>
            <w:tcW w:w="1842" w:type="dxa"/>
            <w:tcBorders>
              <w:top w:val="nil"/>
              <w:bottom w:val="single" w:sz="18" w:space="0" w:color="000000"/>
            </w:tcBorders>
            <w:vAlign w:val="center"/>
          </w:tcPr>
          <w:p w14:paraId="73D23310"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1.7.2.4</w:t>
            </w:r>
          </w:p>
        </w:tc>
        <w:tc>
          <w:tcPr>
            <w:tcW w:w="1890" w:type="dxa"/>
            <w:tcBorders>
              <w:top w:val="nil"/>
              <w:bottom w:val="single" w:sz="18" w:space="0" w:color="000000"/>
            </w:tcBorders>
            <w:vAlign w:val="center"/>
          </w:tcPr>
          <w:p w14:paraId="61FDE7C5" w14:textId="77777777" w:rsidR="00A22E51" w:rsidRPr="00F23F20" w:rsidRDefault="00A22E51" w:rsidP="00E14F7B">
            <w:pPr>
              <w:jc w:val="center"/>
              <w:rPr>
                <w:rFonts w:ascii="Times New Roman" w:eastAsia="Times New Roman" w:hAnsi="Times New Roman" w:cs="Times New Roman"/>
                <w:sz w:val="24"/>
                <w:szCs w:val="24"/>
              </w:rPr>
            </w:pPr>
            <w:r w:rsidRPr="00F23F20">
              <w:rPr>
                <w:rFonts w:ascii="Times New Roman" w:eastAsia="Times New Roman" w:hAnsi="Times New Roman" w:cs="Times New Roman"/>
                <w:sz w:val="24"/>
                <w:szCs w:val="24"/>
              </w:rPr>
              <w:t>11</w:t>
            </w:r>
          </w:p>
        </w:tc>
      </w:tr>
    </w:tbl>
    <w:p w14:paraId="00ED848B" w14:textId="0B3AED63" w:rsidR="00A22E51" w:rsidRPr="00F23F20" w:rsidRDefault="00A22E51" w:rsidP="00A22E51">
      <w:pPr>
        <w:rPr>
          <w:rFonts w:ascii="Times New Roman" w:hAnsi="Times New Roman" w:cs="Times New Roman"/>
        </w:rPr>
      </w:pPr>
      <w:r w:rsidRPr="00F23F20">
        <w:rPr>
          <w:rFonts w:ascii="Times New Roman" w:hAnsi="Times New Roman" w:cs="Times New Roman"/>
        </w:rPr>
        <w:br w:type="page"/>
      </w:r>
    </w:p>
    <w:p w14:paraId="2EBA3540" w14:textId="77777777" w:rsidR="00365526" w:rsidRPr="00F23F20" w:rsidRDefault="00365526" w:rsidP="00365526">
      <w:pPr>
        <w:pStyle w:val="Heading3"/>
      </w:pPr>
      <w:bookmarkStart w:id="249" w:name="_Toc41908126"/>
      <w:r w:rsidRPr="00F23F20">
        <w:rPr>
          <w:b w:val="0"/>
          <w:noProof/>
        </w:rPr>
        <w:lastRenderedPageBreak/>
        <w:drawing>
          <wp:anchor distT="0" distB="0" distL="114300" distR="114300" simplePos="0" relativeHeight="251680768" behindDoc="0" locked="0" layoutInCell="1" allowOverlap="0" wp14:anchorId="2FFB219A" wp14:editId="245FF884">
            <wp:simplePos x="0" y="0"/>
            <wp:positionH relativeFrom="margin">
              <wp:align>center</wp:align>
            </wp:positionH>
            <wp:positionV relativeFrom="margin">
              <wp:posOffset>182880</wp:posOffset>
            </wp:positionV>
            <wp:extent cx="4041648" cy="5477256"/>
            <wp:effectExtent l="0" t="0" r="0" b="0"/>
            <wp:wrapTopAndBottom/>
            <wp:docPr id="2" name="image4.png"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descr="A close up of a logo&#10;&#10;Description automatically generated"/>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a:xfrm>
                      <a:off x="0" y="0"/>
                      <a:ext cx="4041648" cy="5477256"/>
                    </a:xfrm>
                    <a:prstGeom prst="rect">
                      <a:avLst/>
                    </a:prstGeom>
                    <a:ln/>
                  </pic:spPr>
                </pic:pic>
              </a:graphicData>
            </a:graphic>
            <wp14:sizeRelH relativeFrom="margin">
              <wp14:pctWidth>0</wp14:pctWidth>
            </wp14:sizeRelH>
            <wp14:sizeRelV relativeFrom="margin">
              <wp14:pctHeight>0</wp14:pctHeight>
            </wp14:sizeRelV>
          </wp:anchor>
        </w:drawing>
      </w:r>
      <w:r w:rsidRPr="00F23F20">
        <w:t>Figures</w:t>
      </w:r>
      <w:bookmarkEnd w:id="249"/>
    </w:p>
    <w:p w14:paraId="7946C590" w14:textId="77777777" w:rsidR="00365526" w:rsidRPr="00F23F20" w:rsidRDefault="00365526" w:rsidP="00365526">
      <w:pPr>
        <w:spacing w:before="240" w:line="480" w:lineRule="auto"/>
        <w:rPr>
          <w:rFonts w:ascii="Times New Roman" w:hAnsi="Times New Roman" w:cs="Times New Roman"/>
        </w:rPr>
      </w:pPr>
      <w:r w:rsidRPr="00F23F20">
        <w:rPr>
          <w:rFonts w:ascii="Times New Roman" w:hAnsi="Times New Roman" w:cs="Times New Roman"/>
          <w:b/>
        </w:rPr>
        <w:t xml:space="preserve">Figure 3.1. </w:t>
      </w:r>
      <w:r w:rsidRPr="00F23F20">
        <w:rPr>
          <w:rFonts w:ascii="Times New Roman" w:hAnsi="Times New Roman" w:cs="Times New Roman"/>
        </w:rPr>
        <w:t>The interplay between environmental parameters and microbial community composition requires an understanding of both community taxa abundances as well as trait levels for respective taxa (A). Community taxa abundance and relative trait level are scalable and provide a measure for the contribution that different taxa have to the total community level trait (B).</w:t>
      </w:r>
      <w:r w:rsidRPr="00F23F20">
        <w:rPr>
          <w:rFonts w:ascii="Times New Roman" w:hAnsi="Times New Roman" w:cs="Times New Roman"/>
        </w:rPr>
        <w:br w:type="page"/>
      </w:r>
    </w:p>
    <w:p w14:paraId="0903A939" w14:textId="0D042194" w:rsidR="00365526" w:rsidRPr="00F23F20" w:rsidRDefault="00365526" w:rsidP="00A33A8A">
      <w:pPr>
        <w:spacing w:line="480" w:lineRule="auto"/>
        <w:rPr>
          <w:rFonts w:ascii="Times New Roman" w:hAnsi="Times New Roman" w:cs="Times New Roman"/>
        </w:rPr>
      </w:pPr>
      <w:r w:rsidRPr="00F23F20">
        <w:rPr>
          <w:rFonts w:ascii="Times New Roman" w:hAnsi="Times New Roman" w:cs="Times New Roman"/>
          <w:noProof/>
        </w:rPr>
        <w:lastRenderedPageBreak/>
        <w:drawing>
          <wp:anchor distT="0" distB="0" distL="114300" distR="114300" simplePos="0" relativeHeight="251693056" behindDoc="0" locked="0" layoutInCell="1" allowOverlap="0" wp14:anchorId="7D2F86DD" wp14:editId="6CAA895F">
            <wp:simplePos x="0" y="0"/>
            <wp:positionH relativeFrom="page">
              <wp:align>center</wp:align>
            </wp:positionH>
            <wp:positionV relativeFrom="margin">
              <wp:align>top</wp:align>
            </wp:positionV>
            <wp:extent cx="5486400" cy="2002536"/>
            <wp:effectExtent l="0" t="0" r="0" b="0"/>
            <wp:wrapTopAndBottom/>
            <wp:docPr id="3" name="image1.png" descr="A close up of a scree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 up of a screen&#10;&#10;Description automatically generated"/>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a:xfrm>
                      <a:off x="0" y="0"/>
                      <a:ext cx="5486400" cy="2002536"/>
                    </a:xfrm>
                    <a:prstGeom prst="rect">
                      <a:avLst/>
                    </a:prstGeom>
                    <a:ln/>
                  </pic:spPr>
                </pic:pic>
              </a:graphicData>
            </a:graphic>
            <wp14:sizeRelV relativeFrom="margin">
              <wp14:pctHeight>0</wp14:pctHeight>
            </wp14:sizeRelV>
          </wp:anchor>
        </w:drawing>
      </w:r>
      <w:r w:rsidRPr="00F23F20">
        <w:rPr>
          <w:rFonts w:ascii="Times New Roman" w:hAnsi="Times New Roman" w:cs="Times New Roman"/>
          <w:b/>
        </w:rPr>
        <w:t xml:space="preserve">Figure 3.2. </w:t>
      </w:r>
      <w:r w:rsidRPr="00F23F20">
        <w:rPr>
          <w:rFonts w:ascii="Times New Roman" w:hAnsi="Times New Roman" w:cs="Times New Roman"/>
        </w:rPr>
        <w:t xml:space="preserve">The sensitivity in functional redundancy in response changing </w:t>
      </w:r>
      <w:r w:rsidRPr="00F23F20">
        <w:rPr>
          <w:rFonts w:ascii="Times New Roman" w:hAnsi="Times New Roman" w:cs="Times New Roman"/>
          <w:i/>
        </w:rPr>
        <w:t>α</w:t>
      </w:r>
      <w:r w:rsidRPr="00F23F20">
        <w:rPr>
          <w:rFonts w:ascii="Times New Roman" w:hAnsi="Times New Roman" w:cs="Times New Roman"/>
        </w:rPr>
        <w:t xml:space="preserve"> in equation 3.5 (</w:t>
      </w:r>
      <w:r w:rsidRPr="00F23F20">
        <w:rPr>
          <w:rFonts w:ascii="Times New Roman" w:hAnsi="Times New Roman" w:cs="Times New Roman"/>
          <w:bCs/>
        </w:rPr>
        <w:t>A</w:t>
      </w:r>
      <w:r w:rsidRPr="00F23F20">
        <w:rPr>
          <w:rFonts w:ascii="Times New Roman" w:hAnsi="Times New Roman" w:cs="Times New Roman"/>
        </w:rPr>
        <w:t>). Contours correspond to increasing community richness (</w:t>
      </w:r>
      <w:r w:rsidRPr="00F23F20">
        <w:rPr>
          <w:rFonts w:ascii="Times New Roman" w:hAnsi="Times New Roman" w:cs="Times New Roman"/>
          <w:i/>
        </w:rPr>
        <w:t>n</w:t>
      </w:r>
      <w:r w:rsidRPr="00F23F20">
        <w:rPr>
          <w:rFonts w:ascii="Times New Roman" w:hAnsi="Times New Roman" w:cs="Times New Roman"/>
        </w:rPr>
        <w:t>) while maintaining the structure of the trait-containing community. Comparisons between contours from (</w:t>
      </w:r>
      <w:r w:rsidRPr="00F23F20">
        <w:rPr>
          <w:rFonts w:ascii="Times New Roman" w:hAnsi="Times New Roman" w:cs="Times New Roman"/>
          <w:bCs/>
        </w:rPr>
        <w:t>A</w:t>
      </w:r>
      <w:r w:rsidRPr="00F23F20">
        <w:rPr>
          <w:rFonts w:ascii="Times New Roman" w:hAnsi="Times New Roman" w:cs="Times New Roman"/>
        </w:rPr>
        <w:t xml:space="preserve">) when </w:t>
      </w:r>
      <w:r w:rsidRPr="00F23F20">
        <w:rPr>
          <w:rFonts w:ascii="Times New Roman" w:hAnsi="Times New Roman" w:cs="Times New Roman"/>
          <w:i/>
        </w:rPr>
        <w:t>α</w:t>
      </w:r>
      <w:r w:rsidRPr="00F23F20">
        <w:rPr>
          <w:rFonts w:ascii="Times New Roman" w:hAnsi="Times New Roman" w:cs="Times New Roman"/>
        </w:rPr>
        <w:t xml:space="preserve">=0.5 and </w:t>
      </w:r>
      <w:r w:rsidRPr="00F23F20">
        <w:rPr>
          <w:rFonts w:ascii="Times New Roman" w:hAnsi="Times New Roman" w:cs="Times New Roman"/>
          <w:i/>
        </w:rPr>
        <w:t>α</w:t>
      </w:r>
      <w:r w:rsidRPr="00F23F20">
        <w:rPr>
          <w:rFonts w:ascii="Times New Roman" w:hAnsi="Times New Roman" w:cs="Times New Roman"/>
        </w:rPr>
        <w:t>=2 (</w:t>
      </w:r>
      <w:r w:rsidRPr="00F23F20">
        <w:rPr>
          <w:rFonts w:ascii="Times New Roman" w:hAnsi="Times New Roman" w:cs="Times New Roman"/>
          <w:bCs/>
        </w:rPr>
        <w:t>B</w:t>
      </w:r>
      <w:r w:rsidRPr="00F23F20">
        <w:rPr>
          <w:rFonts w:ascii="Times New Roman" w:hAnsi="Times New Roman" w:cs="Times New Roman"/>
        </w:rPr>
        <w:t xml:space="preserve">) as well as when </w:t>
      </w:r>
      <w:r w:rsidRPr="00F23F20">
        <w:rPr>
          <w:rFonts w:ascii="Times New Roman" w:hAnsi="Times New Roman" w:cs="Times New Roman"/>
          <w:i/>
        </w:rPr>
        <w:t>α</w:t>
      </w:r>
      <w:r w:rsidRPr="00F23F20">
        <w:rPr>
          <w:rFonts w:ascii="Times New Roman" w:hAnsi="Times New Roman" w:cs="Times New Roman"/>
        </w:rPr>
        <w:t xml:space="preserve">=0.5 and </w:t>
      </w:r>
      <w:r w:rsidRPr="00F23F20">
        <w:rPr>
          <w:rFonts w:ascii="Times New Roman" w:hAnsi="Times New Roman" w:cs="Times New Roman"/>
          <w:i/>
        </w:rPr>
        <w:t>α</w:t>
      </w:r>
      <w:r w:rsidRPr="00F23F20">
        <w:rPr>
          <w:rFonts w:ascii="Times New Roman" w:hAnsi="Times New Roman" w:cs="Times New Roman"/>
        </w:rPr>
        <w:t>=1 (</w:t>
      </w:r>
      <w:r w:rsidRPr="00F23F20">
        <w:rPr>
          <w:rFonts w:ascii="Times New Roman" w:hAnsi="Times New Roman" w:cs="Times New Roman"/>
          <w:bCs/>
        </w:rPr>
        <w:t>C</w:t>
      </w:r>
      <w:r w:rsidRPr="00F23F20">
        <w:rPr>
          <w:rFonts w:ascii="Times New Roman" w:hAnsi="Times New Roman" w:cs="Times New Roman"/>
        </w:rPr>
        <w:t>).</w:t>
      </w:r>
    </w:p>
    <w:p w14:paraId="6C7FB730" w14:textId="77777777" w:rsidR="00365526" w:rsidRPr="00F23F20" w:rsidRDefault="00365526" w:rsidP="00365526">
      <w:pPr>
        <w:rPr>
          <w:rFonts w:ascii="Times New Roman" w:hAnsi="Times New Roman" w:cs="Times New Roman"/>
        </w:rPr>
      </w:pPr>
      <w:r w:rsidRPr="00F23F20">
        <w:rPr>
          <w:rFonts w:ascii="Times New Roman" w:hAnsi="Times New Roman" w:cs="Times New Roman"/>
        </w:rPr>
        <w:br w:type="page"/>
      </w:r>
    </w:p>
    <w:p w14:paraId="7AA39136" w14:textId="77777777"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noProof/>
        </w:rPr>
        <w:lastRenderedPageBreak/>
        <w:drawing>
          <wp:anchor distT="0" distB="0" distL="114300" distR="114300" simplePos="0" relativeHeight="251681792" behindDoc="0" locked="0" layoutInCell="1" allowOverlap="0" wp14:anchorId="2C1CF9F9" wp14:editId="6AE38A8F">
            <wp:simplePos x="0" y="0"/>
            <wp:positionH relativeFrom="page">
              <wp:align>center</wp:align>
            </wp:positionH>
            <wp:positionV relativeFrom="margin">
              <wp:align>top</wp:align>
            </wp:positionV>
            <wp:extent cx="3685032" cy="2734056"/>
            <wp:effectExtent l="0" t="0" r="0" b="9525"/>
            <wp:wrapTopAndBottom/>
            <wp:docPr id="4" name="Picture 4" descr="A close 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3 (1).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685032" cy="2734056"/>
                    </a:xfrm>
                    <a:prstGeom prst="rect">
                      <a:avLst/>
                    </a:prstGeom>
                  </pic:spPr>
                </pic:pic>
              </a:graphicData>
            </a:graphic>
            <wp14:sizeRelH relativeFrom="margin">
              <wp14:pctWidth>0</wp14:pctWidth>
            </wp14:sizeRelH>
            <wp14:sizeRelV relativeFrom="margin">
              <wp14:pctHeight>0</wp14:pctHeight>
            </wp14:sizeRelV>
          </wp:anchor>
        </w:drawing>
      </w:r>
      <w:r w:rsidRPr="00F23F20">
        <w:rPr>
          <w:rFonts w:ascii="Times New Roman" w:hAnsi="Times New Roman" w:cs="Times New Roman"/>
          <w:b/>
        </w:rPr>
        <w:t xml:space="preserve">Figure 3.3. </w:t>
      </w:r>
      <w:r w:rsidRPr="00F23F20">
        <w:rPr>
          <w:rFonts w:ascii="Times New Roman" w:hAnsi="Times New Roman" w:cs="Times New Roman"/>
        </w:rPr>
        <w:t xml:space="preserve">The dynamic range in functional redundancy for randomly generated artificial communities as a function of </w:t>
      </w:r>
      <w:r w:rsidRPr="00F23F20">
        <w:rPr>
          <w:rFonts w:ascii="Times New Roman" w:hAnsi="Times New Roman" w:cs="Times New Roman"/>
          <w:i/>
        </w:rPr>
        <w:t>α</w:t>
      </w:r>
      <w:r w:rsidRPr="00F23F20">
        <w:rPr>
          <w:rFonts w:ascii="Times New Roman" w:hAnsi="Times New Roman" w:cs="Times New Roman"/>
        </w:rPr>
        <w:t xml:space="preserve"> selected for equation 3.5. Contours correspond to the fraction of the community containing a trait. Note that at </w:t>
      </w:r>
      <w:r w:rsidRPr="00F23F20">
        <w:rPr>
          <w:rFonts w:ascii="Times New Roman" w:hAnsi="Times New Roman" w:cs="Times New Roman"/>
          <w:i/>
        </w:rPr>
        <w:t>α</w:t>
      </w:r>
      <w:r w:rsidRPr="00F23F20">
        <w:rPr>
          <w:rFonts w:ascii="Times New Roman" w:hAnsi="Times New Roman" w:cs="Times New Roman"/>
        </w:rPr>
        <w:t xml:space="preserve"> = 1 and the fraction of community was 20%, the dynamic range was smoothed due to precision error from the log-transformation in equation 3.5 when calculating function redundancy. All other data reflect results from artificial communities.</w:t>
      </w:r>
    </w:p>
    <w:p w14:paraId="7006D0A8" w14:textId="77777777"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rPr>
        <w:br w:type="page"/>
      </w:r>
    </w:p>
    <w:p w14:paraId="4C9A5A6D" w14:textId="30A6EF1E"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noProof/>
        </w:rPr>
        <w:lastRenderedPageBreak/>
        <w:drawing>
          <wp:anchor distT="0" distB="0" distL="114300" distR="114300" simplePos="0" relativeHeight="251682816" behindDoc="0" locked="0" layoutInCell="1" allowOverlap="0" wp14:anchorId="37289193" wp14:editId="6F7DFBDA">
            <wp:simplePos x="0" y="0"/>
            <wp:positionH relativeFrom="page">
              <wp:align>center</wp:align>
            </wp:positionH>
            <wp:positionV relativeFrom="margin">
              <wp:align>top</wp:align>
            </wp:positionV>
            <wp:extent cx="4425696" cy="2752344"/>
            <wp:effectExtent l="0" t="0" r="0" b="0"/>
            <wp:wrapTopAndBottom/>
            <wp:docPr id="5" name="image5.png" descr="A picture containing light, sitting, green, dar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picture containing light, sitting, green, dark&#10;&#10;Description automatically generated"/>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a:xfrm>
                      <a:off x="0" y="0"/>
                      <a:ext cx="4425696" cy="2752344"/>
                    </a:xfrm>
                    <a:prstGeom prst="rect">
                      <a:avLst/>
                    </a:prstGeom>
                    <a:ln/>
                  </pic:spPr>
                </pic:pic>
              </a:graphicData>
            </a:graphic>
            <wp14:sizeRelH relativeFrom="margin">
              <wp14:pctWidth>0</wp14:pctWidth>
            </wp14:sizeRelH>
            <wp14:sizeRelV relativeFrom="margin">
              <wp14:pctHeight>0</wp14:pctHeight>
            </wp14:sizeRelV>
          </wp:anchor>
        </w:drawing>
      </w:r>
      <w:r w:rsidRPr="00F23F20">
        <w:rPr>
          <w:rFonts w:ascii="Times New Roman" w:hAnsi="Times New Roman" w:cs="Times New Roman"/>
          <w:b/>
        </w:rPr>
        <w:t xml:space="preserve">Figure 3.4. </w:t>
      </w:r>
      <w:r w:rsidRPr="00F23F20">
        <w:rPr>
          <w:rFonts w:ascii="Times New Roman" w:hAnsi="Times New Roman" w:cs="Times New Roman"/>
        </w:rPr>
        <w:t>A comparison of functional redundancy versus the fraction of community richness that goes randomly extinct prior to a 95% of trait level being lost on the community level. Functional redundancy was calculated with equations 3.1-3.7 (α=0.5) (</w:t>
      </w:r>
      <w:r w:rsidRPr="00F23F20">
        <w:rPr>
          <w:rFonts w:ascii="Times New Roman" w:hAnsi="Times New Roman" w:cs="Times New Roman"/>
          <w:bCs/>
        </w:rPr>
        <w:t>A</w:t>
      </w:r>
      <w:r w:rsidRPr="00F23F20">
        <w:rPr>
          <w:rFonts w:ascii="Times New Roman" w:hAnsi="Times New Roman" w:cs="Times New Roman"/>
        </w:rPr>
        <w:t xml:space="preserve">) as well as using the method in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{"citationItems":[{"id":"ITEM-1","itemData":{"DOI":"10.1111/2041-210X.12604","ISSN":"2041210X","abstract":"The preservation of ecosystem processes under ongoing biotic erosion requires that some species within affected communities perform similar functions, a property that is usually defined as functional redundancy. Although functional redundancy has recently become a relevant part of ecological research, so far there is no agreement on its measurement. The scope of this work is thus to propose a consistent framework based on functional dissimilarities among species for summarizing different facets of functional redundancy. The behaviour of the proposed measures is illustrated with one small artificial data set, together with actual examples on the species functional turnover along successional gradients. We believe this new framework provides an important contribution for the clarification and quantification of key metrics of community redundancy and vulnerability. The method, for which we provide a simple r function called ‘uniqueness’, further allows summarizing the functional contribution of single species to the overall redundancy of any type of biological community.","author":[{"dropping-particle":"","family":"Ricotta","given":"Carlo","non-dropping-particle":"","parse-names":false,"suffix":""},{"dropping-particle":"","family":"Bello","given":"Francesco","non-dropping-particle":"de","parse-names":false,"suffix":""},{"dropping-particle":"","family":"Moretti","given":"Marco","non-dropping-particle":"","parse-names":false,"suffix":""},{"dropping-particle":"","family":"Caccianiga","given":"Marco","non-dropping-particle":"","parse-names":false,"suffix":""},{"dropping-particle":"","family":"Cerabolini","given":"Bruno E.L.","non-dropping-particle":"","parse-names":false,"suffix":""},{"dropping-particle":"","family":"Pavoine","given":"Sandrine","non-dropping-particle":"","parse-names":false,"suffix":""}],"container-title":"Methods in Ecology and Evolution","id":"ITEM-1","issue":"11","issued":{"date-parts":[["2016"]]},"page":"1386-1395","title":"Measuring the functional redundancy of biological communities: a quantitative guide","type":"article-journal","volume":"7"},"uris":["http://www.mendeley.com/documents/?uuid=a4a1a205-a550-4685-bdb4-245917332160"]}],"mendeley":{"formattedCitation":"(91)","plainTextFormattedCitation":"(91)","previouslyFormattedCitation":"(90)"},"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(91)</w:t>
      </w:r>
      <w:r w:rsidRPr="00F23F20">
        <w:rPr>
          <w:rFonts w:ascii="Times New Roman" w:hAnsi="Times New Roman" w:cs="Times New Roman"/>
        </w:rPr>
        <w:fldChar w:fldCharType="end"/>
      </w:r>
      <w:r w:rsidRPr="00F23F20">
        <w:rPr>
          <w:rFonts w:ascii="Times New Roman" w:hAnsi="Times New Roman" w:cs="Times New Roman"/>
        </w:rPr>
        <w:t xml:space="preserve"> (</w:t>
      </w:r>
      <w:r w:rsidRPr="00F23F20">
        <w:rPr>
          <w:rFonts w:ascii="Times New Roman" w:hAnsi="Times New Roman" w:cs="Times New Roman"/>
          <w:bCs/>
        </w:rPr>
        <w:t>B</w:t>
      </w:r>
      <w:r w:rsidRPr="00F23F20">
        <w:rPr>
          <w:rFonts w:ascii="Times New Roman" w:hAnsi="Times New Roman" w:cs="Times New Roman"/>
        </w:rPr>
        <w:t>).</w:t>
      </w:r>
    </w:p>
    <w:p w14:paraId="588BED80" w14:textId="77777777" w:rsidR="00365526" w:rsidRPr="00F23F20" w:rsidRDefault="00365526" w:rsidP="00365526">
      <w:pPr>
        <w:rPr>
          <w:rFonts w:ascii="Times New Roman" w:hAnsi="Times New Roman" w:cs="Times New Roman"/>
        </w:rPr>
      </w:pPr>
      <w:r w:rsidRPr="00F23F20">
        <w:rPr>
          <w:rFonts w:ascii="Times New Roman" w:hAnsi="Times New Roman" w:cs="Times New Roman"/>
        </w:rPr>
        <w:br w:type="page"/>
      </w:r>
    </w:p>
    <w:p w14:paraId="5DF0D635" w14:textId="77777777"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noProof/>
        </w:rPr>
        <w:lastRenderedPageBreak/>
        <w:drawing>
          <wp:anchor distT="0" distB="0" distL="114300" distR="114300" simplePos="0" relativeHeight="251683840" behindDoc="0" locked="0" layoutInCell="1" allowOverlap="0" wp14:anchorId="12A1CE22" wp14:editId="0EF01F30">
            <wp:simplePos x="0" y="0"/>
            <wp:positionH relativeFrom="page">
              <wp:align>center</wp:align>
            </wp:positionH>
            <wp:positionV relativeFrom="margin">
              <wp:align>top</wp:align>
            </wp:positionV>
            <wp:extent cx="5486400" cy="2368296"/>
            <wp:effectExtent l="0" t="0" r="0" b="0"/>
            <wp:wrapTopAndBottom/>
            <wp:docPr id="7" name="Picture 7" descr="A picture containing light, monitor, sitting, l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S1.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86400" cy="2368296"/>
                    </a:xfrm>
                    <a:prstGeom prst="rect">
                      <a:avLst/>
                    </a:prstGeom>
                  </pic:spPr>
                </pic:pic>
              </a:graphicData>
            </a:graphic>
            <wp14:sizeRelH relativeFrom="margin">
              <wp14:pctWidth>0</wp14:pctWidth>
            </wp14:sizeRelH>
            <wp14:sizeRelV relativeFrom="margin">
              <wp14:pctHeight>0</wp14:pctHeight>
            </wp14:sizeRelV>
          </wp:anchor>
        </w:drawing>
      </w:r>
      <w:r w:rsidRPr="00F23F20">
        <w:rPr>
          <w:rFonts w:ascii="Times New Roman" w:hAnsi="Times New Roman" w:cs="Times New Roman"/>
          <w:b/>
          <w:bCs/>
        </w:rPr>
        <w:t xml:space="preserve">Figure 3.5. </w:t>
      </w:r>
      <w:r w:rsidRPr="00F23F20">
        <w:rPr>
          <w:rFonts w:ascii="Times New Roman" w:hAnsi="Times New Roman" w:cs="Times New Roman"/>
        </w:rPr>
        <w:t>Same as Figure 3.4A but functional redundancy was calculated with equations 3.1-3.7 such that α=0.1 (A), α=1 (B), and α=2 (C).</w:t>
      </w:r>
    </w:p>
    <w:p w14:paraId="7B56936E" w14:textId="77777777" w:rsidR="00365526" w:rsidRPr="00F23F20" w:rsidRDefault="00365526" w:rsidP="00365526">
      <w:pPr>
        <w:rPr>
          <w:rFonts w:ascii="Times New Roman" w:hAnsi="Times New Roman" w:cs="Times New Roman"/>
        </w:rPr>
      </w:pPr>
    </w:p>
    <w:p w14:paraId="4362DD8B" w14:textId="77777777" w:rsidR="00365526" w:rsidRDefault="00365526" w:rsidP="00365526">
      <w:pPr>
        <w:spacing w:before="240" w:line="480" w:lineRule="auto"/>
        <w:rPr>
          <w:rFonts w:ascii="Times New Roman" w:hAnsi="Times New Roman" w:cs="Times New Roman"/>
          <w:b/>
        </w:rPr>
      </w:pPr>
    </w:p>
    <w:p w14:paraId="42D9FDA1" w14:textId="77777777" w:rsidR="00365526" w:rsidRDefault="00365526" w:rsidP="00365526">
      <w:pPr>
        <w:rPr>
          <w:rFonts w:ascii="Times New Roman" w:hAnsi="Times New Roman" w:cs="Times New Roman"/>
          <w:b/>
        </w:rPr>
      </w:pPr>
      <w:r>
        <w:rPr>
          <w:rFonts w:ascii="Times New Roman" w:hAnsi="Times New Roman" w:cs="Times New Roman"/>
          <w:b/>
        </w:rPr>
        <w:br w:type="page"/>
      </w:r>
    </w:p>
    <w:p w14:paraId="3FE3E50D" w14:textId="5CF250FB" w:rsidR="007A342F" w:rsidRDefault="00365526" w:rsidP="00365526">
      <w:pPr>
        <w:spacing w:before="240" w:line="480" w:lineRule="auto"/>
        <w:rPr>
          <w:rFonts w:ascii="Times New Roman" w:hAnsi="Times New Roman" w:cs="Times New Roman"/>
        </w:rPr>
      </w:pPr>
      <w:r w:rsidRPr="00F23F20">
        <w:rPr>
          <w:rFonts w:ascii="Times New Roman" w:hAnsi="Times New Roman" w:cs="Times New Roman"/>
          <w:noProof/>
        </w:rPr>
        <w:lastRenderedPageBreak/>
        <w:drawing>
          <wp:anchor distT="0" distB="0" distL="114300" distR="114300" simplePos="0" relativeHeight="251684864" behindDoc="0" locked="0" layoutInCell="1" allowOverlap="0" wp14:anchorId="5DFFC703" wp14:editId="08792480">
            <wp:simplePos x="0" y="0"/>
            <wp:positionH relativeFrom="page">
              <wp:align>center</wp:align>
            </wp:positionH>
            <wp:positionV relativeFrom="margin">
              <wp:align>top</wp:align>
            </wp:positionV>
            <wp:extent cx="3813048" cy="5084064"/>
            <wp:effectExtent l="0" t="0" r="0" b="2540"/>
            <wp:wrapTopAndBottom/>
            <wp:docPr id="6" name="image2.png" descr="A picture containing light, sitting, black, gree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light, sitting, black, green&#10;&#10;Description automatically generated"/>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a:xfrm>
                      <a:off x="0" y="0"/>
                      <a:ext cx="3813048" cy="5084064"/>
                    </a:xfrm>
                    <a:prstGeom prst="rect">
                      <a:avLst/>
                    </a:prstGeom>
                    <a:ln/>
                  </pic:spPr>
                </pic:pic>
              </a:graphicData>
            </a:graphic>
            <wp14:sizeRelH relativeFrom="margin">
              <wp14:pctWidth>0</wp14:pctWidth>
            </wp14:sizeRelH>
            <wp14:sizeRelV relativeFrom="margin">
              <wp14:pctHeight>0</wp14:pctHeight>
            </wp14:sizeRelV>
          </wp:anchor>
        </w:drawing>
      </w:r>
      <w:r w:rsidRPr="00F23F20">
        <w:rPr>
          <w:rFonts w:ascii="Times New Roman" w:hAnsi="Times New Roman" w:cs="Times New Roman"/>
          <w:b/>
        </w:rPr>
        <w:t xml:space="preserve">Figure 3.6. </w:t>
      </w:r>
      <w:r w:rsidRPr="00F23F20">
        <w:rPr>
          <w:rFonts w:ascii="Times New Roman" w:hAnsi="Times New Roman" w:cs="Times New Roman"/>
        </w:rPr>
        <w:t xml:space="preserve">Boxplots showing functional redundancy calculated for eight nitrogen-transforming pathways in </w:t>
      </w:r>
      <w:r w:rsidRPr="00F23F20">
        <w:rPr>
          <w:rFonts w:ascii="Times New Roman" w:hAnsi="Times New Roman" w:cs="Times New Roman"/>
          <w:i/>
        </w:rPr>
        <w:t>TARA Oceans</w:t>
      </w:r>
      <w:r w:rsidRPr="00F23F20">
        <w:rPr>
          <w:rFonts w:ascii="Times New Roman" w:hAnsi="Times New Roman" w:cs="Times New Roman"/>
        </w:rPr>
        <w:t xml:space="preserve"> draft MAGs. Different colors correspond to sample depth. Whiskers correspond to 150% of the inter-quantile region. </w:t>
      </w:r>
    </w:p>
    <w:p w14:paraId="57199376" w14:textId="77777777" w:rsidR="007A342F" w:rsidRDefault="007A342F">
      <w:pPr>
        <w:rPr>
          <w:rFonts w:ascii="Times New Roman" w:hAnsi="Times New Roman" w:cs="Times New Roman"/>
        </w:rPr>
      </w:pPr>
      <w:r>
        <w:rPr>
          <w:rFonts w:ascii="Times New Roman" w:hAnsi="Times New Roman" w:cs="Times New Roman"/>
        </w:rPr>
        <w:br w:type="page"/>
      </w:r>
    </w:p>
    <w:p w14:paraId="5126EA2B" w14:textId="77777777" w:rsidR="00365526" w:rsidRPr="00F23F20" w:rsidRDefault="00365526" w:rsidP="00365526">
      <w:pPr>
        <w:spacing w:before="240" w:line="480" w:lineRule="auto"/>
        <w:rPr>
          <w:rFonts w:ascii="Times New Roman" w:hAnsi="Times New Roman" w:cs="Times New Roman"/>
        </w:rPr>
      </w:pPr>
    </w:p>
    <w:p w14:paraId="24D6FC37"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6696914F" w14:textId="77777777" w:rsidR="00365526" w:rsidRPr="00F23F20" w:rsidRDefault="00365526" w:rsidP="00365526">
      <w:pPr>
        <w:rPr>
          <w:rFonts w:ascii="Times New Roman" w:hAnsi="Times New Roman" w:cs="Times New Roman"/>
          <w:b/>
        </w:rPr>
      </w:pPr>
      <w:bookmarkStart w:id="250" w:name="_Toc420995909"/>
      <w:bookmarkStart w:id="251" w:name="_Toc422997496"/>
      <w:bookmarkStart w:id="252" w:name="_Toc427156479"/>
      <w:r w:rsidRPr="00F23F20">
        <w:rPr>
          <w:rFonts w:ascii="Times New Roman" w:hAnsi="Times New Roman" w:cs="Times New Roman"/>
          <w:b/>
        </w:rPr>
        <w:br w:type="page"/>
      </w:r>
    </w:p>
    <w:p w14:paraId="466260A7" w14:textId="77777777" w:rsidR="00365526" w:rsidRPr="0045079E" w:rsidRDefault="00365526" w:rsidP="00365526">
      <w:pPr>
        <w:pStyle w:val="Heading1"/>
      </w:pPr>
      <w:bookmarkStart w:id="253" w:name="_Toc420995890"/>
      <w:bookmarkStart w:id="254" w:name="_Toc422997477"/>
      <w:r w:rsidRPr="00F23F20">
        <w:lastRenderedPageBreak/>
        <w:br/>
      </w:r>
      <w:bookmarkStart w:id="255" w:name="_Toc41908127"/>
      <w:bookmarkEnd w:id="253"/>
      <w:bookmarkEnd w:id="254"/>
      <w:r w:rsidRPr="005C060D">
        <w:t>Linking</w:t>
      </w:r>
      <w:r>
        <w:t xml:space="preserve"> Organic Geochemistry in White Oak River Estuary, Station H Sediments to Microbial Metabolisms: Revisiting the </w:t>
      </w:r>
      <w:r w:rsidRPr="00F23F20">
        <w:t xml:space="preserve">Sulfur </w:t>
      </w:r>
      <w:r>
        <w:t xml:space="preserve">And Carbon </w:t>
      </w:r>
      <w:r w:rsidRPr="00F23F20">
        <w:t>Budget</w:t>
      </w:r>
      <w:r>
        <w:t>s</w:t>
      </w:r>
      <w:bookmarkEnd w:id="255"/>
    </w:p>
    <w:p w14:paraId="4722B5A4" w14:textId="77777777" w:rsidR="00365526" w:rsidRDefault="00365526" w:rsidP="00365526">
      <w:pPr>
        <w:rPr>
          <w:rFonts w:ascii="Times New Roman" w:hAnsi="Times New Roman" w:cs="Times New Roman"/>
          <w:b/>
          <w:bCs/>
          <w:iCs/>
          <w:sz w:val="28"/>
          <w:szCs w:val="28"/>
        </w:rPr>
      </w:pPr>
      <w:r>
        <w:br w:type="page"/>
      </w:r>
    </w:p>
    <w:p w14:paraId="199F3FA7" w14:textId="77777777" w:rsidR="00365526" w:rsidRDefault="00365526" w:rsidP="00365526">
      <w:pPr>
        <w:pStyle w:val="Heading2"/>
      </w:pPr>
      <w:bookmarkStart w:id="256" w:name="_Toc41908128"/>
      <w:r>
        <w:lastRenderedPageBreak/>
        <w:t>Abstract</w:t>
      </w:r>
      <w:bookmarkEnd w:id="256"/>
    </w:p>
    <w:p w14:paraId="6FC502FC" w14:textId="0A74B97A" w:rsidR="005D1525" w:rsidRPr="00987F22" w:rsidRDefault="005D1525" w:rsidP="005D1525">
      <w:pPr>
        <w:spacing w:line="480" w:lineRule="auto"/>
        <w:ind w:firstLine="720"/>
        <w:rPr>
          <w:rFonts w:ascii="Times New Roman" w:hAnsi="Times New Roman" w:cs="Times New Roman"/>
        </w:rPr>
      </w:pPr>
      <w:r>
        <w:rPr>
          <w:rFonts w:ascii="Times New Roman" w:hAnsi="Times New Roman" w:cs="Times New Roman"/>
        </w:rPr>
        <w:t>White Oak River, NC, United States estuary sediments experience high sedimentation rates, with a high organic carbon fraction, and harbor diverse microbial metabolisms. Here,</w:t>
      </w:r>
      <w:r w:rsidR="00CF0FEA">
        <w:rPr>
          <w:rFonts w:ascii="Times New Roman" w:hAnsi="Times New Roman" w:cs="Times New Roman"/>
        </w:rPr>
        <w:t xml:space="preserve"> I </w:t>
      </w:r>
      <w:r>
        <w:rPr>
          <w:rFonts w:ascii="Times New Roman" w:hAnsi="Times New Roman" w:cs="Times New Roman"/>
        </w:rPr>
        <w:t>report measurements of organic geochemistry, related the organic geochemistry to the microbial metabolic transformations, and recalculated budgets for TOC, DIC, CH</w:t>
      </w:r>
      <w:r>
        <w:rPr>
          <w:rFonts w:ascii="Times New Roman" w:hAnsi="Times New Roman" w:cs="Times New Roman"/>
          <w:vertAlign w:val="subscript"/>
        </w:rPr>
        <w:t>4</w:t>
      </w:r>
      <w:r>
        <w:rPr>
          <w:rFonts w:ascii="Times New Roman" w:hAnsi="Times New Roman" w:cs="Times New Roman"/>
        </w:rPr>
        <w:t>,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Consistent with earlier observations,</w:t>
      </w:r>
      <w:r w:rsidR="00CF0FEA">
        <w:rPr>
          <w:rFonts w:ascii="Times New Roman" w:hAnsi="Times New Roman" w:cs="Times New Roman"/>
        </w:rPr>
        <w:t xml:space="preserve"> I </w:t>
      </w:r>
      <w:r>
        <w:rPr>
          <w:rFonts w:ascii="Times New Roman" w:hAnsi="Times New Roman" w:cs="Times New Roman"/>
        </w:rPr>
        <w:t>found evidence for aerobic,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reducing, fermentative, anaerobic oxidation of methane (AOM), and methanogenesis metabolisms in Station H sediments. Notably, TOC concentrations were elevated at the sulfate-methane transition zone (</w:t>
      </w:r>
      <w:r>
        <w:rPr>
          <w:rFonts w:ascii="Times New Roman" w:hAnsi="Times New Roman" w:cs="Times New Roman"/>
          <w:bCs/>
        </w:rPr>
        <w:t>SMTZ)</w:t>
      </w:r>
      <w:r>
        <w:rPr>
          <w:rFonts w:ascii="Times New Roman" w:hAnsi="Times New Roman" w:cs="Times New Roman"/>
        </w:rPr>
        <w:t>.</w:t>
      </w:r>
      <w:r w:rsidR="00CF0FEA">
        <w:rPr>
          <w:rFonts w:ascii="Times New Roman" w:hAnsi="Times New Roman" w:cs="Times New Roman"/>
        </w:rPr>
        <w:t xml:space="preserve"> I </w:t>
      </w:r>
      <w:r>
        <w:rPr>
          <w:rFonts w:ascii="Times New Roman" w:hAnsi="Times New Roman" w:cs="Times New Roman"/>
        </w:rPr>
        <w:t xml:space="preserve">hypothesized that increased TOC concentration was from biomass production in microbes utilizing the AOM metabolism as organic </w:t>
      </w:r>
      <w:r w:rsidRPr="00BF2971">
        <w:rPr>
          <w:rFonts w:ascii="Times New Roman" w:hAnsi="Times New Roman" w:cs="Times New Roman"/>
          <w:i/>
          <w:iCs/>
        </w:rPr>
        <w:t>δ</w:t>
      </w:r>
      <w:r>
        <w:rPr>
          <w:rFonts w:ascii="Times New Roman" w:hAnsi="Times New Roman" w:cs="Times New Roman"/>
          <w:vertAlign w:val="superscript"/>
        </w:rPr>
        <w:t>13</w:t>
      </w:r>
      <w:r>
        <w:rPr>
          <w:rFonts w:ascii="Times New Roman" w:hAnsi="Times New Roman" w:cs="Times New Roman"/>
        </w:rPr>
        <w:t>C and bulk C:N ratios concurrently decreased and increased, respectively. Lastly, budgets were comparable with previous estimates when assuming diffusion-dominated chemical transport. The TOC burial, DIC respiration, CH</w:t>
      </w:r>
      <w:r>
        <w:rPr>
          <w:rFonts w:ascii="Times New Roman" w:hAnsi="Times New Roman" w:cs="Times New Roman"/>
          <w:vertAlign w:val="subscript"/>
        </w:rPr>
        <w:t>4</w:t>
      </w:r>
      <w:r>
        <w:rPr>
          <w:rFonts w:ascii="Times New Roman" w:hAnsi="Times New Roman" w:cs="Times New Roman"/>
        </w:rPr>
        <w:t xml:space="preserve"> production,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reduction fluxes were 6091, </w:t>
      </w:r>
      <w:r w:rsidRPr="00CA57F7">
        <w:rPr>
          <w:rFonts w:ascii="Times New Roman" w:hAnsi="Times New Roman" w:cs="Times New Roman"/>
          <w:bCs/>
        </w:rPr>
        <w:t>3178</w:t>
      </w:r>
      <w:r>
        <w:rPr>
          <w:rFonts w:ascii="Times New Roman" w:hAnsi="Times New Roman" w:cs="Times New Roman"/>
          <w:bCs/>
        </w:rPr>
        <w:t>, 35, and 1977 mmol m</w:t>
      </w:r>
      <w:r>
        <w:rPr>
          <w:rFonts w:ascii="Times New Roman" w:hAnsi="Times New Roman" w:cs="Times New Roman"/>
          <w:bCs/>
          <w:vertAlign w:val="superscript"/>
        </w:rPr>
        <w:t>-2</w:t>
      </w:r>
      <w:r>
        <w:rPr>
          <w:rFonts w:ascii="Times New Roman" w:hAnsi="Times New Roman" w:cs="Times New Roman"/>
          <w:bCs/>
        </w:rPr>
        <w:t xml:space="preserve"> yr</w:t>
      </w:r>
      <w:r>
        <w:rPr>
          <w:rFonts w:ascii="Times New Roman" w:hAnsi="Times New Roman" w:cs="Times New Roman"/>
          <w:bCs/>
          <w:vertAlign w:val="superscript"/>
        </w:rPr>
        <w:t>-1</w:t>
      </w:r>
      <w:r>
        <w:rPr>
          <w:rFonts w:ascii="Times New Roman" w:hAnsi="Times New Roman" w:cs="Times New Roman"/>
          <w:bCs/>
        </w:rPr>
        <w:t>, respectively. Unlike previous budgets analyses,</w:t>
      </w:r>
      <w:r w:rsidR="00CF0FEA">
        <w:rPr>
          <w:rFonts w:ascii="Times New Roman" w:hAnsi="Times New Roman" w:cs="Times New Roman"/>
          <w:bCs/>
        </w:rPr>
        <w:t xml:space="preserve"> I </w:t>
      </w:r>
      <w:r>
        <w:rPr>
          <w:rFonts w:ascii="Times New Roman" w:hAnsi="Times New Roman" w:cs="Times New Roman"/>
          <w:bCs/>
        </w:rPr>
        <w:t>considered advection-dominated chemical transport (groundwater upwelling &lt;20 cm yr</w:t>
      </w:r>
      <w:r>
        <w:rPr>
          <w:rFonts w:ascii="Times New Roman" w:hAnsi="Times New Roman" w:cs="Times New Roman"/>
          <w:bCs/>
          <w:vertAlign w:val="superscript"/>
        </w:rPr>
        <w:t>-1</w:t>
      </w:r>
      <w:r>
        <w:rPr>
          <w:rFonts w:ascii="Times New Roman" w:hAnsi="Times New Roman" w:cs="Times New Roman"/>
          <w:bCs/>
        </w:rPr>
        <w:t>).</w:t>
      </w:r>
      <w:r w:rsidR="00CF0FEA">
        <w:rPr>
          <w:rFonts w:ascii="Times New Roman" w:hAnsi="Times New Roman" w:cs="Times New Roman"/>
          <w:bCs/>
        </w:rPr>
        <w:t xml:space="preserve"> I </w:t>
      </w:r>
      <w:r>
        <w:rPr>
          <w:rFonts w:ascii="Times New Roman" w:hAnsi="Times New Roman" w:cs="Times New Roman"/>
          <w:bCs/>
        </w:rPr>
        <w:t>found CH</w:t>
      </w:r>
      <w:r>
        <w:rPr>
          <w:rFonts w:ascii="Times New Roman" w:hAnsi="Times New Roman" w:cs="Times New Roman"/>
          <w:bCs/>
          <w:vertAlign w:val="subscript"/>
        </w:rPr>
        <w:t>4</w:t>
      </w:r>
      <w:r>
        <w:rPr>
          <w:rFonts w:ascii="Times New Roman" w:hAnsi="Times New Roman" w:cs="Times New Roman"/>
          <w:bCs/>
        </w:rPr>
        <w:t xml:space="preserve"> oxidation and SO</w:t>
      </w:r>
      <w:r>
        <w:rPr>
          <w:rFonts w:ascii="Times New Roman" w:hAnsi="Times New Roman" w:cs="Times New Roman"/>
          <w:bCs/>
          <w:vertAlign w:val="subscript"/>
        </w:rPr>
        <w:t>4</w:t>
      </w:r>
      <w:r>
        <w:rPr>
          <w:rFonts w:ascii="Times New Roman" w:hAnsi="Times New Roman" w:cs="Times New Roman"/>
          <w:bCs/>
          <w:vertAlign w:val="superscript"/>
        </w:rPr>
        <w:t>2-</w:t>
      </w:r>
      <w:r>
        <w:rPr>
          <w:rFonts w:ascii="Times New Roman" w:hAnsi="Times New Roman" w:cs="Times New Roman"/>
          <w:bCs/>
        </w:rPr>
        <w:t xml:space="preserve"> reduction rates increased and decreased, respectively, with increasing groundwater upwelling. When groundwater upwelling rates were 14.9 cm yr</w:t>
      </w:r>
      <w:r>
        <w:rPr>
          <w:rFonts w:ascii="Times New Roman" w:hAnsi="Times New Roman" w:cs="Times New Roman"/>
          <w:bCs/>
          <w:vertAlign w:val="superscript"/>
        </w:rPr>
        <w:t>-1</w:t>
      </w:r>
      <w:r>
        <w:rPr>
          <w:rFonts w:ascii="Times New Roman" w:hAnsi="Times New Roman" w:cs="Times New Roman"/>
          <w:bCs/>
        </w:rPr>
        <w:t>, net SO</w:t>
      </w:r>
      <w:r>
        <w:rPr>
          <w:rFonts w:ascii="Times New Roman" w:hAnsi="Times New Roman" w:cs="Times New Roman"/>
          <w:bCs/>
          <w:vertAlign w:val="subscript"/>
        </w:rPr>
        <w:t>4</w:t>
      </w:r>
      <w:r>
        <w:rPr>
          <w:rFonts w:ascii="Times New Roman" w:hAnsi="Times New Roman" w:cs="Times New Roman"/>
          <w:bCs/>
          <w:vertAlign w:val="superscript"/>
        </w:rPr>
        <w:t>2-</w:t>
      </w:r>
      <w:r>
        <w:rPr>
          <w:rFonts w:ascii="Times New Roman" w:hAnsi="Times New Roman" w:cs="Times New Roman"/>
          <w:bCs/>
        </w:rPr>
        <w:t xml:space="preserve"> reduction fluxes were predicted to be 0 mmol m</w:t>
      </w:r>
      <w:r>
        <w:rPr>
          <w:rFonts w:ascii="Times New Roman" w:hAnsi="Times New Roman" w:cs="Times New Roman"/>
          <w:bCs/>
          <w:vertAlign w:val="superscript"/>
        </w:rPr>
        <w:t>-2</w:t>
      </w:r>
      <w:r>
        <w:rPr>
          <w:rFonts w:ascii="Times New Roman" w:hAnsi="Times New Roman" w:cs="Times New Roman"/>
          <w:bCs/>
        </w:rPr>
        <w:t xml:space="preserve"> yr</w:t>
      </w:r>
      <w:r>
        <w:rPr>
          <w:rFonts w:ascii="Times New Roman" w:hAnsi="Times New Roman" w:cs="Times New Roman"/>
          <w:bCs/>
          <w:vertAlign w:val="superscript"/>
        </w:rPr>
        <w:t>-1</w:t>
      </w:r>
      <w:r>
        <w:rPr>
          <w:rFonts w:ascii="Times New Roman" w:hAnsi="Times New Roman" w:cs="Times New Roman"/>
          <w:bCs/>
        </w:rPr>
        <w:t>. Groundwater upwelling &gt;0 cm yr</w:t>
      </w:r>
      <w:r>
        <w:rPr>
          <w:rFonts w:ascii="Times New Roman" w:hAnsi="Times New Roman" w:cs="Times New Roman"/>
          <w:bCs/>
          <w:vertAlign w:val="superscript"/>
        </w:rPr>
        <w:t>-1</w:t>
      </w:r>
      <w:r>
        <w:rPr>
          <w:rFonts w:ascii="Times New Roman" w:hAnsi="Times New Roman" w:cs="Times New Roman"/>
          <w:bCs/>
        </w:rPr>
        <w:t xml:space="preserve"> suggested cryptic sulfur cycling is necessary to maintain steady-state SO</w:t>
      </w:r>
      <w:r>
        <w:rPr>
          <w:rFonts w:ascii="Times New Roman" w:hAnsi="Times New Roman" w:cs="Times New Roman"/>
          <w:bCs/>
          <w:vertAlign w:val="subscript"/>
        </w:rPr>
        <w:t>4</w:t>
      </w:r>
      <w:r>
        <w:rPr>
          <w:rFonts w:ascii="Times New Roman" w:hAnsi="Times New Roman" w:cs="Times New Roman"/>
          <w:bCs/>
          <w:vertAlign w:val="superscript"/>
        </w:rPr>
        <w:t>2-</w:t>
      </w:r>
      <w:r>
        <w:rPr>
          <w:rFonts w:ascii="Times New Roman" w:hAnsi="Times New Roman" w:cs="Times New Roman"/>
          <w:bCs/>
        </w:rPr>
        <w:t xml:space="preserve"> concentration profiles. Although carbon and sulfur budgets appear consistent on decadal timescales, the SMTZ depth varies among earlier studies. Variables influencing variability in </w:t>
      </w:r>
      <w:r>
        <w:rPr>
          <w:rFonts w:ascii="Times New Roman" w:hAnsi="Times New Roman" w:cs="Times New Roman"/>
          <w:bCs/>
        </w:rPr>
        <w:lastRenderedPageBreak/>
        <w:t>geochemistry on short and intermediate timescales need constraint to better contextualize microbial ecological findings with respect to time.</w:t>
      </w:r>
    </w:p>
    <w:p w14:paraId="452D20BD" w14:textId="77777777" w:rsidR="00365526" w:rsidRDefault="00365526" w:rsidP="00365526">
      <w:pPr>
        <w:pStyle w:val="Heading2"/>
      </w:pPr>
      <w:bookmarkStart w:id="257" w:name="_Toc41908129"/>
      <w:r>
        <w:t>Importance</w:t>
      </w:r>
      <w:bookmarkEnd w:id="257"/>
    </w:p>
    <w:p w14:paraId="6F4DCA53" w14:textId="793644C7" w:rsidR="00365526" w:rsidRPr="00CB441E" w:rsidRDefault="00365526" w:rsidP="00365526">
      <w:pPr>
        <w:spacing w:line="480" w:lineRule="auto"/>
        <w:rPr>
          <w:rFonts w:ascii="Times New Roman" w:hAnsi="Times New Roman" w:cs="Times New Roman"/>
        </w:rPr>
      </w:pPr>
      <w:r>
        <w:rPr>
          <w:rFonts w:ascii="Times New Roman" w:hAnsi="Times New Roman" w:cs="Times New Roman"/>
        </w:rPr>
        <w:tab/>
        <w:t>High nutrient estuary sediments support a diverse suite of microbial metabolisms. The combination of diverse microbial metabolisms and ease of access may make high nutrient estuary sediments good model systems for studying niche partitioning theory. Nonetheless, characterizing the temporal stability in geochemistry is an important prerequisite for properly contextualizing ecological</w:t>
      </w:r>
      <w:r w:rsidRPr="00696A53">
        <w:rPr>
          <w:rFonts w:ascii="Times New Roman" w:hAnsi="Times New Roman" w:cs="Times New Roman"/>
        </w:rPr>
        <w:t xml:space="preserve"> </w:t>
      </w:r>
      <w:r>
        <w:rPr>
          <w:rFonts w:ascii="Times New Roman" w:hAnsi="Times New Roman" w:cs="Times New Roman"/>
        </w:rPr>
        <w:t>findings. Here,</w:t>
      </w:r>
      <w:r w:rsidR="00CF0FEA">
        <w:rPr>
          <w:rFonts w:ascii="Times New Roman" w:hAnsi="Times New Roman" w:cs="Times New Roman"/>
        </w:rPr>
        <w:t xml:space="preserve"> I </w:t>
      </w:r>
      <w:r>
        <w:rPr>
          <w:rFonts w:ascii="Times New Roman" w:hAnsi="Times New Roman" w:cs="Times New Roman"/>
        </w:rPr>
        <w:t>reevaluated elemental budgets for carbon and sulfur at the White Oak River, NC, United States and compared our results to budgets reported &gt;20 years ago. Overall, our findings suggested that the net carbon and sulfur budgets are comparable to one another on decadal timescales; however, a literature survey of studies measuring sulfate and methane profiles at the White Oak River suggest geochemistry varies on short and intermediate timescales. Thus, future ecological studies should properly consider short and intermediate timescale processes influencing both ecology and geochemistry.</w:t>
      </w:r>
    </w:p>
    <w:p w14:paraId="1657BFED" w14:textId="77777777" w:rsidR="00365526" w:rsidRDefault="00365526" w:rsidP="00365526">
      <w:pPr>
        <w:pStyle w:val="Heading2"/>
      </w:pPr>
      <w:bookmarkStart w:id="258" w:name="_Toc41908130"/>
      <w:r>
        <w:t>Introduction</w:t>
      </w:r>
      <w:bookmarkEnd w:id="258"/>
    </w:p>
    <w:p w14:paraId="3F6A9E9F" w14:textId="79E958AE"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Conventional wisdom dictates that electron acceptors are sequentially depleted in marine sediments based on energy yield from microbially-mediated reduction-oxidation (redox) reactions. Assuming the dominant electron donor is organic matter (OM), the sequence that electron acceptors are depleted is O</w:t>
      </w:r>
      <w:r>
        <w:rPr>
          <w:rFonts w:ascii="Times New Roman" w:hAnsi="Times New Roman" w:cs="Times New Roman"/>
          <w:vertAlign w:val="subscript"/>
        </w:rPr>
        <w:t>2</w:t>
      </w:r>
      <w:r>
        <w:rPr>
          <w:rFonts w:ascii="Times New Roman" w:hAnsi="Times New Roman" w:cs="Times New Roman"/>
        </w:rPr>
        <w:t>, NO</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Mn(IV), Fe(III),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and CO</w:t>
      </w:r>
      <w:r>
        <w:rPr>
          <w:rFonts w:ascii="Times New Roman" w:hAnsi="Times New Roman" w:cs="Times New Roman"/>
          <w:vertAlign w:val="subscript"/>
        </w:rPr>
        <w:t>2</w:t>
      </w:r>
      <w:r>
        <w:rPr>
          <w:rFonts w:ascii="Times New Roman" w:hAnsi="Times New Roman" w:cs="Times New Roman"/>
        </w:rPr>
        <w:t xml:space="preserve">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{"citationItems":[{"id":"ITEM-1","itemData":{"DOI":"10.1016/0016-7037(79)90095-4","ISSN":"00167037","abstract":"Pore water profiles of total-CO2, pH, PO3-4, NO-3 plus NO-2, SO2-4, S2-, Fe2+ and Mn2+ have been obtained in cores from pelagic sediments of the eastern equatorial Atlantic under waters of moderate to high productivity. These profiles reveal that oxidants are consumed in order of decreasing energy production per mole of organic carbon oxidized (O2 &gt; manganese oxides ~ nitrate &gt; iron oxides &gt; sulfate). Total CO2 concentrations reflect organic regeneration and calcite dissolution. Phosphate profiles are consistent with organic regeneration and with the effects of release and uptake during inorganic reactions. Nitrate profiles reflect organic regeneration and nitrate reduction, while dissolved iron and manganese profiles suggest reduction of the solid oxide phases, upward fluxes of dissolved metals and subsequent entrapment in the sediment column. Sulfate values are constant and sulfide is absent, reflecting the absence of strongly anoxic conditions. © 1979.","author":[{"dropping-particle":"","family":"Froelich","given":"P. N.","non-dropping-particle":"","parse-names":false,"suffix":""},{"dropping-particle":"","family":"Klinkhammer","given":"G. P.","non-dropping-particle":"","parse-names":false,"suffix":""},{"dropping-particle":"","family":"Bender","given":"M. L.","non-dropping-particle":"","parse-names":false,"suffix":""},{"dropping-particle":"","family":"Luedtke","given":"N. A.","non-dropping-particle":"","parse-names":false,"suffix":""},{"dropping-particle":"","family":"Heath","given":"G. R.","non-dropping-particle":"","parse-names":false,"suffix":""},{"dropping-particle":"","family":"Cullen","given":"Doug","non-dropping-particle":"","parse-names":false,"suffix":""},{"dropping-particle":"","family":"Dauphin","given":"Paul","non-dropping-particle":"","parse-names":false,"suffix":""},{"dropping-particle":"","family":"Hammond","given":"Doug","non-dropping-particle":"","parse-names":false,"suffix":""},{"dropping-particle":"","family":"Hartman","given":"Blayne","non-dropping-particle":"","parse-names":false,"suffix":""},{"dropping-particle":"","family":"Maynard","given":"Val","non-dropping-particle":"","parse-names":false,"suffix":""}],"container-title":"Geochimica et Cosmochimica Acta","id":"ITEM-1","issue":"7","issued":{"date-parts":[["1979"]]},"page":"1075-1090","title":"Early oxidation of organic matter in pelagic sediments of the eastern equatorial Atlantic: suboxic diagenesis","type":"article-journal","volume":"43"},"uris":["http://www.mendeley.com/documents/?uuid=46fa8131-982d-4f9b-a0d5-6eee4dac6d5f"]}],"mendeley":{"formattedCitation":"(112)","plainTextFormattedCitation":"(112)","previouslyFormattedCitation":"(111)"},"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(112)</w:t>
      </w:r>
      <w:r>
        <w:rPr>
          <w:rFonts w:ascii="Times New Roman" w:hAnsi="Times New Roman" w:cs="Times New Roman"/>
        </w:rPr>
        <w:fldChar w:fldCharType="end"/>
      </w:r>
      <w:r>
        <w:rPr>
          <w:rFonts w:ascii="Times New Roman" w:hAnsi="Times New Roman" w:cs="Times New Roman"/>
        </w:rPr>
        <w:t xml:space="preserve">. Sediment environments with high depositional OM fluxes lead to rapid </w:t>
      </w:r>
      <w:r>
        <w:rPr>
          <w:rFonts w:ascii="Times New Roman" w:hAnsi="Times New Roman" w:cs="Times New Roman"/>
        </w:rPr>
        <w:lastRenderedPageBreak/>
        <w:t xml:space="preserve">depletion of electron acceptors and rapid transition between dominant redox metabolisms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{"citationItems":[{"id":"ITEM-1","itemData":{"DOI":"10.1016/j.earscirev.2020.103146","ISSN":"00128252","abstract":"Organic carbon in marine sediments is a critical component of the global carbon cycle, and its degradation influences a wide range of phenomena, including the magnitude of carbon sequestration over geologic timescales, the recycling of inorganic carbon and nutrients, the dissolution and precipitation of carbonates, the production of methane and the nature of the seafloor biosphere. Although much has been learned about the factors that promote and hinder rates of organic carbon degradation in natural systems, the controls on the distribution of organic carbon in modern and ancient sediments are still not fully understood. In this review, we summarize how recent findings are changing entrenched perspectives on organic matter degradation in marine sediments: a shift from a structurally-based chemical reactivity viewpoint towards an emerging acceptance of the role of the ecosystem in organic matter degradation rates. That is, organic carbon has a range of reactivities determined by not only the nature of the organic compounds, but by the biological, geochemical, and physical attributes of its environment. This shift in mindset has gradually come about due to a greater diversity of sample sites, the molecular revolution in biology, discoveries concerning the extent and limits of life, advances in quantitative modeling, investigations of ocean carbon cycling under a variety of extreme paleo-conditions (e.g. greenhouse environments, euxinic/anoxic oceans), the application of novel analytical techniques and interdisciplinary efforts. Adopting this view across scientific disciplines will enable additional progress in understanding how marine sediments influence the global carbon cycle.","author":[{"dropping-particle":"","family":"LaRowe","given":"D. E.","non-dropping-particle":"","parse-names":false,"suffix":""},{"dropping-particle":"","family":"Arndt","given":"S.","non-dropping-particle":"","parse-names":false,"suffix":""},{"dropping-particle":"","family":"Bradley","given":"J. A.","non-dropping-particle":"","parse-names":false,"suffix":""},{"dropping-particle":"","family":"Estes","given":"E. R.","non-dropping-particle":"","parse-names":false,"suffix":""},{"dropping-particle":"","family":"Hoarfrost","given":"A.","non-dropping-particle":"","parse-names":false,"suffix":""},{"dropping-particle":"","family":"Lang","given":"S. Q.","non-dropping-particle":"","parse-names":false,"suffix":""},{"dropping-particle":"","family":"Lloyd","given":"K. G.","non-dropping-particle":"","parse-names":false,"suffix":""},{"dropping-particle":"","family":"Mahmoudi","given":"N.","non-dropping-particle":"","parse-names":false,"suffix":""},{"dropping-particle":"","family":"Orsi","given":"W. D.","non-dropping-particle":"","parse-names":false,"suffix":""},{"dropping-particle":"","family":"Shah Walter","given":"S. R.","non-dropping-particle":"","parse-names":false,"suffix":""},{"dropping-particle":"","family":"Steen","given":"A. D.","non-dropping-particle":"","parse-names":false,"suffix":""},{"dropping-particle":"","family":"Zhao","given":"R.","non-dropping-particle":"","parse-names":false,"suffix":""}],"container-title":"Earth-Science Reviews","id":"ITEM-1","issue":"August 2019","issued":{"date-parts":[["2020"]]},"page":"103146","publisher":"Elsevier","title":"The fate of organic carbon in marine sediments - New insights from recent data and analysis","type":"article-journal","volume":"204"},"uris":["http://www.mendeley.com/documents/?uuid=fff30d97-1abc-43c2-860a-d58cbaaf84c6"]}],"mendeley":{"formattedCitation":"(113)","plainTextFormattedCitation":"(113)","previouslyFormattedCitation":"(112)"},"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(113)</w:t>
      </w:r>
      <w:r>
        <w:rPr>
          <w:rFonts w:ascii="Times New Roman" w:hAnsi="Times New Roman" w:cs="Times New Roman"/>
        </w:rPr>
        <w:fldChar w:fldCharType="end"/>
      </w:r>
      <w:r>
        <w:rPr>
          <w:rFonts w:ascii="Times New Roman" w:hAnsi="Times New Roman" w:cs="Times New Roman"/>
        </w:rPr>
        <w:t xml:space="preserve">. Thus, studies requiring a large range of microbial metabolic diversity could leverage sediments with high OM depositional fluxes as model study systems. </w:t>
      </w:r>
    </w:p>
    <w:p w14:paraId="78540416" w14:textId="7E02B30D" w:rsidR="00365526" w:rsidRDefault="00377FE8" w:rsidP="00365526">
      <w:pPr>
        <w:spacing w:line="480" w:lineRule="auto"/>
        <w:ind w:firstLine="720"/>
        <w:rPr>
          <w:rFonts w:ascii="Times New Roman" w:hAnsi="Times New Roman" w:cs="Times New Roman"/>
        </w:rPr>
      </w:pPr>
      <w:r>
        <w:rPr>
          <w:rFonts w:ascii="Times New Roman" w:hAnsi="Times New Roman" w:cs="Times New Roman"/>
        </w:rPr>
        <w:t>One sediment system fitting this criteria include blackwater river estuaries on the East coast of the United States</w:t>
      </w:r>
      <w:r w:rsidR="00365526">
        <w:rPr>
          <w:rFonts w:ascii="Times New Roman" w:hAnsi="Times New Roman" w:cs="Times New Roman"/>
        </w:rPr>
        <w:t xml:space="preserve"> </w:t>
      </w:r>
      <w:r w:rsidR="00365526">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{"citationItems":[{"id":"ITEM-1","itemData":{"DOI":"10.1029/2019GB006376","ISSN":"19449224","abstract":"Estuaries represent the primary linkage between the terrestrial and marine carbon cycles, and estuarine processing of riverine and coastal carbon plays a disproportionately large role in the global carbon cycle relative to the small areal extent of the estuarine environments. However, knowledge of the rate of organic carbon deposition and burial in estuarine sediments is lacking at regional scales. Data on surficial total organic carbon, linear sedimentation, and bulk density of estuarine sediments were compiled and categorized via a cluster analysis in order to estimate carbon deposition within the contiguous United States (CONUS). The cluster analysis broadly grouped estuaries by geography, but exceptions to geographic clustering highlighted differences within regions. A transfer function from deposition to burial based on linear sedimentation rate was used to estimate burial efficiency, and thus the rate of carbon burial within each cluster. We estimate organic carbon deposition rates within CONUS estuarine sediments to be 161 [121–217, 95% confidence] g C/m2/yr with a burial efficiency estimated at 38 [34–42, 95% confidence] %, which yields a long-term burial rate of 64 [44–97, 95% confidence] g C/m2/yr. Spatially integrated organic deposition and burial rates are 11.3 [8.5–15.2, 95% confidence] and 4.5 [3.1–6.8, 95% confidence] Tg C/yr, respectively. Our findings allow a more thorough understanding of coastal carbon cycling, which is critical for both management purposes as well as for the assessment of the role of estuaries in past and future climate change.","author":[{"dropping-particle":"","family":"Hutchings","given":"J. A.","non-dropping-particle":"","parse-names":false,"suffix":""},{"dropping-particle":"","family":"Bianchi","given":"T. S.","non-dropping-particle":"","parse-names":false,"suffix":""},{"dropping-particle":"","family":"Najjar","given":"R. G.","non-dropping-particle":"","parse-names":false,"suffix":""},{"dropping-particle":"","family":"Herrmann","given":"M.","non-dropping-particle":"","parse-names":false,"suffix":""},{"dropping-particle":"","family":"Kemp","given":"W. M.","non-dropping-particle":"","parse-names":false,"suffix":""},{"dropping-particle":"","family":"Hinson","given":"A. L.","non-dropping-particle":"","parse-names":false,"suffix":""},{"dropping-particle":"","family":"Feagin","given":"R. A.","non-dropping-particle":"","parse-names":false,"suffix":""}],"container-title":"Global Biogeochemical Cycles","id":"ITEM-1","issue":"2","issued":{"date-parts":[["2020"]]},"title":"Carbon Deposition and Burial in Estuarine Sediments of the Contiguous United States","type":"article-journal","volume":"34"},"uris":["http://www.mendeley.com/documents/?uuid=aedf8aab-554b-49f4-b394-534a9f8f2c76"]}],"mendeley":{"formattedCitation":"(114)","plainTextFormattedCitation":"(114)","previouslyFormattedCitation":"(113)"},"properties":{"noteIndex":0},"schema":"https://github.com/citation-style-language/schema/raw/master/csl-citation.json"}</w:instrText>
      </w:r>
      <w:r w:rsidR="00365526">
        <w:rPr>
          <w:rFonts w:ascii="Times New Roman" w:hAnsi="Times New Roman" w:cs="Times New Roman"/>
        </w:rPr>
        <w:fldChar w:fldCharType="separate"/>
      </w:r>
      <w:r w:rsidR="00307058" w:rsidRPr="00307058">
        <w:rPr>
          <w:rFonts w:ascii="Times New Roman" w:hAnsi="Times New Roman" w:cs="Times New Roman"/>
          <w:noProof/>
        </w:rPr>
        <w:t>(114)</w:t>
      </w:r>
      <w:r w:rsidR="00365526">
        <w:rPr>
          <w:rFonts w:ascii="Times New Roman" w:hAnsi="Times New Roman" w:cs="Times New Roman"/>
        </w:rPr>
        <w:fldChar w:fldCharType="end"/>
      </w:r>
      <w:r w:rsidR="00365526">
        <w:rPr>
          <w:rFonts w:ascii="Times New Roman" w:hAnsi="Times New Roman" w:cs="Times New Roman"/>
        </w:rPr>
        <w:t xml:space="preserve">. </w:t>
      </w:r>
      <w:r>
        <w:rPr>
          <w:rFonts w:ascii="Times New Roman" w:hAnsi="Times New Roman" w:cs="Times New Roman"/>
        </w:rPr>
        <w:t>With high terrestrial OM runoff, rapid autochthonous OM production,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from seawater intrusion, estuary systems along the Coastal Plains support a wide range of microbial metabolisms</w:t>
      </w:r>
      <w:r w:rsidR="00365526">
        <w:rPr>
          <w:rFonts w:ascii="Times New Roman" w:hAnsi="Times New Roman" w:cs="Times New Roman"/>
        </w:rPr>
        <w:t xml:space="preserve"> </w:t>
      </w:r>
      <w:r w:rsidR="00365526">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J","non-dropping-particle":"","parse-names":false,"suffix":""}],"container-title":"Microbiome","id":"ITEM-1","issue":"1","issued":{"date-parts":[["2015","12","13"]]},"page":"14","publisher":"BioMed Central","title":"Genomic resolution of linkages in carbon, nitrogen, and sulfur cycling among widespread estuary sediment bacteria","type":"article-journal","volume":"3"},"uris":["http://www.mendeley.com/documents/?uuid=9a188f01-0081-3e79-a3ab-79086163d314"]}],"mendeley":{"formattedCitation":"(8)","plainTextFormattedCitation":"(8)","previouslyFormattedCitation":"(8)"},"properties":{"noteIndex":0},"schema":"https://github.com/citation-style-language/schema/raw/master/csl-citation.json"}</w:instrText>
      </w:r>
      <w:r w:rsidR="00365526">
        <w:rPr>
          <w:rFonts w:ascii="Times New Roman" w:hAnsi="Times New Roman" w:cs="Times New Roman"/>
        </w:rPr>
        <w:fldChar w:fldCharType="separate"/>
      </w:r>
      <w:r w:rsidR="004620D1" w:rsidRPr="004620D1">
        <w:rPr>
          <w:rFonts w:ascii="Times New Roman" w:hAnsi="Times New Roman" w:cs="Times New Roman"/>
          <w:noProof/>
        </w:rPr>
        <w:t>(8)</w:t>
      </w:r>
      <w:r w:rsidR="00365526">
        <w:rPr>
          <w:rFonts w:ascii="Times New Roman" w:hAnsi="Times New Roman" w:cs="Times New Roman"/>
        </w:rPr>
        <w:fldChar w:fldCharType="end"/>
      </w:r>
      <w:r w:rsidR="00365526">
        <w:rPr>
          <w:rFonts w:ascii="Times New Roman" w:hAnsi="Times New Roman" w:cs="Times New Roman"/>
        </w:rPr>
        <w:t xml:space="preserve">. In particular, the White Oak River (WOR) estuary has received considerable research interest related to sediment geochemistry and microbiology during the last half century </w:t>
      </w:r>
      <w:r w:rsidR="00365526">
        <w:rPr>
          <w:rFonts w:ascii="Times New Roman" w:hAnsi="Times New Roman" w:cs="Times New Roman"/>
        </w:rPr>
        <w:fldChar w:fldCharType="begin" w:fldLock="1"/>
      </w:r>
      <w:r w:rsidR="00307058">
        <w:rPr>
          <w:rFonts w:ascii="Times New Roman" w:hAnsi="Times New Roman" w:cs="Times New Roman"/>
        </w:rPr>
        <w:instrText xml:space="preserve">ADDIN CSL_CITATION {"citationItems":[{"id":"ITEM-1","itemData":{"author":[{"dropping-particle":"","family":"Martens","given":"S","non-dropping-particle":"","parse-names":false,"suffix":""},{"dropping-particle":"","family":"Goldhaber","given":"B","non-dropping-particle":"","parse-names":false,"suffix":""}],"id":"ITEM-1","issue":"3","issued":{"date-parts":[["1978"]]},"title":"Early diagenesis in transitional sedimentary environments of the White Oak River Estuary , North Carolina","type":"article-journal","volume":"23"},"uris":["http://www.mendeley.com/documents/?uuid=0b73bc7b-ae47-4d49-b831-f1e27998a8ef"]},{"id":"ITEM-2","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Oceanography","id":"ITEM-2","issue":"2","issued":{"date-parts":[["1990"]]},"page":"372-383","title":"Variations in sedimentary carbon remineralization rates in the White Oak River estuary, North Carolina","type":"article-journal","volume":"35"},"uris":["http://www.mendeley.com/documents/?uuid=84c9ad85-5fc2-45b3-b5a3-d5ddf5033ca0"]},{"id":"ITEM-3","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Microbiology","id":"ITEM-3","issue":"9","issued":{"date-parts":[["2011"]]},"page":"2548-2564","title":"Environmental evidence for net methane production and oxidation in putative ANaerobic MEthanotrophic (ANME) archaea","type":"article-journal","volume":"13"},"uris":["http://www.mendeley.com/documents/?uuid=66d37395-cd0d-4af9-893f-431870bc2bc8"]},{"id":"ITEM-4","itemData":{"DOI":"10.1186/s40168-015-0077-6","ISSN":"2049-2618","abstract":"Estuaries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J","non-dropping-particle":"","parse-names":false,"suffix":""}],"container-title":"Microbiome","id":"ITEM-4","issue":"1","issued":{"date-parts":[["2015","12","13"]]},"page":"14","publisher":"BioMed Central","title":"Genomic resolution of linkages in carbon, nitrogen, and sulfur cycling among widespread estuary sediment bacteria","type":"article-journal","volume":"3"},"uris":["http://www.mendeley.com/documents/?uuid=9a188f01-0081-3e79-a3ab-79086163d314"]},{"id":"ITEM-5","itemData":{"DOI":"10.1128/aem.00102-19","ISSN":"0099-2240","abstract":"Anoxic subsurface sediments contain communities of heterotrophic microorganisms that metabolize organic carbon at extraordinarily slow rates. In order to assess the mechanisms by which subsurface microorganisms access detrital sedimentary organic matter, we measured kinetics of a range of extracellular peptidases in anoxic sediments of the White Oak River estuary, NC. Nine distinct peptidase substrates were enzymatically hydrolyzed at all depths. Potential peptidase activities ( V max ) decreased with increasing sediment depth, although V max expressed on a per cell basis was approximately the same at all depths. Half-saturation constants ( K m ) decreased with depth, indicating peptidases that functioned more efficiently at low substrate concentrations. Potential activities of extracellular peptidases acting on molecules that are enriched in degraded organic matter (D-phenylalanine and L-ornithine) increased relative to enzymes that act on L-phenylalanine, further suggesting microbial community adaptation to access degraded organic matter. Nineteen classes of predicted, exported peptidases were identified in genomic data from the same site, of which genes for class C25 (gingipain-like) peptidases represented more than 40% at each depth. Methionine aminopeptidases, zinc carboxypeptidases, and class S24-like peptidases, which are involved in single-stranded DNA repair, were also abundant. These results suggest a subsurface heterotrophic microbial community that primarily accesses low-quality detrital organic matter via a diverse suite of well-adapted extracellular enzymes. Importance Burial of organic carbon in marine and estuarine sediments represents a long-term sink for atmospheric carbon dioxide. Globally, </w:instrText>
      </w:r>
      <w:r w:rsidR="00307058">
        <w:rPr>
          <w:rFonts w:ascii="Cambria Math" w:hAnsi="Cambria Math" w:cs="Cambria Math"/>
        </w:rPr>
        <w:instrText>∼</w:instrText>
      </w:r>
      <w:r w:rsidR="00307058">
        <w:rPr>
          <w:rFonts w:ascii="Times New Roman" w:hAnsi="Times New Roman" w:cs="Times New Roman"/>
        </w:rPr>
        <w:instrText>40% of organic carbon burial occurs in anoxic estuaries and deltaic systems. However, the ultimate controls on the amount of organic matter that is buried in sediments, versus oxidized into CO 2 , are poorly constrained. Here we used a combination of enzyme assays and metagenomic analysis to identify how subsurface microbial communities catalyze the first step of proteinaceous organic carbon degradation. Our results show that microbial communities in deeper sediments are adapted to access molecules characteristic of degraded organic matter, suggesting that those heterotrophs are adapted to life in the subsurface.","author":[{"dropping-particle":"","family":"Steen","given":"Andrew D.","non-dropping-particle":"","parse-names":false,"suffix":""},{"dropping-particle":"","family":"Kevorkian","given":"Richard T.","non-dropping-particle":"","parse-names":false,"suffix":""},{"dropping-particle":"","family":"Bird","given":"Jordan T.","non-dropping-particle":"","parse-names":false,"suffix":""},{"dropping-particle":"","family":"Dombrowski","given":"Nina","non-dropping-particle":"","parse-names":false,"suffix":""},{"dropping-particle":"","family":"Baker","given":"Brett J.","non-dropping-particle":"","parse-names":false,"suffix":""},{"dropping-particle":"","family":"Hagen","given":"Shane M.","non-dropping-particle":"","parse-names":false,"suffix":""},{"dropping-particle":"","family":"Mulligan","given":"Katherine H.","non-dropping-particle":"","parse-names":false,"suffix":""},{"dropping-particle":"","family":"Schmidt","given":"Jenna M.","non-dropping-particle":"","parse-names":false,"suffix":""},{"dropping-particle":"","family":"Webber","given":"Austen T.","non-dropping-particle":"","parse-names":false,"suffix":""},{"dropping-particle":"","family":"Royalty","given":"Taylor M.","non-dropping-particle":"","parse-names":false,"suffix":""},{"dropping-particle":"","family":"Alperin","given":"Marc J.","non-dropping-particle":"","parse-names":false,"suffix":""}],"container-title":"Applied and Environmental Microbiology","id":"ITEM-5","issue":"July","issued":{"date-parts":[["2019"]]},"title":"Kinetics and identities of extracellular peptidases in subsurface sediments of the White Oak River Estuary, NC","type":"article-journal"},"uris":["http://www.mendeley.com/documents/?uuid=5a90d168-b5fb-4b32-b47b-c39dd2a2f3da"]},{"id":"ITEM-6","itemData":{"DOI":"10.1016/S0278-4343(98)00057-0","ISSN":"02784343","abstract":"To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Research","id":"ITEM-6","issue":"14-15","issued":{"date-parts":[["1998"]]},"page":"1771-1793","title":"Biogeochemical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Sediments","type":"article-journal","volume":"18"},"uris":["http://www.mendeley.com/documents/?uuid=f58213f7-2aba-41a0-ad11-b3deae1e2092"]},{"id":"ITEM-7","itemData":{"DOI":"10.1016/S0278-4343(98)00056-9","ISSN":"02784343","abstract":"A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Research","id":"ITEM-7","issue":"14-15","issued":{"date-parts":[["1998"]]},"page":"1741-1770","title":"Biogeochemical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transport","type":"article-journal","volume":"18"},"uris":["http://www.mendeley.com/documents/?uuid=958789dd-a429-4c22-bcfc-7a6b933ed55a"]},{"id":"ITEM-8","itemData":{"DOI":"10.1016/j.margeo.2005.02.018","ISSN":"00253227","abstract":"The relationship between seismic wipe-outs, methane accumulation, and pore water salinity was investigated using high-resolution seismic profiles, pore water geochemical measurements, and sediment property data from the White Oak River Estuary, North Carolina. The estuary is a broad, shallow, drowned river valley filled with organic rich sediment where the salinity changes from fresh to sea water within 10 km. Uniboom seismic reflection profiles indicate a distinct pattern in the distribution of seismic wipe-outs. Wipe-outs dominate the upper estuary but are not observed in the lower estuary. Sediment pore water chlorinities decrease upstream but the sharpest gradients occur with depth. At ≤ 50 cm depths in the upper half of the estuary, pore waters typically have less than 100 mmol L-1 chloride even though overlying estuarine waters have 300-400 mmol L-1 chloride. Concave chloride profiles demonstrate that sediments in the upper estuary are actively flushed with fresh water moving upward through the sediments from underlying aquifers. The associated decrease in interstitial sulfate concentrations combined with high organic carbon content provides favorable conditions for methane production and accumulation. Seismic wipe-outs are correlated with areas of high methane concentrations and with sediments containing low pore water salinities. © 2005 Elsevier B.V. All rights reserved.","author":[{"dropping-particle":"","family":"Kogan","given":"Irina","non-dropping-particle":"","parse-names":false,"suffix":""},{"dropping-particle":"","family":"Paull","given":"Charles K.","non-dropping-particle":"","parse-names":false,"suffix":""}],"container-title":"Marine Geology","id":"ITEM-8","issue":"1-2","issued":{"date-parts":[["2005"]]},"page":"161-175","title":"Coastal seismic wipe-outs: Distribution controlled by pore water.","type":"article-journal","volume":"217"},"uris":["http://www.mendeley.com/documents/?uuid=4850f69b-59f6-435e-a84a-c7c588840abf"]},{"id":"ITEM-9","itemData":{"DOI":"10.1038/ismej.2016.189","ISBN":"1751-7370","ISSN":"17517370","PMID":"28085154","abstract":"Genomic reconstruction of multiple lineages of uncultured benthic archaea suggests distinct biogeochemical roles and ecological niches","author":[{"dropping-particle":"","family":"Lazar","given":"C. S.","non-dropping-particle":"","parse-names":false,"suffix":""},{"dropping-particle":"","family":"Baker","given":"B. J.","non-dropping-particle":"","parse-names":false,"suffix":""},{"dropping-particle":"","family":"Seitz","given":"K. W.","non-dropping-particle":"","parse-names":false,"suffix":""},{"dropping-particle":"","family":"Teske","given":"A. P.","non-dropping-particle":"","parse-names":false,"suffix":""}],"container-title":"ISME Journal","id":"ITEM-9","issue":"5","issued":{"date-parts":[["2017"]]},"page":"1118-1129","publisher":"Nature Publishing Group","title":"Genomic reconstruction of multiple lineages of uncultured benthic archaea suggests distinct biogeochemical roles and ecological niches","type":"article-journal","volume":"11"},"uris":["http://www.mendeley.com/documents/?uuid=4457f87a-6999-4313-b89e-ab8a36ea391c"]}],"mendeley":{"formattedCitation":"(8, 17, 18, 115–120)","plainTextFormattedCitation":"(8, 17, 18, 115–120)","previouslyFormattedCitation":"(8, 16, 17, 114–119)"},"properties":{"noteIndex":0},"schema":"https://github.com/citation-style-language/schema/raw/master/csl-citation.json"}</w:instrText>
      </w:r>
      <w:r w:rsidR="00365526">
        <w:rPr>
          <w:rFonts w:ascii="Times New Roman" w:hAnsi="Times New Roman" w:cs="Times New Roman"/>
        </w:rPr>
        <w:fldChar w:fldCharType="separate"/>
      </w:r>
      <w:r w:rsidR="00307058" w:rsidRPr="00307058">
        <w:rPr>
          <w:rFonts w:ascii="Times New Roman" w:hAnsi="Times New Roman" w:cs="Times New Roman"/>
          <w:noProof/>
        </w:rPr>
        <w:t>(8, 17, 18, 115–120)</w:t>
      </w:r>
      <w:r w:rsidR="00365526">
        <w:rPr>
          <w:rFonts w:ascii="Times New Roman" w:hAnsi="Times New Roman" w:cs="Times New Roman"/>
        </w:rPr>
        <w:fldChar w:fldCharType="end"/>
      </w:r>
      <w:r w:rsidR="00365526">
        <w:rPr>
          <w:rFonts w:ascii="Times New Roman" w:hAnsi="Times New Roman" w:cs="Times New Roman"/>
        </w:rPr>
        <w:t>. Porewater geochemical analyses indicate that all major electron acceptors (O</w:t>
      </w:r>
      <w:r w:rsidR="00365526">
        <w:rPr>
          <w:rFonts w:ascii="Times New Roman" w:hAnsi="Times New Roman" w:cs="Times New Roman"/>
          <w:vertAlign w:val="subscript"/>
        </w:rPr>
        <w:t>2</w:t>
      </w:r>
      <w:r w:rsidR="00365526">
        <w:rPr>
          <w:rFonts w:ascii="Times New Roman" w:hAnsi="Times New Roman" w:cs="Times New Roman"/>
        </w:rPr>
        <w:t>, NO</w:t>
      </w:r>
      <w:r w:rsidR="00365526">
        <w:rPr>
          <w:rFonts w:ascii="Times New Roman" w:hAnsi="Times New Roman" w:cs="Times New Roman"/>
          <w:vertAlign w:val="subscript"/>
        </w:rPr>
        <w:t>3</w:t>
      </w:r>
      <w:r w:rsidR="00365526">
        <w:rPr>
          <w:rFonts w:ascii="Times New Roman" w:hAnsi="Times New Roman" w:cs="Times New Roman"/>
          <w:vertAlign w:val="superscript"/>
        </w:rPr>
        <w:t>-</w:t>
      </w:r>
      <w:r w:rsidR="00365526">
        <w:rPr>
          <w:rFonts w:ascii="Times New Roman" w:hAnsi="Times New Roman" w:cs="Times New Roman"/>
        </w:rPr>
        <w:t>, Mn(IV), Fe(III), SO</w:t>
      </w:r>
      <w:r w:rsidR="00365526">
        <w:rPr>
          <w:rFonts w:ascii="Times New Roman" w:hAnsi="Times New Roman" w:cs="Times New Roman"/>
          <w:vertAlign w:val="subscript"/>
        </w:rPr>
        <w:t>4</w:t>
      </w:r>
      <w:r w:rsidR="00365526">
        <w:rPr>
          <w:rFonts w:ascii="Times New Roman" w:hAnsi="Times New Roman" w:cs="Times New Roman"/>
          <w:vertAlign w:val="superscript"/>
        </w:rPr>
        <w:t>2-</w:t>
      </w:r>
      <w:r w:rsidR="00365526">
        <w:rPr>
          <w:rFonts w:ascii="Times New Roman" w:hAnsi="Times New Roman" w:cs="Times New Roman"/>
        </w:rPr>
        <w:t>, and CO</w:t>
      </w:r>
      <w:r w:rsidR="00365526">
        <w:rPr>
          <w:rFonts w:ascii="Times New Roman" w:hAnsi="Times New Roman" w:cs="Times New Roman"/>
          <w:vertAlign w:val="subscript"/>
        </w:rPr>
        <w:t>2</w:t>
      </w:r>
      <w:r w:rsidR="00365526">
        <w:rPr>
          <w:rFonts w:ascii="Times New Roman" w:hAnsi="Times New Roman" w:cs="Times New Roman"/>
        </w:rPr>
        <w:t xml:space="preserve">) are observable at &lt;100 </w:t>
      </w:r>
      <w:proofErr w:type="spellStart"/>
      <w:r w:rsidR="00365526">
        <w:rPr>
          <w:rFonts w:ascii="Times New Roman" w:hAnsi="Times New Roman" w:cs="Times New Roman"/>
        </w:rPr>
        <w:t>cmbsf</w:t>
      </w:r>
      <w:proofErr w:type="spellEnd"/>
      <w:r w:rsidR="00365526">
        <w:rPr>
          <w:rFonts w:ascii="Times New Roman" w:hAnsi="Times New Roman" w:cs="Times New Roman"/>
        </w:rPr>
        <w:t xml:space="preserve"> </w:t>
      </w:r>
      <w:r w:rsidR="00365526">
        <w:rPr>
          <w:rFonts w:ascii="Times New Roman" w:hAnsi="Times New Roman" w:cs="Times New Roman"/>
        </w:rPr>
        <w:fldChar w:fldCharType="begin" w:fldLock="1"/>
      </w:r>
      <w:r w:rsidR="00307058">
        <w:rPr>
          <w:rFonts w:ascii="Times New Roman" w:hAnsi="Times New Roman" w:cs="Times New Roman"/>
        </w:rPr>
        <w:instrText>ADDIN CSL_CITATION {"citationItems":[{"id":"ITEM-1","itemData":{"author":[{"dropping-particle":"","family":"Martens","given":"S","non-dropping-particle":"","parse-names":false,"suffix":""},{"dropping-particle":"","family":"Goldhaber","given":"B","non-dropping-particle":"","parse-names":false,"suffix":""}],"id":"ITEM-1","issue":"3","issued":{"date-parts":[["1978"]]},"title":"Early diagenesis in transitional sedimentary environments of the White Oak River Estuary , North Carolina","type":"article-journal","volume":"23"},"uris":["http://www.mendeley.com/documents/?uuid=0b73bc7b-ae47-4d49-b831-f1e27998a8ef"]}],"mendeley":{"formattedCitation":"(115)","plainTextFormattedCitation":"(115)","previouslyFormattedCitation":"(114)"},"properties":{"noteIndex":0},"schema":"https://github.com/citation-style-language/schema/raw/master/csl-citation.json"}</w:instrText>
      </w:r>
      <w:r w:rsidR="00365526">
        <w:rPr>
          <w:rFonts w:ascii="Times New Roman" w:hAnsi="Times New Roman" w:cs="Times New Roman"/>
        </w:rPr>
        <w:fldChar w:fldCharType="separate"/>
      </w:r>
      <w:r w:rsidR="00307058" w:rsidRPr="00307058">
        <w:rPr>
          <w:rFonts w:ascii="Times New Roman" w:hAnsi="Times New Roman" w:cs="Times New Roman"/>
          <w:noProof/>
        </w:rPr>
        <w:t>(115)</w:t>
      </w:r>
      <w:r w:rsidR="00365526">
        <w:rPr>
          <w:rFonts w:ascii="Times New Roman" w:hAnsi="Times New Roman" w:cs="Times New Roman"/>
        </w:rPr>
        <w:fldChar w:fldCharType="end"/>
      </w:r>
      <w:r w:rsidR="00365526">
        <w:rPr>
          <w:rFonts w:ascii="Times New Roman" w:hAnsi="Times New Roman" w:cs="Times New Roman"/>
        </w:rPr>
        <w:t>. For these reasons,</w:t>
      </w:r>
      <w:r w:rsidR="00CF0FEA">
        <w:rPr>
          <w:rFonts w:ascii="Times New Roman" w:hAnsi="Times New Roman" w:cs="Times New Roman"/>
        </w:rPr>
        <w:t xml:space="preserve"> I </w:t>
      </w:r>
      <w:r w:rsidR="00365526">
        <w:rPr>
          <w:rFonts w:ascii="Times New Roman" w:hAnsi="Times New Roman" w:cs="Times New Roman"/>
        </w:rPr>
        <w:t xml:space="preserve">selected the WOR as a study site for modeling microbial trait distributions with respect to geochemical gradients </w:t>
      </w:r>
      <w:r w:rsidR="00365526">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{"citationItems":[{"id":"ITEM-1","itemData":{"DOI":"doi: 10.1098/rspb.2014.2630","author":[{"dropping-particle":"","family":"Okie","given":"Jordan G","non-dropping-particle":"","parse-names":false,"suffix":""},{"dropping-particle":"Van","family":"Horn","given":"David J","non-dropping-particle":"","parse-names":false,"suffix":""},{"dropping-particle":"","family":"Storch","given":"David","non-dropping-particle":"","parse-names":false,"suffix":""},{"dropping-particle":"","family":"Barrett","given":"John E","non-dropping-particle":"","parse-names":false,"suffix":""},{"dropping-particle":"","family":"Gooseff","given":"Michael N","non-dropping-particle":"","parse-names":false,"suffix":""},{"dropping-particle":"","family":"Kopsova","given":"Lenka","non-dropping-particle":"","parse-names":false,"suffix":""},{"dropping-particle":"","family":"Takacs-vesbach","given":"Cristina D","non-dropping-particle":"","parse-names":false,"suffix":""},{"dropping-particle":"","family":"Okie","given":"Jordan G","non-dropping-particle":"","parse-names":false,"suffix":""}],"container-title":"Royal Society Proceedings B","id":"ITEM-1","issued":{"date-parts":[["2015"]]},"title":"Niche and metabolic principles explain patterns of diversity and distribution : theory and a case study with soil bacterial communities","type":"article-journal"},"uris":["http://www.mendeley.com/documents/?uuid=0ed2a5e1-358b-4b23-b536-aae467804475"]},{"id":"ITEM-2","itemData":{"DOI":"10.1038/s41559-019-0918-y","ISSN":"2397334X","abstract":"Organisms influence ecosystems, from element cycling to disturbance regimes, to trophic interactions and to energy partitioning. Microorganisms are part of this influence, and understanding their ecology in nature requires studying the traits of these organisms quantitatively in their natural habitats—a challenging task, but one which new approaches now make possible. Here, we show that growth rate and carbon assimilation rate of soil microorganisms are influenced more by evolutionary history than by climate, even across a broad climatic gradient spanning major temperate life zones, from mixed conifer forest to high-desert grassland. Most of the explained variation (~50% to ~90%) in growth rate and carbon assimilation rate was attributable to differences among taxonomic groups, indicating a strong influence of evolutionary history, and taxonomic groupings were more predictive for organisms responding to resource addition. With added carbon and nitrogen substrates, differences among taxonomic groups explained approximately eightfold more variance in growth rate than did differences in ecosystem type. Taxon-specific growth and carbon assimilation rates were highly intercorrelated across the four ecosystems, constrained by the taxonomic identity of the organisms, such that plasticity driven by environment was limited across ecosystems varying in temperature, precipitation and dominant vegetation. Taken together, our results suggest that, similar to multicellular life, the traits of prokaryotes in their natural habitats are constrained by evolutionary history to a greater degree than environmental variation.","author":[{"dropping-particle":"","family":"Morrissey","given":"Ember M.","non-dropping-particle":"","parse-names":false,"suffix":""},{"dropping-particle":"","family":"Mau","given":"Rebecca L.","non-dropping-particle":"","parse-names":false,"suffix":""},{"dropping-particle":"","family":"Hayer","given":"Michaela","non-dropping-particle":"","parse-names":false,"suffix":""},{"dropping-particle":"","family":"Liu","given":"Xiao Jun Allen","non-dropping-particle":"","parse-names":false,"suffix":""},{"dropping-particle":"","family":"Schwartz","given":"Egbert","non-dropping-particle":"","parse-names":false,"suffix":""},{"dropping-particle":"","family":"Dijkstra","given":"Paul","non-dropping-particle":"","parse-names":false,"suffix":""},{"dropping-particle":"","family":"Koch","given":"Benjamin J.","non-dropping-particle":"","parse-names":false,"suffix":""},{"dropping-particle":"","family":"Allen","given":"Kara","non-dropping-particle":"","parse-names":false,"suffix":""},{"dropping-particle":"","family":"Blazewicz","given":"Steven J.","non-dropping-particle":"","parse-names":false,"suffix":""},{"dropping-particle":"","family":"Hofmockel","given":"Kirsten","non-dropping-particle":"","parse-names":false,"suffix":""},{"dropping-particle":"","family":"Pett-Ridge","given":"Jennifer","non-dropping-particle":"","parse-names":false,"suffix":""},{"dropping-particle":"","family":"Hungate","given":"Bruce A.","non-dropping-particle":"","parse-names":false,"suffix":""}],"container-title":"Nature Ecology and Evolution","id":"ITEM-2","issue":"7","issued":{"date-parts":[["2019"]]},"page":"1064-1069","publisher":"Springer US","title":"Evolutionary history constrains microbial traits across environmental variation","type":"article-journal","volume":"3"},"uris":["http://www.mendeley.com/documents/?uuid=350bb540-bf2b-47ac-9f31-ccb8ab4e43c2"]}],"mendeley":{"formattedCitation":"(121, 122)","plainTextFormattedCitation":"(121, 122)","previouslyFormattedCitation":"(120, 121)"},"properties":{"noteIndex":0},"schema":"https://github.com/citation-style-language/schema/raw/master/csl-citation.json"}</w:instrText>
      </w:r>
      <w:r w:rsidR="00365526">
        <w:rPr>
          <w:rFonts w:ascii="Times New Roman" w:hAnsi="Times New Roman" w:cs="Times New Roman"/>
        </w:rPr>
        <w:fldChar w:fldCharType="separate"/>
      </w:r>
      <w:r w:rsidR="00307058" w:rsidRPr="00307058">
        <w:rPr>
          <w:rFonts w:ascii="Times New Roman" w:hAnsi="Times New Roman" w:cs="Times New Roman"/>
          <w:noProof/>
        </w:rPr>
        <w:t>(121, 122)</w:t>
      </w:r>
      <w:r w:rsidR="00365526">
        <w:rPr>
          <w:rFonts w:ascii="Times New Roman" w:hAnsi="Times New Roman" w:cs="Times New Roman"/>
        </w:rPr>
        <w:fldChar w:fldCharType="end"/>
      </w:r>
      <w:r w:rsidR="00365526">
        <w:rPr>
          <w:rFonts w:ascii="Times New Roman" w:hAnsi="Times New Roman" w:cs="Times New Roman"/>
        </w:rPr>
        <w:t xml:space="preserve">. </w:t>
      </w:r>
    </w:p>
    <w:p w14:paraId="4A2DC763" w14:textId="65A6783A" w:rsidR="00365526" w:rsidRPr="000B4AA8" w:rsidRDefault="00365526" w:rsidP="00365526">
      <w:pPr>
        <w:spacing w:before="240" w:line="480" w:lineRule="auto"/>
        <w:ind w:firstLine="720"/>
        <w:rPr>
          <w:rFonts w:ascii="Times New Roman" w:hAnsi="Times New Roman" w:cs="Times New Roman"/>
        </w:rPr>
      </w:pPr>
      <w:r>
        <w:rPr>
          <w:rFonts w:ascii="Times New Roman" w:hAnsi="Times New Roman" w:cs="Times New Roman"/>
        </w:rPr>
        <w:t xml:space="preserve">Although our primary goal was modeling microbial trait distributions, a budget analysis of carbon and sulfur in WOR sediments had not been evaluated since </w:t>
      </w:r>
      <w:r w:rsidR="00BB6954">
        <w:rPr>
          <w:rFonts w:ascii="Times New Roman" w:hAnsi="Times New Roman" w:cs="Times New Roman"/>
        </w:rPr>
        <w:t>1998, or 6.8 cm of accumulated sediment, assuming a 0.31 cm yr</w:t>
      </w:r>
      <w:r w:rsidR="00BB6954">
        <w:rPr>
          <w:rFonts w:ascii="Times New Roman" w:hAnsi="Times New Roman" w:cs="Times New Roman"/>
          <w:vertAlign w:val="superscript"/>
        </w:rPr>
        <w:t>-1</w:t>
      </w:r>
      <w:r w:rsidR="00BB6954">
        <w:rPr>
          <w:rFonts w:ascii="Times New Roman" w:hAnsi="Times New Roman" w:cs="Times New Roman"/>
        </w:rPr>
        <w:t xml:space="preserve"> rate for the WOR estuary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Research","id":"ITEM-1","issue":"14-15","issued":{"date-parts":[["1998"]]},"page":"1771-1793","title":"Biogeochemical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Sediments","type":"article-journal","volume":"18"},"uris":["http://www.mendeley.com/documents/?uuid=f58213f7-2aba-41a0-ad11-b3deae1e2092"]},{"id":"ITEM-2","itemData":{"DOI":"10.1016/S0278-4343(98)00056-9","ISSN":"02784343","abstract":"A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Research","id":"ITEM-2","issue":"14-15","issued":{"date-parts":[["1998"]]},"page":"1741-1770","title":"Biogeochemical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id":"ITEM-3","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Oceanography","id":"ITEM-3","issue":"2","issued":{"date-parts":[["1990"]]},"page":"372-383","title":"Variations in sedimentary carbon remineralization rates in the White Oak River estuary, North Carolina","type":"article-journal","volume":"35"},"uris":["http://www.mendeley.com/documents/?uuid=84c9ad85-5fc2-45b3-b5a3-d5ddf5033ca0"]}],"mendeley":{"formattedCitation":"(17, 18, 116)","plainTextFormattedCitation":"(17, 18, 116)","previouslyFormattedCitation":"(16, 17, 115)"},"properties":{"noteIndex":0},"schema":"https://github.com/citation-style-language/schema/raw/master/csl-citation.json"}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(17, 18, 116)</w:t>
      </w:r>
      <w:r>
        <w:rPr>
          <w:rFonts w:ascii="Times New Roman" w:hAnsi="Times New Roman" w:cs="Times New Roman"/>
        </w:rPr>
        <w:fldChar w:fldCharType="end"/>
      </w:r>
      <w:r>
        <w:rPr>
          <w:rFonts w:ascii="Times New Roman" w:hAnsi="Times New Roman" w:cs="Times New Roman"/>
        </w:rPr>
        <w:t xml:space="preserve">. Specific interest in carbon and sulfur pertains to these elements being the primary source of electron donors and acceptors in WOR sediments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Oceanography","id":"ITEM-1","issue":"2","issued":{"date-parts":[["1990"]]},"page":"372-383","title":"Variations in sedimentary carbon remineralization rates in the White Oak River estuary, North Carolina","type":"article-journal","volume":"35"},"uris":["http://www.mendeley.com/documents/?uuid=84c9ad85-5fc2-45b3-b5a3-d5ddf5033ca0"]}],"mendeley":{"formattedCitation":"(116)","plainTextFormattedCitation":"(116)","previouslyFormattedCitation":"(115)"},"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(116)</w:t>
      </w:r>
      <w:r>
        <w:rPr>
          <w:rFonts w:ascii="Times New Roman" w:hAnsi="Times New Roman" w:cs="Times New Roman"/>
        </w:rPr>
        <w:fldChar w:fldCharType="end"/>
      </w:r>
      <w:r>
        <w:rPr>
          <w:rFonts w:ascii="Times New Roman" w:hAnsi="Times New Roman" w:cs="Times New Roman"/>
        </w:rPr>
        <w:t>. In these studies, CH</w:t>
      </w:r>
      <w:r>
        <w:rPr>
          <w:rFonts w:ascii="Times New Roman" w:hAnsi="Times New Roman" w:cs="Times New Roman"/>
          <w:vertAlign w:val="subscript"/>
        </w:rPr>
        <w:t>4</w:t>
      </w:r>
      <w:r>
        <w:rPr>
          <w:rFonts w:ascii="Times New Roman" w:hAnsi="Times New Roman" w:cs="Times New Roman"/>
        </w:rPr>
        <w:t>, CO</w:t>
      </w:r>
      <w:r>
        <w:rPr>
          <w:rFonts w:ascii="Times New Roman" w:hAnsi="Times New Roman" w:cs="Times New Roman"/>
          <w:vertAlign w:val="subscript"/>
        </w:rPr>
        <w:t>2</w:t>
      </w:r>
      <w:r>
        <w:rPr>
          <w:rFonts w:ascii="Times New Roman" w:hAnsi="Times New Roman" w:cs="Times New Roman"/>
        </w:rPr>
        <w:t>,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concentration profiles were assumed to be in steady-state, with diffusion-dominated transport. Here, major seawater ion concentrations, total organic carbon (TOC), total organic nitrogen (TON), dissolved organic matter (DOM) absorption spectra, NH</w:t>
      </w:r>
      <w:r>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vertAlign w:val="subscript"/>
        </w:rPr>
        <w:t xml:space="preserve"> </w:t>
      </w:r>
      <w:r w:rsidRPr="00FD458C">
        <w:rPr>
          <w:rFonts w:ascii="Times New Roman" w:hAnsi="Times New Roman" w:cs="Times New Roman"/>
        </w:rPr>
        <w:t>conc</w:t>
      </w:r>
      <w:r>
        <w:rPr>
          <w:rFonts w:ascii="Times New Roman" w:hAnsi="Times New Roman" w:cs="Times New Roman"/>
        </w:rPr>
        <w:t>entrations, PO</w:t>
      </w:r>
      <w:r>
        <w:rPr>
          <w:rFonts w:ascii="Times New Roman" w:hAnsi="Times New Roman" w:cs="Times New Roman"/>
          <w:vertAlign w:val="subscript"/>
        </w:rPr>
        <w:t>4</w:t>
      </w:r>
      <w:r>
        <w:rPr>
          <w:rFonts w:ascii="Times New Roman" w:hAnsi="Times New Roman" w:cs="Times New Roman"/>
          <w:vertAlign w:val="superscript"/>
        </w:rPr>
        <w:t>3-</w:t>
      </w:r>
      <w:r>
        <w:rPr>
          <w:rFonts w:ascii="Times New Roman" w:hAnsi="Times New Roman" w:cs="Times New Roman"/>
          <w:vertAlign w:val="subscript"/>
        </w:rPr>
        <w:t xml:space="preserve"> </w:t>
      </w:r>
      <w:r w:rsidRPr="00FD458C">
        <w:rPr>
          <w:rFonts w:ascii="Times New Roman" w:hAnsi="Times New Roman" w:cs="Times New Roman"/>
        </w:rPr>
        <w:t>conc</w:t>
      </w:r>
      <w:r>
        <w:rPr>
          <w:rFonts w:ascii="Times New Roman" w:hAnsi="Times New Roman" w:cs="Times New Roman"/>
        </w:rPr>
        <w:t>entrations, CH</w:t>
      </w:r>
      <w:r>
        <w:rPr>
          <w:rFonts w:ascii="Times New Roman" w:hAnsi="Times New Roman" w:cs="Times New Roman"/>
          <w:vertAlign w:val="subscript"/>
        </w:rPr>
        <w:t xml:space="preserve">4 </w:t>
      </w:r>
      <w:r w:rsidRPr="00FD458C">
        <w:rPr>
          <w:rFonts w:ascii="Times New Roman" w:hAnsi="Times New Roman" w:cs="Times New Roman"/>
        </w:rPr>
        <w:t>conc</w:t>
      </w:r>
      <w:r>
        <w:rPr>
          <w:rFonts w:ascii="Times New Roman" w:hAnsi="Times New Roman" w:cs="Times New Roman"/>
        </w:rPr>
        <w:t xml:space="preserve">entrations, and </w:t>
      </w:r>
      <w:r>
        <w:rPr>
          <w:rFonts w:ascii="Times New Roman" w:hAnsi="Times New Roman" w:cs="Times New Roman"/>
        </w:rPr>
        <w:lastRenderedPageBreak/>
        <w:t xml:space="preserve">bulk organic </w:t>
      </w:r>
      <w:r>
        <w:rPr>
          <w:rFonts w:ascii="Times New Roman" w:hAnsi="Times New Roman" w:cs="Times New Roman"/>
          <w:vertAlign w:val="superscript"/>
        </w:rPr>
        <w:t>13</w:t>
      </w:r>
      <w:r>
        <w:rPr>
          <w:rFonts w:ascii="Times New Roman" w:hAnsi="Times New Roman" w:cs="Times New Roman"/>
        </w:rPr>
        <w:t xml:space="preserve">C </w:t>
      </w:r>
      <w:r w:rsidR="001630D2">
        <w:rPr>
          <w:rFonts w:ascii="Times New Roman" w:hAnsi="Times New Roman" w:cs="Times New Roman"/>
        </w:rPr>
        <w:t xml:space="preserve">content (or C isotope ratios) </w:t>
      </w:r>
      <w:r>
        <w:rPr>
          <w:rFonts w:ascii="Times New Roman" w:hAnsi="Times New Roman" w:cs="Times New Roman"/>
        </w:rPr>
        <w:t>were measured in a 62 cm sediment core collected on 29 May 2019.</w:t>
      </w:r>
      <w:r w:rsidR="00CF0FEA">
        <w:rPr>
          <w:rFonts w:ascii="Times New Roman" w:hAnsi="Times New Roman" w:cs="Times New Roman"/>
        </w:rPr>
        <w:t xml:space="preserve"> I </w:t>
      </w:r>
      <w:r>
        <w:rPr>
          <w:rFonts w:ascii="Times New Roman" w:hAnsi="Times New Roman" w:cs="Times New Roman"/>
        </w:rPr>
        <w:t>constructed budgets for TOC, dissolved inorganic carbon (DIC), CH</w:t>
      </w:r>
      <w:r>
        <w:rPr>
          <w:rFonts w:ascii="Times New Roman" w:hAnsi="Times New Roman" w:cs="Times New Roman"/>
          <w:vertAlign w:val="subscript"/>
        </w:rPr>
        <w:t>4</w:t>
      </w:r>
      <w:r>
        <w:rPr>
          <w:rFonts w:ascii="Times New Roman" w:hAnsi="Times New Roman" w:cs="Times New Roman"/>
        </w:rPr>
        <w:t>,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using a reactive-transport model which assumed steady-state concentrations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Research","id":"ITEM-1","issue":"14-15","issued":{"date-parts":[["1998"]]},"page":"1741-1770","title":"Biogeochemical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mendeley":{"formattedCitation":"(18)","plainTextFormattedCitation":"(18)","previouslyFormattedCitation":"(17)"},"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(18)</w:t>
      </w:r>
      <w:r>
        <w:rPr>
          <w:rFonts w:ascii="Times New Roman" w:hAnsi="Times New Roman" w:cs="Times New Roman"/>
        </w:rPr>
        <w:fldChar w:fldCharType="end"/>
      </w:r>
      <w:r>
        <w:rPr>
          <w:rFonts w:ascii="Times New Roman" w:hAnsi="Times New Roman" w:cs="Times New Roman"/>
        </w:rPr>
        <w:t>. When assuming chemical transport was diffusion-dominated, the annual fluxes for TOC, DIC, CH</w:t>
      </w:r>
      <w:r>
        <w:rPr>
          <w:rFonts w:ascii="Times New Roman" w:hAnsi="Times New Roman" w:cs="Times New Roman"/>
          <w:vertAlign w:val="subscript"/>
        </w:rPr>
        <w:t>4</w:t>
      </w:r>
      <w:r w:rsidRPr="00372591">
        <w:rPr>
          <w:rFonts w:ascii="Times New Roman" w:hAnsi="Times New Roman" w:cs="Times New Roman"/>
        </w:rPr>
        <w:t>,</w:t>
      </w:r>
      <w:r>
        <w:rPr>
          <w:rFonts w:ascii="Times New Roman" w:hAnsi="Times New Roman" w:cs="Times New Roman"/>
        </w:rPr>
        <w:t xml:space="preserve">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were comparable to previously reported values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Research","id":"ITEM-1","issue":"14-15","issued":{"date-parts":[["1998"]]},"page":"1741-1770","title":"Biogeochemical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mendeley":{"formattedCitation":"(18)","plainTextFormattedCitation":"(18)","previouslyFormattedCitation":"(17)"},"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(18)</w:t>
      </w:r>
      <w:r>
        <w:rPr>
          <w:rFonts w:ascii="Times New Roman" w:hAnsi="Times New Roman" w:cs="Times New Roman"/>
        </w:rPr>
        <w:fldChar w:fldCharType="end"/>
      </w:r>
      <w:r>
        <w:rPr>
          <w:rFonts w:ascii="Times New Roman" w:hAnsi="Times New Roman" w:cs="Times New Roman"/>
        </w:rPr>
        <w:t>. However,</w:t>
      </w:r>
      <w:r w:rsidR="00CF0FEA">
        <w:rPr>
          <w:rFonts w:ascii="Times New Roman" w:hAnsi="Times New Roman" w:cs="Times New Roman"/>
        </w:rPr>
        <w:t xml:space="preserve"> I </w:t>
      </w:r>
      <w:r>
        <w:rPr>
          <w:rFonts w:ascii="Times New Roman" w:hAnsi="Times New Roman" w:cs="Times New Roman"/>
        </w:rPr>
        <w:t>noted a few difference</w:t>
      </w:r>
      <w:r w:rsidR="00C13426">
        <w:rPr>
          <w:rFonts w:ascii="Times New Roman" w:hAnsi="Times New Roman" w:cs="Times New Roman"/>
        </w:rPr>
        <w:t>s</w:t>
      </w:r>
      <w:r>
        <w:rPr>
          <w:rFonts w:ascii="Times New Roman" w:hAnsi="Times New Roman" w:cs="Times New Roman"/>
        </w:rPr>
        <w:t xml:space="preserve"> in the concentration depth profiles. Notably, there was a previously unreported increase in TOC at the sulfate-methane transition zone (SMTZ) which may reflect biomass growth from an anerobic oxidation of methane (AOM) metabolism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{"citationItems":[{"id":"ITEM-1","itemData":{"DOI":"10.1016/j.gca.2008.05.039","ISSN":"00167037","abstract":"The free energy yield of microbial respiration reactions in anaerobic marine sediments must be sufficient to be conserved as biologically usable energy in the form of ATP. Anaerobic oxidation of methane (AOM) coupled to sulfate reduction (SRR) has a very low standard free energy yield of ΔG{ring operator} = -33 kJ mol-1, but the in situ energy yield strongly depends on the concentrations of substrates and products in the pore water of the sediment. In this work ΔG for the AOM-SRR process was calculated from the pore water concentrations of methane, sulfate, sulfide, and dissolved inorganic carbon (DIC) in sediment cores from different sites of the European continental margin in order to determine the influence of thermodynamic regulation on the activity and distribution of microorganisms mediating AOM-SRR. In the zone of methane and sulfate coexistence, the methane-sulfate transition zone (SMTZ), the energy yield was rarely less than -20 kJ mol-1 and was mostly rather constant throughout this zone. The kinetic drive was highest at the lower part of the SMTZ, matching the occurrence of maximum AOM rates. The results show that the location of maximum AOM rates is determined by a combination of thermodynamic and kinetic drive, whereas the rate activity mainly depends on kinetic regulation. © 2008 Elsevier Ltd. All rights reserved.","author":[{"dropping-particle":"","family":"Knab","given":"Nina J.","non-dropping-particle":"","parse-names":false,"suffix":""},{"dropping-particle":"","family":"Dale","given":"Andrew W.","non-dropping-particle":"","parse-names":false,"suffix":""},{"dropping-particle":"","family":"Lettmann","given":"Karsten","non-dropping-particle":"","parse-names":false,"suffix":""},{"dropping-particle":"","family":"Fossing","given":"Henrik","non-dropping-particle":"","parse-names":false,"suffix":""},{"dropping-particle":"","family":"Jørgensen","given":"Bo B.","non-dropping-particle":"","parse-names":false,"suffix":""}],"container-title":"Geochimica et Cosmochimica Acta","id":"ITEM-1","issue":"15","issued":{"date-parts":[["2008"]]},"page":"3746-3757","title":"Thermodynamic and kinetic control on anaerobic oxidation of methane in marine sediments","type":"article-journal","volume":"72"},"uris":["http://www.mendeley.com/documents/?uuid=a1f84fee-a92a-4110-b7c4-14ad65582b32"]}],"mendeley":{"formattedCitation":"(123)","plainTextFormattedCitation":"(123)","previouslyFormattedCitation":"(122)"},"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(123)</w:t>
      </w:r>
      <w:r>
        <w:rPr>
          <w:rFonts w:ascii="Times New Roman" w:hAnsi="Times New Roman" w:cs="Times New Roman"/>
        </w:rPr>
        <w:fldChar w:fldCharType="end"/>
      </w:r>
      <w:r>
        <w:rPr>
          <w:rFonts w:ascii="Times New Roman" w:hAnsi="Times New Roman" w:cs="Times New Roman"/>
        </w:rPr>
        <w:t>. Furthermore, advection-dominated chemical transport resulted in elevated CH</w:t>
      </w:r>
      <w:r>
        <w:rPr>
          <w:rFonts w:ascii="Times New Roman" w:hAnsi="Times New Roman" w:cs="Times New Roman"/>
          <w:vertAlign w:val="subscript"/>
        </w:rPr>
        <w:t>4</w:t>
      </w:r>
      <w:r>
        <w:rPr>
          <w:rFonts w:ascii="Times New Roman" w:hAnsi="Times New Roman" w:cs="Times New Roman"/>
        </w:rPr>
        <w:t xml:space="preserve"> oxidation rates and reduced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reduction rates. Based on the findings here, assumptions of steady-state may be valid for WOR sediments; however, better constraint on groundwater upwelling is necessary to better characterize sulfur cycling in WOR sediments.</w:t>
      </w:r>
      <w:r w:rsidRPr="00592407">
        <w:rPr>
          <w:rFonts w:ascii="Times New Roman" w:hAnsi="Times New Roman" w:cs="Times New Roman"/>
        </w:rPr>
        <w:t xml:space="preserve"> </w:t>
      </w:r>
    </w:p>
    <w:p w14:paraId="498CCA30" w14:textId="77777777" w:rsidR="00614780" w:rsidRPr="00F23F20" w:rsidRDefault="00614780" w:rsidP="00614780">
      <w:pPr>
        <w:pStyle w:val="Heading2"/>
      </w:pPr>
      <w:bookmarkStart w:id="259" w:name="_Toc41908141"/>
      <w:bookmarkStart w:id="260" w:name="_Toc41908131"/>
      <w:r w:rsidRPr="00F23F20">
        <w:t>Materials and Methods</w:t>
      </w:r>
      <w:bookmarkEnd w:id="259"/>
    </w:p>
    <w:p w14:paraId="39356376" w14:textId="77777777" w:rsidR="00614780" w:rsidRDefault="00614780" w:rsidP="00614780">
      <w:pPr>
        <w:pStyle w:val="Heading3"/>
      </w:pPr>
      <w:bookmarkStart w:id="261" w:name="_Toc41908142"/>
      <w:r>
        <w:t>Site Description</w:t>
      </w:r>
      <w:bookmarkEnd w:id="261"/>
    </w:p>
    <w:p w14:paraId="50357F68" w14:textId="4FB87365" w:rsidR="00614780" w:rsidRPr="00084689" w:rsidRDefault="00614780" w:rsidP="00614780">
      <w:pPr>
        <w:spacing w:line="480" w:lineRule="auto"/>
        <w:ind w:firstLine="720"/>
        <w:rPr>
          <w:rFonts w:ascii="Times New Roman" w:hAnsi="Times New Roman" w:cs="Times New Roman"/>
        </w:rPr>
      </w:pPr>
      <w:r>
        <w:rPr>
          <w:rFonts w:ascii="Times New Roman" w:hAnsi="Times New Roman" w:cs="Times New Roman"/>
        </w:rPr>
        <w:t xml:space="preserve">The White Oak River (WOR) is an ~80 km long blackwater river located in eastern North Carolina, United States. The WOR is a part of a broader network of incised river valleys in the United States Coastal Plains, which are characterized by a high sediment OC fraction and high sedimentation rates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{"citationItems":[{"id":"ITEM-1","itemData":{"DOI":"10.1029/2019GB006376","ISSN":"19449224","abstract":"Estuaries represent the primary linkage between the terrestrial and marine carbon cycles, and estuarine processing of riverine and coastal carbon plays a disproportionately large role in the global carbon cycle relative to the small areal extent of the estuarine environments. However, knowledge of the rate of organic carbon deposition and burial in estuarine sediments is lacking at regional scales. Data on surficial total organic carbon, linear sedimentation, and bulk density of estuarine sediments were compiled and categorized via a cluster analysis in order to estimate carbon deposition within the contiguous United States (CONUS). The cluster analysis broadly grouped estuaries by geography, but exceptions to geographic clustering highlighted differences within regions. A transfer function from deposition to burial based on linear sedimentation rate was used to estimate burial efficiency, and thus the rate of carbon burial within each cluster. We estimate organic carbon deposition rates within CONUS estuarine sediments to be 161 [121–217, 95% confidence] g C/m2/yr with a burial efficiency estimated at 38 [34–42, 95% confidence] %, which yields a long-term burial rate of 64 [44–97, 95% confidence] g C/m2/yr. Spatially integrated organic deposition and burial rates are 11.3 [8.5–15.2, 95% confidence] and 4.5 [3.1–6.8, 95% confidence] Tg C/yr, respectively. Our findings allow a more thorough understanding of coastal carbon cycling, which is critical for both management purposes as well as for the assessment of the role of estuaries in past and future climate change.","author":[{"dropping-particle":"","family":"Hutchings","given":"J. A.","non-dropping-particle":"","parse-names":false,"suffix":""},{"dropping-particle":"","family":"Bianchi","given":"T. S.","non-dropping-particle":"","parse-names":false,"suffix":""},{"dropping-particle":"","family":"Najjar","given":"R. G.","non-dropping-particle":"","parse-names":false,"suffix":""},{"dropping-particle":"","family":"Herrmann","given":"M.","non-dropping-particle":"","parse-names":false,"suffix":""},{"dropping-particle":"","family":"Kemp","given":"W. M.","non-dropping-particle":"","parse-names":false,"suffix":""},{"dropping-particle":"","family":"Hinson","given":"A. L.","non-dropping-particle":"","parse-names":false,"suffix":""},{"dropping-particle":"","family":"Feagin","given":"R. A.","non-dropping-particle":"","parse-names":false,"suffix":""}],"container-title":"Global Biogeochemical Cycles","id":"ITEM-1","issue":"2","issued":{"date-parts":[["2020"]]},"title":"Carbon Deposition and Burial in Estuarine Sediments of the Contiguous United States","type":"article-journal","volume":"34"},"uris":["http://www.mendeley.com/documents/?uuid=aedf8aab-554b-49f4-b394-534a9f8f2c76"]}],"mendeley":{"formattedCitation":"(114)","plainTextFormattedCitation":"(114)","previouslyFormattedCitation":"(113)"},"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(114)</w:t>
      </w:r>
      <w:r>
        <w:rPr>
          <w:rFonts w:ascii="Times New Roman" w:hAnsi="Times New Roman" w:cs="Times New Roman"/>
        </w:rPr>
        <w:fldChar w:fldCharType="end"/>
      </w:r>
      <w:r>
        <w:rPr>
          <w:rFonts w:ascii="Times New Roman" w:hAnsi="Times New Roman" w:cs="Times New Roman"/>
        </w:rPr>
        <w:t xml:space="preserve">. Water column temperatures vary from 22°C to 32°C during summer months and have been observed to be as low as 3.5°C during winter months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{"citationItems":[{"id":"ITEM-1","itemData":{"DOI":"10.1016/S0022-1694(01)00405-X","ISSN":"00221694","abstract":"We calculate rates of groundwater discharge into the White Oak River in coastal North Carolina, using time series measurements of the thermal structure of shallow estuarine sediments recorded over a period of four months. Computer models using numerical solutions to the advection-diffusion equation show that sediment thermal structure is not explained by purely conductive heat transport. Results of models that incorporate groundwater advection from an underlying source closely mimic field observations of sediment temperatures, verifying that thermal data can be used to monitor groundwater discharge. An advantage of this technique is that it provides insight into temporal variations in groundwater flow rates. Thermal methods may thus be useful for quantifying groundwater flux in areas where low volumes of discharge cannot be detected by direct observation. © 2001 Elsevier Science B.V.","author":[{"dropping-particle":"","family":"Land","given":"Lewis A.","non-dropping-particle":"","parse-names":false,"suffix":""},{"dropping-particle":"","family":"Paull","given":"Charles K.","non-dropping-particle":"","parse-names":false,"suffix":""}],"container-title":"Journal of Hydrology","id":"ITEM-1","issue":"1-4","issued":{"date-parts":[["2001"]]},"page":"198-215","title":"Thermal gradients as a tool for estimating groundwater advective rates in a coastal estuary: White Oak River, North Carolina, USA","type":"article-journal","volume":"248"},"uris":["http://www.mendeley.com/documents/?uuid=6b707695-2b0a-42fa-98e6-4aa2f60337d5"]},{"id":"ITEM-2","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Oceanography","id":"ITEM-2","issue":"2","issued":{"date-parts":[["1990"]]},"page":"372-383","title":"Variations in sedimentary carbon remineralization rates in the White Oak River estuary, North Carolina","type":"article-journal","volume":"35"},"uris":["http://www.mendeley.com/documents/?uuid=84c9ad85-5fc2-45b3-b5a3-d5ddf5033ca0"]}],"mendeley":{"formattedCitation":"(116, 124)","plainTextFormattedCitation":"(116, 124)","previouslyFormattedCitation":"(115, 123)"},"properties":{"noteIndex":0},"schema":"https://github.com/citation-style-language/schema/raw/master/csl-citation.json"}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(116, 124)</w:t>
      </w:r>
      <w:r>
        <w:rPr>
          <w:rFonts w:ascii="Times New Roman" w:hAnsi="Times New Roman" w:cs="Times New Roman"/>
        </w:rPr>
        <w:fldChar w:fldCharType="end"/>
      </w:r>
      <w:r>
        <w:rPr>
          <w:rFonts w:ascii="Times New Roman" w:hAnsi="Times New Roman" w:cs="Times New Roman"/>
        </w:rPr>
        <w:t xml:space="preserve">. The WOR is summarized as three major sections: </w:t>
      </w:r>
      <w:r>
        <w:rPr>
          <w:rFonts w:ascii="Times New Roman" w:hAnsi="Times New Roman" w:cs="Times New Roman"/>
        </w:rPr>
        <w:lastRenderedPageBreak/>
        <w:t xml:space="preserve">1) the upper estuary which is characterized by a narrow, meandering freshwater river 2) the middle estuary which is characterized by the widening of the river and high variability in water column salinity controlled by tidal patterns, and 3) the lower estuary which is characterized by a deltaic section with high water column salinity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{"citationItems":[{"id":"ITEM-1","itemData":{"DOI":"10.1016/j.margeo.2005.02.018","ISSN":"00253227","abstract":"The relationship between seismic wipe-outs, methane accumulation, and pore water salinity was investigated using high-resolution seismic profiles, pore water geochemical measurements, and sediment property data from the White Oak River Estuary, North Carolina. The estuary is a broad, shallow, drowned river valley filled with organic rich sediment where the salinity changes from fresh to sea water within 10 km. Uniboom seismic reflection profiles indicate a distinct pattern in the distribution of seismic wipe-outs. Wipe-outs dominate the upper estuary but are not observed in the lower estuary. Sediment pore water chlorinities decrease upstream but the sharpest gradients occur with depth. At ≤ 50 cm depths in the upper half of the estuary, pore waters typically have less than 100 mmol L-1 chloride even though overlying estuarine waters have 300-400 mmol L-1 chloride. Concave chloride profiles demonstrate that sediments in the upper estuary are actively flushed with fresh water moving upward through the sediments from underlying aquifers. The associated decrease in interstitial sulfate concentrations combined with high organic carbon content provides favorable conditions for methane production and accumulation. Seismic wipe-outs are correlated with areas of high methane concentrations and with sediments containing low pore water salinities. © 2005 Elsevier B.V. All rights reserved.","author":[{"dropping-particle":"","family":"Kogan","given":"Irina","non-dropping-particle":"","parse-names":false,"suffix":""},{"dropping-particle":"","family":"Paull","given":"Charles K.","non-dropping-particle":"","parse-names":false,"suffix":""}],"container-title":"Marine Geology","id":"ITEM-1","issue":"1-2","issued":{"date-parts":[["2005"]]},"page":"161-175","title":"Coastal seismic wipe-outs: Distribution controlled by pore water.","type":"article-journal","volume":"217"},"uris":["http://www.mendeley.com/documents/?uuid=4850f69b-59f6-435e-a84a-c7c588840abf"]}],"mendeley":{"formattedCitation":"(119)","plainTextFormattedCitation":"(119)","previouslyFormattedCitation":"(118)"},"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(119)</w:t>
      </w:r>
      <w:r>
        <w:rPr>
          <w:rFonts w:ascii="Times New Roman" w:hAnsi="Times New Roman" w:cs="Times New Roman"/>
        </w:rPr>
        <w:fldChar w:fldCharType="end"/>
      </w:r>
      <w:r>
        <w:rPr>
          <w:rFonts w:ascii="Times New Roman" w:hAnsi="Times New Roman" w:cs="Times New Roman"/>
        </w:rPr>
        <w:t>. Sediment OC fraction decreases while sediment porewater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concentrations increase as the WOR transitions from upper to lower estuary. The nature of these gradients results in methanogenesis being the dominant microbial metabolism in the WOR upper estuary sediments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reduction being the dominant microbial metabolism in the WOR lower estuary sediments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Oceanography","id":"ITEM-1","issue":"2","issued":{"date-parts":[["1990"]]},"page":"372-383","title":"Variations in sedimentary carbon remineralization rates in the White Oak River estuary, North Carolina","type":"article-journal","volume":"35"},"uris":["http://www.mendeley.com/documents/?uuid=84c9ad85-5fc2-45b3-b5a3-d5ddf5033ca0"]}],"mendeley":{"formattedCitation":"(116)","plainTextFormattedCitation":"(116)","previouslyFormattedCitation":"(115)"},"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(116)</w:t>
      </w:r>
      <w:r>
        <w:rPr>
          <w:rFonts w:ascii="Times New Roman" w:hAnsi="Times New Roman" w:cs="Times New Roman"/>
        </w:rPr>
        <w:fldChar w:fldCharType="end"/>
      </w:r>
      <w:r>
        <w:rPr>
          <w:rFonts w:ascii="Times New Roman" w:hAnsi="Times New Roman" w:cs="Times New Roman"/>
        </w:rPr>
        <w:t>.</w:t>
      </w:r>
    </w:p>
    <w:p w14:paraId="2F6594F2" w14:textId="77777777" w:rsidR="00614780" w:rsidRPr="00F23F20" w:rsidRDefault="00614780" w:rsidP="00614780">
      <w:pPr>
        <w:pStyle w:val="Heading3"/>
      </w:pPr>
      <w:bookmarkStart w:id="262" w:name="_Toc41908143"/>
      <w:r w:rsidRPr="00F23F20">
        <w:t>Core Sampling</w:t>
      </w:r>
      <w:bookmarkEnd w:id="262"/>
    </w:p>
    <w:p w14:paraId="670FCB6C" w14:textId="77777777" w:rsidR="00614780" w:rsidRPr="00F23F20" w:rsidRDefault="00614780" w:rsidP="00614780">
      <w:pPr>
        <w:spacing w:line="480" w:lineRule="auto"/>
        <w:rPr>
          <w:rFonts w:ascii="Times New Roman" w:hAnsi="Times New Roman" w:cs="Times New Roman"/>
        </w:rPr>
      </w:pPr>
      <w:r w:rsidRPr="00F23F20">
        <w:rPr>
          <w:rFonts w:ascii="Times New Roman" w:hAnsi="Times New Roman" w:cs="Times New Roman"/>
        </w:rPr>
        <w:tab/>
        <w:t xml:space="preserve">A small boat was sailed on the </w:t>
      </w:r>
      <w:r>
        <w:rPr>
          <w:rFonts w:ascii="Times New Roman" w:hAnsi="Times New Roman" w:cs="Times New Roman"/>
        </w:rPr>
        <w:t>WOR</w:t>
      </w:r>
      <w:r w:rsidRPr="00F23F20">
        <w:rPr>
          <w:rFonts w:ascii="Times New Roman" w:hAnsi="Times New Roman" w:cs="Times New Roman"/>
        </w:rPr>
        <w:t>, NC, USA to Station H (34° 44.490'N, 77° 07.44'W) on 29 May 2019. Multiple sediment cores were collected using a push core technique. The sediment core analyzed here was ~62 cm long. The sediment core was transported back to the University of Chapel Hill’s Institute of Marine Sciences (IMS), Morehead City, NC at ambient temperature. Upon arriving at IMS, the push core was immediately sectioned at 1 cm intervals in a wet chemistry lab. For individual depth intervals, sediment was sub-cored and partitioned into two sample aliquots. The first aliquot was 5 mL and was used for OM and porewater ion analysis. The second aliquot was 3 mL and used for CH</w:t>
      </w:r>
      <w:r w:rsidRPr="00F23F20">
        <w:rPr>
          <w:rFonts w:ascii="Times New Roman" w:hAnsi="Times New Roman" w:cs="Times New Roman"/>
          <w:vertAlign w:val="subscript"/>
        </w:rPr>
        <w:t>4</w:t>
      </w:r>
      <w:r w:rsidRPr="00F23F20">
        <w:rPr>
          <w:rFonts w:ascii="Times New Roman" w:hAnsi="Times New Roman" w:cs="Times New Roman"/>
        </w:rPr>
        <w:t xml:space="preserve"> concentration analysis. The CH</w:t>
      </w:r>
      <w:r w:rsidRPr="00F23F20">
        <w:rPr>
          <w:rFonts w:ascii="Times New Roman" w:hAnsi="Times New Roman" w:cs="Times New Roman"/>
          <w:vertAlign w:val="subscript"/>
        </w:rPr>
        <w:t>4</w:t>
      </w:r>
      <w:r w:rsidRPr="00F23F20">
        <w:rPr>
          <w:rFonts w:ascii="Times New Roman" w:hAnsi="Times New Roman" w:cs="Times New Roman"/>
        </w:rPr>
        <w:t xml:space="preserve"> aliquots were stored in crimped-sealed serum vials. The serum vials contained 1 mL 0.1 M KOH. The purpose of the KOH was to kill all living cells. After the sediment was added to the serum vial, the CH</w:t>
      </w:r>
      <w:r w:rsidRPr="00F23F20">
        <w:rPr>
          <w:rFonts w:ascii="Times New Roman" w:hAnsi="Times New Roman" w:cs="Times New Roman"/>
          <w:vertAlign w:val="subscript"/>
        </w:rPr>
        <w:t>4</w:t>
      </w:r>
      <w:r w:rsidRPr="00F23F20">
        <w:rPr>
          <w:rFonts w:ascii="Times New Roman" w:hAnsi="Times New Roman" w:cs="Times New Roman"/>
        </w:rPr>
        <w:t xml:space="preserve"> aliquot was shaken for ~1 min to ensure KOH homogeneity. The OM/IC aliquot was </w:t>
      </w:r>
      <w:r w:rsidRPr="00F23F20">
        <w:rPr>
          <w:rFonts w:ascii="Times New Roman" w:hAnsi="Times New Roman" w:cs="Times New Roman"/>
        </w:rPr>
        <w:lastRenderedPageBreak/>
        <w:t>stored in 15 mL falcon tubes. After samples were allocated into respective storage containers, all samples were stored in coolers with dry ice. Samples were transported back to the University of Tennessee, Knoxville, USA on 30 May 2019, and stored in -80°C freezers until sample analysis.</w:t>
      </w:r>
    </w:p>
    <w:p w14:paraId="63FBE153" w14:textId="77777777" w:rsidR="00614780" w:rsidRPr="00F23F20" w:rsidRDefault="00614780" w:rsidP="00614780">
      <w:pPr>
        <w:pStyle w:val="Heading3"/>
      </w:pPr>
      <w:bookmarkStart w:id="263" w:name="_Toc41908144"/>
      <w:r>
        <w:t xml:space="preserve">Methane </w:t>
      </w:r>
      <w:r w:rsidRPr="00F23F20">
        <w:t>Analysis</w:t>
      </w:r>
      <w:bookmarkEnd w:id="263"/>
    </w:p>
    <w:p w14:paraId="510006FE" w14:textId="7B51E98B" w:rsidR="00614780" w:rsidRPr="00F23F20" w:rsidRDefault="00614780" w:rsidP="00614780">
      <w:pPr>
        <w:spacing w:line="480" w:lineRule="auto"/>
        <w:ind w:firstLine="720"/>
        <w:rPr>
          <w:rFonts w:ascii="Times New Roman" w:hAnsi="Times New Roman" w:cs="Times New Roman"/>
        </w:rPr>
      </w:pPr>
      <w:r w:rsidRPr="00F23F20">
        <w:rPr>
          <w:rFonts w:ascii="Times New Roman" w:hAnsi="Times New Roman" w:cs="Times New Roman"/>
        </w:rPr>
        <w:t>The sediment aliquots designated for CH</w:t>
      </w:r>
      <w:r w:rsidRPr="00F23F20">
        <w:rPr>
          <w:rFonts w:ascii="Times New Roman" w:hAnsi="Times New Roman" w:cs="Times New Roman"/>
          <w:vertAlign w:val="subscript"/>
        </w:rPr>
        <w:t>4</w:t>
      </w:r>
      <w:r w:rsidRPr="00F23F20">
        <w:rPr>
          <w:rFonts w:ascii="Times New Roman" w:hAnsi="Times New Roman" w:cs="Times New Roman"/>
        </w:rPr>
        <w:t xml:space="preserve"> were unfrozen and 0.5 mL of headspace gas was sampled from individual serum vials. The sample headspace gas for an individual sample was injected into </w:t>
      </w:r>
      <w:r w:rsidRPr="004B5009">
        <w:rPr>
          <w:rFonts w:ascii="Times New Roman" w:hAnsi="Times New Roman" w:cs="Times New Roman"/>
        </w:rPr>
        <w:t>a gas chromatographer. CH</w:t>
      </w:r>
      <w:r w:rsidRPr="004B5009">
        <w:rPr>
          <w:rFonts w:ascii="Times New Roman" w:hAnsi="Times New Roman" w:cs="Times New Roman"/>
          <w:vertAlign w:val="subscript"/>
        </w:rPr>
        <w:t>4</w:t>
      </w:r>
      <w:r w:rsidRPr="004B5009">
        <w:rPr>
          <w:rFonts w:ascii="Times New Roman" w:hAnsi="Times New Roman" w:cs="Times New Roman"/>
        </w:rPr>
        <w:t xml:space="preserve"> was detected and quantified with a flame ionization detector</w:t>
      </w:r>
      <w:r w:rsidRPr="004B5009">
        <w:rPr>
          <w:rFonts w:ascii="Times New Roman" w:hAnsi="Times New Roman" w:cs="Times New Roman"/>
          <w:b/>
          <w:bCs/>
        </w:rPr>
        <w:t>.</w:t>
      </w:r>
      <w:r w:rsidRPr="00F23F20">
        <w:rPr>
          <w:rFonts w:ascii="Times New Roman" w:hAnsi="Times New Roman" w:cs="Times New Roman"/>
        </w:rPr>
        <w:t xml:space="preserve"> CH</w:t>
      </w:r>
      <w:r w:rsidRPr="00F23F20">
        <w:rPr>
          <w:rFonts w:ascii="Times New Roman" w:hAnsi="Times New Roman" w:cs="Times New Roman"/>
          <w:vertAlign w:val="subscript"/>
        </w:rPr>
        <w:t>4</w:t>
      </w:r>
      <w:r w:rsidRPr="00F23F20">
        <w:rPr>
          <w:rFonts w:ascii="Times New Roman" w:hAnsi="Times New Roman" w:cs="Times New Roman"/>
        </w:rPr>
        <w:t xml:space="preserve"> concentrations (</w:t>
      </w:r>
      <w:proofErr w:type="spellStart"/>
      <w:r w:rsidRPr="00F23F20">
        <w:rPr>
          <w:rFonts w:ascii="Times New Roman" w:hAnsi="Times New Roman" w:cs="Times New Roman"/>
        </w:rPr>
        <w:t>ppmv</w:t>
      </w:r>
      <w:proofErr w:type="spellEnd"/>
      <w:r w:rsidRPr="00F23F20">
        <w:rPr>
          <w:rFonts w:ascii="Times New Roman" w:hAnsi="Times New Roman" w:cs="Times New Roman"/>
        </w:rPr>
        <w:t>) were calibrated to a single point of a known CH</w:t>
      </w:r>
      <w:r w:rsidRPr="00F23F20">
        <w:rPr>
          <w:rFonts w:ascii="Times New Roman" w:hAnsi="Times New Roman" w:cs="Times New Roman"/>
          <w:vertAlign w:val="subscript"/>
        </w:rPr>
        <w:t>4</w:t>
      </w:r>
      <w:r w:rsidRPr="00F23F20">
        <w:rPr>
          <w:rFonts w:ascii="Times New Roman" w:hAnsi="Times New Roman" w:cs="Times New Roman"/>
        </w:rPr>
        <w:t xml:space="preserve"> concentration. CH</w:t>
      </w:r>
      <w:r w:rsidRPr="00F23F20">
        <w:rPr>
          <w:rFonts w:ascii="Times New Roman" w:hAnsi="Times New Roman" w:cs="Times New Roman"/>
          <w:vertAlign w:val="subscript"/>
        </w:rPr>
        <w:t>4</w:t>
      </w:r>
      <w:r w:rsidRPr="00F23F20">
        <w:rPr>
          <w:rFonts w:ascii="Times New Roman" w:hAnsi="Times New Roman" w:cs="Times New Roman"/>
        </w:rPr>
        <w:t xml:space="preserve"> concentrations were converted into units of molarity by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Microbiology","id":"ITEM-1","issue":"9","issued":{"date-parts":[["2011"]]},"page":"2548-2564","title":"Environmental evidence for net methane production and oxidation in putative ANaerobic MEthanotrophic (ANME) archaea","type":"article-journal","volume":"13"},"uris":["http://www.mendeley.com/documents/?uuid=66d37395-cd0d-4af9-893f-431870bc2bc8"]}],"mendeley":{"formattedCitation":"(117)","plainTextFormattedCitation":"(117)","previouslyFormattedCitation":"(116)"},"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(117)</w:t>
      </w:r>
      <w:r w:rsidRPr="00F23F20">
        <w:rPr>
          <w:rFonts w:ascii="Times New Roman" w:hAnsi="Times New Roman" w:cs="Times New Roman"/>
        </w:rPr>
        <w:fldChar w:fldCharType="end"/>
      </w:r>
      <w:r w:rsidRPr="00F23F20">
        <w:rPr>
          <w:rFonts w:ascii="Times New Roman" w:hAnsi="Times New Roman" w:cs="Times New Roman"/>
        </w:rPr>
        <w:t>:</w:t>
      </w:r>
    </w:p>
    <w:p w14:paraId="09190FF3" w14:textId="77777777" w:rsidR="00614780" w:rsidRPr="00F23F20" w:rsidRDefault="002A3883" w:rsidP="00614780">
      <w:pPr>
        <w:spacing w:line="480" w:lineRule="auto"/>
        <w:rPr>
          <w:rFonts w:ascii="Times New Roman" w:hAnsi="Times New Roman" w:cs="Times New Roman"/>
        </w:rPr>
      </w:pP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CH</m:t>
                </m:r>
              </m:e>
              <m:sub>
                <m:r>
                  <w:rPr>
                    <w:rFonts w:ascii="Cambria Math" w:hAnsi="Cambria Math" w:cs="Times New Roman"/>
                  </w:rPr>
                  <m:t>4</m:t>
                </m:r>
              </m:sub>
            </m:sSub>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CH</m:t>
                    </m:r>
                  </m:e>
                  <m:sub>
                    <m:r>
                      <w:rPr>
                        <w:rFonts w:ascii="Cambria Math" w:hAnsi="Cambria Math" w:cs="Times New Roman"/>
                      </w:rPr>
                      <m:t>4</m:t>
                    </m:r>
                  </m:sub>
                </m:sSub>
              </m:e>
            </m:d>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headspace</m:t>
                </m:r>
              </m:sub>
            </m:sSub>
          </m:num>
          <m:den>
            <m:r>
              <w:rPr>
                <w:rFonts w:ascii="Cambria Math" w:hAnsi="Cambria Math" w:cs="Times New Roman"/>
              </w:rPr>
              <m:t>RTφ</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sediment</m:t>
                </m:r>
              </m:sub>
            </m:sSub>
            <m:r>
              <w:rPr>
                <w:rFonts w:ascii="Cambria Math" w:hAnsi="Cambria Math" w:cs="Times New Roman"/>
              </w:rPr>
              <m:t>1000</m:t>
            </m:r>
            <m:d>
              <m:dPr>
                <m:ctrlPr>
                  <w:rPr>
                    <w:rFonts w:ascii="Cambria Math" w:hAnsi="Cambria Math" w:cs="Times New Roman"/>
                    <w:i/>
                  </w:rPr>
                </m:ctrlPr>
              </m:dPr>
              <m:e>
                <m:r>
                  <w:rPr>
                    <w:rFonts w:ascii="Cambria Math" w:hAnsi="Cambria Math" w:cs="Times New Roman"/>
                  </w:rPr>
                  <m:t>1-β</m:t>
                </m:r>
              </m:e>
            </m:d>
          </m:den>
        </m:f>
      </m:oMath>
      <w:r w:rsidR="00614780" w:rsidRPr="00F23F20">
        <w:rPr>
          <w:rFonts w:ascii="Times New Roman" w:hAnsi="Times New Roman" w:cs="Times New Roman"/>
        </w:rPr>
        <w:t xml:space="preserve">  </w:t>
      </w:r>
      <w:r w:rsidR="00614780" w:rsidRPr="00F23F20">
        <w:rPr>
          <w:rFonts w:ascii="Times New Roman" w:hAnsi="Times New Roman" w:cs="Times New Roman"/>
        </w:rPr>
        <w:tab/>
      </w:r>
      <w:r w:rsidR="00614780" w:rsidRPr="00F23F20">
        <w:rPr>
          <w:rFonts w:ascii="Times New Roman" w:hAnsi="Times New Roman" w:cs="Times New Roman"/>
        </w:rPr>
        <w:tab/>
      </w:r>
      <w:r w:rsidR="00614780" w:rsidRPr="00F23F20">
        <w:rPr>
          <w:rFonts w:ascii="Times New Roman" w:hAnsi="Times New Roman" w:cs="Times New Roman"/>
        </w:rPr>
        <w:tab/>
      </w:r>
      <w:r w:rsidR="00614780" w:rsidRPr="00F23F20">
        <w:rPr>
          <w:rFonts w:ascii="Times New Roman" w:hAnsi="Times New Roman" w:cs="Times New Roman"/>
        </w:rPr>
        <w:tab/>
      </w:r>
      <w:r w:rsidR="00614780" w:rsidRPr="00F23F20">
        <w:rPr>
          <w:rFonts w:ascii="Times New Roman" w:hAnsi="Times New Roman" w:cs="Times New Roman"/>
        </w:rPr>
        <w:tab/>
      </w:r>
      <w:r w:rsidR="00614780" w:rsidRPr="00F23F20">
        <w:rPr>
          <w:rFonts w:ascii="Times New Roman" w:hAnsi="Times New Roman" w:cs="Times New Roman"/>
        </w:rPr>
        <w:tab/>
      </w:r>
      <w:r w:rsidR="00614780" w:rsidRPr="00F23F20">
        <w:rPr>
          <w:rFonts w:ascii="Times New Roman" w:hAnsi="Times New Roman" w:cs="Times New Roman"/>
        </w:rPr>
        <w:tab/>
        <w:t xml:space="preserve">     (4.1</w:t>
      </w:r>
    </w:p>
    <w:p w14:paraId="2185904E" w14:textId="77777777" w:rsidR="00614780" w:rsidRPr="00F23F20" w:rsidRDefault="00614780" w:rsidP="00614780">
      <w:pPr>
        <w:spacing w:line="480" w:lineRule="auto"/>
        <w:rPr>
          <w:rFonts w:ascii="Times New Roman" w:hAnsi="Times New Roman" w:cs="Times New Roman"/>
        </w:rPr>
      </w:pPr>
      <w:r w:rsidRPr="00F23F20">
        <w:rPr>
          <w:rFonts w:ascii="Times New Roman" w:hAnsi="Times New Roman" w:cs="Times New Roman"/>
        </w:rPr>
        <w:t>where [CH</w:t>
      </w:r>
      <w:r w:rsidRPr="00F23F20">
        <w:rPr>
          <w:rFonts w:ascii="Times New Roman" w:hAnsi="Times New Roman" w:cs="Times New Roman"/>
          <w:vertAlign w:val="subscript"/>
        </w:rPr>
        <w:t>4</w:t>
      </w:r>
      <w:r w:rsidRPr="00F23F20">
        <w:rPr>
          <w:rFonts w:ascii="Times New Roman" w:hAnsi="Times New Roman" w:cs="Times New Roman"/>
        </w:rPr>
        <w:t>] was concentration (mmol cm</w:t>
      </w:r>
      <w:r w:rsidRPr="00F23F20">
        <w:rPr>
          <w:rFonts w:ascii="Times New Roman" w:hAnsi="Times New Roman" w:cs="Times New Roman"/>
          <w:vertAlign w:val="superscript"/>
        </w:rPr>
        <w:t>-3</w:t>
      </w:r>
      <w:r w:rsidRPr="00F23F20">
        <w:rPr>
          <w:rFonts w:ascii="Times New Roman" w:hAnsi="Times New Roman" w:cs="Times New Roman"/>
        </w:rPr>
        <w:t xml:space="preserve"> wet sediment), </w:t>
      </w:r>
      <w:r w:rsidRPr="00F23F20">
        <w:rPr>
          <w:rFonts w:ascii="Times New Roman" w:hAnsi="Times New Roman" w:cs="Times New Roman"/>
          <w:i/>
          <w:iCs/>
        </w:rPr>
        <w:t>p</w:t>
      </w:r>
      <w:r w:rsidRPr="00F23F20">
        <w:rPr>
          <w:rFonts w:ascii="Times New Roman" w:hAnsi="Times New Roman" w:cs="Times New Roman"/>
        </w:rPr>
        <w:t>(CH</w:t>
      </w:r>
      <w:r w:rsidRPr="00F23F20">
        <w:rPr>
          <w:rFonts w:ascii="Times New Roman" w:hAnsi="Times New Roman" w:cs="Times New Roman"/>
          <w:vertAlign w:val="subscript"/>
        </w:rPr>
        <w:t>4</w:t>
      </w:r>
      <w:r w:rsidRPr="00F23F20">
        <w:rPr>
          <w:rFonts w:ascii="Times New Roman" w:hAnsi="Times New Roman" w:cs="Times New Roman"/>
        </w:rPr>
        <w:t>) was the measured partial pressure of CH</w:t>
      </w:r>
      <w:r w:rsidRPr="00F23F20">
        <w:rPr>
          <w:rFonts w:ascii="Times New Roman" w:hAnsi="Times New Roman" w:cs="Times New Roman"/>
          <w:vertAlign w:val="subscript"/>
        </w:rPr>
        <w:t>4</w:t>
      </w:r>
      <w:r w:rsidRPr="00F23F20">
        <w:rPr>
          <w:rFonts w:ascii="Times New Roman" w:hAnsi="Times New Roman" w:cs="Times New Roman"/>
        </w:rPr>
        <w:t xml:space="preserve"> (</w:t>
      </w:r>
      <w:proofErr w:type="spellStart"/>
      <w:r w:rsidRPr="00F23F20">
        <w:rPr>
          <w:rFonts w:ascii="Times New Roman" w:hAnsi="Times New Roman" w:cs="Times New Roman"/>
        </w:rPr>
        <w:t>ppmv</w:t>
      </w:r>
      <w:proofErr w:type="spellEnd"/>
      <w:r w:rsidRPr="00F23F20">
        <w:rPr>
          <w:rFonts w:ascii="Times New Roman" w:hAnsi="Times New Roman" w:cs="Times New Roman"/>
        </w:rPr>
        <w:t xml:space="preserve">), </w:t>
      </w:r>
      <w:proofErr w:type="spellStart"/>
      <w:r w:rsidRPr="00F23F20">
        <w:rPr>
          <w:rFonts w:ascii="Times New Roman" w:hAnsi="Times New Roman" w:cs="Times New Roman"/>
          <w:i/>
          <w:iCs/>
        </w:rPr>
        <w:t>V</w:t>
      </w:r>
      <w:r w:rsidRPr="00F23F20">
        <w:rPr>
          <w:rFonts w:ascii="Times New Roman" w:hAnsi="Times New Roman" w:cs="Times New Roman"/>
          <w:vertAlign w:val="subscript"/>
        </w:rPr>
        <w:t>headspace</w:t>
      </w:r>
      <w:proofErr w:type="spellEnd"/>
      <w:r w:rsidRPr="00F23F20">
        <w:rPr>
          <w:rFonts w:ascii="Times New Roman" w:hAnsi="Times New Roman" w:cs="Times New Roman"/>
        </w:rPr>
        <w:t xml:space="preserve"> was the </w:t>
      </w:r>
      <w:proofErr w:type="spellStart"/>
      <w:r w:rsidRPr="00F23F20">
        <w:rPr>
          <w:rFonts w:ascii="Times New Roman" w:hAnsi="Times New Roman" w:cs="Times New Roman"/>
        </w:rPr>
        <w:t>serium</w:t>
      </w:r>
      <w:proofErr w:type="spellEnd"/>
      <w:r w:rsidRPr="00F23F20">
        <w:rPr>
          <w:rFonts w:ascii="Times New Roman" w:hAnsi="Times New Roman" w:cs="Times New Roman"/>
        </w:rPr>
        <w:t xml:space="preserve"> vial headspace volume (mL) after the addition of sediment and KOH, </w:t>
      </w:r>
      <w:r w:rsidRPr="00F23F20">
        <w:rPr>
          <w:rFonts w:ascii="Times New Roman" w:hAnsi="Times New Roman" w:cs="Times New Roman"/>
          <w:i/>
          <w:iCs/>
        </w:rPr>
        <w:t>R</w:t>
      </w:r>
      <w:r w:rsidRPr="00F23F20">
        <w:rPr>
          <w:rFonts w:ascii="Times New Roman" w:hAnsi="Times New Roman" w:cs="Times New Roman"/>
        </w:rPr>
        <w:t xml:space="preserve"> was the</w:t>
      </w:r>
      <w:r w:rsidRPr="00F23F20">
        <w:rPr>
          <w:rFonts w:ascii="Times New Roman" w:hAnsi="Times New Roman" w:cs="Times New Roman"/>
          <w:i/>
          <w:iCs/>
        </w:rPr>
        <w:t xml:space="preserve"> </w:t>
      </w:r>
      <w:r w:rsidRPr="00F23F20">
        <w:rPr>
          <w:rFonts w:ascii="Times New Roman" w:hAnsi="Times New Roman" w:cs="Times New Roman"/>
        </w:rPr>
        <w:t>universal gas constant (L atm mol</w:t>
      </w:r>
      <w:r w:rsidRPr="00F23F20">
        <w:rPr>
          <w:rFonts w:ascii="Times New Roman" w:hAnsi="Times New Roman" w:cs="Times New Roman"/>
          <w:vertAlign w:val="superscript"/>
        </w:rPr>
        <w:t>-1</w:t>
      </w:r>
      <w:r w:rsidRPr="00F23F20">
        <w:rPr>
          <w:rFonts w:ascii="Times New Roman" w:hAnsi="Times New Roman" w:cs="Times New Roman"/>
        </w:rPr>
        <w:t xml:space="preserve"> K</w:t>
      </w:r>
      <w:r w:rsidRPr="00F23F20">
        <w:rPr>
          <w:rFonts w:ascii="Times New Roman" w:hAnsi="Times New Roman" w:cs="Times New Roman"/>
          <w:vertAlign w:val="superscript"/>
        </w:rPr>
        <w:t>-1</w:t>
      </w:r>
      <w:r w:rsidRPr="00F23F20">
        <w:rPr>
          <w:rFonts w:ascii="Times New Roman" w:hAnsi="Times New Roman" w:cs="Times New Roman"/>
        </w:rPr>
        <w:t xml:space="preserve">), </w:t>
      </w:r>
      <w:r w:rsidRPr="00F23F20">
        <w:rPr>
          <w:rFonts w:ascii="Times New Roman" w:hAnsi="Times New Roman" w:cs="Times New Roman"/>
          <w:i/>
          <w:iCs/>
        </w:rPr>
        <w:t>T</w:t>
      </w:r>
      <w:r w:rsidRPr="00F23F20">
        <w:rPr>
          <w:rFonts w:ascii="Times New Roman" w:hAnsi="Times New Roman" w:cs="Times New Roman"/>
        </w:rPr>
        <w:t xml:space="preserve"> was the temperature (K) that CH</w:t>
      </w:r>
      <w:r w:rsidRPr="00F23F20">
        <w:rPr>
          <w:rFonts w:ascii="Times New Roman" w:hAnsi="Times New Roman" w:cs="Times New Roman"/>
          <w:vertAlign w:val="subscript"/>
        </w:rPr>
        <w:t>4</w:t>
      </w:r>
      <w:r w:rsidRPr="00F23F20">
        <w:rPr>
          <w:rFonts w:ascii="Times New Roman" w:hAnsi="Times New Roman" w:cs="Times New Roman"/>
        </w:rPr>
        <w:t xml:space="preserve"> was allowed to reach equilibrium between the serum vial headspace and sediment, </w:t>
      </w:r>
      <w:r w:rsidRPr="00F23F20">
        <w:rPr>
          <w:rFonts w:ascii="Times New Roman" w:hAnsi="Times New Roman" w:cs="Times New Roman"/>
          <w:i/>
          <w:iCs/>
        </w:rPr>
        <w:t>φ</w:t>
      </w:r>
      <w:r w:rsidRPr="00F23F20">
        <w:rPr>
          <w:rFonts w:ascii="Times New Roman" w:hAnsi="Times New Roman" w:cs="Times New Roman"/>
        </w:rPr>
        <w:t xml:space="preserve"> was sediment porosity, </w:t>
      </w:r>
      <w:r w:rsidRPr="00F23F20">
        <w:rPr>
          <w:rFonts w:ascii="Times New Roman" w:hAnsi="Times New Roman" w:cs="Times New Roman"/>
          <w:i/>
          <w:iCs/>
        </w:rPr>
        <w:t>β</w:t>
      </w:r>
      <w:r w:rsidRPr="00F23F20">
        <w:rPr>
          <w:rFonts w:ascii="Times New Roman" w:hAnsi="Times New Roman" w:cs="Times New Roman"/>
        </w:rPr>
        <w:t xml:space="preserve"> is the Bunsen solubility coefficient, and </w:t>
      </w:r>
      <w:proofErr w:type="spellStart"/>
      <w:r w:rsidRPr="00F23F20">
        <w:rPr>
          <w:rFonts w:ascii="Times New Roman" w:hAnsi="Times New Roman" w:cs="Times New Roman"/>
          <w:i/>
          <w:iCs/>
        </w:rPr>
        <w:t>V</w:t>
      </w:r>
      <w:r w:rsidRPr="00F23F20">
        <w:rPr>
          <w:rFonts w:ascii="Times New Roman" w:hAnsi="Times New Roman" w:cs="Times New Roman"/>
          <w:vertAlign w:val="subscript"/>
        </w:rPr>
        <w:t>sediment</w:t>
      </w:r>
      <w:proofErr w:type="spellEnd"/>
      <w:r w:rsidRPr="00F23F20">
        <w:rPr>
          <w:rFonts w:ascii="Times New Roman" w:hAnsi="Times New Roman" w:cs="Times New Roman"/>
        </w:rPr>
        <w:t xml:space="preserve"> was the volume (mL) of sediment in the serum vial. CH</w:t>
      </w:r>
      <w:r w:rsidRPr="00F23F20">
        <w:rPr>
          <w:rFonts w:ascii="Times New Roman" w:hAnsi="Times New Roman" w:cs="Times New Roman"/>
          <w:vertAlign w:val="subscript"/>
        </w:rPr>
        <w:t>4</w:t>
      </w:r>
      <w:r w:rsidRPr="00F23F20">
        <w:rPr>
          <w:rFonts w:ascii="Times New Roman" w:hAnsi="Times New Roman" w:cs="Times New Roman"/>
        </w:rPr>
        <w:t xml:space="preserve"> reached equilibrium at </w:t>
      </w:r>
      <w:r w:rsidRPr="00F23F20">
        <w:rPr>
          <w:rFonts w:ascii="Times New Roman" w:hAnsi="Times New Roman" w:cs="Times New Roman"/>
          <w:i/>
          <w:iCs/>
        </w:rPr>
        <w:t>T</w:t>
      </w:r>
      <w:r w:rsidRPr="00F23F20">
        <w:rPr>
          <w:rFonts w:ascii="Times New Roman" w:hAnsi="Times New Roman" w:cs="Times New Roman"/>
        </w:rPr>
        <w:t xml:space="preserve">=294 K. Sediment porosity in WOR sediments are invariant with depth. Thus, a constant value of </w:t>
      </w:r>
      <w:r w:rsidRPr="00F23F20">
        <w:rPr>
          <w:rFonts w:ascii="Times New Roman" w:hAnsi="Times New Roman" w:cs="Times New Roman"/>
          <w:i/>
          <w:iCs/>
        </w:rPr>
        <w:t>φ</w:t>
      </w:r>
      <w:r w:rsidRPr="00F23F20">
        <w:rPr>
          <w:rFonts w:ascii="Times New Roman" w:hAnsi="Times New Roman" w:cs="Times New Roman"/>
        </w:rPr>
        <w:t>=0.81 was used for equation 4.1. The Bunsen solubility coefficient represents the fraction of CH</w:t>
      </w:r>
      <w:r w:rsidRPr="00F23F20">
        <w:rPr>
          <w:rFonts w:ascii="Times New Roman" w:hAnsi="Times New Roman" w:cs="Times New Roman"/>
          <w:vertAlign w:val="subscript"/>
        </w:rPr>
        <w:t>4</w:t>
      </w:r>
      <w:r w:rsidRPr="00F23F20">
        <w:rPr>
          <w:rFonts w:ascii="Times New Roman" w:hAnsi="Times New Roman" w:cs="Times New Roman"/>
        </w:rPr>
        <w:t xml:space="preserve"> in the aqueous phase. Here, </w:t>
      </w:r>
      <w:r w:rsidRPr="00F23F20">
        <w:rPr>
          <w:rFonts w:ascii="Times New Roman" w:hAnsi="Times New Roman" w:cs="Times New Roman"/>
          <w:i/>
          <w:iCs/>
        </w:rPr>
        <w:t>β</w:t>
      </w:r>
      <w:r w:rsidRPr="00F23F20">
        <w:rPr>
          <w:rFonts w:ascii="Times New Roman" w:hAnsi="Times New Roman" w:cs="Times New Roman"/>
        </w:rPr>
        <w:t>=0.002 given the temperature.</w:t>
      </w:r>
    </w:p>
    <w:p w14:paraId="1BFDCE90" w14:textId="77777777" w:rsidR="00614780" w:rsidRPr="00F23F20" w:rsidRDefault="00614780" w:rsidP="00614780">
      <w:pPr>
        <w:pStyle w:val="Heading3"/>
      </w:pPr>
      <w:bookmarkStart w:id="264" w:name="_Toc41908145"/>
      <w:r w:rsidRPr="00F23F20">
        <w:lastRenderedPageBreak/>
        <w:t>Porewater Geochemistry</w:t>
      </w:r>
      <w:bookmarkEnd w:id="264"/>
    </w:p>
    <w:p w14:paraId="72EA3610" w14:textId="77777777" w:rsidR="00614780" w:rsidRDefault="00614780" w:rsidP="00614780">
      <w:pPr>
        <w:spacing w:line="480" w:lineRule="auto"/>
        <w:ind w:firstLine="720"/>
        <w:rPr>
          <w:rFonts w:ascii="Times New Roman" w:hAnsi="Times New Roman" w:cs="Times New Roman"/>
        </w:rPr>
      </w:pPr>
      <w:r w:rsidRPr="00F23F20">
        <w:rPr>
          <w:rFonts w:ascii="Times New Roman" w:hAnsi="Times New Roman" w:cs="Times New Roman"/>
        </w:rPr>
        <w:t>Porewater was isolated by centrifuging 5 mL sediment for individual depth intervals at 4500 x g for 10 minutes. The porewater overlying sediment was extracted using a syringe needle. Water close to the water-air interface was not included in the porewater sample. This minimized the collection of porewater where sulfide was partly oxidized from ambient O</w:t>
      </w:r>
      <w:r w:rsidRPr="00F23F20">
        <w:rPr>
          <w:rFonts w:ascii="Times New Roman" w:hAnsi="Times New Roman" w:cs="Times New Roman"/>
          <w:vertAlign w:val="subscript"/>
        </w:rPr>
        <w:t xml:space="preserve">2 </w:t>
      </w:r>
      <w:r w:rsidRPr="00F23F20">
        <w:rPr>
          <w:rFonts w:ascii="Times New Roman" w:hAnsi="Times New Roman" w:cs="Times New Roman"/>
        </w:rPr>
        <w:t>(visually apparent layers). The extracted porewater was filtered through a 0.22 µm filter. Filtered porewater was split into three aliquots. The first aliquot (1.9 mL) was prepped specifically for SO</w:t>
      </w:r>
      <w:r w:rsidRPr="00F23F20">
        <w:rPr>
          <w:rFonts w:ascii="Times New Roman" w:hAnsi="Times New Roman" w:cs="Times New Roman"/>
          <w:vertAlign w:val="subscript"/>
        </w:rPr>
        <w:t>4</w:t>
      </w:r>
      <w:r w:rsidRPr="00F23F20">
        <w:rPr>
          <w:rFonts w:ascii="Times New Roman" w:hAnsi="Times New Roman" w:cs="Times New Roman"/>
          <w:vertAlign w:val="superscript"/>
        </w:rPr>
        <w:t>2-</w:t>
      </w:r>
      <w:r w:rsidRPr="00F23F20">
        <w:rPr>
          <w:rFonts w:ascii="Times New Roman" w:hAnsi="Times New Roman" w:cs="Times New Roman"/>
        </w:rPr>
        <w:t xml:space="preserve"> analysis with ion chromatography (IC). The second aliquot (0.1 mL diluted in 0.9 mL milli-Q H</w:t>
      </w:r>
      <w:r w:rsidRPr="00F23F20">
        <w:rPr>
          <w:rFonts w:ascii="Times New Roman" w:hAnsi="Times New Roman" w:cs="Times New Roman"/>
          <w:vertAlign w:val="subscript"/>
        </w:rPr>
        <w:t>2</w:t>
      </w:r>
      <w:r w:rsidRPr="00F23F20">
        <w:rPr>
          <w:rFonts w:ascii="Times New Roman" w:hAnsi="Times New Roman" w:cs="Times New Roman"/>
        </w:rPr>
        <w:t>O) was allocated for inorganic cation and anion (excluding SO</w:t>
      </w:r>
      <w:r w:rsidRPr="00F23F20">
        <w:rPr>
          <w:rFonts w:ascii="Times New Roman" w:hAnsi="Times New Roman" w:cs="Times New Roman"/>
          <w:vertAlign w:val="superscript"/>
        </w:rPr>
        <w:t>2-</w:t>
      </w:r>
      <w:r w:rsidRPr="00F23F20">
        <w:rPr>
          <w:rFonts w:ascii="Times New Roman" w:hAnsi="Times New Roman" w:cs="Times New Roman"/>
        </w:rPr>
        <w:t>) analysis IC. The third aliquot (1.5 mL) was for dissolved organic matter (DOM) optical analysis. The remaining sediment pellets were stored for OM analysis (see below).</w:t>
      </w:r>
    </w:p>
    <w:p w14:paraId="1E28F628" w14:textId="77777777" w:rsidR="00614780" w:rsidRPr="00F23F20" w:rsidRDefault="00614780" w:rsidP="00614780">
      <w:pPr>
        <w:pStyle w:val="Heading3"/>
      </w:pPr>
      <w:bookmarkStart w:id="265" w:name="_Toc41908146"/>
      <w:r w:rsidRPr="00F23F20">
        <w:t>Ion Chromatography</w:t>
      </w:r>
      <w:bookmarkEnd w:id="265"/>
    </w:p>
    <w:p w14:paraId="24781734" w14:textId="77777777" w:rsidR="00614780" w:rsidRPr="00F23F20" w:rsidRDefault="00614780" w:rsidP="00614780">
      <w:pPr>
        <w:spacing w:line="480" w:lineRule="auto"/>
        <w:ind w:firstLine="720"/>
        <w:rPr>
          <w:rFonts w:ascii="Times New Roman" w:hAnsi="Times New Roman" w:cs="Times New Roman"/>
        </w:rPr>
      </w:pPr>
      <w:r w:rsidRPr="00F23F20">
        <w:rPr>
          <w:rFonts w:ascii="Times New Roman" w:hAnsi="Times New Roman" w:cs="Times New Roman"/>
        </w:rPr>
        <w:t>The SO</w:t>
      </w:r>
      <w:r w:rsidRPr="00F23F20">
        <w:rPr>
          <w:rFonts w:ascii="Times New Roman" w:hAnsi="Times New Roman" w:cs="Times New Roman"/>
          <w:vertAlign w:val="subscript"/>
        </w:rPr>
        <w:t>4</w:t>
      </w:r>
      <w:r w:rsidRPr="00F23F20">
        <w:rPr>
          <w:rFonts w:ascii="Times New Roman" w:hAnsi="Times New Roman" w:cs="Times New Roman"/>
          <w:vertAlign w:val="superscript"/>
        </w:rPr>
        <w:t>2-</w:t>
      </w:r>
      <w:r w:rsidRPr="00F23F20">
        <w:rPr>
          <w:rFonts w:ascii="Times New Roman" w:hAnsi="Times New Roman" w:cs="Times New Roman"/>
        </w:rPr>
        <w:t xml:space="preserve"> aliquot was acidified with 0.1 mL of 10% HCl. The HCl partitioned sulfide species into H</w:t>
      </w:r>
      <w:r w:rsidRPr="00F23F20">
        <w:rPr>
          <w:rFonts w:ascii="Times New Roman" w:hAnsi="Times New Roman" w:cs="Times New Roman"/>
          <w:vertAlign w:val="subscript"/>
        </w:rPr>
        <w:t>2</w:t>
      </w:r>
      <w:r w:rsidRPr="00F23F20">
        <w:rPr>
          <w:rFonts w:ascii="Times New Roman" w:hAnsi="Times New Roman" w:cs="Times New Roman"/>
        </w:rPr>
        <w:t>S. The headspace for the porewater was open to ambient conditions for 1 hour to allow outgassing of H</w:t>
      </w:r>
      <w:r w:rsidRPr="00F23F20">
        <w:rPr>
          <w:rFonts w:ascii="Times New Roman" w:hAnsi="Times New Roman" w:cs="Times New Roman"/>
          <w:vertAlign w:val="subscript"/>
        </w:rPr>
        <w:t>2</w:t>
      </w:r>
      <w:r w:rsidRPr="00F23F20">
        <w:rPr>
          <w:rFonts w:ascii="Times New Roman" w:hAnsi="Times New Roman" w:cs="Times New Roman"/>
        </w:rPr>
        <w:t xml:space="preserve">S. The residual sulfur was interpreted as </w:t>
      </w:r>
      <w:r w:rsidRPr="00F23F20">
        <w:rPr>
          <w:rFonts w:ascii="Times New Roman" w:hAnsi="Times New Roman" w:cs="Times New Roman"/>
          <w:i/>
          <w:iCs/>
        </w:rPr>
        <w:t>in situ</w:t>
      </w:r>
      <w:r w:rsidRPr="00F23F20">
        <w:rPr>
          <w:rFonts w:ascii="Times New Roman" w:hAnsi="Times New Roman" w:cs="Times New Roman"/>
        </w:rPr>
        <w:t xml:space="preserve"> SO</w:t>
      </w:r>
      <w:r w:rsidRPr="00F23F20">
        <w:rPr>
          <w:rFonts w:ascii="Times New Roman" w:hAnsi="Times New Roman" w:cs="Times New Roman"/>
          <w:vertAlign w:val="subscript"/>
        </w:rPr>
        <w:t>4</w:t>
      </w:r>
      <w:r w:rsidRPr="00F23F20">
        <w:rPr>
          <w:rFonts w:ascii="Times New Roman" w:hAnsi="Times New Roman" w:cs="Times New Roman"/>
          <w:vertAlign w:val="superscript"/>
        </w:rPr>
        <w:t>2-</w:t>
      </w:r>
      <w:r w:rsidRPr="00F23F20">
        <w:rPr>
          <w:rFonts w:ascii="Times New Roman" w:hAnsi="Times New Roman" w:cs="Times New Roman"/>
        </w:rPr>
        <w:t xml:space="preserve">. </w:t>
      </w:r>
      <w:r w:rsidRPr="00F23F20">
        <w:rPr>
          <w:rFonts w:ascii="Times New Roman" w:hAnsi="Times New Roman" w:cs="Times New Roman"/>
          <w:color w:val="000000"/>
        </w:rPr>
        <w:t xml:space="preserve">The sulfide-free </w:t>
      </w:r>
      <w:r w:rsidRPr="00F23F20">
        <w:rPr>
          <w:rFonts w:ascii="Times New Roman" w:hAnsi="Times New Roman" w:cs="Times New Roman"/>
        </w:rPr>
        <w:t xml:space="preserve">porewater was partitioned into three different aliquots.  </w:t>
      </w:r>
    </w:p>
    <w:p w14:paraId="2E1EE1FC" w14:textId="77777777" w:rsidR="00614780" w:rsidRDefault="00614780" w:rsidP="00614780">
      <w:pPr>
        <w:spacing w:line="480" w:lineRule="auto"/>
        <w:ind w:firstLine="720"/>
        <w:rPr>
          <w:rFonts w:ascii="Times New Roman" w:hAnsi="Times New Roman" w:cs="Times New Roman"/>
          <w:color w:val="000000"/>
        </w:rPr>
      </w:pPr>
      <w:r w:rsidRPr="00F23F20">
        <w:rPr>
          <w:rFonts w:ascii="Times New Roman" w:hAnsi="Times New Roman" w:cs="Times New Roman"/>
          <w:color w:val="000000"/>
        </w:rPr>
        <w:t>IC measurements were performed at the UTK Stable Isotope Lab service facility (https://eps.utk.edu/research/facilities_isotope.php). Inorganic ion concentrations for SO</w:t>
      </w:r>
      <w:r w:rsidRPr="00F23F20">
        <w:rPr>
          <w:rFonts w:ascii="Times New Roman" w:hAnsi="Times New Roman" w:cs="Times New Roman"/>
          <w:color w:val="000000"/>
          <w:vertAlign w:val="subscript"/>
        </w:rPr>
        <w:t>4</w:t>
      </w:r>
      <w:r w:rsidRPr="00F23F20">
        <w:rPr>
          <w:rFonts w:ascii="Times New Roman" w:hAnsi="Times New Roman" w:cs="Times New Roman"/>
          <w:color w:val="000000"/>
          <w:vertAlign w:val="superscript"/>
        </w:rPr>
        <w:t>2-</w:t>
      </w:r>
      <w:r w:rsidRPr="00F23F20">
        <w:rPr>
          <w:rFonts w:ascii="Times New Roman" w:hAnsi="Times New Roman" w:cs="Times New Roman"/>
          <w:color w:val="000000"/>
        </w:rPr>
        <w:t>, Na</w:t>
      </w:r>
      <w:r w:rsidRPr="00F23F20">
        <w:rPr>
          <w:rFonts w:ascii="Times New Roman" w:hAnsi="Times New Roman" w:cs="Times New Roman"/>
          <w:color w:val="000000"/>
          <w:vertAlign w:val="superscript"/>
        </w:rPr>
        <w:t>+</w:t>
      </w:r>
      <w:r w:rsidRPr="00F23F20">
        <w:rPr>
          <w:rFonts w:ascii="Times New Roman" w:hAnsi="Times New Roman" w:cs="Times New Roman"/>
          <w:color w:val="000000"/>
        </w:rPr>
        <w:t>, Cl</w:t>
      </w:r>
      <w:r w:rsidRPr="00F23F20">
        <w:rPr>
          <w:rFonts w:ascii="Times New Roman" w:hAnsi="Times New Roman" w:cs="Times New Roman"/>
          <w:color w:val="000000"/>
          <w:vertAlign w:val="superscript"/>
        </w:rPr>
        <w:t>-</w:t>
      </w:r>
      <w:r w:rsidRPr="00F23F20">
        <w:rPr>
          <w:rFonts w:ascii="Times New Roman" w:hAnsi="Times New Roman" w:cs="Times New Roman"/>
          <w:color w:val="000000"/>
        </w:rPr>
        <w:t>, Mg</w:t>
      </w:r>
      <w:r w:rsidRPr="00F23F20">
        <w:rPr>
          <w:rFonts w:ascii="Times New Roman" w:hAnsi="Times New Roman" w:cs="Times New Roman"/>
          <w:color w:val="000000"/>
          <w:vertAlign w:val="superscript"/>
        </w:rPr>
        <w:t>2+</w:t>
      </w:r>
      <w:r w:rsidRPr="00F23F20">
        <w:rPr>
          <w:rFonts w:ascii="Times New Roman" w:hAnsi="Times New Roman" w:cs="Times New Roman"/>
          <w:color w:val="000000"/>
        </w:rPr>
        <w:t>, K</w:t>
      </w:r>
      <w:r w:rsidRPr="00F23F20">
        <w:rPr>
          <w:rFonts w:ascii="Times New Roman" w:hAnsi="Times New Roman" w:cs="Times New Roman"/>
          <w:color w:val="000000"/>
          <w:vertAlign w:val="superscript"/>
        </w:rPr>
        <w:t>+</w:t>
      </w:r>
      <w:r w:rsidRPr="00F23F20">
        <w:rPr>
          <w:rFonts w:ascii="Times New Roman" w:hAnsi="Times New Roman" w:cs="Times New Roman"/>
          <w:color w:val="000000"/>
        </w:rPr>
        <w:t>, PO</w:t>
      </w:r>
      <w:r w:rsidRPr="00F23F20">
        <w:rPr>
          <w:rFonts w:ascii="Times New Roman" w:hAnsi="Times New Roman" w:cs="Times New Roman"/>
          <w:color w:val="000000"/>
          <w:vertAlign w:val="subscript"/>
        </w:rPr>
        <w:t>4</w:t>
      </w:r>
      <w:r w:rsidRPr="00F23F20">
        <w:rPr>
          <w:rFonts w:ascii="Times New Roman" w:hAnsi="Times New Roman" w:cs="Times New Roman"/>
          <w:color w:val="000000"/>
          <w:vertAlign w:val="superscript"/>
        </w:rPr>
        <w:t>3-</w:t>
      </w:r>
      <w:r w:rsidRPr="00F23F20">
        <w:rPr>
          <w:rFonts w:ascii="Times New Roman" w:hAnsi="Times New Roman" w:cs="Times New Roman"/>
          <w:color w:val="000000"/>
        </w:rPr>
        <w:t>, Br</w:t>
      </w:r>
      <w:r w:rsidRPr="00F23F20">
        <w:rPr>
          <w:rFonts w:ascii="Times New Roman" w:hAnsi="Times New Roman" w:cs="Times New Roman"/>
          <w:color w:val="000000"/>
          <w:vertAlign w:val="superscript"/>
        </w:rPr>
        <w:t>-</w:t>
      </w:r>
      <w:r w:rsidRPr="00F23F20">
        <w:rPr>
          <w:rFonts w:ascii="Times New Roman" w:hAnsi="Times New Roman" w:cs="Times New Roman"/>
          <w:color w:val="000000"/>
        </w:rPr>
        <w:t>, NH</w:t>
      </w:r>
      <w:r w:rsidRPr="00F23F20">
        <w:rPr>
          <w:rFonts w:ascii="Times New Roman" w:hAnsi="Times New Roman" w:cs="Times New Roman"/>
          <w:color w:val="000000"/>
          <w:vertAlign w:val="subscript"/>
        </w:rPr>
        <w:t>4</w:t>
      </w:r>
      <w:r w:rsidRPr="00F23F20">
        <w:rPr>
          <w:rFonts w:ascii="Times New Roman" w:hAnsi="Times New Roman" w:cs="Times New Roman"/>
          <w:color w:val="000000"/>
          <w:vertAlign w:val="superscript"/>
        </w:rPr>
        <w:t>+</w:t>
      </w:r>
      <w:r w:rsidRPr="00F23F20">
        <w:rPr>
          <w:rFonts w:ascii="Times New Roman" w:hAnsi="Times New Roman" w:cs="Times New Roman"/>
          <w:color w:val="000000"/>
        </w:rPr>
        <w:t>, and Ca</w:t>
      </w:r>
      <w:r w:rsidRPr="00F23F20">
        <w:rPr>
          <w:rFonts w:ascii="Times New Roman" w:hAnsi="Times New Roman" w:cs="Times New Roman"/>
          <w:color w:val="000000"/>
          <w:vertAlign w:val="superscript"/>
        </w:rPr>
        <w:t>2+</w:t>
      </w:r>
      <w:r w:rsidRPr="00F23F20">
        <w:rPr>
          <w:rFonts w:ascii="Times New Roman" w:hAnsi="Times New Roman" w:cs="Times New Roman"/>
          <w:color w:val="000000"/>
        </w:rPr>
        <w:t xml:space="preserve"> were measured on a </w:t>
      </w:r>
      <w:proofErr w:type="spellStart"/>
      <w:r w:rsidRPr="00F23F20">
        <w:rPr>
          <w:rFonts w:ascii="Times New Roman" w:hAnsi="Times New Roman" w:cs="Times New Roman"/>
          <w:color w:val="000000"/>
        </w:rPr>
        <w:t>Dionex</w:t>
      </w:r>
      <w:proofErr w:type="spellEnd"/>
      <w:r w:rsidRPr="00F23F20">
        <w:rPr>
          <w:rFonts w:ascii="Times New Roman" w:hAnsi="Times New Roman" w:cs="Times New Roman"/>
          <w:color w:val="000000"/>
        </w:rPr>
        <w:t xml:space="preserve"> ICS 2000 (cations) and a </w:t>
      </w:r>
      <w:proofErr w:type="spellStart"/>
      <w:r w:rsidRPr="00F23F20">
        <w:rPr>
          <w:rFonts w:ascii="Times New Roman" w:hAnsi="Times New Roman" w:cs="Times New Roman"/>
          <w:color w:val="000000"/>
        </w:rPr>
        <w:t>Dionex</w:t>
      </w:r>
      <w:proofErr w:type="spellEnd"/>
      <w:r w:rsidRPr="00F23F20">
        <w:rPr>
          <w:rFonts w:ascii="Times New Roman" w:hAnsi="Times New Roman" w:cs="Times New Roman"/>
          <w:color w:val="000000"/>
        </w:rPr>
        <w:t xml:space="preserve"> ICS 2100 (anions).</w:t>
      </w:r>
      <w:r>
        <w:rPr>
          <w:rFonts w:ascii="Times New Roman" w:hAnsi="Times New Roman" w:cs="Times New Roman"/>
          <w:color w:val="000000"/>
        </w:rPr>
        <w:t xml:space="preserve"> </w:t>
      </w:r>
      <w:r w:rsidRPr="00F23F20">
        <w:rPr>
          <w:rFonts w:ascii="Times New Roman" w:hAnsi="Times New Roman" w:cs="Times New Roman"/>
          <w:color w:val="000000"/>
        </w:rPr>
        <w:t xml:space="preserve">Prior to sample injection, anion and cation samples were diluted by a factor of 10 to prevent peak saturation. Both anion and </w:t>
      </w:r>
      <w:r w:rsidRPr="00F23F20">
        <w:rPr>
          <w:rFonts w:ascii="Times New Roman" w:hAnsi="Times New Roman" w:cs="Times New Roman"/>
          <w:color w:val="000000"/>
        </w:rPr>
        <w:lastRenderedPageBreak/>
        <w:t>cation concentrations were corrected during post-processing analysis. In addition, anion concentrations were corrected for the dilution effect from the 0.1 mL HCl.</w:t>
      </w:r>
    </w:p>
    <w:p w14:paraId="71D04DF2" w14:textId="77777777" w:rsidR="00614780" w:rsidRDefault="00614780" w:rsidP="00614780">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Ion concentration profiles exhibited a change in gradient with depth at 15 </w:t>
      </w:r>
      <w:proofErr w:type="spellStart"/>
      <w:r>
        <w:rPr>
          <w:rFonts w:ascii="Times New Roman" w:hAnsi="Times New Roman" w:cs="Times New Roman"/>
          <w:color w:val="000000"/>
        </w:rPr>
        <w:t>cmbsf</w:t>
      </w:r>
      <w:proofErr w:type="spellEnd"/>
      <w:r>
        <w:rPr>
          <w:rFonts w:ascii="Times New Roman" w:hAnsi="Times New Roman" w:cs="Times New Roman"/>
          <w:color w:val="000000"/>
        </w:rPr>
        <w:t xml:space="preserve"> (see Results). The change in sampling angle necessary to explain the change in concentration gradients was determined using a 2 x 2 rotation matrix, such that: </w:t>
      </w:r>
      <m:oMath>
        <m:d>
          <m:dPr>
            <m:begChr m:val="["/>
            <m:endChr m:val="]"/>
            <m:ctrlPr>
              <w:rPr>
                <w:rFonts w:ascii="Cambria Math" w:hAnsi="Cambria Math" w:cs="Times New Roman"/>
                <w:i/>
                <w:color w:val="000000"/>
              </w:rPr>
            </m:ctrlPr>
          </m:dPr>
          <m:e>
            <m:m>
              <m:mPr>
                <m:mcs>
                  <m:mc>
                    <m:mcPr>
                      <m:count m:val="1"/>
                      <m:mcJc m:val="center"/>
                    </m:mcPr>
                  </m:mc>
                </m:mcs>
                <m:ctrlPr>
                  <w:rPr>
                    <w:rFonts w:ascii="Cambria Math" w:hAnsi="Cambria Math" w:cs="Times New Roman"/>
                    <w:i/>
                    <w:color w:val="000000"/>
                  </w:rPr>
                </m:ctrlPr>
              </m:mPr>
              <m:mr>
                <m:e>
                  <m:r>
                    <w:rPr>
                      <w:rFonts w:ascii="Cambria Math" w:hAnsi="Cambria Math" w:cs="Times New Roman"/>
                      <w:color w:val="000000"/>
                    </w:rPr>
                    <m:t>cos</m:t>
                  </m:r>
                  <m:d>
                    <m:dPr>
                      <m:ctrlPr>
                        <w:rPr>
                          <w:rFonts w:ascii="Cambria Math" w:hAnsi="Cambria Math" w:cs="Times New Roman"/>
                          <w:i/>
                          <w:color w:val="000000"/>
                        </w:rPr>
                      </m:ctrlPr>
                    </m:dPr>
                    <m:e>
                      <m:r>
                        <w:rPr>
                          <w:rFonts w:ascii="Cambria Math" w:hAnsi="Cambria Math" w:cs="Times New Roman"/>
                          <w:color w:val="000000"/>
                        </w:rPr>
                        <m:t>θ</m:t>
                      </m:r>
                    </m:e>
                  </m:d>
                  <m:sSub>
                    <m:sSubPr>
                      <m:ctrlPr>
                        <w:rPr>
                          <w:rFonts w:ascii="Cambria Math" w:hAnsi="Cambria Math" w:cs="Times New Roman"/>
                          <w:i/>
                          <w:color w:val="000000"/>
                        </w:rPr>
                      </m:ctrlPr>
                    </m:sSubPr>
                    <m:e>
                      <m:r>
                        <w:rPr>
                          <w:rFonts w:ascii="Cambria Math" w:hAnsi="Cambria Math" w:cs="Times New Roman"/>
                          <w:color w:val="000000"/>
                        </w:rPr>
                        <m:t>x</m:t>
                      </m:r>
                    </m:e>
                    <m:sub>
                      <m:r>
                        <w:rPr>
                          <w:rFonts w:ascii="Cambria Math" w:hAnsi="Cambria Math" w:cs="Times New Roman"/>
                          <w:color w:val="000000"/>
                        </w:rPr>
                        <m:t>0</m:t>
                      </m:r>
                    </m:sub>
                  </m:sSub>
                  <m:r>
                    <w:rPr>
                      <w:rFonts w:ascii="Cambria Math" w:hAnsi="Cambria Math" w:cs="Times New Roman"/>
                      <w:color w:val="000000"/>
                    </w:rPr>
                    <m:t>-sin</m:t>
                  </m:r>
                  <m:d>
                    <m:dPr>
                      <m:ctrlPr>
                        <w:rPr>
                          <w:rFonts w:ascii="Cambria Math" w:hAnsi="Cambria Math" w:cs="Times New Roman"/>
                          <w:i/>
                          <w:color w:val="000000"/>
                        </w:rPr>
                      </m:ctrlPr>
                    </m:dPr>
                    <m:e>
                      <m:r>
                        <w:rPr>
                          <w:rFonts w:ascii="Cambria Math" w:hAnsi="Cambria Math" w:cs="Times New Roman"/>
                          <w:color w:val="000000"/>
                        </w:rPr>
                        <m:t>θ</m:t>
                      </m:r>
                    </m:e>
                  </m:d>
                  <m:sSub>
                    <m:sSubPr>
                      <m:ctrlPr>
                        <w:rPr>
                          <w:rFonts w:ascii="Cambria Math" w:hAnsi="Cambria Math" w:cs="Times New Roman"/>
                          <w:i/>
                          <w:color w:val="000000"/>
                        </w:rPr>
                      </m:ctrlPr>
                    </m:sSubPr>
                    <m:e>
                      <m:r>
                        <w:rPr>
                          <w:rFonts w:ascii="Cambria Math" w:hAnsi="Cambria Math" w:cs="Times New Roman"/>
                          <w:color w:val="000000"/>
                        </w:rPr>
                        <m:t>y</m:t>
                      </m:r>
                    </m:e>
                    <m:sub>
                      <m:r>
                        <w:rPr>
                          <w:rFonts w:ascii="Cambria Math" w:hAnsi="Cambria Math" w:cs="Times New Roman"/>
                          <w:color w:val="000000"/>
                        </w:rPr>
                        <m:t>0</m:t>
                      </m:r>
                    </m:sub>
                  </m:sSub>
                </m:e>
              </m:mr>
              <m:mr>
                <m:e>
                  <m:r>
                    <w:rPr>
                      <w:rFonts w:ascii="Cambria Math" w:hAnsi="Cambria Math" w:cs="Times New Roman"/>
                      <w:color w:val="000000"/>
                    </w:rPr>
                    <m:t>sin</m:t>
                  </m:r>
                  <m:d>
                    <m:dPr>
                      <m:ctrlPr>
                        <w:rPr>
                          <w:rFonts w:ascii="Cambria Math" w:hAnsi="Cambria Math" w:cs="Times New Roman"/>
                          <w:i/>
                          <w:color w:val="000000"/>
                        </w:rPr>
                      </m:ctrlPr>
                    </m:dPr>
                    <m:e>
                      <m:r>
                        <w:rPr>
                          <w:rFonts w:ascii="Cambria Math" w:hAnsi="Cambria Math" w:cs="Times New Roman"/>
                          <w:color w:val="000000"/>
                        </w:rPr>
                        <m:t>θ</m:t>
                      </m:r>
                    </m:e>
                  </m:d>
                  <m:sSub>
                    <m:sSubPr>
                      <m:ctrlPr>
                        <w:rPr>
                          <w:rFonts w:ascii="Cambria Math" w:hAnsi="Cambria Math" w:cs="Times New Roman"/>
                          <w:i/>
                          <w:color w:val="000000"/>
                        </w:rPr>
                      </m:ctrlPr>
                    </m:sSubPr>
                    <m:e>
                      <m:r>
                        <w:rPr>
                          <w:rFonts w:ascii="Cambria Math" w:hAnsi="Cambria Math" w:cs="Times New Roman"/>
                          <w:color w:val="000000"/>
                        </w:rPr>
                        <m:t>x</m:t>
                      </m:r>
                    </m:e>
                    <m:sub>
                      <m:r>
                        <w:rPr>
                          <w:rFonts w:ascii="Cambria Math" w:hAnsi="Cambria Math" w:cs="Times New Roman"/>
                          <w:color w:val="000000"/>
                        </w:rPr>
                        <m:t>0</m:t>
                      </m:r>
                    </m:sub>
                  </m:sSub>
                  <m:r>
                    <w:rPr>
                      <w:rFonts w:ascii="Cambria Math" w:hAnsi="Cambria Math" w:cs="Times New Roman"/>
                      <w:color w:val="000000"/>
                    </w:rPr>
                    <m:t>+cos</m:t>
                  </m:r>
                  <m:d>
                    <m:dPr>
                      <m:ctrlPr>
                        <w:rPr>
                          <w:rFonts w:ascii="Cambria Math" w:hAnsi="Cambria Math" w:cs="Times New Roman"/>
                          <w:i/>
                          <w:color w:val="000000"/>
                        </w:rPr>
                      </m:ctrlPr>
                    </m:dPr>
                    <m:e>
                      <m:r>
                        <w:rPr>
                          <w:rFonts w:ascii="Cambria Math" w:hAnsi="Cambria Math" w:cs="Times New Roman"/>
                          <w:color w:val="000000"/>
                        </w:rPr>
                        <m:t>θ</m:t>
                      </m:r>
                    </m:e>
                  </m:d>
                  <m:sSub>
                    <m:sSubPr>
                      <m:ctrlPr>
                        <w:rPr>
                          <w:rFonts w:ascii="Cambria Math" w:hAnsi="Cambria Math" w:cs="Times New Roman"/>
                          <w:i/>
                          <w:color w:val="000000"/>
                        </w:rPr>
                      </m:ctrlPr>
                    </m:sSubPr>
                    <m:e>
                      <m:r>
                        <w:rPr>
                          <w:rFonts w:ascii="Cambria Math" w:hAnsi="Cambria Math" w:cs="Times New Roman"/>
                          <w:color w:val="000000"/>
                        </w:rPr>
                        <m:t>y</m:t>
                      </m:r>
                    </m:e>
                    <m:sub>
                      <m:r>
                        <w:rPr>
                          <w:rFonts w:ascii="Cambria Math" w:hAnsi="Cambria Math" w:cs="Times New Roman"/>
                          <w:color w:val="000000"/>
                        </w:rPr>
                        <m:t>0</m:t>
                      </m:r>
                    </m:sub>
                  </m:sSub>
                </m:e>
              </m:mr>
            </m:m>
          </m:e>
        </m:d>
        <m:r>
          <w:rPr>
            <w:rFonts w:ascii="Cambria Math" w:hAnsi="Cambria Math" w:cs="Times New Roman"/>
            <w:color w:val="000000"/>
          </w:rPr>
          <m:t>=</m:t>
        </m:r>
        <m:d>
          <m:dPr>
            <m:begChr m:val="["/>
            <m:endChr m:val="]"/>
            <m:ctrlPr>
              <w:rPr>
                <w:rFonts w:ascii="Cambria Math" w:hAnsi="Cambria Math" w:cs="Times New Roman"/>
                <w:i/>
                <w:color w:val="000000"/>
              </w:rPr>
            </m:ctrlPr>
          </m:dPr>
          <m:e>
            <m:m>
              <m:mPr>
                <m:mcs>
                  <m:mc>
                    <m:mcPr>
                      <m:count m:val="1"/>
                      <m:mcJc m:val="center"/>
                    </m:mcPr>
                  </m:mc>
                </m:mcs>
                <m:ctrlPr>
                  <w:rPr>
                    <w:rFonts w:ascii="Cambria Math" w:hAnsi="Cambria Math" w:cs="Times New Roman"/>
                    <w:i/>
                    <w:color w:val="000000"/>
                  </w:rPr>
                </m:ctrlPr>
              </m:mPr>
              <m:mr>
                <m:e>
                  <m:sSub>
                    <m:sSubPr>
                      <m:ctrlPr>
                        <w:rPr>
                          <w:rFonts w:ascii="Cambria Math" w:hAnsi="Cambria Math" w:cs="Times New Roman"/>
                          <w:i/>
                          <w:color w:val="000000"/>
                        </w:rPr>
                      </m:ctrlPr>
                    </m:sSubPr>
                    <m:e>
                      <m:r>
                        <w:rPr>
                          <w:rFonts w:ascii="Cambria Math" w:hAnsi="Cambria Math" w:cs="Times New Roman"/>
                          <w:color w:val="000000"/>
                        </w:rPr>
                        <m:t>x</m:t>
                      </m:r>
                    </m:e>
                    <m:sub>
                      <m:r>
                        <w:rPr>
                          <w:rFonts w:ascii="Cambria Math" w:hAnsi="Cambria Math" w:cs="Times New Roman"/>
                          <w:color w:val="000000"/>
                        </w:rPr>
                        <m:t>obs</m:t>
                      </m:r>
                    </m:sub>
                  </m:sSub>
                </m:e>
              </m:mr>
              <m:mr>
                <m:e>
                  <m:sSub>
                    <m:sSubPr>
                      <m:ctrlPr>
                        <w:rPr>
                          <w:rFonts w:ascii="Cambria Math" w:hAnsi="Cambria Math" w:cs="Times New Roman"/>
                          <w:i/>
                          <w:color w:val="000000"/>
                        </w:rPr>
                      </m:ctrlPr>
                    </m:sSubPr>
                    <m:e>
                      <m:r>
                        <w:rPr>
                          <w:rFonts w:ascii="Cambria Math" w:hAnsi="Cambria Math" w:cs="Times New Roman"/>
                          <w:color w:val="000000"/>
                        </w:rPr>
                        <m:t>y</m:t>
                      </m:r>
                    </m:e>
                    <m:sub>
                      <m:r>
                        <w:rPr>
                          <w:rFonts w:ascii="Cambria Math" w:hAnsi="Cambria Math" w:cs="Times New Roman"/>
                          <w:color w:val="000000"/>
                        </w:rPr>
                        <m:t>obs</m:t>
                      </m:r>
                    </m:sub>
                  </m:sSub>
                </m:e>
              </m:mr>
            </m:m>
          </m:e>
        </m:d>
      </m:oMath>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t xml:space="preserve">     (4.2</w:t>
      </w:r>
    </w:p>
    <w:p w14:paraId="5F4B2F1A" w14:textId="212CBAF0" w:rsidR="00614780" w:rsidRPr="004B5009" w:rsidRDefault="00614780" w:rsidP="00614780">
      <w:pPr>
        <w:spacing w:line="480" w:lineRule="auto"/>
        <w:rPr>
          <w:rFonts w:ascii="Times New Roman" w:hAnsi="Times New Roman" w:cs="Times New Roman"/>
          <w:color w:val="000000"/>
        </w:rPr>
      </w:pPr>
      <w:r>
        <w:rPr>
          <w:rFonts w:ascii="Times New Roman" w:hAnsi="Times New Roman" w:cs="Times New Roman"/>
          <w:color w:val="000000"/>
        </w:rPr>
        <w:t xml:space="preserve">where </w:t>
      </w:r>
      <w:r w:rsidRPr="00454B9A">
        <w:rPr>
          <w:rFonts w:ascii="Times New Roman" w:hAnsi="Times New Roman" w:cs="Times New Roman"/>
          <w:i/>
          <w:iCs/>
          <w:color w:val="000000"/>
        </w:rPr>
        <w:t>x</w:t>
      </w:r>
      <w:r>
        <w:rPr>
          <w:rFonts w:ascii="Times New Roman" w:hAnsi="Times New Roman" w:cs="Times New Roman"/>
          <w:color w:val="000000"/>
          <w:vertAlign w:val="subscript"/>
        </w:rPr>
        <w:t>0</w:t>
      </w:r>
      <w:r>
        <w:rPr>
          <w:rFonts w:ascii="Times New Roman" w:hAnsi="Times New Roman" w:cs="Times New Roman"/>
          <w:color w:val="000000"/>
        </w:rPr>
        <w:t xml:space="preserve"> and </w:t>
      </w:r>
      <w:r w:rsidRPr="00454B9A">
        <w:rPr>
          <w:rFonts w:ascii="Times New Roman" w:hAnsi="Times New Roman" w:cs="Times New Roman"/>
          <w:i/>
          <w:iCs/>
          <w:color w:val="000000"/>
        </w:rPr>
        <w:t>y</w:t>
      </w:r>
      <w:r>
        <w:rPr>
          <w:rFonts w:ascii="Times New Roman" w:hAnsi="Times New Roman" w:cs="Times New Roman"/>
          <w:color w:val="000000"/>
          <w:vertAlign w:val="subscript"/>
        </w:rPr>
        <w:t>0</w:t>
      </w:r>
      <w:r>
        <w:rPr>
          <w:rFonts w:ascii="Times New Roman" w:hAnsi="Times New Roman" w:cs="Times New Roman"/>
          <w:color w:val="000000"/>
        </w:rPr>
        <w:t xml:space="preserve"> are elements of the sample vector (i.e., orientation of the core with respect to the sediment-water interface), </w:t>
      </w:r>
      <w:r w:rsidRPr="00454B9A">
        <w:rPr>
          <w:rFonts w:ascii="Times New Roman" w:hAnsi="Times New Roman" w:cs="Times New Roman"/>
          <w:i/>
          <w:iCs/>
          <w:color w:val="000000"/>
        </w:rPr>
        <w:t>θ</w:t>
      </w:r>
      <w:r>
        <w:rPr>
          <w:rFonts w:ascii="Times New Roman" w:hAnsi="Times New Roman" w:cs="Times New Roman"/>
          <w:color w:val="000000"/>
        </w:rPr>
        <w:t xml:space="preserve"> is a bias in sample angle, and </w:t>
      </w:r>
      <w:proofErr w:type="spellStart"/>
      <w:r w:rsidRPr="00454B9A">
        <w:rPr>
          <w:rFonts w:ascii="Times New Roman" w:hAnsi="Times New Roman" w:cs="Times New Roman"/>
          <w:i/>
          <w:iCs/>
          <w:color w:val="000000"/>
        </w:rPr>
        <w:t>x</w:t>
      </w:r>
      <w:r>
        <w:rPr>
          <w:rFonts w:ascii="Times New Roman" w:hAnsi="Times New Roman" w:cs="Times New Roman"/>
          <w:color w:val="000000"/>
          <w:vertAlign w:val="subscript"/>
        </w:rPr>
        <w:t>obs</w:t>
      </w:r>
      <w:proofErr w:type="spellEnd"/>
      <w:r>
        <w:rPr>
          <w:rFonts w:ascii="Times New Roman" w:hAnsi="Times New Roman" w:cs="Times New Roman"/>
          <w:color w:val="000000"/>
        </w:rPr>
        <w:t xml:space="preserve"> and </w:t>
      </w:r>
      <w:proofErr w:type="spellStart"/>
      <w:r w:rsidRPr="00454B9A">
        <w:rPr>
          <w:rFonts w:ascii="Times New Roman" w:hAnsi="Times New Roman" w:cs="Times New Roman"/>
          <w:i/>
          <w:iCs/>
          <w:color w:val="000000"/>
        </w:rPr>
        <w:t>y</w:t>
      </w:r>
      <w:r>
        <w:rPr>
          <w:rFonts w:ascii="Times New Roman" w:hAnsi="Times New Roman" w:cs="Times New Roman"/>
          <w:color w:val="000000"/>
          <w:vertAlign w:val="subscript"/>
        </w:rPr>
        <w:t>obs</w:t>
      </w:r>
      <w:proofErr w:type="spellEnd"/>
      <w:r>
        <w:rPr>
          <w:rFonts w:ascii="Times New Roman" w:hAnsi="Times New Roman" w:cs="Times New Roman"/>
          <w:color w:val="000000"/>
        </w:rPr>
        <w:t xml:space="preserve"> define the observed sample vector given a bias in sample angel θ. Here, </w:t>
      </w:r>
      <w:r w:rsidRPr="004B5009">
        <w:rPr>
          <w:rFonts w:ascii="Times New Roman" w:hAnsi="Times New Roman" w:cs="Times New Roman"/>
          <w:i/>
          <w:iCs/>
          <w:color w:val="000000"/>
        </w:rPr>
        <w:t>x</w:t>
      </w:r>
      <w:r>
        <w:rPr>
          <w:rFonts w:ascii="Times New Roman" w:hAnsi="Times New Roman" w:cs="Times New Roman"/>
          <w:color w:val="000000"/>
          <w:vertAlign w:val="subscript"/>
        </w:rPr>
        <w:t>0</w:t>
      </w:r>
      <w:r>
        <w:rPr>
          <w:rFonts w:ascii="Times New Roman" w:hAnsi="Times New Roman" w:cs="Times New Roman"/>
          <w:color w:val="000000"/>
        </w:rPr>
        <w:t xml:space="preserve"> and </w:t>
      </w:r>
      <w:r w:rsidRPr="004B5009">
        <w:rPr>
          <w:rFonts w:ascii="Times New Roman" w:hAnsi="Times New Roman" w:cs="Times New Roman"/>
          <w:i/>
          <w:iCs/>
          <w:color w:val="000000"/>
        </w:rPr>
        <w:t>y</w:t>
      </w:r>
      <w:r>
        <w:rPr>
          <w:rFonts w:ascii="Times New Roman" w:hAnsi="Times New Roman" w:cs="Times New Roman"/>
          <w:color w:val="000000"/>
          <w:vertAlign w:val="subscript"/>
        </w:rPr>
        <w:t>0</w:t>
      </w:r>
      <w:r>
        <w:rPr>
          <w:rFonts w:ascii="Times New Roman" w:hAnsi="Times New Roman" w:cs="Times New Roman"/>
          <w:color w:val="000000"/>
        </w:rPr>
        <w:t xml:space="preserve"> were 0 cm and 1 cm, respectively (assumes sampling perpendicular to sediment-water interface). Values for </w:t>
      </w:r>
      <w:r w:rsidRPr="00454B9A">
        <w:rPr>
          <w:rFonts w:ascii="Times New Roman" w:hAnsi="Times New Roman" w:cs="Times New Roman"/>
          <w:i/>
          <w:iCs/>
          <w:color w:val="000000"/>
        </w:rPr>
        <w:t>θ</w:t>
      </w:r>
      <w:r>
        <w:rPr>
          <w:rFonts w:ascii="Times New Roman" w:hAnsi="Times New Roman" w:cs="Times New Roman"/>
          <w:color w:val="000000"/>
        </w:rPr>
        <w:t xml:space="preserve"> were varied from 0 to 90° at 0.1° intervals. The calculated </w:t>
      </w:r>
      <w:r w:rsidRPr="004B5009">
        <w:rPr>
          <w:rFonts w:ascii="Times New Roman" w:hAnsi="Times New Roman" w:cs="Times New Roman"/>
          <w:i/>
          <w:iCs/>
          <w:color w:val="000000"/>
        </w:rPr>
        <w:t>y</w:t>
      </w:r>
      <w:r>
        <w:rPr>
          <w:rFonts w:ascii="Times New Roman" w:hAnsi="Times New Roman" w:cs="Times New Roman"/>
          <w:color w:val="000000"/>
          <w:vertAlign w:val="subscript"/>
        </w:rPr>
        <w:t>0</w:t>
      </w:r>
      <w:r>
        <w:rPr>
          <w:rFonts w:ascii="Times New Roman" w:hAnsi="Times New Roman" w:cs="Times New Roman"/>
          <w:color w:val="000000"/>
        </w:rPr>
        <w:t xml:space="preserve"> values correspond to the biased sample depth with respect to the sediment-water interface.</w:t>
      </w:r>
      <w:r w:rsidR="00CF0FEA">
        <w:rPr>
          <w:rFonts w:ascii="Times New Roman" w:hAnsi="Times New Roman" w:cs="Times New Roman"/>
          <w:color w:val="000000"/>
        </w:rPr>
        <w:t xml:space="preserve"> I </w:t>
      </w:r>
      <w:r>
        <w:rPr>
          <w:rFonts w:ascii="Times New Roman" w:hAnsi="Times New Roman" w:cs="Times New Roman"/>
          <w:color w:val="000000"/>
        </w:rPr>
        <w:t xml:space="preserve">calculated the average change in concentration over a 1 cm interval by taking regressions from 3 to 15 </w:t>
      </w:r>
      <w:proofErr w:type="spellStart"/>
      <w:r>
        <w:rPr>
          <w:rFonts w:ascii="Times New Roman" w:hAnsi="Times New Roman" w:cs="Times New Roman"/>
          <w:color w:val="000000"/>
        </w:rPr>
        <w:t>cmbsf</w:t>
      </w:r>
      <w:proofErr w:type="spellEnd"/>
      <w:r>
        <w:rPr>
          <w:rFonts w:ascii="Times New Roman" w:hAnsi="Times New Roman" w:cs="Times New Roman"/>
          <w:color w:val="000000"/>
        </w:rPr>
        <w:t xml:space="preserve"> for all seawater ions. These represent the unbiased concentration gradients.</w:t>
      </w:r>
      <w:r w:rsidR="00CF0FEA">
        <w:rPr>
          <w:rFonts w:ascii="Times New Roman" w:hAnsi="Times New Roman" w:cs="Times New Roman"/>
          <w:color w:val="000000"/>
        </w:rPr>
        <w:t xml:space="preserve"> I </w:t>
      </w:r>
      <w:r>
        <w:rPr>
          <w:rFonts w:ascii="Times New Roman" w:hAnsi="Times New Roman" w:cs="Times New Roman"/>
          <w:color w:val="000000"/>
        </w:rPr>
        <w:t xml:space="preserve">then predicted observed concentrations with the resultant model slopes (3 to 15 </w:t>
      </w:r>
      <w:proofErr w:type="spellStart"/>
      <w:r>
        <w:rPr>
          <w:rFonts w:ascii="Times New Roman" w:hAnsi="Times New Roman" w:cs="Times New Roman"/>
          <w:color w:val="000000"/>
        </w:rPr>
        <w:t>cmbsf</w:t>
      </w:r>
      <w:proofErr w:type="spellEnd"/>
      <w:r>
        <w:rPr>
          <w:rFonts w:ascii="Times New Roman" w:hAnsi="Times New Roman" w:cs="Times New Roman"/>
          <w:color w:val="000000"/>
        </w:rPr>
        <w:t xml:space="preserve"> regression) using the </w:t>
      </w:r>
      <w:r w:rsidRPr="00505091">
        <w:rPr>
          <w:rFonts w:ascii="Times New Roman" w:hAnsi="Times New Roman" w:cs="Times New Roman"/>
          <w:i/>
          <w:iCs/>
          <w:color w:val="000000"/>
        </w:rPr>
        <w:t>y</w:t>
      </w:r>
      <w:r>
        <w:rPr>
          <w:rFonts w:ascii="Times New Roman" w:hAnsi="Times New Roman" w:cs="Times New Roman"/>
          <w:color w:val="000000"/>
          <w:vertAlign w:val="subscript"/>
        </w:rPr>
        <w:t>0</w:t>
      </w:r>
      <w:r>
        <w:rPr>
          <w:rFonts w:ascii="Times New Roman" w:hAnsi="Times New Roman" w:cs="Times New Roman"/>
          <w:color w:val="000000"/>
        </w:rPr>
        <w:t xml:space="preserve"> values. Since the predicted concentration correspond to changes in concentration over 1 cm intervals along the sample core, the predicted concentration (minus the intercept) is interpreted as the biased slope.</w:t>
      </w:r>
      <w:r w:rsidR="00CF0FEA">
        <w:rPr>
          <w:rFonts w:ascii="Times New Roman" w:hAnsi="Times New Roman" w:cs="Times New Roman"/>
          <w:color w:val="000000"/>
        </w:rPr>
        <w:t xml:space="preserve"> I </w:t>
      </w:r>
      <w:r>
        <w:rPr>
          <w:rFonts w:ascii="Times New Roman" w:hAnsi="Times New Roman" w:cs="Times New Roman"/>
          <w:color w:val="000000"/>
        </w:rPr>
        <w:t xml:space="preserve">did this for all sampling angles, </w:t>
      </w:r>
      <w:r w:rsidRPr="00CF473C">
        <w:rPr>
          <w:rFonts w:ascii="Times New Roman" w:hAnsi="Times New Roman" w:cs="Times New Roman"/>
          <w:i/>
          <w:iCs/>
          <w:color w:val="000000"/>
        </w:rPr>
        <w:t>θ</w:t>
      </w:r>
      <w:r>
        <w:rPr>
          <w:rFonts w:ascii="Times New Roman" w:hAnsi="Times New Roman" w:cs="Times New Roman"/>
          <w:color w:val="000000"/>
        </w:rPr>
        <w:t xml:space="preserve">. The closest biased slope to the observed slopes from 16 to 60 </w:t>
      </w:r>
      <w:proofErr w:type="spellStart"/>
      <w:r>
        <w:rPr>
          <w:rFonts w:ascii="Times New Roman" w:hAnsi="Times New Roman" w:cs="Times New Roman"/>
          <w:color w:val="000000"/>
        </w:rPr>
        <w:t>cmbsf</w:t>
      </w:r>
      <w:proofErr w:type="spellEnd"/>
      <w:r>
        <w:rPr>
          <w:rFonts w:ascii="Times New Roman" w:hAnsi="Times New Roman" w:cs="Times New Roman"/>
          <w:color w:val="000000"/>
        </w:rPr>
        <w:t xml:space="preserve"> (based on linear regression) were taken as the sampling angles necessary to change the concentration slopes at 15 </w:t>
      </w:r>
      <w:proofErr w:type="spellStart"/>
      <w:r>
        <w:rPr>
          <w:rFonts w:ascii="Times New Roman" w:hAnsi="Times New Roman" w:cs="Times New Roman"/>
          <w:color w:val="000000"/>
        </w:rPr>
        <w:t>cmbsf</w:t>
      </w:r>
      <w:proofErr w:type="spellEnd"/>
      <w:r>
        <w:rPr>
          <w:rFonts w:ascii="Times New Roman" w:hAnsi="Times New Roman" w:cs="Times New Roman"/>
          <w:color w:val="000000"/>
        </w:rPr>
        <w:t xml:space="preserve">. </w:t>
      </w:r>
    </w:p>
    <w:p w14:paraId="625AF1C1" w14:textId="77777777" w:rsidR="00614780" w:rsidRPr="00F23F20" w:rsidRDefault="00614780" w:rsidP="00614780">
      <w:pPr>
        <w:pStyle w:val="Heading3"/>
      </w:pPr>
      <w:bookmarkStart w:id="266" w:name="_Toc41908147"/>
      <w:r w:rsidRPr="00F23F20">
        <w:lastRenderedPageBreak/>
        <w:t>DOM Absorption Spectra</w:t>
      </w:r>
      <w:bookmarkEnd w:id="266"/>
    </w:p>
    <w:p w14:paraId="55F955E0" w14:textId="77777777" w:rsidR="00614780" w:rsidRPr="00F23F20" w:rsidRDefault="00614780" w:rsidP="00614780">
      <w:pPr>
        <w:spacing w:line="480" w:lineRule="auto"/>
        <w:ind w:firstLine="720"/>
        <w:rPr>
          <w:rFonts w:ascii="Times New Roman" w:hAnsi="Times New Roman" w:cs="Times New Roman"/>
          <w:color w:val="000000"/>
        </w:rPr>
      </w:pPr>
      <w:r w:rsidRPr="00F23F20">
        <w:rPr>
          <w:rFonts w:ascii="Times New Roman" w:hAnsi="Times New Roman" w:cs="Times New Roman"/>
          <w:color w:val="000000"/>
        </w:rPr>
        <w:t xml:space="preserve">UV-VIS absorbance spectra were measured for porewater DOM at each depth interval using a UV-VIS spectrophotometer (Ocean Optics FLAME-S-UV-VIS). 10 absorbance spectra were measured and averaged together for each depth. The integration times for the individual spectra were 1000 </w:t>
      </w:r>
      <w:proofErr w:type="spellStart"/>
      <w:r w:rsidRPr="00F23F20">
        <w:rPr>
          <w:rFonts w:ascii="Times New Roman" w:hAnsi="Times New Roman" w:cs="Times New Roman"/>
          <w:color w:val="000000"/>
        </w:rPr>
        <w:t>μs</w:t>
      </w:r>
      <w:proofErr w:type="spellEnd"/>
      <w:r w:rsidRPr="00F23F20">
        <w:rPr>
          <w:rFonts w:ascii="Times New Roman" w:hAnsi="Times New Roman" w:cs="Times New Roman"/>
          <w:color w:val="000000"/>
        </w:rPr>
        <w:t xml:space="preserve">. Absorbance spectra were collected and analyzed at wavelengths from 220 nm to 800 nm. Porewater isolated from sediments (see </w:t>
      </w:r>
      <w:r w:rsidRPr="00F23F20">
        <w:rPr>
          <w:rFonts w:ascii="Times New Roman" w:hAnsi="Times New Roman" w:cs="Times New Roman"/>
          <w:i/>
          <w:iCs/>
          <w:color w:val="000000"/>
        </w:rPr>
        <w:t>Porewater Geochemistry</w:t>
      </w:r>
      <w:r w:rsidRPr="00F23F20">
        <w:rPr>
          <w:rFonts w:ascii="Times New Roman" w:hAnsi="Times New Roman" w:cs="Times New Roman"/>
          <w:color w:val="000000"/>
        </w:rPr>
        <w:t>) from individual depths were filled into a single quartz glass cuvette. After obtaining average absorbance spectra for a given depth interval, the single quartz glass cuvette was washed 15 times with ~1 mL Milli-Q H</w:t>
      </w:r>
      <w:r w:rsidRPr="00F23F20">
        <w:rPr>
          <w:rFonts w:ascii="Times New Roman" w:hAnsi="Times New Roman" w:cs="Times New Roman"/>
          <w:color w:val="000000"/>
          <w:vertAlign w:val="subscript"/>
        </w:rPr>
        <w:t>2</w:t>
      </w:r>
      <w:r w:rsidRPr="00F23F20">
        <w:rPr>
          <w:rFonts w:ascii="Times New Roman" w:hAnsi="Times New Roman" w:cs="Times New Roman"/>
          <w:color w:val="000000"/>
        </w:rPr>
        <w:t>O. After the Milli-Q H</w:t>
      </w:r>
      <w:r w:rsidRPr="00F23F20">
        <w:rPr>
          <w:rFonts w:ascii="Times New Roman" w:hAnsi="Times New Roman" w:cs="Times New Roman"/>
          <w:color w:val="000000"/>
          <w:vertAlign w:val="subscript"/>
        </w:rPr>
        <w:t>2</w:t>
      </w:r>
      <w:r w:rsidRPr="00F23F20">
        <w:rPr>
          <w:rFonts w:ascii="Times New Roman" w:hAnsi="Times New Roman" w:cs="Times New Roman"/>
          <w:color w:val="000000"/>
        </w:rPr>
        <w:t>O rinse, an absorbance spectrum was collected for Milli-Q H</w:t>
      </w:r>
      <w:r w:rsidRPr="00F23F20">
        <w:rPr>
          <w:rFonts w:ascii="Times New Roman" w:hAnsi="Times New Roman" w:cs="Times New Roman"/>
          <w:color w:val="000000"/>
          <w:vertAlign w:val="subscript"/>
        </w:rPr>
        <w:t>2</w:t>
      </w:r>
      <w:r w:rsidRPr="00F23F20">
        <w:rPr>
          <w:rFonts w:ascii="Times New Roman" w:hAnsi="Times New Roman" w:cs="Times New Roman"/>
          <w:color w:val="000000"/>
        </w:rPr>
        <w:t>O in the same fashion as the sediment porewater. The Milli-Q spectra provided reference spectra for absorbance of the sample medium (i.e., H</w:t>
      </w:r>
      <w:r w:rsidRPr="00F23F20">
        <w:rPr>
          <w:rFonts w:ascii="Times New Roman" w:hAnsi="Times New Roman" w:cs="Times New Roman"/>
          <w:color w:val="000000"/>
          <w:vertAlign w:val="subscript"/>
        </w:rPr>
        <w:t>2</w:t>
      </w:r>
      <w:r w:rsidRPr="00F23F20">
        <w:rPr>
          <w:rFonts w:ascii="Times New Roman" w:hAnsi="Times New Roman" w:cs="Times New Roman"/>
          <w:color w:val="000000"/>
          <w:vertAlign w:val="subscript"/>
        </w:rPr>
        <w:softHyphen/>
      </w:r>
      <w:r w:rsidRPr="00F23F20">
        <w:rPr>
          <w:rFonts w:ascii="Times New Roman" w:hAnsi="Times New Roman" w:cs="Times New Roman"/>
          <w:color w:val="000000"/>
        </w:rPr>
        <w:t xml:space="preserve">O). </w:t>
      </w:r>
    </w:p>
    <w:p w14:paraId="59604744" w14:textId="77777777" w:rsidR="00614780" w:rsidRPr="00F23F20" w:rsidRDefault="00614780" w:rsidP="00614780">
      <w:pPr>
        <w:spacing w:line="480" w:lineRule="auto"/>
        <w:ind w:firstLine="720"/>
        <w:rPr>
          <w:rFonts w:ascii="Times New Roman" w:hAnsi="Times New Roman" w:cs="Times New Roman"/>
          <w:color w:val="000000"/>
        </w:rPr>
      </w:pPr>
      <w:r w:rsidRPr="00F23F20">
        <w:rPr>
          <w:rFonts w:ascii="Times New Roman" w:hAnsi="Times New Roman" w:cs="Times New Roman"/>
          <w:color w:val="000000"/>
        </w:rPr>
        <w:t>Absorbance spectra were converted into absorption spectra. Absorbance spectra were first normalized by their respective Milli-Q H</w:t>
      </w:r>
      <w:r w:rsidRPr="00F23F20">
        <w:rPr>
          <w:rFonts w:ascii="Times New Roman" w:hAnsi="Times New Roman" w:cs="Times New Roman"/>
          <w:color w:val="000000"/>
          <w:vertAlign w:val="subscript"/>
        </w:rPr>
        <w:t>2</w:t>
      </w:r>
      <w:r w:rsidRPr="00F23F20">
        <w:rPr>
          <w:rFonts w:ascii="Times New Roman" w:hAnsi="Times New Roman" w:cs="Times New Roman"/>
          <w:color w:val="000000"/>
        </w:rPr>
        <w:t xml:space="preserve">O spectra, such that: </w:t>
      </w:r>
    </w:p>
    <w:p w14:paraId="5D9AF430" w14:textId="77777777" w:rsidR="00614780" w:rsidRPr="00F23F20" w:rsidRDefault="002A3883" w:rsidP="00614780">
      <w:pPr>
        <w:spacing w:line="480" w:lineRule="auto"/>
        <w:rPr>
          <w:rFonts w:ascii="Times New Roman" w:hAnsi="Times New Roman" w:cs="Times New Roman"/>
          <w:color w:val="000000"/>
        </w:rPr>
      </w:pPr>
      <m:oMath>
        <m:sSub>
          <m:sSubPr>
            <m:ctrlPr>
              <w:rPr>
                <w:rFonts w:ascii="Cambria Math" w:hAnsi="Cambria Math" w:cs="Times New Roman"/>
                <w:i/>
                <w:iCs/>
                <w:color w:val="000000"/>
              </w:rPr>
            </m:ctrlPr>
          </m:sSubPr>
          <m:e>
            <m:r>
              <w:rPr>
                <w:rFonts w:ascii="Cambria Math" w:hAnsi="Cambria Math" w:cs="Times New Roman"/>
                <w:color w:val="000000"/>
              </w:rPr>
              <m:t>T</m:t>
            </m:r>
            <m:d>
              <m:dPr>
                <m:ctrlPr>
                  <w:rPr>
                    <w:rFonts w:ascii="Cambria Math" w:hAnsi="Cambria Math" w:cs="Times New Roman"/>
                    <w:i/>
                    <w:iCs/>
                    <w:color w:val="000000"/>
                  </w:rPr>
                </m:ctrlPr>
              </m:dPr>
              <m:e>
                <m:r>
                  <w:rPr>
                    <w:rFonts w:ascii="Cambria Math" w:hAnsi="Cambria Math" w:cs="Times New Roman"/>
                    <w:color w:val="000000"/>
                  </w:rPr>
                  <m:t>λ</m:t>
                </m:r>
              </m:e>
            </m:d>
          </m:e>
          <m:sub>
            <m:r>
              <w:rPr>
                <w:rFonts w:ascii="Cambria Math" w:hAnsi="Cambria Math" w:cs="Times New Roman"/>
                <w:color w:val="000000"/>
              </w:rPr>
              <m:t>i</m:t>
            </m:r>
          </m:sub>
        </m:sSub>
        <m:r>
          <w:rPr>
            <w:rFonts w:ascii="Cambria Math" w:hAnsi="Cambria Math" w:cs="Times New Roman"/>
            <w:color w:val="000000"/>
          </w:rPr>
          <m:t>=</m:t>
        </m:r>
        <m:f>
          <m:fPr>
            <m:ctrlPr>
              <w:rPr>
                <w:rFonts w:ascii="Cambria Math" w:hAnsi="Cambria Math" w:cs="Times New Roman"/>
                <w:i/>
                <w:iCs/>
                <w:color w:val="000000"/>
              </w:rPr>
            </m:ctrlPr>
          </m:fPr>
          <m:num>
            <m:sSub>
              <m:sSubPr>
                <m:ctrlPr>
                  <w:rPr>
                    <w:rFonts w:ascii="Cambria Math" w:hAnsi="Cambria Math" w:cs="Times New Roman"/>
                    <w:i/>
                    <w:iCs/>
                    <w:color w:val="000000"/>
                  </w:rPr>
                </m:ctrlPr>
              </m:sSubPr>
              <m:e>
                <m:r>
                  <w:rPr>
                    <w:rFonts w:ascii="Cambria Math" w:hAnsi="Cambria Math" w:cs="Times New Roman"/>
                    <w:color w:val="000000"/>
                  </w:rPr>
                  <m:t>I</m:t>
                </m:r>
                <m:d>
                  <m:dPr>
                    <m:ctrlPr>
                      <w:rPr>
                        <w:rFonts w:ascii="Cambria Math" w:hAnsi="Cambria Math" w:cs="Times New Roman"/>
                        <w:i/>
                        <w:iCs/>
                        <w:color w:val="000000"/>
                      </w:rPr>
                    </m:ctrlPr>
                  </m:dPr>
                  <m:e>
                    <m:r>
                      <w:rPr>
                        <w:rFonts w:ascii="Cambria Math" w:hAnsi="Cambria Math" w:cs="Times New Roman"/>
                        <w:color w:val="000000"/>
                      </w:rPr>
                      <m:t>λ</m:t>
                    </m:r>
                  </m:e>
                </m:d>
              </m:e>
              <m:sub>
                <m:r>
                  <w:rPr>
                    <w:rFonts w:ascii="Cambria Math" w:hAnsi="Cambria Math" w:cs="Times New Roman"/>
                    <w:color w:val="000000"/>
                  </w:rPr>
                  <m:t>sample,i</m:t>
                </m:r>
              </m:sub>
            </m:sSub>
          </m:num>
          <m:den>
            <m:sSub>
              <m:sSubPr>
                <m:ctrlPr>
                  <w:rPr>
                    <w:rFonts w:ascii="Cambria Math" w:hAnsi="Cambria Math" w:cs="Times New Roman"/>
                    <w:i/>
                    <w:iCs/>
                    <w:color w:val="000000"/>
                  </w:rPr>
                </m:ctrlPr>
              </m:sSubPr>
              <m:e>
                <m:r>
                  <w:rPr>
                    <w:rFonts w:ascii="Cambria Math" w:hAnsi="Cambria Math" w:cs="Times New Roman"/>
                    <w:color w:val="000000"/>
                  </w:rPr>
                  <m:t>I</m:t>
                </m:r>
                <m:d>
                  <m:dPr>
                    <m:ctrlPr>
                      <w:rPr>
                        <w:rFonts w:ascii="Cambria Math" w:hAnsi="Cambria Math" w:cs="Times New Roman"/>
                        <w:i/>
                        <w:iCs/>
                        <w:color w:val="000000"/>
                      </w:rPr>
                    </m:ctrlPr>
                  </m:dPr>
                  <m:e>
                    <m:r>
                      <w:rPr>
                        <w:rFonts w:ascii="Cambria Math" w:hAnsi="Cambria Math" w:cs="Times New Roman"/>
                        <w:color w:val="000000"/>
                      </w:rPr>
                      <m:t>λ</m:t>
                    </m:r>
                  </m:e>
                </m:d>
              </m:e>
              <m:sub>
                <m:r>
                  <w:rPr>
                    <w:rFonts w:ascii="Cambria Math" w:hAnsi="Cambria Math" w:cs="Times New Roman"/>
                    <w:color w:val="000000"/>
                  </w:rPr>
                  <m:t>reference,i</m:t>
                </m:r>
              </m:sub>
            </m:sSub>
          </m:den>
        </m:f>
      </m:oMath>
      <w:r w:rsidR="00614780" w:rsidRPr="00F23F20">
        <w:rPr>
          <w:rFonts w:ascii="Times New Roman" w:hAnsi="Times New Roman" w:cs="Times New Roman"/>
          <w:i/>
          <w:iCs/>
          <w:color w:val="000000"/>
        </w:rPr>
        <w:t xml:space="preserve"> </w:t>
      </w:r>
      <w:r w:rsidR="00614780" w:rsidRPr="00F23F20">
        <w:rPr>
          <w:rFonts w:ascii="Times New Roman" w:hAnsi="Times New Roman" w:cs="Times New Roman"/>
          <w:i/>
          <w:iCs/>
          <w:color w:val="000000"/>
        </w:rPr>
        <w:tab/>
      </w:r>
      <w:r w:rsidR="00614780" w:rsidRPr="00F23F20">
        <w:rPr>
          <w:rFonts w:ascii="Times New Roman" w:hAnsi="Times New Roman" w:cs="Times New Roman"/>
          <w:i/>
          <w:iCs/>
          <w:color w:val="000000"/>
        </w:rPr>
        <w:tab/>
      </w:r>
      <w:r w:rsidR="00614780" w:rsidRPr="00F23F20">
        <w:rPr>
          <w:rFonts w:ascii="Times New Roman" w:hAnsi="Times New Roman" w:cs="Times New Roman"/>
          <w:i/>
          <w:iCs/>
          <w:color w:val="000000"/>
        </w:rPr>
        <w:tab/>
      </w:r>
      <w:r w:rsidR="00614780" w:rsidRPr="00F23F20">
        <w:rPr>
          <w:rFonts w:ascii="Times New Roman" w:hAnsi="Times New Roman" w:cs="Times New Roman"/>
          <w:i/>
          <w:iCs/>
          <w:color w:val="000000"/>
        </w:rPr>
        <w:tab/>
      </w:r>
      <w:r w:rsidR="00614780" w:rsidRPr="00F23F20">
        <w:rPr>
          <w:rFonts w:ascii="Times New Roman" w:hAnsi="Times New Roman" w:cs="Times New Roman"/>
          <w:i/>
          <w:iCs/>
          <w:color w:val="000000"/>
        </w:rPr>
        <w:tab/>
      </w:r>
      <w:r w:rsidR="00614780" w:rsidRPr="00F23F20">
        <w:rPr>
          <w:rFonts w:ascii="Times New Roman" w:hAnsi="Times New Roman" w:cs="Times New Roman"/>
          <w:i/>
          <w:iCs/>
          <w:color w:val="000000"/>
        </w:rPr>
        <w:tab/>
      </w:r>
      <w:r w:rsidR="00614780" w:rsidRPr="00F23F20">
        <w:rPr>
          <w:rFonts w:ascii="Times New Roman" w:hAnsi="Times New Roman" w:cs="Times New Roman"/>
          <w:i/>
          <w:iCs/>
          <w:color w:val="000000"/>
        </w:rPr>
        <w:tab/>
      </w:r>
      <w:r w:rsidR="00614780" w:rsidRPr="00F23F20">
        <w:rPr>
          <w:rFonts w:ascii="Times New Roman" w:hAnsi="Times New Roman" w:cs="Times New Roman"/>
          <w:i/>
          <w:iCs/>
          <w:color w:val="000000"/>
        </w:rPr>
        <w:tab/>
        <w:t xml:space="preserve">            </w:t>
      </w:r>
      <w:r w:rsidR="00614780" w:rsidRPr="00F23F20">
        <w:rPr>
          <w:rFonts w:ascii="Times New Roman" w:hAnsi="Times New Roman" w:cs="Times New Roman"/>
          <w:color w:val="000000"/>
        </w:rPr>
        <w:t xml:space="preserve">     (4.</w:t>
      </w:r>
      <w:r w:rsidR="00614780">
        <w:rPr>
          <w:rFonts w:ascii="Times New Roman" w:hAnsi="Times New Roman" w:cs="Times New Roman"/>
          <w:color w:val="000000"/>
        </w:rPr>
        <w:t>3</w:t>
      </w:r>
    </w:p>
    <w:p w14:paraId="1C96B247" w14:textId="77777777" w:rsidR="00614780" w:rsidRPr="00F23F20" w:rsidRDefault="00614780" w:rsidP="00614780">
      <w:pPr>
        <w:spacing w:line="480" w:lineRule="auto"/>
        <w:rPr>
          <w:rFonts w:ascii="Times New Roman" w:hAnsi="Times New Roman" w:cs="Times New Roman"/>
          <w:color w:val="000000"/>
        </w:rPr>
      </w:pPr>
      <w:r w:rsidRPr="00F23F20">
        <w:rPr>
          <w:rFonts w:ascii="Times New Roman" w:hAnsi="Times New Roman" w:cs="Times New Roman"/>
          <w:color w:val="000000"/>
        </w:rPr>
        <w:t xml:space="preserve">where </w:t>
      </w:r>
      <w:r w:rsidRPr="00F23F20">
        <w:rPr>
          <w:rFonts w:ascii="Times New Roman" w:hAnsi="Times New Roman" w:cs="Times New Roman"/>
          <w:i/>
          <w:iCs/>
          <w:color w:val="000000"/>
        </w:rPr>
        <w:t>T</w:t>
      </w:r>
      <w:r w:rsidRPr="00F23F20">
        <w:rPr>
          <w:rFonts w:ascii="Times New Roman" w:hAnsi="Times New Roman" w:cs="Times New Roman"/>
          <w:color w:val="000000"/>
        </w:rPr>
        <w:t>(</w:t>
      </w:r>
      <w:r w:rsidRPr="00F23F20">
        <w:rPr>
          <w:rFonts w:ascii="Times New Roman" w:hAnsi="Times New Roman" w:cs="Times New Roman"/>
          <w:i/>
          <w:iCs/>
          <w:color w:val="000000"/>
        </w:rPr>
        <w:t>λ</w:t>
      </w:r>
      <w:r w:rsidRPr="00F23F20">
        <w:rPr>
          <w:rFonts w:ascii="Times New Roman" w:hAnsi="Times New Roman" w:cs="Times New Roman"/>
          <w:color w:val="000000"/>
        </w:rPr>
        <w:t>)</w:t>
      </w:r>
      <w:proofErr w:type="spellStart"/>
      <w:r w:rsidRPr="00F23F20">
        <w:rPr>
          <w:rFonts w:ascii="Times New Roman" w:hAnsi="Times New Roman" w:cs="Times New Roman"/>
          <w:i/>
          <w:iCs/>
          <w:color w:val="000000"/>
          <w:vertAlign w:val="subscript"/>
        </w:rPr>
        <w:t>i</w:t>
      </w:r>
      <w:proofErr w:type="spellEnd"/>
      <w:r w:rsidRPr="00F23F20">
        <w:rPr>
          <w:rFonts w:ascii="Times New Roman" w:hAnsi="Times New Roman" w:cs="Times New Roman"/>
          <w:color w:val="000000"/>
        </w:rPr>
        <w:t xml:space="preserve"> is the light transmittance for wavelength, </w:t>
      </w:r>
      <w:r w:rsidRPr="00F23F20">
        <w:rPr>
          <w:rFonts w:ascii="Times New Roman" w:hAnsi="Times New Roman" w:cs="Times New Roman"/>
          <w:i/>
          <w:iCs/>
          <w:color w:val="000000"/>
        </w:rPr>
        <w:t>λ</w:t>
      </w:r>
      <w:r w:rsidRPr="00F23F20">
        <w:rPr>
          <w:rFonts w:ascii="Times New Roman" w:hAnsi="Times New Roman" w:cs="Times New Roman"/>
          <w:color w:val="000000"/>
        </w:rPr>
        <w:t xml:space="preserve">, at the </w:t>
      </w:r>
      <w:proofErr w:type="spellStart"/>
      <w:r w:rsidRPr="00F23F20">
        <w:rPr>
          <w:rFonts w:ascii="Times New Roman" w:hAnsi="Times New Roman" w:cs="Times New Roman"/>
          <w:i/>
          <w:iCs/>
          <w:color w:val="000000"/>
        </w:rPr>
        <w:t>i</w:t>
      </w:r>
      <w:r w:rsidRPr="00F23F20">
        <w:rPr>
          <w:rFonts w:ascii="Times New Roman" w:hAnsi="Times New Roman" w:cs="Times New Roman"/>
          <w:color w:val="000000"/>
          <w:vertAlign w:val="superscript"/>
        </w:rPr>
        <w:t>th</w:t>
      </w:r>
      <w:proofErr w:type="spellEnd"/>
      <w:r w:rsidRPr="00F23F20">
        <w:rPr>
          <w:rFonts w:ascii="Times New Roman" w:hAnsi="Times New Roman" w:cs="Times New Roman"/>
          <w:color w:val="000000"/>
        </w:rPr>
        <w:t xml:space="preserve"> depth interval. Transmittance was then used to calculated absorption such that:</w:t>
      </w:r>
    </w:p>
    <w:p w14:paraId="5C42034A" w14:textId="77777777" w:rsidR="00614780" w:rsidRPr="00F23F20" w:rsidRDefault="002A3883" w:rsidP="00614780">
      <w:pPr>
        <w:spacing w:line="480" w:lineRule="auto"/>
        <w:rPr>
          <w:rFonts w:ascii="Times New Roman" w:eastAsiaTheme="minorEastAsia" w:hAnsi="Times New Roman" w:cs="Times New Roman"/>
          <w:color w:val="000000"/>
        </w:rPr>
      </w:pPr>
      <m:oMath>
        <m:sSub>
          <m:sSubPr>
            <m:ctrlPr>
              <w:rPr>
                <w:rFonts w:ascii="Cambria Math" w:hAnsi="Cambria Math" w:cs="Times New Roman"/>
                <w:i/>
                <w:color w:val="000000"/>
              </w:rPr>
            </m:ctrlPr>
          </m:sSubPr>
          <m:e>
            <m:r>
              <w:rPr>
                <w:rFonts w:ascii="Cambria Math" w:hAnsi="Cambria Math" w:cs="Times New Roman"/>
                <w:color w:val="000000"/>
              </w:rPr>
              <m:t>a</m:t>
            </m:r>
            <m:d>
              <m:dPr>
                <m:ctrlPr>
                  <w:rPr>
                    <w:rFonts w:ascii="Cambria Math" w:hAnsi="Cambria Math" w:cs="Times New Roman"/>
                    <w:i/>
                    <w:color w:val="000000"/>
                  </w:rPr>
                </m:ctrlPr>
              </m:dPr>
              <m:e>
                <m:r>
                  <w:rPr>
                    <w:rFonts w:ascii="Cambria Math" w:hAnsi="Cambria Math" w:cs="Times New Roman"/>
                    <w:color w:val="000000"/>
                  </w:rPr>
                  <m:t>λ</m:t>
                </m:r>
              </m:e>
            </m:d>
          </m:e>
          <m:sub>
            <m:r>
              <w:rPr>
                <w:rFonts w:ascii="Cambria Math" w:hAnsi="Cambria Math" w:cs="Times New Roman"/>
                <w:color w:val="000000"/>
              </w:rPr>
              <m:t>i</m:t>
            </m:r>
          </m:sub>
        </m:sSub>
        <m:r>
          <w:rPr>
            <w:rFonts w:ascii="Cambria Math" w:hAnsi="Cambria Math" w:cs="Times New Roman"/>
            <w:color w:val="000000"/>
          </w:rPr>
          <m:t>=</m:t>
        </m:r>
        <m:f>
          <m:fPr>
            <m:ctrlPr>
              <w:rPr>
                <w:rFonts w:ascii="Cambria Math" w:hAnsi="Cambria Math" w:cs="Times New Roman"/>
                <w:i/>
                <w:color w:val="000000"/>
              </w:rPr>
            </m:ctrlPr>
          </m:fPr>
          <m:num>
            <m:r>
              <w:rPr>
                <w:rFonts w:ascii="Cambria Math" w:hAnsi="Cambria Math" w:cs="Times New Roman"/>
                <w:color w:val="000000"/>
              </w:rPr>
              <m:t>ln</m:t>
            </m:r>
            <m:d>
              <m:dPr>
                <m:ctrlPr>
                  <w:rPr>
                    <w:rFonts w:ascii="Cambria Math" w:hAnsi="Cambria Math" w:cs="Times New Roman"/>
                    <w:i/>
                    <w:color w:val="000000"/>
                  </w:rPr>
                </m:ctrlPr>
              </m:dPr>
              <m:e>
                <m:sSup>
                  <m:sSupPr>
                    <m:ctrlPr>
                      <w:rPr>
                        <w:rFonts w:ascii="Cambria Math" w:hAnsi="Cambria Math" w:cs="Times New Roman"/>
                        <w:i/>
                        <w:color w:val="000000"/>
                      </w:rPr>
                    </m:ctrlPr>
                  </m:sSupPr>
                  <m:e>
                    <m:sSub>
                      <m:sSubPr>
                        <m:ctrlPr>
                          <w:rPr>
                            <w:rFonts w:ascii="Cambria Math" w:hAnsi="Cambria Math" w:cs="Times New Roman"/>
                            <w:i/>
                            <w:color w:val="000000"/>
                          </w:rPr>
                        </m:ctrlPr>
                      </m:sSubPr>
                      <m:e>
                        <m:r>
                          <w:rPr>
                            <w:rFonts w:ascii="Cambria Math" w:hAnsi="Cambria Math" w:cs="Times New Roman"/>
                            <w:color w:val="000000"/>
                          </w:rPr>
                          <m:t>T</m:t>
                        </m:r>
                        <m:d>
                          <m:dPr>
                            <m:ctrlPr>
                              <w:rPr>
                                <w:rFonts w:ascii="Cambria Math" w:hAnsi="Cambria Math" w:cs="Times New Roman"/>
                                <w:i/>
                                <w:color w:val="000000"/>
                              </w:rPr>
                            </m:ctrlPr>
                          </m:dPr>
                          <m:e>
                            <m:r>
                              <w:rPr>
                                <w:rFonts w:ascii="Cambria Math" w:hAnsi="Cambria Math" w:cs="Times New Roman"/>
                                <w:color w:val="000000"/>
                              </w:rPr>
                              <m:t>λ</m:t>
                            </m:r>
                          </m:e>
                        </m:d>
                      </m:e>
                      <m:sub>
                        <m:r>
                          <w:rPr>
                            <w:rFonts w:ascii="Cambria Math" w:hAnsi="Cambria Math" w:cs="Times New Roman"/>
                            <w:color w:val="000000"/>
                          </w:rPr>
                          <m:t>i</m:t>
                        </m:r>
                      </m:sub>
                    </m:sSub>
                  </m:e>
                  <m:sup>
                    <m:r>
                      <w:rPr>
                        <w:rFonts w:ascii="Cambria Math" w:hAnsi="Cambria Math" w:cs="Times New Roman"/>
                        <w:color w:val="000000"/>
                      </w:rPr>
                      <m:t>-1</m:t>
                    </m:r>
                  </m:sup>
                </m:sSup>
              </m:e>
            </m:d>
          </m:num>
          <m:den>
            <m:r>
              <w:rPr>
                <w:rFonts w:ascii="Cambria Math" w:hAnsi="Cambria Math" w:cs="Times New Roman"/>
                <w:color w:val="000000"/>
              </w:rPr>
              <m:t>l</m:t>
            </m:r>
          </m:den>
        </m:f>
      </m:oMath>
      <w:r w:rsidR="00614780" w:rsidRPr="00F23F20">
        <w:rPr>
          <w:rFonts w:ascii="Times New Roman" w:eastAsiaTheme="minorEastAsia" w:hAnsi="Times New Roman" w:cs="Times New Roman"/>
          <w:color w:val="000000"/>
        </w:rPr>
        <w:t xml:space="preserve"> </w:t>
      </w:r>
      <w:r w:rsidR="00614780" w:rsidRPr="00F23F20">
        <w:rPr>
          <w:rFonts w:ascii="Times New Roman" w:eastAsiaTheme="minorEastAsia" w:hAnsi="Times New Roman" w:cs="Times New Roman"/>
          <w:color w:val="000000"/>
        </w:rPr>
        <w:tab/>
      </w:r>
      <w:r w:rsidR="00614780" w:rsidRPr="00F23F20">
        <w:rPr>
          <w:rFonts w:ascii="Times New Roman" w:eastAsiaTheme="minorEastAsia" w:hAnsi="Times New Roman" w:cs="Times New Roman"/>
          <w:color w:val="000000"/>
        </w:rPr>
        <w:tab/>
      </w:r>
      <w:r w:rsidR="00614780" w:rsidRPr="00F23F20">
        <w:rPr>
          <w:rFonts w:ascii="Times New Roman" w:eastAsiaTheme="minorEastAsia" w:hAnsi="Times New Roman" w:cs="Times New Roman"/>
          <w:color w:val="000000"/>
        </w:rPr>
        <w:tab/>
      </w:r>
      <w:r w:rsidR="00614780" w:rsidRPr="00F23F20">
        <w:rPr>
          <w:rFonts w:ascii="Times New Roman" w:eastAsiaTheme="minorEastAsia" w:hAnsi="Times New Roman" w:cs="Times New Roman"/>
          <w:color w:val="000000"/>
        </w:rPr>
        <w:tab/>
      </w:r>
      <w:r w:rsidR="00614780" w:rsidRPr="00F23F20">
        <w:rPr>
          <w:rFonts w:ascii="Times New Roman" w:eastAsiaTheme="minorEastAsia" w:hAnsi="Times New Roman" w:cs="Times New Roman"/>
          <w:color w:val="000000"/>
        </w:rPr>
        <w:tab/>
      </w:r>
      <w:r w:rsidR="00614780" w:rsidRPr="00F23F20">
        <w:rPr>
          <w:rFonts w:ascii="Times New Roman" w:eastAsiaTheme="minorEastAsia" w:hAnsi="Times New Roman" w:cs="Times New Roman"/>
          <w:color w:val="000000"/>
        </w:rPr>
        <w:tab/>
      </w:r>
      <w:r w:rsidR="00614780" w:rsidRPr="00F23F20">
        <w:rPr>
          <w:rFonts w:ascii="Times New Roman" w:eastAsiaTheme="minorEastAsia" w:hAnsi="Times New Roman" w:cs="Times New Roman"/>
          <w:color w:val="000000"/>
        </w:rPr>
        <w:tab/>
      </w:r>
      <w:r w:rsidR="00614780" w:rsidRPr="00F23F20">
        <w:rPr>
          <w:rFonts w:ascii="Times New Roman" w:eastAsiaTheme="minorEastAsia" w:hAnsi="Times New Roman" w:cs="Times New Roman"/>
          <w:color w:val="000000"/>
        </w:rPr>
        <w:tab/>
      </w:r>
      <w:r w:rsidR="00614780" w:rsidRPr="00F23F20">
        <w:rPr>
          <w:rFonts w:ascii="Times New Roman" w:eastAsiaTheme="minorEastAsia" w:hAnsi="Times New Roman" w:cs="Times New Roman"/>
          <w:color w:val="000000"/>
        </w:rPr>
        <w:tab/>
        <w:t xml:space="preserve">     (4.</w:t>
      </w:r>
      <w:r w:rsidR="00614780">
        <w:rPr>
          <w:rFonts w:ascii="Times New Roman" w:eastAsiaTheme="minorEastAsia" w:hAnsi="Times New Roman" w:cs="Times New Roman"/>
          <w:color w:val="000000"/>
        </w:rPr>
        <w:t>4</w:t>
      </w:r>
    </w:p>
    <w:p w14:paraId="6B85223E" w14:textId="2B6EF484" w:rsidR="00614780" w:rsidRPr="00F23F20" w:rsidRDefault="00614780" w:rsidP="00614780">
      <w:pPr>
        <w:spacing w:line="480" w:lineRule="auto"/>
        <w:rPr>
          <w:rFonts w:ascii="Times New Roman" w:hAnsi="Times New Roman" w:cs="Times New Roman"/>
          <w:color w:val="000000"/>
        </w:rPr>
      </w:pPr>
      <w:r w:rsidRPr="00F23F20">
        <w:rPr>
          <w:rFonts w:ascii="Times New Roman" w:hAnsi="Times New Roman" w:cs="Times New Roman"/>
          <w:color w:val="000000"/>
        </w:rPr>
        <w:t xml:space="preserve">where </w:t>
      </w:r>
      <w:r w:rsidRPr="00F23F20">
        <w:rPr>
          <w:rFonts w:ascii="Times New Roman" w:hAnsi="Times New Roman" w:cs="Times New Roman"/>
          <w:i/>
          <w:iCs/>
          <w:color w:val="000000"/>
        </w:rPr>
        <w:t>a</w:t>
      </w:r>
      <w:r w:rsidRPr="00F23F20">
        <w:rPr>
          <w:rFonts w:ascii="Times New Roman" w:hAnsi="Times New Roman" w:cs="Times New Roman"/>
          <w:color w:val="000000"/>
        </w:rPr>
        <w:t>(</w:t>
      </w:r>
      <w:r w:rsidRPr="00F23F20">
        <w:rPr>
          <w:rFonts w:ascii="Times New Roman" w:hAnsi="Times New Roman" w:cs="Times New Roman"/>
          <w:i/>
          <w:iCs/>
          <w:color w:val="000000"/>
        </w:rPr>
        <w:t>λ</w:t>
      </w:r>
      <w:r w:rsidRPr="00F23F20">
        <w:rPr>
          <w:rFonts w:ascii="Times New Roman" w:hAnsi="Times New Roman" w:cs="Times New Roman"/>
          <w:color w:val="000000"/>
        </w:rPr>
        <w:t>)</w:t>
      </w:r>
      <w:proofErr w:type="spellStart"/>
      <w:r w:rsidRPr="00F23F20">
        <w:rPr>
          <w:rFonts w:ascii="Times New Roman" w:hAnsi="Times New Roman" w:cs="Times New Roman"/>
          <w:i/>
          <w:iCs/>
          <w:color w:val="000000"/>
          <w:vertAlign w:val="subscript"/>
        </w:rPr>
        <w:t>i</w:t>
      </w:r>
      <w:proofErr w:type="spellEnd"/>
      <w:r w:rsidRPr="00F23F20">
        <w:rPr>
          <w:rFonts w:ascii="Times New Roman" w:hAnsi="Times New Roman" w:cs="Times New Roman"/>
          <w:color w:val="000000"/>
        </w:rPr>
        <w:t xml:space="preserve"> is the absorption coefficient (m</w:t>
      </w:r>
      <w:r w:rsidRPr="00F23F20">
        <w:rPr>
          <w:rFonts w:ascii="Times New Roman" w:hAnsi="Times New Roman" w:cs="Times New Roman"/>
          <w:color w:val="000000"/>
          <w:vertAlign w:val="superscript"/>
        </w:rPr>
        <w:t>-1</w:t>
      </w:r>
      <w:r w:rsidRPr="00F23F20">
        <w:rPr>
          <w:rFonts w:ascii="Times New Roman" w:hAnsi="Times New Roman" w:cs="Times New Roman"/>
          <w:color w:val="000000"/>
        </w:rPr>
        <w:t xml:space="preserve">) for wavelength, </w:t>
      </w:r>
      <w:r w:rsidRPr="00F23F20">
        <w:rPr>
          <w:rFonts w:ascii="Times New Roman" w:hAnsi="Times New Roman" w:cs="Times New Roman"/>
          <w:i/>
          <w:iCs/>
          <w:color w:val="000000"/>
        </w:rPr>
        <w:t>λ</w:t>
      </w:r>
      <w:r w:rsidRPr="00F23F20">
        <w:rPr>
          <w:rFonts w:ascii="Times New Roman" w:hAnsi="Times New Roman" w:cs="Times New Roman"/>
          <w:color w:val="000000"/>
        </w:rPr>
        <w:t xml:space="preserve">, at the </w:t>
      </w:r>
      <w:proofErr w:type="spellStart"/>
      <w:r w:rsidRPr="00F23F20">
        <w:rPr>
          <w:rFonts w:ascii="Times New Roman" w:hAnsi="Times New Roman" w:cs="Times New Roman"/>
          <w:i/>
          <w:iCs/>
          <w:color w:val="000000"/>
        </w:rPr>
        <w:t>i</w:t>
      </w:r>
      <w:r w:rsidRPr="00F23F20">
        <w:rPr>
          <w:rFonts w:ascii="Times New Roman" w:hAnsi="Times New Roman" w:cs="Times New Roman"/>
          <w:color w:val="000000"/>
          <w:vertAlign w:val="superscript"/>
        </w:rPr>
        <w:t>th</w:t>
      </w:r>
      <w:proofErr w:type="spellEnd"/>
      <w:r w:rsidRPr="00F23F20">
        <w:rPr>
          <w:rFonts w:ascii="Times New Roman" w:hAnsi="Times New Roman" w:cs="Times New Roman"/>
          <w:color w:val="000000"/>
        </w:rPr>
        <w:t xml:space="preserve"> depth interval, </w:t>
      </w:r>
      <w:r w:rsidRPr="00F23F20">
        <w:rPr>
          <w:rFonts w:ascii="Times New Roman" w:hAnsi="Times New Roman" w:cs="Times New Roman"/>
          <w:i/>
          <w:iCs/>
          <w:color w:val="000000"/>
        </w:rPr>
        <w:t>T</w:t>
      </w:r>
      <w:r w:rsidRPr="00F23F20">
        <w:rPr>
          <w:rFonts w:ascii="Times New Roman" w:hAnsi="Times New Roman" w:cs="Times New Roman"/>
          <w:color w:val="000000"/>
        </w:rPr>
        <w:t>(</w:t>
      </w:r>
      <w:r w:rsidRPr="00F23F20">
        <w:rPr>
          <w:rFonts w:ascii="Times New Roman" w:hAnsi="Times New Roman" w:cs="Times New Roman"/>
          <w:i/>
          <w:iCs/>
          <w:color w:val="000000"/>
        </w:rPr>
        <w:t>λ</w:t>
      </w:r>
      <w:r w:rsidRPr="00F23F20">
        <w:rPr>
          <w:rFonts w:ascii="Times New Roman" w:hAnsi="Times New Roman" w:cs="Times New Roman"/>
          <w:color w:val="000000"/>
        </w:rPr>
        <w:t>)</w:t>
      </w:r>
      <w:proofErr w:type="spellStart"/>
      <w:r w:rsidRPr="00F23F20">
        <w:rPr>
          <w:rFonts w:ascii="Times New Roman" w:hAnsi="Times New Roman" w:cs="Times New Roman"/>
          <w:i/>
          <w:iCs/>
          <w:color w:val="000000"/>
          <w:vertAlign w:val="subscript"/>
        </w:rPr>
        <w:t>i</w:t>
      </w:r>
      <w:proofErr w:type="spellEnd"/>
      <w:r w:rsidRPr="00F23F20">
        <w:rPr>
          <w:rFonts w:ascii="Times New Roman" w:hAnsi="Times New Roman" w:cs="Times New Roman"/>
          <w:color w:val="000000"/>
          <w:vertAlign w:val="subscript"/>
        </w:rPr>
        <w:t xml:space="preserve"> </w:t>
      </w:r>
      <w:r w:rsidRPr="00F23F20">
        <w:rPr>
          <w:rFonts w:ascii="Times New Roman" w:hAnsi="Times New Roman" w:cs="Times New Roman"/>
          <w:color w:val="000000"/>
        </w:rPr>
        <w:t xml:space="preserve">is the same as before, and </w:t>
      </w:r>
      <w:r w:rsidRPr="00F23F20">
        <w:rPr>
          <w:rFonts w:ascii="Times New Roman" w:hAnsi="Times New Roman" w:cs="Times New Roman"/>
          <w:i/>
          <w:iCs/>
          <w:color w:val="000000"/>
        </w:rPr>
        <w:t xml:space="preserve">l </w:t>
      </w:r>
      <w:r w:rsidRPr="00F23F20">
        <w:rPr>
          <w:rFonts w:ascii="Times New Roman" w:hAnsi="Times New Roman" w:cs="Times New Roman"/>
          <w:color w:val="000000"/>
        </w:rPr>
        <w:t xml:space="preserve">is the cuvette pathlength. Here, </w:t>
      </w:r>
      <w:r w:rsidRPr="00F23F20">
        <w:rPr>
          <w:rFonts w:ascii="Times New Roman" w:hAnsi="Times New Roman" w:cs="Times New Roman"/>
          <w:i/>
          <w:iCs/>
          <w:color w:val="000000"/>
        </w:rPr>
        <w:t>l</w:t>
      </w:r>
      <w:r w:rsidRPr="00F23F20">
        <w:rPr>
          <w:rFonts w:ascii="Times New Roman" w:hAnsi="Times New Roman" w:cs="Times New Roman"/>
          <w:color w:val="000000"/>
        </w:rPr>
        <w:t xml:space="preserve"> was 0.01 m. The resultant absorption spectra were analyzed for the spectral slope (</w:t>
      </w:r>
      <w:r w:rsidRPr="00F23F20">
        <w:rPr>
          <w:rFonts w:ascii="Times New Roman" w:hAnsi="Times New Roman" w:cs="Times New Roman"/>
          <w:i/>
          <w:iCs/>
          <w:color w:val="000000"/>
        </w:rPr>
        <w:t>S</w:t>
      </w:r>
      <w:r w:rsidRPr="00F23F20">
        <w:rPr>
          <w:rFonts w:ascii="Times New Roman" w:hAnsi="Times New Roman" w:cs="Times New Roman"/>
          <w:color w:val="000000"/>
          <w:vertAlign w:val="subscript"/>
        </w:rPr>
        <w:t>275-295</w:t>
      </w:r>
      <w:r w:rsidRPr="00F23F20">
        <w:rPr>
          <w:rFonts w:ascii="Times New Roman" w:hAnsi="Times New Roman" w:cs="Times New Roman"/>
          <w:color w:val="000000"/>
        </w:rPr>
        <w:t xml:space="preserve"> nm: </w:t>
      </w:r>
      <w:r w:rsidRPr="00F23F20">
        <w:rPr>
          <w:rFonts w:ascii="Times New Roman" w:hAnsi="Times New Roman" w:cs="Times New Roman"/>
          <w:i/>
          <w:iCs/>
          <w:color w:val="000000"/>
        </w:rPr>
        <w:t>S</w:t>
      </w:r>
      <w:r w:rsidRPr="00F23F20">
        <w:rPr>
          <w:rFonts w:ascii="Times New Roman" w:hAnsi="Times New Roman" w:cs="Times New Roman"/>
          <w:color w:val="000000"/>
          <w:vertAlign w:val="subscript"/>
        </w:rPr>
        <w:t>350-400</w:t>
      </w:r>
      <w:r w:rsidRPr="00F23F20">
        <w:rPr>
          <w:rFonts w:ascii="Times New Roman" w:hAnsi="Times New Roman" w:cs="Times New Roman"/>
          <w:color w:val="000000"/>
        </w:rPr>
        <w:t xml:space="preserve"> nm), a proxy used for comparing DO</w:t>
      </w:r>
      <w:r>
        <w:rPr>
          <w:rFonts w:ascii="Times New Roman" w:hAnsi="Times New Roman" w:cs="Times New Roman"/>
          <w:color w:val="000000"/>
        </w:rPr>
        <w:t>M</w:t>
      </w:r>
      <w:r w:rsidRPr="00F23F20">
        <w:rPr>
          <w:rFonts w:ascii="Times New Roman" w:hAnsi="Times New Roman" w:cs="Times New Roman"/>
          <w:color w:val="000000"/>
        </w:rPr>
        <w:t xml:space="preserve"> end-member </w:t>
      </w:r>
      <w:r w:rsidRPr="00F23F20">
        <w:rPr>
          <w:rFonts w:ascii="Times New Roman" w:hAnsi="Times New Roman" w:cs="Times New Roman"/>
          <w:color w:val="000000"/>
        </w:rPr>
        <w:fldChar w:fldCharType="begin" w:fldLock="1"/>
      </w:r>
      <w:r w:rsidR="00307058">
        <w:rPr>
          <w:rFonts w:ascii="Times New Roman" w:hAnsi="Times New Roman" w:cs="Times New Roman"/>
          <w:color w:val="000000"/>
        </w:rPr>
        <w:instrText>ADDIN CSL_CITATION {"citationItems":[{"id":"ITEM-1","itemData":{"DOI":"10.4319/lo.2009.54.3.1023","ISSN":"00243590","author":[{"dropping-particle":"","family":"Helms","given":"John R","non-dropping-particle":"","parse-names":false,"suffix":""},{"dropping-particle":"","family":"Stubbins","given":"Aron","non-dropping-particle":"","parse-names":false,"suffix":""},{"dropping-particle":"","family":"Ritchie","given":"Jason D.","non-dropping-particle":"","parse-names":false,"suffix":""},{"dropping-particle":"","family":"Minor","given":"Elizabeth C.","non-dropping-particle":"","parse-names":false,"suffix":""},{"dropping-particle":"","family":"Kieber","given":"David J.","non-dropping-particle":"","parse-names":false,"suffix":""},{"dropping-particle":"","family":"Mopper","given":"Kenneth","non-dropping-particle":"","parse-names":false,"suffix":""}],"container-title":"Limnology and Oceanography","id":"ITEM-1","issue":"3","issued":{"date-parts":[["2009"]]},"page":"1023","title":"Erratum: Absorption spectral slopes and slope ratios as indicators of molecular weight, source, and photobleaching of chromophoric dissolved organic matter","type":"article-journal","volume":"54"},"uris":["http://www.mendeley.com/documents/?uuid=f89d1633-b63e-48b2-b787-720c5de973f8"]}],"mendeley":{"formattedCitation":"(125)","plainTextFormattedCitation":"(125)","previouslyFormattedCitation":"(124)"},"properties":{"noteIndex":0},"schema":"https://github.com/citation-style-language/schema/raw/master/csl-citation.json"}</w:instrText>
      </w:r>
      <w:r w:rsidRPr="00F23F20">
        <w:rPr>
          <w:rFonts w:ascii="Times New Roman" w:hAnsi="Times New Roman" w:cs="Times New Roman"/>
          <w:color w:val="000000"/>
        </w:rPr>
        <w:fldChar w:fldCharType="separate"/>
      </w:r>
      <w:r w:rsidR="00307058" w:rsidRPr="00307058">
        <w:rPr>
          <w:rFonts w:ascii="Times New Roman" w:hAnsi="Times New Roman" w:cs="Times New Roman"/>
          <w:noProof/>
          <w:color w:val="000000"/>
        </w:rPr>
        <w:t>(125)</w:t>
      </w:r>
      <w:r w:rsidRPr="00F23F20">
        <w:rPr>
          <w:rFonts w:ascii="Times New Roman" w:hAnsi="Times New Roman" w:cs="Times New Roman"/>
          <w:color w:val="000000"/>
        </w:rPr>
        <w:fldChar w:fldCharType="end"/>
      </w:r>
      <w:r w:rsidRPr="00F23F20">
        <w:rPr>
          <w:rFonts w:ascii="Times New Roman" w:hAnsi="Times New Roman" w:cs="Times New Roman"/>
          <w:color w:val="000000"/>
        </w:rPr>
        <w:t xml:space="preserve">. </w:t>
      </w:r>
    </w:p>
    <w:p w14:paraId="6D7FA818" w14:textId="77777777" w:rsidR="00614780" w:rsidRPr="0008686D" w:rsidRDefault="00614780" w:rsidP="00614780">
      <w:pPr>
        <w:pStyle w:val="Heading3"/>
      </w:pPr>
      <w:bookmarkStart w:id="267" w:name="_Toc41908148"/>
      <w:r w:rsidRPr="0008686D">
        <w:lastRenderedPageBreak/>
        <w:t>Total Organic Carbon, Total</w:t>
      </w:r>
      <w:r>
        <w:t xml:space="preserve"> Organic</w:t>
      </w:r>
      <w:r w:rsidRPr="0008686D">
        <w:t xml:space="preserve"> Nitrogen, and Organic δ</w:t>
      </w:r>
      <w:r w:rsidRPr="0008686D">
        <w:rPr>
          <w:vertAlign w:val="superscript"/>
        </w:rPr>
        <w:t>13</w:t>
      </w:r>
      <w:r w:rsidRPr="0008686D">
        <w:t>C</w:t>
      </w:r>
      <w:bookmarkEnd w:id="267"/>
      <w:r w:rsidRPr="0008686D">
        <w:t xml:space="preserve"> </w:t>
      </w:r>
    </w:p>
    <w:p w14:paraId="55609F6C" w14:textId="0B940A0D" w:rsidR="00614780" w:rsidRDefault="00614780" w:rsidP="00614780">
      <w:pPr>
        <w:spacing w:before="240" w:line="480" w:lineRule="auto"/>
        <w:ind w:firstLine="720"/>
        <w:rPr>
          <w:rFonts w:ascii="Times New Roman" w:hAnsi="Times New Roman" w:cs="Times New Roman"/>
          <w:color w:val="222222"/>
          <w:shd w:val="clear" w:color="auto" w:fill="FFFFFF"/>
        </w:rPr>
      </w:pPr>
      <w:r w:rsidRPr="00F23F20">
        <w:rPr>
          <w:rFonts w:ascii="Times New Roman" w:hAnsi="Times New Roman" w:cs="Times New Roman"/>
          <w:color w:val="000000"/>
        </w:rPr>
        <w:t xml:space="preserve">Measurement and sample preparation for total organic carbon (TOC), total nitrogen (TN), and </w:t>
      </w:r>
      <w:r w:rsidRPr="00F23F20">
        <w:rPr>
          <w:rFonts w:ascii="Times New Roman" w:hAnsi="Times New Roman" w:cs="Times New Roman"/>
          <w:color w:val="000000"/>
          <w:vertAlign w:val="superscript"/>
        </w:rPr>
        <w:t>13</w:t>
      </w:r>
      <w:r w:rsidRPr="00F23F20">
        <w:rPr>
          <w:rFonts w:ascii="Times New Roman" w:hAnsi="Times New Roman" w:cs="Times New Roman"/>
          <w:color w:val="000000"/>
        </w:rPr>
        <w:t xml:space="preserve">C isotope was performed at the UTK Stable Isotope Lab service. </w:t>
      </w:r>
      <w:r w:rsidRPr="00F23F20">
        <w:rPr>
          <w:rFonts w:ascii="Times New Roman" w:hAnsi="Times New Roman" w:cs="Times New Roman"/>
        </w:rPr>
        <w:t xml:space="preserve">The sediment pellets from centrifugation (see </w:t>
      </w:r>
      <w:r w:rsidRPr="00F23F20">
        <w:rPr>
          <w:rFonts w:ascii="Times New Roman" w:hAnsi="Times New Roman" w:cs="Times New Roman"/>
          <w:i/>
          <w:iCs/>
        </w:rPr>
        <w:t>Porewater Geochemistry</w:t>
      </w:r>
      <w:r w:rsidRPr="00F23F20">
        <w:rPr>
          <w:rFonts w:ascii="Times New Roman" w:hAnsi="Times New Roman" w:cs="Times New Roman"/>
        </w:rPr>
        <w:t>) were freeze dried (</w:t>
      </w:r>
      <w:proofErr w:type="spellStart"/>
      <w:r w:rsidRPr="00F23F20">
        <w:rPr>
          <w:rFonts w:ascii="Times New Roman" w:hAnsi="Times New Roman" w:cs="Times New Roman"/>
        </w:rPr>
        <w:t>Labconco</w:t>
      </w:r>
      <w:proofErr w:type="spellEnd"/>
      <w:r w:rsidRPr="00F23F20">
        <w:rPr>
          <w:rFonts w:ascii="Times New Roman" w:hAnsi="Times New Roman" w:cs="Times New Roman"/>
        </w:rPr>
        <w:t xml:space="preserve"> </w:t>
      </w:r>
      <w:proofErr w:type="spellStart"/>
      <w:r w:rsidRPr="00F23F20">
        <w:rPr>
          <w:rFonts w:ascii="Times New Roman" w:hAnsi="Times New Roman" w:cs="Times New Roman"/>
        </w:rPr>
        <w:t>FreeZone</w:t>
      </w:r>
      <w:proofErr w:type="spellEnd"/>
      <w:r w:rsidRPr="00F23F20">
        <w:rPr>
          <w:rFonts w:ascii="Times New Roman" w:hAnsi="Times New Roman" w:cs="Times New Roman"/>
        </w:rPr>
        <w:t xml:space="preserve"> 6 Freeze Dry System) following the manufacture’s guidelines for 72 hours. After the sediment dried, ~20 mg of dried sediment was weighed on a Mettler Toledo AX26 analytical balance. Samples were then treated with concentrated HCl to remove inorganic carbon. Single drops of concentrated HCl were added to individual dried sediment samples with a glass </w:t>
      </w:r>
      <w:proofErr w:type="spellStart"/>
      <w:r w:rsidRPr="00F23F20">
        <w:rPr>
          <w:rFonts w:ascii="Times New Roman" w:hAnsi="Times New Roman" w:cs="Times New Roman"/>
        </w:rPr>
        <w:t>pasteur</w:t>
      </w:r>
      <w:proofErr w:type="spellEnd"/>
      <w:r w:rsidRPr="00F23F20">
        <w:rPr>
          <w:rFonts w:ascii="Times New Roman" w:hAnsi="Times New Roman" w:cs="Times New Roman"/>
        </w:rPr>
        <w:t xml:space="preserve"> pipette. After the addition of a concentrated HCl drop, a sample was visually inspected for evidence of CO</w:t>
      </w:r>
      <w:r w:rsidRPr="00F23F20">
        <w:rPr>
          <w:rFonts w:ascii="Times New Roman" w:hAnsi="Times New Roman" w:cs="Times New Roman"/>
          <w:vertAlign w:val="subscript"/>
        </w:rPr>
        <w:t>2</w:t>
      </w:r>
      <w:r w:rsidRPr="00F23F20">
        <w:rPr>
          <w:rFonts w:ascii="Times New Roman" w:hAnsi="Times New Roman" w:cs="Times New Roman"/>
        </w:rPr>
        <w:t xml:space="preserve"> outgassing (bubbles). If outgassing occurred, an additional drop of concentrated HCl was added to the sediment sample. This process continued until outgassing was not visually apparent in the samples. The acidified sediment samples were stored at ambient conditions for 24 hours to allow for HCl to react with residual inorganic carbon. Afterwards, samples were transferred to an oven and allowed to dry at 60°C for another 24 hours. Last, the dried sediment samples were analyzed for TOC, TN, </w:t>
      </w:r>
      <w:r w:rsidRPr="00F23F20">
        <w:rPr>
          <w:rFonts w:ascii="Times New Roman" w:hAnsi="Times New Roman" w:cs="Times New Roman"/>
          <w:i/>
          <w:iCs/>
        </w:rPr>
        <w:t>δ</w:t>
      </w:r>
      <w:r w:rsidRPr="00F23F20">
        <w:rPr>
          <w:rFonts w:ascii="Times New Roman" w:hAnsi="Times New Roman" w:cs="Times New Roman"/>
          <w:vertAlign w:val="superscript"/>
        </w:rPr>
        <w:t>13</w:t>
      </w:r>
      <w:r w:rsidRPr="00F23F20">
        <w:rPr>
          <w:rFonts w:ascii="Times New Roman" w:hAnsi="Times New Roman" w:cs="Times New Roman"/>
        </w:rPr>
        <w:t xml:space="preserve">C, and </w:t>
      </w:r>
      <w:r w:rsidRPr="00F23F20">
        <w:rPr>
          <w:rFonts w:ascii="Times New Roman" w:hAnsi="Times New Roman" w:cs="Times New Roman"/>
          <w:i/>
          <w:iCs/>
        </w:rPr>
        <w:t>δ</w:t>
      </w:r>
      <w:r w:rsidRPr="00F23F20">
        <w:rPr>
          <w:rFonts w:ascii="Times New Roman" w:hAnsi="Times New Roman" w:cs="Times New Roman"/>
          <w:vertAlign w:val="superscript"/>
        </w:rPr>
        <w:t>15</w:t>
      </w:r>
      <w:r w:rsidRPr="00F23F20">
        <w:rPr>
          <w:rFonts w:ascii="Times New Roman" w:hAnsi="Times New Roman" w:cs="Times New Roman"/>
        </w:rPr>
        <w:t xml:space="preserve">N. Isotopic data were measured on a </w:t>
      </w:r>
      <w:proofErr w:type="spellStart"/>
      <w:r w:rsidRPr="00F23F20">
        <w:rPr>
          <w:rFonts w:ascii="Times New Roman" w:hAnsi="Times New Roman" w:cs="Times New Roman"/>
        </w:rPr>
        <w:t>Costech</w:t>
      </w:r>
      <w:proofErr w:type="spellEnd"/>
      <w:r w:rsidRPr="00F23F20">
        <w:rPr>
          <w:rFonts w:ascii="Times New Roman" w:hAnsi="Times New Roman" w:cs="Times New Roman"/>
        </w:rPr>
        <w:t xml:space="preserve"> Elemental Analy</w:t>
      </w:r>
      <w:r w:rsidRPr="000E3D6D">
        <w:rPr>
          <w:rFonts w:ascii="Times New Roman" w:hAnsi="Times New Roman" w:cs="Times New Roman"/>
        </w:rPr>
        <w:t xml:space="preserve">zer ECS4010. Bias in </w:t>
      </w:r>
      <w:r w:rsidRPr="000E3D6D">
        <w:rPr>
          <w:rFonts w:ascii="Times New Roman" w:hAnsi="Times New Roman" w:cs="Times New Roman"/>
          <w:i/>
          <w:iCs/>
        </w:rPr>
        <w:t>δ</w:t>
      </w:r>
      <w:r w:rsidRPr="000E3D6D">
        <w:rPr>
          <w:rFonts w:ascii="Times New Roman" w:hAnsi="Times New Roman" w:cs="Times New Roman"/>
          <w:vertAlign w:val="superscript"/>
        </w:rPr>
        <w:t>15</w:t>
      </w:r>
      <w:r w:rsidRPr="000E3D6D">
        <w:rPr>
          <w:rFonts w:ascii="Times New Roman" w:hAnsi="Times New Roman" w:cs="Times New Roman"/>
        </w:rPr>
        <w:t xml:space="preserve">N measurements can occur due to acid treatment </w:t>
      </w:r>
      <w:r w:rsidRPr="000E3D6D">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{"citationItems":[{"id":"ITEM-1","itemData":{"DOI":"10.1007/s13131-018-1188-2","ISSN":"0253505X","abstract":"In some studies, the researchers pretreated and measured organic carbon, nitrogen and their isotopes (δ13C and δ15N) of marine sediment together, to save costs and resources of analysis. However, the procedure of acidification to remove inorganic carbon for analysing δ13C can affect the values of nitrogen and δ15N, and the biases vary a lot depending on the CaCO3 contents of sediments. In this study, the biases of total nitrogen (TN) and δ15N values arising from acidified sediments were compared between the CaCO3-poor (1%–16%) and CaCO3- rich (20%–40%) samples. TN and δ15N values were altered during acid treatment (without centrifugation) that possibly led to N-containing compounds volatilization. For CaCO3-poor samples, acidification led to a range of 0%–40% TN losses and 0‰–2‰ shift in δ15N values; and 10%–60% TN losses and 1‰–14‰ shift in δ15N values for CaCO3-rich samples. The biases from most samples exceeded the precision of the instrument (0.002% for TN and 0.08‰ for δ15N), and high biases could mislead our judgment for the environmental implication of the data. Thus, avoiding co-analysis of organic carbon, nitrogen and their isotopes (δ13C and δ15N) in sediments, even for CaCO3- poor marine sediments, is necessary.","author":[{"dropping-particle":"","family":"Peng","given":"Yajun","non-dropping-particle":"","parse-names":false,"suffix":""},{"dropping-particle":"","family":"Liu","given":"Dongyan","non-dropping-particle":"","parse-names":false,"suffix":""},{"dropping-particle":"","family":"Wang","given":"Yujue","non-dropping-particle":"","parse-names":false,"suffix":""},{"dropping-particle":"","family":"Richard","given":"Pierre","non-dropping-particle":"","parse-names":false,"suffix":""},{"dropping-particle":"","family":"Keesing","given":"John K.","non-dropping-particle":"","parse-names":false,"suffix":""}],"container-title":"Acta Oceanologica Sinica","id":"ITEM-1","issue":"8","issued":{"date-parts":[["2018"]]},"page":"1-5","title":"Analyzing biases of nitrogen contents and δ 15N values arising from acidified marine sediments with different CaCO3 concentrations","type":"article-journal","volume":"37"},"uris":["http://www.mendeley.com/documents/?uuid=cb625413-dfd0-447f-8e4a-c6b9b55c3377"]}],"mendeley":{"formattedCitation":"(126)","plainTextFormattedCitation":"(126)","previouslyFormattedCitation":"(125)"},"properties":{"noteIndex":0},"schema":"https://github.com/citation-style-language/schema/raw/master/csl-citation.json"}</w:instrText>
      </w:r>
      <w:r w:rsidRPr="000E3D6D">
        <w:rPr>
          <w:rFonts w:ascii="Times New Roman" w:hAnsi="Times New Roman" w:cs="Times New Roman"/>
        </w:rPr>
        <w:fldChar w:fldCharType="separate"/>
      </w:r>
      <w:r w:rsidR="00307058" w:rsidRPr="00307058">
        <w:rPr>
          <w:rFonts w:ascii="Times New Roman" w:hAnsi="Times New Roman" w:cs="Times New Roman"/>
          <w:noProof/>
        </w:rPr>
        <w:t>(126)</w:t>
      </w:r>
      <w:r w:rsidRPr="000E3D6D">
        <w:rPr>
          <w:rFonts w:ascii="Times New Roman" w:hAnsi="Times New Roman" w:cs="Times New Roman"/>
        </w:rPr>
        <w:fldChar w:fldCharType="end"/>
      </w:r>
      <w:r w:rsidRPr="000E3D6D">
        <w:rPr>
          <w:rFonts w:ascii="Times New Roman" w:hAnsi="Times New Roman" w:cs="Times New Roman"/>
        </w:rPr>
        <w:t xml:space="preserve">. Thus, </w:t>
      </w:r>
      <w:r w:rsidRPr="000E3D6D">
        <w:rPr>
          <w:rFonts w:ascii="Times New Roman" w:hAnsi="Times New Roman" w:cs="Times New Roman"/>
          <w:i/>
          <w:iCs/>
        </w:rPr>
        <w:t>δ</w:t>
      </w:r>
      <w:r w:rsidRPr="000E3D6D">
        <w:rPr>
          <w:rFonts w:ascii="Times New Roman" w:hAnsi="Times New Roman" w:cs="Times New Roman"/>
          <w:vertAlign w:val="superscript"/>
        </w:rPr>
        <w:t>15</w:t>
      </w:r>
      <w:r w:rsidRPr="000E3D6D">
        <w:rPr>
          <w:rFonts w:ascii="Times New Roman" w:hAnsi="Times New Roman" w:cs="Times New Roman"/>
        </w:rPr>
        <w:t xml:space="preserve">N results were excluded from further analysis. </w:t>
      </w:r>
      <w:r w:rsidRPr="000E3D6D">
        <w:rPr>
          <w:rFonts w:ascii="Times New Roman" w:hAnsi="Times New Roman" w:cs="Times New Roman"/>
          <w:i/>
          <w:iCs/>
        </w:rPr>
        <w:t>δ</w:t>
      </w:r>
      <w:r w:rsidRPr="000E3D6D">
        <w:rPr>
          <w:rFonts w:ascii="Times New Roman" w:hAnsi="Times New Roman" w:cs="Times New Roman"/>
          <w:vertAlign w:val="superscript"/>
        </w:rPr>
        <w:t>13</w:t>
      </w:r>
      <w:r w:rsidRPr="000E3D6D">
        <w:rPr>
          <w:rFonts w:ascii="Times New Roman" w:hAnsi="Times New Roman" w:cs="Times New Roman"/>
        </w:rPr>
        <w:t>C results were reported in units of per mil (</w:t>
      </w:r>
      <w:r w:rsidRPr="000E3D6D">
        <w:rPr>
          <w:rFonts w:ascii="Times New Roman" w:hAnsi="Times New Roman" w:cs="Times New Roman"/>
          <w:color w:val="222222"/>
          <w:shd w:val="clear" w:color="auto" w:fill="FFFFFF"/>
        </w:rPr>
        <w:t>‰) in reference to Vienna Pee Dee Belemnite</w:t>
      </w:r>
      <w:r>
        <w:rPr>
          <w:rFonts w:ascii="Times New Roman" w:hAnsi="Times New Roman" w:cs="Times New Roman"/>
          <w:color w:val="222222"/>
          <w:shd w:val="clear" w:color="auto" w:fill="FFFFFF"/>
        </w:rPr>
        <w:t>.</w:t>
      </w:r>
    </w:p>
    <w:p w14:paraId="76D0D211" w14:textId="77777777" w:rsidR="00614780" w:rsidRDefault="00614780" w:rsidP="00614780">
      <w:pPr>
        <w:spacing w:line="480" w:lineRule="auto"/>
        <w:ind w:firstLine="720"/>
        <w:rPr>
          <w:rFonts w:ascii="Times New Roman" w:eastAsiaTheme="minorEastAsia" w:hAnsi="Times New Roman" w:cs="Times New Roman"/>
        </w:rPr>
      </w:pPr>
      <w:r>
        <w:rPr>
          <w:rFonts w:ascii="Times New Roman" w:eastAsiaTheme="minorEastAsia" w:hAnsi="Times New Roman" w:cs="Times New Roman"/>
        </w:rPr>
        <w:t>TOC and TN measurements were converted from fraction of dry sediment mass to moles cm</w:t>
      </w:r>
      <w:r>
        <w:rPr>
          <w:rFonts w:ascii="Times New Roman" w:eastAsiaTheme="minorEastAsia" w:hAnsi="Times New Roman" w:cs="Times New Roman"/>
          <w:vertAlign w:val="superscript"/>
        </w:rPr>
        <w:t>-3</w:t>
      </w:r>
      <w:r>
        <w:rPr>
          <w:rFonts w:ascii="Times New Roman" w:eastAsiaTheme="minorEastAsia" w:hAnsi="Times New Roman" w:cs="Times New Roman"/>
        </w:rPr>
        <w:t xml:space="preserve"> by:</w:t>
      </w:r>
    </w:p>
    <w:p w14:paraId="4417BC3A" w14:textId="77777777" w:rsidR="00614780" w:rsidRPr="00B82B9C" w:rsidRDefault="002A3883" w:rsidP="00614780">
      <w:pPr>
        <w:spacing w:line="480" w:lineRule="auto"/>
        <w:rPr>
          <w:rFonts w:ascii="Times New Roman" w:eastAsiaTheme="minorEastAsia" w:hAnsi="Times New Roman" w:cs="Times New Roman"/>
        </w:rPr>
      </w:pPr>
      <m:oMath>
        <m:d>
          <m:dPr>
            <m:begChr m:val="["/>
            <m:endChr m:val="]"/>
            <m:ctrlPr>
              <w:rPr>
                <w:rFonts w:ascii="Cambria Math" w:eastAsiaTheme="minorEastAsia" w:hAnsi="Cambria Math" w:cs="Times New Roman"/>
                <w:i/>
              </w:rPr>
            </m:ctrlPr>
          </m:dPr>
          <m:e>
            <m:r>
              <w:rPr>
                <w:rFonts w:ascii="Cambria Math" w:eastAsiaTheme="minorEastAsia" w:hAnsi="Cambria Math" w:cs="Times New Roman"/>
              </w:rPr>
              <m:t>TOx</m:t>
            </m:r>
          </m:e>
        </m:d>
        <m:r>
          <w:rPr>
            <w:rFonts w:ascii="Cambria Math" w:eastAsiaTheme="minorEastAsia" w:hAnsi="Cambria Math" w:cs="Times New Roman"/>
          </w:rPr>
          <m:t>=</m:t>
        </m:r>
        <m:f>
          <m:fPr>
            <m:ctrlPr>
              <w:rPr>
                <w:rFonts w:ascii="Cambria Math" w:eastAsiaTheme="minorEastAsia" w:hAnsi="Cambria Math" w:cs="Times New Roman"/>
                <w:i/>
              </w:rPr>
            </m:ctrlPr>
          </m:fPr>
          <m:num>
            <m:d>
              <m:dPr>
                <m:ctrlPr>
                  <w:rPr>
                    <w:rFonts w:ascii="Cambria Math" w:eastAsiaTheme="minorEastAsia" w:hAnsi="Cambria Math" w:cs="Times New Roman"/>
                    <w:i/>
                  </w:rPr>
                </m:ctrlPr>
              </m:dPr>
              <m:e>
                <m:r>
                  <w:rPr>
                    <w:rFonts w:ascii="Cambria Math" w:eastAsiaTheme="minorEastAsia" w:hAnsi="Cambria Math" w:cs="Times New Roman"/>
                  </w:rPr>
                  <m:t>1-φ</m:t>
                </m:r>
              </m:e>
            </m:d>
            <m:sSub>
              <m:sSubPr>
                <m:ctrlPr>
                  <w:rPr>
                    <w:rFonts w:ascii="Cambria Math" w:eastAsiaTheme="minorEastAsia" w:hAnsi="Cambria Math" w:cs="Times New Roman"/>
                    <w:i/>
                  </w:rPr>
                </m:ctrlPr>
              </m:sSubPr>
              <m:e>
                <m:r>
                  <w:rPr>
                    <w:rFonts w:ascii="Cambria Math" w:eastAsiaTheme="minorEastAsia" w:hAnsi="Cambria Math" w:cs="Times New Roman"/>
                  </w:rPr>
                  <m:t>TOx</m:t>
                </m:r>
              </m:e>
              <m:sub>
                <m:r>
                  <w:rPr>
                    <w:rFonts w:ascii="Cambria Math" w:eastAsiaTheme="minorEastAsia" w:hAnsi="Cambria Math" w:cs="Times New Roman"/>
                  </w:rPr>
                  <m:t>frac</m:t>
                </m:r>
              </m:sub>
            </m:sSub>
            <m:sSub>
              <m:sSubPr>
                <m:ctrlPr>
                  <w:rPr>
                    <w:rFonts w:ascii="Cambria Math" w:eastAsiaTheme="minorEastAsia" w:hAnsi="Cambria Math" w:cs="Times New Roman"/>
                    <w:i/>
                  </w:rPr>
                </m:ctrlPr>
              </m:sSubPr>
              <m:e>
                <m:r>
                  <w:rPr>
                    <w:rFonts w:ascii="Cambria Math" w:eastAsiaTheme="minorEastAsia" w:hAnsi="Cambria Math" w:cs="Times New Roman"/>
                  </w:rPr>
                  <m:t>ρ</m:t>
                </m:r>
              </m:e>
              <m:sub>
                <m:r>
                  <w:rPr>
                    <w:rFonts w:ascii="Cambria Math" w:eastAsiaTheme="minorEastAsia" w:hAnsi="Cambria Math" w:cs="Times New Roman"/>
                  </w:rPr>
                  <m:t>dry</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mw</m:t>
                </m:r>
              </m:sub>
            </m:sSub>
          </m:den>
        </m:f>
      </m:oMath>
      <w:r w:rsidR="00614780">
        <w:rPr>
          <w:rFonts w:ascii="Times New Roman" w:eastAsiaTheme="minorEastAsia" w:hAnsi="Times New Roman" w:cs="Times New Roman"/>
        </w:rPr>
        <w:t xml:space="preserve"> </w:t>
      </w:r>
      <w:r w:rsidR="00614780">
        <w:rPr>
          <w:rFonts w:ascii="Times New Roman" w:eastAsiaTheme="minorEastAsia" w:hAnsi="Times New Roman" w:cs="Times New Roman"/>
        </w:rPr>
        <w:tab/>
      </w:r>
      <w:r w:rsidR="00614780">
        <w:rPr>
          <w:rFonts w:ascii="Times New Roman" w:eastAsiaTheme="minorEastAsia" w:hAnsi="Times New Roman" w:cs="Times New Roman"/>
        </w:rPr>
        <w:tab/>
      </w:r>
      <w:r w:rsidR="00614780">
        <w:rPr>
          <w:rFonts w:ascii="Times New Roman" w:eastAsiaTheme="minorEastAsia" w:hAnsi="Times New Roman" w:cs="Times New Roman"/>
        </w:rPr>
        <w:tab/>
      </w:r>
      <w:r w:rsidR="00614780">
        <w:rPr>
          <w:rFonts w:ascii="Times New Roman" w:eastAsiaTheme="minorEastAsia" w:hAnsi="Times New Roman" w:cs="Times New Roman"/>
        </w:rPr>
        <w:tab/>
      </w:r>
      <w:r w:rsidR="00614780">
        <w:rPr>
          <w:rFonts w:ascii="Times New Roman" w:eastAsiaTheme="minorEastAsia" w:hAnsi="Times New Roman" w:cs="Times New Roman"/>
        </w:rPr>
        <w:tab/>
      </w:r>
      <w:r w:rsidR="00614780">
        <w:rPr>
          <w:rFonts w:ascii="Times New Roman" w:eastAsiaTheme="minorEastAsia" w:hAnsi="Times New Roman" w:cs="Times New Roman"/>
        </w:rPr>
        <w:tab/>
      </w:r>
      <w:r w:rsidR="00614780">
        <w:rPr>
          <w:rFonts w:ascii="Times New Roman" w:eastAsiaTheme="minorEastAsia" w:hAnsi="Times New Roman" w:cs="Times New Roman"/>
        </w:rPr>
        <w:tab/>
      </w:r>
      <w:r w:rsidR="00614780">
        <w:rPr>
          <w:rFonts w:ascii="Times New Roman" w:eastAsiaTheme="minorEastAsia" w:hAnsi="Times New Roman" w:cs="Times New Roman"/>
        </w:rPr>
        <w:tab/>
        <w:t xml:space="preserve">     (4.5</w:t>
      </w:r>
    </w:p>
    <w:p w14:paraId="5D9CE631" w14:textId="7AB09F73" w:rsidR="00614780" w:rsidRDefault="00614780" w:rsidP="00614780">
      <w:pPr>
        <w:spacing w:before="240" w:line="480" w:lineRule="auto"/>
        <w:rPr>
          <w:rFonts w:ascii="Times New Roman" w:hAnsi="Times New Roman" w:cs="Times New Roman"/>
        </w:rPr>
      </w:pPr>
      <w:r>
        <w:rPr>
          <w:rFonts w:ascii="Times New Roman" w:eastAsiaTheme="minorEastAsia" w:hAnsi="Times New Roman" w:cs="Times New Roman"/>
        </w:rPr>
        <w:lastRenderedPageBreak/>
        <w:t>where [</w:t>
      </w:r>
      <w:proofErr w:type="spellStart"/>
      <w:r>
        <w:rPr>
          <w:rFonts w:ascii="Times New Roman" w:eastAsiaTheme="minorEastAsia" w:hAnsi="Times New Roman" w:cs="Times New Roman"/>
        </w:rPr>
        <w:t>TOx</w:t>
      </w:r>
      <w:proofErr w:type="spellEnd"/>
      <w:r>
        <w:rPr>
          <w:rFonts w:ascii="Times New Roman" w:eastAsiaTheme="minorEastAsia" w:hAnsi="Times New Roman" w:cs="Times New Roman"/>
        </w:rPr>
        <w:t>] is concentration of either TOC or TN in moles cm</w:t>
      </w:r>
      <w:r>
        <w:rPr>
          <w:rFonts w:ascii="Times New Roman" w:eastAsiaTheme="minorEastAsia" w:hAnsi="Times New Roman" w:cs="Times New Roman"/>
          <w:vertAlign w:val="superscript"/>
        </w:rPr>
        <w:t>-3</w:t>
      </w:r>
      <w:r>
        <w:rPr>
          <w:rFonts w:ascii="Times New Roman" w:eastAsiaTheme="minorEastAsia" w:hAnsi="Times New Roman" w:cs="Times New Roman"/>
        </w:rPr>
        <w:t xml:space="preserve"> of wet sediment, </w:t>
      </w:r>
      <w:proofErr w:type="spellStart"/>
      <w:r>
        <w:rPr>
          <w:rFonts w:ascii="Times New Roman" w:eastAsiaTheme="minorEastAsia" w:hAnsi="Times New Roman" w:cs="Times New Roman"/>
        </w:rPr>
        <w:t>TOx</w:t>
      </w:r>
      <w:r>
        <w:rPr>
          <w:rFonts w:ascii="Times New Roman" w:eastAsiaTheme="minorEastAsia" w:hAnsi="Times New Roman" w:cs="Times New Roman"/>
          <w:vertAlign w:val="subscript"/>
        </w:rPr>
        <w:t>frac</w:t>
      </w:r>
      <w:proofErr w:type="spellEnd"/>
      <w:r>
        <w:rPr>
          <w:rFonts w:ascii="Times New Roman" w:eastAsiaTheme="minorEastAsia" w:hAnsi="Times New Roman" w:cs="Times New Roman"/>
        </w:rPr>
        <w:t xml:space="preserve"> is the fraction of dry sediment that is either carbon or nitrogen (g g</w:t>
      </w:r>
      <w:r>
        <w:rPr>
          <w:rFonts w:ascii="Times New Roman" w:eastAsiaTheme="minorEastAsia" w:hAnsi="Times New Roman" w:cs="Times New Roman"/>
          <w:vertAlign w:val="superscript"/>
        </w:rPr>
        <w:t>-1</w:t>
      </w:r>
      <w:r>
        <w:rPr>
          <w:rFonts w:ascii="Times New Roman" w:eastAsiaTheme="minorEastAsia" w:hAnsi="Times New Roman" w:cs="Times New Roman"/>
        </w:rPr>
        <w:t xml:space="preserve"> dry sediment), </w:t>
      </w:r>
      <w:r w:rsidRPr="00982AFF">
        <w:rPr>
          <w:rFonts w:ascii="Times New Roman" w:eastAsiaTheme="minorEastAsia" w:hAnsi="Times New Roman" w:cs="Times New Roman"/>
          <w:i/>
          <w:iCs/>
        </w:rPr>
        <w:t>φ</w:t>
      </w:r>
      <w:r>
        <w:rPr>
          <w:rFonts w:ascii="Times New Roman" w:eastAsiaTheme="minorEastAsia" w:hAnsi="Times New Roman" w:cs="Times New Roman"/>
        </w:rPr>
        <w:t xml:space="preserve"> is sediment porosity, </w:t>
      </w:r>
      <w:proofErr w:type="spellStart"/>
      <w:r>
        <w:rPr>
          <w:rFonts w:ascii="Times New Roman" w:eastAsiaTheme="minorEastAsia" w:hAnsi="Times New Roman" w:cs="Times New Roman"/>
          <w:i/>
          <w:iCs/>
        </w:rPr>
        <w:t>X</w:t>
      </w:r>
      <w:r>
        <w:rPr>
          <w:rFonts w:ascii="Times New Roman" w:eastAsiaTheme="minorEastAsia" w:hAnsi="Times New Roman" w:cs="Times New Roman"/>
          <w:vertAlign w:val="subscript"/>
        </w:rPr>
        <w:t>mw</w:t>
      </w:r>
      <w:proofErr w:type="spellEnd"/>
      <w:r>
        <w:rPr>
          <w:rFonts w:ascii="Times New Roman" w:eastAsiaTheme="minorEastAsia" w:hAnsi="Times New Roman" w:cs="Times New Roman"/>
        </w:rPr>
        <w:t xml:space="preserve"> is the molecular weight of carbon or nitrogen (12 C g mol</w:t>
      </w:r>
      <w:r>
        <w:rPr>
          <w:rFonts w:ascii="Times New Roman" w:eastAsiaTheme="minorEastAsia" w:hAnsi="Times New Roman" w:cs="Times New Roman"/>
          <w:vertAlign w:val="superscript"/>
        </w:rPr>
        <w:t>-1</w:t>
      </w:r>
      <w:r>
        <w:rPr>
          <w:rFonts w:ascii="Times New Roman" w:eastAsiaTheme="minorEastAsia" w:hAnsi="Times New Roman" w:cs="Times New Roman"/>
        </w:rPr>
        <w:t xml:space="preserve"> and 14 N g mol</w:t>
      </w:r>
      <w:r>
        <w:rPr>
          <w:rFonts w:ascii="Times New Roman" w:eastAsiaTheme="minorEastAsia" w:hAnsi="Times New Roman" w:cs="Times New Roman"/>
          <w:vertAlign w:val="superscript"/>
        </w:rPr>
        <w:t>-1</w:t>
      </w:r>
      <w:r>
        <w:rPr>
          <w:rFonts w:ascii="Times New Roman" w:eastAsiaTheme="minorEastAsia" w:hAnsi="Times New Roman" w:cs="Times New Roman"/>
        </w:rPr>
        <w:t xml:space="preserve">, respectively), and </w:t>
      </w:r>
      <w:proofErr w:type="spellStart"/>
      <w:r w:rsidRPr="00982AFF">
        <w:rPr>
          <w:rFonts w:ascii="Times New Roman" w:eastAsiaTheme="minorEastAsia" w:hAnsi="Times New Roman" w:cs="Times New Roman"/>
          <w:i/>
          <w:iCs/>
        </w:rPr>
        <w:t>ρ</w:t>
      </w:r>
      <w:r>
        <w:rPr>
          <w:rFonts w:ascii="Times New Roman" w:eastAsiaTheme="minorEastAsia" w:hAnsi="Times New Roman" w:cs="Times New Roman"/>
          <w:vertAlign w:val="subscript"/>
        </w:rPr>
        <w:t>dry</w:t>
      </w:r>
      <w:proofErr w:type="spellEnd"/>
      <w:r>
        <w:rPr>
          <w:rFonts w:ascii="Times New Roman" w:eastAsiaTheme="minorEastAsia" w:hAnsi="Times New Roman" w:cs="Times New Roman"/>
        </w:rPr>
        <w:t xml:space="preserve"> is the density (g cm</w:t>
      </w:r>
      <w:r>
        <w:rPr>
          <w:rFonts w:ascii="Times New Roman" w:eastAsiaTheme="minorEastAsia" w:hAnsi="Times New Roman" w:cs="Times New Roman"/>
          <w:vertAlign w:val="superscript"/>
        </w:rPr>
        <w:t>-3</w:t>
      </w:r>
      <w:r>
        <w:rPr>
          <w:rFonts w:ascii="Times New Roman" w:eastAsiaTheme="minorEastAsia" w:hAnsi="Times New Roman" w:cs="Times New Roman"/>
        </w:rPr>
        <w:t>) of dry sediment for WOR sediments. Here</w:t>
      </w:r>
      <w:r w:rsidR="00CF0FEA">
        <w:rPr>
          <w:rFonts w:ascii="Times New Roman" w:eastAsiaTheme="minorEastAsia" w:hAnsi="Times New Roman" w:cs="Times New Roman"/>
        </w:rPr>
        <w:t xml:space="preserve"> I </w:t>
      </w:r>
      <w:r>
        <w:rPr>
          <w:rFonts w:ascii="Times New Roman" w:eastAsiaTheme="minorEastAsia" w:hAnsi="Times New Roman" w:cs="Times New Roman"/>
        </w:rPr>
        <w:t xml:space="preserve">assumed </w:t>
      </w:r>
      <w:proofErr w:type="spellStart"/>
      <w:r w:rsidRPr="00982AFF">
        <w:rPr>
          <w:rFonts w:ascii="Times New Roman" w:eastAsiaTheme="minorEastAsia" w:hAnsi="Times New Roman" w:cs="Times New Roman"/>
          <w:i/>
          <w:iCs/>
        </w:rPr>
        <w:t>ρ</w:t>
      </w:r>
      <w:r>
        <w:rPr>
          <w:rFonts w:ascii="Times New Roman" w:eastAsiaTheme="minorEastAsia" w:hAnsi="Times New Roman" w:cs="Times New Roman"/>
          <w:vertAlign w:val="subscript"/>
        </w:rPr>
        <w:t>dry</w:t>
      </w:r>
      <w:proofErr w:type="spellEnd"/>
      <w:r w:rsidRPr="00982AFF">
        <w:rPr>
          <w:rFonts w:ascii="Times New Roman" w:eastAsiaTheme="minorEastAsia" w:hAnsi="Times New Roman" w:cs="Times New Roman"/>
        </w:rPr>
        <w:t>=</w:t>
      </w:r>
      <w:r>
        <w:rPr>
          <w:rFonts w:ascii="Times New Roman" w:eastAsiaTheme="minorEastAsia" w:hAnsi="Times New Roman" w:cs="Times New Roman"/>
        </w:rPr>
        <w:t>2.5 g cm</w:t>
      </w:r>
      <w:r>
        <w:rPr>
          <w:rFonts w:ascii="Times New Roman" w:eastAsiaTheme="minorEastAsia" w:hAnsi="Times New Roman" w:cs="Times New Roman"/>
          <w:vertAlign w:val="superscript"/>
        </w:rPr>
        <w:t>-3</w:t>
      </w:r>
      <w:r>
        <w:rPr>
          <w:rFonts w:ascii="Times New Roman" w:eastAsiaTheme="minorEastAsia" w:hAnsi="Times New Roman" w:cs="Times New Roman"/>
        </w:rPr>
        <w:t xml:space="preserve"> </w:t>
      </w:r>
      <w:r>
        <w:rPr>
          <w:rFonts w:ascii="Times New Roman" w:eastAsiaTheme="minorEastAsia" w:hAnsi="Times New Roman" w:cs="Times New Roman"/>
        </w:rPr>
        <w:fldChar w:fldCharType="begin" w:fldLock="1"/>
      </w:r>
      <w:r w:rsidR="00307058">
        <w:rPr>
          <w:rFonts w:ascii="Times New Roman" w:eastAsiaTheme="minorEastAsia" w:hAnsi="Times New Roman" w:cs="Times New Roman"/>
        </w:rPr>
        <w:instrText>ADDIN CSL_CITATION {"citationItems":[{"id":"ITEM-1","itemData":{"DOI":"10.4319/lo.1990.35.2.0372","ISSN":"19395590","abstract":"This article is in Free Access Publication and may be downloaded using the “Download Full Text PDF” link at right. © 1990, by the Association for the Sciences of Limnology and Oceanography, Inc.","author":[{"dropping-particle":"","family":"Kelley","given":"Cheryl A.","non-dropping-particle":"","parse-names":false,"suffix":""},{"dropping-particle":"","family":"Martens","given":"Christopher S.","non-dropping-particle":"","parse-names":false,"suffix":""},{"dropping-particle":"","family":"Chanton","given":"Jefrey P.","non-dropping-particle":"","parse-names":false,"suffix":""}],"container-title":"Limnology and Oceanography","id":"ITEM-1","issue":"2","issued":{"date-parts":[["1990"]]},"page":"372-383","title":"Variations in sedimentary carbon remineralization rates in the White Oak River estuary, North Carolina","type":"article-journal","volume":"35"},"uris":["http://www.mendeley.com/documents/?uuid=5e162661-f608-4baa-8158-6aba2efbdcf0"]},{"id":"ITEM-2","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Microbiology","id":"ITEM-2","issue":"9","issued":{"date-parts":[["2011"]]},"page":"2548-2564","title":"Environmental evidence for net methane production and oxidation in putative ANaerobic MEthanotrophic (ANME) archaea","type":"article-journal","volume":"13"},"uris":["http://www.mendeley.com/documents/?uuid=66d37395-cd0d-4af9-893f-431870bc2bc8"]}],"mendeley":{"formattedCitation":"(117, 127)","plainTextFormattedCitation":"(117, 127)","previouslyFormattedCitation":"(116, 126)"},"properties":{"noteIndex":0},"schema":"https://github.com/citation-style-language/schema/raw/master/csl-citation.json"}</w:instrText>
      </w:r>
      <w:r>
        <w:rPr>
          <w:rFonts w:ascii="Times New Roman" w:eastAsiaTheme="minorEastAsia" w:hAnsi="Times New Roman" w:cs="Times New Roman"/>
        </w:rPr>
        <w:fldChar w:fldCharType="separate"/>
      </w:r>
      <w:r w:rsidR="00307058" w:rsidRPr="00307058">
        <w:rPr>
          <w:rFonts w:ascii="Times New Roman" w:eastAsiaTheme="minorEastAsia" w:hAnsi="Times New Roman" w:cs="Times New Roman"/>
          <w:noProof/>
        </w:rPr>
        <w:t>(117, 127)</w:t>
      </w:r>
      <w:r>
        <w:rPr>
          <w:rFonts w:ascii="Times New Roman" w:eastAsiaTheme="minorEastAsia" w:hAnsi="Times New Roman" w:cs="Times New Roman"/>
        </w:rPr>
        <w:fldChar w:fldCharType="end"/>
      </w:r>
      <w:r>
        <w:rPr>
          <w:rFonts w:ascii="Times New Roman" w:eastAsiaTheme="minorEastAsia" w:hAnsi="Times New Roman" w:cs="Times New Roman"/>
        </w:rPr>
        <w:t xml:space="preserve">. </w:t>
      </w:r>
      <w:r>
        <w:rPr>
          <w:rFonts w:ascii="Times New Roman" w:hAnsi="Times New Roman" w:cs="Times New Roman"/>
        </w:rPr>
        <w:t>No measurable concentrations of NO</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and NO</w:t>
      </w:r>
      <w:r>
        <w:rPr>
          <w:rFonts w:ascii="Times New Roman" w:hAnsi="Times New Roman" w:cs="Times New Roman"/>
          <w:vertAlign w:val="subscript"/>
        </w:rPr>
        <w:t>2</w:t>
      </w:r>
      <w:r>
        <w:rPr>
          <w:rFonts w:ascii="Times New Roman" w:hAnsi="Times New Roman" w:cs="Times New Roman"/>
          <w:vertAlign w:val="superscript"/>
        </w:rPr>
        <w:t>-</w:t>
      </w:r>
      <w:r>
        <w:rPr>
          <w:rFonts w:ascii="Times New Roman" w:hAnsi="Times New Roman" w:cs="Times New Roman"/>
        </w:rPr>
        <w:t xml:space="preserve"> were present in the sediment core. Thus, TN was converted to TON by assuming all inorganic nitrogen was attributed to NH</w:t>
      </w:r>
      <w:r>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rPr>
        <w:t>. Thus, TN and NH</w:t>
      </w:r>
      <w:r>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rPr>
        <w:t xml:space="preserve"> were used to calculate TON by:</w:t>
      </w:r>
    </w:p>
    <w:p w14:paraId="6737DFEF" w14:textId="77777777" w:rsidR="00614780" w:rsidRPr="00796595" w:rsidRDefault="002A3883" w:rsidP="00614780">
      <w:pPr>
        <w:spacing w:before="240" w:line="480" w:lineRule="auto"/>
        <w:rPr>
          <w:rFonts w:ascii="Times New Roman" w:hAnsi="Times New Roman" w:cs="Times New Roman"/>
        </w:rPr>
      </w:pPr>
      <m:oMath>
        <m:d>
          <m:dPr>
            <m:begChr m:val="["/>
            <m:endChr m:val="]"/>
            <m:ctrlPr>
              <w:rPr>
                <w:rFonts w:ascii="Cambria Math" w:hAnsi="Cambria Math" w:cs="Times New Roman"/>
                <w:i/>
              </w:rPr>
            </m:ctrlPr>
          </m:dPr>
          <m:e>
            <m:r>
              <w:rPr>
                <w:rFonts w:ascii="Cambria Math" w:hAnsi="Cambria Math" w:cs="Times New Roman"/>
              </w:rPr>
              <m:t>TON</m:t>
            </m:r>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TN</m:t>
            </m:r>
          </m:e>
        </m:d>
        <m:r>
          <w:rPr>
            <w:rFonts w:ascii="Cambria Math" w:hAnsi="Cambria Math" w:cs="Times New Roman"/>
          </w:rPr>
          <m:t>-</m:t>
        </m:r>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NH</m:t>
                </m:r>
              </m:e>
              <m:sub>
                <m:r>
                  <w:rPr>
                    <w:rFonts w:ascii="Cambria Math" w:hAnsi="Cambria Math" w:cs="Times New Roman"/>
                  </w:rPr>
                  <m:t>4</m:t>
                </m:r>
              </m:sub>
              <m:sup>
                <m:r>
                  <w:rPr>
                    <w:rFonts w:ascii="Cambria Math" w:hAnsi="Cambria Math" w:cs="Times New Roman"/>
                  </w:rPr>
                  <m:t>+</m:t>
                </m:r>
              </m:sup>
            </m:sSubSup>
          </m:e>
        </m:d>
      </m:oMath>
      <w:r w:rsidR="00614780">
        <w:rPr>
          <w:rFonts w:ascii="Times New Roman" w:hAnsi="Times New Roman" w:cs="Times New Roman"/>
        </w:rPr>
        <w:tab/>
        <w:t xml:space="preserve"> </w:t>
      </w:r>
      <w:r w:rsidR="00614780">
        <w:rPr>
          <w:rFonts w:ascii="Times New Roman" w:hAnsi="Times New Roman" w:cs="Times New Roman"/>
        </w:rPr>
        <w:tab/>
      </w:r>
      <w:r w:rsidR="00614780">
        <w:rPr>
          <w:rFonts w:ascii="Times New Roman" w:hAnsi="Times New Roman" w:cs="Times New Roman"/>
        </w:rPr>
        <w:tab/>
      </w:r>
      <w:r w:rsidR="00614780">
        <w:rPr>
          <w:rFonts w:ascii="Times New Roman" w:hAnsi="Times New Roman" w:cs="Times New Roman"/>
        </w:rPr>
        <w:tab/>
      </w:r>
      <w:r w:rsidR="00614780">
        <w:rPr>
          <w:rFonts w:ascii="Times New Roman" w:hAnsi="Times New Roman" w:cs="Times New Roman"/>
        </w:rPr>
        <w:tab/>
      </w:r>
      <w:r w:rsidR="00614780">
        <w:rPr>
          <w:rFonts w:ascii="Times New Roman" w:hAnsi="Times New Roman" w:cs="Times New Roman"/>
        </w:rPr>
        <w:tab/>
      </w:r>
      <w:r w:rsidR="00614780">
        <w:rPr>
          <w:rFonts w:ascii="Times New Roman" w:hAnsi="Times New Roman" w:cs="Times New Roman"/>
        </w:rPr>
        <w:tab/>
        <w:t xml:space="preserve">     </w:t>
      </w:r>
      <w:r w:rsidR="00614780">
        <w:rPr>
          <w:rFonts w:ascii="Times New Roman" w:hAnsi="Times New Roman" w:cs="Times New Roman"/>
        </w:rPr>
        <w:tab/>
        <w:t xml:space="preserve">     (4.6</w:t>
      </w:r>
    </w:p>
    <w:p w14:paraId="6596B082" w14:textId="77777777" w:rsidR="00614780" w:rsidRPr="00F23F20" w:rsidRDefault="00614780" w:rsidP="00614780">
      <w:pPr>
        <w:spacing w:before="240" w:line="480" w:lineRule="auto"/>
        <w:rPr>
          <w:rFonts w:ascii="Times New Roman" w:hAnsi="Times New Roman" w:cs="Times New Roman"/>
        </w:rPr>
      </w:pPr>
      <w:r>
        <w:rPr>
          <w:rFonts w:ascii="Times New Roman" w:hAnsi="Times New Roman" w:cs="Times New Roman"/>
        </w:rPr>
        <w:t>We estimated the contribution of NH</w:t>
      </w:r>
      <w:r>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rPr>
        <w:t xml:space="preserve"> towards</w:t>
      </w:r>
    </w:p>
    <w:p w14:paraId="60FE5F83" w14:textId="77777777" w:rsidR="00614780" w:rsidRPr="00F23F20" w:rsidRDefault="00614780" w:rsidP="00614780">
      <w:pPr>
        <w:pStyle w:val="Heading3"/>
      </w:pPr>
      <w:bookmarkStart w:id="268" w:name="_Toc41908149"/>
      <w:r w:rsidRPr="00F23F20">
        <w:t>Reaction-Transport Model</w:t>
      </w:r>
      <w:bookmarkEnd w:id="268"/>
    </w:p>
    <w:p w14:paraId="19A32133" w14:textId="06C10456" w:rsidR="00614780" w:rsidRPr="00F23F20" w:rsidRDefault="00614780" w:rsidP="00614780">
      <w:pPr>
        <w:spacing w:line="480" w:lineRule="auto"/>
        <w:ind w:firstLine="720"/>
        <w:rPr>
          <w:rFonts w:ascii="Times New Roman" w:hAnsi="Times New Roman" w:cs="Times New Roman"/>
        </w:rPr>
      </w:pPr>
      <w:r w:rsidRPr="00F23F20">
        <w:rPr>
          <w:rFonts w:ascii="Times New Roman" w:hAnsi="Times New Roman" w:cs="Times New Roman"/>
        </w:rPr>
        <w:t>We used a one-dimensional reaction-transport model to infer oxidation and production rates for CH</w:t>
      </w:r>
      <w:r w:rsidRPr="00F23F20">
        <w:rPr>
          <w:rFonts w:ascii="Times New Roman" w:hAnsi="Times New Roman" w:cs="Times New Roman"/>
          <w:vertAlign w:val="subscript"/>
        </w:rPr>
        <w:t>4</w:t>
      </w:r>
      <w:r w:rsidRPr="00F23F20">
        <w:rPr>
          <w:rFonts w:ascii="Times New Roman" w:hAnsi="Times New Roman" w:cs="Times New Roman"/>
        </w:rPr>
        <w:t xml:space="preserve"> and SO</w:t>
      </w:r>
      <w:r w:rsidRPr="00F23F20">
        <w:rPr>
          <w:rFonts w:ascii="Times New Roman" w:hAnsi="Times New Roman" w:cs="Times New Roman"/>
          <w:vertAlign w:val="subscript"/>
        </w:rPr>
        <w:t>4</w:t>
      </w:r>
      <w:r w:rsidRPr="00F23F20">
        <w:rPr>
          <w:rFonts w:ascii="Times New Roman" w:hAnsi="Times New Roman" w:cs="Times New Roman"/>
          <w:vertAlign w:val="superscript"/>
        </w:rPr>
        <w:t>2-</w:t>
      </w:r>
      <w:r w:rsidRPr="00F23F20">
        <w:rPr>
          <w:rFonts w:ascii="Times New Roman" w:hAnsi="Times New Roman" w:cs="Times New Roman"/>
        </w:rPr>
        <w:t xml:space="preserve"> at the WOR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Microbiology","id":"ITEM-1","issue":"9","issued":{"date-parts":[["2011"]]},"page":"2548-2564","title":"Environmental evidence for net methane production and oxidation in putative ANaerobic MEthanotrophic (ANME) archaea","type":"article-journal","volume":"13"},"uris":["http://www.mendeley.com/documents/?uuid=66d37395-cd0d-4af9-893f-431870bc2bc8"]}],"mendeley":{"formattedCitation":"(117)","plainTextFormattedCitation":"(117)","previouslyFormattedCitation":"(116)"},"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(117)</w:t>
      </w:r>
      <w:r w:rsidRPr="00F23F20">
        <w:rPr>
          <w:rFonts w:ascii="Times New Roman" w:hAnsi="Times New Roman" w:cs="Times New Roman"/>
        </w:rPr>
        <w:fldChar w:fldCharType="end"/>
      </w:r>
      <w:r w:rsidRPr="00F23F20">
        <w:rPr>
          <w:rFonts w:ascii="Times New Roman" w:hAnsi="Times New Roman" w:cs="Times New Roman"/>
        </w:rPr>
        <w:t xml:space="preserve">. The reaction-transport model used conservation equations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{"citationItems":[{"id":"ITEM-1","itemData":{"author":[{"dropping-particle":"","family":"Boudreau","given":"Bernard P.","non-dropping-particle":"","parse-names":false,"suffix":""}],"id":"ITEM-1","issued":{"date-parts":[["1997"]]},"publisher":"Springer","title":"Diagenetic Models and Their Implementation","type":"book"},"uris":["http://www.mendeley.com/documents/?uuid=dde323a7-a78b-4870-a4d0-d26055537e16"]}],"mendeley":{"formattedCitation":"(128)","plainTextFormattedCitation":"(128)","previouslyFormattedCitation":"(127)"},"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(128)</w:t>
      </w:r>
      <w:r w:rsidRPr="00F23F20">
        <w:rPr>
          <w:rFonts w:ascii="Times New Roman" w:hAnsi="Times New Roman" w:cs="Times New Roman"/>
        </w:rPr>
        <w:fldChar w:fldCharType="end"/>
      </w:r>
      <w:r w:rsidRPr="00F23F20">
        <w:rPr>
          <w:rFonts w:ascii="Times New Roman" w:hAnsi="Times New Roman" w:cs="Times New Roman"/>
        </w:rPr>
        <w:t xml:space="preserve"> such that:</w:t>
      </w:r>
    </w:p>
    <w:p w14:paraId="223D57A1" w14:textId="77777777" w:rsidR="00614780" w:rsidRPr="00F23F20" w:rsidRDefault="002A3883" w:rsidP="00614780">
      <w:pPr>
        <w:spacing w:line="480" w:lineRule="auto"/>
        <w:rPr>
          <w:rFonts w:ascii="Times New Roman" w:hAnsi="Times New Roman" w:cs="Times New Roman"/>
        </w:rPr>
      </w:pPr>
      <m:oMath>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φ</m:t>
            </m:r>
          </m:num>
          <m:den>
            <m:r>
              <w:rPr>
                <w:rFonts w:ascii="Cambria Math" w:hAnsi="Cambria Math" w:cs="Times New Roman"/>
              </w:rPr>
              <m:t>∂t</m:t>
            </m:r>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φ</m:t>
            </m:r>
          </m:e>
        </m:d>
        <m:f>
          <m:fPr>
            <m:ctrlPr>
              <w:rPr>
                <w:rFonts w:ascii="Cambria Math" w:hAnsi="Cambria Math" w:cs="Times New Roman"/>
                <w:i/>
              </w:rPr>
            </m:ctrlPr>
          </m:fPr>
          <m:num>
            <m:r>
              <w:rPr>
                <w:rFonts w:ascii="Cambria Math" w:hAnsi="Cambria Math" w:cs="Times New Roman"/>
              </w:rPr>
              <m:t>∂</m:t>
            </m:r>
          </m:num>
          <m:den>
            <m:r>
              <w:rPr>
                <w:rFonts w:ascii="Cambria Math" w:hAnsi="Cambria Math" w:cs="Times New Roman"/>
              </w:rPr>
              <m:t>∂z</m:t>
            </m:r>
          </m:den>
        </m:f>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φ</m:t>
                </m:r>
              </m:num>
              <m:den>
                <m:r>
                  <w:rPr>
                    <w:rFonts w:ascii="Cambria Math" w:hAnsi="Cambria Math" w:cs="Times New Roman"/>
                  </w:rPr>
                  <m:t>∂z</m:t>
                </m:r>
              </m:den>
            </m:f>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φw</m:t>
            </m:r>
          </m:num>
          <m:den>
            <m:r>
              <w:rPr>
                <w:rFonts w:ascii="Cambria Math" w:hAnsi="Cambria Math" w:cs="Times New Roman"/>
              </w:rPr>
              <m:t>∂z</m:t>
            </m:r>
          </m:den>
        </m:f>
        <m:r>
          <w:rPr>
            <w:rFonts w:ascii="Cambria Math" w:hAnsi="Cambria Math" w:cs="Times New Roman"/>
          </w:rPr>
          <m:t>+</m:t>
        </m:r>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e>
        </m:nary>
      </m:oMath>
      <w:r w:rsidR="00614780" w:rsidRPr="00F23F20">
        <w:rPr>
          <w:rFonts w:ascii="Times New Roman" w:eastAsiaTheme="minorEastAsia" w:hAnsi="Times New Roman" w:cs="Times New Roman"/>
        </w:rPr>
        <w:t xml:space="preserve"> </w:t>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t xml:space="preserve">     (4</w:t>
      </w:r>
      <w:r w:rsidR="00614780">
        <w:rPr>
          <w:rFonts w:ascii="Times New Roman" w:eastAsiaTheme="minorEastAsia" w:hAnsi="Times New Roman" w:cs="Times New Roman"/>
        </w:rPr>
        <w:t>.7</w:t>
      </w:r>
    </w:p>
    <w:p w14:paraId="26577483" w14:textId="4B86D231" w:rsidR="00614780" w:rsidRPr="00F23F20" w:rsidRDefault="00614780" w:rsidP="00614780">
      <w:pPr>
        <w:spacing w:line="480" w:lineRule="auto"/>
        <w:rPr>
          <w:rFonts w:ascii="Times New Roman" w:hAnsi="Times New Roman" w:cs="Times New Roman"/>
        </w:rPr>
      </w:pPr>
      <w:r w:rsidRPr="00F23F20">
        <w:rPr>
          <w:rFonts w:ascii="Times New Roman" w:hAnsi="Times New Roman" w:cs="Times New Roman"/>
        </w:rPr>
        <w:t xml:space="preserve">where </w:t>
      </w:r>
      <w:r w:rsidRPr="00F23F20">
        <w:rPr>
          <w:rFonts w:ascii="Times New Roman" w:hAnsi="Times New Roman" w:cs="Times New Roman"/>
          <w:i/>
          <w:iCs/>
        </w:rPr>
        <w:t>C</w:t>
      </w:r>
      <w:r w:rsidRPr="00F23F20">
        <w:rPr>
          <w:rFonts w:ascii="Times New Roman" w:hAnsi="Times New Roman" w:cs="Times New Roman"/>
          <w:vertAlign w:val="subscript"/>
        </w:rPr>
        <w:t>i</w:t>
      </w:r>
      <w:r w:rsidRPr="00F23F20">
        <w:rPr>
          <w:rFonts w:ascii="Times New Roman" w:hAnsi="Times New Roman" w:cs="Times New Roman"/>
        </w:rPr>
        <w:t xml:space="preserve"> was concentration (moles cm</w:t>
      </w:r>
      <w:r w:rsidRPr="00F23F20">
        <w:rPr>
          <w:rFonts w:ascii="Times New Roman" w:hAnsi="Times New Roman" w:cs="Times New Roman"/>
          <w:vertAlign w:val="superscript"/>
        </w:rPr>
        <w:t>-3</w:t>
      </w:r>
      <w:r w:rsidRPr="00F23F20">
        <w:rPr>
          <w:rFonts w:ascii="Times New Roman" w:hAnsi="Times New Roman" w:cs="Times New Roman"/>
        </w:rPr>
        <w:t xml:space="preserve">) for the </w:t>
      </w:r>
      <w:proofErr w:type="spellStart"/>
      <w:r w:rsidRPr="00F23F20">
        <w:rPr>
          <w:rFonts w:ascii="Times New Roman" w:hAnsi="Times New Roman" w:cs="Times New Roman"/>
          <w:i/>
          <w:iCs/>
        </w:rPr>
        <w:t>i</w:t>
      </w:r>
      <w:r w:rsidRPr="00F23F20">
        <w:rPr>
          <w:rFonts w:ascii="Times New Roman" w:hAnsi="Times New Roman" w:cs="Times New Roman"/>
          <w:vertAlign w:val="superscript"/>
        </w:rPr>
        <w:t>th</w:t>
      </w:r>
      <w:proofErr w:type="spellEnd"/>
      <w:r w:rsidRPr="00F23F20">
        <w:rPr>
          <w:rFonts w:ascii="Times New Roman" w:hAnsi="Times New Roman" w:cs="Times New Roman"/>
        </w:rPr>
        <w:t xml:space="preserve"> species, </w:t>
      </w:r>
      <w:r w:rsidRPr="00F23F20">
        <w:rPr>
          <w:rFonts w:ascii="Times New Roman" w:hAnsi="Times New Roman" w:cs="Times New Roman"/>
          <w:i/>
          <w:iCs/>
        </w:rPr>
        <w:t>φ</w:t>
      </w:r>
      <w:r w:rsidRPr="00F23F20">
        <w:rPr>
          <w:rFonts w:ascii="Times New Roman" w:hAnsi="Times New Roman" w:cs="Times New Roman"/>
        </w:rPr>
        <w:t xml:space="preserve"> was sediment porosity</w:t>
      </w:r>
      <w:r w:rsidRPr="00F23F20">
        <w:rPr>
          <w:rFonts w:ascii="Times New Roman" w:eastAsiaTheme="minorEastAsia" w:hAnsi="Times New Roman" w:cs="Times New Roman"/>
        </w:rPr>
        <w:t xml:space="preserve">, </w:t>
      </w:r>
      <w:r w:rsidRPr="00F23F20">
        <w:rPr>
          <w:rFonts w:ascii="Times New Roman" w:eastAsiaTheme="minorEastAsia" w:hAnsi="Times New Roman" w:cs="Times New Roman"/>
          <w:i/>
          <w:iCs/>
        </w:rPr>
        <w:t>D</w:t>
      </w:r>
      <w:r w:rsidRPr="00F23F20">
        <w:rPr>
          <w:rFonts w:ascii="Times New Roman" w:eastAsiaTheme="minorEastAsia" w:hAnsi="Times New Roman" w:cs="Times New Roman"/>
          <w:vertAlign w:val="subscript"/>
        </w:rPr>
        <w:t>i</w:t>
      </w:r>
      <w:r w:rsidRPr="00F23F20">
        <w:rPr>
          <w:rFonts w:ascii="Times New Roman" w:eastAsiaTheme="minorEastAsia" w:hAnsi="Times New Roman" w:cs="Times New Roman"/>
        </w:rPr>
        <w:t>(</w:t>
      </w:r>
      <w:r w:rsidRPr="00F23F20">
        <w:rPr>
          <w:rFonts w:ascii="Times New Roman" w:eastAsiaTheme="minorEastAsia" w:hAnsi="Times New Roman" w:cs="Times New Roman"/>
          <w:i/>
          <w:iCs/>
        </w:rPr>
        <w:t>φ</w:t>
      </w:r>
      <w:r w:rsidRPr="00F23F20">
        <w:rPr>
          <w:rFonts w:ascii="Times New Roman" w:eastAsiaTheme="minorEastAsia" w:hAnsi="Times New Roman" w:cs="Times New Roman"/>
        </w:rPr>
        <w:t>) was the porosity-corrected diffusion coefficient (cm</w:t>
      </w:r>
      <w:r w:rsidRPr="00F23F20">
        <w:rPr>
          <w:rFonts w:ascii="Times New Roman" w:eastAsiaTheme="minorEastAsia" w:hAnsi="Times New Roman" w:cs="Times New Roman"/>
          <w:vertAlign w:val="superscript"/>
        </w:rPr>
        <w:t>-2</w:t>
      </w:r>
      <w:r w:rsidRPr="00F23F20">
        <w:rPr>
          <w:rFonts w:ascii="Times New Roman" w:eastAsiaTheme="minorEastAsia" w:hAnsi="Times New Roman" w:cs="Times New Roman"/>
        </w:rPr>
        <w:t xml:space="preserve"> s</w:t>
      </w:r>
      <w:r w:rsidRPr="00F23F20">
        <w:rPr>
          <w:rFonts w:ascii="Times New Roman" w:eastAsiaTheme="minorEastAsia" w:hAnsi="Times New Roman" w:cs="Times New Roman"/>
          <w:vertAlign w:val="superscript"/>
        </w:rPr>
        <w:t>-1</w:t>
      </w:r>
      <w:r w:rsidRPr="00F23F20">
        <w:rPr>
          <w:rFonts w:ascii="Times New Roman" w:eastAsiaTheme="minorEastAsia" w:hAnsi="Times New Roman" w:cs="Times New Roman"/>
        </w:rPr>
        <w:t xml:space="preserve">) for the </w:t>
      </w:r>
      <w:proofErr w:type="spellStart"/>
      <w:r w:rsidRPr="00F23F20">
        <w:rPr>
          <w:rFonts w:ascii="Times New Roman" w:eastAsiaTheme="minorEastAsia" w:hAnsi="Times New Roman" w:cs="Times New Roman"/>
          <w:i/>
          <w:iCs/>
        </w:rPr>
        <w:t>i</w:t>
      </w:r>
      <w:r w:rsidRPr="00F23F20">
        <w:rPr>
          <w:rFonts w:ascii="Times New Roman" w:eastAsiaTheme="minorEastAsia" w:hAnsi="Times New Roman" w:cs="Times New Roman"/>
          <w:vertAlign w:val="superscript"/>
        </w:rPr>
        <w:t>th</w:t>
      </w:r>
      <w:proofErr w:type="spellEnd"/>
      <w:r w:rsidRPr="00F23F20">
        <w:rPr>
          <w:rFonts w:ascii="Times New Roman" w:eastAsiaTheme="minorEastAsia" w:hAnsi="Times New Roman" w:cs="Times New Roman"/>
        </w:rPr>
        <w:t xml:space="preserve"> species, </w:t>
      </w:r>
      <w:r w:rsidRPr="00F23F20">
        <w:rPr>
          <w:rFonts w:ascii="Times New Roman" w:eastAsiaTheme="minorEastAsia" w:hAnsi="Times New Roman" w:cs="Times New Roman"/>
          <w:i/>
          <w:iCs/>
        </w:rPr>
        <w:t>z</w:t>
      </w:r>
      <w:r w:rsidRPr="00F23F20">
        <w:rPr>
          <w:rFonts w:ascii="Times New Roman" w:eastAsiaTheme="minorEastAsia" w:hAnsi="Times New Roman" w:cs="Times New Roman"/>
        </w:rPr>
        <w:t xml:space="preserve"> was depth (cm), </w:t>
      </w:r>
      <w:r w:rsidRPr="00F23F20">
        <w:rPr>
          <w:rFonts w:ascii="Times New Roman" w:hAnsi="Times New Roman" w:cs="Times New Roman"/>
          <w:i/>
          <w:iCs/>
        </w:rPr>
        <w:t>w</w:t>
      </w:r>
      <w:r w:rsidRPr="00F23F20">
        <w:rPr>
          <w:rFonts w:ascii="Times New Roman" w:hAnsi="Times New Roman" w:cs="Times New Roman"/>
        </w:rPr>
        <w:t xml:space="preserve"> was net vertical advection (cm s</w:t>
      </w:r>
      <w:r w:rsidRPr="00F23F20">
        <w:rPr>
          <w:rFonts w:ascii="Times New Roman" w:hAnsi="Times New Roman" w:cs="Times New Roman"/>
          <w:vertAlign w:val="superscript"/>
        </w:rPr>
        <w:t>-1</w:t>
      </w:r>
      <w:r w:rsidRPr="00F23F20">
        <w:rPr>
          <w:rFonts w:ascii="Times New Roman" w:hAnsi="Times New Roman" w:cs="Times New Roman"/>
        </w:rPr>
        <w:t xml:space="preserve">), </w:t>
      </w:r>
      <m:oMath>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e>
        </m:nary>
      </m:oMath>
      <w:r w:rsidRPr="00F23F20">
        <w:rPr>
          <w:rFonts w:ascii="Times New Roman" w:hAnsi="Times New Roman" w:cs="Times New Roman"/>
        </w:rPr>
        <w:t xml:space="preserve"> was the net reaction (moles cm</w:t>
      </w:r>
      <w:r w:rsidRPr="00F23F20">
        <w:rPr>
          <w:rFonts w:ascii="Times New Roman" w:hAnsi="Times New Roman" w:cs="Times New Roman"/>
          <w:vertAlign w:val="superscript"/>
        </w:rPr>
        <w:t>-3</w:t>
      </w:r>
      <w:r w:rsidRPr="00F23F20">
        <w:rPr>
          <w:rFonts w:ascii="Times New Roman" w:hAnsi="Times New Roman" w:cs="Times New Roman"/>
        </w:rPr>
        <w:t xml:space="preserve">) for the </w:t>
      </w:r>
      <w:proofErr w:type="spellStart"/>
      <w:r w:rsidRPr="00F23F20">
        <w:rPr>
          <w:rFonts w:ascii="Times New Roman" w:hAnsi="Times New Roman" w:cs="Times New Roman"/>
          <w:i/>
          <w:iCs/>
        </w:rPr>
        <w:t>i</w:t>
      </w:r>
      <w:r w:rsidRPr="00F23F20">
        <w:rPr>
          <w:rFonts w:ascii="Times New Roman" w:hAnsi="Times New Roman" w:cs="Times New Roman"/>
          <w:vertAlign w:val="superscript"/>
        </w:rPr>
        <w:t>th</w:t>
      </w:r>
      <w:proofErr w:type="spellEnd"/>
      <w:r w:rsidRPr="00F23F20">
        <w:rPr>
          <w:rFonts w:ascii="Times New Roman" w:hAnsi="Times New Roman" w:cs="Times New Roman"/>
        </w:rPr>
        <w:t xml:space="preserve"> species, </w:t>
      </w:r>
      <w:proofErr w:type="spellStart"/>
      <w:r w:rsidRPr="00F23F20">
        <w:rPr>
          <w:rFonts w:ascii="Times New Roman" w:hAnsi="Times New Roman" w:cs="Times New Roman"/>
          <w:i/>
          <w:iCs/>
        </w:rPr>
        <w:t>t</w:t>
      </w:r>
      <w:proofErr w:type="spellEnd"/>
      <w:r w:rsidRPr="00F23F20">
        <w:rPr>
          <w:rFonts w:ascii="Times New Roman" w:hAnsi="Times New Roman" w:cs="Times New Roman"/>
        </w:rPr>
        <w:t xml:space="preserve"> was time (s), and </w:t>
      </w:r>
      <m:oMath>
        <m:r>
          <w:rPr>
            <w:rFonts w:ascii="Cambria Math" w:hAnsi="Cambria Math" w:cs="Times New Roman"/>
          </w:rPr>
          <m:t>∂</m:t>
        </m:r>
      </m:oMath>
      <w:r w:rsidRPr="00F23F20">
        <w:rPr>
          <w:rFonts w:ascii="Times New Roman" w:hAnsi="Times New Roman" w:cs="Times New Roman"/>
          <w:i/>
          <w:iCs/>
        </w:rPr>
        <w:t xml:space="preserve"> </w:t>
      </w:r>
      <w:r w:rsidRPr="00F23F20">
        <w:rPr>
          <w:rFonts w:ascii="Times New Roman" w:hAnsi="Times New Roman" w:cs="Times New Roman"/>
        </w:rPr>
        <w:t>corresponded to the change in the respective variable. Porosity for WOR sediment was found to be invariant with depth, and thus</w:t>
      </w:r>
      <w:r w:rsidR="00CF0FEA">
        <w:rPr>
          <w:rFonts w:ascii="Times New Roman" w:hAnsi="Times New Roman" w:cs="Times New Roman"/>
        </w:rPr>
        <w:t xml:space="preserve"> I </w:t>
      </w:r>
      <w:r w:rsidRPr="00F23F20">
        <w:rPr>
          <w:rFonts w:ascii="Times New Roman" w:hAnsi="Times New Roman" w:cs="Times New Roman"/>
        </w:rPr>
        <w:t xml:space="preserve">assume </w:t>
      </w:r>
      <w:r w:rsidRPr="00F23F20">
        <w:rPr>
          <w:rFonts w:ascii="Times New Roman" w:hAnsi="Times New Roman" w:cs="Times New Roman"/>
          <w:i/>
          <w:iCs/>
        </w:rPr>
        <w:t>φ</w:t>
      </w:r>
      <w:r w:rsidRPr="00F23F20">
        <w:rPr>
          <w:rFonts w:ascii="Times New Roman" w:hAnsi="Times New Roman" w:cs="Times New Roman"/>
        </w:rPr>
        <w:t xml:space="preserve">=0.81 for all depths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Microbiology","id":"ITEM-1","issue":"9","issued":{"date-parts":[["2011"]]},"page":"2548-2564","title":"Environmental evidence for net methane production and oxidation in putative ANaerobic MEthanotrophic (ANME) archaea","type":"article-journal","volume":"13"},"uris":["http://www.mendeley.com/documents/?uuid=66d37395-cd0d-4af9-893f-431870bc2bc8"]}],"mendeley":{"formattedCitation":"(117)","plainTextFormattedCitation":"(117)","previouslyFormattedCitation":"(116)"},"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(117)</w:t>
      </w:r>
      <w:r w:rsidRPr="00F23F20">
        <w:rPr>
          <w:rFonts w:ascii="Times New Roman" w:hAnsi="Times New Roman" w:cs="Times New Roman"/>
        </w:rPr>
        <w:fldChar w:fldCharType="end"/>
      </w:r>
      <w:r w:rsidRPr="00F23F20">
        <w:rPr>
          <w:rFonts w:ascii="Times New Roman" w:hAnsi="Times New Roman" w:cs="Times New Roman"/>
        </w:rPr>
        <w:t xml:space="preserve">. </w:t>
      </w:r>
    </w:p>
    <w:p w14:paraId="041D81D6" w14:textId="3CC4EFA7" w:rsidR="00614780" w:rsidRPr="00F23F20" w:rsidRDefault="00614780" w:rsidP="00614780">
      <w:pPr>
        <w:spacing w:line="480" w:lineRule="auto"/>
        <w:ind w:firstLine="720"/>
        <w:rPr>
          <w:rFonts w:ascii="Times New Roman" w:hAnsi="Times New Roman" w:cs="Times New Roman"/>
        </w:rPr>
      </w:pPr>
      <w:r w:rsidRPr="00F23F20">
        <w:rPr>
          <w:rFonts w:ascii="Times New Roman" w:hAnsi="Times New Roman" w:cs="Times New Roman"/>
        </w:rPr>
        <w:lastRenderedPageBreak/>
        <w:t xml:space="preserve">If assuming a steady-state chemical profile (i.e., </w:t>
      </w:r>
      <m:oMath>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φ</m:t>
            </m:r>
          </m:num>
          <m:den>
            <m:r>
              <w:rPr>
                <w:rFonts w:ascii="Cambria Math" w:hAnsi="Cambria Math" w:cs="Times New Roman"/>
              </w:rPr>
              <m:t>∂t</m:t>
            </m:r>
          </m:den>
        </m:f>
        <m:r>
          <w:rPr>
            <w:rFonts w:ascii="Cambria Math" w:hAnsi="Cambria Math" w:cs="Times New Roman"/>
          </w:rPr>
          <m:t>=0</m:t>
        </m:r>
      </m:oMath>
      <w:r w:rsidRPr="00F23F20">
        <w:rPr>
          <w:rFonts w:ascii="Times New Roman" w:eastAsiaTheme="minorEastAsia" w:hAnsi="Times New Roman" w:cs="Times New Roman"/>
        </w:rPr>
        <w:t>)</w:t>
      </w:r>
      <w:r w:rsidRPr="00F23F20">
        <w:rPr>
          <w:rFonts w:ascii="Times New Roman" w:hAnsi="Times New Roman" w:cs="Times New Roman"/>
        </w:rPr>
        <w:t xml:space="preserve">, the net rate of reaction, </w:t>
      </w:r>
      <m:oMath>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e>
        </m:nary>
      </m:oMath>
      <w:r w:rsidRPr="00F23F20">
        <w:rPr>
          <w:rFonts w:ascii="Times New Roman" w:hAnsi="Times New Roman" w:cs="Times New Roman"/>
        </w:rPr>
        <w:t>, can be inferred when both the diffusion and advection terms are known. Noise in the observed chemical data was filtered by fitting a generalized additive models (</w:t>
      </w:r>
      <w:r>
        <w:rPr>
          <w:rFonts w:ascii="Times New Roman" w:hAnsi="Times New Roman" w:cs="Times New Roman"/>
        </w:rPr>
        <w:t>GAM</w:t>
      </w:r>
      <w:r w:rsidRPr="00F23F20">
        <w:rPr>
          <w:rFonts w:ascii="Times New Roman" w:hAnsi="Times New Roman" w:cs="Times New Roman"/>
        </w:rPr>
        <w:t>) to both CH</w:t>
      </w:r>
      <w:r w:rsidRPr="00F23F20">
        <w:rPr>
          <w:rFonts w:ascii="Times New Roman" w:hAnsi="Times New Roman" w:cs="Times New Roman"/>
          <w:vertAlign w:val="subscript"/>
        </w:rPr>
        <w:t>4</w:t>
      </w:r>
      <w:r w:rsidRPr="00F23F20">
        <w:rPr>
          <w:rFonts w:ascii="Times New Roman" w:hAnsi="Times New Roman" w:cs="Times New Roman"/>
        </w:rPr>
        <w:t xml:space="preserve"> and SO</w:t>
      </w:r>
      <w:r w:rsidRPr="00F23F20">
        <w:rPr>
          <w:rFonts w:ascii="Times New Roman" w:hAnsi="Times New Roman" w:cs="Times New Roman"/>
          <w:vertAlign w:val="subscript"/>
        </w:rPr>
        <w:t>4</w:t>
      </w:r>
      <w:r w:rsidRPr="00F23F20">
        <w:rPr>
          <w:rFonts w:ascii="Times New Roman" w:hAnsi="Times New Roman" w:cs="Times New Roman"/>
          <w:vertAlign w:val="superscript"/>
        </w:rPr>
        <w:t>2-</w:t>
      </w:r>
      <w:r w:rsidRPr="00F23F20">
        <w:rPr>
          <w:rFonts w:ascii="Times New Roman" w:hAnsi="Times New Roman" w:cs="Times New Roman"/>
        </w:rPr>
        <w:t xml:space="preserve"> depth profiles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{"citationItems":[{"id":"ITEM-1","itemData":{"author":[{"dropping-particle":"","family":"Wood","given":"Simon","non-dropping-particle":"","parse-names":false,"suffix":""}],"id":"ITEM-1","issued":{"date-parts":[["2017"]]},"title":"mgcv: Mixed GAM Computation Vehicle with GCV/AIC/REML Smoothness Estimation","type":"article-journal"},"uris":["http://www.mendeley.com/documents/?uuid=b347a87a-0d41-44da-8a48-af52dcd7fbb0"]}],"mendeley":{"formattedCitation":"(43)","plainTextFormattedCitation":"(43)","previouslyFormattedCitation":"(42)"},"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(43)</w:t>
      </w:r>
      <w:r w:rsidRPr="00F23F20">
        <w:rPr>
          <w:rFonts w:ascii="Times New Roman" w:hAnsi="Times New Roman" w:cs="Times New Roman"/>
        </w:rPr>
        <w:fldChar w:fldCharType="end"/>
      </w:r>
      <w:r w:rsidRPr="00F23F20">
        <w:rPr>
          <w:rFonts w:ascii="Times New Roman" w:hAnsi="Times New Roman" w:cs="Times New Roman"/>
        </w:rPr>
        <w:t>. The smoothing parameter (</w:t>
      </w:r>
      <w:proofErr w:type="spellStart"/>
      <w:r w:rsidRPr="00F23F20">
        <w:rPr>
          <w:rFonts w:ascii="Times New Roman" w:hAnsi="Times New Roman" w:cs="Times New Roman"/>
        </w:rPr>
        <w:t>sp</w:t>
      </w:r>
      <w:proofErr w:type="spellEnd"/>
      <w:r w:rsidRPr="00F23F20">
        <w:rPr>
          <w:rFonts w:ascii="Times New Roman" w:hAnsi="Times New Roman" w:cs="Times New Roman"/>
        </w:rPr>
        <w:t xml:space="preserve">) was set to 0.1 for both gam fits. The smoothed fits were used in defining </w:t>
      </w:r>
      <m:oMath>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φ</m:t>
            </m:r>
          </m:num>
          <m:den>
            <m:r>
              <w:rPr>
                <w:rFonts w:ascii="Cambria Math" w:hAnsi="Cambria Math" w:cs="Times New Roman"/>
              </w:rPr>
              <m:t>∂z</m:t>
            </m:r>
          </m:den>
        </m:f>
      </m:oMath>
      <w:r w:rsidRPr="00F23F20">
        <w:rPr>
          <w:rFonts w:ascii="Times New Roman" w:hAnsi="Times New Roman" w:cs="Times New Roman"/>
        </w:rPr>
        <w:t xml:space="preserve"> for both the diffusion and advection terms. For the diffusion term, the diffusion coefficients for CH</w:t>
      </w:r>
      <w:r w:rsidRPr="00F23F20">
        <w:rPr>
          <w:rFonts w:ascii="Times New Roman" w:hAnsi="Times New Roman" w:cs="Times New Roman"/>
          <w:vertAlign w:val="subscript"/>
        </w:rPr>
        <w:t>4</w:t>
      </w:r>
      <w:r w:rsidRPr="00F23F20">
        <w:rPr>
          <w:rFonts w:ascii="Times New Roman" w:hAnsi="Times New Roman" w:cs="Times New Roman"/>
        </w:rPr>
        <w:t xml:space="preserve"> and SO</w:t>
      </w:r>
      <w:r w:rsidRPr="00F23F20">
        <w:rPr>
          <w:rFonts w:ascii="Times New Roman" w:hAnsi="Times New Roman" w:cs="Times New Roman"/>
          <w:vertAlign w:val="subscript"/>
        </w:rPr>
        <w:t>4</w:t>
      </w:r>
      <w:r w:rsidRPr="00F23F20">
        <w:rPr>
          <w:rFonts w:ascii="Times New Roman" w:hAnsi="Times New Roman" w:cs="Times New Roman"/>
          <w:vertAlign w:val="superscript"/>
        </w:rPr>
        <w:t>2-</w:t>
      </w:r>
      <w:r w:rsidRPr="00F23F20">
        <w:rPr>
          <w:rFonts w:ascii="Times New Roman" w:hAnsi="Times New Roman" w:cs="Times New Roman"/>
        </w:rPr>
        <w:t xml:space="preserve"> were calculated based on experimental data in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{"citationItems":[{"id":"ITEM-1","itemData":{"DOI":"10.1016/0016-7037(91)90052-7","ISSN":"00167037","abstract":"Evaluation of hydrocarbon transport through the pore spaces of saturated rock in the subsurface as a function of time and distance requires accurate values of diffusion coefficients for aqueous organic species. Analysis of aqueous tracer diffusion coefficients (D0) for normal alkanes, alcohols, amides, carboxylic acids, alkylbenzenes, and alkylnaphthalenes reported in the literature indicates that diffusional activation energies decrease with increasing temperature, reaching a constant limiting value of ~3300 cal mol-1 at temperatures a: 1̌00°C. This observation is consistent with the modified Arrhenius expression reported by Oelkers and Helgeson (1988). The Kirkwood-Riseman equation is used to predict D0 values as a function of the polymer chain length of hydrocarbons. Regression of experimental D0 data with a combined expression of the Kirkwood-Riseman and modified Arrhenius equations yields parameters which permit calculation of tracer diffusion coefficients for over 50 aqueous organic species at temperatures from 0° to 350°C and Psat. (psat refers to pressures corresponding to the liquid-vapor equilibrium curve for H2O at temperatures greater than 100°C and 1 bar at lower temperatures.) Resulting values of D0 permit evaluation of the extent of diffusional mass transfer in both contaminated near-surface environments and in the porewater adjoining oil field reservoirs. The computed tracer diffusion coefficients, which are qualitatively similar to D0 values previously calculated for aqueous ions, increase substantially with increasing temperature. For example, the tracer diffusion coefficient of aqueous toluene increases from 0.36 to 27.1 × 10-5 cm2 sec-1 in response to increasing temperature from 0 to 350°C. © 1991.","author":[{"dropping-particle":"","family":"Oelkers","given":"Eric H.","non-dropping-particle":"","parse-names":false,"suffix":""}],"container-title":"Geochimica et Cosmochimica Acta","id":"ITEM-1","issue":"12","issued":{"date-parts":[["1991"]]},"page":"3515-3529","title":"Calculation of diffusion coefficients for aqueous organic species at temperatures from 0 to 350 °C","type":"article-journal","volume":"55"},"uris":["http://www.mendeley.com/documents/?uuid=5f7ec1aa-c589-40ff-a2aa-9f8de65a0759"]}],"mendeley":{"formattedCitation":"(129)","plainTextFormattedCitation":"(129)","previouslyFormattedCitation":"(128)"},"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(129)</w:t>
      </w:r>
      <w:r w:rsidRPr="00F23F20">
        <w:rPr>
          <w:rFonts w:ascii="Times New Roman" w:hAnsi="Times New Roman" w:cs="Times New Roman"/>
        </w:rPr>
        <w:fldChar w:fldCharType="end"/>
      </w:r>
      <w:r w:rsidRPr="00F23F20">
        <w:rPr>
          <w:rFonts w:ascii="Times New Roman" w:hAnsi="Times New Roman" w:cs="Times New Roman"/>
        </w:rPr>
        <w:t xml:space="preserve"> and from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{"citationItems":[{"id":"ITEM-1","itemData":{"author":[{"dropping-particle":"","family":"Boudreau","given":"Bernard P.","non-dropping-particle":"","parse-names":false,"suffix":""}],"id":"ITEM-1","issued":{"date-parts":[["1997"]]},"publisher":"Springer","title":"Diagenetic Models and Their Implementation","type":"book"},"uris":["http://www.mendeley.com/documents/?uuid=dde323a7-a78b-4870-a4d0-d26055537e16"]}],"mendeley":{"formattedCitation":"(128)","plainTextFormattedCitation":"(128)","previouslyFormattedCitation":"(127)"},"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(128)</w:t>
      </w:r>
      <w:r w:rsidRPr="00F23F20">
        <w:rPr>
          <w:rFonts w:ascii="Times New Roman" w:hAnsi="Times New Roman" w:cs="Times New Roman"/>
        </w:rPr>
        <w:fldChar w:fldCharType="end"/>
      </w:r>
      <w:r w:rsidRPr="00F23F20">
        <w:rPr>
          <w:rFonts w:ascii="Times New Roman" w:hAnsi="Times New Roman" w:cs="Times New Roman"/>
        </w:rPr>
        <w:t xml:space="preserve">, respectively. For these calculations porewater temperature was assumed a temperature of 23°C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{"citationItems":[{"id":"ITEM-1","itemData":{"DOI":"10.1016/S0022-1694(01)00405-X","ISSN":"00221694","abstract":"We calculate rates of groundwater discharge into the White Oak River in coastal North Carolina, using time series measurements of the thermal structure of shallow estuarine sediments recorded over a period of four months. Computer models using numerical solutions to the advection-diffusion equation show that sediment thermal structure is not explained by purely conductive heat transport. Results of models that incorporate groundwater advection from an underlying source closely mimic field observations of sediment temperatures, verifying that thermal data can be used to monitor groundwater discharge. An advantage of this technique is that it provides insight into temporal variations in groundwater flow rates. Thermal methods may thus be useful for quantifying groundwater flux in areas where low volumes of discharge cannot be detected by direct observation. © 2001 Elsevier Science B.V.","author":[{"dropping-particle":"","family":"Land","given":"Lewis A.","non-dropping-particle":"","parse-names":false,"suffix":""},{"dropping-particle":"","family":"Paull","given":"Charles K.","non-dropping-particle":"","parse-names":false,"suffix":""}],"container-title":"Journal of Hydrology","id":"ITEM-1","issue":"1-4","issued":{"date-parts":[["2001"]]},"page":"198-215","title":"Thermal gradients as a tool for estimating groundwater advective rates in a coastal estuary: White Oak River, North Carolina, USA","type":"article-journal","volume":"248"},"uris":["http://www.mendeley.com/documents/?uuid=6b707695-2b0a-42fa-98e6-4aa2f60337d5"]}],"mendeley":{"formattedCitation":"(124)","plainTextFormattedCitation":"(124)","previouslyFormattedCitation":"(123)"},"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(124)</w:t>
      </w:r>
      <w:r w:rsidRPr="00F23F20">
        <w:rPr>
          <w:rFonts w:ascii="Times New Roman" w:hAnsi="Times New Roman" w:cs="Times New Roman"/>
        </w:rPr>
        <w:fldChar w:fldCharType="end"/>
      </w:r>
      <w:r w:rsidRPr="00F23F20">
        <w:rPr>
          <w:rFonts w:ascii="Times New Roman" w:hAnsi="Times New Roman" w:cs="Times New Roman"/>
        </w:rPr>
        <w:t xml:space="preserve">. The resultant diffusion coefficients were subsequently corrected for porosity </w:t>
      </w:r>
      <w:r w:rsidRPr="00F23F20">
        <w:rPr>
          <w:rFonts w:ascii="Times New Roman" w:hAnsi="Times New Roman" w:cs="Times New Roman"/>
        </w:rPr>
        <w:fldChar w:fldCharType="begin" w:fldLock="1"/>
      </w:r>
      <w:r w:rsidR="00307058">
        <w:rPr>
          <w:rFonts w:ascii="Times New Roman" w:hAnsi="Times New Roman" w:cs="Times New Roman"/>
        </w:rPr>
        <w:instrText>ADDIN CSL_CITATION {"citationItems":[{"id":"ITEM-1","itemData":{"author":[{"dropping-particle":"","family":"Boudreau","given":"Bernard P.","non-dropping-particle":"","parse-names":false,"suffix":""}],"id":"ITEM-1","issued":{"date-parts":[["1997"]]},"publisher":"Springer","title":"Diagenetic Models and Their Implementation","type":"book"},"uris":["http://www.mendeley.com/documents/?uuid=dde323a7-a78b-4870-a4d0-d26055537e16"]}],"mendeley":{"formattedCitation":"(128)","plainTextFormattedCitation":"(128)","previouslyFormattedCitation":"(127)"},"properties":{"noteIndex":0},"schema":"https://github.com/citation-style-language/schema/raw/master/csl-citation.json"}</w:instrText>
      </w:r>
      <w:r w:rsidRPr="00F23F20">
        <w:rPr>
          <w:rFonts w:ascii="Times New Roman" w:hAnsi="Times New Roman" w:cs="Times New Roman"/>
        </w:rPr>
        <w:fldChar w:fldCharType="separate"/>
      </w:r>
      <w:r w:rsidR="00307058" w:rsidRPr="00307058">
        <w:rPr>
          <w:rFonts w:ascii="Times New Roman" w:hAnsi="Times New Roman" w:cs="Times New Roman"/>
          <w:noProof/>
        </w:rPr>
        <w:t>(128)</w:t>
      </w:r>
      <w:r w:rsidRPr="00F23F20">
        <w:rPr>
          <w:rFonts w:ascii="Times New Roman" w:hAnsi="Times New Roman" w:cs="Times New Roman"/>
        </w:rPr>
        <w:fldChar w:fldCharType="end"/>
      </w:r>
      <w:r w:rsidRPr="00F23F20">
        <w:rPr>
          <w:rFonts w:ascii="Times New Roman" w:hAnsi="Times New Roman" w:cs="Times New Roman"/>
        </w:rPr>
        <w:t xml:space="preserve"> such that: </w:t>
      </w:r>
    </w:p>
    <w:p w14:paraId="7B0AA3B7" w14:textId="77777777" w:rsidR="00614780" w:rsidRPr="00F23F20" w:rsidRDefault="002A3883" w:rsidP="00614780">
      <w:pPr>
        <w:spacing w:line="480" w:lineRule="auto"/>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φ</m:t>
            </m:r>
          </m:e>
        </m:d>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i,free</m:t>
                </m:r>
              </m:sub>
            </m:sSub>
          </m:num>
          <m:den>
            <m:d>
              <m:dPr>
                <m:ctrlPr>
                  <w:rPr>
                    <w:rFonts w:ascii="Cambria Math" w:hAnsi="Cambria Math" w:cs="Times New Roman"/>
                    <w:i/>
                  </w:rPr>
                </m:ctrlPr>
              </m:dPr>
              <m:e>
                <m:r>
                  <w:rPr>
                    <w:rFonts w:ascii="Cambria Math" w:hAnsi="Cambria Math" w:cs="Times New Roman"/>
                  </w:rPr>
                  <m:t>1-</m:t>
                </m:r>
                <m:func>
                  <m:funcPr>
                    <m:ctrlPr>
                      <w:rPr>
                        <w:rFonts w:ascii="Cambria Math" w:hAnsi="Cambria Math" w:cs="Times New Roman"/>
                        <w:i/>
                      </w:rPr>
                    </m:ctrlPr>
                  </m:funcPr>
                  <m:fName>
                    <m:r>
                      <m:rPr>
                        <m:sty m:val="p"/>
                      </m:rPr>
                      <w:rPr>
                        <w:rFonts w:ascii="Cambria Math" w:hAnsi="Cambria Math" w:cs="Times New Roman"/>
                      </w:rPr>
                      <m:t>log</m:t>
                    </m:r>
                  </m:fName>
                  <m:e>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φ</m:t>
                            </m:r>
                          </m:e>
                          <m:sup>
                            <m:r>
                              <w:rPr>
                                <w:rFonts w:ascii="Cambria Math" w:hAnsi="Cambria Math" w:cs="Times New Roman"/>
                              </w:rPr>
                              <m:t>2</m:t>
                            </m:r>
                          </m:sup>
                        </m:sSup>
                      </m:e>
                    </m:d>
                  </m:e>
                </m:func>
              </m:e>
            </m:d>
          </m:den>
        </m:f>
      </m:oMath>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t xml:space="preserve">     (4.</w:t>
      </w:r>
      <w:r w:rsidR="00614780">
        <w:rPr>
          <w:rFonts w:ascii="Times New Roman" w:eastAsiaTheme="minorEastAsia" w:hAnsi="Times New Roman" w:cs="Times New Roman"/>
        </w:rPr>
        <w:t>8</w:t>
      </w:r>
    </w:p>
    <w:p w14:paraId="62378D6D" w14:textId="77777777" w:rsidR="00614780" w:rsidRPr="00F23F20" w:rsidRDefault="00614780" w:rsidP="00614780">
      <w:pPr>
        <w:spacing w:line="480" w:lineRule="auto"/>
        <w:rPr>
          <w:rFonts w:ascii="Times New Roman" w:hAnsi="Times New Roman" w:cs="Times New Roman"/>
        </w:rPr>
      </w:pPr>
      <w:r w:rsidRPr="00F23F20">
        <w:rPr>
          <w:rFonts w:ascii="Times New Roman" w:hAnsi="Times New Roman" w:cs="Times New Roman"/>
        </w:rPr>
        <w:t xml:space="preserve">where </w:t>
      </w:r>
      <w:r w:rsidRPr="00F23F20">
        <w:rPr>
          <w:rFonts w:ascii="Times New Roman" w:hAnsi="Times New Roman" w:cs="Times New Roman"/>
          <w:i/>
          <w:iCs/>
        </w:rPr>
        <w:t>D</w:t>
      </w:r>
      <w:r w:rsidRPr="00F23F20">
        <w:rPr>
          <w:rFonts w:ascii="Times New Roman" w:hAnsi="Times New Roman" w:cs="Times New Roman"/>
          <w:vertAlign w:val="subscript"/>
        </w:rPr>
        <w:t>i</w:t>
      </w:r>
      <w:r w:rsidRPr="00F23F20">
        <w:rPr>
          <w:rFonts w:ascii="Times New Roman" w:hAnsi="Times New Roman" w:cs="Times New Roman"/>
        </w:rPr>
        <w:t>(</w:t>
      </w:r>
      <w:r w:rsidRPr="00F23F20">
        <w:rPr>
          <w:rFonts w:ascii="Times New Roman" w:hAnsi="Times New Roman" w:cs="Times New Roman"/>
          <w:i/>
          <w:iCs/>
        </w:rPr>
        <w:t>φ</w:t>
      </w:r>
      <w:r w:rsidRPr="00F23F20">
        <w:rPr>
          <w:rFonts w:ascii="Times New Roman" w:hAnsi="Times New Roman" w:cs="Times New Roman"/>
        </w:rPr>
        <w:t xml:space="preserve">) was the corrected diffusion coefficient for the </w:t>
      </w:r>
      <w:proofErr w:type="spellStart"/>
      <w:r w:rsidRPr="00F23F20">
        <w:rPr>
          <w:rFonts w:ascii="Times New Roman" w:hAnsi="Times New Roman" w:cs="Times New Roman"/>
          <w:i/>
          <w:iCs/>
        </w:rPr>
        <w:t>i</w:t>
      </w:r>
      <w:r w:rsidRPr="00F23F20">
        <w:rPr>
          <w:rFonts w:ascii="Times New Roman" w:hAnsi="Times New Roman" w:cs="Times New Roman"/>
          <w:vertAlign w:val="superscript"/>
        </w:rPr>
        <w:t>th</w:t>
      </w:r>
      <w:proofErr w:type="spellEnd"/>
      <w:r w:rsidRPr="00F23F20">
        <w:rPr>
          <w:rFonts w:ascii="Times New Roman" w:hAnsi="Times New Roman" w:cs="Times New Roman"/>
          <w:vertAlign w:val="superscript"/>
        </w:rPr>
        <w:t xml:space="preserve"> </w:t>
      </w:r>
      <w:r w:rsidRPr="00F23F20">
        <w:rPr>
          <w:rFonts w:ascii="Times New Roman" w:hAnsi="Times New Roman" w:cs="Times New Roman"/>
        </w:rPr>
        <w:t xml:space="preserve">species, </w:t>
      </w:r>
      <w:proofErr w:type="spellStart"/>
      <w:r w:rsidRPr="00F23F20">
        <w:rPr>
          <w:rFonts w:ascii="Times New Roman" w:hAnsi="Times New Roman" w:cs="Times New Roman"/>
          <w:i/>
          <w:iCs/>
        </w:rPr>
        <w:t>D</w:t>
      </w:r>
      <w:r w:rsidRPr="00F23F20">
        <w:rPr>
          <w:rFonts w:ascii="Times New Roman" w:hAnsi="Times New Roman" w:cs="Times New Roman"/>
          <w:vertAlign w:val="subscript"/>
        </w:rPr>
        <w:t>i,free</w:t>
      </w:r>
      <w:proofErr w:type="spellEnd"/>
      <w:r w:rsidRPr="00F23F20">
        <w:rPr>
          <w:rFonts w:ascii="Times New Roman" w:hAnsi="Times New Roman" w:cs="Times New Roman"/>
        </w:rPr>
        <w:t xml:space="preserve"> was the molecular diffusion coefficient for the </w:t>
      </w:r>
      <w:proofErr w:type="spellStart"/>
      <w:r w:rsidRPr="00F23F20">
        <w:rPr>
          <w:rFonts w:ascii="Times New Roman" w:hAnsi="Times New Roman" w:cs="Times New Roman"/>
          <w:i/>
          <w:iCs/>
        </w:rPr>
        <w:t>i</w:t>
      </w:r>
      <w:r w:rsidRPr="00F23F20">
        <w:rPr>
          <w:rFonts w:ascii="Times New Roman" w:hAnsi="Times New Roman" w:cs="Times New Roman"/>
          <w:vertAlign w:val="superscript"/>
        </w:rPr>
        <w:t>th</w:t>
      </w:r>
      <w:proofErr w:type="spellEnd"/>
      <w:r w:rsidRPr="00F23F20">
        <w:rPr>
          <w:rFonts w:ascii="Times New Roman" w:hAnsi="Times New Roman" w:cs="Times New Roman"/>
        </w:rPr>
        <w:t xml:space="preserve"> species, and </w:t>
      </w:r>
      <w:r w:rsidRPr="00F23F20">
        <w:rPr>
          <w:rFonts w:ascii="Times New Roman" w:hAnsi="Times New Roman" w:cs="Times New Roman"/>
          <w:i/>
          <w:iCs/>
        </w:rPr>
        <w:t>φ</w:t>
      </w:r>
      <w:r w:rsidRPr="00F23F20">
        <w:rPr>
          <w:rFonts w:ascii="Times New Roman" w:hAnsi="Times New Roman" w:cs="Times New Roman"/>
        </w:rPr>
        <w:t xml:space="preserve"> was porosity. The final diffusion coefficients used in equation 4.</w:t>
      </w:r>
      <w:r>
        <w:rPr>
          <w:rFonts w:ascii="Times New Roman" w:hAnsi="Times New Roman" w:cs="Times New Roman"/>
        </w:rPr>
        <w:t>7</w:t>
      </w:r>
      <w:r w:rsidRPr="00F23F20">
        <w:rPr>
          <w:rFonts w:ascii="Times New Roman" w:hAnsi="Times New Roman" w:cs="Times New Roman"/>
        </w:rPr>
        <w:t xml:space="preserve"> for CH</w:t>
      </w:r>
      <w:r w:rsidRPr="00F23F20">
        <w:rPr>
          <w:rFonts w:ascii="Times New Roman" w:hAnsi="Times New Roman" w:cs="Times New Roman"/>
          <w:vertAlign w:val="subscript"/>
        </w:rPr>
        <w:t>4</w:t>
      </w:r>
      <w:r w:rsidRPr="00F23F20">
        <w:rPr>
          <w:rFonts w:ascii="Times New Roman" w:hAnsi="Times New Roman" w:cs="Times New Roman"/>
        </w:rPr>
        <w:t xml:space="preserve"> and SO</w:t>
      </w:r>
      <w:r w:rsidRPr="00F23F20">
        <w:rPr>
          <w:rFonts w:ascii="Times New Roman" w:hAnsi="Times New Roman" w:cs="Times New Roman"/>
          <w:vertAlign w:val="subscript"/>
        </w:rPr>
        <w:t>4</w:t>
      </w:r>
      <w:r w:rsidRPr="00F23F20">
        <w:rPr>
          <w:rFonts w:ascii="Times New Roman" w:hAnsi="Times New Roman" w:cs="Times New Roman"/>
          <w:vertAlign w:val="superscript"/>
        </w:rPr>
        <w:t>2-</w:t>
      </w:r>
      <w:r w:rsidRPr="00F23F20">
        <w:rPr>
          <w:rFonts w:ascii="Times New Roman" w:hAnsi="Times New Roman" w:cs="Times New Roman"/>
        </w:rPr>
        <w:t xml:space="preserve"> were 11.2×10</w:t>
      </w:r>
      <w:r w:rsidRPr="00F23F20">
        <w:rPr>
          <w:rFonts w:ascii="Times New Roman" w:hAnsi="Times New Roman" w:cs="Times New Roman"/>
          <w:vertAlign w:val="superscript"/>
        </w:rPr>
        <w:t>-6</w:t>
      </w:r>
      <w:r w:rsidRPr="00F23F20">
        <w:rPr>
          <w:rFonts w:ascii="Times New Roman" w:hAnsi="Times New Roman" w:cs="Times New Roman"/>
        </w:rPr>
        <w:t xml:space="preserve"> cm</w:t>
      </w:r>
      <w:r w:rsidRPr="00F23F20">
        <w:rPr>
          <w:rFonts w:ascii="Times New Roman" w:hAnsi="Times New Roman" w:cs="Times New Roman"/>
          <w:vertAlign w:val="superscript"/>
        </w:rPr>
        <w:t>-2</w:t>
      </w:r>
      <w:r w:rsidRPr="00F23F20">
        <w:rPr>
          <w:rFonts w:ascii="Times New Roman" w:hAnsi="Times New Roman" w:cs="Times New Roman"/>
        </w:rPr>
        <w:t xml:space="preserve"> s</w:t>
      </w:r>
      <w:r w:rsidRPr="00F23F20">
        <w:rPr>
          <w:rFonts w:ascii="Times New Roman" w:hAnsi="Times New Roman" w:cs="Times New Roman"/>
          <w:vertAlign w:val="superscript"/>
        </w:rPr>
        <w:t>-1</w:t>
      </w:r>
      <w:r w:rsidRPr="00F23F20">
        <w:rPr>
          <w:rFonts w:ascii="Times New Roman" w:hAnsi="Times New Roman" w:cs="Times New Roman"/>
        </w:rPr>
        <w:t xml:space="preserve"> and 7.12×10</w:t>
      </w:r>
      <w:r w:rsidRPr="00F23F20">
        <w:rPr>
          <w:rFonts w:ascii="Times New Roman" w:hAnsi="Times New Roman" w:cs="Times New Roman"/>
          <w:vertAlign w:val="superscript"/>
        </w:rPr>
        <w:t>-6</w:t>
      </w:r>
      <w:r w:rsidRPr="00F23F20">
        <w:rPr>
          <w:rFonts w:ascii="Times New Roman" w:hAnsi="Times New Roman" w:cs="Times New Roman"/>
        </w:rPr>
        <w:t xml:space="preserve"> cm</w:t>
      </w:r>
      <w:r w:rsidRPr="00F23F20">
        <w:rPr>
          <w:rFonts w:ascii="Times New Roman" w:hAnsi="Times New Roman" w:cs="Times New Roman"/>
          <w:vertAlign w:val="superscript"/>
        </w:rPr>
        <w:t>-2</w:t>
      </w:r>
      <w:r w:rsidRPr="00F23F20">
        <w:rPr>
          <w:rFonts w:ascii="Times New Roman" w:hAnsi="Times New Roman" w:cs="Times New Roman"/>
        </w:rPr>
        <w:t xml:space="preserve"> s</w:t>
      </w:r>
      <w:r w:rsidRPr="00F23F20">
        <w:rPr>
          <w:rFonts w:ascii="Times New Roman" w:hAnsi="Times New Roman" w:cs="Times New Roman"/>
          <w:vertAlign w:val="superscript"/>
        </w:rPr>
        <w:t>-1</w:t>
      </w:r>
      <w:r w:rsidRPr="00F23F20">
        <w:rPr>
          <w:rFonts w:ascii="Times New Roman" w:hAnsi="Times New Roman" w:cs="Times New Roman"/>
        </w:rPr>
        <w:t xml:space="preserve">, respectively. For the advection term, net vertical advection, </w:t>
      </w:r>
      <w:r w:rsidRPr="00F23F20">
        <w:rPr>
          <w:rFonts w:ascii="Times New Roman" w:hAnsi="Times New Roman" w:cs="Times New Roman"/>
          <w:i/>
          <w:iCs/>
        </w:rPr>
        <w:t>w</w:t>
      </w:r>
      <w:r w:rsidRPr="00F23F20">
        <w:rPr>
          <w:rFonts w:ascii="Times New Roman" w:hAnsi="Times New Roman" w:cs="Times New Roman"/>
        </w:rPr>
        <w:t xml:space="preserve">, was defined as the summation of sediment burial rate, </w:t>
      </w:r>
      <w:r w:rsidRPr="00F23F20">
        <w:rPr>
          <w:rFonts w:ascii="Times New Roman" w:hAnsi="Times New Roman" w:cs="Times New Roman"/>
          <w:i/>
          <w:iCs/>
        </w:rPr>
        <w:t>ω</w:t>
      </w:r>
      <w:r w:rsidRPr="00F23F20">
        <w:rPr>
          <w:rFonts w:ascii="Times New Roman" w:hAnsi="Times New Roman" w:cs="Times New Roman"/>
        </w:rPr>
        <w:t xml:space="preserve">, and groundwater upwelling, </w:t>
      </w:r>
      <w:r w:rsidRPr="00F23F20">
        <w:rPr>
          <w:rFonts w:ascii="Times New Roman" w:hAnsi="Times New Roman" w:cs="Times New Roman"/>
          <w:i/>
          <w:iCs/>
        </w:rPr>
        <w:t>u</w:t>
      </w:r>
      <w:r w:rsidRPr="00F23F20">
        <w:rPr>
          <w:rFonts w:ascii="Times New Roman" w:hAnsi="Times New Roman" w:cs="Times New Roman"/>
        </w:rPr>
        <w:t>, such that:</w:t>
      </w:r>
    </w:p>
    <w:p w14:paraId="083988CF" w14:textId="77777777" w:rsidR="00614780" w:rsidRPr="00F23F20" w:rsidRDefault="00614780" w:rsidP="00614780">
      <w:pPr>
        <w:spacing w:line="480" w:lineRule="auto"/>
        <w:rPr>
          <w:rFonts w:ascii="Times New Roman" w:eastAsiaTheme="minorEastAsia" w:hAnsi="Times New Roman" w:cs="Times New Roman"/>
        </w:rPr>
      </w:pPr>
      <m:oMath>
        <m:r>
          <w:rPr>
            <w:rFonts w:ascii="Cambria Math" w:hAnsi="Cambria Math" w:cs="Times New Roman"/>
          </w:rPr>
          <m:t>w=ω+u</m:t>
        </m:r>
      </m:oMath>
      <w:r w:rsidRPr="00F23F20">
        <w:rPr>
          <w:rFonts w:ascii="Times New Roman" w:eastAsiaTheme="minorEastAsia" w:hAnsi="Times New Roman" w:cs="Times New Roman"/>
          <w:iCs/>
        </w:rPr>
        <w:tab/>
      </w:r>
      <w:r w:rsidRPr="00F23F20">
        <w:rPr>
          <w:rFonts w:ascii="Times New Roman" w:eastAsiaTheme="minorEastAsia" w:hAnsi="Times New Roman" w:cs="Times New Roman"/>
          <w:iCs/>
        </w:rPr>
        <w:tab/>
      </w:r>
      <w:r w:rsidRPr="00F23F20">
        <w:rPr>
          <w:rFonts w:ascii="Times New Roman" w:eastAsiaTheme="minorEastAsia" w:hAnsi="Times New Roman" w:cs="Times New Roman"/>
          <w:iCs/>
        </w:rPr>
        <w:tab/>
      </w:r>
      <w:r w:rsidRPr="00F23F20">
        <w:rPr>
          <w:rFonts w:ascii="Times New Roman" w:eastAsiaTheme="minorEastAsia" w:hAnsi="Times New Roman" w:cs="Times New Roman"/>
          <w:iCs/>
        </w:rPr>
        <w:tab/>
      </w:r>
      <w:r w:rsidRPr="00F23F20">
        <w:rPr>
          <w:rFonts w:ascii="Times New Roman" w:eastAsiaTheme="minorEastAsia" w:hAnsi="Times New Roman" w:cs="Times New Roman"/>
          <w:iCs/>
        </w:rPr>
        <w:tab/>
      </w:r>
      <w:r w:rsidRPr="00F23F20">
        <w:rPr>
          <w:rFonts w:ascii="Times New Roman" w:eastAsiaTheme="minorEastAsia" w:hAnsi="Times New Roman" w:cs="Times New Roman"/>
          <w:iCs/>
        </w:rPr>
        <w:tab/>
      </w:r>
      <w:r w:rsidRPr="00F23F20">
        <w:rPr>
          <w:rFonts w:ascii="Times New Roman" w:eastAsiaTheme="minorEastAsia" w:hAnsi="Times New Roman" w:cs="Times New Roman"/>
          <w:iCs/>
        </w:rPr>
        <w:tab/>
      </w:r>
      <w:r w:rsidRPr="00F23F20">
        <w:rPr>
          <w:rFonts w:ascii="Times New Roman" w:eastAsiaTheme="minorEastAsia" w:hAnsi="Times New Roman" w:cs="Times New Roman"/>
          <w:iCs/>
        </w:rPr>
        <w:tab/>
      </w:r>
      <w:r w:rsidRPr="00F23F20">
        <w:rPr>
          <w:rFonts w:ascii="Times New Roman" w:eastAsiaTheme="minorEastAsia" w:hAnsi="Times New Roman" w:cs="Times New Roman"/>
          <w:iCs/>
        </w:rPr>
        <w:tab/>
      </w:r>
      <w:r w:rsidRPr="00F23F20">
        <w:rPr>
          <w:rFonts w:ascii="Times New Roman" w:eastAsiaTheme="minorEastAsia" w:hAnsi="Times New Roman" w:cs="Times New Roman"/>
          <w:iCs/>
        </w:rPr>
        <w:tab/>
        <w:t xml:space="preserve">     </w:t>
      </w:r>
      <w:r w:rsidRPr="00F23F20">
        <w:rPr>
          <w:rFonts w:ascii="Times New Roman" w:eastAsiaTheme="minorEastAsia" w:hAnsi="Times New Roman" w:cs="Times New Roman"/>
        </w:rPr>
        <w:t>(4.</w:t>
      </w:r>
      <w:r>
        <w:rPr>
          <w:rFonts w:ascii="Times New Roman" w:eastAsiaTheme="minorEastAsia" w:hAnsi="Times New Roman" w:cs="Times New Roman"/>
        </w:rPr>
        <w:t>9</w:t>
      </w:r>
    </w:p>
    <w:p w14:paraId="22422A7E" w14:textId="26037850" w:rsidR="00614780" w:rsidRPr="00F23F20" w:rsidRDefault="00614780" w:rsidP="00614780">
      <w:pPr>
        <w:spacing w:line="480" w:lineRule="auto"/>
        <w:rPr>
          <w:rFonts w:ascii="Times New Roman" w:eastAsiaTheme="minorEastAsia" w:hAnsi="Times New Roman" w:cs="Times New Roman"/>
        </w:rPr>
      </w:pPr>
      <w:r w:rsidRPr="00F23F20">
        <w:rPr>
          <w:rFonts w:ascii="Times New Roman" w:eastAsiaTheme="minorEastAsia" w:hAnsi="Times New Roman" w:cs="Times New Roman"/>
        </w:rPr>
        <w:t>The burial rate was assumed a constant value of 0.31 cm yr</w:t>
      </w:r>
      <w:r w:rsidRPr="00F23F20">
        <w:rPr>
          <w:rFonts w:ascii="Times New Roman" w:eastAsiaTheme="minorEastAsia" w:hAnsi="Times New Roman" w:cs="Times New Roman"/>
          <w:vertAlign w:val="superscript"/>
        </w:rPr>
        <w:t>-1</w:t>
      </w:r>
      <w:r w:rsidRPr="00F23F20">
        <w:rPr>
          <w:rFonts w:ascii="Times New Roman" w:eastAsiaTheme="minorEastAsia" w:hAnsi="Times New Roman" w:cs="Times New Roman"/>
        </w:rPr>
        <w:t xml:space="preserve"> </w:t>
      </w:r>
      <w:r w:rsidRPr="00F23F20">
        <w:rPr>
          <w:rFonts w:ascii="Times New Roman" w:eastAsiaTheme="minorEastAsia" w:hAnsi="Times New Roman" w:cs="Times New Roman"/>
        </w:rPr>
        <w:fldChar w:fldCharType="begin" w:fldLock="1"/>
      </w:r>
      <w:r w:rsidR="00307058">
        <w:rPr>
          <w:rFonts w:ascii="Times New Roman" w:eastAsiaTheme="minorEastAsia" w:hAnsi="Times New Roman" w:cs="Times New Roman"/>
        </w:rPr>
        <w:instrText>ADDIN CSL_CITATION {"citationItems":[{"id":"ITEM-1","itemData":{"DOI":"10.4319/lo.1990.35.2.0372","ISSN":"19395590","abstract":"This article is in Free Access Publication and may be downloaded using the “Download Full Text PDF” link at right. © 1990, by the Association for the Sciences of Limnology and Oceanography, Inc.","author":[{"dropping-particle":"","family":"Kelley","given":"Cheryl A.","non-dropping-particle":"","parse-names":false,"suffix":""},{"dropping-particle":"","family":"Martens","given":"Christopher S.","non-dropping-particle":"","parse-names":false,"suffix":""},{"dropping-particle":"","family":"Chanton","given":"Jefrey P.","non-dropping-particle":"","parse-names":false,"suffix":""}],"container-title":"Limnology and Oceanography","id":"ITEM-1","issue":"2","issued":{"date-parts":[["1990"]]},"page":"372-383","title":"Variations in sedimentary carbon remineralization rates in the White Oak River estuary, North Carolina","type":"article-journal","volume":"35"},"uris":["http://www.mendeley.com/documents/?uuid=5e162661-f608-4baa-8158-6aba2efbdcf0"]}],"mendeley":{"formattedCitation":"(127)","plainTextFormattedCitation":"(127)","previouslyFormattedCitation":"(126)"},"properties":{"noteIndex":0},"schema":"https://github.com/citation-style-language/schema/raw/master/csl-citation.json"}</w:instrText>
      </w:r>
      <w:r w:rsidRPr="00F23F20">
        <w:rPr>
          <w:rFonts w:ascii="Times New Roman" w:eastAsiaTheme="minorEastAsia" w:hAnsi="Times New Roman" w:cs="Times New Roman"/>
        </w:rPr>
        <w:fldChar w:fldCharType="separate"/>
      </w:r>
      <w:r w:rsidR="00307058" w:rsidRPr="00307058">
        <w:rPr>
          <w:rFonts w:ascii="Times New Roman" w:eastAsiaTheme="minorEastAsia" w:hAnsi="Times New Roman" w:cs="Times New Roman"/>
          <w:noProof/>
        </w:rPr>
        <w:t>(127)</w:t>
      </w:r>
      <w:r w:rsidRPr="00F23F20">
        <w:rPr>
          <w:rFonts w:ascii="Times New Roman" w:eastAsiaTheme="minorEastAsia" w:hAnsi="Times New Roman" w:cs="Times New Roman"/>
        </w:rPr>
        <w:fldChar w:fldCharType="end"/>
      </w:r>
      <w:r w:rsidRPr="00F23F20">
        <w:rPr>
          <w:rFonts w:ascii="Times New Roman" w:eastAsiaTheme="minorEastAsia" w:hAnsi="Times New Roman" w:cs="Times New Roman"/>
        </w:rPr>
        <w:t xml:space="preserve">. Rates for groundwater upwelling, </w:t>
      </w:r>
      <w:r w:rsidRPr="00F23F20">
        <w:rPr>
          <w:rFonts w:ascii="Times New Roman" w:eastAsiaTheme="minorEastAsia" w:hAnsi="Times New Roman" w:cs="Times New Roman"/>
          <w:i/>
          <w:iCs/>
        </w:rPr>
        <w:t>u</w:t>
      </w:r>
      <w:r w:rsidRPr="00F23F20">
        <w:rPr>
          <w:rFonts w:ascii="Times New Roman" w:eastAsiaTheme="minorEastAsia" w:hAnsi="Times New Roman" w:cs="Times New Roman"/>
        </w:rPr>
        <w:t>, were varied from 0 to 20 cm yr</w:t>
      </w:r>
      <w:r w:rsidRPr="00F23F20">
        <w:rPr>
          <w:rFonts w:ascii="Times New Roman" w:eastAsiaTheme="minorEastAsia" w:hAnsi="Times New Roman" w:cs="Times New Roman"/>
          <w:vertAlign w:val="superscript"/>
        </w:rPr>
        <w:t>-1</w:t>
      </w:r>
      <w:r w:rsidRPr="00F23F20">
        <w:rPr>
          <w:rFonts w:ascii="Times New Roman" w:eastAsiaTheme="minorEastAsia" w:hAnsi="Times New Roman" w:cs="Times New Roman"/>
        </w:rPr>
        <w:t xml:space="preserve">. </w:t>
      </w:r>
    </w:p>
    <w:p w14:paraId="5F64ED94" w14:textId="4EB35085" w:rsidR="00614780" w:rsidRPr="00F23F20" w:rsidRDefault="00614780" w:rsidP="00614780">
      <w:pPr>
        <w:spacing w:line="480" w:lineRule="auto"/>
        <w:ind w:firstLine="720"/>
        <w:rPr>
          <w:rFonts w:ascii="Times New Roman" w:eastAsiaTheme="minorEastAsia" w:hAnsi="Times New Roman" w:cs="Times New Roman"/>
        </w:rPr>
      </w:pPr>
      <w:r w:rsidRPr="00F23F20">
        <w:rPr>
          <w:rFonts w:ascii="Times New Roman" w:eastAsiaTheme="minorEastAsia" w:hAnsi="Times New Roman" w:cs="Times New Roman"/>
        </w:rPr>
        <w:t xml:space="preserve">We applied the second order central difference formula </w:t>
      </w:r>
      <w:r w:rsidRPr="00F23F20">
        <w:rPr>
          <w:rFonts w:ascii="Times New Roman" w:eastAsiaTheme="minorEastAsia" w:hAnsi="Times New Roman" w:cs="Times New Roman"/>
        </w:rPr>
        <w:fldChar w:fldCharType="begin" w:fldLock="1"/>
      </w:r>
      <w:r w:rsidR="00307058">
        <w:rPr>
          <w:rFonts w:ascii="Times New Roman" w:eastAsiaTheme="minorEastAsia" w:hAnsi="Times New Roman" w:cs="Times New Roman"/>
        </w:rPr>
        <w:instrText>ADDIN CSL_CITATION {"citationItems":[{"id":"ITEM-1","itemData":{"author":[{"dropping-particle":"","family":"Boudreau","given":"Bernard P.","non-dropping-particle":"","parse-names":false,"suffix":""}],"id":"ITEM-1","issued":{"date-parts":[["1997"]]},"publisher":"Springer","title":"Diagenetic Models and Their Implementation","type":"book"},"uris":["http://www.mendeley.com/documents/?uuid=dde323a7-a78b-4870-a4d0-d26055537e16"]}],"mendeley":{"formattedCitation":"(128)","plainTextFormattedCitation":"(128)","previouslyFormattedCitation":"(127)"},"properties":{"noteIndex":0},"schema":"https://github.com/citation-style-language/schema/raw/master/csl-citation.json"}</w:instrText>
      </w:r>
      <w:r w:rsidRPr="00F23F20">
        <w:rPr>
          <w:rFonts w:ascii="Times New Roman" w:eastAsiaTheme="minorEastAsia" w:hAnsi="Times New Roman" w:cs="Times New Roman"/>
        </w:rPr>
        <w:fldChar w:fldCharType="separate"/>
      </w:r>
      <w:r w:rsidR="00307058" w:rsidRPr="00307058">
        <w:rPr>
          <w:rFonts w:ascii="Times New Roman" w:eastAsiaTheme="minorEastAsia" w:hAnsi="Times New Roman" w:cs="Times New Roman"/>
          <w:noProof/>
        </w:rPr>
        <w:t>(128)</w:t>
      </w:r>
      <w:r w:rsidRPr="00F23F20">
        <w:rPr>
          <w:rFonts w:ascii="Times New Roman" w:eastAsiaTheme="minorEastAsia" w:hAnsi="Times New Roman" w:cs="Times New Roman"/>
        </w:rPr>
        <w:fldChar w:fldCharType="end"/>
      </w:r>
      <w:r w:rsidRPr="00F23F20">
        <w:rPr>
          <w:rFonts w:ascii="Times New Roman" w:eastAsiaTheme="minorEastAsia" w:hAnsi="Times New Roman" w:cs="Times New Roman"/>
        </w:rPr>
        <w:t xml:space="preserve"> to solve </w:t>
      </w:r>
      <m:oMath>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e>
        </m:nary>
      </m:oMath>
      <w:r w:rsidRPr="00F23F20">
        <w:rPr>
          <w:rFonts w:ascii="Times New Roman" w:eastAsiaTheme="minorEastAsia" w:hAnsi="Times New Roman" w:cs="Times New Roman"/>
        </w:rPr>
        <w:t xml:space="preserve"> when assuming steady state concentration (</w:t>
      </w:r>
      <w:r>
        <w:rPr>
          <w:rFonts w:ascii="Times New Roman" w:eastAsiaTheme="minorEastAsia" w:hAnsi="Times New Roman" w:cs="Times New Roman"/>
        </w:rPr>
        <w:t>GAM</w:t>
      </w:r>
      <w:r w:rsidRPr="00F23F20">
        <w:rPr>
          <w:rFonts w:ascii="Times New Roman" w:eastAsiaTheme="minorEastAsia" w:hAnsi="Times New Roman" w:cs="Times New Roman"/>
        </w:rPr>
        <w:t xml:space="preserve"> fits) in equation 4.</w:t>
      </w:r>
      <w:r>
        <w:rPr>
          <w:rFonts w:ascii="Times New Roman" w:eastAsiaTheme="minorEastAsia" w:hAnsi="Times New Roman" w:cs="Times New Roman"/>
        </w:rPr>
        <w:t>7</w:t>
      </w:r>
      <w:r w:rsidRPr="00F23F20">
        <w:rPr>
          <w:rFonts w:ascii="Times New Roman" w:eastAsiaTheme="minorEastAsia" w:hAnsi="Times New Roman" w:cs="Times New Roman"/>
        </w:rPr>
        <w:t xml:space="preserve"> such that:</w:t>
      </w:r>
    </w:p>
    <w:p w14:paraId="3DFB1D62" w14:textId="77777777" w:rsidR="00614780" w:rsidRPr="00F23F20" w:rsidRDefault="002A3883" w:rsidP="00614780">
      <w:pPr>
        <w:spacing w:line="480" w:lineRule="auto"/>
        <w:rPr>
          <w:rFonts w:ascii="Times New Roman" w:eastAsiaTheme="minorEastAsia" w:hAnsi="Times New Roman" w:cs="Times New Roman"/>
        </w:rPr>
      </w:pPr>
      <m:oMath>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e>
        </m:nary>
        <m:r>
          <m:rPr>
            <m:sty m:val="p"/>
          </m:rPr>
          <w:rPr>
            <w:rFonts w:ascii="Cambria Math" w:eastAsiaTheme="minorEastAsia" w:hAnsi="Cambria Math" w:cs="Times New Roman"/>
          </w:rPr>
          <m:t xml:space="preserve"> </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φ</m:t>
            </m:r>
          </m:e>
        </m:d>
        <m:f>
          <m:fPr>
            <m:ctrlPr>
              <w:rPr>
                <w:rFonts w:ascii="Cambria Math" w:hAnsi="Cambria Math" w:cs="Times New Roman"/>
                <w:i/>
              </w:rPr>
            </m:ctrlPr>
          </m:fPr>
          <m:num>
            <m:r>
              <w:rPr>
                <w:rFonts w:ascii="Cambria Math" w:hAnsi="Cambria Math" w:cs="Times New Roman"/>
              </w:rPr>
              <m:t>∂</m:t>
            </m:r>
          </m:num>
          <m:den>
            <m:r>
              <w:rPr>
                <w:rFonts w:ascii="Cambria Math" w:hAnsi="Cambria Math" w:cs="Times New Roman"/>
              </w:rPr>
              <m:t>∂z</m:t>
            </m:r>
          </m:den>
        </m:f>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φ</m:t>
                </m:r>
              </m:num>
              <m:den>
                <m:r>
                  <w:rPr>
                    <w:rFonts w:ascii="Cambria Math" w:hAnsi="Cambria Math" w:cs="Times New Roman"/>
                  </w:rPr>
                  <m:t>∂z</m:t>
                </m:r>
              </m:den>
            </m:f>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∂w</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φ</m:t>
            </m:r>
          </m:num>
          <m:den>
            <m:r>
              <w:rPr>
                <w:rFonts w:ascii="Cambria Math" w:hAnsi="Cambria Math" w:cs="Times New Roman"/>
              </w:rPr>
              <m:t>∂z</m:t>
            </m:r>
          </m:den>
        </m:f>
      </m:oMath>
      <w:r w:rsidR="00614780" w:rsidRPr="00F23F20">
        <w:rPr>
          <w:rFonts w:ascii="Times New Roman" w:eastAsiaTheme="minorEastAsia" w:hAnsi="Times New Roman" w:cs="Times New Roman"/>
        </w:rPr>
        <w:t xml:space="preserve"> </w:t>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t>(4.</w:t>
      </w:r>
      <w:r w:rsidR="00614780">
        <w:rPr>
          <w:rFonts w:ascii="Times New Roman" w:eastAsiaTheme="minorEastAsia" w:hAnsi="Times New Roman" w:cs="Times New Roman"/>
        </w:rPr>
        <w:t>10</w:t>
      </w:r>
      <w:r w:rsidR="00614780" w:rsidRPr="00F23F20">
        <w:rPr>
          <w:rFonts w:ascii="Times New Roman" w:eastAsiaTheme="minorEastAsia" w:hAnsi="Times New Roman" w:cs="Times New Roman"/>
        </w:rPr>
        <w:t>.1</w:t>
      </w:r>
    </w:p>
    <w:p w14:paraId="65A3118A" w14:textId="77777777" w:rsidR="00614780" w:rsidRPr="00F23F20" w:rsidRDefault="00614780" w:rsidP="00614780">
      <w:pPr>
        <w:spacing w:line="480" w:lineRule="auto"/>
        <w:rPr>
          <w:rFonts w:ascii="Times New Roman" w:eastAsiaTheme="minorEastAsia" w:hAnsi="Times New Roman" w:cs="Times New Roman"/>
        </w:rPr>
      </w:pPr>
      <w:r w:rsidRPr="00F23F20">
        <w:rPr>
          <w:rFonts w:ascii="Times New Roman" w:eastAsiaTheme="minorEastAsia" w:hAnsi="Times New Roman" w:cs="Times New Roman"/>
        </w:rPr>
        <w:t>and thus,</w:t>
      </w:r>
    </w:p>
    <w:p w14:paraId="3BE4CC46" w14:textId="77777777" w:rsidR="00614780" w:rsidRPr="00F23F20" w:rsidRDefault="002A3883" w:rsidP="00614780">
      <w:pPr>
        <w:spacing w:line="480" w:lineRule="auto"/>
        <w:rPr>
          <w:rFonts w:ascii="Times New Roman" w:eastAsiaTheme="minorEastAsia" w:hAnsi="Times New Roman" w:cs="Times New Roman"/>
        </w:rPr>
      </w:pPr>
      <m:oMath>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i,z</m:t>
                </m:r>
              </m:sub>
            </m:sSub>
          </m:e>
        </m:nary>
        <m:r>
          <m:rPr>
            <m:sty m:val="p"/>
          </m:rPr>
          <w:rPr>
            <w:rFonts w:ascii="Cambria Math" w:eastAsiaTheme="minorEastAsia" w:hAnsi="Cambria Math" w:cs="Times New Roman"/>
          </w:rPr>
          <m:t xml:space="preserve"> </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φD</m:t>
            </m:r>
          </m:e>
          <m:sub>
            <m:r>
              <w:rPr>
                <w:rFonts w:ascii="Cambria Math" w:hAnsi="Cambria Math" w:cs="Times New Roman"/>
              </w:rPr>
              <m:t>i</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i,z+1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2C</m:t>
                </m:r>
              </m:e>
              <m:sub>
                <m:r>
                  <w:rPr>
                    <w:rFonts w:ascii="Cambria Math" w:hAnsi="Cambria Math" w:cs="Times New Roman"/>
                  </w:rPr>
                  <m:t>i,z</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i,z-1</m:t>
                </m:r>
              </m:sub>
            </m:sSub>
          </m:num>
          <m:den>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2</m:t>
                </m:r>
              </m:sup>
            </m:sSup>
          </m:den>
        </m:f>
        <m:r>
          <w:rPr>
            <w:rFonts w:ascii="Cambria Math" w:hAnsi="Cambria Math" w:cs="Times New Roman"/>
          </w:rPr>
          <m:t>+φ</m:t>
        </m:r>
        <m:d>
          <m:dPr>
            <m:ctrlPr>
              <w:rPr>
                <w:rFonts w:ascii="Cambria Math" w:hAnsi="Cambria Math" w:cs="Times New Roman"/>
                <w:i/>
              </w:rPr>
            </m:ctrlPr>
          </m:dPr>
          <m:e>
            <m:r>
              <w:rPr>
                <w:rFonts w:ascii="Cambria Math" w:hAnsi="Cambria Math" w:cs="Times New Roman"/>
              </w:rPr>
              <m:t>ω+u</m:t>
            </m:r>
          </m:e>
        </m:d>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i,z+1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i,z-1</m:t>
                </m:r>
              </m:sub>
            </m:sSub>
          </m:num>
          <m:den>
            <m:r>
              <w:rPr>
                <w:rFonts w:ascii="Cambria Math" w:hAnsi="Cambria Math" w:cs="Times New Roman"/>
              </w:rPr>
              <m:t>2z</m:t>
            </m:r>
          </m:den>
        </m:f>
      </m:oMath>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r>
      <w:r w:rsidR="00614780" w:rsidRPr="00F23F20">
        <w:rPr>
          <w:rFonts w:ascii="Times New Roman" w:eastAsiaTheme="minorEastAsia" w:hAnsi="Times New Roman" w:cs="Times New Roman"/>
        </w:rPr>
        <w:tab/>
        <w:t>(4.</w:t>
      </w:r>
      <w:r w:rsidR="00614780">
        <w:rPr>
          <w:rFonts w:ascii="Times New Roman" w:eastAsiaTheme="minorEastAsia" w:hAnsi="Times New Roman" w:cs="Times New Roman"/>
        </w:rPr>
        <w:t>10</w:t>
      </w:r>
      <w:r w:rsidR="00614780" w:rsidRPr="00F23F20">
        <w:rPr>
          <w:rFonts w:ascii="Times New Roman" w:eastAsiaTheme="minorEastAsia" w:hAnsi="Times New Roman" w:cs="Times New Roman"/>
        </w:rPr>
        <w:t>.2</w:t>
      </w:r>
    </w:p>
    <w:p w14:paraId="537D7DE8" w14:textId="77777777" w:rsidR="00614780" w:rsidRPr="00F23F20" w:rsidRDefault="00614780" w:rsidP="00614780">
      <w:pPr>
        <w:spacing w:line="480" w:lineRule="auto"/>
        <w:ind w:firstLine="720"/>
        <w:rPr>
          <w:rFonts w:ascii="Times New Roman" w:eastAsiaTheme="minorEastAsia" w:hAnsi="Times New Roman" w:cs="Times New Roman"/>
        </w:rPr>
      </w:pPr>
      <w:r w:rsidRPr="00F23F20">
        <w:rPr>
          <w:rFonts w:ascii="Times New Roman" w:eastAsiaTheme="minorEastAsia" w:hAnsi="Times New Roman" w:cs="Times New Roman"/>
        </w:rPr>
        <w:t>In solving equation 4.</w:t>
      </w:r>
      <w:r>
        <w:rPr>
          <w:rFonts w:ascii="Times New Roman" w:eastAsiaTheme="minorEastAsia" w:hAnsi="Times New Roman" w:cs="Times New Roman"/>
        </w:rPr>
        <w:t>10</w:t>
      </w:r>
      <w:r w:rsidRPr="00F23F20">
        <w:rPr>
          <w:rFonts w:ascii="Times New Roman" w:eastAsiaTheme="minorEastAsia" w:hAnsi="Times New Roman" w:cs="Times New Roman"/>
        </w:rPr>
        <w:t>.2, The upper and lower boundary conditions for chemical profiles were set equal to concentrations predicted by the gam fits at the top (0 cm) and bottom depths (62 cm). The lower and upper concentration boundary conditions for CH</w:t>
      </w:r>
      <w:r w:rsidRPr="00F23F20">
        <w:rPr>
          <w:rFonts w:ascii="Times New Roman" w:eastAsiaTheme="minorEastAsia" w:hAnsi="Times New Roman" w:cs="Times New Roman"/>
          <w:vertAlign w:val="subscript"/>
        </w:rPr>
        <w:t>4</w:t>
      </w:r>
      <w:r w:rsidRPr="00F23F20">
        <w:rPr>
          <w:rFonts w:ascii="Times New Roman" w:eastAsiaTheme="minorEastAsia" w:hAnsi="Times New Roman" w:cs="Times New Roman"/>
        </w:rPr>
        <w:t xml:space="preserve"> were 1.07</w:t>
      </w:r>
      <w:r w:rsidRPr="00F23F20">
        <w:rPr>
          <w:rFonts w:ascii="Times New Roman" w:hAnsi="Times New Roman" w:cs="Times New Roman"/>
        </w:rPr>
        <w:t>×10</w:t>
      </w:r>
      <w:r w:rsidRPr="00F23F20">
        <w:rPr>
          <w:rFonts w:ascii="Times New Roman" w:hAnsi="Times New Roman" w:cs="Times New Roman"/>
          <w:vertAlign w:val="superscript"/>
        </w:rPr>
        <w:t>-2</w:t>
      </w:r>
      <w:r w:rsidRPr="00F23F20">
        <w:rPr>
          <w:rFonts w:ascii="Times New Roman" w:eastAsiaTheme="minorEastAsia" w:hAnsi="Times New Roman" w:cs="Times New Roman"/>
        </w:rPr>
        <w:t xml:space="preserve"> mmol cm</w:t>
      </w:r>
      <w:r w:rsidRPr="00F23F20">
        <w:rPr>
          <w:rFonts w:ascii="Times New Roman" w:eastAsiaTheme="minorEastAsia" w:hAnsi="Times New Roman" w:cs="Times New Roman"/>
          <w:vertAlign w:val="superscript"/>
        </w:rPr>
        <w:t>-3</w:t>
      </w:r>
      <w:r w:rsidRPr="00F23F20">
        <w:rPr>
          <w:rFonts w:ascii="Times New Roman" w:eastAsiaTheme="minorEastAsia" w:hAnsi="Times New Roman" w:cs="Times New Roman"/>
        </w:rPr>
        <w:t xml:space="preserve"> and 0.57 mmol cm</w:t>
      </w:r>
      <w:r w:rsidRPr="00F23F20">
        <w:rPr>
          <w:rFonts w:ascii="Times New Roman" w:eastAsiaTheme="minorEastAsia" w:hAnsi="Times New Roman" w:cs="Times New Roman"/>
          <w:vertAlign w:val="superscript"/>
        </w:rPr>
        <w:t>-3</w:t>
      </w:r>
      <w:r w:rsidRPr="00F23F20">
        <w:rPr>
          <w:rFonts w:ascii="Times New Roman" w:eastAsiaTheme="minorEastAsia" w:hAnsi="Times New Roman" w:cs="Times New Roman"/>
          <w:vertAlign w:val="subscript"/>
        </w:rPr>
        <w:t xml:space="preserve">. </w:t>
      </w:r>
      <w:r w:rsidRPr="00F23F20">
        <w:rPr>
          <w:rFonts w:ascii="Times New Roman" w:eastAsiaTheme="minorEastAsia" w:hAnsi="Times New Roman" w:cs="Times New Roman"/>
        </w:rPr>
        <w:t>The lower and upper concentration boundary conditions for SO</w:t>
      </w:r>
      <w:r w:rsidRPr="00F23F20">
        <w:rPr>
          <w:rFonts w:ascii="Times New Roman" w:eastAsiaTheme="minorEastAsia" w:hAnsi="Times New Roman" w:cs="Times New Roman"/>
          <w:vertAlign w:val="subscript"/>
        </w:rPr>
        <w:t>4</w:t>
      </w:r>
      <w:r w:rsidRPr="00F23F20">
        <w:rPr>
          <w:rFonts w:ascii="Times New Roman" w:eastAsiaTheme="minorEastAsia" w:hAnsi="Times New Roman" w:cs="Times New Roman"/>
          <w:vertAlign w:val="superscript"/>
        </w:rPr>
        <w:t>2-</w:t>
      </w:r>
      <w:r w:rsidRPr="00F23F20">
        <w:rPr>
          <w:rFonts w:ascii="Times New Roman" w:eastAsiaTheme="minorEastAsia" w:hAnsi="Times New Roman" w:cs="Times New Roman"/>
        </w:rPr>
        <w:t xml:space="preserve"> were 0.14 mmol cm</w:t>
      </w:r>
      <w:r w:rsidRPr="00F23F20">
        <w:rPr>
          <w:rFonts w:ascii="Times New Roman" w:eastAsiaTheme="minorEastAsia" w:hAnsi="Times New Roman" w:cs="Times New Roman"/>
          <w:vertAlign w:val="superscript"/>
        </w:rPr>
        <w:t>-3</w:t>
      </w:r>
      <w:r w:rsidRPr="00F23F20">
        <w:rPr>
          <w:rFonts w:ascii="Times New Roman" w:eastAsiaTheme="minorEastAsia" w:hAnsi="Times New Roman" w:cs="Times New Roman"/>
        </w:rPr>
        <w:t xml:space="preserve"> and 13.8 mmol cm</w:t>
      </w:r>
      <w:r w:rsidRPr="00F23F20">
        <w:rPr>
          <w:rFonts w:ascii="Times New Roman" w:eastAsiaTheme="minorEastAsia" w:hAnsi="Times New Roman" w:cs="Times New Roman"/>
          <w:vertAlign w:val="superscript"/>
        </w:rPr>
        <w:t>-3</w:t>
      </w:r>
      <w:r w:rsidRPr="00F23F20">
        <w:rPr>
          <w:rFonts w:ascii="Times New Roman" w:eastAsiaTheme="minorEastAsia" w:hAnsi="Times New Roman" w:cs="Times New Roman"/>
        </w:rPr>
        <w:t xml:space="preserve">. Thus, the dependency that </w:t>
      </w:r>
      <m:oMath>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e>
        </m:nary>
      </m:oMath>
      <w:r w:rsidRPr="00F23F20">
        <w:rPr>
          <w:rFonts w:ascii="Times New Roman" w:eastAsiaTheme="minorEastAsia" w:hAnsi="Times New Roman" w:cs="Times New Roman"/>
        </w:rPr>
        <w:t xml:space="preserve"> had on groun</w:t>
      </w:r>
      <w:proofErr w:type="spellStart"/>
      <w:r w:rsidRPr="00F23F20">
        <w:rPr>
          <w:rFonts w:ascii="Times New Roman" w:eastAsiaTheme="minorEastAsia" w:hAnsi="Times New Roman" w:cs="Times New Roman"/>
        </w:rPr>
        <w:t>dwater</w:t>
      </w:r>
      <w:proofErr w:type="spellEnd"/>
      <w:r w:rsidRPr="00F23F20">
        <w:rPr>
          <w:rFonts w:ascii="Times New Roman" w:eastAsiaTheme="minorEastAsia" w:hAnsi="Times New Roman" w:cs="Times New Roman"/>
        </w:rPr>
        <w:t xml:space="preserve"> upwelling could be determined as all other terms were held constant.</w:t>
      </w:r>
    </w:p>
    <w:p w14:paraId="10541D61" w14:textId="77777777" w:rsidR="00614780" w:rsidRPr="00F23F20" w:rsidRDefault="00614780" w:rsidP="00614780">
      <w:pPr>
        <w:pStyle w:val="Heading3"/>
        <w:rPr>
          <w:rFonts w:eastAsiaTheme="minorEastAsia"/>
          <w:i/>
        </w:rPr>
      </w:pPr>
      <w:bookmarkStart w:id="269" w:name="_Toc41908150"/>
      <w:r>
        <w:rPr>
          <w:rFonts w:eastAsiaTheme="minorEastAsia"/>
        </w:rPr>
        <w:softHyphen/>
      </w:r>
      <w:r>
        <w:rPr>
          <w:rFonts w:eastAsiaTheme="minorEastAsia"/>
        </w:rPr>
        <w:softHyphen/>
        <w:t xml:space="preserve">Total Organic </w:t>
      </w:r>
      <w:r w:rsidRPr="00F23F20">
        <w:rPr>
          <w:rFonts w:eastAsiaTheme="minorEastAsia"/>
        </w:rPr>
        <w:t>Carbon</w:t>
      </w:r>
      <w:r>
        <w:rPr>
          <w:rFonts w:eastAsiaTheme="minorEastAsia"/>
        </w:rPr>
        <w:t xml:space="preserve">, Methane, and </w:t>
      </w:r>
      <w:r w:rsidRPr="00F23F20">
        <w:rPr>
          <w:rFonts w:eastAsiaTheme="minorEastAsia"/>
        </w:rPr>
        <w:t xml:space="preserve">Sulfur </w:t>
      </w:r>
      <w:r>
        <w:rPr>
          <w:rFonts w:eastAsiaTheme="minorEastAsia"/>
        </w:rPr>
        <w:t>Budgets</w:t>
      </w:r>
      <w:bookmarkEnd w:id="269"/>
    </w:p>
    <w:p w14:paraId="05F7BB87" w14:textId="77777777" w:rsidR="00614780" w:rsidRDefault="00614780" w:rsidP="00614780">
      <w:pPr>
        <w:spacing w:line="480" w:lineRule="auto"/>
        <w:ind w:firstLine="720"/>
        <w:rPr>
          <w:rFonts w:ascii="Times New Roman" w:eastAsiaTheme="minorEastAsia" w:hAnsi="Times New Roman" w:cs="Times New Roman"/>
        </w:rPr>
      </w:pPr>
      <w:r>
        <w:rPr>
          <w:rFonts w:ascii="Times New Roman" w:eastAsiaTheme="minorEastAsia" w:hAnsi="Times New Roman" w:cs="Times New Roman"/>
        </w:rPr>
        <w:t>We estimated the sink, or consumption, for TOC, CH</w:t>
      </w:r>
      <w:r>
        <w:rPr>
          <w:rFonts w:ascii="Times New Roman" w:eastAsiaTheme="minorEastAsia" w:hAnsi="Times New Roman" w:cs="Times New Roman"/>
          <w:vertAlign w:val="subscript"/>
        </w:rPr>
        <w:t>4</w:t>
      </w:r>
      <w:r>
        <w:rPr>
          <w:rFonts w:ascii="Times New Roman" w:eastAsiaTheme="minorEastAsia" w:hAnsi="Times New Roman" w:cs="Times New Roman"/>
        </w:rPr>
        <w:t xml:space="preserve"> and SO</w:t>
      </w:r>
      <w:r w:rsidRPr="001033A3">
        <w:rPr>
          <w:rFonts w:ascii="Times New Roman" w:eastAsiaTheme="minorEastAsia" w:hAnsi="Times New Roman" w:cs="Times New Roman"/>
          <w:vertAlign w:val="subscript"/>
        </w:rPr>
        <w:t>4</w:t>
      </w:r>
      <w:r>
        <w:rPr>
          <w:rFonts w:ascii="Times New Roman" w:eastAsiaTheme="minorEastAsia" w:hAnsi="Times New Roman" w:cs="Times New Roman"/>
          <w:vertAlign w:val="superscript"/>
        </w:rPr>
        <w:t>2-</w:t>
      </w:r>
      <w:r>
        <w:rPr>
          <w:rFonts w:ascii="Times New Roman" w:eastAsiaTheme="minorEastAsia" w:hAnsi="Times New Roman" w:cs="Times New Roman"/>
        </w:rPr>
        <w:t xml:space="preserve"> in WOR sediments at Station H. The consumption of CH</w:t>
      </w:r>
      <w:r>
        <w:rPr>
          <w:rFonts w:ascii="Times New Roman" w:eastAsiaTheme="minorEastAsia" w:hAnsi="Times New Roman" w:cs="Times New Roman"/>
          <w:vertAlign w:val="subscript"/>
        </w:rPr>
        <w:t>4</w:t>
      </w:r>
      <w:r>
        <w:rPr>
          <w:rFonts w:ascii="Times New Roman" w:eastAsiaTheme="minorEastAsia" w:hAnsi="Times New Roman" w:cs="Times New Roman"/>
        </w:rPr>
        <w:t xml:space="preserve"> and SO</w:t>
      </w:r>
      <w:r>
        <w:rPr>
          <w:rFonts w:ascii="Times New Roman" w:eastAsiaTheme="minorEastAsia" w:hAnsi="Times New Roman" w:cs="Times New Roman"/>
          <w:vertAlign w:val="subscript"/>
        </w:rPr>
        <w:t>4</w:t>
      </w:r>
      <w:r>
        <w:rPr>
          <w:rFonts w:ascii="Times New Roman" w:eastAsiaTheme="minorEastAsia" w:hAnsi="Times New Roman" w:cs="Times New Roman"/>
          <w:vertAlign w:val="superscript"/>
        </w:rPr>
        <w:t>2-</w:t>
      </w:r>
      <w:r>
        <w:rPr>
          <w:rFonts w:ascii="Times New Roman" w:eastAsiaTheme="minorEastAsia" w:hAnsi="Times New Roman" w:cs="Times New Roman"/>
        </w:rPr>
        <w:t xml:space="preserve"> was calculated as: </w:t>
      </w:r>
    </w:p>
    <w:p w14:paraId="0BE1E0BE" w14:textId="77777777" w:rsidR="00614780" w:rsidRDefault="002A3883" w:rsidP="00614780">
      <w:pPr>
        <w:spacing w:line="480" w:lineRule="auto"/>
        <w:rPr>
          <w:rFonts w:ascii="Times New Roman" w:eastAsiaTheme="minorEastAsia" w:hAnsi="Times New Roman"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i</m:t>
            </m:r>
          </m:sub>
        </m:sSub>
        <m:r>
          <w:rPr>
            <w:rFonts w:ascii="Cambria Math" w:eastAsiaTheme="minorEastAsia" w:hAnsi="Cambria Math" w:cs="Times New Roman"/>
          </w:rPr>
          <m:t>=∆z</m:t>
        </m:r>
        <m:nary>
          <m:naryPr>
            <m:chr m:val="∑"/>
            <m:limLoc m:val="undOvr"/>
            <m:ctrlPr>
              <w:rPr>
                <w:rFonts w:ascii="Cambria Math" w:eastAsiaTheme="minorEastAsia" w:hAnsi="Cambria Math" w:cs="Times New Roman"/>
                <w:i/>
              </w:rPr>
            </m:ctrlPr>
          </m:naryPr>
          <m:sub>
            <m:r>
              <w:rPr>
                <w:rFonts w:ascii="Cambria Math" w:eastAsiaTheme="minorEastAsia" w:hAnsi="Cambria Math" w:cs="Times New Roman"/>
              </w:rPr>
              <m:t>z=</m:t>
            </m:r>
            <m:sSub>
              <m:sSubPr>
                <m:ctrlPr>
                  <w:rPr>
                    <w:rFonts w:ascii="Cambria Math" w:eastAsiaTheme="minorEastAsia" w:hAnsi="Cambria Math" w:cs="Times New Roman"/>
                    <w:i/>
                  </w:rPr>
                </m:ctrlPr>
              </m:sSubPr>
              <m:e>
                <m:r>
                  <w:rPr>
                    <w:rFonts w:ascii="Cambria Math" w:eastAsiaTheme="minorEastAsia" w:hAnsi="Cambria Math" w:cs="Times New Roman"/>
                  </w:rPr>
                  <m:t>Z</m:t>
                </m:r>
              </m:e>
              <m:sub>
                <m:r>
                  <w:rPr>
                    <w:rFonts w:ascii="Cambria Math" w:eastAsiaTheme="minorEastAsia" w:hAnsi="Cambria Math" w:cs="Times New Roman"/>
                  </w:rPr>
                  <m:t>i,min</m:t>
                </m:r>
              </m:sub>
            </m:sSub>
          </m:sub>
          <m:sup>
            <m:sSub>
              <m:sSubPr>
                <m:ctrlPr>
                  <w:rPr>
                    <w:rFonts w:ascii="Cambria Math" w:eastAsiaTheme="minorEastAsia" w:hAnsi="Cambria Math" w:cs="Times New Roman"/>
                    <w:i/>
                  </w:rPr>
                </m:ctrlPr>
              </m:sSubPr>
              <m:e>
                <m:r>
                  <w:rPr>
                    <w:rFonts w:ascii="Cambria Math" w:eastAsiaTheme="minorEastAsia" w:hAnsi="Cambria Math" w:cs="Times New Roman"/>
                  </w:rPr>
                  <m:t>Z</m:t>
                </m:r>
              </m:e>
              <m:sub>
                <m:r>
                  <w:rPr>
                    <w:rFonts w:ascii="Cambria Math" w:eastAsiaTheme="minorEastAsia" w:hAnsi="Cambria Math" w:cs="Times New Roman"/>
                  </w:rPr>
                  <m:t>i,max</m:t>
                </m:r>
              </m:sub>
            </m:sSub>
          </m:sup>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d>
              <m:dPr>
                <m:ctrlPr>
                  <w:rPr>
                    <w:rFonts w:ascii="Cambria Math" w:hAnsi="Cambria Math" w:cs="Times New Roman"/>
                    <w:i/>
                  </w:rPr>
                </m:ctrlPr>
              </m:dPr>
              <m:e>
                <m:r>
                  <w:rPr>
                    <w:rFonts w:ascii="Cambria Math" w:hAnsi="Cambria Math" w:cs="Times New Roman"/>
                  </w:rPr>
                  <m:t>z</m:t>
                </m:r>
              </m:e>
            </m:d>
          </m:e>
        </m:nary>
      </m:oMath>
      <w:r w:rsidR="00614780">
        <w:rPr>
          <w:rFonts w:ascii="Times New Roman" w:eastAsiaTheme="minorEastAsia" w:hAnsi="Times New Roman" w:cs="Times New Roman"/>
        </w:rPr>
        <w:tab/>
      </w:r>
      <w:r w:rsidR="00614780">
        <w:rPr>
          <w:rFonts w:ascii="Times New Roman" w:eastAsiaTheme="minorEastAsia" w:hAnsi="Times New Roman" w:cs="Times New Roman"/>
        </w:rPr>
        <w:tab/>
      </w:r>
      <w:r w:rsidR="00614780">
        <w:rPr>
          <w:rFonts w:ascii="Times New Roman" w:eastAsiaTheme="minorEastAsia" w:hAnsi="Times New Roman" w:cs="Times New Roman"/>
        </w:rPr>
        <w:tab/>
      </w:r>
      <w:r w:rsidR="00614780">
        <w:rPr>
          <w:rFonts w:ascii="Times New Roman" w:eastAsiaTheme="minorEastAsia" w:hAnsi="Times New Roman" w:cs="Times New Roman"/>
        </w:rPr>
        <w:tab/>
      </w:r>
      <w:r w:rsidR="00614780">
        <w:rPr>
          <w:rFonts w:ascii="Times New Roman" w:eastAsiaTheme="minorEastAsia" w:hAnsi="Times New Roman" w:cs="Times New Roman"/>
        </w:rPr>
        <w:tab/>
      </w:r>
      <w:r w:rsidR="00614780">
        <w:rPr>
          <w:rFonts w:ascii="Times New Roman" w:eastAsiaTheme="minorEastAsia" w:hAnsi="Times New Roman" w:cs="Times New Roman"/>
        </w:rPr>
        <w:tab/>
      </w:r>
      <w:r w:rsidR="00614780">
        <w:rPr>
          <w:rFonts w:ascii="Times New Roman" w:eastAsiaTheme="minorEastAsia" w:hAnsi="Times New Roman" w:cs="Times New Roman"/>
        </w:rPr>
        <w:tab/>
        <w:t xml:space="preserve">  </w:t>
      </w:r>
      <w:r w:rsidR="00614780">
        <w:rPr>
          <w:rFonts w:ascii="Times New Roman" w:eastAsiaTheme="minorEastAsia" w:hAnsi="Times New Roman" w:cs="Times New Roman"/>
        </w:rPr>
        <w:tab/>
        <w:t xml:space="preserve">   </w:t>
      </w:r>
      <w:r w:rsidR="00614780">
        <w:rPr>
          <w:rFonts w:ascii="Times New Roman" w:eastAsiaTheme="minorEastAsia" w:hAnsi="Times New Roman" w:cs="Times New Roman"/>
        </w:rPr>
        <w:softHyphen/>
      </w:r>
      <w:r w:rsidR="00614780">
        <w:rPr>
          <w:rFonts w:ascii="Times New Roman" w:eastAsiaTheme="minorEastAsia" w:hAnsi="Times New Roman" w:cs="Times New Roman"/>
        </w:rPr>
        <w:softHyphen/>
        <w:t>(4.11</w:t>
      </w:r>
    </w:p>
    <w:p w14:paraId="7377A36D" w14:textId="77777777" w:rsidR="00614780" w:rsidRPr="000F1F65" w:rsidRDefault="00614780" w:rsidP="00614780">
      <w:pPr>
        <w:spacing w:line="480" w:lineRule="auto"/>
        <w:rPr>
          <w:rFonts w:ascii="Times New Roman" w:eastAsiaTheme="minorEastAsia" w:hAnsi="Times New Roman" w:cs="Times New Roman"/>
        </w:rPr>
      </w:pPr>
      <w:r>
        <w:rPr>
          <w:rFonts w:ascii="Times New Roman" w:eastAsiaTheme="minorEastAsia" w:hAnsi="Times New Roman" w:cs="Times New Roman"/>
        </w:rPr>
        <w:t xml:space="preserve">where </w:t>
      </w:r>
      <w:r>
        <w:rPr>
          <w:rFonts w:ascii="Times New Roman" w:eastAsiaTheme="minorEastAsia" w:hAnsi="Times New Roman" w:cs="Times New Roman"/>
          <w:i/>
          <w:iCs/>
        </w:rPr>
        <w:t>S</w:t>
      </w:r>
      <w:r>
        <w:rPr>
          <w:rFonts w:ascii="Times New Roman" w:eastAsiaTheme="minorEastAsia" w:hAnsi="Times New Roman" w:cs="Times New Roman"/>
          <w:vertAlign w:val="subscript"/>
        </w:rPr>
        <w:t>i</w:t>
      </w:r>
      <w:r>
        <w:rPr>
          <w:rFonts w:ascii="Times New Roman" w:eastAsiaTheme="minorEastAsia" w:hAnsi="Times New Roman" w:cs="Times New Roman"/>
          <w:i/>
          <w:iCs/>
        </w:rPr>
        <w:t xml:space="preserve"> </w:t>
      </w:r>
      <w:r w:rsidRPr="00F24D5A">
        <w:rPr>
          <w:rFonts w:ascii="Times New Roman" w:eastAsiaTheme="minorEastAsia" w:hAnsi="Times New Roman" w:cs="Times New Roman"/>
        </w:rPr>
        <w:t>wa</w:t>
      </w:r>
      <w:r>
        <w:rPr>
          <w:rFonts w:ascii="Times New Roman" w:eastAsiaTheme="minorEastAsia" w:hAnsi="Times New Roman" w:cs="Times New Roman"/>
        </w:rPr>
        <w:t>s the net sink (nmol cm</w:t>
      </w:r>
      <w:r>
        <w:rPr>
          <w:rFonts w:ascii="Times New Roman" w:eastAsiaTheme="minorEastAsia" w:hAnsi="Times New Roman" w:cs="Times New Roman"/>
          <w:vertAlign w:val="superscript"/>
        </w:rPr>
        <w:t>-2</w:t>
      </w:r>
      <w:r>
        <w:rPr>
          <w:rFonts w:ascii="Times New Roman" w:eastAsiaTheme="minorEastAsia" w:hAnsi="Times New Roman" w:cs="Times New Roman"/>
        </w:rPr>
        <w:t xml:space="preserve"> d</w:t>
      </w:r>
      <w:r>
        <w:rPr>
          <w:rFonts w:ascii="Times New Roman" w:eastAsiaTheme="minorEastAsia" w:hAnsi="Times New Roman" w:cs="Times New Roman"/>
          <w:vertAlign w:val="superscript"/>
        </w:rPr>
        <w:t>-1</w:t>
      </w:r>
      <w:r>
        <w:rPr>
          <w:rFonts w:ascii="Times New Roman" w:eastAsiaTheme="minorEastAsia" w:hAnsi="Times New Roman" w:cs="Times New Roman"/>
        </w:rPr>
        <w:t xml:space="preserve">) for the </w:t>
      </w:r>
      <w:proofErr w:type="spellStart"/>
      <w:r>
        <w:rPr>
          <w:rFonts w:ascii="Times New Roman" w:eastAsiaTheme="minorEastAsia" w:hAnsi="Times New Roman" w:cs="Times New Roman"/>
          <w:i/>
          <w:iCs/>
        </w:rPr>
        <w:t>i</w:t>
      </w:r>
      <w:r>
        <w:rPr>
          <w:rFonts w:ascii="Times New Roman" w:eastAsiaTheme="minorEastAsia" w:hAnsi="Times New Roman" w:cs="Times New Roman"/>
          <w:vertAlign w:val="superscript"/>
        </w:rPr>
        <w:t>th</w:t>
      </w:r>
      <w:proofErr w:type="spellEnd"/>
      <w:r>
        <w:rPr>
          <w:rFonts w:ascii="Times New Roman" w:eastAsiaTheme="minorEastAsia" w:hAnsi="Times New Roman" w:cs="Times New Roman"/>
        </w:rPr>
        <w:t xml:space="preserve"> species, </w:t>
      </w:r>
      <w:proofErr w:type="spellStart"/>
      <w:r>
        <w:rPr>
          <w:rFonts w:ascii="Times New Roman" w:eastAsiaTheme="minorEastAsia" w:hAnsi="Times New Roman" w:cs="Times New Roman"/>
        </w:rPr>
        <w:t>Δ</w:t>
      </w:r>
      <w:r w:rsidRPr="00F24D5A">
        <w:rPr>
          <w:rFonts w:ascii="Times New Roman" w:eastAsiaTheme="minorEastAsia" w:hAnsi="Times New Roman" w:cs="Times New Roman"/>
          <w:i/>
          <w:iCs/>
        </w:rPr>
        <w:t>z</w:t>
      </w:r>
      <w:proofErr w:type="spellEnd"/>
      <w:r>
        <w:rPr>
          <w:rFonts w:ascii="Times New Roman" w:eastAsiaTheme="minorEastAsia" w:hAnsi="Times New Roman" w:cs="Times New Roman"/>
        </w:rPr>
        <w:t xml:space="preserve"> was the sample depth interval (cm), </w:t>
      </w:r>
      <w:r>
        <w:rPr>
          <w:rFonts w:ascii="Times New Roman" w:eastAsiaTheme="minorEastAsia" w:hAnsi="Times New Roman" w:cs="Times New Roman"/>
          <w:i/>
          <w:iCs/>
        </w:rPr>
        <w:t>R</w:t>
      </w:r>
      <w:r w:rsidRPr="00F24D5A">
        <w:rPr>
          <w:rFonts w:ascii="Times New Roman" w:eastAsiaTheme="minorEastAsia" w:hAnsi="Times New Roman" w:cs="Times New Roman"/>
          <w:vertAlign w:val="subscript"/>
        </w:rPr>
        <w:t>i</w:t>
      </w:r>
      <w:r>
        <w:rPr>
          <w:rFonts w:ascii="Times New Roman" w:eastAsiaTheme="minorEastAsia" w:hAnsi="Times New Roman" w:cs="Times New Roman"/>
        </w:rPr>
        <w:t xml:space="preserve"> was the net reaction (nmol cm</w:t>
      </w:r>
      <w:r>
        <w:rPr>
          <w:rFonts w:ascii="Times New Roman" w:eastAsiaTheme="minorEastAsia" w:hAnsi="Times New Roman" w:cs="Times New Roman"/>
          <w:vertAlign w:val="superscript"/>
        </w:rPr>
        <w:t>-3</w:t>
      </w:r>
      <w:r>
        <w:rPr>
          <w:rFonts w:ascii="Times New Roman" w:eastAsiaTheme="minorEastAsia" w:hAnsi="Times New Roman" w:cs="Times New Roman"/>
        </w:rPr>
        <w:t xml:space="preserve"> d</w:t>
      </w:r>
      <w:r>
        <w:rPr>
          <w:rFonts w:ascii="Times New Roman" w:eastAsiaTheme="minorEastAsia" w:hAnsi="Times New Roman" w:cs="Times New Roman"/>
          <w:vertAlign w:val="superscript"/>
        </w:rPr>
        <w:t>-1</w:t>
      </w:r>
      <w:r>
        <w:rPr>
          <w:rFonts w:ascii="Times New Roman" w:eastAsiaTheme="minorEastAsia" w:hAnsi="Times New Roman" w:cs="Times New Roman"/>
        </w:rPr>
        <w:t xml:space="preserve">) for the </w:t>
      </w:r>
      <w:proofErr w:type="spellStart"/>
      <w:r w:rsidRPr="00F24D5A">
        <w:rPr>
          <w:rFonts w:ascii="Times New Roman" w:eastAsiaTheme="minorEastAsia" w:hAnsi="Times New Roman" w:cs="Times New Roman"/>
          <w:i/>
          <w:iCs/>
        </w:rPr>
        <w:t>z</w:t>
      </w:r>
      <w:r>
        <w:rPr>
          <w:rFonts w:ascii="Times New Roman" w:eastAsiaTheme="minorEastAsia" w:hAnsi="Times New Roman" w:cs="Times New Roman"/>
          <w:vertAlign w:val="superscript"/>
        </w:rPr>
        <w:t>th</w:t>
      </w:r>
      <w:proofErr w:type="spellEnd"/>
      <w:r>
        <w:rPr>
          <w:rFonts w:ascii="Times New Roman" w:eastAsiaTheme="minorEastAsia" w:hAnsi="Times New Roman" w:cs="Times New Roman"/>
        </w:rPr>
        <w:t xml:space="preserve"> depth, </w:t>
      </w:r>
      <w:proofErr w:type="spellStart"/>
      <w:r>
        <w:rPr>
          <w:rFonts w:ascii="Times New Roman" w:eastAsiaTheme="minorEastAsia" w:hAnsi="Times New Roman" w:cs="Times New Roman"/>
          <w:i/>
          <w:iCs/>
        </w:rPr>
        <w:t>Z</w:t>
      </w:r>
      <w:r>
        <w:rPr>
          <w:rFonts w:ascii="Times New Roman" w:eastAsiaTheme="minorEastAsia" w:hAnsi="Times New Roman" w:cs="Times New Roman"/>
          <w:vertAlign w:val="subscript"/>
        </w:rPr>
        <w:t>i,min</w:t>
      </w:r>
      <w:proofErr w:type="spellEnd"/>
      <w:r>
        <w:rPr>
          <w:rFonts w:ascii="Times New Roman" w:eastAsiaTheme="minorEastAsia" w:hAnsi="Times New Roman" w:cs="Times New Roman"/>
          <w:i/>
          <w:iCs/>
        </w:rPr>
        <w:t xml:space="preserve"> </w:t>
      </w:r>
      <w:r>
        <w:rPr>
          <w:rFonts w:ascii="Times New Roman" w:eastAsiaTheme="minorEastAsia" w:hAnsi="Times New Roman" w:cs="Times New Roman"/>
        </w:rPr>
        <w:t xml:space="preserve">was the minimum depth considered for the </w:t>
      </w:r>
      <w:proofErr w:type="spellStart"/>
      <w:r>
        <w:rPr>
          <w:rFonts w:ascii="Times New Roman" w:eastAsiaTheme="minorEastAsia" w:hAnsi="Times New Roman" w:cs="Times New Roman"/>
          <w:i/>
          <w:iCs/>
        </w:rPr>
        <w:t>i</w:t>
      </w:r>
      <w:r>
        <w:rPr>
          <w:rFonts w:ascii="Times New Roman" w:eastAsiaTheme="minorEastAsia" w:hAnsi="Times New Roman" w:cs="Times New Roman"/>
          <w:vertAlign w:val="superscript"/>
        </w:rPr>
        <w:t>th</w:t>
      </w:r>
      <w:proofErr w:type="spellEnd"/>
      <w:r>
        <w:rPr>
          <w:rFonts w:ascii="Times New Roman" w:eastAsiaTheme="minorEastAsia" w:hAnsi="Times New Roman" w:cs="Times New Roman"/>
        </w:rPr>
        <w:t xml:space="preserve"> species, and </w:t>
      </w:r>
      <w:proofErr w:type="spellStart"/>
      <w:r>
        <w:rPr>
          <w:rFonts w:ascii="Times New Roman" w:eastAsiaTheme="minorEastAsia" w:hAnsi="Times New Roman" w:cs="Times New Roman"/>
          <w:i/>
          <w:iCs/>
        </w:rPr>
        <w:t>Z</w:t>
      </w:r>
      <w:r>
        <w:rPr>
          <w:rFonts w:ascii="Times New Roman" w:eastAsiaTheme="minorEastAsia" w:hAnsi="Times New Roman" w:cs="Times New Roman"/>
          <w:vertAlign w:val="subscript"/>
        </w:rPr>
        <w:t>i,max</w:t>
      </w:r>
      <w:proofErr w:type="spellEnd"/>
      <w:r>
        <w:rPr>
          <w:rFonts w:ascii="Times New Roman" w:eastAsiaTheme="minorEastAsia" w:hAnsi="Times New Roman" w:cs="Times New Roman"/>
          <w:i/>
          <w:iCs/>
        </w:rPr>
        <w:t xml:space="preserve"> </w:t>
      </w:r>
      <w:r>
        <w:rPr>
          <w:rFonts w:ascii="Times New Roman" w:eastAsiaTheme="minorEastAsia" w:hAnsi="Times New Roman" w:cs="Times New Roman"/>
        </w:rPr>
        <w:t xml:space="preserve">was the maximum depth considered for the </w:t>
      </w:r>
      <w:proofErr w:type="spellStart"/>
      <w:r>
        <w:rPr>
          <w:rFonts w:ascii="Times New Roman" w:eastAsiaTheme="minorEastAsia" w:hAnsi="Times New Roman" w:cs="Times New Roman"/>
          <w:i/>
          <w:iCs/>
        </w:rPr>
        <w:t>i</w:t>
      </w:r>
      <w:r>
        <w:rPr>
          <w:rFonts w:ascii="Times New Roman" w:eastAsiaTheme="minorEastAsia" w:hAnsi="Times New Roman" w:cs="Times New Roman"/>
          <w:vertAlign w:val="superscript"/>
        </w:rPr>
        <w:t>th</w:t>
      </w:r>
      <w:proofErr w:type="spellEnd"/>
      <w:r>
        <w:rPr>
          <w:rFonts w:ascii="Times New Roman" w:eastAsiaTheme="minorEastAsia" w:hAnsi="Times New Roman" w:cs="Times New Roman"/>
        </w:rPr>
        <w:t xml:space="preserve"> species. </w:t>
      </w:r>
      <w:r w:rsidRPr="00AC6D06">
        <w:rPr>
          <w:rFonts w:ascii="Times New Roman" w:eastAsiaTheme="minorEastAsia" w:hAnsi="Times New Roman" w:cs="Times New Roman"/>
        </w:rPr>
        <w:t>The max</w:t>
      </w:r>
      <w:r>
        <w:rPr>
          <w:rFonts w:ascii="Times New Roman" w:eastAsiaTheme="minorEastAsia" w:hAnsi="Times New Roman" w:cs="Times New Roman"/>
        </w:rPr>
        <w:t>imum depth was set to 11cm, 40 cm, and 62 cm for TOC, CH</w:t>
      </w:r>
      <w:r w:rsidRPr="00AC6D06">
        <w:rPr>
          <w:rFonts w:ascii="Times New Roman" w:eastAsiaTheme="minorEastAsia" w:hAnsi="Times New Roman" w:cs="Times New Roman"/>
          <w:vertAlign w:val="subscript"/>
        </w:rPr>
        <w:t>4</w:t>
      </w:r>
      <w:r w:rsidRPr="00AC6D06">
        <w:rPr>
          <w:rFonts w:ascii="Times New Roman" w:eastAsiaTheme="minorEastAsia" w:hAnsi="Times New Roman" w:cs="Times New Roman"/>
        </w:rPr>
        <w:t>,</w:t>
      </w:r>
      <w:r>
        <w:rPr>
          <w:rFonts w:ascii="Times New Roman" w:eastAsiaTheme="minorEastAsia" w:hAnsi="Times New Roman" w:cs="Times New Roman"/>
        </w:rPr>
        <w:t xml:space="preserve"> and SO</w:t>
      </w:r>
      <w:r>
        <w:rPr>
          <w:rFonts w:ascii="Times New Roman" w:eastAsiaTheme="minorEastAsia" w:hAnsi="Times New Roman" w:cs="Times New Roman"/>
          <w:vertAlign w:val="subscript"/>
        </w:rPr>
        <w:t>4</w:t>
      </w:r>
      <w:r>
        <w:rPr>
          <w:rFonts w:ascii="Times New Roman" w:eastAsiaTheme="minorEastAsia" w:hAnsi="Times New Roman" w:cs="Times New Roman"/>
          <w:vertAlign w:val="superscript"/>
        </w:rPr>
        <w:t>2-</w:t>
      </w:r>
      <w:r>
        <w:rPr>
          <w:rFonts w:ascii="Times New Roman" w:eastAsiaTheme="minorEastAsia" w:hAnsi="Times New Roman" w:cs="Times New Roman"/>
        </w:rPr>
        <w:t xml:space="preserve">, respectively. </w:t>
      </w:r>
      <w:r w:rsidRPr="00AC6D06">
        <w:rPr>
          <w:rFonts w:ascii="Times New Roman" w:eastAsiaTheme="minorEastAsia" w:hAnsi="Times New Roman" w:cs="Times New Roman"/>
        </w:rPr>
        <w:t xml:space="preserve">The </w:t>
      </w:r>
      <w:r>
        <w:rPr>
          <w:rFonts w:ascii="Times New Roman" w:eastAsiaTheme="minorEastAsia" w:hAnsi="Times New Roman" w:cs="Times New Roman"/>
        </w:rPr>
        <w:t>minimum depth was set to 0 cm for TOC, CH</w:t>
      </w:r>
      <w:r w:rsidRPr="00AC6D06">
        <w:rPr>
          <w:rFonts w:ascii="Times New Roman" w:eastAsiaTheme="minorEastAsia" w:hAnsi="Times New Roman" w:cs="Times New Roman"/>
          <w:vertAlign w:val="subscript"/>
        </w:rPr>
        <w:t>4</w:t>
      </w:r>
      <w:r w:rsidRPr="00AC6D06">
        <w:rPr>
          <w:rFonts w:ascii="Times New Roman" w:eastAsiaTheme="minorEastAsia" w:hAnsi="Times New Roman" w:cs="Times New Roman"/>
        </w:rPr>
        <w:t>,</w:t>
      </w:r>
      <w:r>
        <w:rPr>
          <w:rFonts w:ascii="Times New Roman" w:eastAsiaTheme="minorEastAsia" w:hAnsi="Times New Roman" w:cs="Times New Roman"/>
        </w:rPr>
        <w:t xml:space="preserve"> and SO</w:t>
      </w:r>
      <w:r>
        <w:rPr>
          <w:rFonts w:ascii="Times New Roman" w:eastAsiaTheme="minorEastAsia" w:hAnsi="Times New Roman" w:cs="Times New Roman"/>
          <w:vertAlign w:val="subscript"/>
        </w:rPr>
        <w:t>4</w:t>
      </w:r>
      <w:r>
        <w:rPr>
          <w:rFonts w:ascii="Times New Roman" w:eastAsiaTheme="minorEastAsia" w:hAnsi="Times New Roman" w:cs="Times New Roman"/>
          <w:vertAlign w:val="superscript"/>
        </w:rPr>
        <w:t>2-</w:t>
      </w:r>
      <w:r>
        <w:rPr>
          <w:rFonts w:ascii="Times New Roman" w:eastAsiaTheme="minorEastAsia" w:hAnsi="Times New Roman" w:cs="Times New Roman"/>
        </w:rPr>
        <w:t>. For both CH</w:t>
      </w:r>
      <w:r>
        <w:rPr>
          <w:rFonts w:ascii="Times New Roman" w:eastAsiaTheme="minorEastAsia" w:hAnsi="Times New Roman" w:cs="Times New Roman"/>
          <w:vertAlign w:val="subscript"/>
        </w:rPr>
        <w:t>4</w:t>
      </w:r>
      <w:r>
        <w:rPr>
          <w:rFonts w:ascii="Times New Roman" w:eastAsiaTheme="minorEastAsia" w:hAnsi="Times New Roman" w:cs="Times New Roman"/>
        </w:rPr>
        <w:t xml:space="preserve"> and SO</w:t>
      </w:r>
      <w:r>
        <w:rPr>
          <w:rFonts w:ascii="Times New Roman" w:eastAsiaTheme="minorEastAsia" w:hAnsi="Times New Roman" w:cs="Times New Roman"/>
          <w:vertAlign w:val="subscript"/>
        </w:rPr>
        <w:t>4</w:t>
      </w:r>
      <w:r>
        <w:rPr>
          <w:rFonts w:ascii="Times New Roman" w:eastAsiaTheme="minorEastAsia" w:hAnsi="Times New Roman" w:cs="Times New Roman"/>
          <w:vertAlign w:val="superscript"/>
        </w:rPr>
        <w:t>2-</w:t>
      </w:r>
      <w:r>
        <w:rPr>
          <w:rFonts w:ascii="Times New Roman" w:eastAsiaTheme="minorEastAsia" w:hAnsi="Times New Roman" w:cs="Times New Roman"/>
        </w:rPr>
        <w:t xml:space="preserve">, </w:t>
      </w:r>
      <w:r>
        <w:rPr>
          <w:rFonts w:ascii="Times New Roman" w:eastAsiaTheme="minorEastAsia" w:hAnsi="Times New Roman" w:cs="Times New Roman"/>
          <w:i/>
          <w:iCs/>
        </w:rPr>
        <w:t>R</w:t>
      </w:r>
      <w:r>
        <w:rPr>
          <w:rFonts w:ascii="Times New Roman" w:eastAsiaTheme="minorEastAsia" w:hAnsi="Times New Roman" w:cs="Times New Roman"/>
          <w:vertAlign w:val="subscript"/>
        </w:rPr>
        <w:t>i</w:t>
      </w:r>
      <w:r>
        <w:rPr>
          <w:rFonts w:ascii="Times New Roman" w:eastAsiaTheme="minorEastAsia" w:hAnsi="Times New Roman" w:cs="Times New Roman"/>
        </w:rPr>
        <w:t xml:space="preserve"> was taken as the solution to the reaction-transport model (equation 4.10.2). The net reaction, </w:t>
      </w:r>
      <w:r>
        <w:rPr>
          <w:rFonts w:ascii="Times New Roman" w:eastAsiaTheme="minorEastAsia" w:hAnsi="Times New Roman" w:cs="Times New Roman"/>
          <w:i/>
          <w:iCs/>
        </w:rPr>
        <w:t>R</w:t>
      </w:r>
      <w:r>
        <w:rPr>
          <w:rFonts w:ascii="Times New Roman" w:eastAsiaTheme="minorEastAsia" w:hAnsi="Times New Roman" w:cs="Times New Roman"/>
          <w:vertAlign w:val="subscript"/>
        </w:rPr>
        <w:t>i</w:t>
      </w:r>
      <w:r>
        <w:rPr>
          <w:rFonts w:ascii="Times New Roman" w:eastAsiaTheme="minorEastAsia" w:hAnsi="Times New Roman" w:cs="Times New Roman"/>
        </w:rPr>
        <w:t xml:space="preserve">, for TOC was treated as the TOC oxidation </w:t>
      </w:r>
      <w:r>
        <w:rPr>
          <w:rFonts w:ascii="Times New Roman" w:eastAsiaTheme="minorEastAsia" w:hAnsi="Times New Roman" w:cs="Times New Roman"/>
        </w:rPr>
        <w:lastRenderedPageBreak/>
        <w:t xml:space="preserve">rate constant between depths 5 cm and 11 cm. This was determined by taking a linear regression of TOC loss as a function of time. Time was determined from depth by dividing </w:t>
      </w:r>
      <w:proofErr w:type="spellStart"/>
      <w:r>
        <w:rPr>
          <w:rFonts w:ascii="Times New Roman" w:eastAsiaTheme="minorEastAsia" w:hAnsi="Times New Roman" w:cs="Times New Roman"/>
        </w:rPr>
        <w:t>Δz</w:t>
      </w:r>
      <w:proofErr w:type="spellEnd"/>
      <w:r>
        <w:rPr>
          <w:rFonts w:ascii="Times New Roman" w:eastAsiaTheme="minorEastAsia" w:hAnsi="Times New Roman" w:cs="Times New Roman"/>
        </w:rPr>
        <w:t xml:space="preserve"> by burial rate (ω=0.31 cm yr</w:t>
      </w:r>
      <w:r>
        <w:rPr>
          <w:rFonts w:ascii="Times New Roman" w:eastAsiaTheme="minorEastAsia" w:hAnsi="Times New Roman" w:cs="Times New Roman"/>
          <w:vertAlign w:val="superscript"/>
        </w:rPr>
        <w:t>-1</w:t>
      </w:r>
      <w:r>
        <w:rPr>
          <w:rFonts w:ascii="Times New Roman" w:eastAsiaTheme="minorEastAsia" w:hAnsi="Times New Roman" w:cs="Times New Roman"/>
        </w:rPr>
        <w:t>). The net sinks for CH</w:t>
      </w:r>
      <w:r>
        <w:rPr>
          <w:rFonts w:ascii="Times New Roman" w:eastAsiaTheme="minorEastAsia" w:hAnsi="Times New Roman" w:cs="Times New Roman"/>
          <w:vertAlign w:val="subscript"/>
        </w:rPr>
        <w:t>4</w:t>
      </w:r>
      <w:r>
        <w:rPr>
          <w:rFonts w:ascii="Times New Roman" w:eastAsiaTheme="minorEastAsia" w:hAnsi="Times New Roman" w:cs="Times New Roman"/>
        </w:rPr>
        <w:t xml:space="preserve"> and SO</w:t>
      </w:r>
      <w:r>
        <w:rPr>
          <w:rFonts w:ascii="Times New Roman" w:eastAsiaTheme="minorEastAsia" w:hAnsi="Times New Roman" w:cs="Times New Roman"/>
          <w:vertAlign w:val="subscript"/>
        </w:rPr>
        <w:t>4</w:t>
      </w:r>
      <w:r>
        <w:rPr>
          <w:rFonts w:ascii="Times New Roman" w:eastAsiaTheme="minorEastAsia" w:hAnsi="Times New Roman" w:cs="Times New Roman"/>
          <w:vertAlign w:val="superscript"/>
        </w:rPr>
        <w:t>2-</w:t>
      </w:r>
      <w:r>
        <w:rPr>
          <w:rFonts w:ascii="Times New Roman" w:eastAsiaTheme="minorEastAsia" w:hAnsi="Times New Roman" w:cs="Times New Roman"/>
        </w:rPr>
        <w:t xml:space="preserve"> were determined for all values of groundwater upwelling evaluated in equation 4.10.2.</w:t>
      </w:r>
    </w:p>
    <w:p w14:paraId="4FC57499" w14:textId="77777777" w:rsidR="00614780" w:rsidRPr="00F23F20" w:rsidRDefault="00614780" w:rsidP="00614780">
      <w:pPr>
        <w:rPr>
          <w:rFonts w:ascii="Times New Roman" w:eastAsiaTheme="minorEastAsia" w:hAnsi="Times New Roman" w:cs="Times New Roman"/>
        </w:rPr>
      </w:pPr>
      <w:r w:rsidRPr="00F23F20">
        <w:rPr>
          <w:rFonts w:ascii="Times New Roman" w:eastAsiaTheme="minorEastAsia" w:hAnsi="Times New Roman" w:cs="Times New Roman"/>
        </w:rPr>
        <w:br w:type="page"/>
      </w:r>
    </w:p>
    <w:p w14:paraId="5947037F" w14:textId="77777777" w:rsidR="00365526" w:rsidRDefault="00365526" w:rsidP="00365526">
      <w:pPr>
        <w:pStyle w:val="Heading2"/>
      </w:pPr>
      <w:r w:rsidRPr="00F23F20">
        <w:lastRenderedPageBreak/>
        <w:t>Results</w:t>
      </w:r>
      <w:bookmarkEnd w:id="260"/>
    </w:p>
    <w:p w14:paraId="145DF382" w14:textId="77777777" w:rsidR="00365526" w:rsidRDefault="00365526" w:rsidP="00365526">
      <w:pPr>
        <w:spacing w:line="480" w:lineRule="auto"/>
        <w:rPr>
          <w:rFonts w:ascii="Times New Roman" w:hAnsi="Times New Roman" w:cs="Times New Roman"/>
        </w:rPr>
      </w:pPr>
      <w:r>
        <w:rPr>
          <w:rFonts w:ascii="Times New Roman" w:hAnsi="Times New Roman" w:cs="Times New Roman"/>
        </w:rPr>
        <w:tab/>
        <w:t xml:space="preserve">A 62 cm long sediment core push core was collected from the WOR estuary, Station H </w:t>
      </w:r>
      <w:r w:rsidRPr="00F23F20">
        <w:rPr>
          <w:rFonts w:ascii="Times New Roman" w:hAnsi="Times New Roman" w:cs="Times New Roman"/>
        </w:rPr>
        <w:t>(34° 44.490'N, 77° 07.44'W)</w:t>
      </w:r>
      <w:r>
        <w:rPr>
          <w:rFonts w:ascii="Times New Roman" w:hAnsi="Times New Roman" w:cs="Times New Roman"/>
        </w:rPr>
        <w:t>. The push core was sectioned at 1 cm intervals, with individual sections being measured for porewater chemistry and bulk OM. Porewater geochemistry measurements included dissolved cations (Ca</w:t>
      </w:r>
      <w:r>
        <w:rPr>
          <w:rFonts w:ascii="Times New Roman" w:hAnsi="Times New Roman" w:cs="Times New Roman"/>
          <w:vertAlign w:val="superscript"/>
        </w:rPr>
        <w:t>2+</w:t>
      </w:r>
      <w:r>
        <w:rPr>
          <w:rFonts w:ascii="Times New Roman" w:hAnsi="Times New Roman" w:cs="Times New Roman"/>
        </w:rPr>
        <w:t>, K</w:t>
      </w:r>
      <w:r>
        <w:rPr>
          <w:rFonts w:ascii="Times New Roman" w:hAnsi="Times New Roman" w:cs="Times New Roman"/>
          <w:vertAlign w:val="superscript"/>
        </w:rPr>
        <w:t>+</w:t>
      </w:r>
      <w:r>
        <w:rPr>
          <w:rFonts w:ascii="Times New Roman" w:hAnsi="Times New Roman" w:cs="Times New Roman"/>
        </w:rPr>
        <w:t>, Na</w:t>
      </w:r>
      <w:r>
        <w:rPr>
          <w:rFonts w:ascii="Times New Roman" w:hAnsi="Times New Roman" w:cs="Times New Roman"/>
          <w:vertAlign w:val="superscript"/>
        </w:rPr>
        <w:t>+</w:t>
      </w:r>
      <w:r>
        <w:rPr>
          <w:rFonts w:ascii="Times New Roman" w:hAnsi="Times New Roman" w:cs="Times New Roman"/>
        </w:rPr>
        <w:t>, Mg</w:t>
      </w:r>
      <w:r>
        <w:rPr>
          <w:rFonts w:ascii="Times New Roman" w:hAnsi="Times New Roman" w:cs="Times New Roman"/>
          <w:vertAlign w:val="superscript"/>
        </w:rPr>
        <w:t>2+</w:t>
      </w:r>
      <w:r>
        <w:rPr>
          <w:rFonts w:ascii="Times New Roman" w:hAnsi="Times New Roman" w:cs="Times New Roman"/>
        </w:rPr>
        <w:t>, and NH</w:t>
      </w:r>
      <w:r>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rPr>
        <w:t>), dissolved anions (Cl</w:t>
      </w:r>
      <w:r w:rsidRPr="00ED72F9">
        <w:rPr>
          <w:rFonts w:ascii="Times New Roman" w:hAnsi="Times New Roman" w:cs="Times New Roman"/>
          <w:vertAlign w:val="superscript"/>
        </w:rPr>
        <w:t>-</w:t>
      </w:r>
      <w:r>
        <w:rPr>
          <w:rFonts w:ascii="Times New Roman" w:hAnsi="Times New Roman" w:cs="Times New Roman"/>
        </w:rPr>
        <w:t>, Br</w:t>
      </w:r>
      <w:r>
        <w:rPr>
          <w:rFonts w:ascii="Times New Roman" w:hAnsi="Times New Roman" w:cs="Times New Roman"/>
          <w:vertAlign w:val="superscript"/>
        </w:rPr>
        <w:t>-</w:t>
      </w:r>
      <w:r>
        <w:rPr>
          <w:rFonts w:ascii="Times New Roman" w:hAnsi="Times New Roman" w:cs="Times New Roman"/>
        </w:rPr>
        <w: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and PO</w:t>
      </w:r>
      <w:r>
        <w:rPr>
          <w:rFonts w:ascii="Times New Roman" w:hAnsi="Times New Roman" w:cs="Times New Roman"/>
          <w:vertAlign w:val="subscript"/>
        </w:rPr>
        <w:t>4</w:t>
      </w:r>
      <w:r>
        <w:rPr>
          <w:rFonts w:ascii="Times New Roman" w:hAnsi="Times New Roman" w:cs="Times New Roman"/>
          <w:vertAlign w:val="superscript"/>
        </w:rPr>
        <w:t>3-</w:t>
      </w:r>
      <w:r>
        <w:rPr>
          <w:rFonts w:ascii="Times New Roman" w:hAnsi="Times New Roman" w:cs="Times New Roman"/>
        </w:rPr>
        <w:t>), dissolved CH</w:t>
      </w:r>
      <w:r>
        <w:rPr>
          <w:rFonts w:ascii="Times New Roman" w:hAnsi="Times New Roman" w:cs="Times New Roman"/>
          <w:vertAlign w:val="subscript"/>
        </w:rPr>
        <w:t>4</w:t>
      </w:r>
      <w:r>
        <w:rPr>
          <w:rFonts w:ascii="Times New Roman" w:hAnsi="Times New Roman" w:cs="Times New Roman"/>
        </w:rPr>
        <w:t>, DOM absorption spectra, bulk TOC, bulk total organic nitrogen (TON), and bulk OM</w:t>
      </w:r>
      <w:r w:rsidRPr="00625552">
        <w:rPr>
          <w:rFonts w:ascii="Times New Roman" w:hAnsi="Times New Roman" w:cs="Times New Roman"/>
          <w:vertAlign w:val="superscript"/>
        </w:rPr>
        <w:t xml:space="preserve"> 13</w:t>
      </w:r>
      <w:r>
        <w:rPr>
          <w:rFonts w:ascii="Times New Roman" w:hAnsi="Times New Roman" w:cs="Times New Roman"/>
        </w:rPr>
        <w:t>C isotope composition. A schematic showing sample preparation for these measurements is provided in Figure 4.1.</w:t>
      </w:r>
    </w:p>
    <w:p w14:paraId="735389EE" w14:textId="77777777" w:rsidR="00365526" w:rsidRDefault="00365526" w:rsidP="00365526">
      <w:pPr>
        <w:pStyle w:val="Heading3"/>
      </w:pPr>
      <w:bookmarkStart w:id="270" w:name="_Toc41908132"/>
      <w:r>
        <w:t>Porewater Ion Depth Profiles</w:t>
      </w:r>
      <w:bookmarkEnd w:id="270"/>
    </w:p>
    <w:p w14:paraId="66DF6924" w14:textId="2B2EE410" w:rsidR="00365526" w:rsidRDefault="00365526" w:rsidP="00365526">
      <w:pPr>
        <w:spacing w:line="480" w:lineRule="auto"/>
        <w:rPr>
          <w:rFonts w:ascii="Times New Roman" w:hAnsi="Times New Roman" w:cs="Times New Roman"/>
        </w:rPr>
      </w:pPr>
      <w:r>
        <w:rPr>
          <w:rFonts w:ascii="Times New Roman" w:hAnsi="Times New Roman" w:cs="Times New Roman"/>
        </w:rPr>
        <w:tab/>
        <w:t>The dissolved ion concentrations for PO</w:t>
      </w:r>
      <w:r>
        <w:rPr>
          <w:rFonts w:ascii="Times New Roman" w:hAnsi="Times New Roman" w:cs="Times New Roman"/>
          <w:vertAlign w:val="subscript"/>
        </w:rPr>
        <w:t>4</w:t>
      </w:r>
      <w:r>
        <w:rPr>
          <w:rFonts w:ascii="Times New Roman" w:hAnsi="Times New Roman" w:cs="Times New Roman"/>
          <w:vertAlign w:val="superscript"/>
        </w:rPr>
        <w:t>3-</w:t>
      </w:r>
      <w:r>
        <w:rPr>
          <w:rFonts w:ascii="Times New Roman" w:hAnsi="Times New Roman" w:cs="Times New Roman"/>
        </w:rPr>
        <w:t>, NH</w:t>
      </w:r>
      <w:r>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rPr>
        <w:t>, Ca</w:t>
      </w:r>
      <w:r>
        <w:rPr>
          <w:rFonts w:ascii="Times New Roman" w:hAnsi="Times New Roman" w:cs="Times New Roman"/>
          <w:vertAlign w:val="superscript"/>
        </w:rPr>
        <w:t>2+</w:t>
      </w:r>
      <w:r>
        <w:rPr>
          <w:rFonts w:ascii="Times New Roman" w:hAnsi="Times New Roman" w:cs="Times New Roman"/>
        </w:rPr>
        <w:t>, K</w:t>
      </w:r>
      <w:r>
        <w:rPr>
          <w:rFonts w:ascii="Times New Roman" w:hAnsi="Times New Roman" w:cs="Times New Roman"/>
          <w:vertAlign w:val="superscript"/>
        </w:rPr>
        <w:t>+</w:t>
      </w:r>
      <w:r>
        <w:rPr>
          <w:rFonts w:ascii="Times New Roman" w:hAnsi="Times New Roman" w:cs="Times New Roman"/>
        </w:rPr>
        <w:t>, Na</w:t>
      </w:r>
      <w:r>
        <w:rPr>
          <w:rFonts w:ascii="Times New Roman" w:hAnsi="Times New Roman" w:cs="Times New Roman"/>
          <w:vertAlign w:val="superscript"/>
        </w:rPr>
        <w:t>+</w:t>
      </w:r>
      <w:r>
        <w:rPr>
          <w:rFonts w:ascii="Times New Roman" w:hAnsi="Times New Roman" w:cs="Times New Roman"/>
        </w:rPr>
        <w:t>, Mg</w:t>
      </w:r>
      <w:r>
        <w:rPr>
          <w:rFonts w:ascii="Times New Roman" w:hAnsi="Times New Roman" w:cs="Times New Roman"/>
          <w:vertAlign w:val="superscript"/>
        </w:rPr>
        <w:t>2+</w:t>
      </w:r>
      <w:r>
        <w:rPr>
          <w:rFonts w:ascii="Times New Roman" w:hAnsi="Times New Roman" w:cs="Times New Roman"/>
        </w:rPr>
        <w:t>, Cl</w:t>
      </w:r>
      <w:r>
        <w:rPr>
          <w:rFonts w:ascii="Times New Roman" w:hAnsi="Times New Roman" w:cs="Times New Roman"/>
          <w:vertAlign w:val="superscript"/>
        </w:rPr>
        <w:t>-</w:t>
      </w:r>
      <w:r>
        <w:rPr>
          <w:rFonts w:ascii="Times New Roman" w:hAnsi="Times New Roman" w:cs="Times New Roman"/>
        </w:rPr>
        <w:t>, Br</w:t>
      </w:r>
      <w:r>
        <w:rPr>
          <w:rFonts w:ascii="Times New Roman" w:hAnsi="Times New Roman" w:cs="Times New Roman"/>
          <w:vertAlign w:val="superscript"/>
        </w:rPr>
        <w:t>-</w:t>
      </w:r>
      <w:r>
        <w:rPr>
          <w:rFonts w:ascii="Times New Roman" w:hAnsi="Times New Roman" w:cs="Times New Roman"/>
        </w:rPr>
        <w:t>,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concentrations spanned 0.01-0.11 mM, 0.12-0.96 mM, 2.3-8.6 mM, 2.9-6.5 mM, 103.3-298.9 mM, 6.6-31.4 mM, 153.8-327.9 mM, 0.01-0.49 mM, and 0-17.2 mM, respectively (Figure 4.2A-I). In addition, NO</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NO</w:t>
      </w:r>
      <w:r>
        <w:rPr>
          <w:rFonts w:ascii="Times New Roman" w:hAnsi="Times New Roman" w:cs="Times New Roman"/>
          <w:vertAlign w:val="subscript"/>
        </w:rPr>
        <w:t>2</w:t>
      </w:r>
      <w:r>
        <w:rPr>
          <w:rFonts w:ascii="Times New Roman" w:hAnsi="Times New Roman" w:cs="Times New Roman"/>
          <w:vertAlign w:val="superscript"/>
        </w:rPr>
        <w:t>-</w:t>
      </w:r>
      <w:r>
        <w:rPr>
          <w:rFonts w:ascii="Times New Roman" w:hAnsi="Times New Roman" w:cs="Times New Roman"/>
        </w:rPr>
        <w:t>, and F</w:t>
      </w:r>
      <w:r>
        <w:rPr>
          <w:rFonts w:ascii="Times New Roman" w:hAnsi="Times New Roman" w:cs="Times New Roman"/>
          <w:vertAlign w:val="superscript"/>
        </w:rPr>
        <w:t>-</w:t>
      </w:r>
      <w:r>
        <w:rPr>
          <w:rFonts w:ascii="Times New Roman" w:hAnsi="Times New Roman" w:cs="Times New Roman"/>
        </w:rPr>
        <w:t xml:space="preserve"> concentrations were also measured but were below detectable concentrations at all depths. All measured seawater ions (Ca</w:t>
      </w:r>
      <w:r>
        <w:rPr>
          <w:rFonts w:ascii="Times New Roman" w:hAnsi="Times New Roman" w:cs="Times New Roman"/>
          <w:vertAlign w:val="superscript"/>
        </w:rPr>
        <w:t>2+</w:t>
      </w:r>
      <w:r>
        <w:rPr>
          <w:rFonts w:ascii="Times New Roman" w:hAnsi="Times New Roman" w:cs="Times New Roman"/>
        </w:rPr>
        <w:t>, K</w:t>
      </w:r>
      <w:r>
        <w:rPr>
          <w:rFonts w:ascii="Times New Roman" w:hAnsi="Times New Roman" w:cs="Times New Roman"/>
          <w:vertAlign w:val="superscript"/>
        </w:rPr>
        <w:t>+</w:t>
      </w:r>
      <w:r>
        <w:rPr>
          <w:rFonts w:ascii="Times New Roman" w:hAnsi="Times New Roman" w:cs="Times New Roman"/>
        </w:rPr>
        <w:t>, Na</w:t>
      </w:r>
      <w:r>
        <w:rPr>
          <w:rFonts w:ascii="Times New Roman" w:hAnsi="Times New Roman" w:cs="Times New Roman"/>
          <w:vertAlign w:val="superscript"/>
        </w:rPr>
        <w:t>+</w:t>
      </w:r>
      <w:r>
        <w:rPr>
          <w:rFonts w:ascii="Times New Roman" w:hAnsi="Times New Roman" w:cs="Times New Roman"/>
        </w:rPr>
        <w:t>, Mg</w:t>
      </w:r>
      <w:r>
        <w:rPr>
          <w:rFonts w:ascii="Times New Roman" w:hAnsi="Times New Roman" w:cs="Times New Roman"/>
          <w:vertAlign w:val="superscript"/>
        </w:rPr>
        <w:t>2+</w:t>
      </w:r>
      <w:r>
        <w:rPr>
          <w:rFonts w:ascii="Times New Roman" w:hAnsi="Times New Roman" w:cs="Times New Roman"/>
        </w:rPr>
        <w:t>, Cl</w:t>
      </w:r>
      <w:r>
        <w:rPr>
          <w:rFonts w:ascii="Times New Roman" w:hAnsi="Times New Roman" w:cs="Times New Roman"/>
          <w:vertAlign w:val="superscript"/>
        </w:rPr>
        <w:t>-</w:t>
      </w:r>
      <w:r>
        <w:rPr>
          <w:rFonts w:ascii="Times New Roman" w:hAnsi="Times New Roman" w:cs="Times New Roman"/>
        </w:rPr>
        <w:t>, Br</w:t>
      </w:r>
      <w:r>
        <w:rPr>
          <w:rFonts w:ascii="Times New Roman" w:hAnsi="Times New Roman" w:cs="Times New Roman"/>
          <w:vertAlign w:val="superscript"/>
        </w:rPr>
        <w:t>-</w:t>
      </w:r>
      <w:r>
        <w:rPr>
          <w:rFonts w:ascii="Times New Roman" w:hAnsi="Times New Roman" w:cs="Times New Roman"/>
        </w:rPr>
        <w:t>, and SO</w:t>
      </w:r>
      <w:r>
        <w:rPr>
          <w:rFonts w:ascii="Times New Roman" w:hAnsi="Times New Roman" w:cs="Times New Roman"/>
          <w:vertAlign w:val="subscript"/>
        </w:rPr>
        <w:t>4</w:t>
      </w:r>
      <w:r>
        <w:rPr>
          <w:rFonts w:ascii="Times New Roman" w:hAnsi="Times New Roman" w:cs="Times New Roman"/>
          <w:vertAlign w:val="superscript"/>
        </w:rPr>
        <w:t>2-</w:t>
      </w:r>
      <w:r w:rsidRPr="00F846AD">
        <w:rPr>
          <w:rFonts w:ascii="Times New Roman" w:hAnsi="Times New Roman" w:cs="Times New Roman"/>
        </w:rPr>
        <w:t>)</w:t>
      </w:r>
      <w:r>
        <w:rPr>
          <w:rFonts w:ascii="Times New Roman" w:hAnsi="Times New Roman" w:cs="Times New Roman"/>
        </w:rPr>
        <w:t xml:space="preserve"> followed similar trends through the sediment core, where concentrations were highest at the sediment-water interface (SWI) and decreased with increasing depth. At ~15 </w:t>
      </w:r>
      <w:proofErr w:type="spellStart"/>
      <w:r>
        <w:rPr>
          <w:rFonts w:ascii="Times New Roman" w:hAnsi="Times New Roman" w:cs="Times New Roman"/>
        </w:rPr>
        <w:t>cmbsf</w:t>
      </w:r>
      <w:proofErr w:type="spellEnd"/>
      <w:r>
        <w:rPr>
          <w:rFonts w:ascii="Times New Roman" w:hAnsi="Times New Roman" w:cs="Times New Roman"/>
        </w:rPr>
        <w:t xml:space="preserve">, all seawater ions gradients became less steep. Taking a </w:t>
      </w:r>
      <w:r w:rsidR="00BD7E21">
        <w:rPr>
          <w:rFonts w:ascii="Times New Roman" w:hAnsi="Times New Roman" w:cs="Times New Roman"/>
        </w:rPr>
        <w:t>piecewise</w:t>
      </w:r>
      <w:r>
        <w:rPr>
          <w:rFonts w:ascii="Times New Roman" w:hAnsi="Times New Roman" w:cs="Times New Roman"/>
        </w:rPr>
        <w:t xml:space="preserve"> linear regression with a node at 15 </w:t>
      </w:r>
      <w:proofErr w:type="spellStart"/>
      <w:r>
        <w:rPr>
          <w:rFonts w:ascii="Times New Roman" w:hAnsi="Times New Roman" w:cs="Times New Roman"/>
        </w:rPr>
        <w:t>cmbsf</w:t>
      </w:r>
      <w:proofErr w:type="spellEnd"/>
      <w:r>
        <w:rPr>
          <w:rFonts w:ascii="Times New Roman" w:hAnsi="Times New Roman" w:cs="Times New Roman"/>
        </w:rPr>
        <w:t>, gradient changes for Ca</w:t>
      </w:r>
      <w:r>
        <w:rPr>
          <w:rFonts w:ascii="Times New Roman" w:hAnsi="Times New Roman" w:cs="Times New Roman"/>
          <w:vertAlign w:val="superscript"/>
        </w:rPr>
        <w:t>2+</w:t>
      </w:r>
      <w:r>
        <w:rPr>
          <w:rFonts w:ascii="Times New Roman" w:hAnsi="Times New Roman" w:cs="Times New Roman"/>
        </w:rPr>
        <w:t>, K</w:t>
      </w:r>
      <w:r>
        <w:rPr>
          <w:rFonts w:ascii="Times New Roman" w:hAnsi="Times New Roman" w:cs="Times New Roman"/>
          <w:vertAlign w:val="superscript"/>
        </w:rPr>
        <w:t>+</w:t>
      </w:r>
      <w:r>
        <w:rPr>
          <w:rFonts w:ascii="Times New Roman" w:hAnsi="Times New Roman" w:cs="Times New Roman"/>
        </w:rPr>
        <w:t>, Na</w:t>
      </w:r>
      <w:r>
        <w:rPr>
          <w:rFonts w:ascii="Times New Roman" w:hAnsi="Times New Roman" w:cs="Times New Roman"/>
          <w:vertAlign w:val="superscript"/>
        </w:rPr>
        <w:t>+</w:t>
      </w:r>
      <w:r>
        <w:rPr>
          <w:rFonts w:ascii="Times New Roman" w:hAnsi="Times New Roman" w:cs="Times New Roman"/>
        </w:rPr>
        <w:t>, Mg</w:t>
      </w:r>
      <w:r>
        <w:rPr>
          <w:rFonts w:ascii="Times New Roman" w:hAnsi="Times New Roman" w:cs="Times New Roman"/>
          <w:vertAlign w:val="superscript"/>
        </w:rPr>
        <w:t>2+</w:t>
      </w:r>
      <w:r>
        <w:rPr>
          <w:rFonts w:ascii="Times New Roman" w:hAnsi="Times New Roman" w:cs="Times New Roman"/>
        </w:rPr>
        <w:t>, Cl</w:t>
      </w:r>
      <w:r>
        <w:rPr>
          <w:rFonts w:ascii="Times New Roman" w:hAnsi="Times New Roman" w:cs="Times New Roman"/>
          <w:vertAlign w:val="superscript"/>
        </w:rPr>
        <w:t>-</w:t>
      </w:r>
      <w:r>
        <w:rPr>
          <w:rFonts w:ascii="Times New Roman" w:hAnsi="Times New Roman" w:cs="Times New Roman"/>
        </w:rPr>
        <w:t>, and Br</w:t>
      </w:r>
      <w:r>
        <w:rPr>
          <w:rFonts w:ascii="Times New Roman" w:hAnsi="Times New Roman" w:cs="Times New Roman"/>
          <w:vertAlign w:val="superscript"/>
        </w:rPr>
        <w:t>-</w:t>
      </w:r>
      <w:r>
        <w:rPr>
          <w:rFonts w:ascii="Times New Roman" w:hAnsi="Times New Roman" w:cs="Times New Roman"/>
        </w:rPr>
        <w:t xml:space="preserve"> were -0.36 to -0.02 mM cm</w:t>
      </w:r>
      <w:r>
        <w:rPr>
          <w:rFonts w:ascii="Times New Roman" w:hAnsi="Times New Roman" w:cs="Times New Roman"/>
          <w:vertAlign w:val="superscript"/>
        </w:rPr>
        <w:t>-1</w:t>
      </w:r>
      <w:r>
        <w:rPr>
          <w:rFonts w:ascii="Times New Roman" w:hAnsi="Times New Roman" w:cs="Times New Roman"/>
        </w:rPr>
        <w:t>, -0.24 to 0.01 mM cm</w:t>
      </w:r>
      <w:r>
        <w:rPr>
          <w:rFonts w:ascii="Times New Roman" w:hAnsi="Times New Roman" w:cs="Times New Roman"/>
          <w:vertAlign w:val="superscript"/>
        </w:rPr>
        <w:t>-1</w:t>
      </w:r>
      <w:r w:rsidRPr="00F500ED">
        <w:rPr>
          <w:rFonts w:ascii="Times New Roman" w:hAnsi="Times New Roman" w:cs="Times New Roman"/>
        </w:rPr>
        <w:t>,</w:t>
      </w:r>
      <w:r>
        <w:rPr>
          <w:rFonts w:ascii="Times New Roman" w:hAnsi="Times New Roman" w:cs="Times New Roman"/>
        </w:rPr>
        <w:t xml:space="preserve"> -12.1 to -1.1</w:t>
      </w:r>
      <w:r w:rsidRPr="00F500ED">
        <w:rPr>
          <w:rFonts w:ascii="Times New Roman" w:hAnsi="Times New Roman" w:cs="Times New Roman"/>
        </w:rPr>
        <w:t xml:space="preserve"> </w:t>
      </w:r>
      <w:r>
        <w:rPr>
          <w:rFonts w:ascii="Times New Roman" w:hAnsi="Times New Roman" w:cs="Times New Roman"/>
        </w:rPr>
        <w:t>mM cm</w:t>
      </w:r>
      <w:r>
        <w:rPr>
          <w:rFonts w:ascii="Times New Roman" w:hAnsi="Times New Roman" w:cs="Times New Roman"/>
          <w:vertAlign w:val="superscript"/>
        </w:rPr>
        <w:t>-1</w:t>
      </w:r>
      <w:r w:rsidRPr="00F500ED">
        <w:rPr>
          <w:rFonts w:ascii="Times New Roman" w:hAnsi="Times New Roman" w:cs="Times New Roman"/>
        </w:rPr>
        <w:t>,</w:t>
      </w:r>
      <w:r>
        <w:rPr>
          <w:rFonts w:ascii="Times New Roman" w:hAnsi="Times New Roman" w:cs="Times New Roman"/>
        </w:rPr>
        <w:t xml:space="preserve"> -1.47 to -0.15 mM cm</w:t>
      </w:r>
      <w:r>
        <w:rPr>
          <w:rFonts w:ascii="Times New Roman" w:hAnsi="Times New Roman" w:cs="Times New Roman"/>
          <w:vertAlign w:val="superscript"/>
        </w:rPr>
        <w:t>-1</w:t>
      </w:r>
      <w:r w:rsidRPr="00F500ED">
        <w:rPr>
          <w:rFonts w:ascii="Times New Roman" w:hAnsi="Times New Roman" w:cs="Times New Roman"/>
        </w:rPr>
        <w:t>,</w:t>
      </w:r>
      <w:r>
        <w:rPr>
          <w:rFonts w:ascii="Times New Roman" w:hAnsi="Times New Roman" w:cs="Times New Roman"/>
        </w:rPr>
        <w:t xml:space="preserve"> -11.1 to -1.2 mM cm</w:t>
      </w:r>
      <w:r>
        <w:rPr>
          <w:rFonts w:ascii="Times New Roman" w:hAnsi="Times New Roman" w:cs="Times New Roman"/>
          <w:vertAlign w:val="superscript"/>
        </w:rPr>
        <w:t>-1</w:t>
      </w:r>
      <w:r w:rsidRPr="00F500ED">
        <w:rPr>
          <w:rFonts w:ascii="Times New Roman" w:hAnsi="Times New Roman" w:cs="Times New Roman"/>
        </w:rPr>
        <w:t>,</w:t>
      </w:r>
      <w:r>
        <w:rPr>
          <w:rFonts w:ascii="Times New Roman" w:hAnsi="Times New Roman" w:cs="Times New Roman"/>
        </w:rPr>
        <w:t xml:space="preserve"> and 00.02 to -0.001 mM cm</w:t>
      </w:r>
      <w:r>
        <w:rPr>
          <w:rFonts w:ascii="Times New Roman" w:hAnsi="Times New Roman" w:cs="Times New Roman"/>
          <w:vertAlign w:val="superscript"/>
        </w:rPr>
        <w:t>-1</w:t>
      </w:r>
      <w:r w:rsidRPr="00F500ED">
        <w:rPr>
          <w:rFonts w:ascii="Times New Roman" w:hAnsi="Times New Roman" w:cs="Times New Roman"/>
        </w:rPr>
        <w:t>, respectively</w:t>
      </w:r>
      <w:r>
        <w:rPr>
          <w:rFonts w:ascii="Times New Roman" w:hAnsi="Times New Roman" w:cs="Times New Roman"/>
        </w:rPr>
        <w:t>. In contrast, PO</w:t>
      </w:r>
      <w:r>
        <w:rPr>
          <w:rFonts w:ascii="Times New Roman" w:hAnsi="Times New Roman" w:cs="Times New Roman"/>
          <w:vertAlign w:val="subscript"/>
        </w:rPr>
        <w:t>4</w:t>
      </w:r>
      <w:r>
        <w:rPr>
          <w:rFonts w:ascii="Times New Roman" w:hAnsi="Times New Roman" w:cs="Times New Roman"/>
          <w:vertAlign w:val="superscript"/>
        </w:rPr>
        <w:t>3-</w:t>
      </w:r>
      <w:r>
        <w:rPr>
          <w:rFonts w:ascii="Times New Roman" w:hAnsi="Times New Roman" w:cs="Times New Roman"/>
        </w:rPr>
        <w:t xml:space="preserve"> and NH</w:t>
      </w:r>
      <w:r>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rPr>
        <w:t xml:space="preserve"> concentrations were lowest at </w:t>
      </w:r>
      <w:r>
        <w:rPr>
          <w:rFonts w:ascii="Times New Roman" w:hAnsi="Times New Roman" w:cs="Times New Roman"/>
        </w:rPr>
        <w:lastRenderedPageBreak/>
        <w:t>the sediment-water interface (SWI) and increased with depth. The PO</w:t>
      </w:r>
      <w:r>
        <w:rPr>
          <w:rFonts w:ascii="Times New Roman" w:hAnsi="Times New Roman" w:cs="Times New Roman"/>
          <w:vertAlign w:val="subscript"/>
        </w:rPr>
        <w:t>4</w:t>
      </w:r>
      <w:r>
        <w:rPr>
          <w:rFonts w:ascii="Times New Roman" w:hAnsi="Times New Roman" w:cs="Times New Roman"/>
          <w:vertAlign w:val="superscript"/>
        </w:rPr>
        <w:t>3-</w:t>
      </w:r>
      <w:r>
        <w:rPr>
          <w:rFonts w:ascii="Times New Roman" w:hAnsi="Times New Roman" w:cs="Times New Roman"/>
        </w:rPr>
        <w:t xml:space="preserve"> concentrations reached an asymptote after 10 </w:t>
      </w:r>
      <w:proofErr w:type="spellStart"/>
      <w:r>
        <w:rPr>
          <w:rFonts w:ascii="Times New Roman" w:hAnsi="Times New Roman" w:cs="Times New Roman"/>
        </w:rPr>
        <w:t>cmbsf</w:t>
      </w:r>
      <w:proofErr w:type="spellEnd"/>
      <w:r>
        <w:rPr>
          <w:rFonts w:ascii="Times New Roman" w:hAnsi="Times New Roman" w:cs="Times New Roman"/>
        </w:rPr>
        <w:t xml:space="preserve"> while NH</w:t>
      </w:r>
      <w:r>
        <w:rPr>
          <w:rFonts w:ascii="Times New Roman" w:hAnsi="Times New Roman" w:cs="Times New Roman"/>
          <w:vertAlign w:val="subscript"/>
        </w:rPr>
        <w:t>4</w:t>
      </w:r>
      <w:r>
        <w:rPr>
          <w:rFonts w:ascii="Times New Roman" w:hAnsi="Times New Roman" w:cs="Times New Roman"/>
          <w:vertAlign w:val="superscript"/>
        </w:rPr>
        <w:t xml:space="preserve">+ </w:t>
      </w:r>
      <w:r>
        <w:rPr>
          <w:rFonts w:ascii="Times New Roman" w:hAnsi="Times New Roman" w:cs="Times New Roman"/>
        </w:rPr>
        <w:t xml:space="preserve">concentrations increased with depth to the bottom of the collected core. </w:t>
      </w:r>
    </w:p>
    <w:p w14:paraId="23D189AF" w14:textId="01EBCE64" w:rsidR="00365526" w:rsidRDefault="00BD7E21" w:rsidP="00365526">
      <w:pPr>
        <w:spacing w:line="480" w:lineRule="auto"/>
        <w:ind w:firstLine="720"/>
        <w:rPr>
          <w:rFonts w:ascii="Times New Roman" w:hAnsi="Times New Roman" w:cs="Times New Roman"/>
        </w:rPr>
      </w:pPr>
      <w:r>
        <w:rPr>
          <w:rFonts w:ascii="Times New Roman" w:hAnsi="Times New Roman" w:cs="Times New Roman"/>
        </w:rPr>
        <w:t xml:space="preserve">To ensure changes in </w:t>
      </w:r>
      <w:r w:rsidRPr="00597D70">
        <w:rPr>
          <w:rFonts w:ascii="Times New Roman" w:hAnsi="Times New Roman" w:cs="Times New Roman"/>
        </w:rPr>
        <w:t xml:space="preserve">concentration gradients </w:t>
      </w:r>
      <w:r>
        <w:rPr>
          <w:rFonts w:ascii="Times New Roman" w:hAnsi="Times New Roman" w:cs="Times New Roman"/>
        </w:rPr>
        <w:t>not</w:t>
      </w:r>
      <w:r w:rsidRPr="00597D70">
        <w:rPr>
          <w:rFonts w:ascii="Times New Roman" w:hAnsi="Times New Roman" w:cs="Times New Roman"/>
        </w:rPr>
        <w:t xml:space="preserve"> </w:t>
      </w:r>
      <w:r>
        <w:rPr>
          <w:rFonts w:ascii="Times New Roman" w:hAnsi="Times New Roman" w:cs="Times New Roman"/>
        </w:rPr>
        <w:t>artifacts caused by a change in the angle of the core as it was pushed into the sediment</w:t>
      </w:r>
      <w:r w:rsidRPr="00597D70">
        <w:rPr>
          <w:rFonts w:ascii="Times New Roman" w:hAnsi="Times New Roman" w:cs="Times New Roman"/>
        </w:rPr>
        <w:t>,</w:t>
      </w:r>
      <w:r w:rsidR="00CF0FEA">
        <w:rPr>
          <w:rFonts w:ascii="Times New Roman" w:hAnsi="Times New Roman" w:cs="Times New Roman"/>
        </w:rPr>
        <w:t xml:space="preserve"> I </w:t>
      </w:r>
      <w:r>
        <w:rPr>
          <w:rFonts w:ascii="Times New Roman" w:hAnsi="Times New Roman" w:cs="Times New Roman"/>
        </w:rPr>
        <w:t xml:space="preserve">calculated the </w:t>
      </w:r>
      <w:r w:rsidRPr="00B335D0">
        <w:rPr>
          <w:rFonts w:ascii="Times New Roman" w:hAnsi="Times New Roman" w:cs="Times New Roman"/>
        </w:rPr>
        <w:t xml:space="preserve">theoretical change in sampling angle </w:t>
      </w:r>
      <w:r>
        <w:rPr>
          <w:rFonts w:ascii="Times New Roman" w:hAnsi="Times New Roman" w:cs="Times New Roman"/>
        </w:rPr>
        <w:t xml:space="preserve">which would result in the observed changes in </w:t>
      </w:r>
      <w:r w:rsidRPr="00B335D0">
        <w:rPr>
          <w:rFonts w:ascii="Times New Roman" w:hAnsi="Times New Roman" w:cs="Times New Roman"/>
        </w:rPr>
        <w:t xml:space="preserve">concentration </w:t>
      </w:r>
      <w:r>
        <w:rPr>
          <w:rFonts w:ascii="Times New Roman" w:hAnsi="Times New Roman" w:cs="Times New Roman"/>
        </w:rPr>
        <w:t>profile if the true profile were linear</w:t>
      </w:r>
      <w:r w:rsidRPr="00B335D0">
        <w:rPr>
          <w:rFonts w:ascii="Times New Roman" w:hAnsi="Times New Roman" w:cs="Times New Roman"/>
        </w:rPr>
        <w:t xml:space="preserve">. </w:t>
      </w:r>
      <w:r w:rsidR="00365526">
        <w:rPr>
          <w:rFonts w:ascii="Times New Roman" w:hAnsi="Times New Roman" w:cs="Times New Roman"/>
        </w:rPr>
        <w:t xml:space="preserve">The bias in sampling angle necessary to change the slope between 3 to 15 </w:t>
      </w:r>
      <w:proofErr w:type="spellStart"/>
      <w:r w:rsidR="00365526">
        <w:rPr>
          <w:rFonts w:ascii="Times New Roman" w:hAnsi="Times New Roman" w:cs="Times New Roman"/>
        </w:rPr>
        <w:t>cmbsf</w:t>
      </w:r>
      <w:proofErr w:type="spellEnd"/>
      <w:r w:rsidR="00365526">
        <w:rPr>
          <w:rFonts w:ascii="Times New Roman" w:hAnsi="Times New Roman" w:cs="Times New Roman"/>
        </w:rPr>
        <w:t xml:space="preserve"> and 16 60 </w:t>
      </w:r>
      <w:proofErr w:type="spellStart"/>
      <w:r w:rsidR="00365526">
        <w:rPr>
          <w:rFonts w:ascii="Times New Roman" w:hAnsi="Times New Roman" w:cs="Times New Roman"/>
        </w:rPr>
        <w:t>cmbsf</w:t>
      </w:r>
      <w:proofErr w:type="spellEnd"/>
      <w:r w:rsidR="00365526">
        <w:rPr>
          <w:rFonts w:ascii="Times New Roman" w:hAnsi="Times New Roman" w:cs="Times New Roman"/>
        </w:rPr>
        <w:t xml:space="preserve"> for Br</w:t>
      </w:r>
      <w:r w:rsidR="00365526">
        <w:rPr>
          <w:rFonts w:ascii="Times New Roman" w:hAnsi="Times New Roman" w:cs="Times New Roman"/>
          <w:vertAlign w:val="superscript"/>
        </w:rPr>
        <w:t>-</w:t>
      </w:r>
      <w:r w:rsidR="00365526">
        <w:rPr>
          <w:rFonts w:ascii="Times New Roman" w:hAnsi="Times New Roman" w:cs="Times New Roman"/>
        </w:rPr>
        <w:t>, Ca</w:t>
      </w:r>
      <w:r w:rsidR="00365526">
        <w:rPr>
          <w:rFonts w:ascii="Times New Roman" w:hAnsi="Times New Roman" w:cs="Times New Roman"/>
          <w:vertAlign w:val="superscript"/>
        </w:rPr>
        <w:t>+</w:t>
      </w:r>
      <w:r w:rsidR="00365526">
        <w:rPr>
          <w:rFonts w:ascii="Times New Roman" w:hAnsi="Times New Roman" w:cs="Times New Roman"/>
        </w:rPr>
        <w:t>, Cl</w:t>
      </w:r>
      <w:r w:rsidR="00365526">
        <w:rPr>
          <w:rFonts w:ascii="Times New Roman" w:hAnsi="Times New Roman" w:cs="Times New Roman"/>
          <w:vertAlign w:val="superscript"/>
        </w:rPr>
        <w:t>-</w:t>
      </w:r>
      <w:r w:rsidR="00365526">
        <w:rPr>
          <w:rFonts w:ascii="Times New Roman" w:hAnsi="Times New Roman" w:cs="Times New Roman"/>
        </w:rPr>
        <w:t>, K</w:t>
      </w:r>
      <w:r w:rsidR="00365526">
        <w:rPr>
          <w:rFonts w:ascii="Times New Roman" w:hAnsi="Times New Roman" w:cs="Times New Roman"/>
          <w:vertAlign w:val="superscript"/>
        </w:rPr>
        <w:t>+</w:t>
      </w:r>
      <w:r w:rsidR="00365526">
        <w:rPr>
          <w:rFonts w:ascii="Times New Roman" w:hAnsi="Times New Roman" w:cs="Times New Roman"/>
        </w:rPr>
        <w:t>, Mg</w:t>
      </w:r>
      <w:r w:rsidR="00365526">
        <w:rPr>
          <w:rFonts w:ascii="Times New Roman" w:hAnsi="Times New Roman" w:cs="Times New Roman"/>
          <w:vertAlign w:val="superscript"/>
        </w:rPr>
        <w:t>2+</w:t>
      </w:r>
      <w:r w:rsidR="00365526">
        <w:rPr>
          <w:rFonts w:ascii="Times New Roman" w:hAnsi="Times New Roman" w:cs="Times New Roman"/>
        </w:rPr>
        <w:t>, and Na</w:t>
      </w:r>
      <w:r w:rsidR="00365526">
        <w:rPr>
          <w:rFonts w:ascii="Times New Roman" w:hAnsi="Times New Roman" w:cs="Times New Roman"/>
          <w:vertAlign w:val="superscript"/>
        </w:rPr>
        <w:t>+</w:t>
      </w:r>
      <w:r w:rsidR="00365526">
        <w:rPr>
          <w:rFonts w:ascii="Times New Roman" w:hAnsi="Times New Roman" w:cs="Times New Roman"/>
        </w:rPr>
        <w:t xml:space="preserve"> were </w:t>
      </w:r>
      <w:r w:rsidR="00365526" w:rsidRPr="0067530A">
        <w:rPr>
          <w:rFonts w:ascii="Times New Roman" w:hAnsi="Times New Roman" w:cs="Times New Roman"/>
        </w:rPr>
        <w:t>87.4</w:t>
      </w:r>
      <w:r w:rsidR="00365526">
        <w:rPr>
          <w:rFonts w:ascii="Times New Roman" w:hAnsi="Times New Roman" w:cs="Times New Roman"/>
        </w:rPr>
        <w:t>°</w:t>
      </w:r>
      <w:r w:rsidR="00365526" w:rsidRPr="0067530A">
        <w:rPr>
          <w:rFonts w:ascii="Times New Roman" w:hAnsi="Times New Roman" w:cs="Times New Roman"/>
        </w:rPr>
        <w:t xml:space="preserve"> 85.2</w:t>
      </w:r>
      <w:r w:rsidR="00365526">
        <w:rPr>
          <w:rFonts w:ascii="Times New Roman" w:hAnsi="Times New Roman" w:cs="Times New Roman"/>
        </w:rPr>
        <w:t>°</w:t>
      </w:r>
      <w:r w:rsidR="00365526" w:rsidRPr="0067530A">
        <w:rPr>
          <w:rFonts w:ascii="Times New Roman" w:hAnsi="Times New Roman" w:cs="Times New Roman"/>
        </w:rPr>
        <w:t xml:space="preserve"> 83.7</w:t>
      </w:r>
      <w:r w:rsidR="00365526">
        <w:rPr>
          <w:rFonts w:ascii="Times New Roman" w:hAnsi="Times New Roman" w:cs="Times New Roman"/>
        </w:rPr>
        <w:t>°</w:t>
      </w:r>
      <w:r w:rsidR="00365526" w:rsidRPr="0067530A">
        <w:rPr>
          <w:rFonts w:ascii="Times New Roman" w:hAnsi="Times New Roman" w:cs="Times New Roman"/>
        </w:rPr>
        <w:t xml:space="preserve"> 86.6</w:t>
      </w:r>
      <w:r w:rsidR="00365526">
        <w:rPr>
          <w:rFonts w:ascii="Times New Roman" w:hAnsi="Times New Roman" w:cs="Times New Roman"/>
        </w:rPr>
        <w:t>°</w:t>
      </w:r>
      <w:r w:rsidR="00365526" w:rsidRPr="0067530A">
        <w:rPr>
          <w:rFonts w:ascii="Times New Roman" w:hAnsi="Times New Roman" w:cs="Times New Roman"/>
        </w:rPr>
        <w:t xml:space="preserve"> 84.0</w:t>
      </w:r>
      <w:r w:rsidR="00365526">
        <w:rPr>
          <w:rFonts w:ascii="Times New Roman" w:hAnsi="Times New Roman" w:cs="Times New Roman"/>
        </w:rPr>
        <w:t>°, and</w:t>
      </w:r>
      <w:r w:rsidR="00365526" w:rsidRPr="0067530A">
        <w:rPr>
          <w:rFonts w:ascii="Times New Roman" w:hAnsi="Times New Roman" w:cs="Times New Roman"/>
        </w:rPr>
        <w:t xml:space="preserve"> 84.5</w:t>
      </w:r>
      <w:r w:rsidR="00365526">
        <w:rPr>
          <w:rFonts w:ascii="Times New Roman" w:hAnsi="Times New Roman" w:cs="Times New Roman"/>
        </w:rPr>
        <w:t>°, respectively.  Considering all seawater ions (excluding SO</w:t>
      </w:r>
      <w:r w:rsidR="00365526">
        <w:rPr>
          <w:rFonts w:ascii="Times New Roman" w:hAnsi="Times New Roman" w:cs="Times New Roman"/>
          <w:vertAlign w:val="subscript"/>
        </w:rPr>
        <w:t>4</w:t>
      </w:r>
      <w:r w:rsidR="00365526">
        <w:rPr>
          <w:rFonts w:ascii="Times New Roman" w:hAnsi="Times New Roman" w:cs="Times New Roman"/>
          <w:vertAlign w:val="superscript"/>
        </w:rPr>
        <w:t>2-</w:t>
      </w:r>
      <w:r w:rsidR="00365526">
        <w:rPr>
          <w:rFonts w:ascii="Times New Roman" w:hAnsi="Times New Roman" w:cs="Times New Roman"/>
        </w:rPr>
        <w:t xml:space="preserve"> due to SO</w:t>
      </w:r>
      <w:r w:rsidR="00365526">
        <w:rPr>
          <w:rFonts w:ascii="Times New Roman" w:hAnsi="Times New Roman" w:cs="Times New Roman"/>
          <w:vertAlign w:val="subscript"/>
        </w:rPr>
        <w:t>4</w:t>
      </w:r>
      <w:r w:rsidR="00365526">
        <w:rPr>
          <w:rFonts w:ascii="Times New Roman" w:hAnsi="Times New Roman" w:cs="Times New Roman"/>
          <w:vertAlign w:val="superscript"/>
        </w:rPr>
        <w:t>2-</w:t>
      </w:r>
      <w:r w:rsidR="00365526">
        <w:rPr>
          <w:rFonts w:ascii="Times New Roman" w:hAnsi="Times New Roman" w:cs="Times New Roman"/>
        </w:rPr>
        <w:t xml:space="preserve"> reduction),</w:t>
      </w:r>
      <w:r w:rsidR="00CF0FEA">
        <w:rPr>
          <w:rFonts w:ascii="Times New Roman" w:hAnsi="Times New Roman" w:cs="Times New Roman"/>
        </w:rPr>
        <w:t xml:space="preserve"> I </w:t>
      </w:r>
      <w:r w:rsidR="00365526">
        <w:rPr>
          <w:rFonts w:ascii="Times New Roman" w:hAnsi="Times New Roman" w:cs="Times New Roman"/>
        </w:rPr>
        <w:t xml:space="preserve">estimate it would take an </w:t>
      </w:r>
      <w:r w:rsidR="00365526" w:rsidRPr="00B335D0">
        <w:rPr>
          <w:rFonts w:ascii="Times New Roman" w:hAnsi="Times New Roman" w:cs="Times New Roman"/>
        </w:rPr>
        <w:t>85.2</w:t>
      </w:r>
      <w:r w:rsidR="00365526" w:rsidRPr="00B335D0">
        <w:rPr>
          <w:rFonts w:ascii="Times New Roman" w:hAnsi="Times New Roman" w:cs="Times New Roman"/>
          <w:shd w:val="clear" w:color="auto" w:fill="FFFFFF"/>
        </w:rPr>
        <w:t>±1.8</w:t>
      </w:r>
      <w:r w:rsidR="00365526" w:rsidRPr="00B335D0">
        <w:rPr>
          <w:rFonts w:ascii="Times New Roman" w:hAnsi="Times New Roman" w:cs="Times New Roman"/>
        </w:rPr>
        <w:t>°</w:t>
      </w:r>
      <w:r w:rsidR="00365526">
        <w:rPr>
          <w:rFonts w:ascii="Times New Roman" w:hAnsi="Times New Roman" w:cs="Times New Roman"/>
        </w:rPr>
        <w:t xml:space="preserve"> change in sampling angle to explain the change in concentration gradients.</w:t>
      </w:r>
      <w:r w:rsidR="00D70693">
        <w:rPr>
          <w:rFonts w:ascii="Times New Roman" w:hAnsi="Times New Roman" w:cs="Times New Roman"/>
        </w:rPr>
        <w:t xml:space="preserve"> </w:t>
      </w:r>
      <w:r w:rsidR="00D70693" w:rsidRPr="00D70693">
        <w:rPr>
          <w:rFonts w:ascii="Times New Roman" w:hAnsi="Times New Roman" w:cs="Times New Roman"/>
        </w:rPr>
        <w:t xml:space="preserve">While it is difficult to </w:t>
      </w:r>
      <w:r w:rsidR="00EF0745" w:rsidRPr="00D70693">
        <w:rPr>
          <w:rFonts w:ascii="Times New Roman" w:hAnsi="Times New Roman" w:cs="Times New Roman"/>
        </w:rPr>
        <w:t xml:space="preserve">precisely </w:t>
      </w:r>
      <w:r w:rsidR="00D70693" w:rsidRPr="00D70693">
        <w:rPr>
          <w:rFonts w:ascii="Times New Roman" w:hAnsi="Times New Roman" w:cs="Times New Roman"/>
        </w:rPr>
        <w:t>push a core vertically into sediment, I judge that this amount of change in the angle is unrealistically large, and do not consider this possibility further.</w:t>
      </w:r>
    </w:p>
    <w:p w14:paraId="389BBEDD" w14:textId="77777777" w:rsidR="00365526" w:rsidRDefault="00365526" w:rsidP="00365526">
      <w:pPr>
        <w:pStyle w:val="Heading3"/>
      </w:pPr>
      <w:bookmarkStart w:id="271" w:name="_Toc41908133"/>
      <w:r>
        <w:t>Organic Carbon Depth Profiles</w:t>
      </w:r>
      <w:bookmarkEnd w:id="271"/>
      <w:r>
        <w:t xml:space="preserve"> </w:t>
      </w:r>
    </w:p>
    <w:p w14:paraId="49F5F848" w14:textId="77777777"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Organic carbon (OC) was characterized by measuring dissolved CH</w:t>
      </w:r>
      <w:r>
        <w:rPr>
          <w:rFonts w:ascii="Times New Roman" w:hAnsi="Times New Roman" w:cs="Times New Roman"/>
          <w:vertAlign w:val="subscript"/>
        </w:rPr>
        <w:t>4</w:t>
      </w:r>
      <w:r>
        <w:rPr>
          <w:rFonts w:ascii="Times New Roman" w:hAnsi="Times New Roman" w:cs="Times New Roman"/>
        </w:rPr>
        <w:t xml:space="preserve"> (mmol cm</w:t>
      </w:r>
      <w:r>
        <w:rPr>
          <w:rFonts w:ascii="Times New Roman" w:hAnsi="Times New Roman" w:cs="Times New Roman"/>
          <w:vertAlign w:val="superscript"/>
        </w:rPr>
        <w:t>-3</w:t>
      </w:r>
      <w:r>
        <w:rPr>
          <w:rFonts w:ascii="Times New Roman" w:hAnsi="Times New Roman" w:cs="Times New Roman"/>
        </w:rPr>
        <w:t xml:space="preserve"> wet sediment), OC </w:t>
      </w:r>
      <w:r>
        <w:rPr>
          <w:rFonts w:ascii="Times New Roman" w:hAnsi="Times New Roman" w:cs="Times New Roman"/>
          <w:vertAlign w:val="superscript"/>
        </w:rPr>
        <w:t>13</w:t>
      </w:r>
      <w:r>
        <w:rPr>
          <w:rFonts w:ascii="Times New Roman" w:hAnsi="Times New Roman" w:cs="Times New Roman"/>
        </w:rPr>
        <w:t>C isotopic composition (</w:t>
      </w:r>
      <w:r w:rsidRPr="00880BE1">
        <w:rPr>
          <w:rFonts w:ascii="Times New Roman" w:hAnsi="Times New Roman" w:cs="Times New Roman"/>
          <w:i/>
          <w:iCs/>
        </w:rPr>
        <w:t>δ</w:t>
      </w:r>
      <w:r w:rsidRPr="00880BE1">
        <w:rPr>
          <w:rFonts w:ascii="Times New Roman" w:hAnsi="Times New Roman" w:cs="Times New Roman"/>
          <w:vertAlign w:val="superscript"/>
        </w:rPr>
        <w:t>13</w:t>
      </w:r>
      <w:r>
        <w:rPr>
          <w:rFonts w:ascii="Times New Roman" w:hAnsi="Times New Roman" w:cs="Times New Roman"/>
        </w:rPr>
        <w:t>C</w:t>
      </w:r>
      <w:r>
        <w:rPr>
          <w:rFonts w:ascii="Times New Roman" w:hAnsi="Times New Roman" w:cs="Times New Roman"/>
          <w:vertAlign w:val="subscript"/>
        </w:rPr>
        <w:t>organic</w:t>
      </w:r>
      <w:r>
        <w:rPr>
          <w:rFonts w:ascii="Times New Roman" w:hAnsi="Times New Roman" w:cs="Times New Roman"/>
        </w:rPr>
        <w:t xml:space="preserve">; </w:t>
      </w:r>
      <w:r w:rsidRPr="000E3D6D">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with respect to VPDB</w:t>
      </w:r>
      <w:r>
        <w:rPr>
          <w:rFonts w:ascii="Times New Roman" w:hAnsi="Times New Roman" w:cs="Times New Roman"/>
        </w:rPr>
        <w:t>), TOC (mmol cm</w:t>
      </w:r>
      <w:r>
        <w:rPr>
          <w:rFonts w:ascii="Times New Roman" w:hAnsi="Times New Roman" w:cs="Times New Roman"/>
          <w:vertAlign w:val="superscript"/>
        </w:rPr>
        <w:t>-3</w:t>
      </w:r>
      <w:r>
        <w:rPr>
          <w:rFonts w:ascii="Times New Roman" w:hAnsi="Times New Roman" w:cs="Times New Roman"/>
        </w:rPr>
        <w:t xml:space="preserve"> wet sediment), TON (mmol cm</w:t>
      </w:r>
      <w:r>
        <w:rPr>
          <w:rFonts w:ascii="Times New Roman" w:hAnsi="Times New Roman" w:cs="Times New Roman"/>
          <w:vertAlign w:val="superscript"/>
        </w:rPr>
        <w:t>-3</w:t>
      </w:r>
      <w:r>
        <w:rPr>
          <w:rFonts w:ascii="Times New Roman" w:hAnsi="Times New Roman" w:cs="Times New Roman"/>
        </w:rPr>
        <w:t xml:space="preserve"> wet sediment), TOC:TON ratios (C:N), and DOM absorption spectra were analyzed for spectral slopes (</w:t>
      </w:r>
      <w:r w:rsidRPr="00CF5886">
        <w:rPr>
          <w:rFonts w:ascii="Times New Roman" w:hAnsi="Times New Roman" w:cs="Times New Roman"/>
          <w:i/>
          <w:iCs/>
        </w:rPr>
        <w:t>S</w:t>
      </w:r>
      <w:r>
        <w:rPr>
          <w:rFonts w:ascii="Times New Roman" w:hAnsi="Times New Roman" w:cs="Times New Roman"/>
          <w:vertAlign w:val="subscript"/>
        </w:rPr>
        <w:t>R</w:t>
      </w:r>
      <w:r>
        <w:rPr>
          <w:rFonts w:ascii="Times New Roman" w:hAnsi="Times New Roman" w:cs="Times New Roman"/>
        </w:rPr>
        <w:t xml:space="preserve">; 275-295 nm : 350-400 nm) (Figure 3A-F). </w:t>
      </w:r>
    </w:p>
    <w:p w14:paraId="7C42AD62" w14:textId="77777777"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CH</w:t>
      </w:r>
      <w:r>
        <w:rPr>
          <w:rFonts w:ascii="Times New Roman" w:hAnsi="Times New Roman" w:cs="Times New Roman"/>
          <w:vertAlign w:val="subscript"/>
        </w:rPr>
        <w:t>4</w:t>
      </w:r>
      <w:r>
        <w:rPr>
          <w:rFonts w:ascii="Times New Roman" w:hAnsi="Times New Roman" w:cs="Times New Roman"/>
        </w:rPr>
        <w:t xml:space="preserve"> concentrations followed a sigmodal profile as a function of depth (Figure 3A). The lowest </w:t>
      </w:r>
      <w:r w:rsidRPr="00520936">
        <w:rPr>
          <w:rFonts w:ascii="Times New Roman" w:hAnsi="Times New Roman" w:cs="Times New Roman"/>
        </w:rPr>
        <w:t>CH</w:t>
      </w:r>
      <w:r w:rsidRPr="00520936">
        <w:rPr>
          <w:rFonts w:ascii="Times New Roman" w:hAnsi="Times New Roman" w:cs="Times New Roman"/>
          <w:vertAlign w:val="subscript"/>
        </w:rPr>
        <w:t>4</w:t>
      </w:r>
      <w:r>
        <w:rPr>
          <w:rFonts w:ascii="Times New Roman" w:hAnsi="Times New Roman" w:cs="Times New Roman"/>
        </w:rPr>
        <w:t xml:space="preserve"> concentrations (~0 mmol cm</w:t>
      </w:r>
      <w:r>
        <w:rPr>
          <w:rFonts w:ascii="Times New Roman" w:hAnsi="Times New Roman" w:cs="Times New Roman"/>
          <w:vertAlign w:val="superscript"/>
        </w:rPr>
        <w:t>-3</w:t>
      </w:r>
      <w:r>
        <w:rPr>
          <w:rFonts w:ascii="Times New Roman" w:hAnsi="Times New Roman" w:cs="Times New Roman"/>
        </w:rPr>
        <w:t xml:space="preserve">) occurred at the SWI, while the </w:t>
      </w:r>
      <w:r>
        <w:rPr>
          <w:rFonts w:ascii="Times New Roman" w:hAnsi="Times New Roman" w:cs="Times New Roman"/>
        </w:rPr>
        <w:lastRenderedPageBreak/>
        <w:t>maximum concentration (1.91 mmol cm</w:t>
      </w:r>
      <w:r>
        <w:rPr>
          <w:rFonts w:ascii="Times New Roman" w:hAnsi="Times New Roman" w:cs="Times New Roman"/>
          <w:vertAlign w:val="superscript"/>
        </w:rPr>
        <w:t>-3</w:t>
      </w:r>
      <w:r>
        <w:rPr>
          <w:rFonts w:ascii="Times New Roman" w:hAnsi="Times New Roman" w:cs="Times New Roman"/>
        </w:rPr>
        <w:t xml:space="preserve">) occurred at ~45 </w:t>
      </w:r>
      <w:proofErr w:type="spellStart"/>
      <w:r>
        <w:rPr>
          <w:rFonts w:ascii="Times New Roman" w:hAnsi="Times New Roman" w:cs="Times New Roman"/>
        </w:rPr>
        <w:t>cmbsf</w:t>
      </w:r>
      <w:proofErr w:type="spellEnd"/>
      <w:r>
        <w:rPr>
          <w:rFonts w:ascii="Times New Roman" w:hAnsi="Times New Roman" w:cs="Times New Roman"/>
        </w:rPr>
        <w:t>. After reaching the maximum, CH</w:t>
      </w:r>
      <w:r>
        <w:rPr>
          <w:rFonts w:ascii="Times New Roman" w:hAnsi="Times New Roman" w:cs="Times New Roman"/>
          <w:vertAlign w:val="subscript"/>
        </w:rPr>
        <w:t>4</w:t>
      </w:r>
      <w:r>
        <w:rPr>
          <w:rFonts w:ascii="Times New Roman" w:hAnsi="Times New Roman" w:cs="Times New Roman"/>
        </w:rPr>
        <w:t xml:space="preserve"> dropped and stabilized at ~1 mmol cm</w:t>
      </w:r>
      <w:r>
        <w:rPr>
          <w:rFonts w:ascii="Times New Roman" w:hAnsi="Times New Roman" w:cs="Times New Roman"/>
          <w:vertAlign w:val="superscript"/>
        </w:rPr>
        <w:t>-3</w:t>
      </w:r>
      <w:r>
        <w:rPr>
          <w:rFonts w:ascii="Times New Roman" w:hAnsi="Times New Roman" w:cs="Times New Roman"/>
        </w:rPr>
        <w:t xml:space="preserve"> for depths &gt;50 </w:t>
      </w:r>
      <w:proofErr w:type="spellStart"/>
      <w:r>
        <w:rPr>
          <w:rFonts w:ascii="Times New Roman" w:hAnsi="Times New Roman" w:cs="Times New Roman"/>
        </w:rPr>
        <w:t>cmbsf</w:t>
      </w:r>
      <w:proofErr w:type="spellEnd"/>
      <w:r>
        <w:rPr>
          <w:rFonts w:ascii="Times New Roman" w:hAnsi="Times New Roman" w:cs="Times New Roman"/>
        </w:rPr>
        <w:t xml:space="preserve">. </w:t>
      </w:r>
    </w:p>
    <w:p w14:paraId="25027087" w14:textId="77777777" w:rsidR="00365526" w:rsidRDefault="00365526" w:rsidP="00365526">
      <w:pPr>
        <w:spacing w:line="480" w:lineRule="auto"/>
        <w:ind w:firstLine="720"/>
        <w:rPr>
          <w:rFonts w:ascii="Times New Roman" w:hAnsi="Times New Roman" w:cs="Times New Roman"/>
          <w:color w:val="222222"/>
          <w:shd w:val="clear" w:color="auto" w:fill="FFFFFF"/>
        </w:rPr>
      </w:pPr>
      <w:r>
        <w:rPr>
          <w:rFonts w:ascii="Times New Roman" w:hAnsi="Times New Roman" w:cs="Times New Roman"/>
        </w:rPr>
        <w:t xml:space="preserve">The </w:t>
      </w:r>
      <w:r w:rsidRPr="00880BE1">
        <w:rPr>
          <w:rFonts w:ascii="Times New Roman" w:hAnsi="Times New Roman" w:cs="Times New Roman"/>
          <w:i/>
          <w:iCs/>
        </w:rPr>
        <w:t>δ</w:t>
      </w:r>
      <w:r w:rsidRPr="00880BE1">
        <w:rPr>
          <w:rFonts w:ascii="Times New Roman" w:hAnsi="Times New Roman" w:cs="Times New Roman"/>
          <w:vertAlign w:val="superscript"/>
        </w:rPr>
        <w:t>13</w:t>
      </w:r>
      <w:r>
        <w:rPr>
          <w:rFonts w:ascii="Times New Roman" w:hAnsi="Times New Roman" w:cs="Times New Roman"/>
        </w:rPr>
        <w:t>C</w:t>
      </w:r>
      <w:r>
        <w:rPr>
          <w:rFonts w:ascii="Times New Roman" w:hAnsi="Times New Roman" w:cs="Times New Roman"/>
          <w:vertAlign w:val="subscript"/>
        </w:rPr>
        <w:t>organic</w:t>
      </w:r>
      <w:r>
        <w:rPr>
          <w:rFonts w:ascii="Times New Roman" w:hAnsi="Times New Roman" w:cs="Times New Roman"/>
        </w:rPr>
        <w:t xml:space="preserve"> </w:t>
      </w:r>
      <w:r>
        <w:rPr>
          <w:rFonts w:ascii="Times New Roman" w:hAnsi="Times New Roman" w:cs="Times New Roman"/>
          <w:color w:val="222222"/>
          <w:shd w:val="clear" w:color="auto" w:fill="FFFFFF"/>
        </w:rPr>
        <w:t>increased from the lightest value, -</w:t>
      </w:r>
      <w:r>
        <w:rPr>
          <w:rFonts w:ascii="Times New Roman" w:hAnsi="Times New Roman" w:cs="Times New Roman"/>
        </w:rPr>
        <w:t xml:space="preserve">26.04 </w:t>
      </w:r>
      <w:r w:rsidRPr="000E3D6D">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near the SWI to the heaviest value, </w:t>
      </w:r>
      <w:r>
        <w:rPr>
          <w:rFonts w:ascii="Times New Roman" w:hAnsi="Times New Roman" w:cs="Times New Roman"/>
        </w:rPr>
        <w:t xml:space="preserve">-23.40 </w:t>
      </w:r>
      <w:r w:rsidRPr="000E3D6D">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near the bottom of the sediment core. This transition included an average increase in </w:t>
      </w:r>
      <w:r w:rsidRPr="00880BE1">
        <w:rPr>
          <w:rFonts w:ascii="Times New Roman" w:hAnsi="Times New Roman" w:cs="Times New Roman"/>
          <w:i/>
          <w:iCs/>
        </w:rPr>
        <w:t>δ</w:t>
      </w:r>
      <w:r w:rsidRPr="00880BE1">
        <w:rPr>
          <w:rFonts w:ascii="Times New Roman" w:hAnsi="Times New Roman" w:cs="Times New Roman"/>
          <w:vertAlign w:val="superscript"/>
        </w:rPr>
        <w:t>13</w:t>
      </w:r>
      <w:r>
        <w:rPr>
          <w:rFonts w:ascii="Times New Roman" w:hAnsi="Times New Roman" w:cs="Times New Roman"/>
        </w:rPr>
        <w:t>C</w:t>
      </w:r>
      <w:r>
        <w:rPr>
          <w:rFonts w:ascii="Times New Roman" w:hAnsi="Times New Roman" w:cs="Times New Roman"/>
          <w:vertAlign w:val="subscript"/>
        </w:rPr>
        <w:t>organic</w:t>
      </w:r>
      <w:r>
        <w:rPr>
          <w:rFonts w:ascii="Times New Roman" w:hAnsi="Times New Roman" w:cs="Times New Roman"/>
          <w:color w:val="222222"/>
          <w:shd w:val="clear" w:color="auto" w:fill="FFFFFF"/>
        </w:rPr>
        <w:t xml:space="preserve"> of 0.20</w:t>
      </w:r>
      <w:r w:rsidRPr="000E3D6D">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cm</w:t>
      </w:r>
      <w:r>
        <w:rPr>
          <w:rFonts w:ascii="Times New Roman" w:hAnsi="Times New Roman" w:cs="Times New Roman"/>
          <w:color w:val="222222"/>
          <w:shd w:val="clear" w:color="auto" w:fill="FFFFFF"/>
          <w:vertAlign w:val="superscript"/>
        </w:rPr>
        <w:t>-1</w:t>
      </w:r>
      <w:r>
        <w:rPr>
          <w:rFonts w:ascii="Times New Roman" w:hAnsi="Times New Roman" w:cs="Times New Roman"/>
          <w:color w:val="222222"/>
          <w:shd w:val="clear" w:color="auto" w:fill="FFFFFF"/>
          <w:vertAlign w:val="subscript"/>
        </w:rPr>
        <w:t xml:space="preserve"> </w:t>
      </w:r>
      <w:r>
        <w:rPr>
          <w:rFonts w:ascii="Times New Roman" w:hAnsi="Times New Roman" w:cs="Times New Roman"/>
          <w:color w:val="222222"/>
          <w:shd w:val="clear" w:color="auto" w:fill="FFFFFF"/>
        </w:rPr>
        <w:t>(</w:t>
      </w:r>
      <w:r w:rsidRPr="00350392">
        <w:rPr>
          <w:rFonts w:ascii="Times New Roman" w:hAnsi="Times New Roman" w:cs="Times New Roman"/>
          <w:i/>
          <w:iCs/>
          <w:color w:val="222222"/>
          <w:shd w:val="clear" w:color="auto" w:fill="FFFFFF"/>
        </w:rPr>
        <w:t>p</w:t>
      </w:r>
      <w:r>
        <w:rPr>
          <w:rFonts w:ascii="Times New Roman" w:hAnsi="Times New Roman" w:cs="Times New Roman"/>
          <w:color w:val="222222"/>
          <w:shd w:val="clear" w:color="auto" w:fill="FFFFFF"/>
        </w:rPr>
        <w:t>-value&lt;10</w:t>
      </w:r>
      <w:r>
        <w:rPr>
          <w:rFonts w:ascii="Times New Roman" w:hAnsi="Times New Roman" w:cs="Times New Roman"/>
          <w:color w:val="222222"/>
          <w:shd w:val="clear" w:color="auto" w:fill="FFFFFF"/>
          <w:vertAlign w:val="superscript"/>
        </w:rPr>
        <w:t>-3</w:t>
      </w:r>
      <w:r>
        <w:rPr>
          <w:rFonts w:ascii="Times New Roman" w:hAnsi="Times New Roman" w:cs="Times New Roman"/>
          <w:color w:val="222222"/>
          <w:shd w:val="clear" w:color="auto" w:fill="FFFFFF"/>
        </w:rPr>
        <w:t xml:space="preserve">), from 4 to 10 cm. Afterwards, </w:t>
      </w:r>
      <w:r w:rsidRPr="00880BE1">
        <w:rPr>
          <w:rFonts w:ascii="Times New Roman" w:hAnsi="Times New Roman" w:cs="Times New Roman"/>
          <w:i/>
          <w:iCs/>
        </w:rPr>
        <w:t>δ</w:t>
      </w:r>
      <w:r w:rsidRPr="00880BE1">
        <w:rPr>
          <w:rFonts w:ascii="Times New Roman" w:hAnsi="Times New Roman" w:cs="Times New Roman"/>
          <w:vertAlign w:val="superscript"/>
        </w:rPr>
        <w:t>13</w:t>
      </w:r>
      <w:r>
        <w:rPr>
          <w:rFonts w:ascii="Times New Roman" w:hAnsi="Times New Roman" w:cs="Times New Roman"/>
        </w:rPr>
        <w:t>C</w:t>
      </w:r>
      <w:r>
        <w:rPr>
          <w:rFonts w:ascii="Times New Roman" w:hAnsi="Times New Roman" w:cs="Times New Roman"/>
          <w:vertAlign w:val="subscript"/>
        </w:rPr>
        <w:t>organic</w:t>
      </w:r>
      <w:r>
        <w:rPr>
          <w:rFonts w:ascii="Times New Roman" w:hAnsi="Times New Roman" w:cs="Times New Roman"/>
          <w:color w:val="222222"/>
          <w:shd w:val="clear" w:color="auto" w:fill="FFFFFF"/>
        </w:rPr>
        <w:t xml:space="preserve"> became invariant between 10 and 30 </w:t>
      </w:r>
      <w:proofErr w:type="spellStart"/>
      <w:r>
        <w:rPr>
          <w:rFonts w:ascii="Times New Roman" w:hAnsi="Times New Roman" w:cs="Times New Roman"/>
          <w:color w:val="222222"/>
          <w:shd w:val="clear" w:color="auto" w:fill="FFFFFF"/>
        </w:rPr>
        <w:t>cmbsf</w:t>
      </w:r>
      <w:proofErr w:type="spellEnd"/>
      <w:r>
        <w:rPr>
          <w:rFonts w:ascii="Times New Roman" w:hAnsi="Times New Roman" w:cs="Times New Roman"/>
          <w:color w:val="222222"/>
          <w:shd w:val="clear" w:color="auto" w:fill="FFFFFF"/>
        </w:rPr>
        <w:t>, followed by an average rate of decrease of -0.11</w:t>
      </w:r>
      <w:r w:rsidRPr="000E3D6D">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cm</w:t>
      </w:r>
      <w:r>
        <w:rPr>
          <w:rFonts w:ascii="Times New Roman" w:hAnsi="Times New Roman" w:cs="Times New Roman"/>
          <w:color w:val="222222"/>
          <w:shd w:val="clear" w:color="auto" w:fill="FFFFFF"/>
          <w:vertAlign w:val="superscript"/>
        </w:rPr>
        <w:t>-1</w:t>
      </w:r>
      <w:r>
        <w:rPr>
          <w:rFonts w:ascii="Times New Roman" w:hAnsi="Times New Roman" w:cs="Times New Roman"/>
          <w:color w:val="222222"/>
          <w:shd w:val="clear" w:color="auto" w:fill="FFFFFF"/>
          <w:vertAlign w:val="subscript"/>
        </w:rPr>
        <w:t xml:space="preserve"> </w:t>
      </w:r>
      <w:r>
        <w:rPr>
          <w:rFonts w:ascii="Times New Roman" w:hAnsi="Times New Roman" w:cs="Times New Roman"/>
          <w:color w:val="222222"/>
          <w:shd w:val="clear" w:color="auto" w:fill="FFFFFF"/>
        </w:rPr>
        <w:t>(</w:t>
      </w:r>
      <w:r w:rsidRPr="00350392">
        <w:rPr>
          <w:rFonts w:ascii="Times New Roman" w:hAnsi="Times New Roman" w:cs="Times New Roman"/>
          <w:i/>
          <w:iCs/>
          <w:color w:val="222222"/>
          <w:shd w:val="clear" w:color="auto" w:fill="FFFFFF"/>
        </w:rPr>
        <w:t>p</w:t>
      </w:r>
      <w:r>
        <w:rPr>
          <w:rFonts w:ascii="Times New Roman" w:hAnsi="Times New Roman" w:cs="Times New Roman"/>
          <w:color w:val="222222"/>
          <w:shd w:val="clear" w:color="auto" w:fill="FFFFFF"/>
        </w:rPr>
        <w:t>-value&lt;10</w:t>
      </w:r>
      <w:r>
        <w:rPr>
          <w:rFonts w:ascii="Times New Roman" w:hAnsi="Times New Roman" w:cs="Times New Roman"/>
          <w:color w:val="222222"/>
          <w:shd w:val="clear" w:color="auto" w:fill="FFFFFF"/>
          <w:vertAlign w:val="superscript"/>
        </w:rPr>
        <w:t>-3</w:t>
      </w:r>
      <w:r>
        <w:rPr>
          <w:rFonts w:ascii="Times New Roman" w:hAnsi="Times New Roman" w:cs="Times New Roman"/>
          <w:color w:val="222222"/>
          <w:shd w:val="clear" w:color="auto" w:fill="FFFFFF"/>
        </w:rPr>
        <w:t xml:space="preserve">) between 30 to 35 </w:t>
      </w:r>
      <w:proofErr w:type="spellStart"/>
      <w:r>
        <w:rPr>
          <w:rFonts w:ascii="Times New Roman" w:hAnsi="Times New Roman" w:cs="Times New Roman"/>
          <w:color w:val="222222"/>
          <w:shd w:val="clear" w:color="auto" w:fill="FFFFFF"/>
        </w:rPr>
        <w:t>cmbsf</w:t>
      </w:r>
      <w:proofErr w:type="spellEnd"/>
      <w:r>
        <w:rPr>
          <w:rFonts w:ascii="Times New Roman" w:hAnsi="Times New Roman" w:cs="Times New Roman"/>
          <w:color w:val="222222"/>
          <w:shd w:val="clear" w:color="auto" w:fill="FFFFFF"/>
        </w:rPr>
        <w:t xml:space="preserve">. Lastly, </w:t>
      </w:r>
      <w:r w:rsidRPr="00880BE1">
        <w:rPr>
          <w:rFonts w:ascii="Times New Roman" w:hAnsi="Times New Roman" w:cs="Times New Roman"/>
          <w:i/>
          <w:iCs/>
        </w:rPr>
        <w:t>δ</w:t>
      </w:r>
      <w:r w:rsidRPr="00880BE1">
        <w:rPr>
          <w:rFonts w:ascii="Times New Roman" w:hAnsi="Times New Roman" w:cs="Times New Roman"/>
          <w:vertAlign w:val="superscript"/>
        </w:rPr>
        <w:t>13</w:t>
      </w:r>
      <w:r>
        <w:rPr>
          <w:rFonts w:ascii="Times New Roman" w:hAnsi="Times New Roman" w:cs="Times New Roman"/>
        </w:rPr>
        <w:t>C</w:t>
      </w:r>
      <w:r>
        <w:rPr>
          <w:rFonts w:ascii="Times New Roman" w:hAnsi="Times New Roman" w:cs="Times New Roman"/>
          <w:vertAlign w:val="subscript"/>
        </w:rPr>
        <w:t>organic</w:t>
      </w:r>
      <w:r>
        <w:rPr>
          <w:rFonts w:ascii="Times New Roman" w:hAnsi="Times New Roman" w:cs="Times New Roman"/>
          <w:color w:val="222222"/>
          <w:shd w:val="clear" w:color="auto" w:fill="FFFFFF"/>
        </w:rPr>
        <w:t xml:space="preserve"> became heavier at an average rate of 0.06</w:t>
      </w:r>
      <w:r w:rsidRPr="000E3D6D">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cm</w:t>
      </w:r>
      <w:r>
        <w:rPr>
          <w:rFonts w:ascii="Times New Roman" w:hAnsi="Times New Roman" w:cs="Times New Roman"/>
          <w:color w:val="222222"/>
          <w:shd w:val="clear" w:color="auto" w:fill="FFFFFF"/>
          <w:vertAlign w:val="superscript"/>
        </w:rPr>
        <w:t>-1</w:t>
      </w:r>
      <w:r>
        <w:rPr>
          <w:rFonts w:ascii="Times New Roman" w:hAnsi="Times New Roman" w:cs="Times New Roman"/>
          <w:color w:val="222222"/>
          <w:shd w:val="clear" w:color="auto" w:fill="FFFFFF"/>
          <w:vertAlign w:val="subscript"/>
        </w:rPr>
        <w:t xml:space="preserve"> </w:t>
      </w:r>
      <w:r>
        <w:rPr>
          <w:rFonts w:ascii="Times New Roman" w:hAnsi="Times New Roman" w:cs="Times New Roman"/>
          <w:color w:val="222222"/>
          <w:shd w:val="clear" w:color="auto" w:fill="FFFFFF"/>
        </w:rPr>
        <w:t>(</w:t>
      </w:r>
      <w:r w:rsidRPr="00350392">
        <w:rPr>
          <w:rFonts w:ascii="Times New Roman" w:hAnsi="Times New Roman" w:cs="Times New Roman"/>
          <w:i/>
          <w:iCs/>
          <w:color w:val="222222"/>
          <w:shd w:val="clear" w:color="auto" w:fill="FFFFFF"/>
        </w:rPr>
        <w:t>p</w:t>
      </w:r>
      <w:r>
        <w:rPr>
          <w:rFonts w:ascii="Times New Roman" w:hAnsi="Times New Roman" w:cs="Times New Roman"/>
          <w:color w:val="222222"/>
          <w:shd w:val="clear" w:color="auto" w:fill="FFFFFF"/>
        </w:rPr>
        <w:t>-value&lt;10</w:t>
      </w:r>
      <w:r>
        <w:rPr>
          <w:rFonts w:ascii="Times New Roman" w:hAnsi="Times New Roman" w:cs="Times New Roman"/>
          <w:color w:val="222222"/>
          <w:shd w:val="clear" w:color="auto" w:fill="FFFFFF"/>
          <w:vertAlign w:val="superscript"/>
        </w:rPr>
        <w:t>-7</w:t>
      </w:r>
      <w:r>
        <w:rPr>
          <w:rFonts w:ascii="Times New Roman" w:hAnsi="Times New Roman" w:cs="Times New Roman"/>
          <w:color w:val="222222"/>
          <w:shd w:val="clear" w:color="auto" w:fill="FFFFFF"/>
        </w:rPr>
        <w:t xml:space="preserve">) between 35 to 58 </w:t>
      </w:r>
      <w:proofErr w:type="spellStart"/>
      <w:r>
        <w:rPr>
          <w:rFonts w:ascii="Times New Roman" w:hAnsi="Times New Roman" w:cs="Times New Roman"/>
          <w:color w:val="222222"/>
          <w:shd w:val="clear" w:color="auto" w:fill="FFFFFF"/>
        </w:rPr>
        <w:t>cmbsf</w:t>
      </w:r>
      <w:proofErr w:type="spellEnd"/>
      <w:r>
        <w:rPr>
          <w:rFonts w:ascii="Times New Roman" w:hAnsi="Times New Roman" w:cs="Times New Roman"/>
          <w:color w:val="222222"/>
          <w:shd w:val="clear" w:color="auto" w:fill="FFFFFF"/>
        </w:rPr>
        <w:t xml:space="preserve">. </w:t>
      </w:r>
    </w:p>
    <w:p w14:paraId="69A3C27B" w14:textId="77777777" w:rsidR="00365526" w:rsidRDefault="00365526" w:rsidP="00365526">
      <w:pPr>
        <w:spacing w:line="480" w:lineRule="auto"/>
        <w:ind w:firstLine="720"/>
        <w:rPr>
          <w:rFonts w:ascii="Times New Roman" w:hAnsi="Times New Roman" w:cs="Times New Roman"/>
        </w:rPr>
      </w:pPr>
      <w:r w:rsidRPr="00520936">
        <w:rPr>
          <w:rFonts w:ascii="Times New Roman" w:hAnsi="Times New Roman" w:cs="Times New Roman"/>
        </w:rPr>
        <w:t>TOC</w:t>
      </w:r>
      <w:r>
        <w:rPr>
          <w:rFonts w:ascii="Times New Roman" w:hAnsi="Times New Roman" w:cs="Times New Roman"/>
        </w:rPr>
        <w:t xml:space="preserve"> and TON profiles covaried with depth. TOC varied from 1.39-2.99 mmol cm</w:t>
      </w:r>
      <w:r>
        <w:rPr>
          <w:rFonts w:ascii="Times New Roman" w:hAnsi="Times New Roman" w:cs="Times New Roman"/>
          <w:vertAlign w:val="superscript"/>
        </w:rPr>
        <w:t>-3</w:t>
      </w:r>
      <w:r>
        <w:rPr>
          <w:rFonts w:ascii="Times New Roman" w:hAnsi="Times New Roman" w:cs="Times New Roman"/>
        </w:rPr>
        <w:t xml:space="preserve"> (Figure 3C). A TOC maximum occurred at 3-4 </w:t>
      </w:r>
      <w:proofErr w:type="spellStart"/>
      <w:r>
        <w:rPr>
          <w:rFonts w:ascii="Times New Roman" w:hAnsi="Times New Roman" w:cs="Times New Roman"/>
        </w:rPr>
        <w:t>cmbsf</w:t>
      </w:r>
      <w:proofErr w:type="spellEnd"/>
      <w:r>
        <w:rPr>
          <w:rFonts w:ascii="Times New Roman" w:hAnsi="Times New Roman" w:cs="Times New Roman"/>
        </w:rPr>
        <w:t xml:space="preserve">. After the maximum, TOC reduced to the profile minimum at 10 </w:t>
      </w:r>
      <w:proofErr w:type="spellStart"/>
      <w:r>
        <w:rPr>
          <w:rFonts w:ascii="Times New Roman" w:hAnsi="Times New Roman" w:cs="Times New Roman"/>
        </w:rPr>
        <w:t>cmbsf</w:t>
      </w:r>
      <w:proofErr w:type="spellEnd"/>
      <w:r>
        <w:rPr>
          <w:rFonts w:ascii="Times New Roman" w:hAnsi="Times New Roman" w:cs="Times New Roman"/>
        </w:rPr>
        <w:t>. TOC then increased to 2.25 mmol cm</w:t>
      </w:r>
      <w:r>
        <w:rPr>
          <w:rFonts w:ascii="Times New Roman" w:hAnsi="Times New Roman" w:cs="Times New Roman"/>
          <w:vertAlign w:val="superscript"/>
        </w:rPr>
        <w:t>-3</w:t>
      </w:r>
      <w:r>
        <w:rPr>
          <w:rFonts w:ascii="Times New Roman" w:hAnsi="Times New Roman" w:cs="Times New Roman"/>
        </w:rPr>
        <w:t xml:space="preserve"> at 32 cm. TOC then decreased to 1.65 mmol cm</w:t>
      </w:r>
      <w:r>
        <w:rPr>
          <w:rFonts w:ascii="Times New Roman" w:hAnsi="Times New Roman" w:cs="Times New Roman"/>
          <w:vertAlign w:val="superscript"/>
        </w:rPr>
        <w:t>-3</w:t>
      </w:r>
      <w:r>
        <w:rPr>
          <w:rFonts w:ascii="Times New Roman" w:hAnsi="Times New Roman" w:cs="Times New Roman"/>
        </w:rPr>
        <w:t xml:space="preserve"> at 62 </w:t>
      </w:r>
      <w:proofErr w:type="spellStart"/>
      <w:r>
        <w:rPr>
          <w:rFonts w:ascii="Times New Roman" w:hAnsi="Times New Roman" w:cs="Times New Roman"/>
        </w:rPr>
        <w:t>cmbsf</w:t>
      </w:r>
      <w:proofErr w:type="spellEnd"/>
      <w:r>
        <w:rPr>
          <w:rFonts w:ascii="Times New Roman" w:hAnsi="Times New Roman" w:cs="Times New Roman"/>
        </w:rPr>
        <w:t>. Total organic nitrogen (TON) was derived by subtracting NH</w:t>
      </w:r>
      <w:r>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rPr>
        <w:t xml:space="preserve"> from total nitrogen (TN). The mean contribution of NH</w:t>
      </w:r>
      <w:r>
        <w:rPr>
          <w:rFonts w:ascii="Times New Roman" w:hAnsi="Times New Roman" w:cs="Times New Roman"/>
          <w:vertAlign w:val="subscript"/>
        </w:rPr>
        <w:t>4</w:t>
      </w:r>
      <w:r w:rsidRPr="00197BBE">
        <w:rPr>
          <w:rFonts w:ascii="Times New Roman" w:hAnsi="Times New Roman" w:cs="Times New Roman"/>
          <w:vertAlign w:val="superscript"/>
        </w:rPr>
        <w:t>+</w:t>
      </w:r>
      <w:r>
        <w:rPr>
          <w:rFonts w:ascii="Times New Roman" w:hAnsi="Times New Roman" w:cs="Times New Roman"/>
        </w:rPr>
        <w:t xml:space="preserve"> (after accounting for porosity) to TN was 0.49%, with 5</w:t>
      </w:r>
      <w:r>
        <w:rPr>
          <w:rFonts w:ascii="Times New Roman" w:hAnsi="Times New Roman" w:cs="Times New Roman"/>
          <w:vertAlign w:val="superscript"/>
        </w:rPr>
        <w:t>th</w:t>
      </w:r>
      <w:r>
        <w:rPr>
          <w:rFonts w:ascii="Times New Roman" w:hAnsi="Times New Roman" w:cs="Times New Roman"/>
        </w:rPr>
        <w:t xml:space="preserve"> and 95</w:t>
      </w:r>
      <w:r>
        <w:rPr>
          <w:rFonts w:ascii="Times New Roman" w:hAnsi="Times New Roman" w:cs="Times New Roman"/>
          <w:vertAlign w:val="superscript"/>
        </w:rPr>
        <w:t>th</w:t>
      </w:r>
      <w:r>
        <w:rPr>
          <w:rFonts w:ascii="Times New Roman" w:hAnsi="Times New Roman" w:cs="Times New Roman"/>
        </w:rPr>
        <w:t xml:space="preserve"> quantiles of 0.09% and 0.71%, respectively. TON varied 0.04-0.10 mmol cm</w:t>
      </w:r>
      <w:r>
        <w:rPr>
          <w:rFonts w:ascii="Times New Roman" w:hAnsi="Times New Roman" w:cs="Times New Roman"/>
          <w:vertAlign w:val="superscript"/>
        </w:rPr>
        <w:t>-3</w:t>
      </w:r>
      <w:r>
        <w:rPr>
          <w:rFonts w:ascii="Times New Roman" w:hAnsi="Times New Roman" w:cs="Times New Roman"/>
        </w:rPr>
        <w:t xml:space="preserve"> (Figure 3D). TON varied from 0.08-0.17 mmol cm</w:t>
      </w:r>
      <w:r>
        <w:rPr>
          <w:rFonts w:ascii="Times New Roman" w:hAnsi="Times New Roman" w:cs="Times New Roman"/>
          <w:vertAlign w:val="superscript"/>
        </w:rPr>
        <w:t>-3</w:t>
      </w:r>
      <w:r>
        <w:rPr>
          <w:rFonts w:ascii="Times New Roman" w:hAnsi="Times New Roman" w:cs="Times New Roman"/>
        </w:rPr>
        <w:t xml:space="preserve">. The TON maximum occurred at 3-4 </w:t>
      </w:r>
      <w:proofErr w:type="spellStart"/>
      <w:r>
        <w:rPr>
          <w:rFonts w:ascii="Times New Roman" w:hAnsi="Times New Roman" w:cs="Times New Roman"/>
        </w:rPr>
        <w:t>cmbsf</w:t>
      </w:r>
      <w:proofErr w:type="spellEnd"/>
      <w:r>
        <w:rPr>
          <w:rFonts w:ascii="Times New Roman" w:hAnsi="Times New Roman" w:cs="Times New Roman"/>
        </w:rPr>
        <w:t xml:space="preserve">. After the maximum, TON reduced to the profile minimum at 10 </w:t>
      </w:r>
      <w:proofErr w:type="spellStart"/>
      <w:r>
        <w:rPr>
          <w:rFonts w:ascii="Times New Roman" w:hAnsi="Times New Roman" w:cs="Times New Roman"/>
        </w:rPr>
        <w:t>cmbsf</w:t>
      </w:r>
      <w:proofErr w:type="spellEnd"/>
      <w:r>
        <w:rPr>
          <w:rFonts w:ascii="Times New Roman" w:hAnsi="Times New Roman" w:cs="Times New Roman"/>
        </w:rPr>
        <w:t>. TON then increased to 0.11 mmol cm</w:t>
      </w:r>
      <w:r>
        <w:rPr>
          <w:rFonts w:ascii="Times New Roman" w:hAnsi="Times New Roman" w:cs="Times New Roman"/>
          <w:vertAlign w:val="superscript"/>
        </w:rPr>
        <w:t>-3</w:t>
      </w:r>
      <w:r>
        <w:rPr>
          <w:rFonts w:ascii="Times New Roman" w:hAnsi="Times New Roman" w:cs="Times New Roman"/>
        </w:rPr>
        <w:t xml:space="preserve"> at 32 cm. TOC then decreased to 1.65 mmol cm</w:t>
      </w:r>
      <w:r>
        <w:rPr>
          <w:rFonts w:ascii="Times New Roman" w:hAnsi="Times New Roman" w:cs="Times New Roman"/>
          <w:vertAlign w:val="superscript"/>
        </w:rPr>
        <w:t>-3</w:t>
      </w:r>
      <w:r>
        <w:rPr>
          <w:rFonts w:ascii="Times New Roman" w:hAnsi="Times New Roman" w:cs="Times New Roman"/>
        </w:rPr>
        <w:t xml:space="preserve"> at 62 </w:t>
      </w:r>
      <w:proofErr w:type="spellStart"/>
      <w:r>
        <w:rPr>
          <w:rFonts w:ascii="Times New Roman" w:hAnsi="Times New Roman" w:cs="Times New Roman"/>
        </w:rPr>
        <w:t>cmbsf</w:t>
      </w:r>
      <w:proofErr w:type="spellEnd"/>
      <w:r>
        <w:rPr>
          <w:rFonts w:ascii="Times New Roman" w:hAnsi="Times New Roman" w:cs="Times New Roman"/>
        </w:rPr>
        <w:t xml:space="preserve">.  An oscillatory pattern in TOC:TON ratios (C:N) occurred through the sediment core (Figure 3E). C:N values fluctuated between 15.2 and 18.3, with local maxima occurring at 3, 10, 40, and 62 </w:t>
      </w:r>
      <w:proofErr w:type="spellStart"/>
      <w:r>
        <w:rPr>
          <w:rFonts w:ascii="Times New Roman" w:hAnsi="Times New Roman" w:cs="Times New Roman"/>
        </w:rPr>
        <w:t>cmbsf</w:t>
      </w:r>
      <w:proofErr w:type="spellEnd"/>
      <w:r>
        <w:rPr>
          <w:rFonts w:ascii="Times New Roman" w:hAnsi="Times New Roman" w:cs="Times New Roman"/>
        </w:rPr>
        <w:t xml:space="preserve"> and local minima occurring at 8, 28, and 55 </w:t>
      </w:r>
      <w:proofErr w:type="spellStart"/>
      <w:r>
        <w:rPr>
          <w:rFonts w:ascii="Times New Roman" w:hAnsi="Times New Roman" w:cs="Times New Roman"/>
        </w:rPr>
        <w:t>cmbsf</w:t>
      </w:r>
      <w:proofErr w:type="spellEnd"/>
      <w:r>
        <w:rPr>
          <w:rFonts w:ascii="Times New Roman" w:hAnsi="Times New Roman" w:cs="Times New Roman"/>
        </w:rPr>
        <w:t xml:space="preserve">. </w:t>
      </w:r>
    </w:p>
    <w:p w14:paraId="4A68E7E9" w14:textId="53094F03"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lastRenderedPageBreak/>
        <w:t>DOM spectral slope</w:t>
      </w:r>
      <w:r w:rsidR="00AC2451">
        <w:rPr>
          <w:rFonts w:ascii="Times New Roman" w:hAnsi="Times New Roman" w:cs="Times New Roman"/>
        </w:rPr>
        <w:t xml:space="preserve">, a proxy for fulvic to </w:t>
      </w:r>
      <w:proofErr w:type="spellStart"/>
      <w:r w:rsidR="00AC2451">
        <w:rPr>
          <w:rFonts w:ascii="Times New Roman" w:hAnsi="Times New Roman" w:cs="Times New Roman"/>
        </w:rPr>
        <w:t>humic</w:t>
      </w:r>
      <w:proofErr w:type="spellEnd"/>
      <w:r w:rsidR="00AC2451">
        <w:rPr>
          <w:rFonts w:ascii="Times New Roman" w:hAnsi="Times New Roman" w:cs="Times New Roman"/>
        </w:rPr>
        <w:t xml:space="preserve"> acid ratio </w:t>
      </w:r>
      <w:r w:rsidR="00AC2451">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{"citationItems":[{"id":"ITEM-1","itemData":{"DOI":"10.4319/lo.2009.54.3.1023","ISSN":"00243590","author":[{"dropping-particle":"","family":"Helms","given":"John R","non-dropping-particle":"","parse-names":false,"suffix":""},{"dropping-particle":"","family":"Stubbins","given":"Aron","non-dropping-particle":"","parse-names":false,"suffix":""},{"dropping-particle":"","family":"Ritchie","given":"Jason D.","non-dropping-particle":"","parse-names":false,"suffix":""},{"dropping-particle":"","family":"Minor","given":"Elizabeth C.","non-dropping-particle":"","parse-names":false,"suffix":""},{"dropping-particle":"","family":"Kieber","given":"David J.","non-dropping-particle":"","parse-names":false,"suffix":""},{"dropping-particle":"","family":"Mopper","given":"Kenneth","non-dropping-particle":"","parse-names":false,"suffix":""}],"container-title":"Limnology and Oceanography","id":"ITEM-1","issue":"3","issued":{"date-parts":[["2009"]]},"page":"1023","title":"Erratum: Absorption spectral slopes and slope ratios as indicators of molecular weight, source, and photobleaching of chromophoric dissolved organic matter","type":"article-journal","volume":"54"},"uris":["http://www.mendeley.com/documents/?uuid=f89d1633-b63e-48b2-b787-720c5de973f8"]}],"mendeley":{"formattedCitation":"(125)","plainTextFormattedCitation":"(125)","previouslyFormattedCitation":"(124)"},"properties":{"noteIndex":0},"schema":"https://github.com/citation-style-language/schema/raw/master/csl-citation.json"}</w:instrText>
      </w:r>
      <w:r w:rsidR="00AC2451">
        <w:rPr>
          <w:rFonts w:ascii="Times New Roman" w:hAnsi="Times New Roman" w:cs="Times New Roman"/>
        </w:rPr>
        <w:fldChar w:fldCharType="separate"/>
      </w:r>
      <w:r w:rsidR="00307058" w:rsidRPr="00307058">
        <w:rPr>
          <w:rFonts w:ascii="Times New Roman" w:hAnsi="Times New Roman" w:cs="Times New Roman"/>
          <w:noProof/>
        </w:rPr>
        <w:t>(125)</w:t>
      </w:r>
      <w:r w:rsidR="00AC2451">
        <w:rPr>
          <w:rFonts w:ascii="Times New Roman" w:hAnsi="Times New Roman" w:cs="Times New Roman"/>
        </w:rPr>
        <w:fldChar w:fldCharType="end"/>
      </w:r>
      <w:r w:rsidR="00AC2451">
        <w:rPr>
          <w:rFonts w:ascii="Times New Roman" w:hAnsi="Times New Roman" w:cs="Times New Roman"/>
        </w:rPr>
        <w:t xml:space="preserve">, </w:t>
      </w:r>
      <w:r>
        <w:rPr>
          <w:rFonts w:ascii="Times New Roman" w:hAnsi="Times New Roman" w:cs="Times New Roman"/>
        </w:rPr>
        <w:t>varied from 2.5 to 8.5 (Figure 3F)</w:t>
      </w:r>
      <w:r w:rsidR="008E0BA5">
        <w:rPr>
          <w:rFonts w:ascii="Times New Roman" w:hAnsi="Times New Roman" w:cs="Times New Roman"/>
        </w:rPr>
        <w:t xml:space="preserve">. </w:t>
      </w:r>
      <w:r>
        <w:rPr>
          <w:rFonts w:ascii="Times New Roman" w:hAnsi="Times New Roman" w:cs="Times New Roman"/>
        </w:rPr>
        <w:t xml:space="preserve">The spectral slope maximum occurred at 3 </w:t>
      </w:r>
      <w:proofErr w:type="spellStart"/>
      <w:r>
        <w:rPr>
          <w:rFonts w:ascii="Times New Roman" w:hAnsi="Times New Roman" w:cs="Times New Roman"/>
        </w:rPr>
        <w:t>cmbsf</w:t>
      </w:r>
      <w:proofErr w:type="spellEnd"/>
      <w:r>
        <w:rPr>
          <w:rFonts w:ascii="Times New Roman" w:hAnsi="Times New Roman" w:cs="Times New Roman"/>
        </w:rPr>
        <w:t xml:space="preserve"> and was followed by a decrease with depth until ~10 </w:t>
      </w:r>
      <w:proofErr w:type="spellStart"/>
      <w:r>
        <w:rPr>
          <w:rFonts w:ascii="Times New Roman" w:hAnsi="Times New Roman" w:cs="Times New Roman"/>
        </w:rPr>
        <w:t>cmbsf</w:t>
      </w:r>
      <w:proofErr w:type="spellEnd"/>
      <w:r>
        <w:rPr>
          <w:rFonts w:ascii="Times New Roman" w:hAnsi="Times New Roman" w:cs="Times New Roman"/>
        </w:rPr>
        <w:t xml:space="preserve">. The spectral slope became invariant with at depths &gt;10 </w:t>
      </w:r>
      <w:proofErr w:type="spellStart"/>
      <w:r>
        <w:rPr>
          <w:rFonts w:ascii="Times New Roman" w:hAnsi="Times New Roman" w:cs="Times New Roman"/>
        </w:rPr>
        <w:t>cmbsf</w:t>
      </w:r>
      <w:proofErr w:type="spellEnd"/>
      <w:r>
        <w:rPr>
          <w:rFonts w:ascii="Times New Roman" w:hAnsi="Times New Roman" w:cs="Times New Roman"/>
        </w:rPr>
        <w:t xml:space="preserve">. </w:t>
      </w:r>
    </w:p>
    <w:p w14:paraId="3595BFD2" w14:textId="77777777" w:rsidR="00365526" w:rsidRDefault="00365526" w:rsidP="00365526">
      <w:pPr>
        <w:pStyle w:val="Heading3"/>
      </w:pPr>
      <w:bookmarkStart w:id="272" w:name="_Toc41908134"/>
      <w:r>
        <w:t>Groundwater Upwelling and Sulfate/Methane Production Rates</w:t>
      </w:r>
      <w:bookmarkEnd w:id="272"/>
    </w:p>
    <w:p w14:paraId="4CEC9D86" w14:textId="75BBA5FB"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A reaction-transport model was used to infer oxidation, reduction, and production rates for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and CH</w:t>
      </w:r>
      <w:r>
        <w:rPr>
          <w:rFonts w:ascii="Times New Roman" w:hAnsi="Times New Roman" w:cs="Times New Roman"/>
          <w:vertAlign w:val="subscript"/>
        </w:rPr>
        <w:t>4</w:t>
      </w:r>
      <w:r>
        <w:rPr>
          <w:rFonts w:ascii="Times New Roman" w:hAnsi="Times New Roman" w:cs="Times New Roman"/>
        </w:rPr>
        <w:t xml:space="preserve"> (equations 4.7-4.10). Prior to performing simulations,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and CH</w:t>
      </w:r>
      <w:r>
        <w:rPr>
          <w:rFonts w:ascii="Times New Roman" w:hAnsi="Times New Roman" w:cs="Times New Roman"/>
          <w:vertAlign w:val="subscript"/>
        </w:rPr>
        <w:t>4</w:t>
      </w:r>
      <w:r>
        <w:rPr>
          <w:rFonts w:ascii="Times New Roman" w:hAnsi="Times New Roman" w:cs="Times New Roman"/>
        </w:rPr>
        <w:t xml:space="preserve"> profiles were smoothed utilizing generalized additive model (GAM) fits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{"citationItems":[{"id":"ITEM-1","itemData":{"author":[{"dropping-particle":"","family":"Wood","given":"Simon","non-dropping-particle":"","parse-names":false,"suffix":""}],"id":"ITEM-1","issued":{"date-parts":[["2017"]]},"title":"mgcv: Mixed GAM Computation Vehicle with GCV/AIC/REML Smoothness Estimation","type":"article-journal"},"uris":["http://www.mendeley.com/documents/?uuid=b347a87a-0d41-44da-8a48-af52dcd7fbb0"]}],"mendeley":{"formattedCitation":"(43)","plainTextFormattedCitation":"(43)","previouslyFormattedCitation":"(42)"},"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(43)</w:t>
      </w:r>
      <w:r>
        <w:rPr>
          <w:rFonts w:ascii="Times New Roman" w:hAnsi="Times New Roman" w:cs="Times New Roman"/>
        </w:rPr>
        <w:fldChar w:fldCharType="end"/>
      </w:r>
      <w:r>
        <w:rPr>
          <w:rFonts w:ascii="Times New Roman" w:hAnsi="Times New Roman" w:cs="Times New Roman"/>
        </w:rPr>
        <w:t xml:space="preserve"> which prevented numerical instability when modeling (Figure 4.4A-B)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Research","id":"ITEM-1","issue":"14-15","issued":{"date-parts":[["1998"]]},"page":"1771-1793","title":"Biogeochemical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Sediments","type":"article-journal","volume":"18"},"uris":["http://www.mendeley.com/documents/?uuid=f58213f7-2aba-41a0-ad11-b3deae1e2092"]},{"id":"ITEM-2","itemData":{"DOI":"10.1016/S0278-4343(98)00056-9","ISSN":"02784343","abstract":"A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Research","id":"ITEM-2","issue":"14-15","issued":{"date-parts":[["1998"]]},"page":"1741-1770","title":"Biogeochemical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transport","type":"article-journal","volume":"18"},"uris":["http://www.mendeley.com/documents/?uuid=958789dd-a429-4c22-bcfc-7a6b933ed55a"]},{"id":"ITEM-3","itemData":{"DOI":"10.1016/j.margeo.2005.02.018","ISSN":"00253227","abstract":"The relationship between seismic wipe-outs, methane accumulation, and pore water salinity was investigated using high-resolution seismic profiles, pore water geochemical measurements, and sediment property data from the White Oak River Estuary, North Carolina. The estuary is a broad, shallow, drowned river valley filled with organic rich sediment where the salinity changes from fresh to sea water within 10 km. Uniboom seismic reflection profiles indicate a distinct pattern in the distribution of seismic wipe-outs. Wipe-outs dominate the upper estuary but are not observed in the lower estuary. Sediment pore water chlorinities decrease upstream but the sharpest gradients occur with depth. At ≤ 50 cm depths in the upper half of the estuary, pore waters typically have less than 100 mmol L-1 chloride even though overlying estuarine waters have 300-400 mmol L-1 chloride. Concave chloride profiles demonstrate that sediments in the upper estuary are actively flushed with fresh water moving upward through the sediments from underlying aquifers. The associated decrease in interstitial sulfate concentrations combined with high organic carbon content provides favorable conditions for methane production and accumulation. Seismic wipe-outs are correlated with areas of high methane concentrations and with sediments containing low pore water salinities. © 2005 Elsevier B.V. All rights reserved.","author":[{"dropping-particle":"","family":"Kogan","given":"Irina","non-dropping-particle":"","parse-names":false,"suffix":""},{"dropping-particle":"","family":"Paull","given":"Charles K.","non-dropping-particle":"","parse-names":false,"suffix":""}],"container-title":"Marine Geology","id":"ITEM-3","issue":"1-2","issued":{"date-parts":[["2005"]]},"page":"161-175","title":"Coastal seismic wipe-outs: Distribution controlled by pore water.","type":"article-journal","volume":"217"},"uris":["http://www.mendeley.com/documents/?uuid=4850f69b-59f6-435e-a84a-c7c588840abf"]},{"id":"ITEM-4","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Microbiology","id":"ITEM-4","issue":"9","issued":{"date-parts":[["2011"]]},"page":"2548-2564","title":"Environmental evidence for net methane production and oxidation in putative ANaerobic MEthanotrophic (ANME) archaea","type":"article-journal","volume":"13"},"uris":["http://www.mendeley.com/documents/?uuid=66d37395-cd0d-4af9-893f-431870bc2bc8"]}],"mendeley":{"formattedCitation":"(17, 18, 117, 119)","plainTextFormattedCitation":"(17, 18, 117, 119)","previouslyFormattedCitation":"(16, 17, 116, 118)"},"properties":{"noteIndex":0},"schema":"https://github.com/citation-style-language/schema/raw/master/csl-citation.json"}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(17, 18, 117, 119)</w:t>
      </w:r>
      <w:r>
        <w:rPr>
          <w:rFonts w:ascii="Times New Roman" w:hAnsi="Times New Roman" w:cs="Times New Roman"/>
        </w:rPr>
        <w:fldChar w:fldCharType="end"/>
      </w:r>
      <w:r>
        <w:rPr>
          <w:rFonts w:ascii="Times New Roman" w:hAnsi="Times New Roman" w:cs="Times New Roman"/>
        </w:rPr>
        <w:t>.  Smoothing parameters for both SO</w:t>
      </w:r>
      <w:r w:rsidRPr="0081382F">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and CH</w:t>
      </w:r>
      <w:r>
        <w:rPr>
          <w:rFonts w:ascii="Times New Roman" w:hAnsi="Times New Roman" w:cs="Times New Roman"/>
          <w:vertAlign w:val="subscript"/>
        </w:rPr>
        <w:t>4</w:t>
      </w:r>
      <w:r>
        <w:rPr>
          <w:rFonts w:ascii="Times New Roman" w:hAnsi="Times New Roman" w:cs="Times New Roman"/>
        </w:rPr>
        <w:t xml:space="preserve"> fits were set equal to 0.1 which resulted in deviance explained values (</w:t>
      </w:r>
      <w:r w:rsidRPr="00226860">
        <w:rPr>
          <w:rFonts w:ascii="Times New Roman" w:hAnsi="Times New Roman" w:cs="Times New Roman"/>
          <w:i/>
          <w:iCs/>
        </w:rPr>
        <w:t>p</w:t>
      </w:r>
      <w:r>
        <w:rPr>
          <w:rFonts w:ascii="Times New Roman" w:hAnsi="Times New Roman" w:cs="Times New Roman"/>
        </w:rPr>
        <w:t>-value&lt;10</w:t>
      </w:r>
      <w:r>
        <w:rPr>
          <w:rFonts w:ascii="Times New Roman" w:hAnsi="Times New Roman" w:cs="Times New Roman"/>
          <w:vertAlign w:val="superscript"/>
        </w:rPr>
        <w:t>-4</w:t>
      </w:r>
      <w:r>
        <w:rPr>
          <w:rFonts w:ascii="Times New Roman" w:hAnsi="Times New Roman" w:cs="Times New Roman"/>
        </w:rPr>
        <w:t>) of 96.6% and 82.9%, respectively. The smooth fits were subsequently used as concentration gradients (</w:t>
      </w:r>
      <m:oMath>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num>
          <m:den>
            <m:r>
              <w:rPr>
                <w:rFonts w:ascii="Cambria Math" w:hAnsi="Cambria Math" w:cs="Times New Roman"/>
              </w:rPr>
              <m:t>∂z</m:t>
            </m:r>
          </m:den>
        </m:f>
      </m:oMath>
      <w:r>
        <w:rPr>
          <w:rFonts w:ascii="Times New Roman" w:hAnsi="Times New Roman" w:cs="Times New Roman"/>
        </w:rPr>
        <w:t>) in solving equations</w:t>
      </w:r>
      <w:r>
        <w:t xml:space="preserve"> </w:t>
      </w:r>
      <w:r w:rsidRPr="00A5288D">
        <w:rPr>
          <w:rFonts w:ascii="Times New Roman" w:hAnsi="Times New Roman" w:cs="Times New Roman"/>
        </w:rPr>
        <w:t>4.</w:t>
      </w:r>
      <w:r>
        <w:rPr>
          <w:rFonts w:ascii="Times New Roman" w:hAnsi="Times New Roman" w:cs="Times New Roman"/>
        </w:rPr>
        <w:t xml:space="preserve">7 and 4.9. </w:t>
      </w:r>
    </w:p>
    <w:p w14:paraId="2C640D66" w14:textId="34332681"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Equation 4.7 assumes steady-state concentrations when the accumulation term (</w:t>
      </w:r>
      <m:oMath>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num>
          <m:den>
            <m:r>
              <w:rPr>
                <w:rFonts w:ascii="Cambria Math" w:hAnsi="Cambria Math" w:cs="Times New Roman"/>
              </w:rPr>
              <m:t>∂t</m:t>
            </m:r>
          </m:den>
        </m:f>
      </m:oMath>
      <w:r>
        <w:rPr>
          <w:rFonts w:ascii="Times New Roman" w:hAnsi="Times New Roman" w:cs="Times New Roman"/>
        </w:rPr>
        <w:t>) is set to 0. Thus, the reaction term (</w:t>
      </w:r>
      <m:oMath>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e>
        </m:nary>
      </m:oMath>
      <w:r>
        <w:rPr>
          <w:rFonts w:ascii="Times New Roman" w:hAnsi="Times New Roman" w:cs="Times New Roman"/>
        </w:rPr>
        <w:t xml:space="preserve">) in equation 4.7 can be solved if the advection and diffusion terms are known (equation 4.10.1). Previous geochemical modeling studies assumed burial rates, </w:t>
      </w:r>
      <w:r w:rsidRPr="00DE7A9A">
        <w:rPr>
          <w:rFonts w:ascii="Times New Roman" w:hAnsi="Times New Roman" w:cs="Times New Roman"/>
          <w:i/>
          <w:iCs/>
        </w:rPr>
        <w:t>ω</w:t>
      </w:r>
      <w:r>
        <w:rPr>
          <w:rFonts w:ascii="Times New Roman" w:hAnsi="Times New Roman" w:cs="Times New Roman"/>
        </w:rPr>
        <w:t xml:space="preserve">, dominate vertical advection rates, </w:t>
      </w:r>
      <w:r>
        <w:rPr>
          <w:rFonts w:ascii="Times New Roman" w:hAnsi="Times New Roman" w:cs="Times New Roman"/>
          <w:i/>
          <w:iCs/>
        </w:rPr>
        <w:t>w</w:t>
      </w:r>
      <w:r>
        <w:rPr>
          <w:rFonts w:ascii="Times New Roman" w:hAnsi="Times New Roman" w:cs="Times New Roman"/>
        </w:rPr>
        <w:t xml:space="preserve">, at the WOR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Microbiology","id":"ITEM-1","issue":"9","issued":{"date-parts":[["2011"]]},"page":"2548-2564","title":"Environmental evidence for net methane production and oxidation in putative ANaerobic MEthanotrophic (ANME) archaea","type":"article-journal","volume":"13"},"uris":["http://www.mendeley.com/documents/?uuid=66d37395-cd0d-4af9-893f-431870bc2bc8"]},{"id":"ITEM-2","itemData":{"DOI":"10.1016/S0278-4343(98)00057-0","ISSN":"02784343","abstract":"To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Research","id":"ITEM-2","issue":"14-15","issued":{"date-parts":[["1998"]]},"page":"1771-1793","title":"Biogeochemical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-3","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Oceanography","id":"ITEM-3","issue":"2","issued":{"date-parts":[["1990"]]},"page":"372-383","title":"Variations in sedimentary carbon remineralization rates in the White Oak River estuary, North Carolina","type":"article-journal","volume":"35"},"uris":["http://www.mendeley.com/documents/?uuid=84c9ad85-5fc2-45b3-b5a3-d5ddf5033ca0"]},{"id":"ITEM-4","itemData":{"DOI":"10.1016/S0278-4343(98)00056-9","ISSN":"02784343","abstract":"A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Research","id":"ITEM-4","issue":"14-15","issued":{"date-parts":[["1998"]]},"page":"1741-1770","title":"Biogeochemical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transport","type":"article-journal","volume":"18"},"uris":["http://www.mendeley.com/documents/?uuid=958789dd-a429-4c22-bcfc-7a6b933ed55a"]}],"mendeley":{"formattedCitation":"(17, 18, 116, 117)","plainTextFormattedCitation":"(17, 18, 116, 117)","previouslyFormattedCitation":"(16, 17, 115, 116)"},"properties":{"noteIndex":0},"schema":"https://github.com/citation-style-language/schema/raw/master/csl-citation.json"}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(17, 18, 116, 117)</w:t>
      </w:r>
      <w:r>
        <w:rPr>
          <w:rFonts w:ascii="Times New Roman" w:hAnsi="Times New Roman" w:cs="Times New Roman"/>
        </w:rPr>
        <w:fldChar w:fldCharType="end"/>
      </w:r>
      <w:r>
        <w:rPr>
          <w:rFonts w:ascii="Times New Roman" w:hAnsi="Times New Roman" w:cs="Times New Roman"/>
        </w:rPr>
        <w:t xml:space="preserve">; however, a thermal gradient analysis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{"citationItems":[{"id":"ITEM-1","itemData":{"DOI":"10.1016/S0022-1694(01)00405-X","ISSN":"00221694","abstract":"We calculate rates of groundwater discharge into the White Oak River in coastal North Carolina, using time series measurements of the thermal structure of shallow estuarine sediments recorded over a period of four months. Computer models using numerical solutions to the advection-diffusion equation show that sediment thermal structure is not explained by purely conductive heat transport. Results of models that incorporate groundwater advection from an underlying source closely mimic field observations of sediment temperatures, verifying that thermal data can be used to monitor groundwater discharge. An advantage of this technique is that it provides insight into temporal variations in groundwater flow rates. Thermal methods may thus be useful for quantifying groundwater flux in areas where low volumes of discharge cannot be detected by direct observation. © 2001 Elsevier Science B.V.","author":[{"dropping-particle":"","family":"Land","given":"Lewis A.","non-dropping-particle":"","parse-names":false,"suffix":""},{"dropping-particle":"","family":"Paull","given":"Charles K.","non-dropping-particle":"","parse-names":false,"suffix":""}],"container-title":"Journal of Hydrology","id":"ITEM-1","issue":"1-4","issued":{"date-parts":[["2001"]]},"page":"198-215","title":"Thermal gradients as a tool for estimating groundwater advective rates in a coastal estuary: White Oak River, North Carolina, USA","type":"article-journal","volume":"248"},"uris":["http://www.mendeley.com/documents/?uuid=6b707695-2b0a-42fa-98e6-4aa2f60337d5"]}],"mendeley":{"formattedCitation":"(124)","plainTextFormattedCitation":"(124)","previouslyFormattedCitation":"(123)"},"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(124)</w:t>
      </w:r>
      <w:r>
        <w:rPr>
          <w:rFonts w:ascii="Times New Roman" w:hAnsi="Times New Roman" w:cs="Times New Roman"/>
        </w:rPr>
        <w:fldChar w:fldCharType="end"/>
      </w:r>
      <w:r>
        <w:rPr>
          <w:rFonts w:ascii="Times New Roman" w:hAnsi="Times New Roman" w:cs="Times New Roman"/>
        </w:rPr>
        <w:t xml:space="preserve"> and Cl</w:t>
      </w:r>
      <w:r>
        <w:rPr>
          <w:rFonts w:ascii="Times New Roman" w:hAnsi="Times New Roman" w:cs="Times New Roman"/>
          <w:vertAlign w:val="superscript"/>
        </w:rPr>
        <w:t>-</w:t>
      </w:r>
      <w:r>
        <w:rPr>
          <w:rFonts w:ascii="Times New Roman" w:hAnsi="Times New Roman" w:cs="Times New Roman"/>
        </w:rPr>
        <w:t xml:space="preserve"> transport modeling suggest groundwater upwelling may be important in WOR sediments.</w:t>
      </w:r>
      <w:r w:rsidR="00CF0FEA">
        <w:rPr>
          <w:rFonts w:ascii="Times New Roman" w:hAnsi="Times New Roman" w:cs="Times New Roman"/>
        </w:rPr>
        <w:t xml:space="preserve"> I </w:t>
      </w:r>
      <w:r>
        <w:rPr>
          <w:rFonts w:ascii="Times New Roman" w:hAnsi="Times New Roman" w:cs="Times New Roman"/>
        </w:rPr>
        <w:t>explored the sensitivity of the reaction term in equation 4.10.1 by varying groundwater upwelling velocities from 0 to 20 cm yr</w:t>
      </w:r>
      <w:r>
        <w:rPr>
          <w:rFonts w:ascii="Times New Roman" w:hAnsi="Times New Roman" w:cs="Times New Roman"/>
          <w:vertAlign w:val="superscript"/>
        </w:rPr>
        <w:t>-1</w:t>
      </w:r>
      <w:r>
        <w:rPr>
          <w:rFonts w:ascii="Times New Roman" w:hAnsi="Times New Roman" w:cs="Times New Roman"/>
        </w:rPr>
        <w:t xml:space="preserve">. </w:t>
      </w:r>
    </w:p>
    <w:p w14:paraId="1562D53A" w14:textId="6B8C2BEC"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lastRenderedPageBreak/>
        <w:t>When groundwater upwelling was 0 cm yr</w:t>
      </w:r>
      <w:r>
        <w:rPr>
          <w:rFonts w:ascii="Times New Roman" w:hAnsi="Times New Roman" w:cs="Times New Roman"/>
          <w:vertAlign w:val="superscript"/>
        </w:rPr>
        <w:t>-1</w:t>
      </w:r>
      <w:r>
        <w:rPr>
          <w:rFonts w:ascii="Times New Roman" w:hAnsi="Times New Roman" w:cs="Times New Roman"/>
        </w:rPr>
        <w:t>, net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was negative at all depths of the sediment column (Figure 4.5A). The net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rates followed a modal profile with depth. The minimum net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was -35.6 nmol cm</w:t>
      </w:r>
      <w:r>
        <w:rPr>
          <w:rFonts w:ascii="Times New Roman" w:hAnsi="Times New Roman" w:cs="Times New Roman"/>
          <w:vertAlign w:val="superscript"/>
        </w:rPr>
        <w:t>-3</w:t>
      </w:r>
      <w:r>
        <w:rPr>
          <w:rFonts w:ascii="Times New Roman" w:hAnsi="Times New Roman" w:cs="Times New Roman"/>
        </w:rPr>
        <w:t xml:space="preserve"> d</w:t>
      </w:r>
      <w:r>
        <w:rPr>
          <w:rFonts w:ascii="Times New Roman" w:hAnsi="Times New Roman" w:cs="Times New Roman"/>
          <w:vertAlign w:val="superscript"/>
        </w:rPr>
        <w:t>-1</w:t>
      </w:r>
      <w:r>
        <w:rPr>
          <w:rFonts w:ascii="Times New Roman" w:hAnsi="Times New Roman" w:cs="Times New Roman"/>
        </w:rPr>
        <w:t xml:space="preserve"> and occurred at 15 </w:t>
      </w:r>
      <w:proofErr w:type="spellStart"/>
      <w:r>
        <w:rPr>
          <w:rFonts w:ascii="Times New Roman" w:hAnsi="Times New Roman" w:cs="Times New Roman"/>
        </w:rPr>
        <w:t>cmbsf</w:t>
      </w:r>
      <w:proofErr w:type="spellEnd"/>
      <w:r>
        <w:rPr>
          <w:rFonts w:ascii="Times New Roman" w:hAnsi="Times New Roman" w:cs="Times New Roman"/>
        </w:rPr>
        <w:t>. The net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rates converge towards 0 nmol cm</w:t>
      </w:r>
      <w:r>
        <w:rPr>
          <w:rFonts w:ascii="Times New Roman" w:hAnsi="Times New Roman" w:cs="Times New Roman"/>
          <w:vertAlign w:val="superscript"/>
        </w:rPr>
        <w:t>-3</w:t>
      </w:r>
      <w:r>
        <w:rPr>
          <w:rFonts w:ascii="Times New Roman" w:hAnsi="Times New Roman" w:cs="Times New Roman"/>
        </w:rPr>
        <w:t xml:space="preserve"> d</w:t>
      </w:r>
      <w:r>
        <w:rPr>
          <w:rFonts w:ascii="Times New Roman" w:hAnsi="Times New Roman" w:cs="Times New Roman"/>
          <w:vertAlign w:val="superscript"/>
        </w:rPr>
        <w:t>-1</w:t>
      </w:r>
      <w:r>
        <w:rPr>
          <w:rFonts w:ascii="Times New Roman" w:hAnsi="Times New Roman" w:cs="Times New Roman"/>
        </w:rPr>
        <w:t xml:space="preserve"> near the SWI and 50 </w:t>
      </w:r>
      <w:proofErr w:type="spellStart"/>
      <w:r>
        <w:rPr>
          <w:rFonts w:ascii="Times New Roman" w:hAnsi="Times New Roman" w:cs="Times New Roman"/>
        </w:rPr>
        <w:t>cmbsf</w:t>
      </w:r>
      <w:proofErr w:type="spellEnd"/>
      <w:r>
        <w:rPr>
          <w:rFonts w:ascii="Times New Roman" w:hAnsi="Times New Roman" w:cs="Times New Roman"/>
        </w:rPr>
        <w:t>. When</w:t>
      </w:r>
      <w:r w:rsidR="00CF0FEA">
        <w:rPr>
          <w:rFonts w:ascii="Times New Roman" w:hAnsi="Times New Roman" w:cs="Times New Roman"/>
        </w:rPr>
        <w:t xml:space="preserve"> I </w:t>
      </w:r>
      <w:r>
        <w:rPr>
          <w:rFonts w:ascii="Times New Roman" w:hAnsi="Times New Roman" w:cs="Times New Roman"/>
        </w:rPr>
        <w:t>increased the groundwater upwelling rate, net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increased at depths from 0 to ~40 </w:t>
      </w:r>
      <w:proofErr w:type="spellStart"/>
      <w:r>
        <w:rPr>
          <w:rFonts w:ascii="Times New Roman" w:hAnsi="Times New Roman" w:cs="Times New Roman"/>
        </w:rPr>
        <w:t>cmbsf</w:t>
      </w:r>
      <w:proofErr w:type="spellEnd"/>
      <w:r>
        <w:rPr>
          <w:rFonts w:ascii="Times New Roman" w:hAnsi="Times New Roman" w:cs="Times New Roman"/>
        </w:rPr>
        <w:t>. At some depths, negative net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transitioned from a negative production rate to a positive production. The depth that positive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rates occurred increased as a function of groundwater upwelling rates. The deepest depths where positive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occurred were 4, 5, 8, 10, 12, and 14 </w:t>
      </w:r>
      <w:proofErr w:type="spellStart"/>
      <w:r>
        <w:rPr>
          <w:rFonts w:ascii="Times New Roman" w:hAnsi="Times New Roman" w:cs="Times New Roman"/>
        </w:rPr>
        <w:t>cmbsf</w:t>
      </w:r>
      <w:proofErr w:type="spellEnd"/>
      <w:r>
        <w:rPr>
          <w:rFonts w:ascii="Times New Roman" w:hAnsi="Times New Roman" w:cs="Times New Roman"/>
        </w:rPr>
        <w:t xml:space="preserve"> when groundwater upwelling rates were 1, 2, 5, 10, 15, and 20 cm yr</w:t>
      </w:r>
      <w:r>
        <w:rPr>
          <w:rFonts w:ascii="Times New Roman" w:hAnsi="Times New Roman" w:cs="Times New Roman"/>
          <w:vertAlign w:val="superscript"/>
        </w:rPr>
        <w:t>-1</w:t>
      </w:r>
      <w:r>
        <w:rPr>
          <w:rFonts w:ascii="Times New Roman" w:hAnsi="Times New Roman" w:cs="Times New Roman"/>
        </w:rPr>
        <w:t xml:space="preserve">, respectively. </w:t>
      </w:r>
    </w:p>
    <w:p w14:paraId="0B9ADD60" w14:textId="77777777"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In contrast to the net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when groundwater upwelling was 0 cm yr</w:t>
      </w:r>
      <w:r>
        <w:rPr>
          <w:rFonts w:ascii="Times New Roman" w:hAnsi="Times New Roman" w:cs="Times New Roman"/>
          <w:vertAlign w:val="superscript"/>
        </w:rPr>
        <w:t>-1</w:t>
      </w:r>
      <w:r>
        <w:rPr>
          <w:rFonts w:ascii="Times New Roman" w:hAnsi="Times New Roman" w:cs="Times New Roman"/>
        </w:rPr>
        <w:t>, net CH</w:t>
      </w:r>
      <w:r>
        <w:rPr>
          <w:rFonts w:ascii="Times New Roman" w:hAnsi="Times New Roman" w:cs="Times New Roman"/>
          <w:vertAlign w:val="subscript"/>
        </w:rPr>
        <w:t>4</w:t>
      </w:r>
      <w:r>
        <w:rPr>
          <w:rFonts w:ascii="Times New Roman" w:hAnsi="Times New Roman" w:cs="Times New Roman"/>
        </w:rPr>
        <w:t xml:space="preserve"> production rates were both positive and negative (Figure 4.5B). Negative CH</w:t>
      </w:r>
      <w:r>
        <w:rPr>
          <w:rFonts w:ascii="Times New Roman" w:hAnsi="Times New Roman" w:cs="Times New Roman"/>
          <w:vertAlign w:val="subscript"/>
        </w:rPr>
        <w:t>4</w:t>
      </w:r>
      <w:r>
        <w:rPr>
          <w:rFonts w:ascii="Times New Roman" w:hAnsi="Times New Roman" w:cs="Times New Roman"/>
          <w:vertAlign w:val="superscript"/>
        </w:rPr>
        <w:t xml:space="preserve"> </w:t>
      </w:r>
      <w:r>
        <w:rPr>
          <w:rFonts w:ascii="Times New Roman" w:hAnsi="Times New Roman" w:cs="Times New Roman"/>
        </w:rPr>
        <w:t xml:space="preserve">production followed a modal distribution between 0 and 38 </w:t>
      </w:r>
      <w:proofErr w:type="spellStart"/>
      <w:r>
        <w:rPr>
          <w:rFonts w:ascii="Times New Roman" w:hAnsi="Times New Roman" w:cs="Times New Roman"/>
        </w:rPr>
        <w:t>cmbsf</w:t>
      </w:r>
      <w:proofErr w:type="spellEnd"/>
      <w:r>
        <w:rPr>
          <w:rFonts w:ascii="Times New Roman" w:hAnsi="Times New Roman" w:cs="Times New Roman"/>
        </w:rPr>
        <w:t>. The maximum negative CH</w:t>
      </w:r>
      <w:r>
        <w:rPr>
          <w:rFonts w:ascii="Times New Roman" w:hAnsi="Times New Roman" w:cs="Times New Roman"/>
          <w:vertAlign w:val="subscript"/>
        </w:rPr>
        <w:t>4</w:t>
      </w:r>
      <w:r>
        <w:rPr>
          <w:rFonts w:ascii="Times New Roman" w:hAnsi="Times New Roman" w:cs="Times New Roman"/>
        </w:rPr>
        <w:t xml:space="preserve"> production rate was -4.3 nmol cm</w:t>
      </w:r>
      <w:r>
        <w:rPr>
          <w:rFonts w:ascii="Times New Roman" w:hAnsi="Times New Roman" w:cs="Times New Roman"/>
          <w:vertAlign w:val="superscript"/>
        </w:rPr>
        <w:t>-3</w:t>
      </w:r>
      <w:r>
        <w:rPr>
          <w:rFonts w:ascii="Times New Roman" w:hAnsi="Times New Roman" w:cs="Times New Roman"/>
        </w:rPr>
        <w:t xml:space="preserve"> d</w:t>
      </w:r>
      <w:r>
        <w:rPr>
          <w:rFonts w:ascii="Times New Roman" w:hAnsi="Times New Roman" w:cs="Times New Roman"/>
          <w:vertAlign w:val="superscript"/>
        </w:rPr>
        <w:t>-1</w:t>
      </w:r>
      <w:r>
        <w:rPr>
          <w:rFonts w:ascii="Times New Roman" w:hAnsi="Times New Roman" w:cs="Times New Roman"/>
        </w:rPr>
        <w:t xml:space="preserve"> at 32 </w:t>
      </w:r>
      <w:proofErr w:type="spellStart"/>
      <w:r>
        <w:rPr>
          <w:rFonts w:ascii="Times New Roman" w:hAnsi="Times New Roman" w:cs="Times New Roman"/>
        </w:rPr>
        <w:t>cmbsf</w:t>
      </w:r>
      <w:proofErr w:type="spellEnd"/>
      <w:r>
        <w:rPr>
          <w:rFonts w:ascii="Times New Roman" w:hAnsi="Times New Roman" w:cs="Times New Roman"/>
        </w:rPr>
        <w:t xml:space="preserve">. Positive net </w:t>
      </w:r>
      <w:r w:rsidRPr="00B94F35">
        <w:rPr>
          <w:rFonts w:ascii="Times New Roman" w:hAnsi="Times New Roman" w:cs="Times New Roman"/>
        </w:rPr>
        <w:t>C</w:t>
      </w:r>
      <w:r>
        <w:rPr>
          <w:rFonts w:ascii="Times New Roman" w:hAnsi="Times New Roman" w:cs="Times New Roman"/>
        </w:rPr>
        <w:t>H</w:t>
      </w:r>
      <w:r>
        <w:rPr>
          <w:rFonts w:ascii="Times New Roman" w:hAnsi="Times New Roman" w:cs="Times New Roman"/>
          <w:vertAlign w:val="subscript"/>
        </w:rPr>
        <w:t>4</w:t>
      </w:r>
      <w:r>
        <w:rPr>
          <w:rFonts w:ascii="Times New Roman" w:hAnsi="Times New Roman" w:cs="Times New Roman"/>
        </w:rPr>
        <w:t xml:space="preserve"> production also followed a modal distribution and spanned between 38 and 60 </w:t>
      </w:r>
      <w:proofErr w:type="spellStart"/>
      <w:r>
        <w:rPr>
          <w:rFonts w:ascii="Times New Roman" w:hAnsi="Times New Roman" w:cs="Times New Roman"/>
        </w:rPr>
        <w:t>cmbsf</w:t>
      </w:r>
      <w:proofErr w:type="spellEnd"/>
      <w:r>
        <w:rPr>
          <w:rFonts w:ascii="Times New Roman" w:hAnsi="Times New Roman" w:cs="Times New Roman"/>
        </w:rPr>
        <w:t>. The maximum positive CH</w:t>
      </w:r>
      <w:r>
        <w:rPr>
          <w:rFonts w:ascii="Times New Roman" w:hAnsi="Times New Roman" w:cs="Times New Roman"/>
          <w:vertAlign w:val="subscript"/>
        </w:rPr>
        <w:t>4</w:t>
      </w:r>
      <w:r>
        <w:rPr>
          <w:rFonts w:ascii="Times New Roman" w:hAnsi="Times New Roman" w:cs="Times New Roman"/>
        </w:rPr>
        <w:t xml:space="preserve"> production rate was 6.5 nmol CH</w:t>
      </w:r>
      <w:r>
        <w:rPr>
          <w:rFonts w:ascii="Times New Roman" w:hAnsi="Times New Roman" w:cs="Times New Roman"/>
          <w:vertAlign w:val="subscript"/>
        </w:rPr>
        <w:t>4</w:t>
      </w:r>
      <w:r>
        <w:rPr>
          <w:rFonts w:ascii="Times New Roman" w:hAnsi="Times New Roman" w:cs="Times New Roman"/>
        </w:rPr>
        <w:t xml:space="preserve"> cm</w:t>
      </w:r>
      <w:r>
        <w:rPr>
          <w:rFonts w:ascii="Times New Roman" w:hAnsi="Times New Roman" w:cs="Times New Roman"/>
          <w:vertAlign w:val="superscript"/>
        </w:rPr>
        <w:t>-3</w:t>
      </w:r>
      <w:r>
        <w:rPr>
          <w:rFonts w:ascii="Times New Roman" w:hAnsi="Times New Roman" w:cs="Times New Roman"/>
        </w:rPr>
        <w:t xml:space="preserve"> d</w:t>
      </w:r>
      <w:r>
        <w:rPr>
          <w:rFonts w:ascii="Times New Roman" w:hAnsi="Times New Roman" w:cs="Times New Roman"/>
          <w:vertAlign w:val="superscript"/>
        </w:rPr>
        <w:t>-1</w:t>
      </w:r>
      <w:r>
        <w:rPr>
          <w:rFonts w:ascii="Times New Roman" w:hAnsi="Times New Roman" w:cs="Times New Roman"/>
        </w:rPr>
        <w:t xml:space="preserve"> and occurred at 47 </w:t>
      </w:r>
      <w:proofErr w:type="spellStart"/>
      <w:r>
        <w:rPr>
          <w:rFonts w:ascii="Times New Roman" w:hAnsi="Times New Roman" w:cs="Times New Roman"/>
        </w:rPr>
        <w:t>cmbsf</w:t>
      </w:r>
      <w:proofErr w:type="spellEnd"/>
      <w:r>
        <w:rPr>
          <w:rFonts w:ascii="Times New Roman" w:hAnsi="Times New Roman" w:cs="Times New Roman"/>
        </w:rPr>
        <w:t>. An increase in groundwater upwelling had minor effects on depths of the maximum and minimums as well as the general distributions for net CH</w:t>
      </w:r>
      <w:r>
        <w:rPr>
          <w:rFonts w:ascii="Times New Roman" w:hAnsi="Times New Roman" w:cs="Times New Roman"/>
          <w:vertAlign w:val="subscript"/>
        </w:rPr>
        <w:t>4</w:t>
      </w:r>
      <w:r>
        <w:rPr>
          <w:rFonts w:ascii="Times New Roman" w:hAnsi="Times New Roman" w:cs="Times New Roman"/>
        </w:rPr>
        <w:t xml:space="preserve"> production. Nonetheless, groundwater upwelling oppositely influenced the magnitudes of the absolute maximum and minimums for net CH</w:t>
      </w:r>
      <w:r>
        <w:rPr>
          <w:rFonts w:ascii="Times New Roman" w:hAnsi="Times New Roman" w:cs="Times New Roman"/>
          <w:vertAlign w:val="subscript"/>
        </w:rPr>
        <w:t>4</w:t>
      </w:r>
      <w:r>
        <w:rPr>
          <w:rFonts w:ascii="Times New Roman" w:hAnsi="Times New Roman" w:cs="Times New Roman"/>
        </w:rPr>
        <w:t xml:space="preserve"> production rates. The maximum negative CH</w:t>
      </w:r>
      <w:r>
        <w:rPr>
          <w:rFonts w:ascii="Times New Roman" w:hAnsi="Times New Roman" w:cs="Times New Roman"/>
          <w:vertAlign w:val="subscript"/>
        </w:rPr>
        <w:t>4</w:t>
      </w:r>
      <w:r>
        <w:rPr>
          <w:rFonts w:ascii="Times New Roman" w:hAnsi="Times New Roman" w:cs="Times New Roman"/>
        </w:rPr>
        <w:t xml:space="preserve"> production rates were -4.3, -4.5, -4.9, -5.5, -6.0, and -6.7 nmol CH</w:t>
      </w:r>
      <w:r>
        <w:rPr>
          <w:rFonts w:ascii="Times New Roman" w:hAnsi="Times New Roman" w:cs="Times New Roman"/>
          <w:vertAlign w:val="subscript"/>
        </w:rPr>
        <w:t>4</w:t>
      </w:r>
      <w:r>
        <w:rPr>
          <w:rFonts w:ascii="Times New Roman" w:hAnsi="Times New Roman" w:cs="Times New Roman"/>
        </w:rPr>
        <w:t xml:space="preserve"> cm</w:t>
      </w:r>
      <w:r>
        <w:rPr>
          <w:rFonts w:ascii="Times New Roman" w:hAnsi="Times New Roman" w:cs="Times New Roman"/>
          <w:vertAlign w:val="superscript"/>
        </w:rPr>
        <w:t>-3</w:t>
      </w:r>
      <w:r>
        <w:rPr>
          <w:rFonts w:ascii="Times New Roman" w:hAnsi="Times New Roman" w:cs="Times New Roman"/>
        </w:rPr>
        <w:t xml:space="preserve"> d</w:t>
      </w:r>
      <w:r>
        <w:rPr>
          <w:rFonts w:ascii="Times New Roman" w:hAnsi="Times New Roman" w:cs="Times New Roman"/>
          <w:vertAlign w:val="superscript"/>
        </w:rPr>
        <w:t>-1</w:t>
      </w:r>
      <w:r>
        <w:rPr>
          <w:rFonts w:ascii="Times New Roman" w:hAnsi="Times New Roman" w:cs="Times New Roman"/>
        </w:rPr>
        <w:t xml:space="preserve"> when </w:t>
      </w:r>
      <w:r>
        <w:rPr>
          <w:rFonts w:ascii="Times New Roman" w:hAnsi="Times New Roman" w:cs="Times New Roman"/>
        </w:rPr>
        <w:lastRenderedPageBreak/>
        <w:t>groundwater upwelling rates were 1, 2, 5, 10, 15, and 20 cm yr</w:t>
      </w:r>
      <w:r>
        <w:rPr>
          <w:rFonts w:ascii="Times New Roman" w:hAnsi="Times New Roman" w:cs="Times New Roman"/>
          <w:vertAlign w:val="superscript"/>
        </w:rPr>
        <w:t>-1</w:t>
      </w:r>
      <w:r>
        <w:rPr>
          <w:rFonts w:ascii="Times New Roman" w:hAnsi="Times New Roman" w:cs="Times New Roman"/>
        </w:rPr>
        <w:t>, respectively. The maximum positive CH</w:t>
      </w:r>
      <w:r>
        <w:rPr>
          <w:rFonts w:ascii="Times New Roman" w:hAnsi="Times New Roman" w:cs="Times New Roman"/>
          <w:vertAlign w:val="subscript"/>
        </w:rPr>
        <w:t>4</w:t>
      </w:r>
      <w:r>
        <w:rPr>
          <w:rFonts w:ascii="Times New Roman" w:hAnsi="Times New Roman" w:cs="Times New Roman"/>
        </w:rPr>
        <w:t xml:space="preserve"> production rates were 6.5, 6.4, 6.2, 5.8, 5.4, and 5.1 nmol CH</w:t>
      </w:r>
      <w:r>
        <w:rPr>
          <w:rFonts w:ascii="Times New Roman" w:hAnsi="Times New Roman" w:cs="Times New Roman"/>
          <w:vertAlign w:val="subscript"/>
        </w:rPr>
        <w:t>4</w:t>
      </w:r>
      <w:r>
        <w:rPr>
          <w:rFonts w:ascii="Times New Roman" w:hAnsi="Times New Roman" w:cs="Times New Roman"/>
        </w:rPr>
        <w:t xml:space="preserve"> cm</w:t>
      </w:r>
      <w:r>
        <w:rPr>
          <w:rFonts w:ascii="Times New Roman" w:hAnsi="Times New Roman" w:cs="Times New Roman"/>
          <w:vertAlign w:val="superscript"/>
        </w:rPr>
        <w:t>-3</w:t>
      </w:r>
      <w:r>
        <w:rPr>
          <w:rFonts w:ascii="Times New Roman" w:hAnsi="Times New Roman" w:cs="Times New Roman"/>
        </w:rPr>
        <w:t xml:space="preserve"> d</w:t>
      </w:r>
      <w:r>
        <w:rPr>
          <w:rFonts w:ascii="Times New Roman" w:hAnsi="Times New Roman" w:cs="Times New Roman"/>
          <w:vertAlign w:val="superscript"/>
        </w:rPr>
        <w:t>-1</w:t>
      </w:r>
      <w:r>
        <w:rPr>
          <w:rFonts w:ascii="Times New Roman" w:hAnsi="Times New Roman" w:cs="Times New Roman"/>
        </w:rPr>
        <w:t xml:space="preserve"> when groundwater upwelling rates were 1, 2, 5, 10, 15, and 20 cm yr</w:t>
      </w:r>
      <w:r>
        <w:rPr>
          <w:rFonts w:ascii="Times New Roman" w:hAnsi="Times New Roman" w:cs="Times New Roman"/>
          <w:vertAlign w:val="superscript"/>
        </w:rPr>
        <w:t>-1</w:t>
      </w:r>
      <w:r>
        <w:rPr>
          <w:rFonts w:ascii="Times New Roman" w:hAnsi="Times New Roman" w:cs="Times New Roman"/>
        </w:rPr>
        <w:t>, respectively.</w:t>
      </w:r>
    </w:p>
    <w:p w14:paraId="4F2B7468" w14:textId="77777777" w:rsidR="00365526" w:rsidRDefault="00365526" w:rsidP="00365526">
      <w:pPr>
        <w:pStyle w:val="Heading3"/>
      </w:pPr>
      <w:bookmarkStart w:id="273" w:name="_Toc41908135"/>
      <w:r>
        <w:t>Carbon and Sulfur Budgets in Station H White Oak River Estuary Sediments</w:t>
      </w:r>
      <w:bookmarkEnd w:id="273"/>
      <w:r>
        <w:t xml:space="preserve"> </w:t>
      </w:r>
    </w:p>
    <w:p w14:paraId="511D8D07" w14:textId="77777777"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We evaluated carbon and sulfur cycle reservoirs in WOR estuary, Station H sediments. The carbon budget was evaluated with respect to TOC, DIC, and CH</w:t>
      </w:r>
      <w:r>
        <w:rPr>
          <w:rFonts w:ascii="Times New Roman" w:hAnsi="Times New Roman" w:cs="Times New Roman"/>
          <w:vertAlign w:val="subscript"/>
        </w:rPr>
        <w:t>4</w:t>
      </w:r>
      <w:r>
        <w:rPr>
          <w:rFonts w:ascii="Times New Roman" w:hAnsi="Times New Roman" w:cs="Times New Roman"/>
        </w:rPr>
        <w:t xml:space="preserve"> while the sulfur budget was evaluated with respect to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All flux estimates reported here can be found in Table 4.1</w:t>
      </w:r>
    </w:p>
    <w:p w14:paraId="75B817D0" w14:textId="7FA348BB"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We observed two notable features in the TOC profiles at Station H. There was a net loss of 1.22 mmol TOC cm</w:t>
      </w:r>
      <w:r>
        <w:rPr>
          <w:rFonts w:ascii="Times New Roman" w:hAnsi="Times New Roman" w:cs="Times New Roman"/>
          <w:vertAlign w:val="superscript"/>
        </w:rPr>
        <w:t>-3</w:t>
      </w:r>
      <w:r>
        <w:rPr>
          <w:rFonts w:ascii="Times New Roman" w:hAnsi="Times New Roman" w:cs="Times New Roman"/>
        </w:rPr>
        <w:t xml:space="preserve"> spanning 0 to 10 </w:t>
      </w:r>
      <w:proofErr w:type="spellStart"/>
      <w:r>
        <w:rPr>
          <w:rFonts w:ascii="Times New Roman" w:hAnsi="Times New Roman" w:cs="Times New Roman"/>
        </w:rPr>
        <w:t>cmbsf</w:t>
      </w:r>
      <w:proofErr w:type="spellEnd"/>
      <w:r>
        <w:rPr>
          <w:rFonts w:ascii="Times New Roman" w:hAnsi="Times New Roman" w:cs="Times New Roman"/>
        </w:rPr>
        <w:t xml:space="preserve">. This loss was proceeded by a modal increase in TOC spanning from 10 to 60 </w:t>
      </w:r>
      <w:proofErr w:type="spellStart"/>
      <w:r>
        <w:rPr>
          <w:rFonts w:ascii="Times New Roman" w:hAnsi="Times New Roman" w:cs="Times New Roman"/>
        </w:rPr>
        <w:t>cmbsf</w:t>
      </w:r>
      <w:proofErr w:type="spellEnd"/>
      <w:r>
        <w:rPr>
          <w:rFonts w:ascii="Times New Roman" w:hAnsi="Times New Roman" w:cs="Times New Roman"/>
        </w:rPr>
        <w:t>, with a maximum concentration of 2.20 mmol TOC cm</w:t>
      </w:r>
      <w:r>
        <w:rPr>
          <w:rFonts w:ascii="Times New Roman" w:hAnsi="Times New Roman" w:cs="Times New Roman"/>
          <w:vertAlign w:val="superscript"/>
        </w:rPr>
        <w:t>-3</w:t>
      </w:r>
      <w:r>
        <w:rPr>
          <w:rFonts w:ascii="Times New Roman" w:hAnsi="Times New Roman" w:cs="Times New Roman"/>
        </w:rPr>
        <w:t xml:space="preserve"> at 35 </w:t>
      </w:r>
      <w:proofErr w:type="spellStart"/>
      <w:r>
        <w:rPr>
          <w:rFonts w:ascii="Times New Roman" w:hAnsi="Times New Roman" w:cs="Times New Roman"/>
        </w:rPr>
        <w:t>cmbsf</w:t>
      </w:r>
      <w:proofErr w:type="spellEnd"/>
      <w:r>
        <w:rPr>
          <w:rFonts w:ascii="Times New Roman" w:hAnsi="Times New Roman" w:cs="Times New Roman"/>
        </w:rPr>
        <w:t xml:space="preserve">. The net change in TOC from 10 to 60 </w:t>
      </w:r>
      <w:proofErr w:type="spellStart"/>
      <w:r>
        <w:rPr>
          <w:rFonts w:ascii="Times New Roman" w:hAnsi="Times New Roman" w:cs="Times New Roman"/>
        </w:rPr>
        <w:t>cmbsf</w:t>
      </w:r>
      <w:proofErr w:type="spellEnd"/>
      <w:r>
        <w:rPr>
          <w:rFonts w:ascii="Times New Roman" w:hAnsi="Times New Roman" w:cs="Times New Roman"/>
        </w:rPr>
        <w:t xml:space="preserve"> was ~0 mmol TOC cm</w:t>
      </w:r>
      <w:r>
        <w:rPr>
          <w:rFonts w:ascii="Times New Roman" w:hAnsi="Times New Roman" w:cs="Times New Roman"/>
          <w:vertAlign w:val="superscript"/>
        </w:rPr>
        <w:t>-3</w:t>
      </w:r>
      <w:r>
        <w:rPr>
          <w:rFonts w:ascii="Times New Roman" w:hAnsi="Times New Roman" w:cs="Times New Roman"/>
        </w:rPr>
        <w:t xml:space="preserve"> (Figure 4.3C).</w:t>
      </w:r>
      <w:r w:rsidR="00CF0FEA">
        <w:rPr>
          <w:rFonts w:ascii="Times New Roman" w:hAnsi="Times New Roman" w:cs="Times New Roman"/>
        </w:rPr>
        <w:t xml:space="preserve"> I </w:t>
      </w:r>
      <w:r>
        <w:rPr>
          <w:rFonts w:ascii="Times New Roman" w:hAnsi="Times New Roman" w:cs="Times New Roman"/>
        </w:rPr>
        <w:t>converted sediment depth to units of time by dividing depth intervals by an assumed burial rate (ω) of 0.31 cm yr</w:t>
      </w:r>
      <w:r>
        <w:rPr>
          <w:rFonts w:ascii="Times New Roman" w:hAnsi="Times New Roman" w:cs="Times New Roman"/>
          <w:vertAlign w:val="superscript"/>
        </w:rPr>
        <w:t>-1</w:t>
      </w:r>
      <w:r>
        <w:rPr>
          <w:rFonts w:ascii="Times New Roman" w:hAnsi="Times New Roman" w:cs="Times New Roman"/>
        </w:rPr>
        <w:t xml:space="preserve">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Microbiology","id":"ITEM-1","issue":"9","issued":{"date-parts":[["2011"]]},"page":"2548-2564","title":"Environmental evidence for net methane production and oxidation in putative ANaerobic MEthanotrophic (ANME) archaea","type":"article-journal","volume":"13"},"uris":["http://www.mendeley.com/documents/?uuid=66d37395-cd0d-4af9-893f-431870bc2bc8"]},{"id":"ITEM-2","itemData":{"DOI":"10.1016/S0278-4343(98)00057-0","ISSN":"02784343","abstract":"To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Research","id":"ITEM-2","issue":"14-15","issued":{"date-parts":[["1998"]]},"page":"1771-1793","title":"Biogeochemical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-3","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Oceanography","id":"ITEM-3","issue":"2","issued":{"date-parts":[["1990"]]},"page":"372-383","title":"Variations in sedimentary carbon remineralization rates in the White Oak River estuary, North Carolina","type":"article-journal","volume":"35"},"uris":["http://www.mendeley.com/documents/?uuid=84c9ad85-5fc2-45b3-b5a3-d5ddf5033ca0"]}],"mendeley":{"formattedCitation":"(17, 116, 117)","plainTextFormattedCitation":"(17, 116, 117)","previouslyFormattedCitation":"(16, 115, 116)"},"properties":{"noteIndex":0},"schema":"https://github.com/citation-style-language/schema/raw/master/csl-citation.json"}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(17, 116, 117)</w:t>
      </w:r>
      <w:r>
        <w:rPr>
          <w:rFonts w:ascii="Times New Roman" w:hAnsi="Times New Roman" w:cs="Times New Roman"/>
        </w:rPr>
        <w:fldChar w:fldCharType="end"/>
      </w:r>
      <w:r>
        <w:rPr>
          <w:rFonts w:ascii="Times New Roman" w:hAnsi="Times New Roman" w:cs="Times New Roman"/>
        </w:rPr>
        <w:t>.</w:t>
      </w:r>
      <w:r w:rsidR="00CF0FEA">
        <w:rPr>
          <w:rFonts w:ascii="Times New Roman" w:hAnsi="Times New Roman" w:cs="Times New Roman"/>
        </w:rPr>
        <w:t xml:space="preserve"> I </w:t>
      </w:r>
      <w:r>
        <w:rPr>
          <w:rFonts w:ascii="Times New Roman" w:hAnsi="Times New Roman" w:cs="Times New Roman"/>
        </w:rPr>
        <w:t xml:space="preserve">regressed TOC loss from 0 to 10 </w:t>
      </w:r>
      <w:proofErr w:type="spellStart"/>
      <w:r>
        <w:rPr>
          <w:rFonts w:ascii="Times New Roman" w:hAnsi="Times New Roman" w:cs="Times New Roman"/>
        </w:rPr>
        <w:t>cmbsf</w:t>
      </w:r>
      <w:proofErr w:type="spellEnd"/>
      <w:r>
        <w:rPr>
          <w:rFonts w:ascii="Times New Roman" w:hAnsi="Times New Roman" w:cs="Times New Roman"/>
        </w:rPr>
        <w:t xml:space="preserve"> as a function of time (mmol TOC cm</w:t>
      </w:r>
      <w:r>
        <w:rPr>
          <w:rFonts w:ascii="Times New Roman" w:hAnsi="Times New Roman" w:cs="Times New Roman"/>
          <w:vertAlign w:val="superscript"/>
        </w:rPr>
        <w:t>-3</w:t>
      </w:r>
      <w:r>
        <w:rPr>
          <w:rFonts w:ascii="Times New Roman" w:hAnsi="Times New Roman" w:cs="Times New Roman"/>
        </w:rPr>
        <w:t xml:space="preserve"> yr</w:t>
      </w:r>
      <w:r>
        <w:rPr>
          <w:rFonts w:ascii="Times New Roman" w:hAnsi="Times New Roman" w:cs="Times New Roman"/>
          <w:vertAlign w:val="superscript"/>
        </w:rPr>
        <w:t>-1</w:t>
      </w:r>
      <w:r>
        <w:rPr>
          <w:rFonts w:ascii="Times New Roman" w:hAnsi="Times New Roman" w:cs="Times New Roman"/>
        </w:rPr>
        <w:t xml:space="preserve">), with the exclusion depths 3 and 4 </w:t>
      </w:r>
      <w:proofErr w:type="spellStart"/>
      <w:r>
        <w:rPr>
          <w:rFonts w:ascii="Times New Roman" w:hAnsi="Times New Roman" w:cs="Times New Roman"/>
        </w:rPr>
        <w:t>cmbsf</w:t>
      </w:r>
      <w:proofErr w:type="spellEnd"/>
      <w:r>
        <w:rPr>
          <w:rFonts w:ascii="Times New Roman" w:hAnsi="Times New Roman" w:cs="Times New Roman"/>
        </w:rPr>
        <w:t>. This resulted in an estimated average loss in TOC of -37.9 mmol TOC cm</w:t>
      </w:r>
      <w:r>
        <w:rPr>
          <w:rFonts w:ascii="Times New Roman" w:hAnsi="Times New Roman" w:cs="Times New Roman"/>
          <w:vertAlign w:val="superscript"/>
        </w:rPr>
        <w:t>-3</w:t>
      </w:r>
      <w:r>
        <w:rPr>
          <w:rFonts w:ascii="Times New Roman" w:hAnsi="Times New Roman" w:cs="Times New Roman"/>
        </w:rPr>
        <w:t xml:space="preserve"> yr</w:t>
      </w:r>
      <w:r>
        <w:rPr>
          <w:rFonts w:ascii="Times New Roman" w:hAnsi="Times New Roman" w:cs="Times New Roman"/>
          <w:vertAlign w:val="superscript"/>
        </w:rPr>
        <w:t>-1</w:t>
      </w:r>
      <w:r>
        <w:rPr>
          <w:rFonts w:ascii="Times New Roman" w:hAnsi="Times New Roman" w:cs="Times New Roman"/>
        </w:rPr>
        <w:t xml:space="preserve"> (Figure 4.6). As, the net change from 10 to 60 </w:t>
      </w:r>
      <w:proofErr w:type="spellStart"/>
      <w:r>
        <w:rPr>
          <w:rFonts w:ascii="Times New Roman" w:hAnsi="Times New Roman" w:cs="Times New Roman"/>
        </w:rPr>
        <w:t>cmbsf</w:t>
      </w:r>
      <w:proofErr w:type="spellEnd"/>
      <w:r>
        <w:rPr>
          <w:rFonts w:ascii="Times New Roman" w:hAnsi="Times New Roman" w:cs="Times New Roman"/>
        </w:rPr>
        <w:t xml:space="preserve"> was ~0 mmol TOC cm</w:t>
      </w:r>
      <w:r>
        <w:rPr>
          <w:rFonts w:ascii="Times New Roman" w:hAnsi="Times New Roman" w:cs="Times New Roman"/>
          <w:vertAlign w:val="superscript"/>
        </w:rPr>
        <w:t>-3</w:t>
      </w:r>
      <w:r>
        <w:rPr>
          <w:rFonts w:ascii="Times New Roman" w:hAnsi="Times New Roman" w:cs="Times New Roman"/>
        </w:rPr>
        <w:t xml:space="preserve"> (Figure 4.3C),</w:t>
      </w:r>
      <w:r w:rsidR="00CF0FEA">
        <w:rPr>
          <w:rFonts w:ascii="Times New Roman" w:hAnsi="Times New Roman" w:cs="Times New Roman"/>
        </w:rPr>
        <w:t xml:space="preserve"> I </w:t>
      </w:r>
      <w:r>
        <w:rPr>
          <w:rFonts w:ascii="Times New Roman" w:hAnsi="Times New Roman" w:cs="Times New Roman"/>
        </w:rPr>
        <w:t xml:space="preserve">attributed all TOC losses in the first ~62 cm to TOC occurring between 0 and 10 </w:t>
      </w:r>
      <w:proofErr w:type="spellStart"/>
      <w:r>
        <w:rPr>
          <w:rFonts w:ascii="Times New Roman" w:hAnsi="Times New Roman" w:cs="Times New Roman"/>
        </w:rPr>
        <w:t>cmbsf</w:t>
      </w:r>
      <w:proofErr w:type="spellEnd"/>
      <w:r>
        <w:rPr>
          <w:rFonts w:ascii="Times New Roman" w:hAnsi="Times New Roman" w:cs="Times New Roman"/>
        </w:rPr>
        <w:t xml:space="preserve">. Thus, assuming a constant rate of TOC loss in the first 10 </w:t>
      </w:r>
      <w:proofErr w:type="spellStart"/>
      <w:r>
        <w:rPr>
          <w:rFonts w:ascii="Times New Roman" w:hAnsi="Times New Roman" w:cs="Times New Roman"/>
        </w:rPr>
        <w:t>cmbsf</w:t>
      </w:r>
      <w:proofErr w:type="spellEnd"/>
      <w:r>
        <w:rPr>
          <w:rFonts w:ascii="Times New Roman" w:hAnsi="Times New Roman" w:cs="Times New Roman"/>
        </w:rPr>
        <w:t xml:space="preserve"> (Figure 4.6), the integrated annual loss in TOC was estimated 3178 mmol m</w:t>
      </w:r>
      <w:r>
        <w:rPr>
          <w:rFonts w:ascii="Times New Roman" w:hAnsi="Times New Roman" w:cs="Times New Roman"/>
          <w:vertAlign w:val="superscript"/>
        </w:rPr>
        <w:t>-2</w:t>
      </w:r>
      <w:r>
        <w:rPr>
          <w:rFonts w:ascii="Times New Roman" w:hAnsi="Times New Roman" w:cs="Times New Roman"/>
        </w:rPr>
        <w:t xml:space="preserve"> yr</w:t>
      </w:r>
      <w:r>
        <w:rPr>
          <w:rFonts w:ascii="Times New Roman" w:hAnsi="Times New Roman" w:cs="Times New Roman"/>
          <w:vertAlign w:val="superscript"/>
        </w:rPr>
        <w:t>-1</w:t>
      </w:r>
      <w:r>
        <w:rPr>
          <w:rFonts w:ascii="Times New Roman" w:hAnsi="Times New Roman" w:cs="Times New Roman"/>
        </w:rPr>
        <w:t>. As CH</w:t>
      </w:r>
      <w:r>
        <w:rPr>
          <w:rFonts w:ascii="Times New Roman" w:hAnsi="Times New Roman" w:cs="Times New Roman"/>
          <w:vertAlign w:val="subscript"/>
        </w:rPr>
        <w:t>4</w:t>
      </w:r>
      <w:r>
        <w:rPr>
          <w:rFonts w:ascii="Times New Roman" w:hAnsi="Times New Roman" w:cs="Times New Roman"/>
        </w:rPr>
        <w:t xml:space="preserve"> production is negligible (see below) relative to TOC concentrations,</w:t>
      </w:r>
      <w:r w:rsidR="00CF0FEA">
        <w:rPr>
          <w:rFonts w:ascii="Times New Roman" w:hAnsi="Times New Roman" w:cs="Times New Roman"/>
        </w:rPr>
        <w:t xml:space="preserve"> I </w:t>
      </w:r>
      <w:r>
        <w:rPr>
          <w:rFonts w:ascii="Times New Roman" w:hAnsi="Times New Roman" w:cs="Times New Roman"/>
        </w:rPr>
        <w:lastRenderedPageBreak/>
        <w:t xml:space="preserve">take TOC loss as being equivalent to dissolved inorganic carbon (DIC) flux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Oceanography","id":"ITEM-1","issue":"2","issued":{"date-parts":[["1990"]]},"page":"372-383","title":"Variations in sedimentary carbon remineralization rates in the White Oak River estuary, North Carolina","type":"article-journal","volume":"35"},"uris":["http://www.mendeley.com/documents/?uuid=84c9ad85-5fc2-45b3-b5a3-d5ddf5033ca0"]}],"mendeley":{"formattedCitation":"(116)","plainTextFormattedCitation":"(116)","previouslyFormattedCitation":"(115)"},"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(116)</w:t>
      </w:r>
      <w:r>
        <w:rPr>
          <w:rFonts w:ascii="Times New Roman" w:hAnsi="Times New Roman" w:cs="Times New Roman"/>
        </w:rPr>
        <w:fldChar w:fldCharType="end"/>
      </w:r>
      <w:r>
        <w:rPr>
          <w:rFonts w:ascii="Times New Roman" w:hAnsi="Times New Roman" w:cs="Times New Roman"/>
        </w:rPr>
        <w:t>. Last, TOC burial flux was taken as the difference between TOC depositional flux at the SWI and the DIC flux. Assuming a burial rate of 0.31 cm yr</w:t>
      </w:r>
      <w:r>
        <w:rPr>
          <w:rFonts w:ascii="Times New Roman" w:hAnsi="Times New Roman" w:cs="Times New Roman"/>
          <w:vertAlign w:val="superscript"/>
        </w:rPr>
        <w:t>-1</w:t>
      </w:r>
      <w:r>
        <w:rPr>
          <w:rFonts w:ascii="Times New Roman" w:hAnsi="Times New Roman" w:cs="Times New Roman"/>
        </w:rPr>
        <w:t>, and TOC concentration of 2.61 mmol TOC cm</w:t>
      </w:r>
      <w:r>
        <w:rPr>
          <w:rFonts w:ascii="Times New Roman" w:hAnsi="Times New Roman" w:cs="Times New Roman"/>
          <w:vertAlign w:val="superscript"/>
        </w:rPr>
        <w:t>-3</w:t>
      </w:r>
      <w:r>
        <w:rPr>
          <w:rFonts w:ascii="Times New Roman" w:hAnsi="Times New Roman" w:cs="Times New Roman"/>
        </w:rPr>
        <w:t xml:space="preserve"> at 0 </w:t>
      </w:r>
      <w:proofErr w:type="spellStart"/>
      <w:r>
        <w:rPr>
          <w:rFonts w:ascii="Times New Roman" w:hAnsi="Times New Roman" w:cs="Times New Roman"/>
        </w:rPr>
        <w:t>cmbsf</w:t>
      </w:r>
      <w:proofErr w:type="spellEnd"/>
      <w:r>
        <w:rPr>
          <w:rFonts w:ascii="Times New Roman" w:hAnsi="Times New Roman" w:cs="Times New Roman"/>
        </w:rPr>
        <w:t>,</w:t>
      </w:r>
      <w:r w:rsidR="00CF0FEA">
        <w:rPr>
          <w:rFonts w:ascii="Times New Roman" w:hAnsi="Times New Roman" w:cs="Times New Roman"/>
        </w:rPr>
        <w:t xml:space="preserve"> I </w:t>
      </w:r>
      <w:r>
        <w:rPr>
          <w:rFonts w:ascii="Times New Roman" w:hAnsi="Times New Roman" w:cs="Times New Roman"/>
        </w:rPr>
        <w:t>estimated an OC depositional flux of 8.09 mmol m</w:t>
      </w:r>
      <w:r>
        <w:rPr>
          <w:rFonts w:ascii="Times New Roman" w:hAnsi="Times New Roman" w:cs="Times New Roman"/>
          <w:vertAlign w:val="superscript"/>
        </w:rPr>
        <w:t>-2</w:t>
      </w:r>
      <w:r>
        <w:rPr>
          <w:rFonts w:ascii="Times New Roman" w:hAnsi="Times New Roman" w:cs="Times New Roman"/>
        </w:rPr>
        <w:t xml:space="preserve"> yr</w:t>
      </w:r>
      <w:r>
        <w:rPr>
          <w:rFonts w:ascii="Times New Roman" w:hAnsi="Times New Roman" w:cs="Times New Roman"/>
          <w:vertAlign w:val="superscript"/>
        </w:rPr>
        <w:t>-1</w:t>
      </w:r>
      <w:r>
        <w:rPr>
          <w:rFonts w:ascii="Times New Roman" w:hAnsi="Times New Roman" w:cs="Times New Roman"/>
        </w:rPr>
        <w:t xml:space="preserve"> and a TOC burial flux of 4.91 mmol m</w:t>
      </w:r>
      <w:r>
        <w:rPr>
          <w:rFonts w:ascii="Times New Roman" w:hAnsi="Times New Roman" w:cs="Times New Roman"/>
          <w:vertAlign w:val="superscript"/>
        </w:rPr>
        <w:t>-2</w:t>
      </w:r>
      <w:r>
        <w:rPr>
          <w:rFonts w:ascii="Times New Roman" w:hAnsi="Times New Roman" w:cs="Times New Roman"/>
        </w:rPr>
        <w:t xml:space="preserve"> yr</w:t>
      </w:r>
      <w:r>
        <w:rPr>
          <w:rFonts w:ascii="Times New Roman" w:hAnsi="Times New Roman" w:cs="Times New Roman"/>
          <w:vertAlign w:val="superscript"/>
        </w:rPr>
        <w:t>-1</w:t>
      </w:r>
      <w:r>
        <w:rPr>
          <w:rFonts w:ascii="Times New Roman" w:hAnsi="Times New Roman" w:cs="Times New Roman"/>
        </w:rPr>
        <w:t xml:space="preserve">. </w:t>
      </w:r>
    </w:p>
    <w:p w14:paraId="32767156" w14:textId="00FE361B"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The CH</w:t>
      </w:r>
      <w:r>
        <w:rPr>
          <w:rFonts w:ascii="Times New Roman" w:hAnsi="Times New Roman" w:cs="Times New Roman"/>
          <w:vertAlign w:val="subscript"/>
        </w:rPr>
        <w:t>4</w:t>
      </w:r>
      <w:r>
        <w:rPr>
          <w:rFonts w:ascii="Times New Roman" w:hAnsi="Times New Roman" w:cs="Times New Roman"/>
        </w:rPr>
        <w:t xml:space="preserve">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rates varied as a function depth and groundwater upwelling rates (Figure 4.5). Thus,</w:t>
      </w:r>
      <w:r w:rsidR="00CF0FEA">
        <w:rPr>
          <w:rFonts w:ascii="Times New Roman" w:hAnsi="Times New Roman" w:cs="Times New Roman"/>
        </w:rPr>
        <w:t xml:space="preserve"> I </w:t>
      </w:r>
      <w:r>
        <w:rPr>
          <w:rFonts w:ascii="Times New Roman" w:hAnsi="Times New Roman" w:cs="Times New Roman"/>
        </w:rPr>
        <w:t>quantified column integrated net CH</w:t>
      </w:r>
      <w:r>
        <w:rPr>
          <w:rFonts w:ascii="Times New Roman" w:hAnsi="Times New Roman" w:cs="Times New Roman"/>
          <w:vertAlign w:val="subscript"/>
        </w:rPr>
        <w:t>4</w:t>
      </w:r>
      <w:r>
        <w:rPr>
          <w:rFonts w:ascii="Times New Roman" w:hAnsi="Times New Roman" w:cs="Times New Roman"/>
        </w:rPr>
        <w:t xml:space="preserve">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as a function of groundwater upwelling rates. Column integrated CH</w:t>
      </w:r>
      <w:r>
        <w:rPr>
          <w:rFonts w:ascii="Times New Roman" w:hAnsi="Times New Roman" w:cs="Times New Roman"/>
          <w:vertAlign w:val="subscript"/>
        </w:rPr>
        <w:t>4</w:t>
      </w:r>
      <w:r>
        <w:rPr>
          <w:rFonts w:ascii="Times New Roman" w:hAnsi="Times New Roman" w:cs="Times New Roman"/>
        </w:rPr>
        <w:t xml:space="preserve"> flux was inversely related to groundwater upwelling rates (Figure 4.7). When groundwater upwelling was 0 cm yr</w:t>
      </w:r>
      <w:r>
        <w:rPr>
          <w:rFonts w:ascii="Times New Roman" w:hAnsi="Times New Roman" w:cs="Times New Roman"/>
          <w:vertAlign w:val="superscript"/>
        </w:rPr>
        <w:t>-1</w:t>
      </w:r>
      <w:r>
        <w:rPr>
          <w:rFonts w:ascii="Times New Roman" w:hAnsi="Times New Roman" w:cs="Times New Roman"/>
        </w:rPr>
        <w:t>, WOR sediments acted as a net source of CH</w:t>
      </w:r>
      <w:r>
        <w:rPr>
          <w:rFonts w:ascii="Times New Roman" w:hAnsi="Times New Roman" w:cs="Times New Roman"/>
          <w:vertAlign w:val="subscript"/>
        </w:rPr>
        <w:t>4</w:t>
      </w:r>
      <w:r>
        <w:rPr>
          <w:rFonts w:ascii="Times New Roman" w:hAnsi="Times New Roman" w:cs="Times New Roman"/>
        </w:rPr>
        <w:t>, with a CH</w:t>
      </w:r>
      <w:r>
        <w:rPr>
          <w:rFonts w:ascii="Times New Roman" w:hAnsi="Times New Roman" w:cs="Times New Roman"/>
          <w:vertAlign w:val="subscript"/>
        </w:rPr>
        <w:t>4</w:t>
      </w:r>
      <w:r>
        <w:rPr>
          <w:rFonts w:ascii="Times New Roman" w:hAnsi="Times New Roman" w:cs="Times New Roman"/>
        </w:rPr>
        <w:t xml:space="preserve"> production flux of 34.7 mmol CH</w:t>
      </w:r>
      <w:r>
        <w:rPr>
          <w:rFonts w:ascii="Times New Roman" w:hAnsi="Times New Roman" w:cs="Times New Roman"/>
          <w:vertAlign w:val="subscript"/>
        </w:rPr>
        <w:t>4</w:t>
      </w:r>
      <w:r>
        <w:rPr>
          <w:rFonts w:ascii="Times New Roman" w:hAnsi="Times New Roman" w:cs="Times New Roman"/>
        </w:rPr>
        <w:t xml:space="preserve"> m</w:t>
      </w:r>
      <w:r>
        <w:rPr>
          <w:rFonts w:ascii="Times New Roman" w:hAnsi="Times New Roman" w:cs="Times New Roman"/>
          <w:vertAlign w:val="superscript"/>
        </w:rPr>
        <w:t>-2</w:t>
      </w:r>
      <w:r>
        <w:rPr>
          <w:rFonts w:ascii="Times New Roman" w:hAnsi="Times New Roman" w:cs="Times New Roman"/>
        </w:rPr>
        <w:t xml:space="preserve"> yr</w:t>
      </w:r>
      <w:r>
        <w:rPr>
          <w:rFonts w:ascii="Times New Roman" w:hAnsi="Times New Roman" w:cs="Times New Roman"/>
          <w:vertAlign w:val="superscript"/>
        </w:rPr>
        <w:t>-1</w:t>
      </w:r>
      <w:r>
        <w:rPr>
          <w:rFonts w:ascii="Times New Roman" w:hAnsi="Times New Roman" w:cs="Times New Roman"/>
        </w:rPr>
        <w:t>. However, when groundwater upwelling exceeded ~3 cm yr</w:t>
      </w:r>
      <w:r>
        <w:rPr>
          <w:rFonts w:ascii="Times New Roman" w:hAnsi="Times New Roman" w:cs="Times New Roman"/>
          <w:vertAlign w:val="superscript"/>
        </w:rPr>
        <w:t>-1</w:t>
      </w:r>
      <w:r>
        <w:rPr>
          <w:rFonts w:ascii="Times New Roman" w:hAnsi="Times New Roman" w:cs="Times New Roman"/>
        </w:rPr>
        <w:t>, WOR sediments became a net sink for CH</w:t>
      </w:r>
      <w:r>
        <w:rPr>
          <w:rFonts w:ascii="Times New Roman" w:hAnsi="Times New Roman" w:cs="Times New Roman"/>
          <w:vertAlign w:val="subscript"/>
        </w:rPr>
        <w:t>4</w:t>
      </w:r>
      <w:r>
        <w:rPr>
          <w:rFonts w:ascii="Times New Roman" w:hAnsi="Times New Roman" w:cs="Times New Roman"/>
        </w:rPr>
        <w:t>. The maximum evaluated flux (</w:t>
      </w:r>
      <w:r w:rsidRPr="00812DBD">
        <w:rPr>
          <w:rFonts w:ascii="Times New Roman" w:hAnsi="Times New Roman" w:cs="Times New Roman"/>
          <w:i/>
          <w:iCs/>
        </w:rPr>
        <w:t>u</w:t>
      </w:r>
      <w:r>
        <w:rPr>
          <w:rFonts w:ascii="Times New Roman" w:hAnsi="Times New Roman" w:cs="Times New Roman"/>
        </w:rPr>
        <w:t>=</w:t>
      </w:r>
      <w:r w:rsidRPr="00812DBD">
        <w:rPr>
          <w:rFonts w:ascii="Times New Roman" w:hAnsi="Times New Roman" w:cs="Times New Roman"/>
        </w:rPr>
        <w:t>20</w:t>
      </w:r>
      <w:r>
        <w:rPr>
          <w:rFonts w:ascii="Times New Roman" w:hAnsi="Times New Roman" w:cs="Times New Roman"/>
        </w:rPr>
        <w:t xml:space="preserve"> cm yr</w:t>
      </w:r>
      <w:r>
        <w:rPr>
          <w:rFonts w:ascii="Times New Roman" w:hAnsi="Times New Roman" w:cs="Times New Roman"/>
          <w:vertAlign w:val="superscript"/>
        </w:rPr>
        <w:t>-1</w:t>
      </w:r>
      <w:r>
        <w:rPr>
          <w:rFonts w:ascii="Times New Roman" w:hAnsi="Times New Roman" w:cs="Times New Roman"/>
        </w:rPr>
        <w:t>) resulted in a net CH</w:t>
      </w:r>
      <w:r>
        <w:rPr>
          <w:rFonts w:ascii="Times New Roman" w:hAnsi="Times New Roman" w:cs="Times New Roman"/>
          <w:vertAlign w:val="subscript"/>
        </w:rPr>
        <w:t>4</w:t>
      </w:r>
      <w:r>
        <w:rPr>
          <w:rFonts w:ascii="Times New Roman" w:hAnsi="Times New Roman" w:cs="Times New Roman"/>
        </w:rPr>
        <w:t xml:space="preserve"> flux of -182.6 mmol CH</w:t>
      </w:r>
      <w:r w:rsidRPr="00812DBD">
        <w:rPr>
          <w:rFonts w:ascii="Times New Roman" w:hAnsi="Times New Roman" w:cs="Times New Roman"/>
          <w:vertAlign w:val="subscript"/>
        </w:rPr>
        <w:t>4</w:t>
      </w:r>
      <w:r>
        <w:rPr>
          <w:rFonts w:ascii="Times New Roman" w:hAnsi="Times New Roman" w:cs="Times New Roman"/>
        </w:rPr>
        <w:t xml:space="preserve"> m</w:t>
      </w:r>
      <w:r>
        <w:rPr>
          <w:rFonts w:ascii="Times New Roman" w:hAnsi="Times New Roman" w:cs="Times New Roman"/>
          <w:vertAlign w:val="superscript"/>
        </w:rPr>
        <w:t>-2</w:t>
      </w:r>
      <w:r>
        <w:rPr>
          <w:rFonts w:ascii="Times New Roman" w:hAnsi="Times New Roman" w:cs="Times New Roman"/>
        </w:rPr>
        <w:t xml:space="preserve"> yr</w:t>
      </w:r>
      <w:r>
        <w:rPr>
          <w:rFonts w:ascii="Times New Roman" w:hAnsi="Times New Roman" w:cs="Times New Roman"/>
          <w:vertAlign w:val="superscript"/>
        </w:rPr>
        <w:t>-1</w:t>
      </w:r>
      <w:r>
        <w:rPr>
          <w:rFonts w:ascii="Times New Roman" w:hAnsi="Times New Roman" w:cs="Times New Roman"/>
        </w:rPr>
        <w:t>. In contrast to CH</w:t>
      </w:r>
      <w:r>
        <w:rPr>
          <w:rFonts w:ascii="Times New Roman" w:hAnsi="Times New Roman" w:cs="Times New Roman"/>
          <w:vertAlign w:val="subscript"/>
        </w:rPr>
        <w:t>4</w:t>
      </w:r>
      <w:r>
        <w:rPr>
          <w:rFonts w:ascii="Times New Roman" w:hAnsi="Times New Roman" w:cs="Times New Roman"/>
        </w:rPr>
        <w:t>, column integrated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flux positively related to groundwater upwelling rates (Figure 4.8). When groundwater upwelling was 0 cm yr</w:t>
      </w:r>
      <w:r w:rsidRPr="005765C6">
        <w:rPr>
          <w:rFonts w:ascii="Times New Roman" w:hAnsi="Times New Roman" w:cs="Times New Roman"/>
          <w:vertAlign w:val="superscript"/>
        </w:rPr>
        <w:t>-1</w:t>
      </w:r>
      <w:r>
        <w:rPr>
          <w:rFonts w:ascii="Times New Roman" w:hAnsi="Times New Roman" w:cs="Times New Roman"/>
        </w:rPr>
        <w:t>, the WOR sediments acted as a sink for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with a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flux of -1976 mmol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m</w:t>
      </w:r>
      <w:r>
        <w:rPr>
          <w:rFonts w:ascii="Times New Roman" w:hAnsi="Times New Roman" w:cs="Times New Roman"/>
          <w:vertAlign w:val="superscript"/>
        </w:rPr>
        <w:t>-2</w:t>
      </w:r>
      <w:r>
        <w:rPr>
          <w:rFonts w:ascii="Times New Roman" w:hAnsi="Times New Roman" w:cs="Times New Roman"/>
        </w:rPr>
        <w:t xml:space="preserve"> yr</w:t>
      </w:r>
      <w:r>
        <w:rPr>
          <w:rFonts w:ascii="Times New Roman" w:hAnsi="Times New Roman" w:cs="Times New Roman"/>
          <w:vertAlign w:val="superscript"/>
        </w:rPr>
        <w:t>-1</w:t>
      </w:r>
      <w:r>
        <w:rPr>
          <w:rFonts w:ascii="Times New Roman" w:hAnsi="Times New Roman" w:cs="Times New Roman"/>
        </w:rPr>
        <w:t>. However, when groundwater upwelling exceeded ~15 cm yr</w:t>
      </w:r>
      <w:r>
        <w:rPr>
          <w:rFonts w:ascii="Times New Roman" w:hAnsi="Times New Roman" w:cs="Times New Roman"/>
          <w:vertAlign w:val="superscript"/>
        </w:rPr>
        <w:t>-1</w:t>
      </w:r>
      <w:r>
        <w:rPr>
          <w:rFonts w:ascii="Times New Roman" w:hAnsi="Times New Roman" w:cs="Times New Roman"/>
        </w:rPr>
        <w:t>, WOR sediments became a net source for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The maximum evaluated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flux (</w:t>
      </w:r>
      <w:r w:rsidRPr="00812DBD">
        <w:rPr>
          <w:rFonts w:ascii="Times New Roman" w:hAnsi="Times New Roman" w:cs="Times New Roman"/>
          <w:i/>
          <w:iCs/>
        </w:rPr>
        <w:t>u</w:t>
      </w:r>
      <w:r>
        <w:rPr>
          <w:rFonts w:ascii="Times New Roman" w:hAnsi="Times New Roman" w:cs="Times New Roman"/>
        </w:rPr>
        <w:t>=</w:t>
      </w:r>
      <w:r w:rsidRPr="00812DBD">
        <w:rPr>
          <w:rFonts w:ascii="Times New Roman" w:hAnsi="Times New Roman" w:cs="Times New Roman"/>
        </w:rPr>
        <w:t>20</w:t>
      </w:r>
      <w:r>
        <w:rPr>
          <w:rFonts w:ascii="Times New Roman" w:hAnsi="Times New Roman" w:cs="Times New Roman"/>
        </w:rPr>
        <w:t xml:space="preserve"> cm yr</w:t>
      </w:r>
      <w:r>
        <w:rPr>
          <w:rFonts w:ascii="Times New Roman" w:hAnsi="Times New Roman" w:cs="Times New Roman"/>
          <w:vertAlign w:val="superscript"/>
        </w:rPr>
        <w:t>-1</w:t>
      </w:r>
      <w:r>
        <w:rPr>
          <w:rFonts w:ascii="Times New Roman" w:hAnsi="Times New Roman" w:cs="Times New Roman"/>
        </w:rPr>
        <w:t>) was 672 mmol SO</w:t>
      </w:r>
      <w:r w:rsidRPr="00812DBD">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m</w:t>
      </w:r>
      <w:r>
        <w:rPr>
          <w:rFonts w:ascii="Times New Roman" w:hAnsi="Times New Roman" w:cs="Times New Roman"/>
          <w:vertAlign w:val="superscript"/>
        </w:rPr>
        <w:t>-2</w:t>
      </w:r>
      <w:r>
        <w:rPr>
          <w:rFonts w:ascii="Times New Roman" w:hAnsi="Times New Roman" w:cs="Times New Roman"/>
        </w:rPr>
        <w:t xml:space="preserve"> yr</w:t>
      </w:r>
      <w:r>
        <w:rPr>
          <w:rFonts w:ascii="Times New Roman" w:hAnsi="Times New Roman" w:cs="Times New Roman"/>
          <w:vertAlign w:val="superscript"/>
        </w:rPr>
        <w:t>-1</w:t>
      </w:r>
      <w:r>
        <w:rPr>
          <w:rFonts w:ascii="Times New Roman" w:hAnsi="Times New Roman" w:cs="Times New Roman"/>
        </w:rPr>
        <w:t xml:space="preserve">. </w:t>
      </w:r>
    </w:p>
    <w:p w14:paraId="04E6C3F1" w14:textId="77777777" w:rsidR="00365526" w:rsidRDefault="00365526" w:rsidP="00365526">
      <w:pPr>
        <w:pStyle w:val="Heading2"/>
      </w:pPr>
      <w:bookmarkStart w:id="274" w:name="_Toc41908136"/>
      <w:r w:rsidRPr="00F23F20">
        <w:t>Discussion</w:t>
      </w:r>
      <w:bookmarkEnd w:id="274"/>
    </w:p>
    <w:p w14:paraId="23F7A3E8" w14:textId="10E843B7" w:rsidR="00365526" w:rsidRDefault="00365526" w:rsidP="00365526">
      <w:pPr>
        <w:spacing w:line="480" w:lineRule="auto"/>
        <w:rPr>
          <w:rFonts w:ascii="Times New Roman" w:hAnsi="Times New Roman" w:cs="Times New Roman"/>
        </w:rPr>
      </w:pPr>
      <w:r w:rsidRPr="009B6D22">
        <w:rPr>
          <w:rFonts w:ascii="Times New Roman" w:hAnsi="Times New Roman" w:cs="Times New Roman"/>
        </w:rPr>
        <w:tab/>
      </w:r>
      <w:r>
        <w:rPr>
          <w:rFonts w:ascii="Times New Roman" w:hAnsi="Times New Roman" w:cs="Times New Roman"/>
        </w:rPr>
        <w:t>Here,</w:t>
      </w:r>
      <w:r w:rsidR="00CF0FEA">
        <w:rPr>
          <w:rFonts w:ascii="Times New Roman" w:hAnsi="Times New Roman" w:cs="Times New Roman"/>
        </w:rPr>
        <w:t xml:space="preserve"> I </w:t>
      </w:r>
      <w:r>
        <w:rPr>
          <w:rFonts w:ascii="Times New Roman" w:hAnsi="Times New Roman" w:cs="Times New Roman"/>
        </w:rPr>
        <w:t xml:space="preserve">sampled a 62 cm long sediment core from the WOR estuary, Station H, with the intention of characterizing gradients in microbial traits with respect to </w:t>
      </w:r>
      <w:r>
        <w:rPr>
          <w:rFonts w:ascii="Times New Roman" w:hAnsi="Times New Roman" w:cs="Times New Roman"/>
        </w:rPr>
        <w:lastRenderedPageBreak/>
        <w:t xml:space="preserve">geochemical gradients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{"citationItems":[{"id":"ITEM-1","itemData":{"DOI":"doi: 10.1098/rspb.2014.2630","author":[{"dropping-particle":"","family":"Okie","given":"Jordan G","non-dropping-particle":"","parse-names":false,"suffix":""},{"dropping-particle":"Van","family":"Horn","given":"David J","non-dropping-particle":"","parse-names":false,"suffix":""},{"dropping-particle":"","family":"Storch","given":"David","non-dropping-particle":"","parse-names":false,"suffix":""},{"dropping-particle":"","family":"Barrett","given":"John E","non-dropping-particle":"","parse-names":false,"suffix":""},{"dropping-particle":"","family":"Gooseff","given":"Michael N","non-dropping-particle":"","parse-names":false,"suffix":""},{"dropping-particle":"","family":"Kopsova","given":"Lenka","non-dropping-particle":"","parse-names":false,"suffix":""},{"dropping-particle":"","family":"Takacs-vesbach","given":"Cristina D","non-dropping-particle":"","parse-names":false,"suffix":""},{"dropping-particle":"","family":"Okie","given":"Jordan G","non-dropping-particle":"","parse-names":false,"suffix":""}],"container-title":"Royal Society Proceedings B","id":"ITEM-1","issued":{"date-parts":[["2015"]]},"title":"Niche and metabolic principles explain patterns of diversity and distribution : theory and a case study with soil bacterial communities","type":"article-journal"},"uris":["http://www.mendeley.com/documents/?uuid=0ed2a5e1-358b-4b23-b536-aae467804475"]}],"mendeley":{"formattedCitation":"(121)","plainTextFormattedCitation":"(121)","previouslyFormattedCitation":"(120)"},"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(121)</w:t>
      </w:r>
      <w:r>
        <w:rPr>
          <w:rFonts w:ascii="Times New Roman" w:hAnsi="Times New Roman" w:cs="Times New Roman"/>
        </w:rPr>
        <w:fldChar w:fldCharType="end"/>
      </w:r>
      <w:r>
        <w:rPr>
          <w:rFonts w:ascii="Times New Roman" w:hAnsi="Times New Roman" w:cs="Times New Roman"/>
        </w:rPr>
        <w:t xml:space="preserve">. Site accessibility, a large body of literature spanning several decades, and a diverse suite of redox metabolisms (associated electron acceptors) makes the WOR estuary a desirable model system for modeling microbial trait distributions with respect to geochemistry </w:t>
      </w:r>
      <w:r w:rsidRPr="009B6D22">
        <w:rPr>
          <w:rFonts w:ascii="Times New Roman" w:hAnsi="Times New Roman" w:cs="Times New Roman"/>
        </w:rPr>
        <w:fldChar w:fldCharType="begin" w:fldLock="1"/>
      </w:r>
      <w:r w:rsidR="00307058">
        <w:rPr>
          <w:rFonts w:ascii="Times New Roman" w:hAnsi="Times New Roman" w:cs="Times New Roman"/>
        </w:rPr>
        <w:instrText xml:space="preserve">ADDIN CSL_CITATION {"citationItems":[{"id":"ITEM-1","itemData":{"DOI":"10.1111/j.1462-2920.2011.02526.x","ISBN":"1462-2912","ISSN":"14622912","PMID":"21806748","abstract":"Uncultured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Microbiology","id":"ITEM-1","issue":"9","issued":{"date-parts":[["2011"]]},"page":"2548-2564","title":"Environmental evidence for net methane production and oxidation in putative ANaerobic MEthanotrophic (ANME) archaea","type":"article-journal","volume":"13"},"uris":["http://www.mendeley.com/documents/?uuid=66d37395-cd0d-4af9-893f-431870bc2bc8"]},{"id":"ITEM-2","itemData":{"author":[{"dropping-particle":"","family":"Martens","given":"S","non-dropping-particle":"","parse-names":false,"suffix":""},{"dropping-particle":"","family":"Goldhaber","given":"B","non-dropping-particle":"","parse-names":false,"suffix":""}],"id":"ITEM-2","issue":"3","issued":{"date-parts":[["1978"]]},"title":"Early diagenesis in transitional sedimentary environments of the White Oak River Estuary , North Carolina","type":"article-journal","volume":"23"},"uris":["http://www.mendeley.com/documents/?uuid=0b73bc7b-ae47-4d49-b831-f1e27998a8ef"]},{"id":"ITEM-3","itemData":{"DOI":"10.1016/S0278-4343(98)00057-0","ISSN":"02784343","abstract":"To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Research","id":"ITEM-3","issue":"14-15","issued":{"date-parts":[["1998"]]},"page":"1771-1793","title":"Biogeochemical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Sediments","type":"article-journal","volume":"18"},"uris":["http://www.mendeley.com/documents/?uuid=f58213f7-2aba-41a0-ad11-b3deae1e2092"]},{"id":"ITEM-4","itemData":{"DOI":"10.4319/lo.1990.35.2.0372","ISSN":"19395590","abstract":"This article is in Free Access Publication and may be downloaded using the “Download Full Text PDF” link at right. © 1990, by the Association for the Sciences of Limnology and Oceanography, Inc.","author":[{"dropping-particle":"","family":"Kelley","given":"Cheryl A.","non-dropping-particle":"","parse-names":false,"suffix":""},{"dropping-particle":"","family":"Martens","given":"Christopher S.","non-dropping-particle":"","parse-names":false,"suffix":""},{"dropping-particle":"","family":"Chanton","given":"Jefrey P.","non-dropping-particle":"","parse-names":false,"suffix":""}],"container-title":"Limnology and Oceanography","id":"ITEM-4","issue":"2","issued":{"date-parts":[["1990"]]},"page":"372-383","title":"Variations in sedimentary carbon remineralization rates in the White Oak River estuary, North Carolina","type":"article-journal","volume":"35"},"uris":["http://www.mendeley.com/documents/?uuid=5e162661-f608-4baa-8158-6aba2efbdcf0"]},{"id":"ITEM-5","itemData":{"DOI":"10.1186/s40168-015-0077-6","ISSN":"2049-2618","abstract":"Estuaries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J","non-dropping-particle":"","parse-names":false,"suffix":""}],"container-title":"Microbiome","id":"ITEM-5","issue":"1","issued":{"date-parts":[["2015","12","13"]]},"page":"14","publisher":"BioMed Central","title":"Genomic resolution of linkages in carbon, nitrogen, and sulfur cycling among widespread estuary sediment bacteria","type":"article-journal","volume":"3"},"uris":["http://www.mendeley.com/documents/?uuid=9a188f01-0081-3e79-a3ab-79086163d314"]},{"id":"ITEM-6","itemData":{"DOI":"10.1038/ismej.2016.189","ISBN":"1751-7370","ISSN":"17517370","PMID":"28085154","abstract":"Genomic reconstruction of multiple lineages of uncultured benthic archaea suggests distinct biogeochemical roles and ecological niches","author":[{"dropping-particle":"","family":"Lazar","given":"C. S.","non-dropping-particle":"","parse-names":false,"suffix":""},{"dropping-particle":"","family":"Baker","given":"B. J.","non-dropping-particle":"","parse-names":false,"suffix":""},{"dropping-particle":"","family":"Seitz","given":"K. W.","non-dropping-particle":"","parse-names":false,"suffix":""},{"dropping-particle":"","family":"Teske","given":"A. P.","non-dropping-particle":"","parse-names":false,"suffix":""}],"container-title":"ISME Journal","id":"ITEM-6","issue":"5","issued":{"date-parts":[["2017"]]},"page":"1118-1129","publisher":"Nature Publishing Group","title":"Genomic reconstruction of multiple lineages of uncultured benthic archaea suggests distinct biogeochemical roles and ecological niches","type":"article-journal","volume":"11"},"uris":["http://www.mendeley.com/documents/?uuid=4457f87a-6999-4313-b89e-ab8a36ea391c"]},{"id":"ITEM-7","itemData":{"DOI":"10.1128/aem.00102-19","ISSN":"0099-2240","abstract":"Anoxic subsurface sediments contain communities of heterotrophic microorganisms that metabolize organic carbon at extraordinarily slow rates. In order to assess the mechanisms by which subsurface microorganisms access detrital sedimentary organic matter, we measured kinetics of a range of extracellular peptidases in anoxic sediments of the White Oak River estuary, NC. Nine distinct peptidase substrates were enzymatically hydrolyzed at all depths. Potential peptidase activities ( V max ) decreased with increasing sediment depth, although V max expressed on a per cell basis was approximately the same at all depths. Half-saturation constants ( K m ) decreased with depth, indicating peptidases that functioned more efficiently at low substrate concentrations. Potential activities of extracellular peptidases acting on molecules that are enriched in degraded organic matter (D-phenylalanine and L-ornithine) increased relative to enzymes that act on L-phenylalanine, further suggesting microbial community adaptation to access degraded organic matter. Nineteen classes of predicted, exported peptidases were identified in genomic data from the same site, of which genes for class C25 (gingipain-like) peptidases represented more than 40% at each depth. Methionine aminopeptidases, zinc carboxypeptidases, and class S24-like peptidases, which are involved in single-stranded DNA repair, were also abundant. These results suggest a subsurface heterotrophic microbial community that primarily accesses low-quality detrital organic matter via a diverse suite of well-adapted extracellular enzymes. Importance Burial of organic carbon in marine and estuarine sediments represents a long-term sink for atmospheric carbon dioxide. Globally, </w:instrText>
      </w:r>
      <w:r w:rsidR="00307058">
        <w:rPr>
          <w:rFonts w:ascii="Cambria Math" w:hAnsi="Cambria Math" w:cs="Cambria Math"/>
        </w:rPr>
        <w:instrText>∼</w:instrText>
      </w:r>
      <w:r w:rsidR="00307058">
        <w:rPr>
          <w:rFonts w:ascii="Times New Roman" w:hAnsi="Times New Roman" w:cs="Times New Roman"/>
        </w:rPr>
        <w:instrText>40% of organic carbon burial occurs in anoxic estuaries and deltaic systems. However, the ultimate controls on the amount of organic matter that is buried in sediments, versus oxidized into CO 2 , are poorly constrained. Here we used a combination of enzyme assays and metagenomic analysis to identify how subsurface microbial communities catalyze the first step of proteinaceous organic carbon degradation. Our results show that microbial communities in deeper sediments are adapted to access molecules characteristic of degraded organic matter, suggesting that those heterotrophs are adapted to life in the subsurface.","author":[{"dropping-particle":"","family":"Steen","given":"Andrew D.","non-dropping-particle":"","parse-names":false,"suffix":""},{"dropping-particle":"","family":"Kevorkian","given":"Richard T.","non-dropping-particle":"","parse-names":false,"suffix":""},{"dropping-particle":"","family":"Bird","given":"Jordan T.","non-dropping-particle":"","parse-names":false,"suffix":""},{"dropping-particle":"","family":"Dombrowski","given":"Nina","non-dropping-particle":"","parse-names":false,"suffix":""},{"dropping-particle":"","family":"Baker","given":"Brett J.","non-dropping-particle":"","parse-names":false,"suffix":""},{"dropping-particle":"","family":"Hagen","given":"Shane M.","non-dropping-particle":"","parse-names":false,"suffix":""},{"dropping-particle":"","family":"Mulligan","given":"Katherine H.","non-dropping-particle":"","parse-names":false,"suffix":""},{"dropping-particle":"","family":"Schmidt","given":"Jenna M.","non-dropping-particle":"","parse-names":false,"suffix":""},{"dropping-particle":"","family":"Webber","given":"Austen T.","non-dropping-particle":"","parse-names":false,"suffix":""},{"dropping-particle":"","family":"Royalty","given":"Taylor M.","non-dropping-particle":"","parse-names":false,"suffix":""},{"dropping-particle":"","family":"Alperin","given":"Marc J.","non-dropping-particle":"","parse-names":false,"suffix":""}],"container-title":"Applied and Environmental Microbiology","id":"ITEM-7","issue":"July","issued":{"date-parts":[["2019"]]},"title":"Kinetics and identities of extracellular peptidases in subsurface sediments of the White Oak River Estuary, NC","type":"article-journal"},"uris":["http://www.mendeley.com/documents/?uuid=5a90d168-b5fb-4b32-b47b-c39dd2a2f3da"]}],"mendeley":{"formattedCitation":"(8, 17, 115, 117, 118, 120, 127)","plainTextFormattedCitation":"(8, 17, 115, 117, 118, 120, 127)","previouslyFormattedCitation":"(8, 16, 114, 116, 117, 119, 126)"},"properties":{"noteIndex":0},"schema":"https://github.com/citation-style-language/schema/raw/master/csl-citation.json"}</w:instrText>
      </w:r>
      <w:r w:rsidRPr="009B6D22">
        <w:rPr>
          <w:rFonts w:ascii="Times New Roman" w:hAnsi="Times New Roman" w:cs="Times New Roman"/>
        </w:rPr>
        <w:fldChar w:fldCharType="separate"/>
      </w:r>
      <w:r w:rsidR="00307058" w:rsidRPr="00307058">
        <w:rPr>
          <w:rFonts w:ascii="Times New Roman" w:hAnsi="Times New Roman" w:cs="Times New Roman"/>
          <w:noProof/>
        </w:rPr>
        <w:t>(8, 17, 115, 117, 118, 120, 127)</w:t>
      </w:r>
      <w:r w:rsidRPr="009B6D22">
        <w:rPr>
          <w:rFonts w:ascii="Times New Roman" w:hAnsi="Times New Roman" w:cs="Times New Roman"/>
        </w:rPr>
        <w:fldChar w:fldCharType="end"/>
      </w:r>
      <w:r>
        <w:rPr>
          <w:rFonts w:ascii="Times New Roman" w:hAnsi="Times New Roman" w:cs="Times New Roman"/>
        </w:rPr>
        <w:t>. Prior to exploring possible ecological niches at the WOR,</w:t>
      </w:r>
      <w:r w:rsidR="00CF0FEA">
        <w:rPr>
          <w:rFonts w:ascii="Times New Roman" w:hAnsi="Times New Roman" w:cs="Times New Roman"/>
        </w:rPr>
        <w:t xml:space="preserve"> I </w:t>
      </w:r>
      <w:r>
        <w:rPr>
          <w:rFonts w:ascii="Times New Roman" w:hAnsi="Times New Roman" w:cs="Times New Roman"/>
        </w:rPr>
        <w:t>sought to evaluate inventories of TOC, DIC, CH</w:t>
      </w:r>
      <w:r>
        <w:rPr>
          <w:rFonts w:ascii="Times New Roman" w:hAnsi="Times New Roman" w:cs="Times New Roman"/>
          <w:vertAlign w:val="subscript"/>
        </w:rPr>
        <w:t>4</w:t>
      </w:r>
      <w:r>
        <w:rPr>
          <w:rFonts w:ascii="Times New Roman" w:hAnsi="Times New Roman" w:cs="Times New Roman"/>
        </w:rPr>
        <w:t>,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the primary electron donors (TOC and CH</w:t>
      </w:r>
      <w:r>
        <w:rPr>
          <w:rFonts w:ascii="Times New Roman" w:hAnsi="Times New Roman" w:cs="Times New Roman"/>
          <w:vertAlign w:val="subscript"/>
        </w:rPr>
        <w:t>4</w:t>
      </w:r>
      <w:r>
        <w:rPr>
          <w:rFonts w:ascii="Times New Roman" w:hAnsi="Times New Roman" w:cs="Times New Roman"/>
        </w:rPr>
        <w:t>) and acceptor (DIC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in WOR sediments. As a part of this study,</w:t>
      </w:r>
      <w:r w:rsidR="00CF0FEA">
        <w:rPr>
          <w:rFonts w:ascii="Times New Roman" w:hAnsi="Times New Roman" w:cs="Times New Roman"/>
        </w:rPr>
        <w:t xml:space="preserve"> I </w:t>
      </w:r>
      <w:r>
        <w:rPr>
          <w:rFonts w:ascii="Times New Roman" w:hAnsi="Times New Roman" w:cs="Times New Roman"/>
        </w:rPr>
        <w:t>quantified major seawater cations</w:t>
      </w:r>
      <w:r w:rsidRPr="00F23F20">
        <w:rPr>
          <w:rFonts w:ascii="Times New Roman" w:hAnsi="Times New Roman" w:cs="Times New Roman"/>
          <w:color w:val="000000"/>
        </w:rPr>
        <w:t xml:space="preserve"> </w:t>
      </w:r>
      <w:r>
        <w:rPr>
          <w:rFonts w:ascii="Times New Roman" w:hAnsi="Times New Roman" w:cs="Times New Roman"/>
          <w:color w:val="000000"/>
        </w:rPr>
        <w:t>(</w:t>
      </w:r>
      <w:r w:rsidRPr="00F23F20">
        <w:rPr>
          <w:rFonts w:ascii="Times New Roman" w:hAnsi="Times New Roman" w:cs="Times New Roman"/>
          <w:color w:val="000000"/>
        </w:rPr>
        <w:t>Na</w:t>
      </w:r>
      <w:r w:rsidRPr="00F23F20">
        <w:rPr>
          <w:rFonts w:ascii="Times New Roman" w:hAnsi="Times New Roman" w:cs="Times New Roman"/>
          <w:color w:val="000000"/>
          <w:vertAlign w:val="superscript"/>
        </w:rPr>
        <w:t>+</w:t>
      </w:r>
      <w:r w:rsidRPr="00F23F20">
        <w:rPr>
          <w:rFonts w:ascii="Times New Roman" w:hAnsi="Times New Roman" w:cs="Times New Roman"/>
          <w:color w:val="000000"/>
        </w:rPr>
        <w:t>, Mg</w:t>
      </w:r>
      <w:r w:rsidRPr="00F23F20">
        <w:rPr>
          <w:rFonts w:ascii="Times New Roman" w:hAnsi="Times New Roman" w:cs="Times New Roman"/>
          <w:color w:val="000000"/>
          <w:vertAlign w:val="superscript"/>
        </w:rPr>
        <w:t>2+</w:t>
      </w:r>
      <w:r w:rsidRPr="00F23F20">
        <w:rPr>
          <w:rFonts w:ascii="Times New Roman" w:hAnsi="Times New Roman" w:cs="Times New Roman"/>
          <w:color w:val="000000"/>
        </w:rPr>
        <w:t>, K</w:t>
      </w:r>
      <w:r w:rsidRPr="00F23F20">
        <w:rPr>
          <w:rFonts w:ascii="Times New Roman" w:hAnsi="Times New Roman" w:cs="Times New Roman"/>
          <w:color w:val="000000"/>
          <w:vertAlign w:val="superscript"/>
        </w:rPr>
        <w:t>+</w:t>
      </w:r>
      <w:r w:rsidRPr="00F23F20">
        <w:rPr>
          <w:rFonts w:ascii="Times New Roman" w:hAnsi="Times New Roman" w:cs="Times New Roman"/>
          <w:color w:val="000000"/>
        </w:rPr>
        <w:t>, NH</w:t>
      </w:r>
      <w:r w:rsidRPr="00F23F20">
        <w:rPr>
          <w:rFonts w:ascii="Times New Roman" w:hAnsi="Times New Roman" w:cs="Times New Roman"/>
          <w:color w:val="000000"/>
          <w:vertAlign w:val="subscript"/>
        </w:rPr>
        <w:t>4</w:t>
      </w:r>
      <w:r w:rsidRPr="00F23F20">
        <w:rPr>
          <w:rFonts w:ascii="Times New Roman" w:hAnsi="Times New Roman" w:cs="Times New Roman"/>
          <w:color w:val="000000"/>
          <w:vertAlign w:val="superscript"/>
        </w:rPr>
        <w:t>+</w:t>
      </w:r>
      <w:r w:rsidRPr="00F23F20">
        <w:rPr>
          <w:rFonts w:ascii="Times New Roman" w:hAnsi="Times New Roman" w:cs="Times New Roman"/>
          <w:color w:val="000000"/>
        </w:rPr>
        <w:t>, and Ca</w:t>
      </w:r>
      <w:r w:rsidRPr="00F23F20">
        <w:rPr>
          <w:rFonts w:ascii="Times New Roman" w:hAnsi="Times New Roman" w:cs="Times New Roman"/>
          <w:color w:val="000000"/>
          <w:vertAlign w:val="superscript"/>
        </w:rPr>
        <w:t>2+</w:t>
      </w:r>
      <w:r>
        <w:rPr>
          <w:rFonts w:ascii="Times New Roman" w:hAnsi="Times New Roman" w:cs="Times New Roman"/>
          <w:color w:val="000000"/>
        </w:rPr>
        <w:t>)</w:t>
      </w:r>
      <w:r>
        <w:rPr>
          <w:rFonts w:ascii="Times New Roman" w:hAnsi="Times New Roman" w:cs="Times New Roman"/>
        </w:rPr>
        <w:t>, anions (</w:t>
      </w:r>
      <w:r w:rsidRPr="00F23F20">
        <w:rPr>
          <w:rFonts w:ascii="Times New Roman" w:hAnsi="Times New Roman" w:cs="Times New Roman"/>
          <w:color w:val="000000"/>
        </w:rPr>
        <w:t>SO</w:t>
      </w:r>
      <w:r w:rsidRPr="00F23F20">
        <w:rPr>
          <w:rFonts w:ascii="Times New Roman" w:hAnsi="Times New Roman" w:cs="Times New Roman"/>
          <w:color w:val="000000"/>
          <w:vertAlign w:val="subscript"/>
        </w:rPr>
        <w:t>4</w:t>
      </w:r>
      <w:r w:rsidRPr="00F23F20">
        <w:rPr>
          <w:rFonts w:ascii="Times New Roman" w:hAnsi="Times New Roman" w:cs="Times New Roman"/>
          <w:color w:val="000000"/>
          <w:vertAlign w:val="superscript"/>
        </w:rPr>
        <w:t>2-</w:t>
      </w:r>
      <w:r>
        <w:rPr>
          <w:rFonts w:ascii="Times New Roman" w:hAnsi="Times New Roman" w:cs="Times New Roman"/>
          <w:color w:val="000000"/>
        </w:rPr>
        <w:t>, Cl</w:t>
      </w:r>
      <w:r>
        <w:rPr>
          <w:rFonts w:ascii="Times New Roman" w:hAnsi="Times New Roman" w:cs="Times New Roman"/>
          <w:color w:val="000000"/>
          <w:vertAlign w:val="superscript"/>
        </w:rPr>
        <w:t>-</w:t>
      </w:r>
      <w:r>
        <w:rPr>
          <w:rFonts w:ascii="Times New Roman" w:hAnsi="Times New Roman" w:cs="Times New Roman"/>
          <w:color w:val="000000"/>
        </w:rPr>
        <w:t>, PO</w:t>
      </w:r>
      <w:r>
        <w:rPr>
          <w:rFonts w:ascii="Times New Roman" w:hAnsi="Times New Roman" w:cs="Times New Roman"/>
          <w:color w:val="000000"/>
          <w:vertAlign w:val="subscript"/>
        </w:rPr>
        <w:t>4</w:t>
      </w:r>
      <w:r>
        <w:rPr>
          <w:rFonts w:ascii="Times New Roman" w:hAnsi="Times New Roman" w:cs="Times New Roman"/>
          <w:color w:val="000000"/>
          <w:vertAlign w:val="superscript"/>
        </w:rPr>
        <w:t>3-</w:t>
      </w:r>
      <w:r>
        <w:rPr>
          <w:rFonts w:ascii="Times New Roman" w:hAnsi="Times New Roman" w:cs="Times New Roman"/>
          <w:color w:val="000000"/>
        </w:rPr>
        <w:t>, Br</w:t>
      </w:r>
      <w:r>
        <w:rPr>
          <w:rFonts w:ascii="Times New Roman" w:hAnsi="Times New Roman" w:cs="Times New Roman"/>
          <w:color w:val="000000"/>
          <w:vertAlign w:val="superscript"/>
        </w:rPr>
        <w:t>-</w:t>
      </w:r>
      <w:r>
        <w:rPr>
          <w:rFonts w:ascii="Times New Roman" w:hAnsi="Times New Roman" w:cs="Times New Roman"/>
          <w:color w:val="000000"/>
        </w:rPr>
        <w:t>)</w:t>
      </w:r>
      <w:r>
        <w:rPr>
          <w:rFonts w:ascii="Times New Roman" w:hAnsi="Times New Roman" w:cs="Times New Roman"/>
        </w:rPr>
        <w:t xml:space="preserve">, and DOM spectral slope from porewater as well as TOC, TON, organic </w:t>
      </w:r>
      <w:r>
        <w:rPr>
          <w:rFonts w:ascii="Times New Roman" w:hAnsi="Times New Roman" w:cs="Times New Roman"/>
          <w:vertAlign w:val="superscript"/>
        </w:rPr>
        <w:t>13</w:t>
      </w:r>
      <w:r>
        <w:rPr>
          <w:rFonts w:ascii="Times New Roman" w:hAnsi="Times New Roman" w:cs="Times New Roman"/>
        </w:rPr>
        <w:t>C isotope composition, and dissolved CH</w:t>
      </w:r>
      <w:r>
        <w:rPr>
          <w:rFonts w:ascii="Times New Roman" w:hAnsi="Times New Roman" w:cs="Times New Roman"/>
          <w:vertAlign w:val="subscript"/>
        </w:rPr>
        <w:t>4</w:t>
      </w:r>
      <w:r>
        <w:rPr>
          <w:rFonts w:ascii="Times New Roman" w:hAnsi="Times New Roman" w:cs="Times New Roman"/>
        </w:rPr>
        <w:t xml:space="preserve"> from bulk sediment (Figure 4.1). </w:t>
      </w:r>
    </w:p>
    <w:p w14:paraId="6E57CD53" w14:textId="77777777" w:rsidR="00365526" w:rsidRDefault="00365526" w:rsidP="00365526">
      <w:pPr>
        <w:pStyle w:val="Heading3"/>
      </w:pPr>
      <w:bookmarkStart w:id="275" w:name="_Toc41908137"/>
      <w:r>
        <w:t>Castle Hayne Aquifer and Ion Dilution in WOR Sediments</w:t>
      </w:r>
      <w:bookmarkEnd w:id="275"/>
    </w:p>
    <w:p w14:paraId="396CE562" w14:textId="00039A82" w:rsidR="00365526" w:rsidRDefault="00365526" w:rsidP="00365526">
      <w:pPr>
        <w:spacing w:line="480" w:lineRule="auto"/>
        <w:rPr>
          <w:rFonts w:ascii="Times New Roman" w:hAnsi="Times New Roman" w:cs="Times New Roman"/>
        </w:rPr>
      </w:pPr>
      <w:r>
        <w:rPr>
          <w:rFonts w:ascii="Times New Roman" w:hAnsi="Times New Roman" w:cs="Times New Roman"/>
        </w:rPr>
        <w:tab/>
        <w:t xml:space="preserve">The decrease in major seawater ion concentration with sediment depth was previously reported in WOR sediments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author":[{"dropping-particle":"","family":"Martens","given":"S","non-dropping-particle":"","parse-names":false,"suffix":""},{"dropping-particle":"","family":"Goldhaber","given":"B","non-dropping-particle":"","parse-names":false,"suffix":""}],"id":"ITEM-1","issue":"3","issued":{"date-parts":[["1978"]]},"title":"Early diagenesis in transitional sedimentary environments of the White Oak River Estuary , North Carolina","type":"article-journal","volume":"23"},"uris":["http://www.mendeley.com/documents/?uuid=0b73bc7b-ae47-4d49-b831-f1e27998a8ef"]},{"id":"ITEM-2","itemData":{"DOI":"10.1016/j.margeo.2005.02.018","ISSN":"00253227","abstract":"The relationship between seismic wipe-outs, methane accumulation, and pore water salinity was investigated using high-resolution seismic profiles, pore water geochemical measurements, and sediment property data from the White Oak River Estuary, North Carolina. The estuary is a broad, shallow, drowned river valley filled with organic rich sediment where the salinity changes from fresh to sea water within 10 km. Uniboom seismic reflection profiles indicate a distinct pattern in the distribution of seismic wipe-outs. Wipe-outs dominate the upper estuary but are not observed in the lower estuary. Sediment pore water chlorinities decrease upstream but the sharpest gradients occur with depth. At ≤ 50 cm depths in the upper half of the estuary, pore waters typically have less than 100 mmol L-1 chloride even though overlying estuarine waters have 300-400 mmol L-1 chloride. Concave chloride profiles demonstrate that sediments in the upper estuary are actively flushed with fresh water moving upward through the sediments from underlying aquifers. The associated decrease in interstitial sulfate concentrations combined with high organic carbon content provides favorable conditions for methane production and accumulation. Seismic wipe-outs are correlated with areas of high methane concentrations and with sediments containing low pore water salinities. © 2005 Elsevier B.V. All rights reserved.","author":[{"dropping-particle":"","family":"Kogan","given":"Irina","non-dropping-particle":"","parse-names":false,"suffix":""},{"dropping-particle":"","family":"Paull","given":"Charles K.","non-dropping-particle":"","parse-names":false,"suffix":""}],"container-title":"Marine Geology","id":"ITEM-2","issue":"1-2","issued":{"date-parts":[["2005"]]},"page":"161-175","title":"Coastal seismic wipe-outs: Distribution controlled by pore water.","type":"article-journal","volume":"217"},"uris":["http://www.mendeley.com/documents/?uuid=4850f69b-59f6-435e-a84a-c7c588840abf"]}],"mendeley":{"formattedCitation":"(115, 119)","plainTextFormattedCitation":"(115, 119)","previouslyFormattedCitation":"(114, 118)"},"properties":{"noteIndex":0},"schema":"https://github.com/citation-style-language/schema/raw/master/csl-citation.json"}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(115, 119)</w:t>
      </w:r>
      <w:r>
        <w:rPr>
          <w:rFonts w:ascii="Times New Roman" w:hAnsi="Times New Roman" w:cs="Times New Roman"/>
        </w:rPr>
        <w:fldChar w:fldCharType="end"/>
      </w:r>
      <w:r>
        <w:rPr>
          <w:rFonts w:ascii="Times New Roman" w:hAnsi="Times New Roman" w:cs="Times New Roman"/>
        </w:rPr>
        <w:t xml:space="preserve">. The reduction in concentrations can be explained by intrusion of groundwater from the underlying Castle Hayne aquifer. Geological surveying indicates that the confining unit for the Castle Hayne aquifer is thin (~4.2 m) and porous across Eastern North Carolina. In some instances, the confining unit has been reported to be absent leading to direct contact between river/estuary systems and the Castle Hayne aquifer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{"citationItems":[{"id":"ITEM-1","itemData":{"DOI":"10.1016/S0022-1694(01)00405-X","ISSN":"00221694","abstract":"We calculate rates of groundwater discharge into the White Oak River in coastal North Carolina, using time series measurements of the thermal structure of shallow estuarine sediments recorded over a period of four months. Computer models using numerical solutions to the advection-diffusion equation show that sediment thermal structure is not explained by purely conductive heat transport. Results of models that incorporate groundwater advection from an underlying source closely mimic field observations of sediment temperatures, verifying that thermal data can be used to monitor groundwater discharge. An advantage of this technique is that it provides insight into temporal variations in groundwater flow rates. Thermal methods may thus be useful for quantifying groundwater flux in areas where low volumes of discharge cannot be detected by direct observation. © 2001 Elsevier Science B.V.","author":[{"dropping-particle":"","family":"Land","given":"Lewis A.","non-dropping-particle":"","parse-names":false,"suffix":""},{"dropping-particle":"","family":"Paull","given":"Charles K.","non-dropping-particle":"","parse-names":false,"suffix":""}],"container-title":"Journal of Hydrology","id":"ITEM-1","issue":"1-4","issued":{"date-parts":[["2001"]]},"page":"198-215","title":"Thermal gradients as a tool for estimating groundwater advective rates in a coastal estuary: White Oak River, North Carolina, USA","type":"article-journal","volume":"248"},"uris":["http://www.mendeley.com/documents/?uuid=6b707695-2b0a-42fa-98e6-4aa2f60337d5"]},{"id":"ITEM-2","itemData":{"ISSN":"10449612","abstract":"The hydrogeologic framework of the North Carolina Coastal Plain aquifer system consists of 10 aquifers separated by 9 confining units. From top to bottom, the aquifers are the surficial aquifer, Yorktown aquifer, Pungo River aquifer, Castle Hayne aquifer, Beaufort aquifer, Peedee aquifer, Black Creek aquifer, upper Cape Fear aquifer, lower Cape Fear aquifer, and Lower Cretaceous aquifer. The uppermost aquifer (the surficial aquifer in most places) is a water-table aquifer, and the bottom of the system is underlain by crystalline bedrock. The sedimentary deposits forming the aquifers are of Holocene to Cretaceous age and are composed mostly of sand, with lesser amounts of gravel and limestone. The confining units between the aquifers are composed primarily of clay and silt. The thickness of the aquifers ranges from zero along the Fall Line to more than 10,000 feet at Cape Hatteras. Prominent structural features are the increasing easterly homoclinal dip of the sediments and the Cape Fear arch, the axis of which trends in a southeast direction. Stratigraphic continuity was determined from correlations of 161 geophysical logs along with data from drillers' and geologists' logs. Aquifers were defined by means of these logs as well as water-level and water-quality data and evidence of the continuity of pumping effects. Eighteen hydrogeologic sections depict the correlation of these aquifers throughout the North Carolina Coastal Plain.","author":[{"dropping-particle":"","family":"Winner","given":"M. D.","non-dropping-particle":"","parse-names":false,"suffix":""},{"dropping-particle":"","family":"Coble","given":"R. W.","non-dropping-particle":"","parse-names":false,"suffix":""}],"container-title":"US Geological Survey Professional Paper","id":"ITEM-2","issue":"1404 I","issued":{"date-parts":[["1996"]]},"page":"11-150","title":"Hydrogeologic framework of the North Carolina Coastal Plain","type":"article-journal"},"uris":["http://www.mendeley.com/documents/?uuid=ac3beb7a-9c21-47f2-8816-5c244881356c"]},{"id":"ITEM-3","itemData":{"DOI":"10.1016/j.margeo.2005.02.018","ISSN":"00253227","abstract":"The relationship between seismic wipe-outs, methane accumulation, and pore water salinity was investigated using high-resolution seismic profiles, pore water geochemical measurements, and sediment property data from the White Oak River Estuary, North Carolina. The estuary is a broad, shallow, drowned river valley filled with organic rich sediment where the salinity changes from fresh to sea water within 10 km. Uniboom seismic reflection profiles indicate a distinct pattern in the distribution of seismic wipe-outs. Wipe-outs dominate the upper estuary but are not observed in the lower estuary. Sediment pore water chlorinities decrease upstream but the sharpest gradients occur with depth. At ≤ 50 cm depths in the upper half of the estuary, pore waters typically have less than 100 mmol L-1 chloride even though overlying estuarine waters have 300-400 mmol L-1 chloride. Concave chloride profiles demonstrate that sediments in the upper estuary are actively flushed with fresh water moving upward through the sediments from underlying aquifers. The associated decrease in interstitial sulfate concentrations combined with high organic carbon content provides favorable conditions for methane production and accumulation. Seismic wipe-outs are correlated with areas of high methane concentrations and with sediments containing low pore water salinities. © 2005 Elsevier B.V. All rights reserved.","author":[{"dropping-particle":"","family":"Kogan","given":"Irina","non-dropping-particle":"","parse-names":false,"suffix":""},{"dropping-particle":"","family":"Paull","given":"Charles K.","non-dropping-particle":"","parse-names":false,"suffix":""}],"container-title":"Marine Geology","id":"ITEM-3","issue":"1-2","issued":{"date-parts":[["2005"]]},"page":"161-175","title":"Coastal seismic wipe-outs: Distribution controlled by pore water.","type":"article-journal","volume":"217"},"uris":["http://www.mendeley.com/documents/?uuid=4850f69b-59f6-435e-a84a-c7c588840abf"]}],"mendeley":{"formattedCitation":"(119, 124, 130)","plainTextFormattedCitation":"(119, 124, 130)","previouslyFormattedCitation":"(118, 123, 129)"},"properties":{"noteIndex":0},"schema":"https://github.com/citation-style-language/schema/raw/master/csl-citation.json"}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(119, 124, 130)</w:t>
      </w:r>
      <w:r>
        <w:rPr>
          <w:rFonts w:ascii="Times New Roman" w:hAnsi="Times New Roman" w:cs="Times New Roman"/>
        </w:rPr>
        <w:fldChar w:fldCharType="end"/>
      </w:r>
      <w:r>
        <w:rPr>
          <w:rFonts w:ascii="Times New Roman" w:hAnsi="Times New Roman" w:cs="Times New Roman"/>
        </w:rPr>
        <w:t xml:space="preserve">. Here, seawater ion concentrations became dilute with depth for all major seawater ions (Figure 4.2A-F,I). The dilution rate between 3 and 15 </w:t>
      </w:r>
      <w:proofErr w:type="spellStart"/>
      <w:r>
        <w:rPr>
          <w:rFonts w:ascii="Times New Roman" w:hAnsi="Times New Roman" w:cs="Times New Roman"/>
        </w:rPr>
        <w:t>cmbsf</w:t>
      </w:r>
      <w:proofErr w:type="spellEnd"/>
      <w:r>
        <w:rPr>
          <w:rFonts w:ascii="Times New Roman" w:hAnsi="Times New Roman" w:cs="Times New Roman"/>
        </w:rPr>
        <w:t xml:space="preserve"> and 16 and 60 </w:t>
      </w:r>
      <w:proofErr w:type="spellStart"/>
      <w:r>
        <w:rPr>
          <w:rFonts w:ascii="Times New Roman" w:hAnsi="Times New Roman" w:cs="Times New Roman"/>
        </w:rPr>
        <w:t>cmbsf</w:t>
      </w:r>
      <w:proofErr w:type="spellEnd"/>
      <w:r>
        <w:rPr>
          <w:rFonts w:ascii="Times New Roman" w:hAnsi="Times New Roman" w:cs="Times New Roman"/>
        </w:rPr>
        <w:t xml:space="preserve"> changed for all major seawater ions. At present, it is unclear whether the change in dilution rate reflects a lag in diffusion from oscillating water column salinity, the presence of fresh groundwater upwelling, or both. High </w:t>
      </w:r>
      <w:r>
        <w:rPr>
          <w:rFonts w:ascii="Times New Roman" w:hAnsi="Times New Roman" w:cs="Times New Roman"/>
        </w:rPr>
        <w:lastRenderedPageBreak/>
        <w:t xml:space="preserve">frequency variability in water column salinity would give rise to stable ion profiles at depth which could be used for inferring groundwater upwelling rates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{"citationItems":[{"id":"ITEM-1","itemData":{"DOI":"10.1016/j.marchem.2008.06.001","ISSN":"03044203","abstract":"Pore water chloride, sulfate, and methane profiles were measured at two Gulf of Mexico brine seeps to determine upward fluid advection rates and to quantify the advective methane flux from these sediments. We also measured δ13C-CH4 values to constrain the source of methane and determine whether anaerobic methane oxidation can occur at high chloride concentrations. Chloride concentrations were near seawater values at the sediment-water interface and reached as high as 4500 mM by 25 cm below seafloor (cmbsf). Advection rates were determined by a 1-D advection-diffusion model. Sulfate concentrations were near seawater values of 28 mM at the sediment-water interface and quickly decreased to ~ 1 mM by the bottom of the cores. The brine fluids were also charged with CH4 enriched water, reaching up to 3 mM, compared to background cores and could be an important source of methane to the overlying water column. At one site, dissolved methane had an average δ13C value of - 54 ± 0.2‰ and - 49 ± 6‰. Our main conclusions are: 1) advection rates are heterogeneous and range from 7 to 65 cm/year, 2) assuming brine fluids are devoid of sulfate, the sulfate depletion depth in these sediments is controlled by brine advection, 3) methane contained in the brine fluid has either a mixed biogenic/thermogenic source or a biogenic source that has been oxidized, and 4) the advective flux of methane from these brine seeps ranges from 2 to 58 mol m- 2 y- 1. © 2008 Elsevier B.V. All rights reserved.","author":[{"dropping-particle":"","family":"Lapham","given":"Laura L.","non-dropping-particle":"","parse-names":false,"suffix":""},{"dropping-particle":"","family":"Alperin","given":"Marc","non-dropping-particle":"","parse-names":false,"suffix":""},{"dropping-particle":"","family":"Chanton","given":"Jeffrey","non-dropping-particle":"","parse-names":false,"suffix":""},{"dropping-particle":"","family":"Martens","given":"Chris","non-dropping-particle":"","parse-names":false,"suffix":""}],"container-title":"Marine Chemistry","id":"ITEM-1","issue":"1-2","issued":{"date-parts":[["2008"]]},"page":"65-71","publisher":"Elsevier B.V.","title":"Upward advection rates and methane fluxes, oxidation, and sources at two Gulf of Mexico brine seeps","type":"article-journal","volume":"112"},"uris":["http://www.mendeley.com/documents/?uuid=cba04308-f2a6-4941-8cf1-ae058e9c65d2"]}],"mendeley":{"formattedCitation":"(131)","plainTextFormattedCitation":"(131)","previouslyFormattedCitation":"(130)"},"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(131)</w:t>
      </w:r>
      <w:r>
        <w:rPr>
          <w:rFonts w:ascii="Times New Roman" w:hAnsi="Times New Roman" w:cs="Times New Roman"/>
        </w:rPr>
        <w:fldChar w:fldCharType="end"/>
      </w:r>
      <w:r>
        <w:rPr>
          <w:rFonts w:ascii="Times New Roman" w:hAnsi="Times New Roman" w:cs="Times New Roman"/>
        </w:rPr>
        <w:t xml:space="preserve">. Previous studies assumed steady-state thermal gradients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{"citationItems":[{"id":"ITEM-1","itemData":{"DOI":"10.1016/S0022-1694(01)00405-X","ISSN":"00221694","abstract":"We calculate rates of groundwater discharge into the White Oak River in coastal North Carolina, using time series measurements of the thermal structure of shallow estuarine sediments recorded over a period of four months. Computer models using numerical solutions to the advection-diffusion equation show that sediment thermal structure is not explained by purely conductive heat transport. Results of models that incorporate groundwater advection from an underlying source closely mimic field observations of sediment temperatures, verifying that thermal data can be used to monitor groundwater discharge. An advantage of this technique is that it provides insight into temporal variations in groundwater flow rates. Thermal methods may thus be useful for quantifying groundwater flux in areas where low volumes of discharge cannot be detected by direct observation. © 2001 Elsevier Science B.V.","author":[{"dropping-particle":"","family":"Land","given":"Lewis A.","non-dropping-particle":"","parse-names":false,"suffix":""},{"dropping-particle":"","family":"Paull","given":"Charles K.","non-dropping-particle":"","parse-names":false,"suffix":""}],"container-title":"Journal of Hydrology","id":"ITEM-1","issue":"1-4","issued":{"date-parts":[["2001"]]},"page":"198-215","title":"Thermal gradients as a tool for estimating groundwater advective rates in a coastal estuary: White Oak River, North Carolina, USA","type":"article-journal","volume":"248"},"uris":["http://www.mendeley.com/documents/?uuid=6b707695-2b0a-42fa-98e6-4aa2f60337d5"]}],"mendeley":{"formattedCitation":"(124)","plainTextFormattedCitation":"(124)","previouslyFormattedCitation":"(123)"},"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(124)</w:t>
      </w:r>
      <w:r>
        <w:rPr>
          <w:rFonts w:ascii="Times New Roman" w:hAnsi="Times New Roman" w:cs="Times New Roman"/>
        </w:rPr>
        <w:fldChar w:fldCharType="end"/>
      </w:r>
      <w:r>
        <w:rPr>
          <w:rFonts w:ascii="Times New Roman" w:hAnsi="Times New Roman" w:cs="Times New Roman"/>
        </w:rPr>
        <w:t xml:space="preserve"> and transport modeling with Cl</w:t>
      </w:r>
      <w:r>
        <w:rPr>
          <w:rFonts w:ascii="Times New Roman" w:hAnsi="Times New Roman" w:cs="Times New Roman"/>
          <w:vertAlign w:val="superscript"/>
        </w:rPr>
        <w:t>-</w:t>
      </w:r>
      <w:r>
        <w:rPr>
          <w:rFonts w:ascii="Times New Roman" w:hAnsi="Times New Roman" w:cs="Times New Roman"/>
        </w:rPr>
        <w:t xml:space="preserve"> concentrations (treated as a conservative tracer)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{"citationItems":[{"id":"ITEM-1","itemData":{"DOI":"10.1016/j.margeo.2005.02.018","ISSN":"00253227","abstract":"The relationship between seismic wipe-outs, methane accumulation, and pore water salinity was investigated using high-resolution seismic profiles, pore water geochemical measurements, and sediment property data from the White Oak River Estuary, North Carolina. The estuary is a broad, shallow, drowned river valley filled with organic rich sediment where the salinity changes from fresh to sea water within 10 km. Uniboom seismic reflection profiles indicate a distinct pattern in the distribution of seismic wipe-outs. Wipe-outs dominate the upper estuary but are not observed in the lower estuary. Sediment pore water chlorinities decrease upstream but the sharpest gradients occur with depth. At ≤ 50 cm depths in the upper half of the estuary, pore waters typically have less than 100 mmol L-1 chloride even though overlying estuarine waters have 300-400 mmol L-1 chloride. Concave chloride profiles demonstrate that sediments in the upper estuary are actively flushed with fresh water moving upward through the sediments from underlying aquifers. The associated decrease in interstitial sulfate concentrations combined with high organic carbon content provides favorable conditions for methane production and accumulation. Seismic wipe-outs are correlated with areas of high methane concentrations and with sediments containing low pore water salinities. © 2005 Elsevier B.V. All rights reserved.","author":[{"dropping-particle":"","family":"Kogan","given":"Irina","non-dropping-particle":"","parse-names":false,"suffix":""},{"dropping-particle":"","family":"Paull","given":"Charles K.","non-dropping-particle":"","parse-names":false,"suffix":""}],"container-title":"Marine Geology","id":"ITEM-1","issue":"1-2","issued":{"date-parts":[["2005"]]},"page":"161-175","title":"Coastal seismic wipe-outs: Distribution controlled by pore water.","type":"article-journal","volume":"217"},"uris":["http://www.mendeley.com/documents/?uuid=4850f69b-59f6-435e-a84a-c7c588840abf"]}],"mendeley":{"formattedCitation":"(119)","plainTextFormattedCitation":"(119)","previouslyFormattedCitation":"(118)"},"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(119)</w:t>
      </w:r>
      <w:r>
        <w:rPr>
          <w:rFonts w:ascii="Times New Roman" w:hAnsi="Times New Roman" w:cs="Times New Roman"/>
        </w:rPr>
        <w:fldChar w:fldCharType="end"/>
      </w:r>
      <w:r>
        <w:rPr>
          <w:rFonts w:ascii="Times New Roman" w:hAnsi="Times New Roman" w:cs="Times New Roman"/>
        </w:rPr>
        <w:t xml:space="preserve"> to infer groundwater upwelling. In these studies, groundwater advection estimates spanned from 0.6 to 15.3 cm yr</w:t>
      </w:r>
      <w:r>
        <w:rPr>
          <w:rFonts w:ascii="Times New Roman" w:hAnsi="Times New Roman" w:cs="Times New Roman"/>
          <w:vertAlign w:val="superscript"/>
        </w:rPr>
        <w:t>-1</w:t>
      </w:r>
      <w:r>
        <w:rPr>
          <w:rFonts w:ascii="Times New Roman" w:hAnsi="Times New Roman" w:cs="Times New Roman"/>
          <w:vertAlign w:val="subscript"/>
        </w:rPr>
        <w:t xml:space="preserve"> </w:t>
      </w:r>
      <w:r w:rsidRPr="007219A9">
        <w:rPr>
          <w:rFonts w:ascii="Times New Roman" w:hAnsi="Times New Roman" w:cs="Times New Roman"/>
        </w:rPr>
        <w:t>dep</w:t>
      </w:r>
      <w:r>
        <w:rPr>
          <w:rFonts w:ascii="Times New Roman" w:hAnsi="Times New Roman" w:cs="Times New Roman"/>
        </w:rPr>
        <w:t xml:space="preserve">ending on the time of year at Station H. The relative importance of the advection versus diffusion terms (equation 4.7) in explaining dissolved ion are difficult to ascertain without salinity timeseries data from the WOR water column. </w:t>
      </w:r>
    </w:p>
    <w:p w14:paraId="21A8C0BD" w14:textId="77777777" w:rsidR="00365526" w:rsidRDefault="00365526" w:rsidP="00365526">
      <w:pPr>
        <w:pStyle w:val="Heading3"/>
      </w:pPr>
      <w:bookmarkStart w:id="276" w:name="_Toc41908138"/>
      <w:r>
        <w:t>Metabolic Alterations to Organic Carbon in WOR Sediments</w:t>
      </w:r>
      <w:bookmarkEnd w:id="276"/>
    </w:p>
    <w:p w14:paraId="61F6C7DC" w14:textId="2B6A8F0E" w:rsidR="00365526" w:rsidRPr="00094D19" w:rsidRDefault="00365526" w:rsidP="00365526">
      <w:pPr>
        <w:spacing w:line="480" w:lineRule="auto"/>
        <w:ind w:firstLine="720"/>
        <w:rPr>
          <w:rFonts w:ascii="Times New Roman" w:hAnsi="Times New Roman" w:cs="Times New Roman"/>
        </w:rPr>
      </w:pPr>
      <w:r>
        <w:rPr>
          <w:rFonts w:ascii="Times New Roman" w:hAnsi="Times New Roman" w:cs="Times New Roman"/>
        </w:rPr>
        <w:t xml:space="preserve">Sediments in United States Coastal Plains estuaries are characterized by high OC burial with low oxygen penetration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{"citationItems":[{"id":"ITEM-1","itemData":{"DOI":"10.1029/2019GB006376","ISSN":"19449224","abstract":"Estuaries represent the primary linkage between the terrestrial and marine carbon cycles, and estuarine processing of riverine and coastal carbon plays a disproportionately large role in the global carbon cycle relative to the small areal extent of the estuarine environments. However, knowledge of the rate of organic carbon deposition and burial in estuarine sediments is lacking at regional scales. Data on surficial total organic carbon, linear sedimentation, and bulk density of estuarine sediments were compiled and categorized via a cluster analysis in order to estimate carbon deposition within the contiguous United States (CONUS). The cluster analysis broadly grouped estuaries by geography, but exceptions to geographic clustering highlighted differences within regions. A transfer function from deposition to burial based on linear sedimentation rate was used to estimate burial efficiency, and thus the rate of carbon burial within each cluster. We estimate organic carbon deposition rates within CONUS estuarine sediments to be 161 [121–217, 95% confidence] g C/m2/yr with a burial efficiency estimated at 38 [34–42, 95% confidence] %, which yields a long-term burial rate of 64 [44–97, 95% confidence] g C/m2/yr. Spatially integrated organic deposition and burial rates are 11.3 [8.5–15.2, 95% confidence] and 4.5 [3.1–6.8, 95% confidence] Tg C/yr, respectively. Our findings allow a more thorough understanding of coastal carbon cycling, which is critical for both management purposes as well as for the assessment of the role of estuaries in past and future climate change.","author":[{"dropping-particle":"","family":"Hutchings","given":"J. A.","non-dropping-particle":"","parse-names":false,"suffix":""},{"dropping-particle":"","family":"Bianchi","given":"T. S.","non-dropping-particle":"","parse-names":false,"suffix":""},{"dropping-particle":"","family":"Najjar","given":"R. G.","non-dropping-particle":"","parse-names":false,"suffix":""},{"dropping-particle":"","family":"Herrmann","given":"M.","non-dropping-particle":"","parse-names":false,"suffix":""},{"dropping-particle":"","family":"Kemp","given":"W. M.","non-dropping-particle":"","parse-names":false,"suffix":""},{"dropping-particle":"","family":"Hinson","given":"A. L.","non-dropping-particle":"","parse-names":false,"suffix":""},{"dropping-particle":"","family":"Feagin","given":"R. A.","non-dropping-particle":"","parse-names":false,"suffix":""}],"container-title":"Global Biogeochemical Cycles","id":"ITEM-1","issue":"2","issued":{"date-parts":[["2020"]]},"title":"Carbon Deposition and Burial in Estuarine Sediments of the Contiguous United States","type":"article-journal","volume":"34"},"uris":["http://www.mendeley.com/documents/?uuid=aedf8aab-554b-49f4-b394-534a9f8f2c76"]}],"mendeley":{"formattedCitation":"(114)","plainTextFormattedCitation":"(114)","previouslyFormattedCitation":"(113)"},"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(114)</w:t>
      </w:r>
      <w:r>
        <w:rPr>
          <w:rFonts w:ascii="Times New Roman" w:hAnsi="Times New Roman" w:cs="Times New Roman"/>
        </w:rPr>
        <w:fldChar w:fldCharType="end"/>
      </w:r>
      <w:r>
        <w:rPr>
          <w:rFonts w:ascii="Times New Roman" w:hAnsi="Times New Roman" w:cs="Times New Roman"/>
        </w:rPr>
        <w:t>. The WOR sediments analyzed here were no exception, with OC burial efficiency of ~60% (Figure 4.3C). Although debates still exist about the primary variable controlling OC turnover in sediments, porewater O</w:t>
      </w:r>
      <w:r>
        <w:rPr>
          <w:rFonts w:ascii="Times New Roman" w:hAnsi="Times New Roman" w:cs="Times New Roman"/>
          <w:vertAlign w:val="subscript"/>
        </w:rPr>
        <w:t>2</w:t>
      </w:r>
      <w:r>
        <w:rPr>
          <w:rFonts w:ascii="Times New Roman" w:hAnsi="Times New Roman" w:cs="Times New Roman"/>
        </w:rPr>
        <w:t xml:space="preserve"> concentration</w:t>
      </w:r>
      <w:r w:rsidR="0089738C">
        <w:rPr>
          <w:rFonts w:ascii="Times New Roman" w:hAnsi="Times New Roman" w:cs="Times New Roman"/>
        </w:rPr>
        <w:t xml:space="preserve"> and exposure time</w:t>
      </w:r>
      <w:r>
        <w:rPr>
          <w:rFonts w:ascii="Times New Roman" w:hAnsi="Times New Roman" w:cs="Times New Roman"/>
        </w:rPr>
        <w:t xml:space="preserve"> is considered one of the more likely candidates influencing OC turnover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{"citationItems":[{"id":"ITEM-1","itemData":{"DOI":"10.1016/j.earscirev.2020.103146","ISSN":"00128252","abstract":"Organic carbon in marine sediments is a critical component of the global carbon cycle, and its degradation influences a wide range of phenomena, including the magnitude of carbon sequestration over geologic timescales, the recycling of inorganic carbon and nutrients, the dissolution and precipitation of carbonates, the production of methane and the nature of the seafloor biosphere. Although much has been learned about the factors that promote and hinder rates of organic carbon degradation in natural systems, the controls on the distribution of organic carbon in modern and ancient sediments are still not fully understood. In this review, we summarize how recent findings are changing entrenched perspectives on organic matter degradation in marine sediments: a shift from a structurally-based chemical reactivity viewpoint towards an emerging acceptance of the role of the ecosystem in organic matter degradation rates. That is, organic carbon has a range of reactivities determined by not only the nature of the organic compounds, but by the biological, geochemical, and physical attributes of its environment. This shift in mindset has gradually come about due to a greater diversity of sample sites, the molecular revolution in biology, discoveries concerning the extent and limits of life, advances in quantitative modeling, investigations of ocean carbon cycling under a variety of extreme paleo-conditions (e.g. greenhouse environments, euxinic/anoxic oceans), the application of novel analytical techniques and interdisciplinary efforts. Adopting this view across scientific disciplines will enable additional progress in understanding how marine sediments influence the global carbon cycle.","author":[{"dropping-particle":"","family":"LaRowe","given":"D. E.","non-dropping-particle":"","parse-names":false,"suffix":""},{"dropping-particle":"","family":"Arndt","given":"S.","non-dropping-particle":"","parse-names":false,"suffix":""},{"dropping-particle":"","family":"Bradley","given":"J. A.","non-dropping-particle":"","parse-names":false,"suffix":""},{"dropping-particle":"","family":"Estes","given":"E. R.","non-dropping-particle":"","parse-names":false,"suffix":""},{"dropping-particle":"","family":"Hoarfrost","given":"A.","non-dropping-particle":"","parse-names":false,"suffix":""},{"dropping-particle":"","family":"Lang","given":"S. Q.","non-dropping-particle":"","parse-names":false,"suffix":""},{"dropping-particle":"","family":"Lloyd","given":"K. G.","non-dropping-particle":"","parse-names":false,"suffix":""},{"dropping-particle":"","family":"Mahmoudi","given":"N.","non-dropping-particle":"","parse-names":false,"suffix":""},{"dropping-particle":"","family":"Orsi","given":"W. D.","non-dropping-particle":"","parse-names":false,"suffix":""},{"dropping-particle":"","family":"Shah Walter","given":"S. R.","non-dropping-particle":"","parse-names":false,"suffix":""},{"dropping-particle":"","family":"Steen","given":"A. D.","non-dropping-particle":"","parse-names":false,"suffix":""},{"dropping-particle":"","family":"Zhao","given":"R.","non-dropping-particle":"","parse-names":false,"suffix":""}],"container-title":"Earth-Science Reviews","id":"ITEM-1","issue":"August 2019","issued":{"date-parts":[["2020"]]},"page":"103146","publisher":"Elsevier","title":"The fate of organic carbon in marine sediments - New insights from recent data and analysis","type":"article-journal","volume":"204"},"uris":["http://www.mendeley.com/documents/?uuid=fff30d97-1abc-43c2-860a-d58cbaaf84c6"]},{"id":"ITEM-2","itemData":{"author":[{"dropping-particle":"","family":"Hartnett","given":"Hilairy E.","non-dropping-particle":"","parse-names":false,"suffix":""},{"dropping-particle":"","family":"Keil","given":"Richard G.","non-dropping-particle":"","parse-names":false,"suffix":""},{"dropping-particle":"","family":"Hedges","given":"John I.","non-dropping-particle":"","parse-names":false,"suffix":""},{"dropping-particle":"","family":"Devol","given":"Allan H.","non-dropping-particle":"","parse-names":false,"suffix":""}],"container-title":"Nature","id":"ITEM-2","issue":"February","issued":{"date-parts":[["1998"]]},"page":"572-574","title":"Influence of oxygen exposure time on organic carbon preservation in continental margin sediments","type":"article-journal","volume":"391"},"uris":["http://www.mendeley.com/documents/?uuid=cc461709-6cff-4dda-973c-3bd8e590c40d"]}],"mendeley":{"formattedCitation":"(113, 132)","plainTextFormattedCitation":"(113, 132)","previouslyFormattedCitation":"(112, 131)"},"properties":{"noteIndex":0},"schema":"https://github.com/citation-style-language/schema/raw/master/csl-citation.json"}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(113, 132)</w:t>
      </w:r>
      <w:r>
        <w:rPr>
          <w:rFonts w:ascii="Times New Roman" w:hAnsi="Times New Roman" w:cs="Times New Roman"/>
        </w:rPr>
        <w:fldChar w:fldCharType="end"/>
      </w:r>
      <w:r>
        <w:rPr>
          <w:rFonts w:ascii="Times New Roman" w:hAnsi="Times New Roman" w:cs="Times New Roman"/>
        </w:rPr>
        <w:t xml:space="preserve">. High carbon burial rates correlate with carbon burial efficiency as a result of higher aerobic respiration rates depleting oxygen at shallow depths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{"citationItems":[{"id":"ITEM-1","itemData":{"DOI":"10.1016/0921-8181(93)90062-S","ISSN":"09218181","abstract":"Many of the reactions and biogeochemical processes that occur in the marine environment are related directly or indirectly to the mineralization of organic matter. Decomposition of organic matter is responsible for the recycling of essential nutrients, for the oxygen balance of the ocean and its sediments and for most early diagenetic processes. The rate at which organic matter is mineralized varies over orders of magnitude and depends on, among other factors, the composition and orgin of the organic material being degraded and on the environmental conditions. However, direct relationship between organic matter decomposition rates and organic matter composition or between mineralization rates and organic matter decomposition pathways (e.g. oxic versus anoxic) are difficult to establish. © 1993.","author":[{"dropping-particle":"","family":"Middelburg","given":"Jack J.","non-dropping-particle":"","parse-names":false,"suffix":""},{"dropping-particle":"","family":"Vlug","given":"Tom","non-dropping-particle":"","parse-names":false,"suffix":""},{"dropping-particle":"","family":"Jaco","given":"F.","non-dropping-particle":"","parse-names":false,"suffix":""},{"dropping-particle":"","family":"Nat","given":"W. A.","non-dropping-particle":"van der","parse-names":false,"suffix":""}],"container-title":"Global and Planetary Change","id":"ITEM-1","issue":"1-2","issued":{"date-parts":[["1993"]]},"page":"47-58","title":"Organic matter mineralization in marine systems","type":"article-journal","volume":"8"},"uris":["http://www.mendeley.com/documents/?uuid=a76bf3d6-3edc-4edb-b751-e13357b4e6a4"]}],"mendeley":{"formattedCitation":"(133)","plainTextFormattedCitation":"(133)","previouslyFormattedCitation":"(132)"},"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(133)</w:t>
      </w:r>
      <w:r>
        <w:rPr>
          <w:rFonts w:ascii="Times New Roman" w:hAnsi="Times New Roman" w:cs="Times New Roman"/>
        </w:rPr>
        <w:fldChar w:fldCharType="end"/>
      </w:r>
      <w:r>
        <w:rPr>
          <w:rFonts w:ascii="Times New Roman" w:hAnsi="Times New Roman" w:cs="Times New Roman"/>
        </w:rPr>
        <w:t>. Although</w:t>
      </w:r>
      <w:r w:rsidR="00CF0FEA">
        <w:rPr>
          <w:rFonts w:ascii="Times New Roman" w:hAnsi="Times New Roman" w:cs="Times New Roman"/>
        </w:rPr>
        <w:t xml:space="preserve"> I </w:t>
      </w:r>
      <w:r>
        <w:rPr>
          <w:rFonts w:ascii="Times New Roman" w:hAnsi="Times New Roman" w:cs="Times New Roman"/>
        </w:rPr>
        <w:t>did not directly measure O</w:t>
      </w:r>
      <w:r>
        <w:rPr>
          <w:rFonts w:ascii="Times New Roman" w:hAnsi="Times New Roman" w:cs="Times New Roman"/>
          <w:vertAlign w:val="subscript"/>
        </w:rPr>
        <w:t>2</w:t>
      </w:r>
      <w:r>
        <w:rPr>
          <w:rFonts w:ascii="Times New Roman" w:hAnsi="Times New Roman" w:cs="Times New Roman"/>
        </w:rPr>
        <w:t>,</w:t>
      </w:r>
      <w:r w:rsidR="00CF0FEA">
        <w:rPr>
          <w:rFonts w:ascii="Times New Roman" w:hAnsi="Times New Roman" w:cs="Times New Roman"/>
        </w:rPr>
        <w:t xml:space="preserve"> I </w:t>
      </w:r>
      <w:r>
        <w:rPr>
          <w:rFonts w:ascii="Times New Roman" w:hAnsi="Times New Roman" w:cs="Times New Roman"/>
        </w:rPr>
        <w:t>estimate that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reduction initiated at ~5 </w:t>
      </w:r>
      <w:proofErr w:type="spellStart"/>
      <w:r>
        <w:rPr>
          <w:rFonts w:ascii="Times New Roman" w:hAnsi="Times New Roman" w:cs="Times New Roman"/>
        </w:rPr>
        <w:t>cmbsf</w:t>
      </w:r>
      <w:proofErr w:type="spellEnd"/>
      <w:r>
        <w:rPr>
          <w:rFonts w:ascii="Times New Roman" w:hAnsi="Times New Roman" w:cs="Times New Roman"/>
        </w:rPr>
        <w:t xml:space="preserve"> (based on the first derivatives of normalized seawater concentrations). This observation implied microbial metabolisms utilizing O</w:t>
      </w:r>
      <w:r>
        <w:rPr>
          <w:rFonts w:ascii="Times New Roman" w:hAnsi="Times New Roman" w:cs="Times New Roman"/>
          <w:vertAlign w:val="subscript"/>
        </w:rPr>
        <w:t>2</w:t>
      </w:r>
      <w:r>
        <w:rPr>
          <w:rFonts w:ascii="Times New Roman" w:hAnsi="Times New Roman" w:cs="Times New Roman"/>
        </w:rPr>
        <w:t>, NO</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Mn(IV), and Fe(III) were depleted in the top 5 </w:t>
      </w:r>
      <w:proofErr w:type="spellStart"/>
      <w:r>
        <w:rPr>
          <w:rFonts w:ascii="Times New Roman" w:hAnsi="Times New Roman" w:cs="Times New Roman"/>
        </w:rPr>
        <w:t>cmbsf</w:t>
      </w:r>
      <w:proofErr w:type="spellEnd"/>
      <w:r>
        <w:rPr>
          <w:rFonts w:ascii="Times New Roman" w:hAnsi="Times New Roman" w:cs="Times New Roman"/>
        </w:rPr>
        <w:t xml:space="preserve"> </w:t>
      </w:r>
      <w:r>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{"citationItems":[{"id":"ITEM-1","itemData":{"DOI":"10.1007/978-3-030-10822-9","ISBN":"978-3-030-10821-2","abstract":"Biogeochemistry, a branch of Earth System Sciences, focusses on the two-way interactions between organisms and their environment, including the cycling of energy and elements and the functioning of organisms and ecosystems. To this end, physical, chemical, biological and geological processes are studied using field observations, experiments, modelling and theory. The discipline of biogeochemistry has grown to such an extent that sub-disciplines have emerged. Consequently, producing a single comprehensive textbook covering all aspects, e.g., terrestrial, freshwater and marine domains, biogeochemical cycles and budgets of the major biological relevant elements, reconstruction of biogeochemical cycles in the past, earth system modelling, microbiological, organic and inorganic geochemical methods, theory and models, has become unworkable. This book provides a concise treatment of the main concepts in ocean carbon cycling research. It focusses on marine biogeochemical processes impacting the cycling of particulate carbon, in particular organic carbon. Other biogeochemical processes impacting nitrogen, phosphorus, sulphur, etc., and the identity of the organisms involved are only covered where needed to understand carbon biogeochemistry. Moreover, chemical and biological processes relevant to carbon cycling are central, i.e. for physical processes, the reader might consult the excellent ocean biogeochemical dynamics textbooks of Sarmiento and Gruber (2006; Princeton University Press) and Williams and Follows (2011; Cambridge University Press). My text aims to provide graduate students in marine and earth sciences a conceptual understanding of ocean carbon biogeochemistry, so that they are better equipped to read palaeorecords, can improve carbon biogeochemical models and generate more accurate projections of the functioning of the future ocean. Because the book is targeted at students having a background in environmental and earth sciences, some basic biological concepts are explained. Some basic understanding of calculus is expected. Simple mathematical models are used to highlight the most important factors governing carbon cycling in the ocean. The material here is based on a selection of lectures in my Utrecht University master course on Microbes and Biogeochemical Cycles. This first draft of this book was written during a three-month sabbatical stay at Department of Geosciences, Princeton University (April–June 2018). I thank Bess Ward, chair of that dep…","author":[{"dropping-particle":"","family":"Middelburg","given":"Jack J","non-dropping-particle":"","parse-names":false,"suffix":""}],"container-title":"Springer Briefs in Earth System Sciences","id":"ITEM-1","issued":{"date-parts":[["2019"]]},"number-of-pages":"126","title":"Marine Carbon Biogeochemistry: A Primer for Earth System Scientists","type":"book"},"uris":["http://www.mendeley.com/documents/?uuid=6d31ac80-18e0-4629-ada7-09f55767ae6f"]},{"id":"ITEM-2","itemData":{"DOI":"10.1186/s40168-015-0077-6","ISSN":"2049-2618","abstract":"Estuaries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J","non-dropping-particle":"","parse-names":false,"suffix":""}],"container-title":"Microbiome","id":"ITEM-2","issue":"1","issued":{"date-parts":[["2015","12","13"]]},"page":"14","publisher":"BioMed Central","title":"Genomic resolution of linkages in carbon, nitrogen, and sulfur cycling among widespread estuary sediment bacteria","type":"article-journal","volume":"3"},"uris":["http://www.mendeley.com/documents/?uuid=9a188f01-0081-3e79-a3ab-79086163d314"]}],"mendeley":{"formattedCitation":"(8, 15)","plainTextFormattedCitation":"(8, 15)","previouslyFormattedCitation":"(8, 15)"},"properties":{"noteIndex":0},"schema":"https://github.com/citation-style-language/schema/raw/master/csl-citation.json"}</w:instrText>
      </w:r>
      <w:r>
        <w:rPr>
          <w:rFonts w:ascii="Times New Roman" w:hAnsi="Times New Roman" w:cs="Times New Roman"/>
        </w:rPr>
        <w:fldChar w:fldCharType="separate"/>
      </w:r>
      <w:r w:rsidR="004620D1" w:rsidRPr="004620D1">
        <w:rPr>
          <w:rFonts w:ascii="Times New Roman" w:hAnsi="Times New Roman" w:cs="Times New Roman"/>
          <w:noProof/>
        </w:rPr>
        <w:t>(8, 15)</w:t>
      </w:r>
      <w:r>
        <w:rPr>
          <w:rFonts w:ascii="Times New Roman" w:hAnsi="Times New Roman" w:cs="Times New Roman"/>
        </w:rPr>
        <w:fldChar w:fldCharType="end"/>
      </w:r>
      <w:r>
        <w:rPr>
          <w:rFonts w:ascii="Times New Roman" w:hAnsi="Times New Roman" w:cs="Times New Roman"/>
        </w:rPr>
        <w:t xml:space="preserve"> and emphasizes range that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acts as the primary electron acceptor in oxidizing OC in WOR sediments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Research","id":"ITEM-1","issue":"14-15","issued":{"date-parts":[["1998"]]},"page":"1741-1770","title":"Biogeochemical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transport","type":"article-journal","volume":"18"},"uris":["http://www.mendeley.com/documents/?uuid=958789dd-a429-4c22-bcfc-7a6b933ed55a"]},{"id":"ITEM-2","itemData":{"DOI":"10.1016/S0278-4343(98)00057-0","ISSN":"02784343","abstract":"To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Research","id":"ITEM-2","issue":"14-15","issued":{"date-parts":[["1998"]]},"page":"1771-1793","title":"Biogeochemical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Sediments","type":"article-journal","volume":"18"},"uris":["http://www.mendeley.com/documents/?uuid=f58213f7-2aba-41a0-ad11-b3deae1e2092"]}],"mendeley":{"formattedCitation":"(17, 18)","plainTextFormattedCitation":"(17, 18)","previouslyFormattedCitation":"(16, 17)"},"properties":{"noteIndex":0},"schema":"https://github.com/citation-style-language/schema/raw/master/csl-citation.json"}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(17, 18)</w:t>
      </w:r>
      <w:r>
        <w:rPr>
          <w:rFonts w:ascii="Times New Roman" w:hAnsi="Times New Roman" w:cs="Times New Roman"/>
        </w:rPr>
        <w:fldChar w:fldCharType="end"/>
      </w:r>
      <w:r>
        <w:rPr>
          <w:rFonts w:ascii="Times New Roman" w:hAnsi="Times New Roman" w:cs="Times New Roman"/>
        </w:rPr>
        <w:t>. Once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titrates to 0 mM, methanogen metabolisms become the dominant source of </w:t>
      </w:r>
      <w:r>
        <w:rPr>
          <w:rFonts w:ascii="Times New Roman" w:hAnsi="Times New Roman" w:cs="Times New Roman"/>
        </w:rPr>
        <w:lastRenderedPageBreak/>
        <w:t>energy in WOR sediments; this was evident by the increase from ~ 0 mM to 1 mM CH</w:t>
      </w:r>
      <w:r>
        <w:rPr>
          <w:rFonts w:ascii="Times New Roman" w:hAnsi="Times New Roman" w:cs="Times New Roman"/>
          <w:vertAlign w:val="subscript"/>
        </w:rPr>
        <w:t>4</w:t>
      </w:r>
      <w:r>
        <w:rPr>
          <w:rFonts w:ascii="Times New Roman" w:hAnsi="Times New Roman" w:cs="Times New Roman"/>
        </w:rPr>
        <w:t xml:space="preserve"> cm</w:t>
      </w:r>
      <w:r>
        <w:rPr>
          <w:rFonts w:ascii="Times New Roman" w:hAnsi="Times New Roman" w:cs="Times New Roman"/>
          <w:vertAlign w:val="superscript"/>
        </w:rPr>
        <w:t>-3</w:t>
      </w:r>
      <w:r>
        <w:rPr>
          <w:rFonts w:ascii="Times New Roman" w:hAnsi="Times New Roman" w:cs="Times New Roman"/>
        </w:rPr>
        <w:t xml:space="preserve"> between 35 and 50 </w:t>
      </w:r>
      <w:proofErr w:type="spellStart"/>
      <w:r>
        <w:rPr>
          <w:rFonts w:ascii="Times New Roman" w:hAnsi="Times New Roman" w:cs="Times New Roman"/>
        </w:rPr>
        <w:t>cmbsf</w:t>
      </w:r>
      <w:proofErr w:type="spellEnd"/>
      <w:r>
        <w:rPr>
          <w:rFonts w:ascii="Times New Roman" w:hAnsi="Times New Roman" w:cs="Times New Roman"/>
        </w:rPr>
        <w:t>. Generally, these concentrations were comparable with previously reported CH</w:t>
      </w:r>
      <w:r>
        <w:rPr>
          <w:rFonts w:ascii="Times New Roman" w:hAnsi="Times New Roman" w:cs="Times New Roman"/>
          <w:vertAlign w:val="subscript"/>
        </w:rPr>
        <w:t>4</w:t>
      </w:r>
      <w:r>
        <w:rPr>
          <w:rFonts w:ascii="Times New Roman" w:hAnsi="Times New Roman" w:cs="Times New Roman"/>
        </w:rPr>
        <w:t xml:space="preserve"> concentrations in WOR sediments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Microbiology","id":"ITEM-1","issue":"9","issued":{"date-parts":[["2011"]]},"page":"2548-2564","title":"Environmental evidence for net methane production and oxidation in putative ANaerobic MEthanotrophic (ANME) archaea","type":"article-journal","volume":"13"},"uris":["http://www.mendeley.com/documents/?uuid=66d37395-cd0d-4af9-893f-431870bc2bc8"]},{"id":"ITEM-2","itemData":{"DOI":"10.1038/ismej.2016.189","ISBN":"1751-7370","ISSN":"17517370","PMID":"28085154","abstract":"Genomic reconstruction of multiple lineages of uncultured benthic archaea suggests distinct biogeochemical roles and ecological niches","author":[{"dropping-particle":"","family":"Lazar","given":"C. S.","non-dropping-particle":"","parse-names":false,"suffix":""},{"dropping-particle":"","family":"Baker","given":"B. J.","non-dropping-particle":"","parse-names":false,"suffix":""},{"dropping-particle":"","family":"Seitz","given":"K. W.","non-dropping-particle":"","parse-names":false,"suffix":""},{"dropping-particle":"","family":"Teske","given":"A. P.","non-dropping-particle":"","parse-names":false,"suffix":""}],"container-title":"ISME Journal","id":"ITEM-2","issue":"5","issued":{"date-parts":[["2017"]]},"page":"1118-1129","publisher":"Nature Publishing Group","title":"Genomic reconstruction of multiple lineages of uncultured benthic archaea suggests distinct biogeochemical roles and ecological niches","type":"article-journal","volume":"11"},"uris":["http://www.mendeley.com/documents/?uuid=4457f87a-6999-4313-b89e-ab8a36ea391c"]},{"id":"ITEM-3","itemData":{"DOI":"10.1016/j.margeo.2005.02.018","ISSN":"00253227","abstract":"The relationship between seismic wipe-outs, methane accumulation, and pore water salinity was investigated using high-resolution seismic profiles, pore water geochemical measurements, and sediment property data from the White Oak River Estuary, North Carolina. The estuary is a broad, shallow, drowned river valley filled with organic rich sediment where the salinity changes from fresh to sea water within 10 km. Uniboom seismic reflection profiles indicate a distinct pattern in the distribution of seismic wipe-outs. Wipe-outs dominate the upper estuary but are not observed in the lower estuary. Sediment pore water chlorinities decrease upstream but the sharpest gradients occur with depth. At ≤ 50 cm depths in the upper half of the estuary, pore waters typically have less than 100 mmol L-1 chloride even though overlying estuarine waters have 300-400 mmol L-1 chloride. Concave chloride profiles demonstrate that sediments in the upper estuary are actively flushed with fresh water moving upward through the sediments from underlying aquifers. The associated decrease in interstitial sulfate concentrations combined with high organic carbon content provides favorable conditions for methane production and accumulation. Seismic wipe-outs are correlated with areas of high methane concentrations and with sediments containing low pore water salinities. © 2005 Elsevier B.V. All rights reserved.","author":[{"dropping-particle":"","family":"Kogan","given":"Irina","non-dropping-particle":"","parse-names":false,"suffix":""},{"dropping-particle":"","family":"Paull","given":"Charles K.","non-dropping-particle":"","parse-names":false,"suffix":""}],"container-title":"Marine Geology","id":"ITEM-3","issue":"1-2","issued":{"date-parts":[["2005"]]},"page":"161-175","title":"Coastal seismic wipe-outs: Distribution controlled by pore water.","type":"article-journal","volume":"217"},"uris":["http://www.mendeley.com/documents/?uuid=4850f69b-59f6-435e-a84a-c7c588840abf"]}],"mendeley":{"formattedCitation":"(117, 119, 120)","plainTextFormattedCitation":"(117, 119, 120)","previouslyFormattedCitation":"(116, 118, 119)"},"properties":{"noteIndex":0},"schema":"https://github.com/citation-style-language/schema/raw/master/csl-citation.json"}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(117, 119, 120)</w:t>
      </w:r>
      <w:r>
        <w:rPr>
          <w:rFonts w:ascii="Times New Roman" w:hAnsi="Times New Roman" w:cs="Times New Roman"/>
        </w:rPr>
        <w:fldChar w:fldCharType="end"/>
      </w:r>
      <w:r>
        <w:rPr>
          <w:rFonts w:ascii="Times New Roman" w:hAnsi="Times New Roman" w:cs="Times New Roman"/>
        </w:rPr>
        <w:t>.</w:t>
      </w:r>
    </w:p>
    <w:p w14:paraId="535E1B69" w14:textId="2140575A"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 xml:space="preserve">One feature in the OM profiles was an increase in TOC and TON concentrations at 35 </w:t>
      </w:r>
      <w:proofErr w:type="spellStart"/>
      <w:r>
        <w:rPr>
          <w:rFonts w:ascii="Times New Roman" w:hAnsi="Times New Roman" w:cs="Times New Roman"/>
        </w:rPr>
        <w:t>cmbsf</w:t>
      </w:r>
      <w:proofErr w:type="spellEnd"/>
      <w:r>
        <w:rPr>
          <w:rFonts w:ascii="Times New Roman" w:hAnsi="Times New Roman" w:cs="Times New Roman"/>
        </w:rPr>
        <w:t xml:space="preserve"> (Figure 4.3C,D). To our knowledge, this is the first observation of this pattern in WOR sediments from Station H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Oceanography","id":"ITEM-1","issue":"2","issued":{"date-parts":[["1990"]]},"page":"372-383","title":"Variations in sedimentary carbon remineralization rates in the White Oak River estuary, North Carolina","type":"article-journal","volume":"35"},"uris":["http://www.mendeley.com/documents/?uuid=84c9ad85-5fc2-45b3-b5a3-d5ddf5033ca0"]},{"id":"ITEM-2","itemData":{"DOI":"10.1016/S0278-4343(98)00057-0","ISSN":"02784343","abstract":"To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Research","id":"ITEM-2","issue":"14-15","issued":{"date-parts":[["1998"]]},"page":"1771-1793","title":"Biogeochemical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Sediments","type":"article-journal","volume":"18"},"uris":["http://www.mendeley.com/documents/?uuid=f58213f7-2aba-41a0-ad11-b3deae1e2092"]},{"id":"ITEM-3","itemData":{"DOI":"10.1016/S0278-4343(98)00056-9","ISSN":"02784343","abstract":"A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Research","id":"ITEM-3","issue":"14-15","issued":{"date-parts":[["1998"]]},"page":"1741-1770","title":"Biogeochemical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id":"ITEM-4","itemData":{"author":[{"dropping-particle":"","family":"Martens","given":"S","non-dropping-particle":"","parse-names":false,"suffix":""},{"dropping-particle":"","family":"Goldhaber","given":"B","non-dropping-particle":"","parse-names":false,"suffix":""}],"id":"ITEM-4","issue":"3","issued":{"date-parts":[["1978"]]},"title":"Early diagenesis in transitional sedimentary environments of the White Oak River Estuary , North Carolina","type":"article-journal","volume":"23"},"uris":["http://www.mendeley.com/documents/?uuid=0b73bc7b-ae47-4d49-b831-f1e27998a8ef"]}],"mendeley":{"formattedCitation":"(17, 18, 115, 116)","plainTextFormattedCitation":"(17, 18, 115, 116)","previouslyFormattedCitation":"(16, 17, 114, 115)"},"properties":{"noteIndex":0},"schema":"https://github.com/citation-style-language/schema/raw/master/csl-citation.json"}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(17, 18, 115, 116)</w:t>
      </w:r>
      <w:r>
        <w:rPr>
          <w:rFonts w:ascii="Times New Roman" w:hAnsi="Times New Roman" w:cs="Times New Roman"/>
        </w:rPr>
        <w:fldChar w:fldCharType="end"/>
      </w:r>
      <w:r>
        <w:rPr>
          <w:rFonts w:ascii="Times New Roman" w:hAnsi="Times New Roman" w:cs="Times New Roman"/>
        </w:rPr>
        <w:t>. As this maximum is located at the SMTZ (Figure 4.2I and Figure 4.3A),</w:t>
      </w:r>
      <w:r w:rsidR="00CF0FEA">
        <w:rPr>
          <w:rFonts w:ascii="Times New Roman" w:hAnsi="Times New Roman" w:cs="Times New Roman"/>
        </w:rPr>
        <w:t xml:space="preserve"> I </w:t>
      </w:r>
      <w:r>
        <w:rPr>
          <w:rFonts w:ascii="Times New Roman" w:hAnsi="Times New Roman" w:cs="Times New Roman"/>
        </w:rPr>
        <w:t xml:space="preserve">hypothesize the increase in OM is from biomass production generated from anaerobic oxidation of methane (AOM)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{"citationItems":[{"id":"ITEM-1","itemData":{"DOI":"10.1016/j.gca.2008.05.039","ISSN":"00167037","abstract":"The free energy yield of microbial respiration reactions in anaerobic marine sediments must be sufficient to be conserved as biologically usable energy in the form of ATP. Anaerobic oxidation of methane (AOM) coupled to sulfate reduction (SRR) has a very low standard free energy yield of ΔG{ring operator} = -33 kJ mol-1, but the in situ energy yield strongly depends on the concentrations of substrates and products in the pore water of the sediment. In this work ΔG for the AOM-SRR process was calculated from the pore water concentrations of methane, sulfate, sulfide, and dissolved inorganic carbon (DIC) in sediment cores from different sites of the European continental margin in order to determine the influence of thermodynamic regulation on the activity and distribution of microorganisms mediating AOM-SRR. In the zone of methane and sulfate coexistence, the methane-sulfate transition zone (SMTZ), the energy yield was rarely less than -20 kJ mol-1 and was mostly rather constant throughout this zone. The kinetic drive was highest at the lower part of the SMTZ, matching the occurrence of maximum AOM rates. The results show that the location of maximum AOM rates is determined by a combination of thermodynamic and kinetic drive, whereas the rate activity mainly depends on kinetic regulation. © 2008 Elsevier Ltd. All rights reserved.","author":[{"dropping-particle":"","family":"Knab","given":"Nina J.","non-dropping-particle":"","parse-names":false,"suffix":""},{"dropping-particle":"","family":"Dale","given":"Andrew W.","non-dropping-particle":"","parse-names":false,"suffix":""},{"dropping-particle":"","family":"Lettmann","given":"Karsten","non-dropping-particle":"","parse-names":false,"suffix":""},{"dropping-particle":"","family":"Fossing","given":"Henrik","non-dropping-particle":"","parse-names":false,"suffix":""},{"dropping-particle":"","family":"Jørgensen","given":"Bo B.","non-dropping-particle":"","parse-names":false,"suffix":""}],"container-title":"Geochimica et Cosmochimica Acta","id":"ITEM-1","issue":"15","issued":{"date-parts":[["2008"]]},"page":"3746-3757","title":"Thermodynamic and kinetic control on anaerobic oxidation of methane in marine sediments","type":"article-journal","volume":"72"},"uris":["http://www.mendeley.com/documents/?uuid=a1f84fee-a92a-4110-b7c4-14ad65582b32"]}],"mendeley":{"formattedCitation":"(123)","plainTextFormattedCitation":"(123)","previouslyFormattedCitation":"(122)"},"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(123)</w:t>
      </w:r>
      <w:r>
        <w:rPr>
          <w:rFonts w:ascii="Times New Roman" w:hAnsi="Times New Roman" w:cs="Times New Roman"/>
        </w:rPr>
        <w:fldChar w:fldCharType="end"/>
      </w:r>
      <w:r>
        <w:rPr>
          <w:rFonts w:ascii="Times New Roman" w:hAnsi="Times New Roman" w:cs="Times New Roman"/>
        </w:rPr>
        <w:t xml:space="preserve">. Anaerobic methanotrophic archaea (ANME), which perform AOM, have been observed in WOR sediments at the SMTZ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Microbiology","id":"ITEM-1","issue":"9","issued":{"date-parts":[["2011"]]},"page":"2548-2564","title":"Environmental evidence for net methane production and oxidation in putative ANaerobic MEthanotrophic (ANME) archaea","type":"article-journal","volume":"13"},"uris":["http://www.mendeley.com/documents/?uuid=66d37395-cd0d-4af9-893f-431870bc2bc8"]},{"id":"ITEM-2","itemData":{"DOI":"10.1038/ismej.2016.189","ISBN":"1751-7370","ISSN":"17517370","PMID":"28085154","abstract":"Genomic reconstruction of multiple lineages of uncultured benthic archaea suggests distinct biogeochemical roles and ecological niches","author":[{"dropping-particle":"","family":"Lazar","given":"C. S.","non-dropping-particle":"","parse-names":false,"suffix":""},{"dropping-particle":"","family":"Baker","given":"B. J.","non-dropping-particle":"","parse-names":false,"suffix":""},{"dropping-particle":"","family":"Seitz","given":"K. W.","non-dropping-particle":"","parse-names":false,"suffix":""},{"dropping-particle":"","family":"Teske","given":"A. P.","non-dropping-particle":"","parse-names":false,"suffix":""}],"container-title":"ISME Journal","id":"ITEM-2","issue":"5","issued":{"date-parts":[["2017"]]},"page":"1118-1129","publisher":"Nature Publishing Group","title":"Genomic reconstruction of multiple lineages of uncultured benthic archaea suggests distinct biogeochemical roles and ecological niches","type":"article-journal","volume":"11"},"uris":["http://www.mendeley.com/documents/?uuid=4457f87a-6999-4313-b89e-ab8a36ea391c"]}],"mendeley":{"formattedCitation":"(117, 120)","plainTextFormattedCitation":"(117, 120)","previouslyFormattedCitation":"(116, 119)"},"properties":{"noteIndex":0},"schema":"https://github.com/citation-style-language/schema/raw/master/csl-citation.json"}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(117, 120)</w:t>
      </w:r>
      <w:r>
        <w:rPr>
          <w:rFonts w:ascii="Times New Roman" w:hAnsi="Times New Roman" w:cs="Times New Roman"/>
        </w:rPr>
        <w:fldChar w:fldCharType="end"/>
      </w:r>
      <w:r>
        <w:rPr>
          <w:rFonts w:ascii="Times New Roman" w:hAnsi="Times New Roman" w:cs="Times New Roman"/>
        </w:rPr>
        <w:t xml:space="preserve">. The primary evidence supporting this hypothesis is the local minimum in </w:t>
      </w:r>
      <w:r w:rsidRPr="002D4DFA">
        <w:rPr>
          <w:rFonts w:ascii="Times New Roman" w:hAnsi="Times New Roman" w:cs="Times New Roman"/>
          <w:i/>
          <w:iCs/>
        </w:rPr>
        <w:t>δ</w:t>
      </w:r>
      <w:r>
        <w:rPr>
          <w:rFonts w:ascii="Times New Roman" w:hAnsi="Times New Roman" w:cs="Times New Roman"/>
          <w:vertAlign w:val="superscript"/>
        </w:rPr>
        <w:t>13</w:t>
      </w:r>
      <w:r>
        <w:rPr>
          <w:rFonts w:ascii="Times New Roman" w:hAnsi="Times New Roman" w:cs="Times New Roman"/>
        </w:rPr>
        <w:t>C</w:t>
      </w:r>
      <w:r>
        <w:rPr>
          <w:rFonts w:ascii="Times New Roman" w:hAnsi="Times New Roman" w:cs="Times New Roman"/>
          <w:vertAlign w:val="subscript"/>
        </w:rPr>
        <w:t>organic</w:t>
      </w:r>
      <w:r>
        <w:rPr>
          <w:rFonts w:ascii="Times New Roman" w:hAnsi="Times New Roman" w:cs="Times New Roman"/>
        </w:rPr>
        <w:t xml:space="preserve"> (Figure 4.3B) and local maximum in C:N (Figure 4.3E) which coincides with both the SMTZ and the local OM maximum at 35 </w:t>
      </w:r>
      <w:proofErr w:type="spellStart"/>
      <w:r>
        <w:rPr>
          <w:rFonts w:ascii="Times New Roman" w:hAnsi="Times New Roman" w:cs="Times New Roman"/>
        </w:rPr>
        <w:t>cmbsf</w:t>
      </w:r>
      <w:proofErr w:type="spellEnd"/>
      <w:r>
        <w:rPr>
          <w:rFonts w:ascii="Times New Roman" w:hAnsi="Times New Roman" w:cs="Times New Roman"/>
        </w:rPr>
        <w:t>. Biomass production from oxidized CH</w:t>
      </w:r>
      <w:r>
        <w:rPr>
          <w:rFonts w:ascii="Times New Roman" w:hAnsi="Times New Roman" w:cs="Times New Roman"/>
          <w:vertAlign w:val="subscript"/>
        </w:rPr>
        <w:t>4</w:t>
      </w:r>
      <w:r>
        <w:rPr>
          <w:rFonts w:ascii="Times New Roman" w:hAnsi="Times New Roman" w:cs="Times New Roman"/>
        </w:rPr>
        <w:t xml:space="preserve"> should result in OC with a lighter isotopic signature as carbon from biogenic CH</w:t>
      </w:r>
      <w:r>
        <w:rPr>
          <w:rFonts w:ascii="Times New Roman" w:hAnsi="Times New Roman" w:cs="Times New Roman"/>
          <w:vertAlign w:val="subscript"/>
        </w:rPr>
        <w:t>4</w:t>
      </w:r>
      <w:r>
        <w:rPr>
          <w:rFonts w:ascii="Times New Roman" w:hAnsi="Times New Roman" w:cs="Times New Roman"/>
        </w:rPr>
        <w:t xml:space="preserve"> is isotopically light (</w:t>
      </w:r>
      <w:r w:rsidRPr="002D4DFA">
        <w:rPr>
          <w:rFonts w:ascii="Times New Roman" w:hAnsi="Times New Roman" w:cs="Times New Roman"/>
          <w:i/>
          <w:iCs/>
        </w:rPr>
        <w:t>δ</w:t>
      </w:r>
      <w:r>
        <w:rPr>
          <w:rFonts w:ascii="Times New Roman" w:hAnsi="Times New Roman" w:cs="Times New Roman"/>
          <w:vertAlign w:val="superscript"/>
        </w:rPr>
        <w:t>13</w:t>
      </w:r>
      <w:r>
        <w:rPr>
          <w:rFonts w:ascii="Times New Roman" w:hAnsi="Times New Roman" w:cs="Times New Roman"/>
        </w:rPr>
        <w:t>C &lt; -58</w:t>
      </w:r>
      <w:r w:rsidRPr="000E3D6D">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w:t>
      </w:r>
      <w:r>
        <w:rPr>
          <w:rFonts w:ascii="Times New Roman" w:hAnsi="Times New Roman" w:cs="Times New Roman"/>
        </w:rPr>
        <w:t xml:space="preserve"> compared to other organic molecules (</w:t>
      </w:r>
      <w:r w:rsidRPr="002D4DFA">
        <w:rPr>
          <w:rFonts w:ascii="Times New Roman" w:hAnsi="Times New Roman" w:cs="Times New Roman"/>
          <w:i/>
          <w:iCs/>
        </w:rPr>
        <w:t>δ</w:t>
      </w:r>
      <w:r>
        <w:rPr>
          <w:rFonts w:ascii="Times New Roman" w:hAnsi="Times New Roman" w:cs="Times New Roman"/>
          <w:vertAlign w:val="superscript"/>
        </w:rPr>
        <w:t>13</w:t>
      </w:r>
      <w:r>
        <w:rPr>
          <w:rFonts w:ascii="Times New Roman" w:hAnsi="Times New Roman" w:cs="Times New Roman"/>
        </w:rPr>
        <w:t>C &gt; -30</w:t>
      </w:r>
      <w:r w:rsidRPr="000E3D6D">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w:t>
      </w:r>
      <w:r>
        <w:rPr>
          <w:rFonts w:ascii="Times New Roman" w:hAnsi="Times New Roman" w:cs="Times New Roman"/>
        </w:rPr>
        <w:t xml:space="preserve">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{"citationItems":[{"id":"ITEM-1","itemData":{"DOI":"10.5860/choice.49-0862","ISBN":"9780691134147","ISSN":"0009-4978","abstract":"This textbook provides a unique and thorough look at the application of chemical biomarkers to aquatic ecosystems. Defining a chemical biomarker as a compound that can be linked to particular sources of organic matter identified in the sediment record, the book indicates that the application of these biomarkers for an understanding of aquatic ecosystems consists of a biogeochemical approach that has been quite successful but underused. This book offers a wide-ranging guide to the broad diversity of these chemical biomarkers, is the first to be structured around the compounds themselves, and examines them in a connected and comprehensive way.This timely book is appropriate for advanced undergraduate and graduate students seeking training in this area; researchers in biochemistry, organic geochemistry, and biogeochemistry; researchers working on aspects of organic cycling in aquatic ecosystems; and paleoceanographers, petroleum geologists, and ecologists.Provides a guide to the broad diversity of chemical biomarkers in aquatic environmentsThe first textbook to be structured around the compounds themselvesDescribes the structure, biochemical synthesis, analysis, and reactivity of each class of biomarkersOffers a selection of relevant applications to aquatic systems, including lakes, rivers, estuaries, oceans, and paleoenvironmentsDemonstrates the utility of using organic molecules as tracers of processes occurring in aquatic ecosystems, both modern and ancient. © 2011 by Princeton University Press. All Rights Reserved.","author":[{"dropping-particle":"","family":"Bianchi","given":"Thomas S.","non-dropping-particle":"","parse-names":false,"suffix":""},{"dropping-particle":"","family":"Canuel","given":"Elizabeth A.","non-dropping-particle":"","parse-names":false,"suffix":""}],"container-title":"Chemical Biomarkers in Aquatic Ecosystems","id":"ITEM-1","issued":{"date-parts":[["2011"]]},"title":"Chemical biomarkers in aquatic ecosystems","type":"book"},"uris":["http://www.mendeley.com/documents/?uuid=e51e31ff-d713-4e0c-8fbf-0400b89305af"]}],"mendeley":{"formattedCitation":"(134)","plainTextFormattedCitation":"(134)","previouslyFormattedCitation":"(133)"},"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(134)</w:t>
      </w:r>
      <w:r>
        <w:rPr>
          <w:rFonts w:ascii="Times New Roman" w:hAnsi="Times New Roman" w:cs="Times New Roman"/>
        </w:rPr>
        <w:fldChar w:fldCharType="end"/>
      </w:r>
      <w:r>
        <w:rPr>
          <w:rFonts w:ascii="Times New Roman" w:hAnsi="Times New Roman" w:cs="Times New Roman"/>
        </w:rPr>
        <w:t>.</w:t>
      </w:r>
    </w:p>
    <w:p w14:paraId="5C4E78D7" w14:textId="38E33F78"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 xml:space="preserve">In addition to the prominence of sulfate-reducers and methanogens, fermenters are prevalent in WOR sediments </w:t>
      </w:r>
      <w:r>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J","non-dropping-particle":"","parse-names":false,"suffix":""}],"container-title":"Microbiome","id":"ITEM-1","issue":"1","issued":{"date-parts":[["2015","12","13"]]},"page":"14","publisher":"BioMed Central","title":"Genomic resolution of linkages in carbon, nitrogen, and sulfur cycling among widespread estuary sediment bacteria","type":"article-journal","volume":"3"},"uris":["http://www.mendeley.com/documents/?uuid=9a188f01-0081-3e79-a3ab-79086163d314"]}],"mendeley":{"formattedCitation":"(8)","plainTextFormattedCitation":"(8)","previouslyFormattedCitation":"(8)"},"properties":{"noteIndex":0},"schema":"https://github.com/citation-style-language/schema/raw/master/csl-citation.json"}</w:instrText>
      </w:r>
      <w:r>
        <w:rPr>
          <w:rFonts w:ascii="Times New Roman" w:hAnsi="Times New Roman" w:cs="Times New Roman"/>
        </w:rPr>
        <w:fldChar w:fldCharType="separate"/>
      </w:r>
      <w:r w:rsidR="004620D1" w:rsidRPr="004620D1">
        <w:rPr>
          <w:rFonts w:ascii="Times New Roman" w:hAnsi="Times New Roman" w:cs="Times New Roman"/>
          <w:noProof/>
        </w:rPr>
        <w:t>(8)</w:t>
      </w:r>
      <w:r>
        <w:rPr>
          <w:rFonts w:ascii="Times New Roman" w:hAnsi="Times New Roman" w:cs="Times New Roman"/>
        </w:rPr>
        <w:fldChar w:fldCharType="end"/>
      </w:r>
      <w:r>
        <w:rPr>
          <w:rFonts w:ascii="Times New Roman" w:hAnsi="Times New Roman" w:cs="Times New Roman"/>
        </w:rPr>
        <w:t>. Fermentative metabolisms are thought to transform organic polymers into respiration products which include CO</w:t>
      </w:r>
      <w:r>
        <w:rPr>
          <w:rFonts w:ascii="Times New Roman" w:hAnsi="Times New Roman" w:cs="Times New Roman"/>
          <w:vertAlign w:val="subscript"/>
        </w:rPr>
        <w:t>2</w:t>
      </w:r>
      <w:r>
        <w:rPr>
          <w:rFonts w:ascii="Times New Roman" w:hAnsi="Times New Roman" w:cs="Times New Roman"/>
        </w:rPr>
        <w:t>, H</w:t>
      </w:r>
      <w:r>
        <w:rPr>
          <w:rFonts w:ascii="Times New Roman" w:hAnsi="Times New Roman" w:cs="Times New Roman"/>
          <w:vertAlign w:val="subscript"/>
        </w:rPr>
        <w:t>2</w:t>
      </w:r>
      <w:r>
        <w:rPr>
          <w:rFonts w:ascii="Times New Roman" w:hAnsi="Times New Roman" w:cs="Times New Roman"/>
        </w:rPr>
        <w:t>, organic acids (e.g., acetate), NH</w:t>
      </w:r>
      <w:r>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rPr>
        <w:t>, PO</w:t>
      </w:r>
      <w:r>
        <w:rPr>
          <w:rFonts w:ascii="Times New Roman" w:hAnsi="Times New Roman" w:cs="Times New Roman"/>
          <w:vertAlign w:val="subscript"/>
        </w:rPr>
        <w:t>4</w:t>
      </w:r>
      <w:r>
        <w:rPr>
          <w:rFonts w:ascii="Times New Roman" w:hAnsi="Times New Roman" w:cs="Times New Roman"/>
          <w:vertAlign w:val="superscript"/>
        </w:rPr>
        <w:t>3-</w:t>
      </w:r>
      <w:r>
        <w:rPr>
          <w:rFonts w:ascii="Times New Roman" w:hAnsi="Times New Roman" w:cs="Times New Roman"/>
        </w:rPr>
        <w:t xml:space="preserve">, and alcohols (e.g., ethanol)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{"citationItems":[{"id":"ITEM-1","itemData":{"author":[{"dropping-particle":"","family":"Megonigal","given":"J. P.","non-dropping-particle":"","parse-names":false,"suffix":""},{"dropping-particle":"","family":"Hines","given":"M. E.","non-dropping-particle":"","parse-names":false,"suffix":""},{"dropping-particle":"","family":"Visscher","given":"P. T.","non-dropping-particle":"","parse-names":false,"suffix":""}],"chapter-number":"8.08","container-title":"Biogeochemistry: Treatise on Geochemistry, Volume 8","id":"ITEM-1","issued":{"date-parts":[["2003"]]},"title":"Anaerobic Metabolism: Linkages to Trace Gases and Aerobic Processes","type":"chapter"},"uris":["http://www.mendeley.com/documents/?uuid=6de340d4-e352-440b-aa1b-d0f7d737dc3f"]}],"mendeley":{"formattedCitation":"(135)","plainTextFormattedCitation":"(135)","previouslyFormattedCitation":"(134)"},"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(135)</w:t>
      </w:r>
      <w:r>
        <w:rPr>
          <w:rFonts w:ascii="Times New Roman" w:hAnsi="Times New Roman" w:cs="Times New Roman"/>
        </w:rPr>
        <w:fldChar w:fldCharType="end"/>
      </w:r>
      <w:r>
        <w:rPr>
          <w:rFonts w:ascii="Times New Roman" w:hAnsi="Times New Roman" w:cs="Times New Roman"/>
        </w:rPr>
        <w:t>. The ecological role of fermenters is significant as respiration products provide H</w:t>
      </w:r>
      <w:r>
        <w:rPr>
          <w:rFonts w:ascii="Times New Roman" w:hAnsi="Times New Roman" w:cs="Times New Roman"/>
          <w:vertAlign w:val="subscript"/>
        </w:rPr>
        <w:t>2</w:t>
      </w:r>
      <w:r>
        <w:rPr>
          <w:rFonts w:ascii="Times New Roman" w:hAnsi="Times New Roman" w:cs="Times New Roman"/>
        </w:rPr>
        <w:t>, a source of electrons, for methanogens and sulfate-reducers. Here</w:t>
      </w:r>
      <w:r w:rsidR="00CF0FEA">
        <w:rPr>
          <w:rFonts w:ascii="Times New Roman" w:hAnsi="Times New Roman" w:cs="Times New Roman"/>
        </w:rPr>
        <w:t xml:space="preserve"> I </w:t>
      </w:r>
      <w:r>
        <w:rPr>
          <w:rFonts w:ascii="Times New Roman" w:hAnsi="Times New Roman" w:cs="Times New Roman"/>
        </w:rPr>
        <w:t>observed indirect evidence of fermentative metabolisms via the elevated NH</w:t>
      </w:r>
      <w:r>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rPr>
        <w:t xml:space="preserve"> and PO</w:t>
      </w:r>
      <w:r>
        <w:rPr>
          <w:rFonts w:ascii="Times New Roman" w:hAnsi="Times New Roman" w:cs="Times New Roman"/>
          <w:vertAlign w:val="subscript"/>
        </w:rPr>
        <w:t>4</w:t>
      </w:r>
      <w:r>
        <w:rPr>
          <w:rFonts w:ascii="Times New Roman" w:hAnsi="Times New Roman" w:cs="Times New Roman"/>
          <w:vertAlign w:val="superscript"/>
        </w:rPr>
        <w:t>3-</w:t>
      </w:r>
      <w:r>
        <w:rPr>
          <w:rFonts w:ascii="Times New Roman" w:hAnsi="Times New Roman" w:cs="Times New Roman"/>
        </w:rPr>
        <w:t xml:space="preserve"> concentrations (Figure 4.2G,H). Contrary to </w:t>
      </w:r>
      <w:r>
        <w:rPr>
          <w:rFonts w:ascii="Times New Roman" w:hAnsi="Times New Roman" w:cs="Times New Roman"/>
        </w:rPr>
        <w:lastRenderedPageBreak/>
        <w:t>major seawater ion concentration profiles, the NH</w:t>
      </w:r>
      <w:r>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rPr>
        <w:t xml:space="preserve"> and PO</w:t>
      </w:r>
      <w:r>
        <w:rPr>
          <w:rFonts w:ascii="Times New Roman" w:hAnsi="Times New Roman" w:cs="Times New Roman"/>
          <w:vertAlign w:val="subscript"/>
        </w:rPr>
        <w:t>4</w:t>
      </w:r>
      <w:r>
        <w:rPr>
          <w:rFonts w:ascii="Times New Roman" w:hAnsi="Times New Roman" w:cs="Times New Roman"/>
          <w:vertAlign w:val="superscript"/>
        </w:rPr>
        <w:t>3-</w:t>
      </w:r>
      <w:r>
        <w:rPr>
          <w:rFonts w:ascii="Times New Roman" w:hAnsi="Times New Roman" w:cs="Times New Roman"/>
        </w:rPr>
        <w:t xml:space="preserve"> concentrations were lowest near the SWI and increased with depth. Changes in NH</w:t>
      </w:r>
      <w:r>
        <w:rPr>
          <w:rFonts w:ascii="Times New Roman" w:hAnsi="Times New Roman" w:cs="Times New Roman"/>
          <w:vertAlign w:val="subscript"/>
        </w:rPr>
        <w:t>4</w:t>
      </w:r>
      <w:r>
        <w:rPr>
          <w:rFonts w:ascii="Times New Roman" w:hAnsi="Times New Roman" w:cs="Times New Roman"/>
          <w:vertAlign w:val="superscript"/>
        </w:rPr>
        <w:t>+</w:t>
      </w:r>
      <w:r>
        <w:rPr>
          <w:rFonts w:ascii="Times New Roman" w:hAnsi="Times New Roman" w:cs="Times New Roman"/>
        </w:rPr>
        <w:t xml:space="preserve"> and PO</w:t>
      </w:r>
      <w:r>
        <w:rPr>
          <w:rFonts w:ascii="Times New Roman" w:hAnsi="Times New Roman" w:cs="Times New Roman"/>
          <w:vertAlign w:val="subscript"/>
        </w:rPr>
        <w:t>4</w:t>
      </w:r>
      <w:r>
        <w:rPr>
          <w:rFonts w:ascii="Times New Roman" w:hAnsi="Times New Roman" w:cs="Times New Roman"/>
          <w:vertAlign w:val="superscript"/>
        </w:rPr>
        <w:t>3-</w:t>
      </w:r>
      <w:r>
        <w:rPr>
          <w:rFonts w:ascii="Times New Roman" w:hAnsi="Times New Roman" w:cs="Times New Roman"/>
        </w:rPr>
        <w:t xml:space="preserve"> stoichiometric ratios with depth may indicate a change in OM quality (10 to 30). Lastly, the </w:t>
      </w:r>
      <w:r w:rsidRPr="00D76D41">
        <w:rPr>
          <w:rFonts w:ascii="Times New Roman" w:hAnsi="Times New Roman" w:cs="Times New Roman"/>
          <w:i/>
          <w:iCs/>
        </w:rPr>
        <w:t>S</w:t>
      </w:r>
      <w:r>
        <w:rPr>
          <w:rFonts w:ascii="Times New Roman" w:hAnsi="Times New Roman" w:cs="Times New Roman"/>
          <w:vertAlign w:val="subscript"/>
        </w:rPr>
        <w:t>R</w:t>
      </w:r>
      <w:r>
        <w:rPr>
          <w:rFonts w:ascii="Times New Roman" w:hAnsi="Times New Roman" w:cs="Times New Roman"/>
        </w:rPr>
        <w:t xml:space="preserve"> decrease suggests a drop in fulvic to </w:t>
      </w:r>
      <w:proofErr w:type="spellStart"/>
      <w:r>
        <w:rPr>
          <w:rFonts w:ascii="Times New Roman" w:hAnsi="Times New Roman" w:cs="Times New Roman"/>
        </w:rPr>
        <w:t>humic</w:t>
      </w:r>
      <w:proofErr w:type="spellEnd"/>
      <w:r>
        <w:rPr>
          <w:rFonts w:ascii="Times New Roman" w:hAnsi="Times New Roman" w:cs="Times New Roman"/>
        </w:rPr>
        <w:t xml:space="preserve"> acid ratios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{"citationItems":[{"id":"ITEM-1","itemData":{"DOI":"10.4319/lo.2009.54.3.1023","ISSN":"00243590","author":[{"dropping-particle":"","family":"Helms","given":"John R","non-dropping-particle":"","parse-names":false,"suffix":""},{"dropping-particle":"","family":"Stubbins","given":"Aron","non-dropping-particle":"","parse-names":false,"suffix":""},{"dropping-particle":"","family":"Ritchie","given":"Jason D.","non-dropping-particle":"","parse-names":false,"suffix":""},{"dropping-particle":"","family":"Minor","given":"Elizabeth C.","non-dropping-particle":"","parse-names":false,"suffix":""},{"dropping-particle":"","family":"Kieber","given":"David J.","non-dropping-particle":"","parse-names":false,"suffix":""},{"dropping-particle":"","family":"Mopper","given":"Kenneth","non-dropping-particle":"","parse-names":false,"suffix":""}],"container-title":"Limnology and Oceanography","id":"ITEM-1","issue":"3","issued":{"date-parts":[["2009"]]},"page":"1023","title":"Erratum: Absorption spectral slopes and slope ratios as indicators of molecular weight, source, and photobleaching of chromophoric dissolved organic matter","type":"article-journal","volume":"54"},"uris":["http://www.mendeley.com/documents/?uuid=f89d1633-b63e-48b2-b787-720c5de973f8"]}],"mendeley":{"formattedCitation":"(125)","plainTextFormattedCitation":"(125)","previouslyFormattedCitation":"(124)"},"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(125)</w:t>
      </w:r>
      <w:r>
        <w:rPr>
          <w:rFonts w:ascii="Times New Roman" w:hAnsi="Times New Roman" w:cs="Times New Roman"/>
        </w:rPr>
        <w:fldChar w:fldCharType="end"/>
      </w:r>
      <w:r>
        <w:rPr>
          <w:rFonts w:ascii="Times New Roman" w:hAnsi="Times New Roman" w:cs="Times New Roman"/>
        </w:rPr>
        <w:t xml:space="preserve"> (Figure 4.3I). The coinciding </w:t>
      </w:r>
      <w:r w:rsidRPr="00260814">
        <w:rPr>
          <w:rFonts w:ascii="Times New Roman" w:hAnsi="Times New Roman" w:cs="Times New Roman"/>
          <w:i/>
          <w:iCs/>
        </w:rPr>
        <w:t>S</w:t>
      </w:r>
      <w:r>
        <w:rPr>
          <w:rFonts w:ascii="Times New Roman" w:hAnsi="Times New Roman" w:cs="Times New Roman"/>
          <w:vertAlign w:val="subscript"/>
        </w:rPr>
        <w:t>R</w:t>
      </w:r>
      <w:r>
        <w:rPr>
          <w:rFonts w:ascii="Times New Roman" w:hAnsi="Times New Roman" w:cs="Times New Roman"/>
        </w:rPr>
        <w:t xml:space="preserve"> decrease at depths where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reduction begins suggests the drop in fulvic acids may be from fermentative metabolisms, which operate in anaerobic environments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{"citationItems":[{"id":"ITEM-1","itemData":{"author":[{"dropping-particle":"","family":"Megonigal","given":"J. P.","non-dropping-particle":"","parse-names":false,"suffix":""},{"dropping-particle":"","family":"Hines","given":"M. E.","non-dropping-particle":"","parse-names":false,"suffix":""},{"dropping-particle":"","family":"Visscher","given":"P. T.","non-dropping-particle":"","parse-names":false,"suffix":""}],"chapter-number":"8.08","container-title":"Biogeochemistry: Treatise on Geochemistry, Volume 8","id":"ITEM-1","issued":{"date-parts":[["2003"]]},"title":"Anaerobic Metabolism: Linkages to Trace Gases and Aerobic Processes","type":"chapter"},"uris":["http://www.mendeley.com/documents/?uuid=6de340d4-e352-440b-aa1b-d0f7d737dc3f"]}],"mendeley":{"formattedCitation":"(135)","plainTextFormattedCitation":"(135)","previouslyFormattedCitation":"(134)"},"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(135)</w:t>
      </w:r>
      <w:r>
        <w:rPr>
          <w:rFonts w:ascii="Times New Roman" w:hAnsi="Times New Roman" w:cs="Times New Roman"/>
        </w:rPr>
        <w:fldChar w:fldCharType="end"/>
      </w:r>
      <w:r>
        <w:rPr>
          <w:rFonts w:ascii="Times New Roman" w:hAnsi="Times New Roman" w:cs="Times New Roman"/>
        </w:rPr>
        <w:t xml:space="preserve">. </w:t>
      </w:r>
    </w:p>
    <w:p w14:paraId="497EA6F2" w14:textId="77777777" w:rsidR="00365526" w:rsidRPr="00D76D41" w:rsidRDefault="00365526" w:rsidP="00365526">
      <w:pPr>
        <w:pStyle w:val="Heading3"/>
        <w:rPr>
          <w:vertAlign w:val="superscript"/>
        </w:rPr>
      </w:pPr>
      <w:bookmarkStart w:id="277" w:name="_Toc41908139"/>
      <w:r>
        <w:t>Evaluating the Carbon and Sulfur Budgets at WOR, Station H</w:t>
      </w:r>
      <w:bookmarkEnd w:id="277"/>
    </w:p>
    <w:p w14:paraId="1AD77FC3" w14:textId="311ED13F"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In WOR sediments, the dominant electron donors and acceptors are carbon and sulfur, respectively. For this reason, fluxes for major carbon and sulfur reservoirs in WOR sediments were estimated via concentration measurements (as well as acoustic turbidity for CH</w:t>
      </w:r>
      <w:r>
        <w:rPr>
          <w:rFonts w:ascii="Times New Roman" w:hAnsi="Times New Roman" w:cs="Times New Roman"/>
          <w:vertAlign w:val="subscript"/>
        </w:rPr>
        <w:t>4</w:t>
      </w:r>
      <w:r>
        <w:rPr>
          <w:rFonts w:ascii="Times New Roman" w:hAnsi="Times New Roman" w:cs="Times New Roman"/>
        </w:rPr>
        <w:t xml:space="preserve">) and reactive-transport modeling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Oceanography","id":"ITEM-1","issue":"2","issued":{"date-parts":[["1990"]]},"page":"372-383","title":"Variations in sedimentary carbon remineralization rates in the White Oak River estuary, North Carolina","type":"article-journal","volume":"35"},"uris":["http://www.mendeley.com/documents/?uuid=84c9ad85-5fc2-45b3-b5a3-d5ddf5033ca0"]},{"id":"ITEM-2","itemData":{"DOI":"10.1016/S0278-4343(98)00057-0","ISSN":"02784343","abstract":"To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Research","id":"ITEM-2","issue":"14-15","issued":{"date-parts":[["1998"]]},"page":"1771-1793","title":"Biogeochemical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Sediments","type":"article-journal","volume":"18"},"uris":["http://www.mendeley.com/documents/?uuid=f58213f7-2aba-41a0-ad11-b3deae1e2092"]},{"id":"ITEM-3","itemData":{"DOI":"10.1016/S0278-4343(98)00056-9","ISSN":"02784343","abstract":"A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Research","id":"ITEM-3","issue":"14-15","issued":{"date-parts":[["1998"]]},"page":"1741-1770","title":"Biogeochemical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id":"ITEM-4","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Microbiology","id":"ITEM-4","issue":"9","issued":{"date-parts":[["2011"]]},"page":"2548-2564","title":"Environmental evidence for net methane production and oxidation in putative ANaerobic MEthanotrophic (ANME) archaea","type":"article-journal","volume":"13"},"uris":["http://www.mendeley.com/documents/?uuid=66d37395-cd0d-4af9-893f-431870bc2bc8"]}],"mendeley":{"formattedCitation":"(17, 18, 116, 117)","plainTextFormattedCitation":"(17, 18, 116, 117)","previouslyFormattedCitation":"(16, 17, 115, 116)"},"properties":{"noteIndex":0},"schema":"https://github.com/citation-style-language/schema/raw/master/csl-citation.json"}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(17, 18, 116, 117)</w:t>
      </w:r>
      <w:r>
        <w:rPr>
          <w:rFonts w:ascii="Times New Roman" w:hAnsi="Times New Roman" w:cs="Times New Roman"/>
        </w:rPr>
        <w:fldChar w:fldCharType="end"/>
      </w:r>
      <w:r>
        <w:rPr>
          <w:rFonts w:ascii="Times New Roman" w:hAnsi="Times New Roman" w:cs="Times New Roman"/>
        </w:rPr>
        <w:t>.</w:t>
      </w:r>
      <w:r w:rsidR="00CF0FEA">
        <w:rPr>
          <w:rFonts w:ascii="Times New Roman" w:hAnsi="Times New Roman" w:cs="Times New Roman"/>
        </w:rPr>
        <w:t xml:space="preserve"> I </w:t>
      </w:r>
      <w:r>
        <w:rPr>
          <w:rFonts w:ascii="Times New Roman" w:hAnsi="Times New Roman" w:cs="Times New Roman"/>
        </w:rPr>
        <w:t>estimated TOC, DIC, CH</w:t>
      </w:r>
      <w:r>
        <w:rPr>
          <w:rFonts w:ascii="Times New Roman" w:hAnsi="Times New Roman" w:cs="Times New Roman"/>
          <w:vertAlign w:val="subscript"/>
        </w:rPr>
        <w:t>4</w:t>
      </w:r>
      <w:r>
        <w:rPr>
          <w:rFonts w:ascii="Times New Roman" w:hAnsi="Times New Roman" w:cs="Times New Roman"/>
        </w:rPr>
        <w:t>,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fluxes based on the measurements (Figure 4.2-4.3) presented here and reactive-transport modeling (Figure 4.4-4.5). As TOC chemical transport is controlled solely by sediment burial, TOC burial flux and DIC flux estimates were invariant to simulations which consider groundwater upwelling (Table 4.1). DIC fluxes should be sensitive to advective processes as DIC exists as dissolved HCO</w:t>
      </w:r>
      <w:r>
        <w:rPr>
          <w:rFonts w:ascii="Times New Roman" w:hAnsi="Times New Roman" w:cs="Times New Roman"/>
          <w:vertAlign w:val="subscript"/>
        </w:rPr>
        <w:t>3</w:t>
      </w:r>
      <w:r>
        <w:rPr>
          <w:rFonts w:ascii="Times New Roman" w:hAnsi="Times New Roman" w:cs="Times New Roman"/>
          <w:vertAlign w:val="superscript"/>
        </w:rPr>
        <w:t>-</w:t>
      </w:r>
      <w:r>
        <w:rPr>
          <w:rFonts w:ascii="Times New Roman" w:hAnsi="Times New Roman" w:cs="Times New Roman"/>
        </w:rPr>
        <w:t xml:space="preserve"> for pH values typical of WOR sediments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author":[{"dropping-particle":"","family":"Martens","given":"S","non-dropping-particle":"","parse-names":false,"suffix":""},{"dropping-particle":"","family":"Goldhaber","given":"B","non-dropping-particle":"","parse-names":false,"suffix":""}],"id":"ITEM-1","issue":"3","issued":{"date-parts":[["1978"]]},"title":"Early diagenesis in transitional sedimentary environments of the White Oak River Estuary , North Carolina","type":"article-journal","volume":"23"},"uris":["http://www.mendeley.com/documents/?uuid=0b73bc7b-ae47-4d49-b831-f1e27998a8ef"]}],"mendeley":{"formattedCitation":"(115)","plainTextFormattedCitation":"(115)","previouslyFormattedCitation":"(114)"},"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(115)</w:t>
      </w:r>
      <w:r>
        <w:rPr>
          <w:rFonts w:ascii="Times New Roman" w:hAnsi="Times New Roman" w:cs="Times New Roman"/>
        </w:rPr>
        <w:fldChar w:fldCharType="end"/>
      </w:r>
      <w:r>
        <w:rPr>
          <w:rFonts w:ascii="Times New Roman" w:hAnsi="Times New Roman" w:cs="Times New Roman"/>
        </w:rPr>
        <w:t xml:space="preserve">. Nonetheless, our DIC flux estimates, based on oxidized TOC, were comparable with flux measurements derived from DIC gradient analysis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Oceanography","id":"ITEM-1","issue":"2","issued":{"date-parts":[["1990"]]},"page":"372-383","title":"Variations in sedimentary carbon remineralization rates in the White Oak River estuary, North Carolina","type":"article-journal","volume":"35"},"uris":["http://www.mendeley.com/documents/?uuid=84c9ad85-5fc2-45b3-b5a3-d5ddf5033ca0"]}],"mendeley":{"formattedCitation":"(116)","plainTextFormattedCitation":"(116)","previouslyFormattedCitation":"(115)"},"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(116)</w:t>
      </w:r>
      <w:r>
        <w:rPr>
          <w:rFonts w:ascii="Times New Roman" w:hAnsi="Times New Roman" w:cs="Times New Roman"/>
        </w:rPr>
        <w:fldChar w:fldCharType="end"/>
      </w:r>
      <w:r>
        <w:rPr>
          <w:rFonts w:ascii="Times New Roman" w:hAnsi="Times New Roman" w:cs="Times New Roman"/>
        </w:rPr>
        <w:t>.</w:t>
      </w:r>
    </w:p>
    <w:p w14:paraId="584D1A41" w14:textId="28C86F7C" w:rsidR="00365526" w:rsidRDefault="00365526" w:rsidP="00365526">
      <w:pPr>
        <w:spacing w:line="480" w:lineRule="auto"/>
        <w:ind w:firstLine="720"/>
        <w:rPr>
          <w:rFonts w:ascii="Times New Roman" w:hAnsi="Times New Roman" w:cs="Times New Roman"/>
        </w:rPr>
      </w:pPr>
      <w:r>
        <w:rPr>
          <w:rFonts w:ascii="Times New Roman" w:hAnsi="Times New Roman" w:cs="Times New Roman"/>
        </w:rPr>
        <w:t>When assuming diffusion-dominated chemical transport, our CH</w:t>
      </w:r>
      <w:r>
        <w:rPr>
          <w:rFonts w:ascii="Times New Roman" w:hAnsi="Times New Roman" w:cs="Times New Roman"/>
          <w:vertAlign w:val="subscript"/>
        </w:rPr>
        <w:t>4</w:t>
      </w:r>
      <w:r>
        <w:rPr>
          <w:rFonts w:ascii="Times New Roman" w:hAnsi="Times New Roman" w:cs="Times New Roman"/>
        </w:rPr>
        <w:t xml:space="preserve">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flux estimates were elevated but generally comparable with previous estimates (Table 4.1). The elevated CH</w:t>
      </w:r>
      <w:r>
        <w:rPr>
          <w:rFonts w:ascii="Times New Roman" w:hAnsi="Times New Roman" w:cs="Times New Roman"/>
          <w:vertAlign w:val="subscript"/>
        </w:rPr>
        <w:t>4</w:t>
      </w:r>
      <w:r>
        <w:rPr>
          <w:rFonts w:ascii="Times New Roman" w:hAnsi="Times New Roman" w:cs="Times New Roman"/>
        </w:rPr>
        <w:t xml:space="preserve">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fluxes can be explained by steeper concentration gradients </w:t>
      </w:r>
      <w:r>
        <w:rPr>
          <w:rFonts w:ascii="Times New Roman" w:hAnsi="Times New Roman" w:cs="Times New Roman"/>
        </w:rPr>
        <w:lastRenderedPageBreak/>
        <w:t xml:space="preserve">compared to gradients used in earlier modeling studies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Research","id":"ITEM-1","issue":"14-15","issued":{"date-parts":[["1998"]]},"page":"1771-1793","title":"Biogeochemical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Sediments","type":"article-journal","volume":"18"},"uris":["http://www.mendeley.com/documents/?uuid=f58213f7-2aba-41a0-ad11-b3deae1e2092"]},{"id":"ITEM-2","itemData":{"DOI":"10.1016/S0278-4343(98)00056-9","ISSN":"02784343","abstract":"A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Research","id":"ITEM-2","issue":"14-15","issued":{"date-parts":[["1998"]]},"page":"1741-1770","title":"Biogeochemical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transport","type":"article-journal","volume":"18"},"uris":["http://www.mendeley.com/documents/?uuid=958789dd-a429-4c22-bcfc-7a6b933ed55a"]}],"mendeley":{"formattedCitation":"(17, 18)","plainTextFormattedCitation":"(17, 18)","previouslyFormattedCitation":"(16, 17)"},"properties":{"noteIndex":0},"schema":"https://github.com/citation-style-language/schema/raw/master/csl-citation.json"}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(17, 18)</w:t>
      </w:r>
      <w:r>
        <w:rPr>
          <w:rFonts w:ascii="Times New Roman" w:hAnsi="Times New Roman" w:cs="Times New Roman"/>
        </w:rPr>
        <w:fldChar w:fldCharType="end"/>
      </w:r>
      <w:r>
        <w:rPr>
          <w:rFonts w:ascii="Times New Roman" w:hAnsi="Times New Roman" w:cs="Times New Roman"/>
        </w:rPr>
        <w:t>. A negative net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would suggest WOR sediments act as a sink for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from the overlying water column. Here, a negative net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is likely driven through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reducing metabolisms </w:t>
      </w:r>
      <w:r>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J","non-dropping-particle":"","parse-names":false,"suffix":""}],"container-title":"Microbiome","id":"ITEM-1","issue":"1","issued":{"date-parts":[["2015","12","13"]]},"page":"14","publisher":"BioMed Central","title":"Genomic resolution of linkages in carbon, nitrogen, and sulfur cycling among widespread estuary sediment bacteria","type":"article-journal","volume":"3"},"uris":["http://www.mendeley.com/documents/?uuid=9a188f01-0081-3e79-a3ab-79086163d314"]}],"mendeley":{"formattedCitation":"(8)","plainTextFormattedCitation":"(8)","previouslyFormattedCitation":"(8)"},"properties":{"noteIndex":0},"schema":"https://github.com/citation-style-language/schema/raw/master/csl-citation.json"}</w:instrText>
      </w:r>
      <w:r>
        <w:rPr>
          <w:rFonts w:ascii="Times New Roman" w:hAnsi="Times New Roman" w:cs="Times New Roman"/>
        </w:rPr>
        <w:fldChar w:fldCharType="separate"/>
      </w:r>
      <w:r w:rsidR="004620D1" w:rsidRPr="004620D1">
        <w:rPr>
          <w:rFonts w:ascii="Times New Roman" w:hAnsi="Times New Roman" w:cs="Times New Roman"/>
          <w:noProof/>
        </w:rPr>
        <w:t>(8)</w:t>
      </w:r>
      <w:r>
        <w:rPr>
          <w:rFonts w:ascii="Times New Roman" w:hAnsi="Times New Roman" w:cs="Times New Roman"/>
        </w:rPr>
        <w:fldChar w:fldCharType="end"/>
      </w:r>
      <w:r>
        <w:rPr>
          <w:rFonts w:ascii="Times New Roman" w:hAnsi="Times New Roman" w:cs="Times New Roman"/>
        </w:rPr>
        <w:t>. Excess CH</w:t>
      </w:r>
      <w:r>
        <w:rPr>
          <w:rFonts w:ascii="Times New Roman" w:hAnsi="Times New Roman" w:cs="Times New Roman"/>
          <w:vertAlign w:val="subscript"/>
        </w:rPr>
        <w:t>4</w:t>
      </w:r>
      <w:r>
        <w:rPr>
          <w:rFonts w:ascii="Times New Roman" w:hAnsi="Times New Roman" w:cs="Times New Roman"/>
        </w:rPr>
        <w:t xml:space="preserve"> is assumed to diffuse away from the SWI, where the CH</w:t>
      </w:r>
      <w:r>
        <w:rPr>
          <w:rFonts w:ascii="Times New Roman" w:hAnsi="Times New Roman" w:cs="Times New Roman"/>
          <w:vertAlign w:val="subscript"/>
        </w:rPr>
        <w:t>4</w:t>
      </w:r>
      <w:r>
        <w:rPr>
          <w:rFonts w:ascii="Times New Roman" w:hAnsi="Times New Roman" w:cs="Times New Roman"/>
        </w:rPr>
        <w:t xml:space="preserve"> flux is 0 mmol m</w:t>
      </w:r>
      <w:r>
        <w:rPr>
          <w:rFonts w:ascii="Times New Roman" w:hAnsi="Times New Roman" w:cs="Times New Roman"/>
          <w:vertAlign w:val="superscript"/>
        </w:rPr>
        <w:t>-2</w:t>
      </w:r>
      <w:r>
        <w:rPr>
          <w:rFonts w:ascii="Times New Roman" w:hAnsi="Times New Roman" w:cs="Times New Roman"/>
        </w:rPr>
        <w:t xml:space="preserve"> yr</w:t>
      </w:r>
      <w:r>
        <w:rPr>
          <w:rFonts w:ascii="Times New Roman" w:hAnsi="Times New Roman" w:cs="Times New Roman"/>
          <w:vertAlign w:val="superscript"/>
        </w:rPr>
        <w:t>-1</w:t>
      </w:r>
      <w:r>
        <w:rPr>
          <w:rFonts w:ascii="Times New Roman" w:hAnsi="Times New Roman" w:cs="Times New Roman"/>
        </w:rPr>
        <w:t>. Acoustic turbidity measurements suggest CH</w:t>
      </w:r>
      <w:r>
        <w:rPr>
          <w:rFonts w:ascii="Times New Roman" w:hAnsi="Times New Roman" w:cs="Times New Roman"/>
          <w:vertAlign w:val="subscript"/>
        </w:rPr>
        <w:t>4</w:t>
      </w:r>
      <w:r>
        <w:rPr>
          <w:rFonts w:ascii="Times New Roman" w:hAnsi="Times New Roman" w:cs="Times New Roman"/>
        </w:rPr>
        <w:t xml:space="preserve"> penetration ceases at ~1 m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{"citationItems":[{"id":"ITEM-1","itemData":{"DOI":"10.1016/j.margeo.2005.02.018","ISSN":"00253227","abstract":"The relationship between seismic wipe-outs, methane accumulation, and pore water salinity was investigated using high-resolution seismic profiles, pore water geochemical measurements, and sediment property data from the White Oak River Estuary, North Carolina. The estuary is a broad, shallow, drowned river valley filled with organic rich sediment where the salinity changes from fresh to sea water within 10 km. Uniboom seismic reflection profiles indicate a distinct pattern in the distribution of seismic wipe-outs. Wipe-outs dominate the upper estuary but are not observed in the lower estuary. Sediment pore water chlorinities decrease upstream but the sharpest gradients occur with depth. At ≤ 50 cm depths in the upper half of the estuary, pore waters typically have less than 100 mmol L-1 chloride even though overlying estuarine waters have 300-400 mmol L-1 chloride. Concave chloride profiles demonstrate that sediments in the upper estuary are actively flushed with fresh water moving upward through the sediments from underlying aquifers. The associated decrease in interstitial sulfate concentrations combined with high organic carbon content provides favorable conditions for methane production and accumulation. Seismic wipe-outs are correlated with areas of high methane concentrations and with sediments containing low pore water salinities. © 2005 Elsevier B.V. All rights reserved.","author":[{"dropping-particle":"","family":"Kogan","given":"Irina","non-dropping-particle":"","parse-names":false,"suffix":""},{"dropping-particle":"","family":"Paull","given":"Charles K.","non-dropping-particle":"","parse-names":false,"suffix":""}],"container-title":"Marine Geology","id":"ITEM-1","issue":"1-2","issued":{"date-parts":[["2005"]]},"page":"161-175","title":"Coastal seismic wipe-outs: Distribution controlled by pore water.","type":"article-journal","volume":"217"},"uris":["http://www.mendeley.com/documents/?uuid=4850f69b-59f6-435e-a84a-c7c588840abf"]},{"id":"ITEM-2","itemData":{"DOI":"10.1016/S0278-4343(98)00057-0","ISSN":"02784343","abstract":"To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Research","id":"ITEM-2","issue":"14-15","issued":{"date-parts":[["1998"]]},"page":"1771-1793","title":"Biogeochemical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Sediments","type":"article-journal","volume":"18"},"uris":["http://www.mendeley.com/documents/?uuid=f58213f7-2aba-41a0-ad11-b3deae1e2092"]}],"mendeley":{"formattedCitation":"(17, 119)","plainTextFormattedCitation":"(17, 119)","previouslyFormattedCitation":"(16, 118)"},"properties":{"noteIndex":0},"schema":"https://github.com/citation-style-language/schema/raw/master/csl-citation.json"}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(17, 119)</w:t>
      </w:r>
      <w:r>
        <w:rPr>
          <w:rFonts w:ascii="Times New Roman" w:hAnsi="Times New Roman" w:cs="Times New Roman"/>
        </w:rPr>
        <w:fldChar w:fldCharType="end"/>
      </w:r>
      <w:r>
        <w:rPr>
          <w:rFonts w:ascii="Times New Roman" w:hAnsi="Times New Roman" w:cs="Times New Roman"/>
        </w:rPr>
        <w:t>. Here,</w:t>
      </w:r>
      <w:r w:rsidR="00CF0FEA">
        <w:rPr>
          <w:rFonts w:ascii="Times New Roman" w:hAnsi="Times New Roman" w:cs="Times New Roman"/>
        </w:rPr>
        <w:t xml:space="preserve"> I </w:t>
      </w:r>
      <w:r>
        <w:rPr>
          <w:rFonts w:ascii="Times New Roman" w:hAnsi="Times New Roman" w:cs="Times New Roman"/>
        </w:rPr>
        <w:t>did not collect sediment to this depth and cannot heavily speculate about CH</w:t>
      </w:r>
      <w:r>
        <w:rPr>
          <w:rFonts w:ascii="Times New Roman" w:hAnsi="Times New Roman" w:cs="Times New Roman"/>
          <w:vertAlign w:val="subscript"/>
        </w:rPr>
        <w:t>4</w:t>
      </w:r>
      <w:r>
        <w:rPr>
          <w:rFonts w:ascii="Times New Roman" w:hAnsi="Times New Roman" w:cs="Times New Roman"/>
        </w:rPr>
        <w:t xml:space="preserve"> sink processes below 62 </w:t>
      </w:r>
      <w:proofErr w:type="spellStart"/>
      <w:r>
        <w:rPr>
          <w:rFonts w:ascii="Times New Roman" w:hAnsi="Times New Roman" w:cs="Times New Roman"/>
        </w:rPr>
        <w:t>cmbsf</w:t>
      </w:r>
      <w:proofErr w:type="spellEnd"/>
      <w:r>
        <w:rPr>
          <w:rFonts w:ascii="Times New Roman" w:hAnsi="Times New Roman" w:cs="Times New Roman"/>
        </w:rPr>
        <w:t xml:space="preserve">. </w:t>
      </w:r>
    </w:p>
    <w:p w14:paraId="20F51538" w14:textId="507319E2" w:rsidR="00365526" w:rsidRPr="00E51582" w:rsidRDefault="00365526" w:rsidP="00365526">
      <w:pPr>
        <w:spacing w:line="480" w:lineRule="auto"/>
        <w:ind w:firstLine="720"/>
        <w:rPr>
          <w:rFonts w:ascii="Times New Roman" w:hAnsi="Times New Roman" w:cs="Times New Roman"/>
        </w:rPr>
      </w:pPr>
      <w:r>
        <w:rPr>
          <w:rFonts w:ascii="Times New Roman" w:hAnsi="Times New Roman" w:cs="Times New Roman"/>
        </w:rPr>
        <w:t xml:space="preserve">Earlier studies on thermal gradients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{"citationItems":[{"id":"ITEM-1","itemData":{"DOI":"10.1016/S0022-1694(01)00405-X","ISSN":"00221694","abstract":"We calculate rates of groundwater discharge into the White Oak River in coastal North Carolina, using time series measurements of the thermal structure of shallow estuarine sediments recorded over a period of four months. Computer models using numerical solutions to the advection-diffusion equation show that sediment thermal structure is not explained by purely conductive heat transport. Results of models that incorporate groundwater advection from an underlying source closely mimic field observations of sediment temperatures, verifying that thermal data can be used to monitor groundwater discharge. An advantage of this technique is that it provides insight into temporal variations in groundwater flow rates. Thermal methods may thus be useful for quantifying groundwater flux in areas where low volumes of discharge cannot be detected by direct observation. © 2001 Elsevier Science B.V.","author":[{"dropping-particle":"","family":"Land","given":"Lewis A.","non-dropping-particle":"","parse-names":false,"suffix":""},{"dropping-particle":"","family":"Paull","given":"Charles K.","non-dropping-particle":"","parse-names":false,"suffix":""}],"container-title":"Journal of Hydrology","id":"ITEM-1","issue":"1-4","issued":{"date-parts":[["2001"]]},"page":"198-215","title":"Thermal gradients as a tool for estimating groundwater advective rates in a coastal estuary: White Oak River, North Carolina, USA","type":"article-journal","volume":"248"},"uris":["http://www.mendeley.com/documents/?uuid=6b707695-2b0a-42fa-98e6-4aa2f60337d5"]}],"mendeley":{"formattedCitation":"(124)","plainTextFormattedCitation":"(124)","previouslyFormattedCitation":"(123)"},"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(124)</w:t>
      </w:r>
      <w:r>
        <w:rPr>
          <w:rFonts w:ascii="Times New Roman" w:hAnsi="Times New Roman" w:cs="Times New Roman"/>
        </w:rPr>
        <w:fldChar w:fldCharType="end"/>
      </w:r>
      <w:r>
        <w:rPr>
          <w:rFonts w:ascii="Times New Roman" w:hAnsi="Times New Roman" w:cs="Times New Roman"/>
        </w:rPr>
        <w:t xml:space="preserve"> and Cl</w:t>
      </w:r>
      <w:r>
        <w:rPr>
          <w:rFonts w:ascii="Times New Roman" w:hAnsi="Times New Roman" w:cs="Times New Roman"/>
          <w:vertAlign w:val="superscript"/>
        </w:rPr>
        <w:t>-</w:t>
      </w:r>
      <w:r>
        <w:rPr>
          <w:rFonts w:ascii="Times New Roman" w:hAnsi="Times New Roman" w:cs="Times New Roman"/>
        </w:rPr>
        <w:t xml:space="preserve"> concentration profiles (assumed as passive tracer)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{"citationItems":[{"id":"ITEM-1","itemData":{"DOI":"10.1016/j.margeo.2005.02.018","ISSN":"00253227","abstract":"The relationship between seismic wipe-outs, methane accumulation, and pore water salinity was investigated using high-resolution seismic profiles, pore water geochemical measurements, and sediment property data from the White Oak River Estuary, North Carolina. The estuary is a broad, shallow, drowned river valley filled with organic rich sediment where the salinity changes from fresh to sea water within 10 km. Uniboom seismic reflection profiles indicate a distinct pattern in the distribution of seismic wipe-outs. Wipe-outs dominate the upper estuary but are not observed in the lower estuary. Sediment pore water chlorinities decrease upstream but the sharpest gradients occur with depth. At ≤ 50 cm depths in the upper half of the estuary, pore waters typically have less than 100 mmol L-1 chloride even though overlying estuarine waters have 300-400 mmol L-1 chloride. Concave chloride profiles demonstrate that sediments in the upper estuary are actively flushed with fresh water moving upward through the sediments from underlying aquifers. The associated decrease in interstitial sulfate concentrations combined with high organic carbon content provides favorable conditions for methane production and accumulation. Seismic wipe-outs are correlated with areas of high methane concentrations and with sediments containing low pore water salinities. © 2005 Elsevier B.V. All rights reserved.","author":[{"dropping-particle":"","family":"Kogan","given":"Irina","non-dropping-particle":"","parse-names":false,"suffix":""},{"dropping-particle":"","family":"Paull","given":"Charles K.","non-dropping-particle":"","parse-names":false,"suffix":""}],"container-title":"Marine Geology","id":"ITEM-1","issue":"1-2","issued":{"date-parts":[["2005"]]},"page":"161-175","title":"Coastal seismic wipe-outs: Distribution controlled by pore water.","type":"article-journal","volume":"217"},"uris":["http://www.mendeley.com/documents/?uuid=4850f69b-59f6-435e-a84a-c7c588840abf"]}],"mendeley":{"formattedCitation":"(119)","plainTextFormattedCitation":"(119)","previouslyFormattedCitation":"(118)"},"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(119)</w:t>
      </w:r>
      <w:r>
        <w:rPr>
          <w:rFonts w:ascii="Times New Roman" w:hAnsi="Times New Roman" w:cs="Times New Roman"/>
        </w:rPr>
        <w:fldChar w:fldCharType="end"/>
      </w:r>
      <w:r>
        <w:rPr>
          <w:rFonts w:ascii="Times New Roman" w:hAnsi="Times New Roman" w:cs="Times New Roman"/>
        </w:rPr>
        <w:t xml:space="preserve"> estimate groundwater upwelling rates between 0.6 to 39.4 cm yr</w:t>
      </w:r>
      <w:r>
        <w:rPr>
          <w:rFonts w:ascii="Times New Roman" w:hAnsi="Times New Roman" w:cs="Times New Roman"/>
          <w:vertAlign w:val="superscript"/>
        </w:rPr>
        <w:t>-1</w:t>
      </w:r>
      <w:r>
        <w:rPr>
          <w:rFonts w:ascii="Times New Roman" w:hAnsi="Times New Roman" w:cs="Times New Roman"/>
        </w:rPr>
        <w:t xml:space="preserve"> in WOR sediments. Nonetheless, CH</w:t>
      </w:r>
      <w:r>
        <w:rPr>
          <w:rFonts w:ascii="Times New Roman" w:hAnsi="Times New Roman" w:cs="Times New Roman"/>
          <w:vertAlign w:val="subscript"/>
        </w:rPr>
        <w:t>4</w:t>
      </w:r>
      <w:r>
        <w:rPr>
          <w:rFonts w:ascii="Times New Roman" w:hAnsi="Times New Roman" w:cs="Times New Roman"/>
        </w:rPr>
        <w:t xml:space="preserve">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flux modeling studies for WOR sediments have not considered groundwater upwelling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Oceanography","id":"ITEM-1","issue":"2","issued":{"date-parts":[["1990"]]},"page":"372-383","title":"Variations in sedimentary carbon remineralization rates in the White Oak River estuary, North Carolina","type":"article-journal","volume":"35"},"uris":["http://www.mendeley.com/documents/?uuid=84c9ad85-5fc2-45b3-b5a3-d5ddf5033ca0"]},{"id":"ITEM-2","itemData":{"DOI":"10.1016/S0278-4343(98)00057-0","ISSN":"02784343","abstract":"To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Research","id":"ITEM-2","issue":"14-15","issued":{"date-parts":[["1998"]]},"page":"1771-1793","title":"Biogeochemical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Sediments","type":"article-journal","volume":"18"},"uris":["http://www.mendeley.com/documents/?uuid=f58213f7-2aba-41a0-ad11-b3deae1e2092"]},{"id":"ITEM-3","itemData":{"DOI":"10.1016/S0278-4343(98)00056-9","ISSN":"02784343","abstract":"A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Research","id":"ITEM-3","issue":"14-15","issued":{"date-parts":[["1998"]]},"page":"1741-1770","title":"Biogeochemical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id":"ITEM-4","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Microbiology","id":"ITEM-4","issue":"9","issued":{"date-parts":[["2011"]]},"page":"2548-2564","title":"Environmental evidence for net methane production and oxidation in putative ANaerobic MEthanotrophic (ANME) archaea","type":"article-journal","volume":"13"},"uris":["http://www.mendeley.com/documents/?uuid=66d37395-cd0d-4af9-893f-431870bc2bc8"]}],"mendeley":{"formattedCitation":"(17, 18, 116, 117)","plainTextFormattedCitation":"(17, 18, 116, 117)","previouslyFormattedCitation":"(16, 17, 115, 116)"},"properties":{"noteIndex":0},"schema":"https://github.com/citation-style-language/schema/raw/master/csl-citation.json"}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(17, 18, 116, 117)</w:t>
      </w:r>
      <w:r>
        <w:rPr>
          <w:rFonts w:ascii="Times New Roman" w:hAnsi="Times New Roman" w:cs="Times New Roman"/>
        </w:rPr>
        <w:fldChar w:fldCharType="end"/>
      </w:r>
      <w:r>
        <w:rPr>
          <w:rFonts w:ascii="Times New Roman" w:hAnsi="Times New Roman" w:cs="Times New Roman"/>
        </w:rPr>
        <w:t>.</w:t>
      </w:r>
      <w:r w:rsidR="00CF0FEA">
        <w:rPr>
          <w:rFonts w:ascii="Times New Roman" w:hAnsi="Times New Roman" w:cs="Times New Roman"/>
        </w:rPr>
        <w:t xml:space="preserve"> I </w:t>
      </w:r>
      <w:r>
        <w:rPr>
          <w:rFonts w:ascii="Times New Roman" w:hAnsi="Times New Roman" w:cs="Times New Roman"/>
        </w:rPr>
        <w:t>found that net CH</w:t>
      </w:r>
      <w:r>
        <w:rPr>
          <w:rFonts w:ascii="Times New Roman" w:hAnsi="Times New Roman" w:cs="Times New Roman"/>
          <w:vertAlign w:val="subscript"/>
        </w:rPr>
        <w:t>4</w:t>
      </w:r>
      <w:r>
        <w:rPr>
          <w:rFonts w:ascii="Times New Roman" w:hAnsi="Times New Roman" w:cs="Times New Roman"/>
        </w:rPr>
        <w:t xml:space="preserve"> production decreased and net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increased with increasing advection (Figure 4.7-4.8; Table 1). The decreases in net CH</w:t>
      </w:r>
      <w:r w:rsidRPr="00665D43">
        <w:rPr>
          <w:rFonts w:ascii="Times New Roman" w:hAnsi="Times New Roman" w:cs="Times New Roman"/>
          <w:vertAlign w:val="subscript"/>
        </w:rPr>
        <w:t>4</w:t>
      </w:r>
      <w:r>
        <w:rPr>
          <w:rFonts w:ascii="Times New Roman" w:hAnsi="Times New Roman" w:cs="Times New Roman"/>
        </w:rPr>
        <w:t xml:space="preserve"> production can be explained by the reaction term (equation 4.7) compensating for CH</w:t>
      </w:r>
      <w:r>
        <w:rPr>
          <w:rFonts w:ascii="Times New Roman" w:hAnsi="Times New Roman" w:cs="Times New Roman"/>
          <w:vertAlign w:val="subscript"/>
        </w:rPr>
        <w:t>4</w:t>
      </w:r>
      <w:r>
        <w:rPr>
          <w:rFonts w:ascii="Times New Roman" w:hAnsi="Times New Roman" w:cs="Times New Roman"/>
        </w:rPr>
        <w:t xml:space="preserve"> </w:t>
      </w:r>
      <w:proofErr w:type="spellStart"/>
      <w:r>
        <w:rPr>
          <w:rFonts w:ascii="Times New Roman" w:hAnsi="Times New Roman" w:cs="Times New Roman"/>
        </w:rPr>
        <w:t>advecting</w:t>
      </w:r>
      <w:proofErr w:type="spellEnd"/>
      <w:r>
        <w:rPr>
          <w:rFonts w:ascii="Times New Roman" w:hAnsi="Times New Roman" w:cs="Times New Roman"/>
        </w:rPr>
        <w:t xml:space="preserve"> from lower depths (Figure 4.5B). Net CH</w:t>
      </w:r>
      <w:r>
        <w:rPr>
          <w:rFonts w:ascii="Times New Roman" w:hAnsi="Times New Roman" w:cs="Times New Roman"/>
          <w:vertAlign w:val="subscript"/>
        </w:rPr>
        <w:t>4</w:t>
      </w:r>
      <w:r>
        <w:rPr>
          <w:rFonts w:ascii="Times New Roman" w:hAnsi="Times New Roman" w:cs="Times New Roman"/>
        </w:rPr>
        <w:t xml:space="preserve"> production becomes negative when advection &gt;3.2 cm yr</w:t>
      </w:r>
      <w:r>
        <w:rPr>
          <w:rFonts w:ascii="Times New Roman" w:hAnsi="Times New Roman" w:cs="Times New Roman"/>
          <w:vertAlign w:val="superscript"/>
        </w:rPr>
        <w:t>-1</w:t>
      </w:r>
      <w:r>
        <w:rPr>
          <w:rFonts w:ascii="Times New Roman" w:hAnsi="Times New Roman" w:cs="Times New Roman"/>
        </w:rPr>
        <w:t>. Since all CH</w:t>
      </w:r>
      <w:r>
        <w:rPr>
          <w:rFonts w:ascii="Times New Roman" w:hAnsi="Times New Roman" w:cs="Times New Roman"/>
          <w:vertAlign w:val="subscript"/>
        </w:rPr>
        <w:t>4</w:t>
      </w:r>
      <w:r>
        <w:rPr>
          <w:rFonts w:ascii="Times New Roman" w:hAnsi="Times New Roman" w:cs="Times New Roman"/>
        </w:rPr>
        <w:t xml:space="preserve"> is produced via methanogenesis in WOR sediments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{"citationItems":[{"id":"ITEM-1","itemData":{"DOI":"10.1016/j.margeo.2005.02.018","ISSN":"00253227","abstract":"The relationship between seismic wipe-outs, methane accumulation, and pore water salinity was investigated using high-resolution seismic profiles, pore water geochemical measurements, and sediment property data from the White Oak River Estuary, North Carolina. The estuary is a broad, shallow, drowned river valley filled with organic rich sediment where the salinity changes from fresh to sea water within 10 km. Uniboom seismic reflection profiles indicate a distinct pattern in the distribution of seismic wipe-outs. Wipe-outs dominate the upper estuary but are not observed in the lower estuary. Sediment pore water chlorinities decrease upstream but the sharpest gradients occur with depth. At ≤ 50 cm depths in the upper half of the estuary, pore waters typically have less than 100 mmol L-1 chloride even though overlying estuarine waters have 300-400 mmol L-1 chloride. Concave chloride profiles demonstrate that sediments in the upper estuary are actively flushed with fresh water moving upward through the sediments from underlying aquifers. The associated decrease in interstitial sulfate concentrations combined with high organic carbon content provides favorable conditions for methane production and accumulation. Seismic wipe-outs are correlated with areas of high methane concentrations and with sediments containing low pore water salinities. © 2005 Elsevier B.V. All rights reserved.","author":[{"dropping-particle":"","family":"Kogan","given":"Irina","non-dropping-particle":"","parse-names":false,"suffix":""},{"dropping-particle":"","family":"Paull","given":"Charles K.","non-dropping-particle":"","parse-names":false,"suffix":""}],"container-title":"Marine Geology","id":"ITEM-1","issue":"1-2","issued":{"date-parts":[["2005"]]},"page":"161-175","title":"Coastal seismic wipe-outs: Distribution controlled by pore water.","type":"article-journal","volume":"217"},"uris":["http://www.mendeley.com/documents/?uuid=4850f69b-59f6-435e-a84a-c7c588840abf"]},{"id":"ITEM-2","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Oceanography","id":"ITEM-2","issue":"2","issued":{"date-parts":[["1990"]]},"page":"372-383","title":"Variations in sedimentary carbon remineralization rates in the White Oak River estuary, North Carolina","type":"article-journal","volume":"35"},"uris":["http://www.mendeley.com/documents/?uuid=84c9ad85-5fc2-45b3-b5a3-d5ddf5033ca0"]}],"mendeley":{"formattedCitation":"(116, 119)","plainTextFormattedCitation":"(116, 119)","previouslyFormattedCitation":"(115, 118)"},"properties":{"noteIndex":0},"schema":"https://github.com/citation-style-language/schema/raw/master/csl-citation.json"}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(116, 119)</w:t>
      </w:r>
      <w:r>
        <w:rPr>
          <w:rFonts w:ascii="Times New Roman" w:hAnsi="Times New Roman" w:cs="Times New Roman"/>
        </w:rPr>
        <w:fldChar w:fldCharType="end"/>
      </w:r>
      <w:r>
        <w:rPr>
          <w:rFonts w:ascii="Times New Roman" w:hAnsi="Times New Roman" w:cs="Times New Roman"/>
        </w:rPr>
        <w:t>, CH</w:t>
      </w:r>
      <w:r>
        <w:rPr>
          <w:rFonts w:ascii="Times New Roman" w:hAnsi="Times New Roman" w:cs="Times New Roman"/>
          <w:vertAlign w:val="subscript"/>
        </w:rPr>
        <w:t>4</w:t>
      </w:r>
      <w:r>
        <w:rPr>
          <w:rFonts w:ascii="Times New Roman" w:hAnsi="Times New Roman" w:cs="Times New Roman"/>
        </w:rPr>
        <w:t xml:space="preserve"> production must happen below 62 </w:t>
      </w:r>
      <w:proofErr w:type="spellStart"/>
      <w:r>
        <w:rPr>
          <w:rFonts w:ascii="Times New Roman" w:hAnsi="Times New Roman" w:cs="Times New Roman"/>
        </w:rPr>
        <w:t>cmbsf</w:t>
      </w:r>
      <w:proofErr w:type="spellEnd"/>
      <w:r>
        <w:rPr>
          <w:rFonts w:ascii="Times New Roman" w:hAnsi="Times New Roman" w:cs="Times New Roman"/>
        </w:rPr>
        <w:t xml:space="preserve"> to maintain mass balance if advection rates are &gt;3.2 cm yr</w:t>
      </w:r>
      <w:r>
        <w:rPr>
          <w:rFonts w:ascii="Times New Roman" w:hAnsi="Times New Roman" w:cs="Times New Roman"/>
          <w:vertAlign w:val="superscript"/>
        </w:rPr>
        <w:t>-1</w:t>
      </w:r>
      <w:r>
        <w:rPr>
          <w:rFonts w:ascii="Times New Roman" w:hAnsi="Times New Roman" w:cs="Times New Roman"/>
        </w:rPr>
        <w:t>. The increase in net SO</w:t>
      </w:r>
      <w:r>
        <w:rPr>
          <w:rFonts w:ascii="Times New Roman" w:hAnsi="Times New Roman" w:cs="Times New Roman"/>
          <w:vertAlign w:val="subscript"/>
        </w:rPr>
        <w:t>4</w:t>
      </w:r>
      <w:r>
        <w:rPr>
          <w:rFonts w:ascii="Times New Roman" w:hAnsi="Times New Roman" w:cs="Times New Roman"/>
        </w:rPr>
        <w:t xml:space="preserve"> production is explained by less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supply from the overlying water column due to advection. The consequence of less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penetration was the reaction term became positive, indicating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was necessary to maintain steady-state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concentrations (Figure 4.5A). As advection rates increased, the net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was predicted to occur at deeper depths and at larger magnitudes. The </w:t>
      </w:r>
      <w:r>
        <w:rPr>
          <w:rFonts w:ascii="Times New Roman" w:hAnsi="Times New Roman" w:cs="Times New Roman"/>
        </w:rPr>
        <w:lastRenderedPageBreak/>
        <w:t xml:space="preserve">sediment sulfur cycle has many cryptic (short lived or below detection) sulfur species of intermediate oxidation state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{"citationItems":[{"id":"ITEM-1","itemData":{"DOI":"10.3389/fmicb.2019.00849","ISSN":"1664302X","abstract":"Microbial dissimilatory sulfate reduction to sulfide is a predominant terminal pathway of organic matter mineralization in the anoxic seabed. Chemical or microbial oxidation of the produced sulfide establishes a complex network of pathways in the sulfur cycle, leading to intermediate sulfur species and partly back to sulfate. The intermediates include elemental sulfur, polysulfides, thiosulfate, and sulfite, which are all substrates for further microbial oxidation, reduction or disproportionation. New microbiological discoveries, such as long-distance electron transfer through sulfide oxidizing cable bacteria, add to the complexity. Isotope exchange reactions play an important role for the stable isotope geochemistry and for the experimental study of sulfur transformations using radiotracers. Microbially catalyzed processes are partly reversible whereby the back-reaction affects our interpretation of radiotracer experiments and provides a mechanism for isotope fractionation. We here review the progress and current status in our understanding of the sulfur cycle in the seabed with respect to its microbial ecology, biogeochemistry, and isotope geochemistry.","author":[{"dropping-particle":"","family":"Jørgensen","given":"Bo Barker","non-dropping-particle":"","parse-names":false,"suffix":""},{"dropping-particle":"","family":"Findlay","given":"Alyssa J.","non-dropping-particle":"","parse-names":false,"suffix":""},{"dropping-particle":"","family":"Pellerin","given":"André","non-dropping-particle":"","parse-names":false,"suffix":""}],"container-title":"Frontiers in Microbiology","id":"ITEM-1","issue":"APR","issued":{"date-parts":[["2019"]]},"page":"1-27","title":"The biogeochemical sulfur cycle of marine sediments","type":"article-journal","volume":"10"},"uris":["http://www.mendeley.com/documents/?uuid=4b896f12-7b26-4650-baea-7e4e906c7c59"]}],"mendeley":{"formattedCitation":"(136)","plainTextFormattedCitation":"(136)","previouslyFormattedCitation":"(135)"},"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(136)</w:t>
      </w:r>
      <w:r>
        <w:rPr>
          <w:rFonts w:ascii="Times New Roman" w:hAnsi="Times New Roman" w:cs="Times New Roman"/>
        </w:rPr>
        <w:fldChar w:fldCharType="end"/>
      </w:r>
      <w:r>
        <w:rPr>
          <w:rFonts w:ascii="Times New Roman" w:hAnsi="Times New Roman" w:cs="Times New Roman"/>
        </w:rPr>
        <w:t xml:space="preserve">. Metabolisms involved with sulfur species of intermediate oxidation states have been observed in WOR sediments </w:t>
      </w:r>
      <w:r>
        <w:rPr>
          <w:rFonts w:ascii="Times New Roman" w:hAnsi="Times New Roman" w:cs="Times New Roman"/>
        </w:rPr>
        <w:fldChar w:fldCharType="begin" w:fldLock="1"/>
      </w:r>
      <w:r w:rsidR="00F74F65">
        <w:rPr>
          <w:rFonts w:ascii="Times New Roman" w:hAnsi="Times New Roman" w:cs="Times New Roman"/>
        </w:rPr>
        <w:instrText>ADDIN CSL_CITATION {"citationItems":[{"id":"ITEM-1","itemData":{"DOI":"10.1186/s40168-015-0077-6","ISSN":"2049-2618","abstract":"Estuaries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J","non-dropping-particle":"","parse-names":false,"suffix":""}],"container-title":"Microbiome","id":"ITEM-1","issue":"1","issued":{"date-parts":[["2015","12","13"]]},"page":"14","publisher":"BioMed Central","title":"Genomic resolution of linkages in carbon, nitrogen, and sulfur cycling among widespread estuary sediment bacteria","type":"article-journal","volume":"3"},"uris":["http://www.mendeley.com/documents/?uuid=9a188f01-0081-3e79-a3ab-79086163d314"]}],"mendeley":{"formattedCitation":"(8)","plainTextFormattedCitation":"(8)","previouslyFormattedCitation":"(8)"},"properties":{"noteIndex":0},"schema":"https://github.com/citation-style-language/schema/raw/master/csl-citation.json"}</w:instrText>
      </w:r>
      <w:r>
        <w:rPr>
          <w:rFonts w:ascii="Times New Roman" w:hAnsi="Times New Roman" w:cs="Times New Roman"/>
        </w:rPr>
        <w:fldChar w:fldCharType="separate"/>
      </w:r>
      <w:r w:rsidR="004620D1" w:rsidRPr="004620D1">
        <w:rPr>
          <w:rFonts w:ascii="Times New Roman" w:hAnsi="Times New Roman" w:cs="Times New Roman"/>
          <w:noProof/>
        </w:rPr>
        <w:t>(8)</w:t>
      </w:r>
      <w:r>
        <w:rPr>
          <w:rFonts w:ascii="Times New Roman" w:hAnsi="Times New Roman" w:cs="Times New Roman"/>
        </w:rPr>
        <w:fldChar w:fldCharType="end"/>
      </w:r>
      <w:r>
        <w:rPr>
          <w:rFonts w:ascii="Times New Roman" w:hAnsi="Times New Roman" w:cs="Times New Roman"/>
        </w:rPr>
        <w:t xml:space="preserve">. Furthermore, porewater sulfide has been observed to extend to the SWI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{"citationItems":[{"id":"ITEM-1","itemData":{"DOI":"10.1038/ismej.2016.189","ISBN":"1751-7370","ISSN":"17517370","PMID":"28085154","abstract":"Genomic reconstruction of multiple lineages of uncultured benthic archaea suggests distinct biogeochemical roles and ecological niches","author":[{"dropping-particle":"","family":"Lazar","given":"C. S.","non-dropping-particle":"","parse-names":false,"suffix":""},{"dropping-particle":"","family":"Baker","given":"B. J.","non-dropping-particle":"","parse-names":false,"suffix":""},{"dropping-particle":"","family":"Seitz","given":"K. W.","non-dropping-particle":"","parse-names":false,"suffix":""},{"dropping-particle":"","family":"Teske","given":"A. P.","non-dropping-particle":"","parse-names":false,"suffix":""}],"container-title":"ISME Journal","id":"ITEM-1","issue":"5","issued":{"date-parts":[["2017"]]},"page":"1118-1129","publisher":"Nature Publishing Group","title":"Genomic reconstruction of multiple lineages of uncultured benthic archaea suggests distinct biogeochemical roles and ecological niches","type":"article-journal","volume":"11"},"uris":["http://www.mendeley.com/documents/?uuid=4457f87a-6999-4313-b89e-ab8a36ea391c"]}],"mendeley":{"formattedCitation":"(120)","plainTextFormattedCitation":"(120)","previouslyFormattedCitation":"(119)"},"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(120)</w:t>
      </w:r>
      <w:r>
        <w:rPr>
          <w:rFonts w:ascii="Times New Roman" w:hAnsi="Times New Roman" w:cs="Times New Roman"/>
        </w:rPr>
        <w:fldChar w:fldCharType="end"/>
      </w:r>
      <w:r>
        <w:rPr>
          <w:rFonts w:ascii="Times New Roman" w:hAnsi="Times New Roman" w:cs="Times New Roman"/>
        </w:rPr>
        <w:t>. It is conceivable that sulfur species with intermediate oxidation states are respired at depth, transported to depths where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is predicted with our reaction-transport model, and then re-oxidized back to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w:t>
      </w:r>
      <w:r w:rsidR="00CF0FEA">
        <w:rPr>
          <w:rFonts w:ascii="Times New Roman" w:hAnsi="Times New Roman" w:cs="Times New Roman"/>
        </w:rPr>
        <w:t xml:space="preserve"> I </w:t>
      </w:r>
      <w:r>
        <w:rPr>
          <w:rFonts w:ascii="Times New Roman" w:hAnsi="Times New Roman" w:cs="Times New Roman"/>
        </w:rPr>
        <w:t>assert that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cannot exceed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reduction rates in WOR sediments as there is no source of reduced sulfur at depth. The transition from WOR sediments being a net sink versus a net source for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occurred when advection was 14.9 cm yr</w:t>
      </w:r>
      <w:r>
        <w:rPr>
          <w:rFonts w:ascii="Times New Roman" w:hAnsi="Times New Roman" w:cs="Times New Roman"/>
          <w:vertAlign w:val="superscript"/>
        </w:rPr>
        <w:t>-1</w:t>
      </w:r>
      <w:r>
        <w:rPr>
          <w:rFonts w:ascii="Times New Roman" w:hAnsi="Times New Roman" w:cs="Times New Roman"/>
        </w:rPr>
        <w:t>. Thus,</w:t>
      </w:r>
      <w:r w:rsidR="00CF0FEA">
        <w:rPr>
          <w:rFonts w:ascii="Times New Roman" w:hAnsi="Times New Roman" w:cs="Times New Roman"/>
        </w:rPr>
        <w:t xml:space="preserve"> I </w:t>
      </w:r>
      <w:r>
        <w:rPr>
          <w:rFonts w:ascii="Times New Roman" w:hAnsi="Times New Roman" w:cs="Times New Roman"/>
        </w:rPr>
        <w:t>view this as an upper bound for advection. Ultimately, early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sequestration estimates for WOR estuary sediments appear overestimated if groundwater advection is considered in models.</w:t>
      </w:r>
    </w:p>
    <w:p w14:paraId="753BC481" w14:textId="77777777" w:rsidR="00365526" w:rsidRDefault="00365526" w:rsidP="00365526">
      <w:pPr>
        <w:pStyle w:val="Heading3"/>
      </w:pPr>
      <w:bookmarkStart w:id="278" w:name="_Toc41908140"/>
      <w:r>
        <w:t xml:space="preserve">Conclusions and </w:t>
      </w:r>
      <w:r w:rsidRPr="001B7163">
        <w:t>Future</w:t>
      </w:r>
      <w:r>
        <w:t xml:space="preserve"> Directions</w:t>
      </w:r>
      <w:bookmarkEnd w:id="278"/>
    </w:p>
    <w:p w14:paraId="10EE8DCA" w14:textId="01B96AD1" w:rsidR="00365526" w:rsidRPr="0034136F" w:rsidRDefault="00365526" w:rsidP="00365526">
      <w:pPr>
        <w:spacing w:line="480" w:lineRule="auto"/>
        <w:ind w:firstLine="720"/>
        <w:rPr>
          <w:rFonts w:ascii="Times New Roman" w:hAnsi="Times New Roman" w:cs="Times New Roman"/>
        </w:rPr>
      </w:pPr>
      <w:r>
        <w:rPr>
          <w:rFonts w:ascii="Times New Roman" w:hAnsi="Times New Roman" w:cs="Times New Roman"/>
        </w:rPr>
        <w:t>We sought to characterize bulk sediment and porewater organic geochemistry prior to modeling microbial trait distributions in WOR estuary sediments. The TOC, DIC, CH</w:t>
      </w:r>
      <w:r>
        <w:rPr>
          <w:rFonts w:ascii="Times New Roman" w:hAnsi="Times New Roman" w:cs="Times New Roman"/>
          <w:vertAlign w:val="subscript"/>
        </w:rPr>
        <w:t>4</w:t>
      </w:r>
      <w:r>
        <w:rPr>
          <w:rFonts w:ascii="Times New Roman" w:hAnsi="Times New Roman" w:cs="Times New Roman"/>
        </w:rPr>
        <w:t>, and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budgets for primary carbon and sulfur reservoirs are consistent with previous estimates; however, variability in the SMTZ between different studies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Research","id":"ITEM-1","issue":"14-15","issued":{"date-parts":[["1998"]]},"page":"1771-1793","title":"Biogeochemical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Sediments","type":"article-journal","volume":"18"},"uris":["http://www.mendeley.com/documents/?uuid=f58213f7-2aba-41a0-ad11-b3deae1e2092"]},{"id":"ITEM-2","itemData":{"DOI":"10.1016/S0278-4343(98)00056-9","ISSN":"02784343","abstract":"A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Research","id":"ITEM-2","issue":"14-15","issued":{"date-parts":[["1998"]]},"page":"1741-1770","title":"Biogeochemical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id":"ITEM-3","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Microbiology","id":"ITEM-3","issue":"9","issued":{"date-parts":[["2011"]]},"page":"2548-2564","title":"Environmental evidence for net methane production and oxidation in putative ANaerobic MEthanotrophic (ANME) archaea","type":"article-journal","volume":"13"},"uris":["http://www.mendeley.com/documents/?uuid=66d37395-cd0d-4af9-893f-431870bc2bc8"]},{"id":"ITEM-4","itemData":{"DOI":"10.1016/j.margeo.2005.02.018","ISSN":"00253227","abstract":"The relationship between seismic wipe-outs, methane accumulation, and pore water salinity was investigated using high-resolution seismic profiles, pore water geochemical measurements, and sediment property data from the White Oak River Estuary, North Carolina. The estuary is a broad, shallow, drowned river valley filled with organic rich sediment where the salinity changes from fresh to sea water within 10 km. Uniboom seismic reflection profiles indicate a distinct pattern in the distribution of seismic wipe-outs. Wipe-outs dominate the upper estuary but are not observed in the lower estuary. Sediment pore water chlorinities decrease upstream but the sharpest gradients occur with depth. At ≤ 50 cm depths in the upper half of the estuary, pore waters typically have less than 100 mmol L-1 chloride even though overlying estuarine waters have 300-400 mmol L-1 chloride. Concave chloride profiles demonstrate that sediments in the upper estuary are actively flushed with fresh water moving upward through the sediments from underlying aquifers. The associated decrease in interstitial sulfate concentrations combined with high organic carbon content provides favorable conditions for methane production and accumulation. Seismic wipe-outs are correlated with areas of high methane concentrations and with sediments containing low pore water salinities. © 2005 Elsevier B.V. All rights reserved.","author":[{"dropping-particle":"","family":"Kogan","given":"Irina","non-dropping-particle":"","parse-names":false,"suffix":""},{"dropping-particle":"","family":"Paull","given":"Charles K.","non-dropping-particle":"","parse-names":false,"suffix":""}],"container-title":"Marine Geology","id":"ITEM-4","issue":"1-2","issued":{"date-parts":[["2005"]]},"page":"161-175","title":"Coastal seismic wipe-outs: Distribution controlled by pore water.","type":"article-journal","volume":"217"},"uris":["http://www.mendeley.com/documents/?uuid=4850f69b-59f6-435e-a84a-c7c588840abf"]},{"id":"ITEM-5","itemData":{"author":[{"dropping-particle":"","family":"Martens","given":"S","non-dropping-particle":"","parse-names":false,"suffix":""},{"dropping-particle":"","family":"Goldhaber","given":"B","non-dropping-particle":"","parse-names":false,"suffix":""}],"id":"ITEM-5","issue":"3","issued":{"date-parts":[["1978"]]},"title":"Early diagenesis in transitional sedimentary environments of the White Oak River Estuary , North Carolina","type":"article-journal","volume":"23"},"uris":["http://www.mendeley.com/documents/?uuid=0b73bc7b-ae47-4d49-b831-f1e27998a8ef"]},{"id":"ITEM-6","itemData":{"DOI":"10.1038/ismej.2016.189","ISBN":"1751-7370","ISSN":"17517370","PMID":"28085154","abstract":"Genomic reconstruction of multiple lineages of uncultured benthic archaea suggests distinct biogeochemical roles and ecological niches","author":[{"dropping-particle":"","family":"Lazar","given":"C. S.","non-dropping-particle":"","parse-names":false,"suffix":""},{"dropping-particle":"","family":"Baker","given":"B. J.","non-dropping-particle":"","parse-names":false,"suffix":""},{"dropping-particle":"","family":"Seitz","given":"K. W.","non-dropping-particle":"","parse-names":false,"suffix":""},{"dropping-particle":"","family":"Teske","given":"A. P.","non-dropping-particle":"","parse-names":false,"suffix":""}],"container-title":"ISME Journal","id":"ITEM-6","issue":"5","issued":{"date-parts":[["2017"]]},"page":"1118-1129","publisher":"Nature Publishing Group","title":"Genomic reconstruction of multiple lineages of uncultured benthic archaea suggests distinct biogeochemical roles and ecological niches","type":"article-journal","volume":"11"},"uris":["http://www.mendeley.com/documents/?uuid=4457f87a-6999-4313-b89e-ab8a36ea391c"]}],"mendeley":{"formattedCitation":"(17, 18, 115, 117, 119, 120)","plainTextFormattedCitation":"(17, 18, 115, 117, 119, 120)","previouslyFormattedCitation":"(16, 17, 114, 116, 118, 119)"},"properties":{"noteIndex":0},"schema":"https://github.com/citation-style-language/schema/raw/master/csl-citation.json"}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(17, 18, 115, 117, 119, 120)</w:t>
      </w:r>
      <w:r>
        <w:rPr>
          <w:rFonts w:ascii="Times New Roman" w:hAnsi="Times New Roman" w:cs="Times New Roman"/>
        </w:rPr>
        <w:fldChar w:fldCharType="end"/>
      </w:r>
      <w:r>
        <w:rPr>
          <w:rFonts w:ascii="Times New Roman" w:hAnsi="Times New Roman" w:cs="Times New Roman"/>
        </w:rPr>
        <w:t xml:space="preserve"> indicate that assumptions of steady-state concentrations on short and intermediate timescales may be unadvisable when characterizing microbial ecology. AOM may result in biomass growth at the SMTZ (Figure 4.3). Furthermore, sulfur cycling appeared sensitive to groundwater upwelling (Figure 4.5A), which, if variable, could have implications on temporal microbial populations. </w:t>
      </w:r>
    </w:p>
    <w:p w14:paraId="2AC23ADA" w14:textId="3EE153A5" w:rsidR="00365526" w:rsidRPr="006A59BB" w:rsidRDefault="00365526" w:rsidP="00365526">
      <w:pPr>
        <w:spacing w:line="480" w:lineRule="auto"/>
        <w:ind w:firstLine="720"/>
        <w:rPr>
          <w:rFonts w:ascii="Times New Roman" w:hAnsi="Times New Roman" w:cs="Times New Roman"/>
        </w:rPr>
      </w:pPr>
      <w:r>
        <w:rPr>
          <w:rFonts w:ascii="Times New Roman" w:hAnsi="Times New Roman" w:cs="Times New Roman"/>
        </w:rPr>
        <w:lastRenderedPageBreak/>
        <w:t xml:space="preserve">The organic geochemistry was consistent with the expected metabolisms previously described in WOR sediments </w:t>
      </w:r>
      <w:r>
        <w:rPr>
          <w:rFonts w:ascii="Times New Roman" w:hAnsi="Times New Roman" w:cs="Times New Roman"/>
        </w:rPr>
        <w:fldChar w:fldCharType="begin" w:fldLock="1"/>
      </w:r>
      <w:r w:rsidR="00307058">
        <w:rPr>
          <w:rFonts w:ascii="Times New Roman" w:hAnsi="Times New Roman" w:cs="Times New Roman"/>
        </w:rPr>
        <w:instrText xml:space="preserve">ADDIN CSL_CITATION {"citationItems":[{"id":"ITEM-1","itemData":{"DOI":"10.1186/s40168-015-0077-6","ISSN":"2049-2618","abstract":"Estuaries are among the most productive habitats on the planet. Bacteria in estuary sediments control the turnover of organic carbon and the cycling of nitrogen and sulfur. These communities are complex and primarily made up of uncultured lineages, thus little is known about how ecological and metabolic processes are partitioned in sediments. \n                  De novo assembly and binning resulted in the reconstruction of 82 bacterial genomes from different redox regimes of estuary sediments. These genomes belong to 23 bacterial groups, including uncultured candidate phyla (for example, KSB1, TA06, and KD3-62) and three newly described phyla (White Oak River (WOR)-1, WOR-2, and WOR-3). The uncultured phyla are generally most abundant in the sulfate-methane transition (SMTZ) and methane-rich zones, and genomic data predict that they mediate essential biogeochemical processes of the estuarine environment, including organic carbon degradation and fermentation. Among the most abundant organisms in the sulfate-rich layer are novel Gammaproteobacteria that have genes for the oxidation of sulfur and the reduction of nitrate and nitrite. Interestingly, the terminal steps of denitrification (NO3 to N2O and then N2O to N2) are present in distinct bacterial populations. This dataset extends our knowledge of the metabolic potential of several uncultured phyla. Within the sediments, there is redundancy in the genomic potential in different lineages, often distinct phyla, for essential biogeochemical processes. We were able to chart the flow of carbon and nutrients through the multiple geochemical layers of bacterial processing and reveal potential ecological interactions within the communities.","author":[{"dropping-particle":"","family":"Baker","given":"Brett J","non-dropping-particle":"","parse-names":false,"suffix":""},{"dropping-particle":"","family":"Lazar","given":"Cassandre Sara","non-dropping-particle":"","parse-names":false,"suffix":""},{"dropping-particle":"","family":"Teske","given":"Andreas P","non-dropping-particle":"","parse-names":false,"suffix":""},{"dropping-particle":"","family":"Dick","given":"Gregory J","non-dropping-particle":"","parse-names":false,"suffix":""}],"container-title":"Microbiome","id":"ITEM-1","issue":"1","issued":{"date-parts":[["2015","12","13"]]},"page":"14","publisher":"BioMed Central","title":"Genomic resolution of linkages in carbon, nitrogen, and sulfur cycling among widespread estuary sediment bacteria","type":"article-journal","volume":"3"},"uris":["http://www.mendeley.com/documents/?uuid=9a188f01-0081-3e79-a3ab-79086163d314"]},{"id":"ITEM-2","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Microbiology","id":"ITEM-2","issue":"9","issued":{"date-parts":[["2011"]]},"page":"2548-2564","title":"Environmental evidence for net methane production and oxidation in putative ANaerobic MEthanotrophic (ANME) archaea","type":"article-journal","volume":"13"},"uris":["http://www.mendeley.com/documents/?uuid=66d37395-cd0d-4af9-893f-431870bc2bc8"]},{"id":"ITEM-3","itemData":{"DOI":"10.1128/aem.00102-19","ISSN":"0099-2240","abstract":"Anoxic subsurface sediments contain communities of heterotrophic microorganisms that metabolize organic carbon at extraordinarily slow rates. In order to assess the mechanisms by which subsurface microorganisms access detrital sedimentary organic matter, we measured kinetics of a range of extracellular peptidases in anoxic sediments of the White Oak River estuary, NC. Nine distinct peptidase substrates were enzymatically hydrolyzed at all depths. Potential peptidase activities ( V max ) decreased with increasing sediment depth, although V max expressed on a per cell basis was approximately the same at all depths. Half-saturation constants ( K m ) decreased with depth, indicating peptidases that functioned more efficiently at low substrate concentrations. Potential activities of extracellular peptidases acting on molecules that are enriched in degraded organic matter (D-phenylalanine and L-ornithine) increased relative to enzymes that act on L-phenylalanine, further suggesting microbial community adaptation to access degraded organic matter. Nineteen classes of predicted, exported peptidases were identified in genomic data from the same site, of which genes for class C25 (gingipain-like) peptidases represented more than 40% at each depth. Methionine aminopeptidases, zinc carboxypeptidases, and class S24-like peptidases, which are involved in single-stranded DNA repair, were also abundant. These results suggest a subsurface heterotrophic microbial community that primarily accesses low-quality detrital organic matter via a diverse suite of well-adapted extracellular enzymes. Importance Burial of organic carbon in marine and estuarine sediments represents a long-term sink for atmospheric carbon dioxide. Globally, </w:instrText>
      </w:r>
      <w:r w:rsidR="00307058">
        <w:rPr>
          <w:rFonts w:ascii="Cambria Math" w:hAnsi="Cambria Math" w:cs="Cambria Math"/>
        </w:rPr>
        <w:instrText>∼</w:instrText>
      </w:r>
      <w:r w:rsidR="00307058">
        <w:rPr>
          <w:rFonts w:ascii="Times New Roman" w:hAnsi="Times New Roman" w:cs="Times New Roman"/>
        </w:rPr>
        <w:instrText>40% of organic carbon burial occurs in anoxic estuaries and deltaic systems. However, the ultimate controls on the amount of organic matter that is buried in sediments, versus oxidized into CO 2 , are poorly constrained. Here we used a combination of enzyme assays and metagenomic analysis to identify how subsurface microbial communities catalyze the first step of proteinaceous organic carbon degradation. Our results show that microbial communities in deeper sediments are adapted to access molecules characteristic of degraded organic matter, suggesting that those heterotrophs are adapted to life in the subsurface.","author":[{"dropping-particle":"","family":"Steen","given":"Andrew D.","non-dropping-particle":"","parse-names":false,"suffix":""},{"dropping-particle":"","family":"Kevorkian","given":"Richard T.","non-dropping-particle":"","parse-names":false,"suffix":""},{"dropping-particle":"","family":"Bird","given":"Jordan T.","non-dropping-particle":"","parse-names":false,"suffix":""},{"dropping-particle":"","family":"Dombrowski","given":"Nina","non-dropping-particle":"","parse-names":false,"suffix":""},{"dropping-particle":"","family":"Baker","given":"Brett J.","non-dropping-particle":"","parse-names":false,"suffix":""},{"dropping-particle":"","family":"Hagen","given":"Shane M.","non-dropping-particle":"","parse-names":false,"suffix":""},{"dropping-particle":"","family":"Mulligan","given":"Katherine H.","non-dropping-particle":"","parse-names":false,"suffix":""},{"dropping-particle":"","family":"Schmidt","given":"Jenna M.","non-dropping-particle":"","parse-names":false,"suffix":""},{"dropping-particle":"","family":"Webber","given":"Austen T.","non-dropping-particle":"","parse-names":false,"suffix":""},{"dropping-particle":"","family":"Royalty","given":"Taylor M.","non-dropping-particle":"","parse-names":false,"suffix":""},{"dropping-particle":"","family":"Alperin","given":"Marc J.","non-dropping-particle":"","parse-names":false,"suffix":""}],"container-title":"Applied and Environmental Microbiology","id":"ITEM-3","issue":"July","issued":{"date-parts":[["2019"]]},"title":"Kinetics and identities of extracellular peptidases in subsurface sediments of the White Oak River Estuary, NC","type":"article-journal"},"uris":["http://www.mendeley.com/documents/?uuid=5a90d168-b5fb-4b32-b47b-c39dd2a2f3da"]},{"id":"ITEM-4","itemData":{"DOI":"10.1038/ismej.2016.189","ISBN":"1751-7370","ISSN":"17517370","PMID":"28085154","abstract":"Genomic reconstruction of multiple lineages of uncultured benthic archaea suggests distinct biogeochemical roles and ecological niches","author":[{"dropping-particle":"","family":"Lazar","given":"C. S.","non-dropping-particle":"","parse-names":false,"suffix":""},{"dropping-particle":"","family":"Baker","given":"B. J.","non-dropping-particle":"","parse-names":false,"suffix":""},{"dropping-particle":"","family":"Seitz","given":"K. W.","non-dropping-particle":"","parse-names":false,"suffix":""},{"dropping-particle":"","family":"Teske","given":"A. P.","non-dropping-particle":"","parse-names":false,"suffix":""}],"container-title":"ISME Journal","id":"ITEM-4","issue":"5","issued":{"date-parts":[["2017"]]},"page":"1118-1129","publisher":"Nature Publishing Group","title":"Genomic reconstruction of multiple lineages of uncultured benthic archaea suggests distinct biogeochemical roles and ecological niches","type":"article-journal","volume":"11"},"uris":["http://www.mendeley.com/documents/?uuid=4457f87a-6999-4313-b89e-ab8a36ea391c"]}],"mendeley":{"formattedCitation":"(8, 117, 118, 120)","plainTextFormattedCitation":"(8, 117, 118, 120)","previouslyFormattedCitation":"(8, 116, 117, 119)"},"properties":{"noteIndex":0},"schema":"https://github.com/citation-style-language/schema/raw/master/csl-citation.json"}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(8, 117, 118, 120)</w:t>
      </w:r>
      <w:r>
        <w:rPr>
          <w:rFonts w:ascii="Times New Roman" w:hAnsi="Times New Roman" w:cs="Times New Roman"/>
        </w:rPr>
        <w:fldChar w:fldCharType="end"/>
      </w:r>
      <w:r>
        <w:rPr>
          <w:rFonts w:ascii="Times New Roman" w:hAnsi="Times New Roman" w:cs="Times New Roman"/>
        </w:rPr>
        <w:t>. Evaluation of microbiology and via genomic sequencing and proteomics may prove useful in validating covariance in these metabolism types with observed trends in organic geochemistry. However, the extent that these observations will be generalizable, given the short and intermediate variability of geochemistry in WOR sediments, will remain under question. Thus, future work should focus on understanding which variables influence short and intermediate timescale (i.e., days to months) variability in organic geochemistry.</w:t>
      </w:r>
      <w:r w:rsidR="00CF0FEA">
        <w:rPr>
          <w:rFonts w:ascii="Times New Roman" w:hAnsi="Times New Roman" w:cs="Times New Roman"/>
        </w:rPr>
        <w:t xml:space="preserve"> I </w:t>
      </w:r>
      <w:r>
        <w:rPr>
          <w:rFonts w:ascii="Times New Roman" w:hAnsi="Times New Roman" w:cs="Times New Roman"/>
        </w:rPr>
        <w:t>view this as important moving forward with modeling microbial ecology as it is unclear how buffered the microbial ecology is with respect to stochastic variability in geochemistry. Variables that</w:t>
      </w:r>
      <w:r w:rsidR="00CF0FEA">
        <w:rPr>
          <w:rFonts w:ascii="Times New Roman" w:hAnsi="Times New Roman" w:cs="Times New Roman"/>
        </w:rPr>
        <w:t xml:space="preserve"> I </w:t>
      </w:r>
      <w:r>
        <w:rPr>
          <w:rFonts w:ascii="Times New Roman" w:hAnsi="Times New Roman" w:cs="Times New Roman"/>
        </w:rPr>
        <w:t>think may be important on day to month timescales include changes in groundwater upwelling rates, OM depositional fluxes, and water column salinity.</w:t>
      </w:r>
      <w:r w:rsidR="00CF0FEA">
        <w:rPr>
          <w:rFonts w:ascii="Times New Roman" w:hAnsi="Times New Roman" w:cs="Times New Roman"/>
        </w:rPr>
        <w:t xml:space="preserve"> I </w:t>
      </w:r>
      <w:r>
        <w:rPr>
          <w:rFonts w:ascii="Times New Roman" w:hAnsi="Times New Roman" w:cs="Times New Roman"/>
        </w:rPr>
        <w:t>explored using Cl</w:t>
      </w:r>
      <w:r>
        <w:rPr>
          <w:rFonts w:ascii="Times New Roman" w:hAnsi="Times New Roman" w:cs="Times New Roman"/>
          <w:vertAlign w:val="superscript"/>
        </w:rPr>
        <w:t>-</w:t>
      </w:r>
      <w:r>
        <w:rPr>
          <w:rFonts w:ascii="Times New Roman" w:hAnsi="Times New Roman" w:cs="Times New Roman"/>
        </w:rPr>
        <w:t xml:space="preserve"> concentrations in a transport model (along with other seawater ions) to determine groundwater advection with equation 4.7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{"citationItems":[{"id":"ITEM-1","itemData":{"DOI":"10.1016/j.margeo.2005.02.018","ISSN":"00253227","abstract":"The relationship between seismic wipe-outs, methane accumulation, and pore water salinity was investigated using high-resolution seismic profiles, pore water geochemical measurements, and sediment property data from the White Oak River Estuary, North Carolina. The estuary is a broad, shallow, drowned river valley filled with organic rich sediment where the salinity changes from fresh to sea water within 10 km. Uniboom seismic reflection profiles indicate a distinct pattern in the distribution of seismic wipe-outs. Wipe-outs dominate the upper estuary but are not observed in the lower estuary. Sediment pore water chlorinities decrease upstream but the sharpest gradients occur with depth. At ≤ 50 cm depths in the upper half of the estuary, pore waters typically have less than 100 mmol L-1 chloride even though overlying estuarine waters have 300-400 mmol L-1 chloride. Concave chloride profiles demonstrate that sediments in the upper estuary are actively flushed with fresh water moving upward through the sediments from underlying aquifers. The associated decrease in interstitial sulfate concentrations combined with high organic carbon content provides favorable conditions for methane production and accumulation. Seismic wipe-outs are correlated with areas of high methane concentrations and with sediments containing low pore water salinities. © 2005 Elsevier B.V. All rights reserved.","author":[{"dropping-particle":"","family":"Kogan","given":"Irina","non-dropping-particle":"","parse-names":false,"suffix":""},{"dropping-particle":"","family":"Paull","given":"Charles K.","non-dropping-particle":"","parse-names":false,"suffix":""}],"container-title":"Marine Geology","id":"ITEM-1","issue":"1-2","issued":{"date-parts":[["2005"]]},"page":"161-175","title":"Coastal seismic wipe-outs: Distribution controlled by pore water.","type":"article-journal","volume":"217"},"uris":["http://www.mendeley.com/documents/?uuid=4850f69b-59f6-435e-a84a-c7c588840abf"]}],"mendeley":{"formattedCitation":"(119)","plainTextFormattedCitation":"(119)","previouslyFormattedCitation":"(118)"},"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(119)</w:t>
      </w:r>
      <w:r>
        <w:rPr>
          <w:rFonts w:ascii="Times New Roman" w:hAnsi="Times New Roman" w:cs="Times New Roman"/>
        </w:rPr>
        <w:fldChar w:fldCharType="end"/>
      </w:r>
      <w:r>
        <w:rPr>
          <w:rFonts w:ascii="Times New Roman" w:hAnsi="Times New Roman" w:cs="Times New Roman"/>
        </w:rPr>
        <w:t>. Groundwater upwelling estimates were on average ~20 cm yr</w:t>
      </w:r>
      <w:r>
        <w:rPr>
          <w:rFonts w:ascii="Times New Roman" w:hAnsi="Times New Roman" w:cs="Times New Roman"/>
          <w:vertAlign w:val="superscript"/>
        </w:rPr>
        <w:t>-1</w:t>
      </w:r>
      <w:r>
        <w:rPr>
          <w:rFonts w:ascii="Times New Roman" w:hAnsi="Times New Roman" w:cs="Times New Roman"/>
        </w:rPr>
        <w:t xml:space="preserve"> using this approach and exceeded the 15 cm yr</w:t>
      </w:r>
      <w:r>
        <w:rPr>
          <w:rFonts w:ascii="Times New Roman" w:hAnsi="Times New Roman" w:cs="Times New Roman"/>
          <w:vertAlign w:val="superscript"/>
        </w:rPr>
        <w:t xml:space="preserve">-1 </w:t>
      </w:r>
      <w:r>
        <w:rPr>
          <w:rFonts w:ascii="Times New Roman" w:hAnsi="Times New Roman" w:cs="Times New Roman"/>
        </w:rPr>
        <w:t>constraint based on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mass balance. Thus, characterizing groundwater upwelling rates may need a better proxy than seawater ions. One candidate would be SF</w:t>
      </w:r>
      <w:r>
        <w:rPr>
          <w:rFonts w:ascii="Times New Roman" w:hAnsi="Times New Roman" w:cs="Times New Roman"/>
          <w:vertAlign w:val="subscript"/>
        </w:rPr>
        <w:t>6</w:t>
      </w:r>
      <w:r>
        <w:rPr>
          <w:rFonts w:ascii="Times New Roman" w:hAnsi="Times New Roman" w:cs="Times New Roman"/>
        </w:rPr>
        <w:t>, an inert gas. An experimental design may include inoculating SF</w:t>
      </w:r>
      <w:r>
        <w:rPr>
          <w:rFonts w:ascii="Times New Roman" w:hAnsi="Times New Roman" w:cs="Times New Roman"/>
          <w:vertAlign w:val="subscript"/>
        </w:rPr>
        <w:t>6</w:t>
      </w:r>
      <w:r>
        <w:rPr>
          <w:rFonts w:ascii="Times New Roman" w:hAnsi="Times New Roman" w:cs="Times New Roman"/>
        </w:rPr>
        <w:t xml:space="preserve"> into WOR sediments and monitoring vertical transport over time. </w:t>
      </w:r>
    </w:p>
    <w:p w14:paraId="68B000A0" w14:textId="77777777" w:rsidR="00365526" w:rsidRPr="00F23F20" w:rsidRDefault="00365526" w:rsidP="00365526">
      <w:pPr>
        <w:pStyle w:val="Heading2"/>
        <w:rPr>
          <w:rFonts w:eastAsiaTheme="minorEastAsia"/>
        </w:rPr>
      </w:pPr>
      <w:bookmarkStart w:id="279" w:name="_Toc41908151"/>
      <w:r w:rsidRPr="00F23F20">
        <w:rPr>
          <w:rFonts w:eastAsiaTheme="minorEastAsia"/>
        </w:rPr>
        <w:t>Appendix Four</w:t>
      </w:r>
      <w:bookmarkEnd w:id="279"/>
    </w:p>
    <w:p w14:paraId="4314EE1D" w14:textId="77777777" w:rsidR="00365526" w:rsidRPr="00F23F20" w:rsidRDefault="00365526" w:rsidP="00365526">
      <w:pPr>
        <w:rPr>
          <w:rFonts w:ascii="Times New Roman" w:eastAsiaTheme="minorEastAsia" w:hAnsi="Times New Roman" w:cs="Times New Roman"/>
          <w:b/>
          <w:bCs/>
          <w:iCs/>
          <w:sz w:val="28"/>
          <w:szCs w:val="28"/>
        </w:rPr>
      </w:pPr>
      <w:r w:rsidRPr="00F23F20">
        <w:rPr>
          <w:rFonts w:ascii="Times New Roman" w:eastAsiaTheme="minorEastAsia" w:hAnsi="Times New Roman" w:cs="Times New Roman"/>
        </w:rPr>
        <w:br w:type="page"/>
      </w:r>
    </w:p>
    <w:p w14:paraId="3CF194C1" w14:textId="77777777" w:rsidR="00A22E51" w:rsidRDefault="00A22E51" w:rsidP="00A22E51">
      <w:pPr>
        <w:pStyle w:val="Heading3"/>
      </w:pPr>
      <w:bookmarkStart w:id="280" w:name="_Toc41908152"/>
      <w:r>
        <w:lastRenderedPageBreak/>
        <w:t>Tables</w:t>
      </w:r>
      <w:bookmarkEnd w:id="280"/>
    </w:p>
    <w:p w14:paraId="1AE4792C" w14:textId="77777777" w:rsidR="00A22E51" w:rsidRPr="00CA57F7" w:rsidRDefault="00A22E51" w:rsidP="00A22E51">
      <w:pPr>
        <w:spacing w:line="480" w:lineRule="auto"/>
        <w:rPr>
          <w:rFonts w:ascii="Times New Roman" w:hAnsi="Times New Roman" w:cs="Times New Roman"/>
          <w:b/>
        </w:rPr>
      </w:pPr>
      <w:r w:rsidRPr="00F23F20">
        <w:rPr>
          <w:rFonts w:ascii="Times New Roman" w:hAnsi="Times New Roman" w:cs="Times New Roman"/>
          <w:b/>
        </w:rPr>
        <w:t xml:space="preserve">Table </w:t>
      </w:r>
      <w:r>
        <w:rPr>
          <w:rFonts w:ascii="Times New Roman" w:hAnsi="Times New Roman" w:cs="Times New Roman"/>
          <w:b/>
        </w:rPr>
        <w:t>4</w:t>
      </w:r>
      <w:r w:rsidRPr="00F23F20">
        <w:rPr>
          <w:rFonts w:ascii="Times New Roman" w:hAnsi="Times New Roman" w:cs="Times New Roman"/>
          <w:b/>
        </w:rPr>
        <w:t xml:space="preserve">.1. </w:t>
      </w:r>
      <w:r w:rsidRPr="00CF01A8">
        <w:rPr>
          <w:rFonts w:ascii="Times New Roman" w:hAnsi="Times New Roman" w:cs="Times New Roman"/>
          <w:bCs/>
        </w:rPr>
        <w:t>A summary of carbon and sulfur budgets in sediments at WOR estuary, Station H.</w:t>
      </w:r>
      <w:r>
        <w:rPr>
          <w:rFonts w:ascii="Times New Roman" w:hAnsi="Times New Roman" w:cs="Times New Roman"/>
          <w:b/>
        </w:rPr>
        <w:t xml:space="preserve"> </w:t>
      </w:r>
    </w:p>
    <w:tbl>
      <w:tblPr>
        <w:tblStyle w:val="TableGrid"/>
        <w:tblW w:w="10350" w:type="dxa"/>
        <w:jc w:val="center"/>
        <w:tblLayout w:type="fixed"/>
        <w:tblLook w:val="04A0" w:firstRow="1" w:lastRow="0" w:firstColumn="1" w:lastColumn="0" w:noHBand="0" w:noVBand="1"/>
      </w:tblPr>
      <w:tblGrid>
        <w:gridCol w:w="1225"/>
        <w:gridCol w:w="1483"/>
        <w:gridCol w:w="1432"/>
        <w:gridCol w:w="1350"/>
        <w:gridCol w:w="1260"/>
        <w:gridCol w:w="1350"/>
        <w:gridCol w:w="900"/>
        <w:gridCol w:w="1350"/>
      </w:tblGrid>
      <w:tr w:rsidR="00A22E51" w14:paraId="3E13DBA4" w14:textId="77777777" w:rsidTr="00E14F7B">
        <w:trPr>
          <w:jc w:val="center"/>
        </w:trPr>
        <w:tc>
          <w:tcPr>
            <w:tcW w:w="1225" w:type="dxa"/>
            <w:tcBorders>
              <w:top w:val="single" w:sz="18" w:space="0" w:color="auto"/>
              <w:left w:val="nil"/>
              <w:bottom w:val="single" w:sz="18" w:space="0" w:color="auto"/>
              <w:right w:val="nil"/>
            </w:tcBorders>
            <w:vAlign w:val="center"/>
          </w:tcPr>
          <w:p w14:paraId="4A094448"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Study</w:t>
            </w:r>
          </w:p>
        </w:tc>
        <w:tc>
          <w:tcPr>
            <w:tcW w:w="1483" w:type="dxa"/>
            <w:tcBorders>
              <w:top w:val="single" w:sz="18" w:space="0" w:color="auto"/>
              <w:left w:val="nil"/>
              <w:bottom w:val="single" w:sz="18" w:space="0" w:color="auto"/>
              <w:right w:val="nil"/>
            </w:tcBorders>
            <w:vAlign w:val="center"/>
          </w:tcPr>
          <w:p w14:paraId="608D59F1"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 xml:space="preserve">Groundwater </w:t>
            </w:r>
            <w:proofErr w:type="spellStart"/>
            <w:r w:rsidRPr="00CA57F7">
              <w:rPr>
                <w:rFonts w:ascii="Times New Roman" w:hAnsi="Times New Roman" w:cs="Times New Roman"/>
                <w:bCs/>
              </w:rPr>
              <w:t>Upwelling</w:t>
            </w:r>
            <w:r w:rsidRPr="0007615B">
              <w:rPr>
                <w:rFonts w:ascii="Times New Roman" w:hAnsi="Times New Roman" w:cs="Times New Roman"/>
                <w:bCs/>
                <w:vertAlign w:val="superscript"/>
              </w:rPr>
              <w:t>ǂ</w:t>
            </w:r>
            <w:proofErr w:type="spellEnd"/>
            <w:r w:rsidRPr="00CA57F7">
              <w:rPr>
                <w:rFonts w:ascii="Times New Roman" w:hAnsi="Times New Roman" w:cs="Times New Roman"/>
                <w:bCs/>
              </w:rPr>
              <w:t xml:space="preserve"> </w:t>
            </w:r>
          </w:p>
        </w:tc>
        <w:tc>
          <w:tcPr>
            <w:tcW w:w="1432" w:type="dxa"/>
            <w:tcBorders>
              <w:top w:val="single" w:sz="18" w:space="0" w:color="auto"/>
              <w:left w:val="nil"/>
              <w:bottom w:val="single" w:sz="18" w:space="0" w:color="auto"/>
              <w:right w:val="nil"/>
            </w:tcBorders>
            <w:vAlign w:val="center"/>
          </w:tcPr>
          <w:p w14:paraId="29C05FF3"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SO</w:t>
            </w:r>
            <w:r w:rsidRPr="00CA57F7">
              <w:rPr>
                <w:rFonts w:ascii="Times New Roman" w:hAnsi="Times New Roman" w:cs="Times New Roman"/>
                <w:bCs/>
                <w:vertAlign w:val="subscript"/>
              </w:rPr>
              <w:t>4</w:t>
            </w:r>
            <w:r w:rsidRPr="00CA57F7">
              <w:rPr>
                <w:rFonts w:ascii="Times New Roman" w:hAnsi="Times New Roman" w:cs="Times New Roman"/>
                <w:bCs/>
                <w:vertAlign w:val="superscript"/>
              </w:rPr>
              <w:t>2-</w:t>
            </w:r>
            <w:r w:rsidRPr="00CA57F7">
              <w:rPr>
                <w:rFonts w:ascii="Times New Roman" w:hAnsi="Times New Roman" w:cs="Times New Roman"/>
                <w:bCs/>
              </w:rPr>
              <w:t xml:space="preserve"> </w:t>
            </w:r>
          </w:p>
          <w:p w14:paraId="542DA83F"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Reduction</w:t>
            </w:r>
            <w:r w:rsidRPr="0007615B">
              <w:rPr>
                <w:rFonts w:ascii="Times New Roman" w:hAnsi="Times New Roman" w:cs="Times New Roman"/>
                <w:bCs/>
                <w:vertAlign w:val="superscript"/>
              </w:rPr>
              <w:t>*</w:t>
            </w:r>
          </w:p>
        </w:tc>
        <w:tc>
          <w:tcPr>
            <w:tcW w:w="1350" w:type="dxa"/>
            <w:tcBorders>
              <w:top w:val="single" w:sz="18" w:space="0" w:color="auto"/>
              <w:left w:val="nil"/>
              <w:bottom w:val="single" w:sz="18" w:space="0" w:color="auto"/>
              <w:right w:val="nil"/>
            </w:tcBorders>
            <w:vAlign w:val="center"/>
          </w:tcPr>
          <w:p w14:paraId="769C50D9"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SO</w:t>
            </w:r>
            <w:r w:rsidRPr="00CA57F7">
              <w:rPr>
                <w:rFonts w:ascii="Times New Roman" w:hAnsi="Times New Roman" w:cs="Times New Roman"/>
                <w:bCs/>
                <w:vertAlign w:val="subscript"/>
              </w:rPr>
              <w:t>4</w:t>
            </w:r>
            <w:r w:rsidRPr="00CA57F7">
              <w:rPr>
                <w:rFonts w:ascii="Times New Roman" w:hAnsi="Times New Roman" w:cs="Times New Roman"/>
                <w:bCs/>
                <w:vertAlign w:val="superscript"/>
              </w:rPr>
              <w:t>2-</w:t>
            </w:r>
            <w:r w:rsidRPr="00CA57F7">
              <w:rPr>
                <w:rFonts w:ascii="Times New Roman" w:hAnsi="Times New Roman" w:cs="Times New Roman"/>
                <w:bCs/>
              </w:rPr>
              <w:t xml:space="preserve"> </w:t>
            </w:r>
          </w:p>
          <w:p w14:paraId="65D69E79"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Production</w:t>
            </w:r>
            <w:r w:rsidRPr="0007615B">
              <w:rPr>
                <w:rFonts w:ascii="Times New Roman" w:hAnsi="Times New Roman" w:cs="Times New Roman"/>
                <w:bCs/>
                <w:vertAlign w:val="superscript"/>
              </w:rPr>
              <w:t>*</w:t>
            </w:r>
          </w:p>
        </w:tc>
        <w:tc>
          <w:tcPr>
            <w:tcW w:w="1260" w:type="dxa"/>
            <w:tcBorders>
              <w:top w:val="single" w:sz="18" w:space="0" w:color="auto"/>
              <w:left w:val="nil"/>
              <w:bottom w:val="single" w:sz="18" w:space="0" w:color="auto"/>
              <w:right w:val="nil"/>
            </w:tcBorders>
            <w:vAlign w:val="center"/>
          </w:tcPr>
          <w:p w14:paraId="758A7BB8"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CH</w:t>
            </w:r>
            <w:r w:rsidRPr="00CA57F7">
              <w:rPr>
                <w:rFonts w:ascii="Times New Roman" w:hAnsi="Times New Roman" w:cs="Times New Roman"/>
                <w:bCs/>
                <w:vertAlign w:val="subscript"/>
              </w:rPr>
              <w:t>4</w:t>
            </w:r>
            <w:r w:rsidRPr="00CA57F7">
              <w:rPr>
                <w:rFonts w:ascii="Times New Roman" w:hAnsi="Times New Roman" w:cs="Times New Roman"/>
                <w:bCs/>
              </w:rPr>
              <w:t xml:space="preserve"> </w:t>
            </w:r>
          </w:p>
          <w:p w14:paraId="5CB93408"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Oxidation</w:t>
            </w:r>
            <w:r w:rsidRPr="0007615B">
              <w:rPr>
                <w:rFonts w:ascii="Times New Roman" w:hAnsi="Times New Roman" w:cs="Times New Roman"/>
                <w:bCs/>
                <w:vertAlign w:val="superscript"/>
              </w:rPr>
              <w:t>*</w:t>
            </w:r>
          </w:p>
        </w:tc>
        <w:tc>
          <w:tcPr>
            <w:tcW w:w="1350" w:type="dxa"/>
            <w:tcBorders>
              <w:top w:val="single" w:sz="18" w:space="0" w:color="auto"/>
              <w:left w:val="nil"/>
              <w:bottom w:val="single" w:sz="18" w:space="0" w:color="auto"/>
              <w:right w:val="nil"/>
            </w:tcBorders>
            <w:vAlign w:val="center"/>
          </w:tcPr>
          <w:p w14:paraId="480E1037"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CH</w:t>
            </w:r>
            <w:r w:rsidRPr="00CA57F7">
              <w:rPr>
                <w:rFonts w:ascii="Times New Roman" w:hAnsi="Times New Roman" w:cs="Times New Roman"/>
                <w:bCs/>
                <w:vertAlign w:val="subscript"/>
              </w:rPr>
              <w:t>4</w:t>
            </w:r>
            <w:r w:rsidRPr="00CA57F7">
              <w:rPr>
                <w:rFonts w:ascii="Times New Roman" w:hAnsi="Times New Roman" w:cs="Times New Roman"/>
                <w:bCs/>
              </w:rPr>
              <w:t xml:space="preserve"> </w:t>
            </w:r>
          </w:p>
          <w:p w14:paraId="5E90EABD"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Production</w:t>
            </w:r>
            <w:r w:rsidRPr="0007615B">
              <w:rPr>
                <w:rFonts w:ascii="Times New Roman" w:hAnsi="Times New Roman" w:cs="Times New Roman"/>
                <w:bCs/>
                <w:vertAlign w:val="superscript"/>
              </w:rPr>
              <w:t>*</w:t>
            </w:r>
          </w:p>
        </w:tc>
        <w:tc>
          <w:tcPr>
            <w:tcW w:w="900" w:type="dxa"/>
            <w:tcBorders>
              <w:top w:val="single" w:sz="18" w:space="0" w:color="auto"/>
              <w:left w:val="nil"/>
              <w:bottom w:val="single" w:sz="18" w:space="0" w:color="auto"/>
              <w:right w:val="nil"/>
            </w:tcBorders>
            <w:vAlign w:val="center"/>
          </w:tcPr>
          <w:p w14:paraId="788A4FEA"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 xml:space="preserve">TOC </w:t>
            </w:r>
          </w:p>
          <w:p w14:paraId="6D28BC7D"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Burial</w:t>
            </w:r>
            <w:r w:rsidRPr="0007615B">
              <w:rPr>
                <w:rFonts w:ascii="Times New Roman" w:hAnsi="Times New Roman" w:cs="Times New Roman"/>
                <w:bCs/>
                <w:vertAlign w:val="superscript"/>
              </w:rPr>
              <w:t>*</w:t>
            </w:r>
          </w:p>
        </w:tc>
        <w:tc>
          <w:tcPr>
            <w:tcW w:w="1350" w:type="dxa"/>
            <w:tcBorders>
              <w:top w:val="single" w:sz="18" w:space="0" w:color="auto"/>
              <w:left w:val="nil"/>
              <w:bottom w:val="single" w:sz="18" w:space="0" w:color="auto"/>
              <w:right w:val="nil"/>
            </w:tcBorders>
            <w:vAlign w:val="center"/>
          </w:tcPr>
          <w:p w14:paraId="4ED40A9C"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 xml:space="preserve">DIC </w:t>
            </w:r>
          </w:p>
          <w:p w14:paraId="37A7DE9C"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Production</w:t>
            </w:r>
            <w:r w:rsidRPr="0007615B">
              <w:rPr>
                <w:rFonts w:ascii="Times New Roman" w:hAnsi="Times New Roman" w:cs="Times New Roman"/>
                <w:bCs/>
                <w:vertAlign w:val="superscript"/>
              </w:rPr>
              <w:t>*</w:t>
            </w:r>
          </w:p>
        </w:tc>
      </w:tr>
      <w:tr w:rsidR="00A22E51" w14:paraId="70748079" w14:textId="77777777" w:rsidTr="00E14F7B">
        <w:trPr>
          <w:jc w:val="center"/>
        </w:trPr>
        <w:tc>
          <w:tcPr>
            <w:tcW w:w="1225" w:type="dxa"/>
            <w:tcBorders>
              <w:top w:val="single" w:sz="18" w:space="0" w:color="auto"/>
              <w:left w:val="nil"/>
              <w:bottom w:val="nil"/>
              <w:right w:val="nil"/>
            </w:tcBorders>
            <w:vAlign w:val="center"/>
          </w:tcPr>
          <w:p w14:paraId="1ADDFBAC" w14:textId="08649888"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fldChar w:fldCharType="begin" w:fldLock="1"/>
            </w:r>
            <w:r w:rsidR="00307058">
              <w:rPr>
                <w:rFonts w:ascii="Times New Roman" w:hAnsi="Times New Roman" w:cs="Times New Roman"/>
                <w:bCs/>
              </w:rPr>
              <w:instrText>ADDIN CSL_CITATION {"citationItems":[{"id":"ITEM-1","itemData":{"DOI":"10.1016/S0278-4343(98)00057-0","ISSN":"02784343","abstract":"To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Research","id":"ITEM-1","issue":"14-15","issued":{"date-parts":[["1998"]]},"page":"1771-1793","title":"Biogeochemical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Sediments","type":"article-journal","volume":"18"},"uris":["http://www.mendeley.com/documents/?uuid=f58213f7-2aba-41a0-ad11-b3deae1e2092"]},{"id":"ITEM-2","itemData":{"DOI":"10.1016/S0278-4343(98)00056-9","ISSN":"02784343","abstract":"A new kinetic model has been developed for predicting biogeochemical processes occurring in gassy, anoxic sediments dominated by sulfate reduction (SR), methane production (MP), and methane oxidation (MO). The model is composed of mass conservation equations in which reaction rates are balanced by diffusive and advective transport. It directly couples biogeochemical zones using error functions that serve as a toggle to simulate cessation of sulfate reduction, initiation of methane production and oxidation, and production of gaseous methane when in situ solubility is exceeded. Model-derived sulfate and methane concentration distributions combined with kinetic rate expressions are used to calculate rates of SR, MP and MO. Application of the model to gassy coastal and estuarine sediments reveals the extreme sensitivity of predicted methane distributions to the flux (F(G)) and degradation rate constant (k(G)) of reactive organic matter. Sulfate and methane concentrations from Eckernforde Bay in the Kiel Bight of the German Baltic Sea, and Cape Lookout Bight and the White Oak River Estuary of North Carolina, USA, can be predicted accurately from independently determined (F(G)) values. Comparison of model-predicted results with a complete set of measured summertime concentration and rate data from the Cape Lookout site shows that introduction of 10-40% variations in individual rate parameters produce readily observable discrepancies in model results. In general, increases in the magnitude of F(G) and decreases in k(G) at the same total sediment accumulation rate increase the relative importance of methanogenesis in total organic matter remineralization as a result of more rapid depletion of dissolved pore water sulfate closer to the sediment-water interface. The predictive capabilities of the model should prove useful when concentration, rate, or flux measurements are not available.","author":[{"dropping-particle":"","family":"Martens","given":"Christopher S.","non-dropping-particle":"","parse-names":false,"suffix":""},{"dropping-particle":"","family":"Albert","given":"Daniel B.","non-dropping-particle":"","parse-names":false,"suffix":""},{"dropping-particle":"","family":"Alperin","given":"Marc J.","non-dropping-particle":"","parse-names":false,"suffix":""}],"container-title":"Continental Shelf Research","id":"ITEM-2","issue":"14-15","issued":{"date-parts":[["1998"]]},"page":"1741-1770","title":"Biogeochemical processes controlling methane in gassy coastal sediments - Part 1. A model coupling organic matter flux to gas production, oxidation and transport","type":"article-journal","volume":"18"},"uris":["http://www.mendeley.com/documents/?uuid=958789dd-a429-4c22-bcfc-7a6b933ed55a"]}],"mendeley":{"formattedCitation":"(17, 18)","plainTextFormattedCitation":"(17, 18)","previouslyFormattedCitation":"(16, 17)"},"properties":{"noteIndex":0},"schema":"https://github.com/citation-style-language/schema/raw/master/csl-citation.json"}</w:instrText>
            </w:r>
            <w:r w:rsidRPr="00CA57F7">
              <w:rPr>
                <w:rFonts w:ascii="Times New Roman" w:hAnsi="Times New Roman" w:cs="Times New Roman"/>
                <w:bCs/>
              </w:rPr>
              <w:fldChar w:fldCharType="separate"/>
            </w:r>
            <w:r w:rsidR="00307058" w:rsidRPr="00307058">
              <w:rPr>
                <w:rFonts w:ascii="Times New Roman" w:hAnsi="Times New Roman" w:cs="Times New Roman"/>
                <w:bCs/>
                <w:noProof/>
              </w:rPr>
              <w:t>(17, 18)</w:t>
            </w:r>
            <w:r w:rsidRPr="00CA57F7">
              <w:rPr>
                <w:rFonts w:ascii="Times New Roman" w:hAnsi="Times New Roman" w:cs="Times New Roman"/>
                <w:bCs/>
              </w:rPr>
              <w:fldChar w:fldCharType="end"/>
            </w:r>
          </w:p>
        </w:tc>
        <w:tc>
          <w:tcPr>
            <w:tcW w:w="1483" w:type="dxa"/>
            <w:tcBorders>
              <w:top w:val="single" w:sz="18" w:space="0" w:color="auto"/>
              <w:left w:val="nil"/>
              <w:bottom w:val="single" w:sz="4" w:space="0" w:color="auto"/>
              <w:right w:val="nil"/>
            </w:tcBorders>
            <w:vAlign w:val="center"/>
          </w:tcPr>
          <w:p w14:paraId="510CA7D6"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0</w:t>
            </w:r>
          </w:p>
        </w:tc>
        <w:tc>
          <w:tcPr>
            <w:tcW w:w="1432" w:type="dxa"/>
            <w:tcBorders>
              <w:top w:val="single" w:sz="18" w:space="0" w:color="auto"/>
              <w:left w:val="nil"/>
              <w:bottom w:val="single" w:sz="4" w:space="0" w:color="auto"/>
              <w:right w:val="nil"/>
            </w:tcBorders>
            <w:vAlign w:val="center"/>
          </w:tcPr>
          <w:p w14:paraId="6D8F98FA"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1300</w:t>
            </w:r>
          </w:p>
        </w:tc>
        <w:tc>
          <w:tcPr>
            <w:tcW w:w="1350" w:type="dxa"/>
            <w:tcBorders>
              <w:top w:val="single" w:sz="18" w:space="0" w:color="auto"/>
              <w:left w:val="nil"/>
              <w:bottom w:val="single" w:sz="4" w:space="0" w:color="auto"/>
              <w:right w:val="nil"/>
            </w:tcBorders>
            <w:vAlign w:val="center"/>
          </w:tcPr>
          <w:p w14:paraId="38EC9FAA"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w:t>
            </w:r>
          </w:p>
        </w:tc>
        <w:tc>
          <w:tcPr>
            <w:tcW w:w="1260" w:type="dxa"/>
            <w:tcBorders>
              <w:top w:val="single" w:sz="18" w:space="0" w:color="auto"/>
              <w:left w:val="nil"/>
              <w:bottom w:val="single" w:sz="4" w:space="0" w:color="auto"/>
              <w:right w:val="nil"/>
            </w:tcBorders>
            <w:vAlign w:val="center"/>
          </w:tcPr>
          <w:p w14:paraId="68B60583"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145</w:t>
            </w:r>
          </w:p>
        </w:tc>
        <w:tc>
          <w:tcPr>
            <w:tcW w:w="1350" w:type="dxa"/>
            <w:tcBorders>
              <w:top w:val="single" w:sz="18" w:space="0" w:color="auto"/>
              <w:left w:val="nil"/>
              <w:bottom w:val="single" w:sz="4" w:space="0" w:color="auto"/>
              <w:right w:val="nil"/>
            </w:tcBorders>
            <w:vAlign w:val="center"/>
          </w:tcPr>
          <w:p w14:paraId="29FE5ABE"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196</w:t>
            </w:r>
          </w:p>
        </w:tc>
        <w:tc>
          <w:tcPr>
            <w:tcW w:w="900" w:type="dxa"/>
            <w:tcBorders>
              <w:top w:val="single" w:sz="18" w:space="0" w:color="auto"/>
              <w:left w:val="nil"/>
              <w:bottom w:val="single" w:sz="4" w:space="0" w:color="auto"/>
              <w:right w:val="nil"/>
            </w:tcBorders>
            <w:vAlign w:val="center"/>
          </w:tcPr>
          <w:p w14:paraId="1DEBF0EF"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w:t>
            </w:r>
          </w:p>
        </w:tc>
        <w:tc>
          <w:tcPr>
            <w:tcW w:w="1350" w:type="dxa"/>
            <w:tcBorders>
              <w:top w:val="single" w:sz="18" w:space="0" w:color="auto"/>
              <w:left w:val="nil"/>
              <w:bottom w:val="single" w:sz="4" w:space="0" w:color="auto"/>
              <w:right w:val="nil"/>
            </w:tcBorders>
            <w:vAlign w:val="center"/>
          </w:tcPr>
          <w:p w14:paraId="7F86C65B"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w:t>
            </w:r>
          </w:p>
        </w:tc>
      </w:tr>
      <w:tr w:rsidR="00A22E51" w14:paraId="6EF62AEA" w14:textId="77777777" w:rsidTr="00E14F7B">
        <w:trPr>
          <w:jc w:val="center"/>
        </w:trPr>
        <w:tc>
          <w:tcPr>
            <w:tcW w:w="1225" w:type="dxa"/>
            <w:tcBorders>
              <w:top w:val="nil"/>
              <w:left w:val="nil"/>
              <w:bottom w:val="nil"/>
              <w:right w:val="nil"/>
            </w:tcBorders>
            <w:vAlign w:val="center"/>
          </w:tcPr>
          <w:p w14:paraId="4071A60E" w14:textId="40D62169"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fldChar w:fldCharType="begin" w:fldLock="1"/>
            </w:r>
            <w:r w:rsidR="00307058">
              <w:rPr>
                <w:rFonts w:ascii="Times New Roman" w:hAnsi="Times New Roman" w:cs="Times New Roman"/>
                <w:bCs/>
              </w:rPr>
              <w:instrText>ADDIN CSL_CITATION {"citationItems":[{"id":"ITEM-1","itemData":{"DOI":"10.4319/lo.1990.35.2.0372","ISSN":"0024-3590","author":[{"dropping-particle":"","family":"Kelley","given":"Cheryl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Oceanography","id":"ITEM-1","issue":"2","issued":{"date-parts":[["1990"]]},"page":"372-383","title":"Variations in sedimentary carbon remineralization rates in the White Oak River estuary, North Carolina","type":"article-journal","volume":"35"},"uris":["http://www.mendeley.com/documents/?uuid=84c9ad85-5fc2-45b3-b5a3-d5ddf5033ca0"]}],"mendeley":{"formattedCitation":"(116)","plainTextFormattedCitation":"(116)","previouslyFormattedCitation":"(115)"},"properties":{"noteIndex":0},"schema":"https://github.com/citation-style-language/schema/raw/master/csl-citation.json"}</w:instrText>
            </w:r>
            <w:r w:rsidRPr="00CA57F7">
              <w:rPr>
                <w:rFonts w:ascii="Times New Roman" w:hAnsi="Times New Roman" w:cs="Times New Roman"/>
                <w:bCs/>
              </w:rPr>
              <w:fldChar w:fldCharType="separate"/>
            </w:r>
            <w:r w:rsidR="00307058" w:rsidRPr="00307058">
              <w:rPr>
                <w:rFonts w:ascii="Times New Roman" w:hAnsi="Times New Roman" w:cs="Times New Roman"/>
                <w:bCs/>
                <w:noProof/>
              </w:rPr>
              <w:t>(116)</w:t>
            </w:r>
            <w:r w:rsidRPr="00CA57F7">
              <w:rPr>
                <w:rFonts w:ascii="Times New Roman" w:hAnsi="Times New Roman" w:cs="Times New Roman"/>
                <w:bCs/>
              </w:rPr>
              <w:fldChar w:fldCharType="end"/>
            </w:r>
          </w:p>
        </w:tc>
        <w:tc>
          <w:tcPr>
            <w:tcW w:w="1483" w:type="dxa"/>
            <w:tcBorders>
              <w:top w:val="single" w:sz="4" w:space="0" w:color="auto"/>
              <w:left w:val="nil"/>
              <w:bottom w:val="single" w:sz="4" w:space="0" w:color="auto"/>
              <w:right w:val="nil"/>
            </w:tcBorders>
            <w:vAlign w:val="center"/>
          </w:tcPr>
          <w:p w14:paraId="62FC49EA"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0</w:t>
            </w:r>
          </w:p>
        </w:tc>
        <w:tc>
          <w:tcPr>
            <w:tcW w:w="1432" w:type="dxa"/>
            <w:tcBorders>
              <w:top w:val="single" w:sz="4" w:space="0" w:color="auto"/>
              <w:left w:val="nil"/>
              <w:bottom w:val="single" w:sz="4" w:space="0" w:color="auto"/>
              <w:right w:val="nil"/>
            </w:tcBorders>
            <w:vAlign w:val="center"/>
          </w:tcPr>
          <w:p w14:paraId="03AC8641"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w:t>
            </w:r>
          </w:p>
        </w:tc>
        <w:tc>
          <w:tcPr>
            <w:tcW w:w="1350" w:type="dxa"/>
            <w:tcBorders>
              <w:top w:val="single" w:sz="4" w:space="0" w:color="auto"/>
              <w:left w:val="nil"/>
              <w:bottom w:val="single" w:sz="4" w:space="0" w:color="auto"/>
              <w:right w:val="nil"/>
            </w:tcBorders>
            <w:vAlign w:val="center"/>
          </w:tcPr>
          <w:p w14:paraId="0CA722D7"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w:t>
            </w:r>
          </w:p>
        </w:tc>
        <w:tc>
          <w:tcPr>
            <w:tcW w:w="1260" w:type="dxa"/>
            <w:tcBorders>
              <w:top w:val="single" w:sz="4" w:space="0" w:color="auto"/>
              <w:left w:val="nil"/>
              <w:bottom w:val="single" w:sz="4" w:space="0" w:color="auto"/>
              <w:right w:val="nil"/>
            </w:tcBorders>
            <w:vAlign w:val="center"/>
          </w:tcPr>
          <w:p w14:paraId="02F04091"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w:t>
            </w:r>
          </w:p>
        </w:tc>
        <w:tc>
          <w:tcPr>
            <w:tcW w:w="1350" w:type="dxa"/>
            <w:tcBorders>
              <w:top w:val="single" w:sz="4" w:space="0" w:color="auto"/>
              <w:left w:val="nil"/>
              <w:bottom w:val="single" w:sz="4" w:space="0" w:color="auto"/>
              <w:right w:val="nil"/>
            </w:tcBorders>
            <w:vAlign w:val="center"/>
          </w:tcPr>
          <w:p w14:paraId="55E99F77"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w:t>
            </w:r>
          </w:p>
        </w:tc>
        <w:tc>
          <w:tcPr>
            <w:tcW w:w="900" w:type="dxa"/>
            <w:tcBorders>
              <w:top w:val="single" w:sz="4" w:space="0" w:color="auto"/>
              <w:left w:val="nil"/>
              <w:bottom w:val="single" w:sz="4" w:space="0" w:color="auto"/>
              <w:right w:val="nil"/>
            </w:tcBorders>
            <w:vAlign w:val="center"/>
          </w:tcPr>
          <w:p w14:paraId="7E977930"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5259</w:t>
            </w:r>
          </w:p>
        </w:tc>
        <w:tc>
          <w:tcPr>
            <w:tcW w:w="1350" w:type="dxa"/>
            <w:tcBorders>
              <w:top w:val="single" w:sz="4" w:space="0" w:color="auto"/>
              <w:left w:val="nil"/>
              <w:bottom w:val="single" w:sz="4" w:space="0" w:color="auto"/>
              <w:right w:val="nil"/>
            </w:tcBorders>
            <w:vAlign w:val="center"/>
          </w:tcPr>
          <w:p w14:paraId="141118EE"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4032</w:t>
            </w:r>
          </w:p>
        </w:tc>
      </w:tr>
      <w:tr w:rsidR="00A22E51" w14:paraId="18394A22" w14:textId="77777777" w:rsidTr="00E14F7B">
        <w:trPr>
          <w:trHeight w:val="305"/>
          <w:jc w:val="center"/>
        </w:trPr>
        <w:tc>
          <w:tcPr>
            <w:tcW w:w="1225" w:type="dxa"/>
            <w:vMerge w:val="restart"/>
            <w:tcBorders>
              <w:top w:val="nil"/>
              <w:left w:val="nil"/>
              <w:right w:val="nil"/>
            </w:tcBorders>
            <w:vAlign w:val="center"/>
          </w:tcPr>
          <w:p w14:paraId="74D945A5"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Here</w:t>
            </w:r>
          </w:p>
        </w:tc>
        <w:tc>
          <w:tcPr>
            <w:tcW w:w="1483" w:type="dxa"/>
            <w:tcBorders>
              <w:top w:val="single" w:sz="4" w:space="0" w:color="auto"/>
              <w:left w:val="nil"/>
              <w:bottom w:val="nil"/>
              <w:right w:val="nil"/>
            </w:tcBorders>
            <w:vAlign w:val="center"/>
          </w:tcPr>
          <w:p w14:paraId="4E51C7D9"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0</w:t>
            </w:r>
          </w:p>
        </w:tc>
        <w:tc>
          <w:tcPr>
            <w:tcW w:w="1432" w:type="dxa"/>
            <w:tcBorders>
              <w:top w:val="single" w:sz="4" w:space="0" w:color="auto"/>
              <w:left w:val="nil"/>
              <w:bottom w:val="nil"/>
              <w:right w:val="nil"/>
            </w:tcBorders>
            <w:vAlign w:val="center"/>
          </w:tcPr>
          <w:p w14:paraId="326CA1E1"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1995</w:t>
            </w:r>
          </w:p>
        </w:tc>
        <w:tc>
          <w:tcPr>
            <w:tcW w:w="1350" w:type="dxa"/>
            <w:tcBorders>
              <w:top w:val="single" w:sz="4" w:space="0" w:color="auto"/>
              <w:left w:val="nil"/>
              <w:bottom w:val="nil"/>
              <w:right w:val="nil"/>
            </w:tcBorders>
            <w:vAlign w:val="center"/>
          </w:tcPr>
          <w:p w14:paraId="0C8B0A9C"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18</w:t>
            </w:r>
          </w:p>
        </w:tc>
        <w:tc>
          <w:tcPr>
            <w:tcW w:w="1260" w:type="dxa"/>
            <w:tcBorders>
              <w:top w:val="single" w:sz="4" w:space="0" w:color="auto"/>
              <w:left w:val="nil"/>
              <w:bottom w:val="nil"/>
              <w:right w:val="nil"/>
            </w:tcBorders>
            <w:vAlign w:val="center"/>
          </w:tcPr>
          <w:p w14:paraId="4D22BC4B"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23</w:t>
            </w:r>
            <w:r>
              <w:rPr>
                <w:rFonts w:ascii="Times New Roman" w:hAnsi="Times New Roman" w:cs="Times New Roman"/>
                <w:bCs/>
              </w:rPr>
              <w:t>9</w:t>
            </w:r>
          </w:p>
        </w:tc>
        <w:tc>
          <w:tcPr>
            <w:tcW w:w="1350" w:type="dxa"/>
            <w:tcBorders>
              <w:top w:val="single" w:sz="4" w:space="0" w:color="auto"/>
              <w:left w:val="nil"/>
              <w:bottom w:val="nil"/>
              <w:right w:val="nil"/>
            </w:tcBorders>
            <w:vAlign w:val="center"/>
          </w:tcPr>
          <w:p w14:paraId="489E56DF"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27</w:t>
            </w:r>
            <w:r>
              <w:rPr>
                <w:rFonts w:ascii="Times New Roman" w:hAnsi="Times New Roman" w:cs="Times New Roman"/>
                <w:bCs/>
              </w:rPr>
              <w:t>4</w:t>
            </w:r>
          </w:p>
        </w:tc>
        <w:tc>
          <w:tcPr>
            <w:tcW w:w="900" w:type="dxa"/>
            <w:tcBorders>
              <w:top w:val="single" w:sz="4" w:space="0" w:color="auto"/>
              <w:left w:val="nil"/>
              <w:bottom w:val="nil"/>
              <w:right w:val="nil"/>
            </w:tcBorders>
            <w:vAlign w:val="center"/>
          </w:tcPr>
          <w:p w14:paraId="7D7789BE" w14:textId="77777777" w:rsidR="00A22E51" w:rsidRPr="00CA57F7" w:rsidRDefault="00A22E51" w:rsidP="00E14F7B">
            <w:pPr>
              <w:jc w:val="center"/>
              <w:rPr>
                <w:rFonts w:ascii="Times New Roman" w:hAnsi="Times New Roman" w:cs="Times New Roman"/>
                <w:bCs/>
              </w:rPr>
            </w:pPr>
            <w:r>
              <w:rPr>
                <w:rFonts w:ascii="Times New Roman" w:hAnsi="Times New Roman" w:cs="Times New Roman"/>
                <w:bCs/>
              </w:rPr>
              <w:t>6091</w:t>
            </w:r>
          </w:p>
        </w:tc>
        <w:tc>
          <w:tcPr>
            <w:tcW w:w="1350" w:type="dxa"/>
            <w:tcBorders>
              <w:top w:val="single" w:sz="4" w:space="0" w:color="auto"/>
              <w:left w:val="nil"/>
              <w:bottom w:val="nil"/>
              <w:right w:val="nil"/>
            </w:tcBorders>
            <w:vAlign w:val="center"/>
          </w:tcPr>
          <w:p w14:paraId="6DEC2AF7"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3178</w:t>
            </w:r>
          </w:p>
        </w:tc>
      </w:tr>
      <w:tr w:rsidR="00A22E51" w14:paraId="7C1ED693" w14:textId="77777777" w:rsidTr="00E14F7B">
        <w:trPr>
          <w:jc w:val="center"/>
        </w:trPr>
        <w:tc>
          <w:tcPr>
            <w:tcW w:w="1225" w:type="dxa"/>
            <w:vMerge/>
            <w:tcBorders>
              <w:left w:val="nil"/>
              <w:bottom w:val="single" w:sz="18" w:space="0" w:color="auto"/>
              <w:right w:val="nil"/>
            </w:tcBorders>
            <w:vAlign w:val="center"/>
          </w:tcPr>
          <w:p w14:paraId="68DDAC54" w14:textId="77777777" w:rsidR="00A22E51" w:rsidRPr="00CA57F7" w:rsidRDefault="00A22E51" w:rsidP="00E14F7B">
            <w:pPr>
              <w:jc w:val="center"/>
              <w:rPr>
                <w:rFonts w:ascii="Times New Roman" w:hAnsi="Times New Roman" w:cs="Times New Roman"/>
                <w:bCs/>
              </w:rPr>
            </w:pPr>
          </w:p>
        </w:tc>
        <w:tc>
          <w:tcPr>
            <w:tcW w:w="1483" w:type="dxa"/>
            <w:tcBorders>
              <w:top w:val="nil"/>
              <w:left w:val="nil"/>
              <w:bottom w:val="single" w:sz="18" w:space="0" w:color="auto"/>
              <w:right w:val="nil"/>
            </w:tcBorders>
            <w:vAlign w:val="center"/>
          </w:tcPr>
          <w:p w14:paraId="1B28F247"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14.9</w:t>
            </w:r>
          </w:p>
        </w:tc>
        <w:tc>
          <w:tcPr>
            <w:tcW w:w="1432" w:type="dxa"/>
            <w:tcBorders>
              <w:top w:val="nil"/>
              <w:left w:val="nil"/>
              <w:bottom w:val="single" w:sz="18" w:space="0" w:color="auto"/>
              <w:right w:val="nil"/>
            </w:tcBorders>
            <w:vAlign w:val="center"/>
          </w:tcPr>
          <w:p w14:paraId="0CE34684"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739</w:t>
            </w:r>
          </w:p>
        </w:tc>
        <w:tc>
          <w:tcPr>
            <w:tcW w:w="1350" w:type="dxa"/>
            <w:tcBorders>
              <w:top w:val="nil"/>
              <w:left w:val="nil"/>
              <w:bottom w:val="single" w:sz="18" w:space="0" w:color="auto"/>
              <w:right w:val="nil"/>
            </w:tcBorders>
            <w:vAlign w:val="center"/>
          </w:tcPr>
          <w:p w14:paraId="0614FCB0"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739</w:t>
            </w:r>
          </w:p>
        </w:tc>
        <w:tc>
          <w:tcPr>
            <w:tcW w:w="1260" w:type="dxa"/>
            <w:tcBorders>
              <w:top w:val="nil"/>
              <w:left w:val="nil"/>
              <w:bottom w:val="single" w:sz="18" w:space="0" w:color="auto"/>
              <w:right w:val="nil"/>
            </w:tcBorders>
            <w:vAlign w:val="center"/>
          </w:tcPr>
          <w:p w14:paraId="6E2EB165"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344</w:t>
            </w:r>
          </w:p>
        </w:tc>
        <w:tc>
          <w:tcPr>
            <w:tcW w:w="1350" w:type="dxa"/>
            <w:tcBorders>
              <w:top w:val="nil"/>
              <w:left w:val="nil"/>
              <w:bottom w:val="single" w:sz="18" w:space="0" w:color="auto"/>
              <w:right w:val="nil"/>
            </w:tcBorders>
            <w:vAlign w:val="center"/>
          </w:tcPr>
          <w:p w14:paraId="10585825"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217</w:t>
            </w:r>
          </w:p>
        </w:tc>
        <w:tc>
          <w:tcPr>
            <w:tcW w:w="900" w:type="dxa"/>
            <w:tcBorders>
              <w:top w:val="nil"/>
              <w:left w:val="nil"/>
              <w:bottom w:val="single" w:sz="18" w:space="0" w:color="auto"/>
              <w:right w:val="nil"/>
            </w:tcBorders>
            <w:vAlign w:val="center"/>
          </w:tcPr>
          <w:p w14:paraId="283A3F03" w14:textId="77777777" w:rsidR="00A22E51" w:rsidRPr="00CA57F7" w:rsidRDefault="00A22E51" w:rsidP="00E14F7B">
            <w:pPr>
              <w:jc w:val="center"/>
              <w:rPr>
                <w:rFonts w:ascii="Times New Roman" w:hAnsi="Times New Roman" w:cs="Times New Roman"/>
                <w:bCs/>
              </w:rPr>
            </w:pPr>
            <w:r>
              <w:rPr>
                <w:rFonts w:ascii="Times New Roman" w:hAnsi="Times New Roman" w:cs="Times New Roman"/>
                <w:bCs/>
              </w:rPr>
              <w:t>6091</w:t>
            </w:r>
          </w:p>
        </w:tc>
        <w:tc>
          <w:tcPr>
            <w:tcW w:w="1350" w:type="dxa"/>
            <w:tcBorders>
              <w:top w:val="nil"/>
              <w:left w:val="nil"/>
              <w:bottom w:val="single" w:sz="18" w:space="0" w:color="auto"/>
              <w:right w:val="nil"/>
            </w:tcBorders>
            <w:vAlign w:val="center"/>
          </w:tcPr>
          <w:p w14:paraId="5D901913" w14:textId="77777777" w:rsidR="00A22E51" w:rsidRPr="00CA57F7" w:rsidRDefault="00A22E51" w:rsidP="00E14F7B">
            <w:pPr>
              <w:jc w:val="center"/>
              <w:rPr>
                <w:rFonts w:ascii="Times New Roman" w:hAnsi="Times New Roman" w:cs="Times New Roman"/>
                <w:bCs/>
              </w:rPr>
            </w:pPr>
            <w:r w:rsidRPr="00CA57F7">
              <w:rPr>
                <w:rFonts w:ascii="Times New Roman" w:hAnsi="Times New Roman" w:cs="Times New Roman"/>
                <w:bCs/>
              </w:rPr>
              <w:t>3178</w:t>
            </w:r>
          </w:p>
        </w:tc>
      </w:tr>
    </w:tbl>
    <w:p w14:paraId="461ABC17" w14:textId="77777777" w:rsidR="00A22E51" w:rsidRPr="005061E0" w:rsidRDefault="00A22E51" w:rsidP="00A22E51">
      <w:pPr>
        <w:rPr>
          <w:rFonts w:ascii="Times New Roman" w:hAnsi="Times New Roman" w:cs="Times New Roman"/>
          <w:bCs/>
          <w:vertAlign w:val="superscript"/>
        </w:rPr>
      </w:pPr>
      <w:r w:rsidRPr="005061E0">
        <w:rPr>
          <w:rFonts w:ascii="Times New Roman" w:hAnsi="Times New Roman" w:cs="Times New Roman"/>
          <w:bCs/>
        </w:rPr>
        <w:t>ǂ Units of cm yr</w:t>
      </w:r>
      <w:r w:rsidRPr="005061E0">
        <w:rPr>
          <w:rFonts w:ascii="Times New Roman" w:hAnsi="Times New Roman" w:cs="Times New Roman"/>
          <w:bCs/>
          <w:vertAlign w:val="superscript"/>
        </w:rPr>
        <w:t>-1</w:t>
      </w:r>
    </w:p>
    <w:p w14:paraId="0AAE8D69" w14:textId="77777777" w:rsidR="00A22E51" w:rsidRPr="005061E0" w:rsidRDefault="00A22E51" w:rsidP="00A22E51">
      <w:pPr>
        <w:rPr>
          <w:rFonts w:ascii="Times New Roman" w:hAnsi="Times New Roman" w:cs="Times New Roman"/>
          <w:bCs/>
          <w:vertAlign w:val="superscript"/>
        </w:rPr>
      </w:pPr>
      <w:r w:rsidRPr="005061E0">
        <w:rPr>
          <w:rFonts w:ascii="Times New Roman" w:hAnsi="Times New Roman" w:cs="Times New Roman"/>
          <w:bCs/>
        </w:rPr>
        <w:t>* Units of mmol m</w:t>
      </w:r>
      <w:r w:rsidRPr="005061E0">
        <w:rPr>
          <w:rFonts w:ascii="Times New Roman" w:hAnsi="Times New Roman" w:cs="Times New Roman"/>
          <w:bCs/>
          <w:vertAlign w:val="superscript"/>
        </w:rPr>
        <w:t>-2</w:t>
      </w:r>
      <w:r w:rsidRPr="005061E0">
        <w:rPr>
          <w:rFonts w:ascii="Times New Roman" w:hAnsi="Times New Roman" w:cs="Times New Roman"/>
          <w:bCs/>
        </w:rPr>
        <w:t xml:space="preserve"> yr</w:t>
      </w:r>
      <w:r w:rsidRPr="005061E0">
        <w:rPr>
          <w:rFonts w:ascii="Times New Roman" w:hAnsi="Times New Roman" w:cs="Times New Roman"/>
          <w:bCs/>
          <w:vertAlign w:val="superscript"/>
        </w:rPr>
        <w:t>-1</w:t>
      </w:r>
    </w:p>
    <w:p w14:paraId="65739A75" w14:textId="77777777" w:rsidR="00A22E51" w:rsidRPr="00F23F20" w:rsidRDefault="00A22E51" w:rsidP="00A22E51">
      <w:pPr>
        <w:rPr>
          <w:rFonts w:ascii="Times New Roman" w:hAnsi="Times New Roman" w:cs="Times New Roman"/>
          <w:b/>
        </w:rPr>
      </w:pPr>
    </w:p>
    <w:p w14:paraId="1EF965E1" w14:textId="77777777" w:rsidR="00A22E51" w:rsidRDefault="00A22E51" w:rsidP="00A22E51">
      <w:pPr>
        <w:rPr>
          <w:rFonts w:ascii="Times New Roman" w:hAnsi="Times New Roman" w:cs="Times New Roman"/>
        </w:rPr>
      </w:pPr>
      <w:r>
        <w:rPr>
          <w:rFonts w:ascii="Times New Roman" w:hAnsi="Times New Roman" w:cs="Times New Roman"/>
        </w:rPr>
        <w:br w:type="page"/>
      </w:r>
    </w:p>
    <w:p w14:paraId="14FFAF45" w14:textId="77777777" w:rsidR="00365526" w:rsidRPr="00F23F20" w:rsidRDefault="00365526" w:rsidP="00365526">
      <w:pPr>
        <w:pStyle w:val="Heading3"/>
      </w:pPr>
      <w:bookmarkStart w:id="281" w:name="_Toc41908153"/>
      <w:r w:rsidRPr="00F23F20">
        <w:rPr>
          <w:noProof/>
        </w:rPr>
        <w:lastRenderedPageBreak/>
        <w:drawing>
          <wp:anchor distT="0" distB="0" distL="114300" distR="114300" simplePos="0" relativeHeight="251672576" behindDoc="0" locked="0" layoutInCell="1" allowOverlap="0" wp14:anchorId="07B1B89E" wp14:editId="2A7A03D7">
            <wp:simplePos x="0" y="0"/>
            <wp:positionH relativeFrom="page">
              <wp:align>center</wp:align>
            </wp:positionH>
            <wp:positionV relativeFrom="margin">
              <wp:posOffset>182880</wp:posOffset>
            </wp:positionV>
            <wp:extent cx="6483096" cy="2843784"/>
            <wp:effectExtent l="0" t="0" r="0" b="0"/>
            <wp:wrapTopAndBottom/>
            <wp:docPr id="28" name="Picture 2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e1.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483096" cy="2843784"/>
                    </a:xfrm>
                    <a:prstGeom prst="rect">
                      <a:avLst/>
                    </a:prstGeom>
                  </pic:spPr>
                </pic:pic>
              </a:graphicData>
            </a:graphic>
            <wp14:sizeRelH relativeFrom="margin">
              <wp14:pctWidth>0</wp14:pctWidth>
            </wp14:sizeRelH>
            <wp14:sizeRelV relativeFrom="margin">
              <wp14:pctHeight>0</wp14:pctHeight>
            </wp14:sizeRelV>
          </wp:anchor>
        </w:drawing>
      </w:r>
      <w:r w:rsidRPr="00F23F20">
        <w:t>Figures</w:t>
      </w:r>
      <w:bookmarkEnd w:id="281"/>
    </w:p>
    <w:p w14:paraId="32CCAE31" w14:textId="77777777" w:rsidR="00365526" w:rsidRPr="00C70F47" w:rsidRDefault="00365526" w:rsidP="00365526">
      <w:pPr>
        <w:spacing w:line="480" w:lineRule="auto"/>
        <w:rPr>
          <w:rFonts w:ascii="Times New Roman" w:hAnsi="Times New Roman" w:cs="Times New Roman"/>
          <w:b/>
          <w:bCs/>
        </w:rPr>
      </w:pPr>
      <w:r w:rsidRPr="00C70F47">
        <w:rPr>
          <w:rFonts w:ascii="Times New Roman" w:hAnsi="Times New Roman" w:cs="Times New Roman"/>
          <w:b/>
          <w:bCs/>
        </w:rPr>
        <w:t>Figure 4.1</w:t>
      </w:r>
      <w:r>
        <w:rPr>
          <w:rFonts w:ascii="Times New Roman" w:hAnsi="Times New Roman" w:cs="Times New Roman"/>
          <w:b/>
          <w:bCs/>
        </w:rPr>
        <w:t xml:space="preserve">. </w:t>
      </w:r>
      <w:r>
        <w:rPr>
          <w:rFonts w:ascii="Times New Roman" w:hAnsi="Times New Roman" w:cs="Times New Roman"/>
        </w:rPr>
        <w:t>A flow diagram showing sample processing and analyzes performed on sediments.</w:t>
      </w:r>
      <w:r w:rsidRPr="00C70F47">
        <w:rPr>
          <w:rFonts w:ascii="Times New Roman" w:hAnsi="Times New Roman" w:cs="Times New Roman"/>
          <w:b/>
          <w:bCs/>
        </w:rPr>
        <w:br w:type="page"/>
      </w:r>
    </w:p>
    <w:p w14:paraId="3F98CB05" w14:textId="63A2789C" w:rsidR="00365526" w:rsidRPr="00F23F20" w:rsidRDefault="00365526" w:rsidP="005817C7">
      <w:pPr>
        <w:spacing w:line="48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75648" behindDoc="0" locked="0" layoutInCell="1" allowOverlap="0" wp14:anchorId="62F0131A" wp14:editId="5298C5EF">
            <wp:simplePos x="0" y="0"/>
            <wp:positionH relativeFrom="page">
              <wp:align>center</wp:align>
            </wp:positionH>
            <wp:positionV relativeFrom="margin">
              <wp:align>top</wp:align>
            </wp:positionV>
            <wp:extent cx="5486400" cy="4059936"/>
            <wp:effectExtent l="0" t="0" r="0" b="0"/>
            <wp:wrapTopAndBottom/>
            <wp:docPr id="37" name="Picture 37" descr="A picture containing dark, photo, white, lap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e2.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486400" cy="4059936"/>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rPr>
        <w:t>Figure 4.2.</w:t>
      </w:r>
      <w:r>
        <w:rPr>
          <w:rFonts w:ascii="Times New Roman" w:hAnsi="Times New Roman" w:cs="Times New Roman"/>
        </w:rPr>
        <w:t xml:space="preserve"> Porewater concent</w:t>
      </w:r>
      <w:r w:rsidRPr="00296FC7">
        <w:rPr>
          <w:rFonts w:ascii="Times New Roman" w:hAnsi="Times New Roman" w:cs="Times New Roman"/>
        </w:rPr>
        <w:t>ration profiles (mM) for Br</w:t>
      </w:r>
      <w:r w:rsidRPr="00296FC7">
        <w:rPr>
          <w:rFonts w:ascii="Times New Roman" w:hAnsi="Times New Roman" w:cs="Times New Roman"/>
          <w:vertAlign w:val="superscript"/>
        </w:rPr>
        <w:t>-</w:t>
      </w:r>
      <w:r w:rsidRPr="00296FC7">
        <w:rPr>
          <w:rFonts w:ascii="Times New Roman" w:hAnsi="Times New Roman" w:cs="Times New Roman"/>
        </w:rPr>
        <w:t xml:space="preserve"> (A), Br</w:t>
      </w:r>
      <w:r w:rsidRPr="00296FC7">
        <w:rPr>
          <w:rFonts w:ascii="Times New Roman" w:hAnsi="Times New Roman" w:cs="Times New Roman"/>
          <w:vertAlign w:val="superscript"/>
        </w:rPr>
        <w:t>-</w:t>
      </w:r>
      <w:r w:rsidRPr="00296FC7">
        <w:rPr>
          <w:rFonts w:ascii="Times New Roman" w:hAnsi="Times New Roman" w:cs="Times New Roman"/>
        </w:rPr>
        <w:t xml:space="preserve"> (A), Ca</w:t>
      </w:r>
      <w:r w:rsidRPr="00296FC7">
        <w:rPr>
          <w:rFonts w:ascii="Times New Roman" w:hAnsi="Times New Roman" w:cs="Times New Roman"/>
          <w:vertAlign w:val="superscript"/>
        </w:rPr>
        <w:t>2+</w:t>
      </w:r>
      <w:r w:rsidRPr="00296FC7">
        <w:rPr>
          <w:rFonts w:ascii="Times New Roman" w:hAnsi="Times New Roman" w:cs="Times New Roman"/>
        </w:rPr>
        <w:t xml:space="preserve"> (B), Cl</w:t>
      </w:r>
      <w:r w:rsidRPr="00296FC7">
        <w:rPr>
          <w:rFonts w:ascii="Times New Roman" w:hAnsi="Times New Roman" w:cs="Times New Roman"/>
          <w:vertAlign w:val="superscript"/>
        </w:rPr>
        <w:t>-</w:t>
      </w:r>
      <w:r w:rsidRPr="00296FC7">
        <w:rPr>
          <w:rFonts w:ascii="Times New Roman" w:hAnsi="Times New Roman" w:cs="Times New Roman"/>
        </w:rPr>
        <w:t xml:space="preserve"> (C), K</w:t>
      </w:r>
      <w:r w:rsidRPr="00296FC7">
        <w:rPr>
          <w:rFonts w:ascii="Times New Roman" w:hAnsi="Times New Roman" w:cs="Times New Roman"/>
          <w:vertAlign w:val="superscript"/>
        </w:rPr>
        <w:t>+</w:t>
      </w:r>
      <w:r w:rsidRPr="00296FC7">
        <w:rPr>
          <w:rFonts w:ascii="Times New Roman" w:hAnsi="Times New Roman" w:cs="Times New Roman"/>
        </w:rPr>
        <w:t xml:space="preserve"> (D), Mg</w:t>
      </w:r>
      <w:r w:rsidRPr="00296FC7">
        <w:rPr>
          <w:rFonts w:ascii="Times New Roman" w:hAnsi="Times New Roman" w:cs="Times New Roman"/>
          <w:vertAlign w:val="superscript"/>
        </w:rPr>
        <w:t>2+</w:t>
      </w:r>
      <w:r w:rsidRPr="00296FC7">
        <w:rPr>
          <w:rFonts w:ascii="Times New Roman" w:hAnsi="Times New Roman" w:cs="Times New Roman"/>
        </w:rPr>
        <w:t xml:space="preserve"> (E), Na</w:t>
      </w:r>
      <w:r w:rsidRPr="00296FC7">
        <w:rPr>
          <w:rFonts w:ascii="Times New Roman" w:hAnsi="Times New Roman" w:cs="Times New Roman"/>
          <w:vertAlign w:val="superscript"/>
        </w:rPr>
        <w:t>+</w:t>
      </w:r>
      <w:r w:rsidRPr="00296FC7">
        <w:rPr>
          <w:rFonts w:ascii="Times New Roman" w:hAnsi="Times New Roman" w:cs="Times New Roman"/>
        </w:rPr>
        <w:t xml:space="preserve"> (F), NH</w:t>
      </w:r>
      <w:r w:rsidRPr="00296FC7">
        <w:rPr>
          <w:rFonts w:ascii="Times New Roman" w:hAnsi="Times New Roman" w:cs="Times New Roman"/>
          <w:vertAlign w:val="subscript"/>
        </w:rPr>
        <w:t>4</w:t>
      </w:r>
      <w:r w:rsidRPr="00296FC7">
        <w:rPr>
          <w:rFonts w:ascii="Times New Roman" w:hAnsi="Times New Roman" w:cs="Times New Roman"/>
          <w:vertAlign w:val="superscript"/>
        </w:rPr>
        <w:t>+</w:t>
      </w:r>
      <w:r w:rsidRPr="00296FC7">
        <w:rPr>
          <w:rFonts w:ascii="Times New Roman" w:hAnsi="Times New Roman" w:cs="Times New Roman"/>
        </w:rPr>
        <w:t xml:space="preserve"> (G), PO</w:t>
      </w:r>
      <w:r w:rsidRPr="00296FC7">
        <w:rPr>
          <w:rFonts w:ascii="Times New Roman" w:hAnsi="Times New Roman" w:cs="Times New Roman"/>
          <w:vertAlign w:val="subscript"/>
        </w:rPr>
        <w:t>4</w:t>
      </w:r>
      <w:r w:rsidRPr="00296FC7">
        <w:rPr>
          <w:rFonts w:ascii="Times New Roman" w:hAnsi="Times New Roman" w:cs="Times New Roman"/>
          <w:vertAlign w:val="superscript"/>
        </w:rPr>
        <w:t>3-</w:t>
      </w:r>
      <w:r w:rsidRPr="00296FC7">
        <w:rPr>
          <w:rFonts w:ascii="Times New Roman" w:hAnsi="Times New Roman" w:cs="Times New Roman"/>
        </w:rPr>
        <w:t xml:space="preserve"> (H), and SO</w:t>
      </w:r>
      <w:r w:rsidRPr="00296FC7">
        <w:rPr>
          <w:rFonts w:ascii="Times New Roman" w:hAnsi="Times New Roman" w:cs="Times New Roman"/>
          <w:vertAlign w:val="subscript"/>
        </w:rPr>
        <w:t>4</w:t>
      </w:r>
      <w:r w:rsidRPr="00296FC7">
        <w:rPr>
          <w:rFonts w:ascii="Times New Roman" w:hAnsi="Times New Roman" w:cs="Times New Roman"/>
          <w:vertAlign w:val="superscript"/>
        </w:rPr>
        <w:t>2-</w:t>
      </w:r>
      <w:r w:rsidRPr="00296FC7">
        <w:rPr>
          <w:rFonts w:ascii="Times New Roman" w:hAnsi="Times New Roman" w:cs="Times New Roman"/>
        </w:rPr>
        <w:t xml:space="preserve"> (I).</w:t>
      </w:r>
      <w:r w:rsidRPr="00F23F20">
        <w:rPr>
          <w:rFonts w:ascii="Times New Roman" w:hAnsi="Times New Roman" w:cs="Times New Roman"/>
        </w:rPr>
        <w:br w:type="page"/>
      </w:r>
    </w:p>
    <w:p w14:paraId="63B16158" w14:textId="77777777" w:rsidR="00365526" w:rsidRPr="005D5EE0" w:rsidRDefault="00365526" w:rsidP="00365526">
      <w:pPr>
        <w:spacing w:line="480" w:lineRule="auto"/>
        <w:rPr>
          <w:rFonts w:ascii="Times New Roman" w:hAnsi="Times New Roman" w:cs="Times New Roman"/>
          <w:b/>
          <w:bCs/>
        </w:rPr>
      </w:pPr>
      <w:r w:rsidRPr="005D5EE0">
        <w:rPr>
          <w:rFonts w:ascii="Times New Roman" w:hAnsi="Times New Roman" w:cs="Times New Roman"/>
          <w:b/>
          <w:bCs/>
          <w:noProof/>
        </w:rPr>
        <w:lastRenderedPageBreak/>
        <w:drawing>
          <wp:anchor distT="0" distB="0" distL="114300" distR="114300" simplePos="0" relativeHeight="251676672" behindDoc="0" locked="0" layoutInCell="1" allowOverlap="0" wp14:anchorId="05DF1244" wp14:editId="56595910">
            <wp:simplePos x="0" y="0"/>
            <wp:positionH relativeFrom="page">
              <wp:align>center</wp:align>
            </wp:positionH>
            <wp:positionV relativeFrom="margin">
              <wp:align>top</wp:align>
            </wp:positionV>
            <wp:extent cx="4745736" cy="2944368"/>
            <wp:effectExtent l="0" t="0" r="0" b="8890"/>
            <wp:wrapTopAndBottom/>
            <wp:docPr id="8" name="Picture 8" descr="A picture containing dark, white, black, l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3.png"/>
                    <pic:cNvPicPr/>
                  </pic:nvPicPr>
                  <pic:blipFill rotWithShape="1">
                    <a:blip r:embed="rId41" cstate="print">
                      <a:extLst>
                        <a:ext uri="{28A0092B-C50C-407E-A947-70E740481C1C}">
                          <a14:useLocalDpi xmlns:a14="http://schemas.microsoft.com/office/drawing/2010/main" val="0"/>
                        </a:ext>
                      </a:extLst>
                    </a:blip>
                    <a:srcRect r="13333"/>
                    <a:stretch/>
                  </pic:blipFill>
                  <pic:spPr bwMode="auto">
                    <a:xfrm>
                      <a:off x="0" y="0"/>
                      <a:ext cx="4745736" cy="29443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D5EE0">
        <w:rPr>
          <w:rFonts w:ascii="Times New Roman" w:hAnsi="Times New Roman" w:cs="Times New Roman"/>
          <w:b/>
          <w:bCs/>
        </w:rPr>
        <w:t>Figure 4.3.</w:t>
      </w:r>
      <w:r>
        <w:rPr>
          <w:rFonts w:ascii="Times New Roman" w:hAnsi="Times New Roman" w:cs="Times New Roman"/>
          <w:b/>
          <w:bCs/>
        </w:rPr>
        <w:t xml:space="preserve"> </w:t>
      </w:r>
      <w:r w:rsidRPr="005D5EE0">
        <w:rPr>
          <w:rFonts w:ascii="Times New Roman" w:hAnsi="Times New Roman" w:cs="Times New Roman"/>
        </w:rPr>
        <w:t>Organic carbon</w:t>
      </w:r>
      <w:r>
        <w:rPr>
          <w:rFonts w:ascii="Times New Roman" w:hAnsi="Times New Roman" w:cs="Times New Roman"/>
          <w:b/>
          <w:bCs/>
        </w:rPr>
        <w:t xml:space="preserve"> </w:t>
      </w:r>
      <w:r w:rsidRPr="005D5EE0">
        <w:rPr>
          <w:rFonts w:ascii="Times New Roman" w:hAnsi="Times New Roman" w:cs="Times New Roman"/>
        </w:rPr>
        <w:t>c</w:t>
      </w:r>
      <w:r>
        <w:rPr>
          <w:rFonts w:ascii="Times New Roman" w:hAnsi="Times New Roman" w:cs="Times New Roman"/>
        </w:rPr>
        <w:t>oncentrati</w:t>
      </w:r>
      <w:r w:rsidRPr="00296FC7">
        <w:rPr>
          <w:rFonts w:ascii="Times New Roman" w:hAnsi="Times New Roman" w:cs="Times New Roman"/>
        </w:rPr>
        <w:t>on profiles for CH</w:t>
      </w:r>
      <w:r w:rsidRPr="00296FC7">
        <w:rPr>
          <w:rFonts w:ascii="Times New Roman" w:hAnsi="Times New Roman" w:cs="Times New Roman"/>
          <w:vertAlign w:val="subscript"/>
        </w:rPr>
        <w:t>4</w:t>
      </w:r>
      <w:r w:rsidRPr="00296FC7">
        <w:rPr>
          <w:rFonts w:ascii="Times New Roman" w:hAnsi="Times New Roman" w:cs="Times New Roman"/>
        </w:rPr>
        <w:t xml:space="preserve"> (mmol cm</w:t>
      </w:r>
      <w:r w:rsidRPr="00296FC7">
        <w:rPr>
          <w:rFonts w:ascii="Times New Roman" w:hAnsi="Times New Roman" w:cs="Times New Roman"/>
          <w:vertAlign w:val="superscript"/>
        </w:rPr>
        <w:t>-3</w:t>
      </w:r>
      <w:r w:rsidRPr="00296FC7">
        <w:rPr>
          <w:rFonts w:ascii="Times New Roman" w:hAnsi="Times New Roman" w:cs="Times New Roman"/>
        </w:rPr>
        <w:t xml:space="preserve">) (A), </w:t>
      </w:r>
      <w:r w:rsidRPr="00296FC7">
        <w:rPr>
          <w:rFonts w:ascii="Times New Roman" w:hAnsi="Times New Roman" w:cs="Times New Roman"/>
          <w:i/>
          <w:iCs/>
        </w:rPr>
        <w:t>δ</w:t>
      </w:r>
      <w:r w:rsidRPr="00296FC7">
        <w:rPr>
          <w:rFonts w:ascii="Times New Roman" w:hAnsi="Times New Roman" w:cs="Times New Roman"/>
          <w:vertAlign w:val="superscript"/>
        </w:rPr>
        <w:t>13</w:t>
      </w:r>
      <w:r w:rsidRPr="00296FC7">
        <w:rPr>
          <w:rFonts w:ascii="Times New Roman" w:hAnsi="Times New Roman" w:cs="Times New Roman"/>
        </w:rPr>
        <w:t>C</w:t>
      </w:r>
      <w:r w:rsidRPr="00296FC7">
        <w:rPr>
          <w:rFonts w:ascii="Times New Roman" w:hAnsi="Times New Roman" w:cs="Times New Roman"/>
          <w:vertAlign w:val="subscript"/>
        </w:rPr>
        <w:t>organic</w:t>
      </w:r>
      <w:r w:rsidRPr="00296FC7">
        <w:rPr>
          <w:rFonts w:ascii="Times New Roman" w:hAnsi="Times New Roman" w:cs="Times New Roman"/>
        </w:rPr>
        <w:t xml:space="preserve"> (</w:t>
      </w:r>
      <w:r w:rsidRPr="00296FC7">
        <w:rPr>
          <w:rFonts w:ascii="Times New Roman" w:hAnsi="Times New Roman" w:cs="Times New Roman"/>
          <w:color w:val="222222"/>
          <w:shd w:val="clear" w:color="auto" w:fill="FFFFFF"/>
        </w:rPr>
        <w:t>‰ with respect to VPDB</w:t>
      </w:r>
      <w:r w:rsidRPr="00296FC7">
        <w:rPr>
          <w:rFonts w:ascii="Times New Roman" w:hAnsi="Times New Roman" w:cs="Times New Roman"/>
        </w:rPr>
        <w:t>) (B), TOC (mmol cm</w:t>
      </w:r>
      <w:r w:rsidRPr="00296FC7">
        <w:rPr>
          <w:rFonts w:ascii="Times New Roman" w:hAnsi="Times New Roman" w:cs="Times New Roman"/>
          <w:vertAlign w:val="superscript"/>
        </w:rPr>
        <w:t>-3</w:t>
      </w:r>
      <w:r w:rsidRPr="00296FC7">
        <w:rPr>
          <w:rFonts w:ascii="Times New Roman" w:hAnsi="Times New Roman" w:cs="Times New Roman"/>
        </w:rPr>
        <w:t>) (C), TON (mmol cm</w:t>
      </w:r>
      <w:r w:rsidRPr="00296FC7">
        <w:rPr>
          <w:rFonts w:ascii="Times New Roman" w:hAnsi="Times New Roman" w:cs="Times New Roman"/>
          <w:vertAlign w:val="superscript"/>
        </w:rPr>
        <w:t>-3</w:t>
      </w:r>
      <w:r w:rsidRPr="00296FC7">
        <w:rPr>
          <w:rFonts w:ascii="Times New Roman" w:hAnsi="Times New Roman" w:cs="Times New Roman"/>
        </w:rPr>
        <w:t>) (D), carbon to nitrogen ratio (E), and DOM spectral slope (F).</w:t>
      </w:r>
      <w:r w:rsidRPr="005D5EE0">
        <w:rPr>
          <w:rFonts w:ascii="Times New Roman" w:hAnsi="Times New Roman" w:cs="Times New Roman"/>
        </w:rPr>
        <w:br w:type="page"/>
      </w:r>
    </w:p>
    <w:p w14:paraId="26F067B4" w14:textId="77777777" w:rsidR="00365526" w:rsidRPr="00213606" w:rsidRDefault="00365526" w:rsidP="00365526">
      <w:pPr>
        <w:spacing w:line="480" w:lineRule="auto"/>
        <w:rPr>
          <w:rFonts w:ascii="Times New Roman" w:hAnsi="Times New Roman" w:cs="Times New Roman"/>
          <w:b/>
          <w:bCs/>
        </w:rPr>
      </w:pPr>
      <w:r w:rsidRPr="00213606">
        <w:rPr>
          <w:rFonts w:ascii="Times New Roman" w:hAnsi="Times New Roman" w:cs="Times New Roman"/>
          <w:b/>
          <w:bCs/>
        </w:rPr>
        <w:lastRenderedPageBreak/>
        <w:t>Figure 4.4.</w:t>
      </w:r>
      <w:r>
        <w:rPr>
          <w:rFonts w:ascii="Times New Roman" w:hAnsi="Times New Roman" w:cs="Times New Roman"/>
          <w:b/>
          <w:bCs/>
        </w:rPr>
        <w:t xml:space="preserve"> </w:t>
      </w:r>
      <w:r w:rsidRPr="00213606">
        <w:rPr>
          <w:rFonts w:ascii="Times New Roman" w:hAnsi="Times New Roman" w:cs="Times New Roman"/>
        </w:rPr>
        <w:t>Ge</w:t>
      </w:r>
      <w:r>
        <w:rPr>
          <w:rFonts w:ascii="Times New Roman" w:hAnsi="Times New Roman" w:cs="Times New Roman"/>
        </w:rPr>
        <w:t>neralized additive model (G</w:t>
      </w:r>
      <w:r w:rsidRPr="00296FC7">
        <w:rPr>
          <w:rFonts w:ascii="Times New Roman" w:hAnsi="Times New Roman" w:cs="Times New Roman"/>
        </w:rPr>
        <w:t>AM) fits for SO</w:t>
      </w:r>
      <w:r w:rsidRPr="00296FC7">
        <w:rPr>
          <w:rFonts w:ascii="Times New Roman" w:hAnsi="Times New Roman" w:cs="Times New Roman"/>
          <w:vertAlign w:val="subscript"/>
        </w:rPr>
        <w:t>4</w:t>
      </w:r>
      <w:r w:rsidRPr="00296FC7">
        <w:rPr>
          <w:rFonts w:ascii="Times New Roman" w:hAnsi="Times New Roman" w:cs="Times New Roman"/>
          <w:vertAlign w:val="superscript"/>
        </w:rPr>
        <w:t>2-</w:t>
      </w:r>
      <w:r w:rsidRPr="00296FC7">
        <w:rPr>
          <w:rFonts w:ascii="Times New Roman" w:hAnsi="Times New Roman" w:cs="Times New Roman"/>
        </w:rPr>
        <w:t xml:space="preserve"> depth profiles (mM) (A) and CH</w:t>
      </w:r>
      <w:r w:rsidRPr="00296FC7">
        <w:rPr>
          <w:rFonts w:ascii="Times New Roman" w:hAnsi="Times New Roman" w:cs="Times New Roman"/>
          <w:vertAlign w:val="subscript"/>
        </w:rPr>
        <w:t>4</w:t>
      </w:r>
      <w:r w:rsidRPr="00296FC7">
        <w:rPr>
          <w:rFonts w:ascii="Times New Roman" w:hAnsi="Times New Roman" w:cs="Times New Roman"/>
        </w:rPr>
        <w:t xml:space="preserve"> (mM) (B) used for reactive-transport modeling.</w:t>
      </w:r>
    </w:p>
    <w:p w14:paraId="6FC72C18" w14:textId="77777777" w:rsidR="00365526" w:rsidRPr="00F23F20" w:rsidRDefault="00365526" w:rsidP="00365526">
      <w:pPr>
        <w:jc w:val="center"/>
        <w:rPr>
          <w:rFonts w:ascii="Times New Roman" w:hAnsi="Times New Roman" w:cs="Times New Roman"/>
        </w:rPr>
      </w:pPr>
      <w:r>
        <w:rPr>
          <w:rFonts w:ascii="Times New Roman" w:hAnsi="Times New Roman" w:cs="Times New Roman"/>
          <w:noProof/>
        </w:rPr>
        <w:drawing>
          <wp:anchor distT="0" distB="0" distL="114300" distR="114300" simplePos="0" relativeHeight="251674624" behindDoc="0" locked="0" layoutInCell="1" allowOverlap="0" wp14:anchorId="10FC7FC9" wp14:editId="5E780A3C">
            <wp:simplePos x="0" y="0"/>
            <wp:positionH relativeFrom="page">
              <wp:align>center</wp:align>
            </wp:positionH>
            <wp:positionV relativeFrom="margin">
              <wp:align>top</wp:align>
            </wp:positionV>
            <wp:extent cx="4855464" cy="2359152"/>
            <wp:effectExtent l="0" t="0" r="2540" b="3175"/>
            <wp:wrapTopAndBottom/>
            <wp:docPr id="25" name="Picture 25" descr="A picture containing looking, sitting, black, lap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e5.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855464" cy="2359152"/>
                    </a:xfrm>
                    <a:prstGeom prst="rect">
                      <a:avLst/>
                    </a:prstGeom>
                  </pic:spPr>
                </pic:pic>
              </a:graphicData>
            </a:graphic>
            <wp14:sizeRelH relativeFrom="margin">
              <wp14:pctWidth>0</wp14:pctWidth>
            </wp14:sizeRelH>
            <wp14:sizeRelV relativeFrom="margin">
              <wp14:pctHeight>0</wp14:pctHeight>
            </wp14:sizeRelV>
          </wp:anchor>
        </w:drawing>
      </w:r>
    </w:p>
    <w:p w14:paraId="46F38E67" w14:textId="77777777" w:rsidR="00365526" w:rsidRPr="00F23F20" w:rsidRDefault="00365526" w:rsidP="00365526">
      <w:pPr>
        <w:rPr>
          <w:rFonts w:ascii="Times New Roman" w:hAnsi="Times New Roman" w:cs="Times New Roman"/>
        </w:rPr>
      </w:pPr>
      <w:r w:rsidRPr="00F23F20">
        <w:rPr>
          <w:rFonts w:ascii="Times New Roman" w:hAnsi="Times New Roman" w:cs="Times New Roman"/>
        </w:rPr>
        <w:br w:type="page"/>
      </w:r>
    </w:p>
    <w:p w14:paraId="08AADEA9" w14:textId="3E129DCF" w:rsidR="00365526" w:rsidRPr="009B43FF" w:rsidRDefault="00365526" w:rsidP="00365526">
      <w:pPr>
        <w:spacing w:line="480" w:lineRule="auto"/>
        <w:rPr>
          <w:rFonts w:ascii="Times New Roman" w:hAnsi="Times New Roman" w:cs="Times New Roman"/>
        </w:rPr>
      </w:pPr>
      <w:r w:rsidRPr="0092526E">
        <w:rPr>
          <w:rFonts w:ascii="Times New Roman" w:hAnsi="Times New Roman" w:cs="Times New Roman"/>
          <w:b/>
          <w:bCs/>
          <w:noProof/>
        </w:rPr>
        <w:lastRenderedPageBreak/>
        <w:drawing>
          <wp:anchor distT="0" distB="0" distL="114300" distR="114300" simplePos="0" relativeHeight="251673600" behindDoc="0" locked="0" layoutInCell="1" allowOverlap="0" wp14:anchorId="56725415" wp14:editId="7155773F">
            <wp:simplePos x="1545021" y="914400"/>
            <wp:positionH relativeFrom="page">
              <wp:align>center</wp:align>
            </wp:positionH>
            <wp:positionV relativeFrom="margin">
              <wp:align>top</wp:align>
            </wp:positionV>
            <wp:extent cx="4700016" cy="3803904"/>
            <wp:effectExtent l="0" t="0" r="5715" b="635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e6.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700016" cy="3803904"/>
                    </a:xfrm>
                    <a:prstGeom prst="rect">
                      <a:avLst/>
                    </a:prstGeom>
                  </pic:spPr>
                </pic:pic>
              </a:graphicData>
            </a:graphic>
            <wp14:sizeRelH relativeFrom="margin">
              <wp14:pctWidth>0</wp14:pctWidth>
            </wp14:sizeRelH>
            <wp14:sizeRelV relativeFrom="margin">
              <wp14:pctHeight>0</wp14:pctHeight>
            </wp14:sizeRelV>
          </wp:anchor>
        </w:drawing>
      </w:r>
      <w:r w:rsidRPr="0092526E">
        <w:rPr>
          <w:rFonts w:ascii="Times New Roman" w:hAnsi="Times New Roman" w:cs="Times New Roman"/>
          <w:b/>
          <w:bCs/>
        </w:rPr>
        <w:t>Figure 4.5.</w:t>
      </w:r>
      <w:r>
        <w:rPr>
          <w:rFonts w:ascii="Times New Roman" w:hAnsi="Times New Roman" w:cs="Times New Roman"/>
          <w:b/>
          <w:bCs/>
        </w:rPr>
        <w:t xml:space="preserve"> </w:t>
      </w:r>
      <w:r>
        <w:rPr>
          <w:rFonts w:ascii="Times New Roman" w:hAnsi="Times New Roman" w:cs="Times New Roman"/>
        </w:rPr>
        <w:t>Mo</w:t>
      </w:r>
      <w:r w:rsidRPr="00296FC7">
        <w:rPr>
          <w:rFonts w:ascii="Times New Roman" w:hAnsi="Times New Roman" w:cs="Times New Roman"/>
        </w:rPr>
        <w:t>del results for SO</w:t>
      </w:r>
      <w:r w:rsidRPr="00296FC7">
        <w:rPr>
          <w:rFonts w:ascii="Times New Roman" w:hAnsi="Times New Roman" w:cs="Times New Roman"/>
          <w:vertAlign w:val="subscript"/>
        </w:rPr>
        <w:t>4</w:t>
      </w:r>
      <w:r w:rsidRPr="00296FC7">
        <w:rPr>
          <w:rFonts w:ascii="Times New Roman" w:hAnsi="Times New Roman" w:cs="Times New Roman"/>
          <w:vertAlign w:val="superscript"/>
        </w:rPr>
        <w:t>2-</w:t>
      </w:r>
      <w:r w:rsidRPr="00296FC7">
        <w:rPr>
          <w:rFonts w:ascii="Times New Roman" w:hAnsi="Times New Roman" w:cs="Times New Roman"/>
        </w:rPr>
        <w:t xml:space="preserve"> (A) and CH</w:t>
      </w:r>
      <w:r w:rsidRPr="00296FC7">
        <w:rPr>
          <w:rFonts w:ascii="Times New Roman" w:hAnsi="Times New Roman" w:cs="Times New Roman"/>
          <w:vertAlign w:val="subscript"/>
        </w:rPr>
        <w:t>4</w:t>
      </w:r>
      <w:r w:rsidRPr="00296FC7">
        <w:rPr>
          <w:rFonts w:ascii="Times New Roman" w:hAnsi="Times New Roman" w:cs="Times New Roman"/>
        </w:rPr>
        <w:t xml:space="preserve"> (B) from the reaction-transport model. Contours correspond to different assumed rates (cm yr</w:t>
      </w:r>
      <w:r w:rsidRPr="00296FC7">
        <w:rPr>
          <w:rFonts w:ascii="Times New Roman" w:hAnsi="Times New Roman" w:cs="Times New Roman"/>
          <w:vertAlign w:val="superscript"/>
        </w:rPr>
        <w:t>-1</w:t>
      </w:r>
      <w:r w:rsidRPr="00296FC7">
        <w:rPr>
          <w:rFonts w:ascii="Times New Roman" w:hAnsi="Times New Roman" w:cs="Times New Roman"/>
        </w:rPr>
        <w:t>) of groundwater upwelling.</w:t>
      </w:r>
    </w:p>
    <w:p w14:paraId="1E2CB9AF" w14:textId="77777777" w:rsidR="00365526" w:rsidRDefault="00365526" w:rsidP="00365526">
      <w:pPr>
        <w:rPr>
          <w:rFonts w:ascii="Times New Roman" w:hAnsi="Times New Roman" w:cs="Times New Roman"/>
        </w:rPr>
      </w:pPr>
      <w:r>
        <w:rPr>
          <w:rFonts w:ascii="Times New Roman" w:hAnsi="Times New Roman" w:cs="Times New Roman"/>
        </w:rPr>
        <w:br w:type="page"/>
      </w:r>
    </w:p>
    <w:p w14:paraId="34DC4292" w14:textId="51774E18" w:rsidR="00365526" w:rsidRPr="00D46645" w:rsidRDefault="00365526" w:rsidP="00365526">
      <w:pPr>
        <w:spacing w:line="480" w:lineRule="auto"/>
        <w:rPr>
          <w:rFonts w:ascii="Times New Roman" w:hAnsi="Times New Roman" w:cs="Times New Roman"/>
          <w:b/>
          <w:bCs/>
        </w:rPr>
      </w:pPr>
      <w:r w:rsidRPr="00D46645">
        <w:rPr>
          <w:rFonts w:ascii="Times New Roman" w:hAnsi="Times New Roman" w:cs="Times New Roman"/>
          <w:b/>
          <w:bCs/>
          <w:noProof/>
        </w:rPr>
        <w:lastRenderedPageBreak/>
        <w:drawing>
          <wp:anchor distT="0" distB="0" distL="114300" distR="114300" simplePos="0" relativeHeight="251677696" behindDoc="0" locked="0" layoutInCell="1" allowOverlap="0" wp14:anchorId="45E089A0" wp14:editId="23B0CE97">
            <wp:simplePos x="0" y="0"/>
            <wp:positionH relativeFrom="page">
              <wp:align>center</wp:align>
            </wp:positionH>
            <wp:positionV relativeFrom="margin">
              <wp:align>top</wp:align>
            </wp:positionV>
            <wp:extent cx="2916936" cy="2478024"/>
            <wp:effectExtent l="0" t="0" r="0" b="0"/>
            <wp:wrapTopAndBottom/>
            <wp:docPr id="23" name="Picture 23" descr="A star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e4.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916936" cy="2478024"/>
                    </a:xfrm>
                    <a:prstGeom prst="rect">
                      <a:avLst/>
                    </a:prstGeom>
                  </pic:spPr>
                </pic:pic>
              </a:graphicData>
            </a:graphic>
            <wp14:sizeRelH relativeFrom="margin">
              <wp14:pctWidth>0</wp14:pctWidth>
            </wp14:sizeRelH>
            <wp14:sizeRelV relativeFrom="margin">
              <wp14:pctHeight>0</wp14:pctHeight>
            </wp14:sizeRelV>
          </wp:anchor>
        </w:drawing>
      </w:r>
      <w:r w:rsidRPr="00D46645">
        <w:rPr>
          <w:rFonts w:ascii="Times New Roman" w:hAnsi="Times New Roman" w:cs="Times New Roman"/>
          <w:b/>
          <w:bCs/>
        </w:rPr>
        <w:t>Figure 4.6.</w:t>
      </w:r>
      <w:r>
        <w:rPr>
          <w:rFonts w:ascii="Times New Roman" w:hAnsi="Times New Roman" w:cs="Times New Roman"/>
        </w:rPr>
        <w:t xml:space="preserve"> A linear regression fit of TOC loss as a function of time assuming an average sedimentation rate of 0.31 cm yr</w:t>
      </w:r>
      <w:r>
        <w:rPr>
          <w:rFonts w:ascii="Times New Roman" w:hAnsi="Times New Roman" w:cs="Times New Roman"/>
          <w:vertAlign w:val="superscript"/>
        </w:rPr>
        <w:t>-1</w:t>
      </w:r>
      <w:r>
        <w:rPr>
          <w:rFonts w:ascii="Times New Roman" w:hAnsi="Times New Roman" w:cs="Times New Roman"/>
        </w:rPr>
        <w:t xml:space="preserve"> </w:t>
      </w:r>
      <w:r>
        <w:rPr>
          <w:rFonts w:ascii="Times New Roman" w:hAnsi="Times New Roman" w:cs="Times New Roman"/>
        </w:rPr>
        <w:fldChar w:fldCharType="begin" w:fldLock="1"/>
      </w:r>
      <w:r w:rsidR="00307058">
        <w:rPr>
          <w:rFonts w:ascii="Times New Roman" w:hAnsi="Times New Roman" w:cs="Times New Roman"/>
        </w:rPr>
        <w:instrText>ADDIN CSL_CITATION {"citationItems":[{"id":"ITEM-1","itemData":{"DOI":"10.1111/j.1462-2920.2011.02526.x","ISBN":"1462-2912","ISSN":"14622912","PMID":"21806748","abstract":"Uncultured ANaerobic MEthanotrophic (ANME) archaea are often assumed to be obligate methanotrophs that are incapable of net methanogenesis, and are therefore used as proxies for anaerobic methane oxidation in many environments in spite of uncertainty regarding their metabolic capabilities. Anaerobic methane oxidation regulates methane emissions in marine sediments and appears to occur through a reversal of a methane-producing metabolism. We tested the assumption that ANME are obligate methanotrophs by detecting and quantifying gene transcription of ANME-1 across zones of methane oxidation versus methane production in sediments from the White Oak River estuary, North Carolina. ANME-1 consistently transcribe 16S rRNA and mRNA of methyl coenzyme M reductase (mcrA), the key gene for methanogenesis, up to 45 cm into methanogenic sediments. CARD-FISH shows that ANME-1 exist as single rod-shaped cells or pairs of cells. Integrating normalized depth distributions of 16S rDNA and rRNA (measured with qPCR and RT-qPCR respectively) shows that 26-77% of the rDNA (a proxy for ANME-1 cell numbers), and 18-76% of the rRNA (a proxy for ANME-1 activity) occurs within methane-producing sediments. These results, along with a re-assessment of the published Iiterature, change the perspective to ANME-1 as methanogens that are also capable of methane oxidation.","author":[{"dropping-particle":"","family":"Lloyd","given":"Karen G.","non-dropping-particle":"","parse-names":false,"suffix":""},{"dropping-particle":"","family":"Alperin","given":"Marc J.","non-dropping-particle":"","parse-names":false,"suffix":""},{"dropping-particle":"","family":"Teske","given":"Andreas","non-dropping-particle":"","parse-names":false,"suffix":""}],"container-title":"Environmental Microbiology","id":"ITEM-1","issue":"9","issued":{"date-parts":[["2011"]]},"page":"2548-2564","title":"Environmental evidence for net methane production and oxidation in putative ANaerobic MEthanotrophic (ANME) archaea","type":"article-journal","volume":"13"},"uris":["http://www.mendeley.com/documents/?uuid=66d37395-cd0d-4af9-893f-431870bc2bc8"]},{"id":"ITEM-2","itemData":{"DOI":"10.1016/S0278-4343(98)00057-0","ISSN":"02784343","abstract":"To understand the origin of the methane distributions in sediments of Eckernforde Bay, three sites were sampled in May 1994 for determination of methane, sulfate and chloride concentrations in the sediment porewaters. In much of the Bay, bubbles of biogenic methane gas within the sediments lead to widespread 'acoustic turbidity' seen in acoustic surveys, masking the sedimentary structure below the gassy horizon. Acoustic windows, where the gas does not appear to be present, occur in several locations in the Bay, often surrounded by acoustically turbid sediments. Pockmarks, shallow depressions in the sediment, are also found in Bay sediments and may show acoustic turbidity at even shallower depths below the interface than surrounding sediments. One site of each type was sampled in this study. The site probably representative of much of the bay below 20 m water depth, revealed methane saturated conditions by about 75 cm depth below the interface, confirming inferences from acoustic scattering data that free gas was present in the sediment. Above this, the methane concentration profile was concave-upward, indicative of methane oxidation in the overlying, sulfate-reducing sediments. These porewaters showed a slightly decreasing chlorinity with depth. At an acoustic window site, methane concentrations rose to a maximum at about 125 cm depth, but did not reach saturation. Below this depth they decreased in a concave-down pattern. Chloride concentrations decreased markedly with depth, indicative of vertical freshwater flow from below. The third site was a pockmark exhibiting very shallow acoustic turbidity at about 25 cm depth. Here methane concentrations rose to exceed saturation within 25 cm depth below the interface and the porewaters became almost fresh by 1.5 m depth, indicative of a stronger flow of freshwater from below. These groundwater flows have competing effects on the methane inventory. They help exclude sulfate from the sediment, allowing the earlier/shallower onset of methanogenesis, but they also aid loss of methane through advection. A diagenetic model that couples the biogeochemistry of sulfate and methane is used to explain the presence or absence of methane gas in these sediments in relation to the flow rate of fresh groundwater from below. Model results indicate that acoustic windows within otherwise acoustically turbid sediments of the bay are likely due to relatively higher rates of vertical advection of fresh groundwater. The gassy pock…","author":[{"dropping-particle":"","family":"Albert","given":"Daniel B.","non-dropping-particle":"","parse-names":false,"suffix":""},{"dropping-particle":"","family":"Martens","given":"Christopher S.","non-dropping-particle":"","parse-names":false,"suffix":""},{"dropping-particle":"","family":"Alperin","given":"Marc J.","non-dropping-particle":"","parse-names":false,"suffix":""}],"container-title":"Continental Shelf Research","id":"ITEM-2","issue":"14-15","issued":{"date-parts":[["1998"]]},"page":"1771-1793","title":"Biogeochemical processes controlling methane in gassy coastal sediments - Part 2: Groundwater flow control of acoustic turbidity in Eckernforde Bay Sediments","type":"article-journal","volume":"18"},"uris":["http://www.mendeley.com/documents/?uuid=f58213f7-2aba-41a0-ad11-b3deae1e2092"]},{"id":"ITEM-3","itemData":{"DOI":"10.4319/lo.1990.35.2.0372","ISSN":"0024-3590","author":[{"dropping-particle":"","family":"Kelley","given":"Cheryl a.","non-dropping-particle":"","parse-names":false,"suffix":""},{"dropping-particle":"","family":"Martens","given":"Christopher S.","non-dropping-particle":"","parse-names":false,"suffix":""},{"dropping-particle":"","family":"Chanton","given":"Jeffrey P.","non-dropping-particle":"","parse-names":false,"suffix":""}],"container-title":"Limnology and Oceanography","id":"ITEM-3","issue":"2","issued":{"date-parts":[["1990"]]},"page":"372-383","title":"Variations in sedimentary carbon remineralization rates in the White Oak River estuary, North Carolina","type":"article-journal","volume":"35"},"uris":["http://www.mendeley.com/documents/?uuid=84c9ad85-5fc2-45b3-b5a3-d5ddf5033ca0"]}],"mendeley":{"formattedCitation":"(17, 116, 117)","plainTextFormattedCitation":"(17, 116, 117)","previouslyFormattedCitation":"(16, 115, 116)"},"properties":{"noteIndex":0},"schema":"https://github.com/citation-style-language/schema/raw/master/csl-citation.json"}</w:instrText>
      </w:r>
      <w:r>
        <w:rPr>
          <w:rFonts w:ascii="Times New Roman" w:hAnsi="Times New Roman" w:cs="Times New Roman"/>
        </w:rPr>
        <w:fldChar w:fldCharType="separate"/>
      </w:r>
      <w:r w:rsidR="00307058" w:rsidRPr="00307058">
        <w:rPr>
          <w:rFonts w:ascii="Times New Roman" w:hAnsi="Times New Roman" w:cs="Times New Roman"/>
          <w:noProof/>
        </w:rPr>
        <w:t>(17, 116, 117)</w:t>
      </w:r>
      <w:r>
        <w:rPr>
          <w:rFonts w:ascii="Times New Roman" w:hAnsi="Times New Roman" w:cs="Times New Roman"/>
        </w:rPr>
        <w:fldChar w:fldCharType="end"/>
      </w:r>
      <w:r>
        <w:rPr>
          <w:rFonts w:ascii="Times New Roman" w:hAnsi="Times New Roman" w:cs="Times New Roman"/>
        </w:rPr>
        <w:t>.</w:t>
      </w:r>
      <w:r w:rsidRPr="00D46645">
        <w:rPr>
          <w:rFonts w:ascii="Times New Roman" w:hAnsi="Times New Roman" w:cs="Times New Roman"/>
          <w:b/>
          <w:bCs/>
        </w:rPr>
        <w:br w:type="page"/>
      </w:r>
    </w:p>
    <w:p w14:paraId="77E166A0" w14:textId="77777777" w:rsidR="00365526" w:rsidRPr="00D46645" w:rsidRDefault="00365526" w:rsidP="00365526">
      <w:pPr>
        <w:spacing w:line="480" w:lineRule="auto"/>
        <w:rPr>
          <w:rFonts w:ascii="Times New Roman" w:hAnsi="Times New Roman" w:cs="Times New Roman"/>
          <w:b/>
          <w:bCs/>
        </w:rPr>
      </w:pPr>
      <w:r w:rsidRPr="00D46645">
        <w:rPr>
          <w:rFonts w:ascii="Times New Roman" w:hAnsi="Times New Roman" w:cs="Times New Roman"/>
          <w:b/>
          <w:bCs/>
          <w:noProof/>
        </w:rPr>
        <w:lastRenderedPageBreak/>
        <w:drawing>
          <wp:anchor distT="0" distB="0" distL="114300" distR="114300" simplePos="0" relativeHeight="251679744" behindDoc="0" locked="0" layoutInCell="1" allowOverlap="0" wp14:anchorId="478616B7" wp14:editId="7679C319">
            <wp:simplePos x="0" y="0"/>
            <wp:positionH relativeFrom="page">
              <wp:align>center</wp:align>
            </wp:positionH>
            <wp:positionV relativeFrom="margin">
              <wp:align>top</wp:align>
            </wp:positionV>
            <wp:extent cx="2825496" cy="2395728"/>
            <wp:effectExtent l="0" t="0" r="0" b="5080"/>
            <wp:wrapTopAndBottom/>
            <wp:docPr id="26" name="Picture 26" descr="A picture containing sitting, black, room, lap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e8.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825496" cy="2395728"/>
                    </a:xfrm>
                    <a:prstGeom prst="rect">
                      <a:avLst/>
                    </a:prstGeom>
                  </pic:spPr>
                </pic:pic>
              </a:graphicData>
            </a:graphic>
            <wp14:sizeRelH relativeFrom="margin">
              <wp14:pctWidth>0</wp14:pctWidth>
            </wp14:sizeRelH>
            <wp14:sizeRelV relativeFrom="margin">
              <wp14:pctHeight>0</wp14:pctHeight>
            </wp14:sizeRelV>
          </wp:anchor>
        </w:drawing>
      </w:r>
      <w:r w:rsidRPr="00D46645">
        <w:rPr>
          <w:rFonts w:ascii="Times New Roman" w:hAnsi="Times New Roman" w:cs="Times New Roman"/>
          <w:b/>
          <w:bCs/>
        </w:rPr>
        <w:t>Figure 4.7.</w:t>
      </w:r>
      <w:r w:rsidRPr="00D46645">
        <w:rPr>
          <w:rFonts w:ascii="Times New Roman" w:hAnsi="Times New Roman" w:cs="Times New Roman"/>
        </w:rPr>
        <w:t xml:space="preserve"> Co</w:t>
      </w:r>
      <w:r>
        <w:rPr>
          <w:rFonts w:ascii="Times New Roman" w:hAnsi="Times New Roman" w:cs="Times New Roman"/>
        </w:rPr>
        <w:t>lumn integrated CH</w:t>
      </w:r>
      <w:r>
        <w:rPr>
          <w:rFonts w:ascii="Times New Roman" w:hAnsi="Times New Roman" w:cs="Times New Roman"/>
          <w:vertAlign w:val="subscript"/>
        </w:rPr>
        <w:t>4</w:t>
      </w:r>
      <w:r>
        <w:rPr>
          <w:rFonts w:ascii="Times New Roman" w:hAnsi="Times New Roman" w:cs="Times New Roman"/>
        </w:rPr>
        <w:t xml:space="preserve"> production (nmol cm</w:t>
      </w:r>
      <w:r>
        <w:rPr>
          <w:rFonts w:ascii="Times New Roman" w:hAnsi="Times New Roman" w:cs="Times New Roman"/>
          <w:vertAlign w:val="superscript"/>
        </w:rPr>
        <w:t>-2</w:t>
      </w:r>
      <w:r>
        <w:rPr>
          <w:rFonts w:ascii="Times New Roman" w:hAnsi="Times New Roman" w:cs="Times New Roman"/>
        </w:rPr>
        <w:t xml:space="preserve"> d</w:t>
      </w:r>
      <w:r>
        <w:rPr>
          <w:rFonts w:ascii="Times New Roman" w:hAnsi="Times New Roman" w:cs="Times New Roman"/>
          <w:vertAlign w:val="superscript"/>
        </w:rPr>
        <w:t>-1</w:t>
      </w:r>
      <w:r>
        <w:rPr>
          <w:rFonts w:ascii="Times New Roman" w:hAnsi="Times New Roman" w:cs="Times New Roman"/>
        </w:rPr>
        <w:t>) predicted from the reaction-transport model (Figure 4.4B) as a function of groundwater upwelling (cm yr</w:t>
      </w:r>
      <w:r>
        <w:rPr>
          <w:rFonts w:ascii="Times New Roman" w:hAnsi="Times New Roman" w:cs="Times New Roman"/>
          <w:vertAlign w:val="superscript"/>
        </w:rPr>
        <w:t>-1</w:t>
      </w:r>
      <w:r w:rsidRPr="00D46645">
        <w:rPr>
          <w:rFonts w:ascii="Times New Roman" w:hAnsi="Times New Roman" w:cs="Times New Roman"/>
        </w:rPr>
        <w:t>)</w:t>
      </w:r>
      <w:r>
        <w:rPr>
          <w:rFonts w:ascii="Times New Roman" w:hAnsi="Times New Roman" w:cs="Times New Roman"/>
        </w:rPr>
        <w:t>.</w:t>
      </w:r>
      <w:r w:rsidRPr="00D46645">
        <w:rPr>
          <w:rFonts w:ascii="Times New Roman" w:hAnsi="Times New Roman" w:cs="Times New Roman"/>
          <w:b/>
          <w:bCs/>
        </w:rPr>
        <w:t xml:space="preserve"> </w:t>
      </w:r>
      <w:r w:rsidRPr="00D46645">
        <w:rPr>
          <w:rFonts w:ascii="Times New Roman" w:hAnsi="Times New Roman" w:cs="Times New Roman"/>
          <w:b/>
          <w:bCs/>
        </w:rPr>
        <w:br w:type="page"/>
      </w:r>
    </w:p>
    <w:p w14:paraId="30979061" w14:textId="6B9B6AC0" w:rsidR="007A342F" w:rsidRDefault="00365526" w:rsidP="00365526">
      <w:pPr>
        <w:spacing w:line="480" w:lineRule="auto"/>
        <w:rPr>
          <w:rFonts w:ascii="Times New Roman" w:hAnsi="Times New Roman" w:cs="Times New Roman"/>
        </w:rPr>
      </w:pPr>
      <w:r w:rsidRPr="00D46645">
        <w:rPr>
          <w:rFonts w:ascii="Times New Roman" w:hAnsi="Times New Roman" w:cs="Times New Roman"/>
          <w:b/>
          <w:bCs/>
        </w:rPr>
        <w:lastRenderedPageBreak/>
        <w:t>Figure 4.</w:t>
      </w:r>
      <w:r>
        <w:rPr>
          <w:rFonts w:ascii="Times New Roman" w:hAnsi="Times New Roman" w:cs="Times New Roman"/>
          <w:b/>
          <w:bCs/>
        </w:rPr>
        <w:t>8</w:t>
      </w:r>
      <w:r w:rsidRPr="00D46645">
        <w:rPr>
          <w:rFonts w:ascii="Times New Roman" w:hAnsi="Times New Roman" w:cs="Times New Roman"/>
          <w:b/>
          <w:bCs/>
        </w:rPr>
        <w:t>.</w:t>
      </w:r>
      <w:r w:rsidRPr="00D46645">
        <w:rPr>
          <w:rFonts w:ascii="Times New Roman" w:hAnsi="Times New Roman" w:cs="Times New Roman"/>
        </w:rPr>
        <w:t xml:space="preserve"> Co</w:t>
      </w:r>
      <w:r>
        <w:rPr>
          <w:rFonts w:ascii="Times New Roman" w:hAnsi="Times New Roman" w:cs="Times New Roman"/>
        </w:rPr>
        <w:t>lumn integrated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 xml:space="preserve"> production (nmol cm</w:t>
      </w:r>
      <w:r>
        <w:rPr>
          <w:rFonts w:ascii="Times New Roman" w:hAnsi="Times New Roman" w:cs="Times New Roman"/>
          <w:vertAlign w:val="superscript"/>
        </w:rPr>
        <w:t>-2</w:t>
      </w:r>
      <w:r>
        <w:rPr>
          <w:rFonts w:ascii="Times New Roman" w:hAnsi="Times New Roman" w:cs="Times New Roman"/>
        </w:rPr>
        <w:t xml:space="preserve"> d</w:t>
      </w:r>
      <w:r>
        <w:rPr>
          <w:rFonts w:ascii="Times New Roman" w:hAnsi="Times New Roman" w:cs="Times New Roman"/>
          <w:vertAlign w:val="superscript"/>
        </w:rPr>
        <w:t>-1</w:t>
      </w:r>
      <w:r>
        <w:rPr>
          <w:rFonts w:ascii="Times New Roman" w:hAnsi="Times New Roman" w:cs="Times New Roman"/>
        </w:rPr>
        <w:t>) predicted from the reaction-transport model (Figure 4.4A) as a function of groundwater upwelling (cm yr</w:t>
      </w:r>
      <w:r>
        <w:rPr>
          <w:rFonts w:ascii="Times New Roman" w:hAnsi="Times New Roman" w:cs="Times New Roman"/>
          <w:vertAlign w:val="superscript"/>
        </w:rPr>
        <w:t>-1</w:t>
      </w:r>
      <w:r w:rsidRPr="00D46645">
        <w:rPr>
          <w:rFonts w:ascii="Times New Roman" w:hAnsi="Times New Roman" w:cs="Times New Roman"/>
        </w:rPr>
        <w:t>)</w:t>
      </w:r>
      <w:r>
        <w:rPr>
          <w:rFonts w:ascii="Times New Roman" w:hAnsi="Times New Roman" w:cs="Times New Roman"/>
        </w:rPr>
        <w:t>.</w:t>
      </w:r>
      <w:r>
        <w:rPr>
          <w:rFonts w:ascii="Times New Roman" w:hAnsi="Times New Roman" w:cs="Times New Roman"/>
          <w:b/>
          <w:noProof/>
        </w:rPr>
        <w:drawing>
          <wp:anchor distT="0" distB="0" distL="114300" distR="114300" simplePos="0" relativeHeight="251678720" behindDoc="0" locked="0" layoutInCell="1" allowOverlap="0" wp14:anchorId="020BA1D4" wp14:editId="530A0C6C">
            <wp:simplePos x="0" y="0"/>
            <wp:positionH relativeFrom="page">
              <wp:align>center</wp:align>
            </wp:positionH>
            <wp:positionV relativeFrom="margin">
              <wp:align>top</wp:align>
            </wp:positionV>
            <wp:extent cx="2770632" cy="2212848"/>
            <wp:effectExtent l="0" t="0" r="0" b="0"/>
            <wp:wrapTopAndBottom/>
            <wp:docPr id="24" name="Picture 24" descr="A black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e7.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70632" cy="2212848"/>
                    </a:xfrm>
                    <a:prstGeom prst="rect">
                      <a:avLst/>
                    </a:prstGeom>
                  </pic:spPr>
                </pic:pic>
              </a:graphicData>
            </a:graphic>
            <wp14:sizeRelH relativeFrom="margin">
              <wp14:pctWidth>0</wp14:pctWidth>
            </wp14:sizeRelH>
            <wp14:sizeRelV relativeFrom="margin">
              <wp14:pctHeight>0</wp14:pctHeight>
            </wp14:sizeRelV>
          </wp:anchor>
        </w:drawing>
      </w:r>
      <w:r w:rsidR="00F464FC">
        <w:rPr>
          <w:rFonts w:ascii="Times New Roman" w:hAnsi="Times New Roman" w:cs="Times New Roman"/>
        </w:rPr>
        <w:t xml:space="preserve"> </w:t>
      </w:r>
      <w:r>
        <w:rPr>
          <w:rFonts w:ascii="Times New Roman" w:hAnsi="Times New Roman" w:cs="Times New Roman"/>
        </w:rPr>
        <w:t>The dashed red line corresponds to the groundwater upwelling velocity where WOR sediments at Station H become a source for SO</w:t>
      </w:r>
      <w:r>
        <w:rPr>
          <w:rFonts w:ascii="Times New Roman" w:hAnsi="Times New Roman" w:cs="Times New Roman"/>
          <w:vertAlign w:val="subscript"/>
        </w:rPr>
        <w:t>4</w:t>
      </w:r>
      <w:r>
        <w:rPr>
          <w:rFonts w:ascii="Times New Roman" w:hAnsi="Times New Roman" w:cs="Times New Roman"/>
          <w:vertAlign w:val="superscript"/>
        </w:rPr>
        <w:t>2-</w:t>
      </w:r>
      <w:r>
        <w:rPr>
          <w:rFonts w:ascii="Times New Roman" w:hAnsi="Times New Roman" w:cs="Times New Roman"/>
        </w:rPr>
        <w:t>.</w:t>
      </w:r>
    </w:p>
    <w:p w14:paraId="7D8F7FC4" w14:textId="77777777" w:rsidR="007A342F" w:rsidRDefault="007A342F">
      <w:pPr>
        <w:rPr>
          <w:rFonts w:ascii="Times New Roman" w:hAnsi="Times New Roman" w:cs="Times New Roman"/>
        </w:rPr>
      </w:pPr>
      <w:r>
        <w:rPr>
          <w:rFonts w:ascii="Times New Roman" w:hAnsi="Times New Roman" w:cs="Times New Roman"/>
        </w:rPr>
        <w:br w:type="page"/>
      </w:r>
    </w:p>
    <w:p w14:paraId="168C7FFF" w14:textId="418A9C00" w:rsidR="00365526" w:rsidRDefault="00365526" w:rsidP="00365526">
      <w:pPr>
        <w:spacing w:line="480" w:lineRule="auto"/>
        <w:rPr>
          <w:rFonts w:ascii="Times New Roman" w:hAnsi="Times New Roman" w:cs="Times New Roman"/>
          <w:b/>
        </w:rPr>
      </w:pPr>
      <w:r>
        <w:rPr>
          <w:rFonts w:ascii="Times New Roman" w:hAnsi="Times New Roman" w:cs="Times New Roman"/>
          <w:b/>
        </w:rPr>
        <w:lastRenderedPageBreak/>
        <w:br/>
      </w:r>
    </w:p>
    <w:p w14:paraId="27172085" w14:textId="77777777" w:rsidR="00365526" w:rsidRDefault="00365526" w:rsidP="00365526">
      <w:pPr>
        <w:rPr>
          <w:rFonts w:ascii="Times New Roman" w:hAnsi="Times New Roman" w:cs="Times New Roman"/>
          <w:b/>
        </w:rPr>
      </w:pPr>
    </w:p>
    <w:p w14:paraId="3D4761B6" w14:textId="77777777" w:rsidR="00365526" w:rsidRDefault="00365526" w:rsidP="00365526">
      <w:pPr>
        <w:rPr>
          <w:rFonts w:ascii="Times New Roman" w:hAnsi="Times New Roman" w:cs="Times New Roman"/>
          <w:b/>
        </w:rPr>
      </w:pPr>
    </w:p>
    <w:p w14:paraId="767C6352" w14:textId="77777777" w:rsidR="00365526" w:rsidRDefault="00365526" w:rsidP="00365526">
      <w:pPr>
        <w:rPr>
          <w:rFonts w:ascii="Times New Roman" w:hAnsi="Times New Roman" w:cs="Times New Roman"/>
          <w:b/>
        </w:rPr>
      </w:pPr>
    </w:p>
    <w:p w14:paraId="1CFB49AF" w14:textId="77777777" w:rsidR="00365526" w:rsidRDefault="00365526" w:rsidP="00365526">
      <w:pPr>
        <w:rPr>
          <w:rFonts w:ascii="Times New Roman" w:hAnsi="Times New Roman" w:cs="Times New Roman"/>
          <w:b/>
        </w:rPr>
      </w:pPr>
    </w:p>
    <w:p w14:paraId="6F469304" w14:textId="77777777" w:rsidR="00365526" w:rsidRDefault="00365526" w:rsidP="00365526">
      <w:pPr>
        <w:rPr>
          <w:rFonts w:ascii="Times New Roman" w:hAnsi="Times New Roman" w:cs="Times New Roman"/>
          <w:b/>
        </w:rPr>
      </w:pPr>
    </w:p>
    <w:p w14:paraId="0182F57F" w14:textId="77777777" w:rsidR="00365526" w:rsidRDefault="00365526" w:rsidP="00365526">
      <w:pPr>
        <w:rPr>
          <w:rFonts w:ascii="Times New Roman" w:hAnsi="Times New Roman" w:cs="Times New Roman"/>
          <w:b/>
        </w:rPr>
      </w:pPr>
    </w:p>
    <w:p w14:paraId="1810B220" w14:textId="77777777" w:rsidR="00365526" w:rsidRDefault="00365526" w:rsidP="00365526">
      <w:pPr>
        <w:rPr>
          <w:rFonts w:ascii="Times New Roman" w:hAnsi="Times New Roman" w:cs="Times New Roman"/>
          <w:b/>
        </w:rPr>
      </w:pPr>
    </w:p>
    <w:p w14:paraId="538E36D0" w14:textId="77777777" w:rsidR="00365526" w:rsidRDefault="00365526" w:rsidP="00365526">
      <w:pPr>
        <w:rPr>
          <w:rFonts w:ascii="Times New Roman" w:hAnsi="Times New Roman" w:cs="Times New Roman"/>
          <w:b/>
        </w:rPr>
      </w:pPr>
    </w:p>
    <w:p w14:paraId="11D9AFF5" w14:textId="77777777" w:rsidR="00365526" w:rsidRDefault="00365526" w:rsidP="00365526">
      <w:pPr>
        <w:rPr>
          <w:rFonts w:ascii="Times New Roman" w:hAnsi="Times New Roman" w:cs="Times New Roman"/>
          <w:b/>
        </w:rPr>
      </w:pPr>
    </w:p>
    <w:p w14:paraId="673FF277" w14:textId="77777777" w:rsidR="00365526" w:rsidRDefault="00365526" w:rsidP="00365526">
      <w:pPr>
        <w:rPr>
          <w:rFonts w:ascii="Times New Roman" w:hAnsi="Times New Roman" w:cs="Times New Roman"/>
          <w:b/>
        </w:rPr>
      </w:pPr>
    </w:p>
    <w:p w14:paraId="1B459C5E" w14:textId="77777777" w:rsidR="00365526" w:rsidRDefault="00365526" w:rsidP="00365526">
      <w:pPr>
        <w:rPr>
          <w:rFonts w:ascii="Times New Roman" w:hAnsi="Times New Roman" w:cs="Times New Roman"/>
          <w:b/>
        </w:rPr>
      </w:pPr>
    </w:p>
    <w:p w14:paraId="588C9385" w14:textId="77777777" w:rsidR="00365526" w:rsidRDefault="00365526" w:rsidP="00365526">
      <w:pPr>
        <w:rPr>
          <w:rFonts w:ascii="Times New Roman" w:hAnsi="Times New Roman" w:cs="Times New Roman"/>
          <w:b/>
        </w:rPr>
      </w:pPr>
    </w:p>
    <w:p w14:paraId="24043933" w14:textId="77777777" w:rsidR="00365526" w:rsidRDefault="00365526" w:rsidP="00365526">
      <w:pPr>
        <w:rPr>
          <w:rFonts w:ascii="Times New Roman" w:hAnsi="Times New Roman" w:cs="Times New Roman"/>
          <w:b/>
        </w:rPr>
      </w:pPr>
    </w:p>
    <w:p w14:paraId="511311DF" w14:textId="77777777" w:rsidR="00365526" w:rsidRDefault="00365526" w:rsidP="00365526">
      <w:pPr>
        <w:rPr>
          <w:rFonts w:ascii="Times New Roman" w:hAnsi="Times New Roman" w:cs="Times New Roman"/>
          <w:b/>
        </w:rPr>
      </w:pPr>
    </w:p>
    <w:p w14:paraId="63A188A1" w14:textId="77777777" w:rsidR="00365526" w:rsidRDefault="00365526" w:rsidP="00365526">
      <w:pPr>
        <w:rPr>
          <w:rFonts w:ascii="Times New Roman" w:hAnsi="Times New Roman" w:cs="Times New Roman"/>
          <w:b/>
        </w:rPr>
      </w:pPr>
    </w:p>
    <w:p w14:paraId="4703628D" w14:textId="77777777" w:rsidR="00365526" w:rsidRDefault="00365526" w:rsidP="00365526">
      <w:pPr>
        <w:rPr>
          <w:rFonts w:ascii="Times New Roman" w:hAnsi="Times New Roman" w:cs="Times New Roman"/>
          <w:b/>
        </w:rPr>
      </w:pPr>
    </w:p>
    <w:p w14:paraId="67E8A1CC" w14:textId="77777777" w:rsidR="00365526" w:rsidRDefault="00365526" w:rsidP="00365526">
      <w:pPr>
        <w:rPr>
          <w:rFonts w:ascii="Times New Roman" w:hAnsi="Times New Roman" w:cs="Times New Roman"/>
          <w:b/>
        </w:rPr>
      </w:pPr>
    </w:p>
    <w:p w14:paraId="6294027F" w14:textId="77777777" w:rsidR="00365526" w:rsidRDefault="00365526" w:rsidP="00365526">
      <w:pPr>
        <w:rPr>
          <w:rFonts w:ascii="Times New Roman" w:hAnsi="Times New Roman" w:cs="Times New Roman"/>
          <w:b/>
        </w:rPr>
      </w:pPr>
    </w:p>
    <w:p w14:paraId="6330B7D9" w14:textId="77777777" w:rsidR="00365526" w:rsidRDefault="00365526" w:rsidP="00365526">
      <w:pPr>
        <w:rPr>
          <w:rFonts w:ascii="Times New Roman" w:hAnsi="Times New Roman" w:cs="Times New Roman"/>
          <w:b/>
        </w:rPr>
      </w:pPr>
    </w:p>
    <w:p w14:paraId="5F09E762" w14:textId="77777777" w:rsidR="00365526" w:rsidRDefault="00365526" w:rsidP="00365526">
      <w:pPr>
        <w:rPr>
          <w:rFonts w:ascii="Times New Roman" w:hAnsi="Times New Roman" w:cs="Times New Roman"/>
          <w:b/>
        </w:rPr>
      </w:pPr>
    </w:p>
    <w:p w14:paraId="19FE757E" w14:textId="77777777" w:rsidR="00365526" w:rsidRDefault="00365526" w:rsidP="00365526">
      <w:pPr>
        <w:rPr>
          <w:rFonts w:ascii="Times New Roman" w:hAnsi="Times New Roman" w:cs="Times New Roman"/>
          <w:b/>
        </w:rPr>
      </w:pPr>
    </w:p>
    <w:p w14:paraId="0599C287" w14:textId="77777777" w:rsidR="005061E0" w:rsidRDefault="005061E0">
      <w:pPr>
        <w:rPr>
          <w:rFonts w:ascii="Times New Roman" w:hAnsi="Times New Roman" w:cs="Times New Roman"/>
          <w:b/>
          <w:bCs/>
          <w:caps/>
          <w:color w:val="131313"/>
          <w:spacing w:val="-7"/>
          <w:sz w:val="28"/>
        </w:rPr>
      </w:pPr>
      <w:bookmarkStart w:id="282" w:name="_Toc420995910"/>
      <w:bookmarkStart w:id="283" w:name="_Toc422997497"/>
      <w:bookmarkEnd w:id="250"/>
      <w:bookmarkEnd w:id="251"/>
      <w:bookmarkEnd w:id="252"/>
      <w:r>
        <w:br w:type="page"/>
      </w:r>
    </w:p>
    <w:p w14:paraId="1F4A4A21" w14:textId="30DF67B1" w:rsidR="00365526" w:rsidRPr="00F23F20" w:rsidRDefault="00365526" w:rsidP="00AC32FD">
      <w:pPr>
        <w:pStyle w:val="Heading1"/>
        <w:numPr>
          <w:ilvl w:val="0"/>
          <w:numId w:val="0"/>
        </w:numPr>
      </w:pPr>
      <w:bookmarkStart w:id="284" w:name="_Toc41908154"/>
      <w:r w:rsidRPr="00933CB0">
        <w:lastRenderedPageBreak/>
        <w:t>Conclusion</w:t>
      </w:r>
      <w:bookmarkEnd w:id="284"/>
    </w:p>
    <w:bookmarkEnd w:id="282"/>
    <w:bookmarkEnd w:id="283"/>
    <w:p w14:paraId="68882381" w14:textId="77777777" w:rsidR="00EF3F20" w:rsidRDefault="0011519A"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ab/>
      </w:r>
      <w:r w:rsidRPr="0011519A">
        <w:rPr>
          <w:rFonts w:ascii="Times New Roman" w:hAnsi="Times New Roman" w:cs="Times New Roman"/>
        </w:rPr>
        <w:t>Here</w:t>
      </w:r>
      <w:r>
        <w:rPr>
          <w:rFonts w:ascii="Times New Roman" w:hAnsi="Times New Roman" w:cs="Times New Roman"/>
        </w:rPr>
        <w:t xml:space="preserve">, theoretical and quantitative approaches were </w:t>
      </w:r>
      <w:r w:rsidR="00921E7E">
        <w:rPr>
          <w:rFonts w:ascii="Times New Roman" w:hAnsi="Times New Roman" w:cs="Times New Roman"/>
        </w:rPr>
        <w:t>explored</w:t>
      </w:r>
      <w:r>
        <w:rPr>
          <w:rFonts w:ascii="Times New Roman" w:hAnsi="Times New Roman" w:cs="Times New Roman"/>
        </w:rPr>
        <w:t xml:space="preserve"> </w:t>
      </w:r>
      <w:r w:rsidR="00921E7E">
        <w:rPr>
          <w:rFonts w:ascii="Times New Roman" w:hAnsi="Times New Roman" w:cs="Times New Roman"/>
        </w:rPr>
        <w:t xml:space="preserve">for </w:t>
      </w:r>
      <w:r>
        <w:rPr>
          <w:rFonts w:ascii="Times New Roman" w:hAnsi="Times New Roman" w:cs="Times New Roman"/>
        </w:rPr>
        <w:t>characterizing microbial metaboli</w:t>
      </w:r>
      <w:r w:rsidR="00921E7E">
        <w:rPr>
          <w:rFonts w:ascii="Times New Roman" w:hAnsi="Times New Roman" w:cs="Times New Roman"/>
        </w:rPr>
        <w:t>sm</w:t>
      </w:r>
      <w:r>
        <w:rPr>
          <w:rFonts w:ascii="Times New Roman" w:hAnsi="Times New Roman" w:cs="Times New Roman"/>
        </w:rPr>
        <w:t xml:space="preserve"> diversity</w:t>
      </w:r>
      <w:r w:rsidR="0068392C">
        <w:rPr>
          <w:rFonts w:ascii="Times New Roman" w:hAnsi="Times New Roman" w:cs="Times New Roman"/>
        </w:rPr>
        <w:t xml:space="preserve"> from several different perspectives. First, microbial metabolism diversity was evaluated with respect to phylogenetics, or evolutionary relatedness</w:t>
      </w:r>
      <w:r w:rsidR="005E5F2D">
        <w:rPr>
          <w:rFonts w:ascii="Times New Roman" w:hAnsi="Times New Roman" w:cs="Times New Roman"/>
        </w:rPr>
        <w:t>,</w:t>
      </w:r>
      <w:r w:rsidR="0068392C">
        <w:rPr>
          <w:rFonts w:ascii="Times New Roman" w:hAnsi="Times New Roman" w:cs="Times New Roman"/>
        </w:rPr>
        <w:t xml:space="preserve"> </w:t>
      </w:r>
      <w:r w:rsidR="005E5F2D">
        <w:rPr>
          <w:rFonts w:ascii="Times New Roman" w:hAnsi="Times New Roman" w:cs="Times New Roman"/>
        </w:rPr>
        <w:t>for</w:t>
      </w:r>
      <w:r w:rsidR="0068392C">
        <w:rPr>
          <w:rFonts w:ascii="Times New Roman" w:hAnsi="Times New Roman" w:cs="Times New Roman"/>
        </w:rPr>
        <w:t xml:space="preserve"> lineages</w:t>
      </w:r>
      <w:r w:rsidR="00CA1A07">
        <w:rPr>
          <w:rFonts w:ascii="Times New Roman" w:hAnsi="Times New Roman" w:cs="Times New Roman"/>
        </w:rPr>
        <w:t xml:space="preserve"> across the </w:t>
      </w:r>
      <w:r w:rsidR="005E5F2D">
        <w:rPr>
          <w:rFonts w:ascii="Times New Roman" w:hAnsi="Times New Roman" w:cs="Times New Roman"/>
        </w:rPr>
        <w:t xml:space="preserve">microbial </w:t>
      </w:r>
      <w:r w:rsidR="00CA1A07">
        <w:rPr>
          <w:rFonts w:ascii="Times New Roman" w:hAnsi="Times New Roman" w:cs="Times New Roman"/>
        </w:rPr>
        <w:t>tree of life</w:t>
      </w:r>
      <w:r w:rsidR="0068392C">
        <w:rPr>
          <w:rFonts w:ascii="Times New Roman" w:hAnsi="Times New Roman" w:cs="Times New Roman"/>
        </w:rPr>
        <w:t xml:space="preserve">. Metabolic coherence was </w:t>
      </w:r>
      <w:r w:rsidR="005E5F2D">
        <w:rPr>
          <w:rFonts w:ascii="Times New Roman" w:hAnsi="Times New Roman" w:cs="Times New Roman"/>
        </w:rPr>
        <w:t xml:space="preserve">observed </w:t>
      </w:r>
      <w:r w:rsidR="0068392C">
        <w:rPr>
          <w:rFonts w:ascii="Times New Roman" w:hAnsi="Times New Roman" w:cs="Times New Roman"/>
        </w:rPr>
        <w:t xml:space="preserve">in taxonomic ranks </w:t>
      </w:r>
      <w:r w:rsidR="00A713A4">
        <w:rPr>
          <w:rFonts w:ascii="Times New Roman" w:hAnsi="Times New Roman" w:cs="Times New Roman"/>
        </w:rPr>
        <w:t xml:space="preserve">spanning </w:t>
      </w:r>
      <w:r w:rsidR="0068392C">
        <w:rPr>
          <w:rFonts w:ascii="Times New Roman" w:hAnsi="Times New Roman" w:cs="Times New Roman"/>
        </w:rPr>
        <w:t>phylum to genus when annotating traits with cluster of orthologous groups.</w:t>
      </w:r>
      <w:r w:rsidR="00A713A4">
        <w:rPr>
          <w:rFonts w:ascii="Times New Roman" w:hAnsi="Times New Roman" w:cs="Times New Roman"/>
        </w:rPr>
        <w:t xml:space="preserve"> </w:t>
      </w:r>
      <w:r w:rsidR="0004492D">
        <w:rPr>
          <w:rFonts w:ascii="Times New Roman" w:hAnsi="Times New Roman" w:cs="Times New Roman"/>
        </w:rPr>
        <w:t xml:space="preserve">Higher </w:t>
      </w:r>
      <w:r w:rsidR="00A713A4">
        <w:rPr>
          <w:rFonts w:ascii="Times New Roman" w:hAnsi="Times New Roman" w:cs="Times New Roman"/>
        </w:rPr>
        <w:t>taxo</w:t>
      </w:r>
      <w:r w:rsidR="00A713A4" w:rsidRPr="0004492D">
        <w:rPr>
          <w:rFonts w:ascii="Times New Roman" w:hAnsi="Times New Roman" w:cs="Times New Roman"/>
        </w:rPr>
        <w:t>nomic rank</w:t>
      </w:r>
      <w:r w:rsidR="0004492D" w:rsidRPr="0004492D">
        <w:rPr>
          <w:rFonts w:ascii="Times New Roman" w:hAnsi="Times New Roman" w:cs="Times New Roman"/>
        </w:rPr>
        <w:t>s (phylum, class, order)</w:t>
      </w:r>
      <w:r w:rsidR="00A713A4" w:rsidRPr="0004492D">
        <w:rPr>
          <w:rFonts w:ascii="Times New Roman" w:hAnsi="Times New Roman" w:cs="Times New Roman"/>
        </w:rPr>
        <w:t xml:space="preserve"> had the greatest explanatory power </w:t>
      </w:r>
      <w:r w:rsidR="0004492D" w:rsidRPr="0004492D">
        <w:rPr>
          <w:rFonts w:ascii="Times New Roman" w:hAnsi="Times New Roman" w:cs="Times New Roman"/>
        </w:rPr>
        <w:t>towards</w:t>
      </w:r>
      <w:r w:rsidR="00A713A4" w:rsidRPr="0004492D">
        <w:rPr>
          <w:rFonts w:ascii="Times New Roman" w:hAnsi="Times New Roman" w:cs="Times New Roman"/>
        </w:rPr>
        <w:t xml:space="preserve"> explaining metabolic potential</w:t>
      </w:r>
      <w:r w:rsidR="0004492D" w:rsidRPr="0004492D">
        <w:rPr>
          <w:rFonts w:ascii="Times New Roman" w:hAnsi="Times New Roman" w:cs="Times New Roman"/>
        </w:rPr>
        <w:t xml:space="preserve"> and suggests broad-scale patterns</w:t>
      </w:r>
      <w:r w:rsidR="00A713A4" w:rsidRPr="0004492D">
        <w:rPr>
          <w:rFonts w:ascii="Times New Roman" w:hAnsi="Times New Roman" w:cs="Times New Roman"/>
        </w:rPr>
        <w:t xml:space="preserve"> </w:t>
      </w:r>
      <w:r w:rsidR="0004492D">
        <w:rPr>
          <w:rFonts w:ascii="Times New Roman" w:hAnsi="Times New Roman" w:cs="Times New Roman"/>
        </w:rPr>
        <w:t xml:space="preserve">may exist for </w:t>
      </w:r>
      <w:r w:rsidR="0004492D" w:rsidRPr="0004492D">
        <w:rPr>
          <w:rFonts w:ascii="Times New Roman" w:hAnsi="Times New Roman" w:cs="Times New Roman"/>
        </w:rPr>
        <w:t>specific</w:t>
      </w:r>
      <w:r w:rsidR="0004492D">
        <w:rPr>
          <w:rFonts w:ascii="Times New Roman" w:hAnsi="Times New Roman" w:cs="Times New Roman"/>
        </w:rPr>
        <w:t xml:space="preserve"> </w:t>
      </w:r>
      <w:r w:rsidR="0004492D" w:rsidRPr="0004492D">
        <w:rPr>
          <w:rFonts w:ascii="Times New Roman" w:hAnsi="Times New Roman" w:cs="Times New Roman"/>
        </w:rPr>
        <w:t>lineages occupying ecological niches.</w:t>
      </w:r>
      <w:r w:rsidR="0004492D">
        <w:rPr>
          <w:rFonts w:ascii="Times New Roman" w:hAnsi="Times New Roman" w:cs="Times New Roman"/>
        </w:rPr>
        <w:t xml:space="preserve"> </w:t>
      </w:r>
      <w:r w:rsidR="005E5F2D">
        <w:rPr>
          <w:rFonts w:ascii="Times New Roman" w:hAnsi="Times New Roman" w:cs="Times New Roman"/>
        </w:rPr>
        <w:t xml:space="preserve">Second, a theoretical framework </w:t>
      </w:r>
      <w:r w:rsidR="00D91E55">
        <w:rPr>
          <w:rFonts w:ascii="Times New Roman" w:hAnsi="Times New Roman" w:cs="Times New Roman"/>
        </w:rPr>
        <w:t xml:space="preserve">was proposed </w:t>
      </w:r>
      <w:r w:rsidR="005E5F2D">
        <w:rPr>
          <w:rFonts w:ascii="Times New Roman" w:hAnsi="Times New Roman" w:cs="Times New Roman"/>
        </w:rPr>
        <w:t>for prescribing</w:t>
      </w:r>
      <w:r w:rsidR="000C4695">
        <w:rPr>
          <w:rFonts w:ascii="Times New Roman" w:hAnsi="Times New Roman" w:cs="Times New Roman"/>
        </w:rPr>
        <w:t xml:space="preserve"> a</w:t>
      </w:r>
      <w:r w:rsidR="005E5F2D">
        <w:rPr>
          <w:rFonts w:ascii="Times New Roman" w:hAnsi="Times New Roman" w:cs="Times New Roman"/>
        </w:rPr>
        <w:t xml:space="preserve"> sequencing effort </w:t>
      </w:r>
      <w:r w:rsidR="00D91E55">
        <w:rPr>
          <w:rFonts w:ascii="Times New Roman" w:hAnsi="Times New Roman" w:cs="Times New Roman"/>
        </w:rPr>
        <w:t xml:space="preserve">in </w:t>
      </w:r>
      <w:r w:rsidR="005E5F2D">
        <w:rPr>
          <w:rFonts w:ascii="Times New Roman" w:hAnsi="Times New Roman" w:cs="Times New Roman"/>
        </w:rPr>
        <w:t xml:space="preserve">shotgun metagenomic sequencing experiments. The theoretical model linked </w:t>
      </w:r>
      <w:r w:rsidR="00D91E55">
        <w:rPr>
          <w:rFonts w:ascii="Times New Roman" w:hAnsi="Times New Roman" w:cs="Times New Roman"/>
        </w:rPr>
        <w:t xml:space="preserve">genome </w:t>
      </w:r>
      <w:r w:rsidR="005E5F2D">
        <w:rPr>
          <w:rFonts w:ascii="Times New Roman" w:hAnsi="Times New Roman" w:cs="Times New Roman"/>
        </w:rPr>
        <w:t>rareness</w:t>
      </w:r>
      <w:r w:rsidR="00D91E55">
        <w:rPr>
          <w:rFonts w:ascii="Times New Roman" w:hAnsi="Times New Roman" w:cs="Times New Roman"/>
        </w:rPr>
        <w:t xml:space="preserve"> to an expected </w:t>
      </w:r>
      <w:r w:rsidR="000C4695">
        <w:rPr>
          <w:rFonts w:ascii="Times New Roman" w:hAnsi="Times New Roman" w:cs="Times New Roman"/>
        </w:rPr>
        <w:t xml:space="preserve">short read </w:t>
      </w:r>
      <w:r w:rsidR="00D91E55">
        <w:rPr>
          <w:rFonts w:ascii="Times New Roman" w:hAnsi="Times New Roman" w:cs="Times New Roman"/>
        </w:rPr>
        <w:t xml:space="preserve">sequencing effort necessary to meet a </w:t>
      </w:r>
      <w:r w:rsidR="000C4695">
        <w:rPr>
          <w:rFonts w:ascii="Times New Roman" w:hAnsi="Times New Roman" w:cs="Times New Roman"/>
        </w:rPr>
        <w:t xml:space="preserve">genome </w:t>
      </w:r>
      <w:r w:rsidR="00D91E55">
        <w:rPr>
          <w:rFonts w:ascii="Times New Roman" w:hAnsi="Times New Roman" w:cs="Times New Roman"/>
        </w:rPr>
        <w:t xml:space="preserve">coverage criterion defined by </w:t>
      </w:r>
      <w:r w:rsidR="000C4695">
        <w:rPr>
          <w:rFonts w:ascii="Times New Roman" w:hAnsi="Times New Roman" w:cs="Times New Roman"/>
        </w:rPr>
        <w:t xml:space="preserve">an </w:t>
      </w:r>
      <w:r w:rsidR="00D91E55">
        <w:rPr>
          <w:rFonts w:ascii="Times New Roman" w:hAnsi="Times New Roman" w:cs="Times New Roman"/>
        </w:rPr>
        <w:t>investigator.</w:t>
      </w:r>
      <w:r w:rsidR="000C4695">
        <w:rPr>
          <w:rFonts w:ascii="Times New Roman" w:hAnsi="Times New Roman" w:cs="Times New Roman"/>
        </w:rPr>
        <w:t xml:space="preserve"> The proposed model should aid investigators in </w:t>
      </w:r>
      <w:r w:rsidR="00E923ED">
        <w:rPr>
          <w:rFonts w:ascii="Times New Roman" w:hAnsi="Times New Roman" w:cs="Times New Roman"/>
        </w:rPr>
        <w:t>characterizing</w:t>
      </w:r>
      <w:r w:rsidR="000C4695">
        <w:rPr>
          <w:rFonts w:ascii="Times New Roman" w:hAnsi="Times New Roman" w:cs="Times New Roman"/>
        </w:rPr>
        <w:t xml:space="preserve"> traits</w:t>
      </w:r>
      <w:r w:rsidR="00E923ED">
        <w:rPr>
          <w:rFonts w:ascii="Times New Roman" w:hAnsi="Times New Roman" w:cs="Times New Roman"/>
        </w:rPr>
        <w:t xml:space="preserve"> associated with rare community members</w:t>
      </w:r>
      <w:r w:rsidR="000C4695">
        <w:rPr>
          <w:rFonts w:ascii="Times New Roman" w:hAnsi="Times New Roman" w:cs="Times New Roman"/>
        </w:rPr>
        <w:t xml:space="preserve">. Third, </w:t>
      </w:r>
      <w:r w:rsidR="00FF6DC6" w:rsidRPr="00FF6DC6">
        <w:rPr>
          <w:rFonts w:ascii="Times New Roman" w:hAnsi="Times New Roman" w:cs="Times New Roman"/>
        </w:rPr>
        <w:t xml:space="preserve">there remains no universal method </w:t>
      </w:r>
      <w:r w:rsidR="00FF6DC6">
        <w:rPr>
          <w:rFonts w:ascii="Times New Roman" w:hAnsi="Times New Roman" w:cs="Times New Roman"/>
        </w:rPr>
        <w:t>for</w:t>
      </w:r>
      <w:r w:rsidR="00FF6DC6" w:rsidRPr="00FF6DC6">
        <w:rPr>
          <w:rFonts w:ascii="Times New Roman" w:hAnsi="Times New Roman" w:cs="Times New Roman"/>
        </w:rPr>
        <w:t xml:space="preserve"> quantify</w:t>
      </w:r>
      <w:r w:rsidR="00FF6DC6">
        <w:rPr>
          <w:rFonts w:ascii="Times New Roman" w:hAnsi="Times New Roman" w:cs="Times New Roman"/>
        </w:rPr>
        <w:t>ing</w:t>
      </w:r>
      <w:r w:rsidR="00FF6DC6" w:rsidRPr="00FF6DC6">
        <w:rPr>
          <w:rFonts w:ascii="Times New Roman" w:hAnsi="Times New Roman" w:cs="Times New Roman"/>
        </w:rPr>
        <w:t xml:space="preserve"> functional redundancy</w:t>
      </w:r>
      <w:r w:rsidR="00FF6DC6">
        <w:rPr>
          <w:rFonts w:ascii="Times New Roman" w:hAnsi="Times New Roman" w:cs="Times New Roman"/>
        </w:rPr>
        <w:t>. A</w:t>
      </w:r>
      <w:r w:rsidR="000C4695">
        <w:rPr>
          <w:rFonts w:ascii="Times New Roman" w:hAnsi="Times New Roman" w:cs="Times New Roman"/>
        </w:rPr>
        <w:t xml:space="preserve"> theoretical framework was proposed for measuring trait functional redundancy</w:t>
      </w:r>
      <w:r w:rsidR="00E923ED">
        <w:rPr>
          <w:rFonts w:ascii="Times New Roman" w:hAnsi="Times New Roman" w:cs="Times New Roman"/>
        </w:rPr>
        <w:t xml:space="preserve"> within microbial communities.</w:t>
      </w:r>
      <w:r w:rsidR="00FF6DC6">
        <w:rPr>
          <w:rFonts w:ascii="Times New Roman" w:hAnsi="Times New Roman" w:cs="Times New Roman"/>
        </w:rPr>
        <w:t xml:space="preserve"> The </w:t>
      </w:r>
      <w:r w:rsidR="00082619">
        <w:rPr>
          <w:rFonts w:ascii="Times New Roman" w:hAnsi="Times New Roman" w:cs="Times New Roman"/>
        </w:rPr>
        <w:t xml:space="preserve">functional redundancy </w:t>
      </w:r>
      <w:r w:rsidR="00FF6DC6">
        <w:rPr>
          <w:rFonts w:ascii="Times New Roman" w:hAnsi="Times New Roman" w:cs="Times New Roman"/>
        </w:rPr>
        <w:t>metric for functional redundancy was modeled after traditional diversity theory</w:t>
      </w:r>
      <w:r w:rsidR="00082619">
        <w:rPr>
          <w:rFonts w:ascii="Times New Roman" w:hAnsi="Times New Roman" w:cs="Times New Roman"/>
        </w:rPr>
        <w:t xml:space="preserve"> and was canonically referred to as trait contribution evenness</w:t>
      </w:r>
      <w:r w:rsidR="00FF6DC6">
        <w:rPr>
          <w:rFonts w:ascii="Times New Roman" w:hAnsi="Times New Roman" w:cs="Times New Roman"/>
        </w:rPr>
        <w:t xml:space="preserve">. </w:t>
      </w:r>
      <w:r w:rsidR="00680744">
        <w:rPr>
          <w:rFonts w:ascii="Times New Roman" w:hAnsi="Times New Roman" w:cs="Times New Roman"/>
        </w:rPr>
        <w:t>T</w:t>
      </w:r>
      <w:r w:rsidR="00FF6DC6">
        <w:rPr>
          <w:rFonts w:ascii="Times New Roman" w:hAnsi="Times New Roman" w:cs="Times New Roman"/>
        </w:rPr>
        <w:t xml:space="preserve">he ecological </w:t>
      </w:r>
      <w:r w:rsidR="00680744">
        <w:rPr>
          <w:rFonts w:ascii="Times New Roman" w:hAnsi="Times New Roman" w:cs="Times New Roman"/>
        </w:rPr>
        <w:t xml:space="preserve">significance </w:t>
      </w:r>
      <w:r w:rsidR="00FF6DC6">
        <w:rPr>
          <w:rFonts w:ascii="Times New Roman" w:hAnsi="Times New Roman" w:cs="Times New Roman"/>
        </w:rPr>
        <w:t>of functional redundancy in microbial communities is still under investigation</w:t>
      </w:r>
      <w:r w:rsidR="00680744">
        <w:rPr>
          <w:rFonts w:ascii="Times New Roman" w:hAnsi="Times New Roman" w:cs="Times New Roman"/>
        </w:rPr>
        <w:t xml:space="preserve"> by the microbiology community. Nonetheless,</w:t>
      </w:r>
      <w:r w:rsidR="00FF6DC6">
        <w:rPr>
          <w:rFonts w:ascii="Times New Roman" w:hAnsi="Times New Roman" w:cs="Times New Roman"/>
        </w:rPr>
        <w:t xml:space="preserve"> </w:t>
      </w:r>
      <w:r w:rsidR="00082619">
        <w:rPr>
          <w:rFonts w:ascii="Times New Roman" w:hAnsi="Times New Roman" w:cs="Times New Roman"/>
        </w:rPr>
        <w:t xml:space="preserve">trait contribution evenness </w:t>
      </w:r>
      <w:r w:rsidR="00FF6DC6">
        <w:rPr>
          <w:rFonts w:ascii="Times New Roman" w:hAnsi="Times New Roman" w:cs="Times New Roman"/>
        </w:rPr>
        <w:t>allow</w:t>
      </w:r>
      <w:r w:rsidR="00082619">
        <w:rPr>
          <w:rFonts w:ascii="Times New Roman" w:hAnsi="Times New Roman" w:cs="Times New Roman"/>
        </w:rPr>
        <w:t>ed</w:t>
      </w:r>
      <w:r w:rsidR="00FF6DC6">
        <w:rPr>
          <w:rFonts w:ascii="Times New Roman" w:hAnsi="Times New Roman" w:cs="Times New Roman"/>
        </w:rPr>
        <w:t xml:space="preserve"> for comparisons of how evenly ecosystem function, or traits, </w:t>
      </w:r>
      <w:r w:rsidR="00E54F4E">
        <w:rPr>
          <w:rFonts w:ascii="Times New Roman" w:hAnsi="Times New Roman" w:cs="Times New Roman"/>
        </w:rPr>
        <w:t xml:space="preserve">are </w:t>
      </w:r>
      <w:r w:rsidR="00FF6DC6">
        <w:rPr>
          <w:rFonts w:ascii="Times New Roman" w:hAnsi="Times New Roman" w:cs="Times New Roman"/>
        </w:rPr>
        <w:t xml:space="preserve">distributed </w:t>
      </w:r>
      <w:r w:rsidR="00082619">
        <w:rPr>
          <w:rFonts w:ascii="Times New Roman" w:hAnsi="Times New Roman" w:cs="Times New Roman"/>
        </w:rPr>
        <w:t xml:space="preserve">among community members for </w:t>
      </w:r>
      <w:r w:rsidR="00FF6DC6">
        <w:rPr>
          <w:rFonts w:ascii="Times New Roman" w:hAnsi="Times New Roman" w:cs="Times New Roman"/>
        </w:rPr>
        <w:t>different communities</w:t>
      </w:r>
      <w:r w:rsidR="00082619">
        <w:rPr>
          <w:rFonts w:ascii="Times New Roman" w:hAnsi="Times New Roman" w:cs="Times New Roman"/>
        </w:rPr>
        <w:t xml:space="preserve"> and</w:t>
      </w:r>
      <w:r w:rsidR="00680744">
        <w:rPr>
          <w:rFonts w:ascii="Times New Roman" w:hAnsi="Times New Roman" w:cs="Times New Roman"/>
        </w:rPr>
        <w:t xml:space="preserve"> should aid</w:t>
      </w:r>
      <w:r w:rsidR="00E54F4E">
        <w:rPr>
          <w:rFonts w:ascii="Times New Roman" w:hAnsi="Times New Roman" w:cs="Times New Roman"/>
        </w:rPr>
        <w:t xml:space="preserve"> in</w:t>
      </w:r>
      <w:r w:rsidR="00680744">
        <w:rPr>
          <w:rFonts w:ascii="Times New Roman" w:hAnsi="Times New Roman" w:cs="Times New Roman"/>
        </w:rPr>
        <w:t xml:space="preserve"> elucidating the </w:t>
      </w:r>
      <w:r w:rsidR="00680744">
        <w:rPr>
          <w:rFonts w:ascii="Times New Roman" w:hAnsi="Times New Roman" w:cs="Times New Roman"/>
        </w:rPr>
        <w:lastRenderedPageBreak/>
        <w:t>role of functional redundancy</w:t>
      </w:r>
      <w:r w:rsidR="00082619">
        <w:rPr>
          <w:rFonts w:ascii="Times New Roman" w:hAnsi="Times New Roman" w:cs="Times New Roman"/>
        </w:rPr>
        <w:t xml:space="preserve"> </w:t>
      </w:r>
      <w:r w:rsidR="00E54F4E">
        <w:rPr>
          <w:rFonts w:ascii="Times New Roman" w:hAnsi="Times New Roman" w:cs="Times New Roman"/>
        </w:rPr>
        <w:t>with</w:t>
      </w:r>
      <w:r w:rsidR="00082619">
        <w:rPr>
          <w:rFonts w:ascii="Times New Roman" w:hAnsi="Times New Roman" w:cs="Times New Roman"/>
        </w:rPr>
        <w:t xml:space="preserve">in microbial </w:t>
      </w:r>
      <w:r w:rsidR="00E54F4E">
        <w:rPr>
          <w:rFonts w:ascii="Times New Roman" w:hAnsi="Times New Roman" w:cs="Times New Roman"/>
        </w:rPr>
        <w:t>communities</w:t>
      </w:r>
      <w:r w:rsidR="00FF6DC6">
        <w:rPr>
          <w:rFonts w:ascii="Times New Roman" w:hAnsi="Times New Roman" w:cs="Times New Roman"/>
        </w:rPr>
        <w:t>. Last</w:t>
      </w:r>
      <w:r w:rsidR="00680744">
        <w:rPr>
          <w:rFonts w:ascii="Times New Roman" w:hAnsi="Times New Roman" w:cs="Times New Roman"/>
        </w:rPr>
        <w:t>ly</w:t>
      </w:r>
      <w:r w:rsidR="00FF6DC6">
        <w:rPr>
          <w:rFonts w:ascii="Times New Roman" w:hAnsi="Times New Roman" w:cs="Times New Roman"/>
        </w:rPr>
        <w:t>,</w:t>
      </w:r>
      <w:r w:rsidR="00680744">
        <w:rPr>
          <w:rFonts w:ascii="Times New Roman" w:hAnsi="Times New Roman" w:cs="Times New Roman"/>
        </w:rPr>
        <w:t xml:space="preserve"> organic geochemistry was measured in an estuary sediment core</w:t>
      </w:r>
      <w:r w:rsidR="00082619">
        <w:rPr>
          <w:rFonts w:ascii="Times New Roman" w:hAnsi="Times New Roman" w:cs="Times New Roman"/>
        </w:rPr>
        <w:t xml:space="preserve"> </w:t>
      </w:r>
      <w:r w:rsidR="00542905">
        <w:rPr>
          <w:rFonts w:ascii="Times New Roman" w:hAnsi="Times New Roman" w:cs="Times New Roman"/>
        </w:rPr>
        <w:t>that</w:t>
      </w:r>
      <w:r w:rsidR="00082619">
        <w:rPr>
          <w:rFonts w:ascii="Times New Roman" w:hAnsi="Times New Roman" w:cs="Times New Roman"/>
        </w:rPr>
        <w:t xml:space="preserve"> cover</w:t>
      </w:r>
      <w:r w:rsidR="00542905">
        <w:rPr>
          <w:rFonts w:ascii="Times New Roman" w:hAnsi="Times New Roman" w:cs="Times New Roman"/>
        </w:rPr>
        <w:t>ed</w:t>
      </w:r>
      <w:r w:rsidR="00082619">
        <w:rPr>
          <w:rFonts w:ascii="Times New Roman" w:hAnsi="Times New Roman" w:cs="Times New Roman"/>
        </w:rPr>
        <w:t xml:space="preserve"> three redox conditions: </w:t>
      </w:r>
      <w:proofErr w:type="spellStart"/>
      <w:r w:rsidR="00082619">
        <w:rPr>
          <w:rFonts w:ascii="Times New Roman" w:hAnsi="Times New Roman" w:cs="Times New Roman"/>
        </w:rPr>
        <w:t>oxic</w:t>
      </w:r>
      <w:proofErr w:type="spellEnd"/>
      <w:r w:rsidR="00542905">
        <w:rPr>
          <w:rFonts w:ascii="Times New Roman" w:hAnsi="Times New Roman" w:cs="Times New Roman"/>
        </w:rPr>
        <w:t xml:space="preserve"> (and sub-</w:t>
      </w:r>
      <w:proofErr w:type="spellStart"/>
      <w:r w:rsidR="00542905">
        <w:rPr>
          <w:rFonts w:ascii="Times New Roman" w:hAnsi="Times New Roman" w:cs="Times New Roman"/>
        </w:rPr>
        <w:t>oxic</w:t>
      </w:r>
      <w:proofErr w:type="spellEnd"/>
      <w:r w:rsidR="00542905">
        <w:rPr>
          <w:rFonts w:ascii="Times New Roman" w:hAnsi="Times New Roman" w:cs="Times New Roman"/>
        </w:rPr>
        <w:t>)</w:t>
      </w:r>
      <w:r w:rsidR="00082619">
        <w:rPr>
          <w:rFonts w:ascii="Times New Roman" w:hAnsi="Times New Roman" w:cs="Times New Roman"/>
        </w:rPr>
        <w:t>, SO</w:t>
      </w:r>
      <w:r w:rsidR="00082619" w:rsidRPr="00082619">
        <w:rPr>
          <w:rFonts w:ascii="Times New Roman" w:hAnsi="Times New Roman" w:cs="Times New Roman"/>
          <w:vertAlign w:val="subscript"/>
        </w:rPr>
        <w:t>4</w:t>
      </w:r>
      <w:r w:rsidR="00082619">
        <w:rPr>
          <w:rFonts w:ascii="Times New Roman" w:hAnsi="Times New Roman" w:cs="Times New Roman"/>
          <w:vertAlign w:val="superscript"/>
        </w:rPr>
        <w:t>2-</w:t>
      </w:r>
      <w:r w:rsidR="00082619">
        <w:rPr>
          <w:rFonts w:ascii="Times New Roman" w:hAnsi="Times New Roman" w:cs="Times New Roman"/>
        </w:rPr>
        <w:t xml:space="preserve"> rich (anoxic), and CH</w:t>
      </w:r>
      <w:r w:rsidR="00082619">
        <w:rPr>
          <w:rFonts w:ascii="Times New Roman" w:hAnsi="Times New Roman" w:cs="Times New Roman"/>
          <w:vertAlign w:val="subscript"/>
        </w:rPr>
        <w:t>4</w:t>
      </w:r>
      <w:r w:rsidR="00082619">
        <w:rPr>
          <w:rFonts w:ascii="Times New Roman" w:hAnsi="Times New Roman" w:cs="Times New Roman"/>
          <w:vertAlign w:val="superscript"/>
        </w:rPr>
        <w:t xml:space="preserve"> </w:t>
      </w:r>
      <w:r w:rsidR="00082619">
        <w:rPr>
          <w:rFonts w:ascii="Times New Roman" w:hAnsi="Times New Roman" w:cs="Times New Roman"/>
        </w:rPr>
        <w:t>rich (anoxic).</w:t>
      </w:r>
      <w:r w:rsidR="00542905">
        <w:rPr>
          <w:rFonts w:ascii="Times New Roman" w:hAnsi="Times New Roman" w:cs="Times New Roman"/>
        </w:rPr>
        <w:t xml:space="preserve"> Carbon and sulfur budgets were modeled from organic geochemistry and were subsequently related to microbial metabolisms known to exist in sediment environments. This work strived to establish the temporal stability in organic geochemistry as preliminary analysis for </w:t>
      </w:r>
      <w:r w:rsidR="00E54F4E">
        <w:rPr>
          <w:rFonts w:ascii="Times New Roman" w:hAnsi="Times New Roman" w:cs="Times New Roman"/>
        </w:rPr>
        <w:t>niche modeling</w:t>
      </w:r>
      <w:r w:rsidR="00542905">
        <w:rPr>
          <w:rFonts w:ascii="Times New Roman" w:hAnsi="Times New Roman" w:cs="Times New Roman"/>
        </w:rPr>
        <w:t>.</w:t>
      </w:r>
      <w:r w:rsidR="00E54F4E">
        <w:rPr>
          <w:rFonts w:ascii="Times New Roman" w:hAnsi="Times New Roman" w:cs="Times New Roman"/>
        </w:rPr>
        <w:t xml:space="preserve"> </w:t>
      </w:r>
    </w:p>
    <w:p w14:paraId="7CF7FDEA" w14:textId="3C41BE67" w:rsidR="00FF6DC6" w:rsidRDefault="00EF3F20" w:rsidP="00074A3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ab/>
      </w:r>
      <w:r w:rsidR="00074A34" w:rsidRPr="00074A34">
        <w:rPr>
          <w:rFonts w:ascii="Times New Roman" w:hAnsi="Times New Roman" w:cs="Times New Roman"/>
        </w:rPr>
        <w:t xml:space="preserve">As it currently stands, microbial diversity appears bounded only by the limits of thermodynamics. Nonetheless, the goal from compilation of works presented here was to provide investigators quantitative and theoretical constraints which assist in characterizing microbial metabolisms. </w:t>
      </w:r>
      <w:r w:rsidR="00FF6DC6">
        <w:rPr>
          <w:rFonts w:ascii="Times New Roman" w:hAnsi="Times New Roman" w:cs="Times New Roman"/>
        </w:rPr>
        <w:br w:type="page"/>
      </w:r>
    </w:p>
    <w:p w14:paraId="0178D197" w14:textId="77777777" w:rsidR="00365526" w:rsidRPr="0011519A"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2ECDB3F9"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p>
    <w:p w14:paraId="247E260F"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p>
    <w:p w14:paraId="1686E352"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p>
    <w:p w14:paraId="4FCB7A69"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p>
    <w:p w14:paraId="4C23DBC5"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p>
    <w:p w14:paraId="16B2F54D"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p>
    <w:p w14:paraId="6A79518E"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p>
    <w:p w14:paraId="4B3A9279"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p>
    <w:p w14:paraId="2111F64A"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p>
    <w:p w14:paraId="49222F8D"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p>
    <w:p w14:paraId="3F8716AE"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p>
    <w:p w14:paraId="3C7DDE9D"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p>
    <w:p w14:paraId="43D1F8DD" w14:textId="77777777" w:rsidR="00365526" w:rsidRPr="00F23F20" w:rsidRDefault="00365526" w:rsidP="00365526">
      <w:pPr>
        <w:numPr>
          <w:ilvl w:val="12"/>
          <w:numId w:val="0"/>
        </w:numPr>
        <w:spacing w:line="480" w:lineRule="auto"/>
        <w:rPr>
          <w:rFonts w:ascii="Times New Roman" w:hAnsi="Times New Roman" w:cs="Times New Roman"/>
        </w:rPr>
      </w:pPr>
      <w:r w:rsidRPr="00F23F20">
        <w:rPr>
          <w:rFonts w:ascii="Times New Roman" w:hAnsi="Times New Roman" w:cs="Times New Roman"/>
        </w:rPr>
        <w:br w:type="page"/>
      </w:r>
      <w:bookmarkStart w:id="285" w:name="_Toc420995911"/>
      <w:bookmarkStart w:id="286" w:name="_Toc422997498"/>
    </w:p>
    <w:p w14:paraId="6945093B" w14:textId="77777777" w:rsidR="00365526" w:rsidRPr="00F23F20" w:rsidRDefault="00365526" w:rsidP="00365526">
      <w:pPr>
        <w:pStyle w:val="AltHeading1"/>
      </w:pPr>
      <w:bookmarkStart w:id="287" w:name="_Toc427156483"/>
      <w:bookmarkStart w:id="288" w:name="_Toc41908155"/>
      <w:r w:rsidRPr="00F23F20">
        <w:lastRenderedPageBreak/>
        <w:t>List of References</w:t>
      </w:r>
      <w:bookmarkEnd w:id="285"/>
      <w:bookmarkEnd w:id="286"/>
      <w:bookmarkEnd w:id="287"/>
      <w:bookmarkEnd w:id="288"/>
    </w:p>
    <w:p w14:paraId="187FF933"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00F23F20">
        <w:rPr>
          <w:rFonts w:ascii="Times New Roman" w:hAnsi="Times New Roman" w:cs="Times New Roman"/>
        </w:rPr>
        <w:br w:type="page"/>
      </w:r>
      <w:r w:rsidRPr="00F23F20">
        <w:rPr>
          <w:rFonts w:ascii="Times New Roman" w:hAnsi="Times New Roman" w:cs="Times New Roman"/>
        </w:rPr>
        <w:lastRenderedPageBreak/>
        <w:t xml:space="preserve"> </w:t>
      </w:r>
    </w:p>
    <w:p w14:paraId="0087C810" w14:textId="77777777" w:rsidR="00365526" w:rsidRPr="00F23F20" w:rsidRDefault="00365526" w:rsidP="0036552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03272E80" w14:textId="13DC6CC3" w:rsidR="00307058" w:rsidRPr="00307058" w:rsidRDefault="00365526" w:rsidP="00307058">
      <w:pPr>
        <w:widowControl w:val="0"/>
        <w:autoSpaceDE w:val="0"/>
        <w:autoSpaceDN w:val="0"/>
        <w:adjustRightInd w:val="0"/>
        <w:spacing w:line="480" w:lineRule="auto"/>
        <w:ind w:left="640" w:hanging="640"/>
        <w:rPr>
          <w:rFonts w:ascii="Times New Roman" w:hAnsi="Times New Roman" w:cs="Times New Roman"/>
          <w:noProof/>
        </w:rPr>
      </w:pPr>
      <w:r w:rsidRPr="00F23F20">
        <w:rPr>
          <w:rFonts w:ascii="Times New Roman" w:hAnsi="Times New Roman" w:cs="Times New Roman"/>
        </w:rPr>
        <w:fldChar w:fldCharType="begin" w:fldLock="1"/>
      </w:r>
      <w:r w:rsidRPr="00F23F20">
        <w:rPr>
          <w:rFonts w:ascii="Times New Roman" w:hAnsi="Times New Roman" w:cs="Times New Roman"/>
        </w:rPr>
        <w:instrText xml:space="preserve">ADDIN Mendeley Bibliography CSL_BIBLIOGRAPHY </w:instrText>
      </w:r>
      <w:r w:rsidRPr="00F23F20">
        <w:rPr>
          <w:rFonts w:ascii="Times New Roman" w:hAnsi="Times New Roman" w:cs="Times New Roman"/>
        </w:rPr>
        <w:fldChar w:fldCharType="separate"/>
      </w:r>
      <w:r w:rsidR="00307058" w:rsidRPr="00307058">
        <w:rPr>
          <w:rFonts w:ascii="Times New Roman" w:hAnsi="Times New Roman" w:cs="Times New Roman"/>
          <w:noProof/>
        </w:rPr>
        <w:t xml:space="preserve">1. </w:t>
      </w:r>
      <w:r w:rsidR="00307058" w:rsidRPr="00307058">
        <w:rPr>
          <w:rFonts w:ascii="Times New Roman" w:hAnsi="Times New Roman" w:cs="Times New Roman"/>
          <w:noProof/>
        </w:rPr>
        <w:tab/>
        <w:t>Falkowski PG, Fenchel T, Delong EF. 2008. The Microbial Engines That Drive Earth’s Biogeochemical Cycles. Science (80- ) 320:1034–1039.</w:t>
      </w:r>
    </w:p>
    <w:p w14:paraId="112F9A01"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2. </w:t>
      </w:r>
      <w:r w:rsidRPr="00307058">
        <w:rPr>
          <w:rFonts w:ascii="Times New Roman" w:hAnsi="Times New Roman" w:cs="Times New Roman"/>
          <w:noProof/>
        </w:rPr>
        <w:tab/>
        <w:t>Widder S, Allen RJ, Pfeiffer T, Curtis TP, Wiuf C, Sloan WT, Cordero OX, Brown SP, Momeni B, Shou W, Kettle H, Flint HJ, Haas AF, Laroche B, Kreft JU, Rainey PB, Freilich S, Schuster S, Milferstedt K, Van Der Meer JR, Grobkopf T, Huisman J, Free A, Picioreanu C, Quince C, Klapper I, Labarthe S, Smets BF, Wang H, Soyer OS, Allison SD, Chong J, Lagomarsino MC, Croze OA, Hamelin J, Harmand J, Hoyle R, Hwa TT, Jin Q, Johnson DR, de Lorenzo V, Mobilia M, Murphy B, Peaudecerf F, Prosser JI, Quinn RA, Ralser M, Smith AG, Steyer JP, Swainston N, Tarnita CE, Trably E, Warren PB, Wilmes P. 2016. Challenges in microbial ecology: Building predictive understanding of community function and dynamics. ISME J 10:2557–2568.</w:t>
      </w:r>
    </w:p>
    <w:p w14:paraId="6A33C000"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3. </w:t>
      </w:r>
      <w:r w:rsidRPr="00307058">
        <w:rPr>
          <w:rFonts w:ascii="Times New Roman" w:hAnsi="Times New Roman" w:cs="Times New Roman"/>
          <w:noProof/>
        </w:rPr>
        <w:tab/>
        <w:t>Kuypers MMM, Sliekers AO, Lavik G, Schmid M, Jørgensen BB, Kuenen JG, Sinninghe Damsté JS, Strous M, Jetten MSM. 2003. Anaerobic ammonium oxidation by anammox bacteria in the Black Sea. Nature 422:608–611.</w:t>
      </w:r>
    </w:p>
    <w:p w14:paraId="5E59B436"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4. </w:t>
      </w:r>
      <w:r w:rsidRPr="00307058">
        <w:rPr>
          <w:rFonts w:ascii="Times New Roman" w:hAnsi="Times New Roman" w:cs="Times New Roman"/>
          <w:noProof/>
        </w:rPr>
        <w:tab/>
        <w:t>Dalsgaard T, Canfield DE, Petersen J, Thamdrup B, Acuña-González J. 2003. N2 production by the anammox reaction in the anoxic water column of Golfo Dulce, Costa Rica. Nature 422:606–608.</w:t>
      </w:r>
    </w:p>
    <w:p w14:paraId="32637141"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5. </w:t>
      </w:r>
      <w:r w:rsidRPr="00307058">
        <w:rPr>
          <w:rFonts w:ascii="Times New Roman" w:hAnsi="Times New Roman" w:cs="Times New Roman"/>
          <w:noProof/>
        </w:rPr>
        <w:tab/>
        <w:t>Amend JP, LaRowe DE. 2019. Minireview: demystifying microbial reaction energetics. Environ Microbiol 21:3539–3547.</w:t>
      </w:r>
    </w:p>
    <w:p w14:paraId="2BFCAB3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lastRenderedPageBreak/>
        <w:t xml:space="preserve">6. </w:t>
      </w:r>
      <w:r w:rsidRPr="00307058">
        <w:rPr>
          <w:rFonts w:ascii="Times New Roman" w:hAnsi="Times New Roman" w:cs="Times New Roman"/>
          <w:noProof/>
        </w:rPr>
        <w:tab/>
        <w:t>Lloyd KG, Steen AD, Ladau J, Yin J, Crosby L. 2018. Phylogenetically Novel Uncultured Microbial Cells Dominate Earth Microbiomes. mSystems 3:1–12.</w:t>
      </w:r>
    </w:p>
    <w:p w14:paraId="17407C2D"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7. </w:t>
      </w:r>
      <w:r w:rsidRPr="00307058">
        <w:rPr>
          <w:rFonts w:ascii="Times New Roman" w:hAnsi="Times New Roman" w:cs="Times New Roman"/>
          <w:noProof/>
        </w:rPr>
        <w:tab/>
        <w:t>Anantharaman K, Brown CT, Hug LA, Sharon I, Castelle CJ, Probst AJ, Thomas BC, Singh A, Wilkins MJ, Karaoz U, Brodie EL, Williams KH, Hubbard SS, Banfield JF. 2016. Thousands of microbial genomes shed light on interconnected biogeochemical processes in an aquifer system. Nat Commun 7:13219.</w:t>
      </w:r>
    </w:p>
    <w:p w14:paraId="1FE88A1D"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8. </w:t>
      </w:r>
      <w:r w:rsidRPr="00307058">
        <w:rPr>
          <w:rFonts w:ascii="Times New Roman" w:hAnsi="Times New Roman" w:cs="Times New Roman"/>
          <w:noProof/>
        </w:rPr>
        <w:tab/>
        <w:t>Baker BJ, Lazar CS, Teske AP, Dick GJ. 2015. Genomic resolution of linkages in carbon, nitrogen, and sulfur cycling among widespread estuary sediment bacteria. Microbiome 3:14.</w:t>
      </w:r>
    </w:p>
    <w:p w14:paraId="3707441E"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9. </w:t>
      </w:r>
      <w:r w:rsidRPr="00307058">
        <w:rPr>
          <w:rFonts w:ascii="Times New Roman" w:hAnsi="Times New Roman" w:cs="Times New Roman"/>
          <w:noProof/>
        </w:rPr>
        <w:tab/>
        <w:t>Martiny JBH, Jones SE, Lennon JT, Martiny AC. 2015. Microbiomes in light of traits: A phylogenetic perspective. Science (80- ) 350:aac9323.</w:t>
      </w:r>
    </w:p>
    <w:p w14:paraId="2CCCF49D"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10. </w:t>
      </w:r>
      <w:r w:rsidRPr="00307058">
        <w:rPr>
          <w:rFonts w:ascii="Times New Roman" w:hAnsi="Times New Roman" w:cs="Times New Roman"/>
          <w:noProof/>
        </w:rPr>
        <w:tab/>
        <w:t>Parks DH, Chuvochina M, Waite DW, Rinke C, Skarshewski A, Chaumeil P-A, Hugenholtz P. 2018. A standardized bacterial taxonomy based on genome phylogeny substantially revises the tree of life. Nat Biotechnol 36:996–1004.</w:t>
      </w:r>
    </w:p>
    <w:p w14:paraId="4DD0E9F9"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11. </w:t>
      </w:r>
      <w:r w:rsidRPr="00307058">
        <w:rPr>
          <w:rFonts w:ascii="Times New Roman" w:hAnsi="Times New Roman" w:cs="Times New Roman"/>
          <w:noProof/>
        </w:rPr>
        <w:tab/>
        <w:t xml:space="preserve">O’Leary NA, Wright MW, Brister JR, Ciufo S, Haddad D, McVeigh R, Rajput B, Robbertse B, Smith-White B, Ako-Adjei D, Astashyn A, Badretdin A, Bao Y, Blinkova O, Brover V, Chetvernin V, Choi J, Cox E, Ermolaeva O, Farrell CM, Goldfarb T, Gupta T, Haft D, Hatcher E, Hlavina W, Joardar VS, Kodali VK, Li W, Maglott D, Masterson P, McGarvey KM, Murphy MR, O’Neill K, Pujar S, Rangwala SH, Rausch D, Riddick LD, Schoch C, Shkeda A, Storz SS, Sun H, Thibaud-Nissen F, Tolstoy I, Tully RE, Vatsan AR, Wallin C, Webb D, Wu W, Landrum MJ, Kimchi A, Tatusova T, DiCuccio M, Kitts P, Murphy TD, Pruitt </w:t>
      </w:r>
      <w:r w:rsidRPr="00307058">
        <w:rPr>
          <w:rFonts w:ascii="Times New Roman" w:hAnsi="Times New Roman" w:cs="Times New Roman"/>
          <w:noProof/>
        </w:rPr>
        <w:lastRenderedPageBreak/>
        <w:t>KD. 2016. Reference sequence (RefSeq) database at NCBI: Current status, taxonomic expansion, and functional annotation. Nucleic Acids Res 44:D733–D745.</w:t>
      </w:r>
    </w:p>
    <w:p w14:paraId="62ACE579"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12. </w:t>
      </w:r>
      <w:r w:rsidRPr="00307058">
        <w:rPr>
          <w:rFonts w:ascii="Times New Roman" w:hAnsi="Times New Roman" w:cs="Times New Roman"/>
          <w:noProof/>
        </w:rPr>
        <w:tab/>
        <w:t>Parks DH, Rinke C, Chuvochina M, Chaumeil P-A, Woodcroft BJ, Evans PN, Hugenholtz P, Tyson GW. 2017. Recovery of nearly 8,000 metagenome-assembled genomes substantially expands the tree of life. Nat Microbiol 2:1533–1542.</w:t>
      </w:r>
    </w:p>
    <w:p w14:paraId="1DEC4201"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13. </w:t>
      </w:r>
      <w:r w:rsidRPr="00307058">
        <w:rPr>
          <w:rFonts w:ascii="Times New Roman" w:hAnsi="Times New Roman" w:cs="Times New Roman"/>
          <w:noProof/>
        </w:rPr>
        <w:tab/>
        <w:t>Quince C, Walker AW, Simpson JT, Loman NJ, Segata N. 2017. Shotgun metagenomics, from sampling to analysis. Nat Biotechnol 35:833–844.</w:t>
      </w:r>
    </w:p>
    <w:p w14:paraId="0BACDB2F"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14. </w:t>
      </w:r>
      <w:r w:rsidRPr="00307058">
        <w:rPr>
          <w:rFonts w:ascii="Times New Roman" w:hAnsi="Times New Roman" w:cs="Times New Roman"/>
          <w:noProof/>
        </w:rPr>
        <w:tab/>
        <w:t>Louca S, Martiny AC, Polz MF, Doolittle WF, Nelson MB, Hahn AS, Rubin I, Mazel F, Hawley AK, Connor MIO, Crowe SA, Hallam SJ. 2018. Function and functional redundancy in microbial communities. Nat Ecol Evol 2:936–943.</w:t>
      </w:r>
    </w:p>
    <w:p w14:paraId="0161641C"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15. </w:t>
      </w:r>
      <w:r w:rsidRPr="00307058">
        <w:rPr>
          <w:rFonts w:ascii="Times New Roman" w:hAnsi="Times New Roman" w:cs="Times New Roman"/>
          <w:noProof/>
        </w:rPr>
        <w:tab/>
        <w:t>Middelburg JJ. 2019. Marine Carbon Biogeochemistry: A Primer for Earth System ScientistsSpringer Briefs in Earth System Sciences.</w:t>
      </w:r>
    </w:p>
    <w:p w14:paraId="104A24F8"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16. </w:t>
      </w:r>
      <w:r w:rsidRPr="00307058">
        <w:rPr>
          <w:rFonts w:ascii="Times New Roman" w:hAnsi="Times New Roman" w:cs="Times New Roman"/>
          <w:noProof/>
        </w:rPr>
        <w:tab/>
        <w:t>Houghtons RA. 2003. The Contemporary Carbon CycleBiogeochemistry: Treatise on Geochemistry, Volume 8.</w:t>
      </w:r>
    </w:p>
    <w:p w14:paraId="07790AAD"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17. </w:t>
      </w:r>
      <w:r w:rsidRPr="00307058">
        <w:rPr>
          <w:rFonts w:ascii="Times New Roman" w:hAnsi="Times New Roman" w:cs="Times New Roman"/>
          <w:noProof/>
        </w:rPr>
        <w:tab/>
        <w:t>Albert DB, Martens CS, Alperin MJ. 1998. Biogeochemical processes controlling methane in gassy coastal sediments - Part 2: Groundwater flow control of acoustic turbidity in Eckernforde Bay Sediments. Cont Shelf Res 18:1771–1793.</w:t>
      </w:r>
    </w:p>
    <w:p w14:paraId="499B3FE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18. </w:t>
      </w:r>
      <w:r w:rsidRPr="00307058">
        <w:rPr>
          <w:rFonts w:ascii="Times New Roman" w:hAnsi="Times New Roman" w:cs="Times New Roman"/>
          <w:noProof/>
        </w:rPr>
        <w:tab/>
        <w:t>Martens CS, Albert DB, Alperin MJ. 1998. Biogeochemical processes controlling methane in gassy coastal sediments - Part 1. A model coupling organic matter flux to gas production, oxidation and transport. Cont Shelf Res 18:1741–1770.</w:t>
      </w:r>
    </w:p>
    <w:p w14:paraId="63EED007"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lastRenderedPageBreak/>
        <w:t xml:space="preserve">19. </w:t>
      </w:r>
      <w:r w:rsidRPr="00307058">
        <w:rPr>
          <w:rFonts w:ascii="Times New Roman" w:hAnsi="Times New Roman" w:cs="Times New Roman"/>
          <w:noProof/>
        </w:rPr>
        <w:tab/>
        <w:t>Royalty TM, Steen AD. 2019. Quantitatively Partitioning Microbial Genomic Traits among Taxonomic Ranks across the Microbial Tree of Life. mSphere 4:e00446-19.</w:t>
      </w:r>
    </w:p>
    <w:p w14:paraId="5BAF758E"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20. </w:t>
      </w:r>
      <w:r w:rsidRPr="00307058">
        <w:rPr>
          <w:rFonts w:ascii="Times New Roman" w:hAnsi="Times New Roman" w:cs="Times New Roman"/>
          <w:noProof/>
        </w:rPr>
        <w:tab/>
        <w:t>Martiny AC, Treseder K, Pusch G. 2013. Phylogenetic conservatism of functional traits in microorganisms. ISME J 7:830–838.</w:t>
      </w:r>
    </w:p>
    <w:p w14:paraId="753DC0B1"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21. </w:t>
      </w:r>
      <w:r w:rsidRPr="00307058">
        <w:rPr>
          <w:rFonts w:ascii="Times New Roman" w:hAnsi="Times New Roman" w:cs="Times New Roman"/>
          <w:noProof/>
        </w:rPr>
        <w:tab/>
        <w:t>Zimmerman AE, Martiny AC, Allison SD. 2013. Microdiversity of extracellular enzyme genes among sequenced prokaryotic genomes. ISME J 7:1187–1199.</w:t>
      </w:r>
    </w:p>
    <w:p w14:paraId="5D164D05"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22. </w:t>
      </w:r>
      <w:r w:rsidRPr="00307058">
        <w:rPr>
          <w:rFonts w:ascii="Times New Roman" w:hAnsi="Times New Roman" w:cs="Times New Roman"/>
          <w:noProof/>
        </w:rPr>
        <w:tab/>
        <w:t>Federhen S. 2012. The NCBI Taxonomy database. Nucleic Acids Res 40:136–143.</w:t>
      </w:r>
    </w:p>
    <w:p w14:paraId="3B95A96F"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23. </w:t>
      </w:r>
      <w:r w:rsidRPr="00307058">
        <w:rPr>
          <w:rFonts w:ascii="Times New Roman" w:hAnsi="Times New Roman" w:cs="Times New Roman"/>
          <w:noProof/>
        </w:rPr>
        <w:tab/>
        <w:t>Hug LA, Baker BJ, Anantharaman K, Brown CT, Probst AJ, Castelle CJ, Butterfield CN, Hernsdorf AW, Amano Y, Ise K, Suzuki Y, Dudek N, Relman DA, Finstad KM, Amundson R, Thomas BC, Banfield JF. 2016. A new view of the tree of life. Nat Microbiol 1:1–6.</w:t>
      </w:r>
    </w:p>
    <w:p w14:paraId="7791E16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24. </w:t>
      </w:r>
      <w:r w:rsidRPr="00307058">
        <w:rPr>
          <w:rFonts w:ascii="Times New Roman" w:hAnsi="Times New Roman" w:cs="Times New Roman"/>
          <w:noProof/>
        </w:rPr>
        <w:tab/>
        <w:t>Tatusov RL, Galperin MY, Natale DA, Koonin E V. 2000. The COG database: a tool for genome-scale analysis of protein functions and evolution. Nucleic Acids Res 28:33–36.</w:t>
      </w:r>
    </w:p>
    <w:p w14:paraId="3280798B"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25. </w:t>
      </w:r>
      <w:r w:rsidRPr="00307058">
        <w:rPr>
          <w:rFonts w:ascii="Times New Roman" w:hAnsi="Times New Roman" w:cs="Times New Roman"/>
          <w:noProof/>
        </w:rPr>
        <w:tab/>
        <w:t>Philippot L, Andersson SGE, Battin TJ, Prosser JI, Schimel JP, Whitman WB, Hallin S. 2010. The ecological coherence of high bacterial taxonomic ranks. Nat Rev Microbiol 8:523–529.</w:t>
      </w:r>
    </w:p>
    <w:p w14:paraId="05C3969A"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26. </w:t>
      </w:r>
      <w:r w:rsidRPr="00307058">
        <w:rPr>
          <w:rFonts w:ascii="Times New Roman" w:hAnsi="Times New Roman" w:cs="Times New Roman"/>
          <w:noProof/>
        </w:rPr>
        <w:tab/>
        <w:t>Harrison XA, Donaldson L, Correa-Cano ME, Evans J, Fisher DN, Goodwin CED, Robinson BS, Hodgson DJ, Inger R. 2018. A brief introduction to mixed effects modelling and multi-model inference in ecology. PeerJ 6:e4794.</w:t>
      </w:r>
    </w:p>
    <w:p w14:paraId="3B7541E6"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27. </w:t>
      </w:r>
      <w:r w:rsidRPr="00307058">
        <w:rPr>
          <w:rFonts w:ascii="Times New Roman" w:hAnsi="Times New Roman" w:cs="Times New Roman"/>
          <w:noProof/>
        </w:rPr>
        <w:tab/>
        <w:t xml:space="preserve">Danczak RE, Johnston MD, Kenah C, Slattery M, Wrighton KC, Wilkins MJ. </w:t>
      </w:r>
      <w:r w:rsidRPr="00307058">
        <w:rPr>
          <w:rFonts w:ascii="Times New Roman" w:hAnsi="Times New Roman" w:cs="Times New Roman"/>
          <w:noProof/>
        </w:rPr>
        <w:lastRenderedPageBreak/>
        <w:t>2017. Members of the Candidate Phyla Radiation are functionally differentiated by carbon- and nitrogen-cycling capabilities. Microbiome 5:112.</w:t>
      </w:r>
    </w:p>
    <w:p w14:paraId="1C6DF7FD"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28. </w:t>
      </w:r>
      <w:r w:rsidRPr="00307058">
        <w:rPr>
          <w:rFonts w:ascii="Times New Roman" w:hAnsi="Times New Roman" w:cs="Times New Roman"/>
          <w:noProof/>
        </w:rPr>
        <w:tab/>
        <w:t>Emerson D, Fleming EJ, McBeth JM. 2010. Iron-Oxidizing Bacteria: An Environmental and Genomic Perspective. Annu Rev Microbiol 64:561–583.</w:t>
      </w:r>
    </w:p>
    <w:p w14:paraId="41CF59CF"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29. </w:t>
      </w:r>
      <w:r w:rsidRPr="00307058">
        <w:rPr>
          <w:rFonts w:ascii="Times New Roman" w:hAnsi="Times New Roman" w:cs="Times New Roman"/>
          <w:noProof/>
        </w:rPr>
        <w:tab/>
        <w:t>Singh AH, Doerks T, Letunic I, Raes J, Bork P. 2009. Discovering functional novelty in metagenomes: Examples from light-mediated processes. J Bacteriol 91:32–41.</w:t>
      </w:r>
    </w:p>
    <w:p w14:paraId="4AB53D2E"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30. </w:t>
      </w:r>
      <w:r w:rsidRPr="00307058">
        <w:rPr>
          <w:rFonts w:ascii="Times New Roman" w:hAnsi="Times New Roman" w:cs="Times New Roman"/>
          <w:noProof/>
        </w:rPr>
        <w:tab/>
        <w:t>Mendler K, Chen H, Parks DH, Lobb B, Hug LA, Doxey AC. 2019. AnnoTree: visualization and exploration of a functionally annotated microbial tree of life. Nucleic Acids Res 4567:1–7.</w:t>
      </w:r>
    </w:p>
    <w:p w14:paraId="25F8E587"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31. </w:t>
      </w:r>
      <w:r w:rsidRPr="00307058">
        <w:rPr>
          <w:rFonts w:ascii="Times New Roman" w:hAnsi="Times New Roman" w:cs="Times New Roman"/>
          <w:noProof/>
        </w:rPr>
        <w:tab/>
        <w:t>Soucy SM, Huang J, Gogarten JP. 2015. Horizontal gene transfer: Building the web of life. Nat Rev Genet 16:472–482.</w:t>
      </w:r>
    </w:p>
    <w:p w14:paraId="588A416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32. </w:t>
      </w:r>
      <w:r w:rsidRPr="00307058">
        <w:rPr>
          <w:rFonts w:ascii="Times New Roman" w:hAnsi="Times New Roman" w:cs="Times New Roman"/>
          <w:noProof/>
        </w:rPr>
        <w:tab/>
        <w:t>Schloter M, Lebuhn M, Heulin T, Hartmann A. 2000. Ecology and evolution of bacterial microdiversity. FEMS Microbiol Rev 24:647–660.</w:t>
      </w:r>
    </w:p>
    <w:p w14:paraId="4AFB4888"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33. </w:t>
      </w:r>
      <w:r w:rsidRPr="00307058">
        <w:rPr>
          <w:rFonts w:ascii="Times New Roman" w:hAnsi="Times New Roman" w:cs="Times New Roman"/>
          <w:noProof/>
        </w:rPr>
        <w:tab/>
        <w:t>Moore EK, Jelen BI, Giovannelli D, Raanan H, Falkowski PG. 2017. Metal availability and the expanding network of microbial metabolisms in the Archaean eon. Nat Geosci 10:629–636.</w:t>
      </w:r>
    </w:p>
    <w:p w14:paraId="251A73E2"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34. </w:t>
      </w:r>
      <w:r w:rsidRPr="00307058">
        <w:rPr>
          <w:rFonts w:ascii="Times New Roman" w:hAnsi="Times New Roman" w:cs="Times New Roman"/>
          <w:noProof/>
        </w:rPr>
        <w:tab/>
        <w:t>Koeppel AF, Wu M. 2012. Lineage-dependent ecological coherence in bacteria. FEMS Microbiol Ecol 81:574–582.</w:t>
      </w:r>
    </w:p>
    <w:p w14:paraId="02DC5CDA"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35. </w:t>
      </w:r>
      <w:r w:rsidRPr="00307058">
        <w:rPr>
          <w:rFonts w:ascii="Times New Roman" w:hAnsi="Times New Roman" w:cs="Times New Roman"/>
          <w:noProof/>
        </w:rPr>
        <w:tab/>
        <w:t>Min CK, Yang JS, Kim S, Choi MS, Kim IS, Cho NH. 2008. Genome-based construction of the metabolic pathways of Orientia tsutsugamushi and comparative analysis within the Rickettsiales order. Comp Funct Genomics 2008.</w:t>
      </w:r>
    </w:p>
    <w:p w14:paraId="5AE2D011"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lastRenderedPageBreak/>
        <w:t xml:space="preserve">36. </w:t>
      </w:r>
      <w:r w:rsidRPr="00307058">
        <w:rPr>
          <w:rFonts w:ascii="Times New Roman" w:hAnsi="Times New Roman" w:cs="Times New Roman"/>
          <w:noProof/>
        </w:rPr>
        <w:tab/>
        <w:t>Wolgemuth CW. 2015. Flagellar motility of the pathogenic spirochetes. Semin Cell Dev Biol 46:104–112.</w:t>
      </w:r>
    </w:p>
    <w:p w14:paraId="4A54F0D9"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37. </w:t>
      </w:r>
      <w:r w:rsidRPr="00307058">
        <w:rPr>
          <w:rFonts w:ascii="Times New Roman" w:hAnsi="Times New Roman" w:cs="Times New Roman"/>
          <w:noProof/>
        </w:rPr>
        <w:tab/>
        <w:t>Dreyer M, Aeby S, Oevermann A, Greub G. 2015. Prevalence and diversity of Chlamydiales in Swiss ruminant farms. Pathog Dis 73:1–4.</w:t>
      </w:r>
    </w:p>
    <w:p w14:paraId="37A8890D"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38. </w:t>
      </w:r>
      <w:r w:rsidRPr="00307058">
        <w:rPr>
          <w:rFonts w:ascii="Times New Roman" w:hAnsi="Times New Roman" w:cs="Times New Roman"/>
          <w:noProof/>
        </w:rPr>
        <w:tab/>
        <w:t>Wexler HM. 2007. Bacteroides: The good, the bad, and the nitty-gritty. Clin Microbiol Rev 20:593–621.</w:t>
      </w:r>
    </w:p>
    <w:p w14:paraId="579E97DB"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39. </w:t>
      </w:r>
      <w:r w:rsidRPr="00307058">
        <w:rPr>
          <w:rFonts w:ascii="Times New Roman" w:hAnsi="Times New Roman" w:cs="Times New Roman"/>
          <w:noProof/>
        </w:rPr>
        <w:tab/>
        <w:t>Moran NA. 2002. Microbial Minimalism: Genome Reduction in Bacterial Pathogens. Cell 108:583–586.</w:t>
      </w:r>
    </w:p>
    <w:p w14:paraId="7A34881E"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40. </w:t>
      </w:r>
      <w:r w:rsidRPr="00307058">
        <w:rPr>
          <w:rFonts w:ascii="Times New Roman" w:hAnsi="Times New Roman" w:cs="Times New Roman"/>
          <w:noProof/>
        </w:rPr>
        <w:tab/>
        <w:t>Hyatt D, Chen G-L, LoCascio PF, Land ML, Larimer FW, Hauser LJ. 2010. Prodigal: prokaryotic gene recognition and translation initiation site identification. BMC Bioinformatics 11:119.</w:t>
      </w:r>
    </w:p>
    <w:p w14:paraId="4C56E5C0"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41. </w:t>
      </w:r>
      <w:r w:rsidRPr="00307058">
        <w:rPr>
          <w:rFonts w:ascii="Times New Roman" w:hAnsi="Times New Roman" w:cs="Times New Roman"/>
          <w:noProof/>
        </w:rPr>
        <w:tab/>
        <w:t>Marchler-Bauer A, Bryant SH. 2004. CD-Search: Protein domain annotations on the fly. Nucleic Acids Res 32:W327–W331.</w:t>
      </w:r>
    </w:p>
    <w:p w14:paraId="3CB8E485"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42. </w:t>
      </w:r>
      <w:r w:rsidRPr="00307058">
        <w:rPr>
          <w:rFonts w:ascii="Times New Roman" w:hAnsi="Times New Roman" w:cs="Times New Roman"/>
          <w:noProof/>
        </w:rPr>
        <w:tab/>
        <w:t xml:space="preserve">Leimbach A, Poehlein A, Witten A, Wellnitz O, Shpigel N, Petzl W, Zerbe H, Daniel R, Dobrindt U. 2016. Whole-Genome Draft Sequences of Six Commensal Fecal and Six Mastitis-Associated </w:t>
      </w:r>
      <w:r w:rsidRPr="00307058">
        <w:rPr>
          <w:rFonts w:ascii="Times New Roman" w:hAnsi="Times New Roman" w:cs="Times New Roman"/>
          <w:i/>
          <w:iCs/>
          <w:noProof/>
        </w:rPr>
        <w:t>Escherichia coli</w:t>
      </w:r>
      <w:r w:rsidRPr="00307058">
        <w:rPr>
          <w:rFonts w:ascii="Times New Roman" w:hAnsi="Times New Roman" w:cs="Times New Roman"/>
          <w:noProof/>
        </w:rPr>
        <w:t xml:space="preserve"> Strains of Bovine Origin: TABLE 1. Genome Announc 4:e00753-16.</w:t>
      </w:r>
    </w:p>
    <w:p w14:paraId="1C23A021"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43. </w:t>
      </w:r>
      <w:r w:rsidRPr="00307058">
        <w:rPr>
          <w:rFonts w:ascii="Times New Roman" w:hAnsi="Times New Roman" w:cs="Times New Roman"/>
          <w:noProof/>
        </w:rPr>
        <w:tab/>
        <w:t>Wood S. 2017. mgcv: Mixed GAM Computation Vehicle with GCV/AIC/REML Smoothness Estimation.</w:t>
      </w:r>
    </w:p>
    <w:p w14:paraId="1DC2D55A"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44. </w:t>
      </w:r>
      <w:r w:rsidRPr="00307058">
        <w:rPr>
          <w:rFonts w:ascii="Times New Roman" w:hAnsi="Times New Roman" w:cs="Times New Roman"/>
          <w:noProof/>
        </w:rPr>
        <w:tab/>
        <w:t>Venables WN, Ripley BD. 2002. Modern Applied Statistics with S. 7.3.49. Springer, New York.</w:t>
      </w:r>
    </w:p>
    <w:p w14:paraId="567F9C7C"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45. </w:t>
      </w:r>
      <w:r w:rsidRPr="00307058">
        <w:rPr>
          <w:rFonts w:ascii="Times New Roman" w:hAnsi="Times New Roman" w:cs="Times New Roman"/>
          <w:noProof/>
        </w:rPr>
        <w:tab/>
        <w:t xml:space="preserve">R Core Team. 2018. R: A Language and Environmen for Statistical Computing. </w:t>
      </w:r>
      <w:r w:rsidRPr="00307058">
        <w:rPr>
          <w:rFonts w:ascii="Times New Roman" w:hAnsi="Times New Roman" w:cs="Times New Roman"/>
          <w:noProof/>
        </w:rPr>
        <w:lastRenderedPageBreak/>
        <w:t>Vienna, Austria.</w:t>
      </w:r>
    </w:p>
    <w:p w14:paraId="78A32320"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46. </w:t>
      </w:r>
      <w:r w:rsidRPr="00307058">
        <w:rPr>
          <w:rFonts w:ascii="Times New Roman" w:hAnsi="Times New Roman" w:cs="Times New Roman"/>
          <w:noProof/>
        </w:rPr>
        <w:tab/>
        <w:t>Philip D. 2003. Computer program review VEGAN , a package of R functions for community ecology. J Veg Sci 14:927–930.</w:t>
      </w:r>
    </w:p>
    <w:p w14:paraId="258779EA"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47. </w:t>
      </w:r>
      <w:r w:rsidRPr="00307058">
        <w:rPr>
          <w:rFonts w:ascii="Times New Roman" w:hAnsi="Times New Roman" w:cs="Times New Roman"/>
          <w:noProof/>
        </w:rPr>
        <w:tab/>
        <w:t>J P, Bates D, S D, D S, R Core Team. 2019. nlme: linear and nonlinear mixed effects models. R package version 3.1-141.</w:t>
      </w:r>
    </w:p>
    <w:p w14:paraId="595CC01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48. </w:t>
      </w:r>
      <w:r w:rsidRPr="00307058">
        <w:rPr>
          <w:rFonts w:ascii="Times New Roman" w:hAnsi="Times New Roman" w:cs="Times New Roman"/>
          <w:noProof/>
        </w:rPr>
        <w:tab/>
        <w:t>Royalty TM, Steen AD. 2019. Theoretical and Simulation-Based Investigation of the Relationship between Sequencing Effort, Microbial Community, Richness, and Diversity in Binning Metagenome-Assembled Genomes. mSystems 4:e00384-19.</w:t>
      </w:r>
    </w:p>
    <w:p w14:paraId="56419056"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49. </w:t>
      </w:r>
      <w:r w:rsidRPr="00307058">
        <w:rPr>
          <w:rFonts w:ascii="Times New Roman" w:hAnsi="Times New Roman" w:cs="Times New Roman"/>
          <w:noProof/>
        </w:rPr>
        <w:tab/>
        <w:t>Knight R, Navas J, Quinn RA, Sanders JG, Zhu Q, Vrbanac A, Taylor BC, Aksenov A, Callewaert C, Debelius J, Gonzalez A, Kosciolek T, McCall L-I, McDonald D, Melnik A V, Morton JT, Navas J, Quinn RA, Sanders JG, Swafford AD, Thompson LR, Tripathi A, Xu ZZ, Zaneveld JR, Zhu Q, Caporaso JG, Dorrestein PC. 2018. Best practices for analysing microbiomes. Nat Rev Microbiol.</w:t>
      </w:r>
    </w:p>
    <w:p w14:paraId="2C4B219D"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50. </w:t>
      </w:r>
      <w:r w:rsidRPr="00307058">
        <w:rPr>
          <w:rFonts w:ascii="Times New Roman" w:hAnsi="Times New Roman" w:cs="Times New Roman"/>
          <w:noProof/>
        </w:rPr>
        <w:tab/>
        <w:t>Tully BJ, Graham ED, Heidelberg JF. 2018. The reconstruction of 2,631 draft metagenome-assembled genomes from the global oceans. Sci Data 5:1–8.</w:t>
      </w:r>
    </w:p>
    <w:p w14:paraId="59554CDD"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51. </w:t>
      </w:r>
      <w:r w:rsidRPr="00307058">
        <w:rPr>
          <w:rFonts w:ascii="Times New Roman" w:hAnsi="Times New Roman" w:cs="Times New Roman"/>
          <w:noProof/>
        </w:rPr>
        <w:tab/>
        <w:t>Lander ES, Waterman MS. 1988. Genomic mapping by end-characterized random clones: a mathematical analysis. Genomics 231–239.</w:t>
      </w:r>
    </w:p>
    <w:p w14:paraId="3872A968"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52. </w:t>
      </w:r>
      <w:r w:rsidRPr="00307058">
        <w:rPr>
          <w:rFonts w:ascii="Times New Roman" w:hAnsi="Times New Roman" w:cs="Times New Roman"/>
          <w:noProof/>
        </w:rPr>
        <w:tab/>
        <w:t>Wendl MC, Kota K, Weinstock GM, Mitreva M. 2013. Coverage theories for metagenomic DNA sequencing based on a generalization of Stevens’ theorem. J Math Biol 67:1141–1161.</w:t>
      </w:r>
    </w:p>
    <w:p w14:paraId="21D9BC92"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53. </w:t>
      </w:r>
      <w:r w:rsidRPr="00307058">
        <w:rPr>
          <w:rFonts w:ascii="Times New Roman" w:hAnsi="Times New Roman" w:cs="Times New Roman"/>
          <w:noProof/>
        </w:rPr>
        <w:tab/>
        <w:t xml:space="preserve">Rodriguez-R LM, Konstantinidis KT. 2014. Estimating coverage in metagenomic </w:t>
      </w:r>
      <w:r w:rsidRPr="00307058">
        <w:rPr>
          <w:rFonts w:ascii="Times New Roman" w:hAnsi="Times New Roman" w:cs="Times New Roman"/>
          <w:noProof/>
        </w:rPr>
        <w:lastRenderedPageBreak/>
        <w:t>data sets and why it matters. ISME J 8:2349–2351.</w:t>
      </w:r>
    </w:p>
    <w:p w14:paraId="3923F2F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54. </w:t>
      </w:r>
      <w:r w:rsidRPr="00307058">
        <w:rPr>
          <w:rFonts w:ascii="Times New Roman" w:hAnsi="Times New Roman" w:cs="Times New Roman"/>
          <w:noProof/>
        </w:rPr>
        <w:tab/>
        <w:t>Pielou EC. 1966. The measurement of diversity in different types of biological collections. J Theor Biol 13:131–144.</w:t>
      </w:r>
    </w:p>
    <w:p w14:paraId="332C19D0"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55. </w:t>
      </w:r>
      <w:r w:rsidRPr="00307058">
        <w:rPr>
          <w:rFonts w:ascii="Times New Roman" w:hAnsi="Times New Roman" w:cs="Times New Roman"/>
          <w:noProof/>
        </w:rPr>
        <w:tab/>
        <w:t>Zwietering MH, Jongenburger I, Rombouts FM, Van’t Riet K. 1990. Modeling of the bacterial growth curve. Appl Environ Microbiol 56:1875–1881.</w:t>
      </w:r>
    </w:p>
    <w:p w14:paraId="3DE7099E"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56. </w:t>
      </w:r>
      <w:r w:rsidRPr="00307058">
        <w:rPr>
          <w:rFonts w:ascii="Times New Roman" w:hAnsi="Times New Roman" w:cs="Times New Roman"/>
          <w:noProof/>
        </w:rPr>
        <w:tab/>
        <w:t>Carini P, Marsden PJ, Leff JW, Morgan EE, Strickland MS, Fierer N. 2016. Relic DNA is abundant in soil and obscures estimates of soil microbial diversity. Nat Microbiol 2:1–6.</w:t>
      </w:r>
    </w:p>
    <w:p w14:paraId="6368D00F"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57. </w:t>
      </w:r>
      <w:r w:rsidRPr="00307058">
        <w:rPr>
          <w:rFonts w:ascii="Times New Roman" w:hAnsi="Times New Roman" w:cs="Times New Roman"/>
          <w:noProof/>
        </w:rPr>
        <w:tab/>
        <w:t>Land M, Hauser L, Jun S-R, Nookaew I, Leuze MR, Ahn T-H, Karpinets T, Lund O, Kora G, Wassenaar T, Poudel S, Ussery DW. 2015. Insights from 20 years of bacterial genome sequencing. Funct Integr Genomics 15:141–161.</w:t>
      </w:r>
    </w:p>
    <w:p w14:paraId="4702AB3C"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58. </w:t>
      </w:r>
      <w:r w:rsidRPr="00307058">
        <w:rPr>
          <w:rFonts w:ascii="Times New Roman" w:hAnsi="Times New Roman" w:cs="Times New Roman"/>
          <w:noProof/>
        </w:rPr>
        <w:tab/>
        <w:t>Bowers RM, Kyrpides NC, Stepanauskas R, Harmon-Smith M, Doud D, Reddy TBK, Schulz F, Jarett J, Rivers AR, Eloe-Fadrosh EA, Tringe SG, Ivanova NN, Copeland A, Clum A, Becraft ED, Malmstrom RR, Birren B, Podar M, Bork P, Weinstock GM, Garrity GM, Dodsworth JA, Yooseph S, Sutton G, Glöckner FO, Gilbert JA, Nelson WC, Hallam SJ, Jungbluth SP, Ettema TJG, Tighe S, Konstantinidis KT, Liu WT, Baker BJ, Rattei T, Eisen JA, Hedlund B, McMahon KD, Fierer N, Knight R, Finn R, Cochrane G, Karsch-Mizrachi I, Tyson GW, Rinke C, Lapidus A, Meyer F, Yilmaz P, Parks DH, Eren AM, Schriml L, Banfield JF, Hugenholtz P, Woyke T. 2017. Minimum information about a single amplified genome (MISAG) and a metagenome-assembled genome (MIMAG) of bacteria and archaea. Nat Biotechnol 35:725–731.</w:t>
      </w:r>
    </w:p>
    <w:p w14:paraId="4C700A31"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lastRenderedPageBreak/>
        <w:t xml:space="preserve">59. </w:t>
      </w:r>
      <w:r w:rsidRPr="00307058">
        <w:rPr>
          <w:rFonts w:ascii="Times New Roman" w:hAnsi="Times New Roman" w:cs="Times New Roman"/>
          <w:noProof/>
        </w:rPr>
        <w:tab/>
        <w:t>Karsenti E, Acinas SG, Bork P, Bowler C, de Vargas C, Raes J, Sullivan M, Arendt D, Benzoni F, Claverie JM, Follows M, Gorsky G, Hingamp P, Iudicone D, Jaillon O, Kandels-Lewis S, Krzic U, Not F, Ogata H, Pesant S, Reynaud EG, Sardet C, Sieracki ME, Speich S, Velayoudon D, Weissenbach J, Wincker P. 2011. A holistic approach to marine Eco-systems biology. PLoS Biol 9:7–11.</w:t>
      </w:r>
    </w:p>
    <w:p w14:paraId="0143DB2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60. </w:t>
      </w:r>
      <w:r w:rsidRPr="00307058">
        <w:rPr>
          <w:rFonts w:ascii="Times New Roman" w:hAnsi="Times New Roman" w:cs="Times New Roman"/>
          <w:noProof/>
        </w:rPr>
        <w:tab/>
        <w:t>Howe AC, Jansson JK, Malfatti SA, Tringe SG, Tiedje JM, Brown CT. 2014. Tackling soil diversity with the assembly of large, complex metagenomes. Proc Natl Acad Sci 111:4904–4909.</w:t>
      </w:r>
    </w:p>
    <w:p w14:paraId="233A7F52"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61. </w:t>
      </w:r>
      <w:r w:rsidRPr="00307058">
        <w:rPr>
          <w:rFonts w:ascii="Times New Roman" w:hAnsi="Times New Roman" w:cs="Times New Roman"/>
          <w:noProof/>
        </w:rPr>
        <w:tab/>
        <w:t>Schirmer M, Smeekens SP, Vlamakis H, Jaeger M, Oosting M, Franzosa EA, Jansen T, Jacobs L, Bonder MJ, Kurilshikov A, Fu J, Joosten LAB, Zhernakova A, Huttenhower C, Wijmenga C, Netea MG, Xavier RJ. 2016. Linking the Human Gut Microbiome to Inflammatory Cytokine Production Capacity. Cell 167:1125-1136.e8.</w:t>
      </w:r>
    </w:p>
    <w:p w14:paraId="163329B6"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62. </w:t>
      </w:r>
      <w:r w:rsidRPr="00307058">
        <w:rPr>
          <w:rFonts w:ascii="Times New Roman" w:hAnsi="Times New Roman" w:cs="Times New Roman"/>
          <w:noProof/>
        </w:rPr>
        <w:tab/>
        <w:t>Roesch LFW, Fulthorpe RR, Riva A, Casella G, Hadwin AKM, Kent AD, Daroub SH, Camargo FAO, Farmerie WG, Triplett EW. 2007. Pyrosequencing enumerates and contrasts soil microbial diversity. ISME J 1:283–290.</w:t>
      </w:r>
    </w:p>
    <w:p w14:paraId="43D3DD95"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63. </w:t>
      </w:r>
      <w:r w:rsidRPr="00307058">
        <w:rPr>
          <w:rFonts w:ascii="Times New Roman" w:hAnsi="Times New Roman" w:cs="Times New Roman"/>
          <w:noProof/>
        </w:rPr>
        <w:tab/>
        <w:t>Feng BW, Li XR, Wang JH, Hu ZY, Meng H, Xiang LY, Quan ZX. 2009. Bacterial diversity of water and sediment in the Changjiang estuary and coastal area of the East China Sea. FEMS Microbiol Ecol 70:236–248.</w:t>
      </w:r>
    </w:p>
    <w:p w14:paraId="31E870A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64. </w:t>
      </w:r>
      <w:r w:rsidRPr="00307058">
        <w:rPr>
          <w:rFonts w:ascii="Times New Roman" w:hAnsi="Times New Roman" w:cs="Times New Roman"/>
          <w:noProof/>
        </w:rPr>
        <w:tab/>
        <w:t xml:space="preserve">Rintala A, Pietilä S, Munukka E, Eerola E, Pursiheimo JP, Laiho A, Pekkala S, Huovinen P. 2017. Gut microbiota analysis results are highly dependent on the 16s rRNA gene target region, whereas the impact of DNA extraction is minor. J </w:t>
      </w:r>
      <w:r w:rsidRPr="00307058">
        <w:rPr>
          <w:rFonts w:ascii="Times New Roman" w:hAnsi="Times New Roman" w:cs="Times New Roman"/>
          <w:noProof/>
        </w:rPr>
        <w:lastRenderedPageBreak/>
        <w:t>Biomol Tech 28:19–30.</w:t>
      </w:r>
    </w:p>
    <w:p w14:paraId="3D35F4BB"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65. </w:t>
      </w:r>
      <w:r w:rsidRPr="00307058">
        <w:rPr>
          <w:rFonts w:ascii="Times New Roman" w:hAnsi="Times New Roman" w:cs="Times New Roman"/>
          <w:noProof/>
        </w:rPr>
        <w:tab/>
        <w:t>Kang S, Rodrigues JLM, Ng JP, Gentry TJ. 2016. Hill number as a bacterial diversity measure framework with high-throughput sequence data. Sci Rep 6:1–4.</w:t>
      </w:r>
    </w:p>
    <w:p w14:paraId="59FA89C4"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66. </w:t>
      </w:r>
      <w:r w:rsidRPr="00307058">
        <w:rPr>
          <w:rFonts w:ascii="Times New Roman" w:hAnsi="Times New Roman" w:cs="Times New Roman"/>
          <w:noProof/>
        </w:rPr>
        <w:tab/>
        <w:t>Zaheer R, Noyes N, Ortega Polo R, Cook SR, Marinier E, Van Domselaar G, Belk KE, Morley PS, McAllister TA. 2018. Impact of sequencing depth on the characterization of the microbiome and resistome. Sci Rep 8:5890.</w:t>
      </w:r>
    </w:p>
    <w:p w14:paraId="7B840A41"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67. </w:t>
      </w:r>
      <w:r w:rsidRPr="00307058">
        <w:rPr>
          <w:rFonts w:ascii="Times New Roman" w:hAnsi="Times New Roman" w:cs="Times New Roman"/>
          <w:noProof/>
        </w:rPr>
        <w:tab/>
        <w:t>Ghurye JS, Cepeda-Espinoza V, Pop M. 2016. Metagenomic assembly: Overview, challenges and applications. Yale J Biol Med 89:353–362.</w:t>
      </w:r>
    </w:p>
    <w:p w14:paraId="138A4897"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68. </w:t>
      </w:r>
      <w:r w:rsidRPr="00307058">
        <w:rPr>
          <w:rFonts w:ascii="Times New Roman" w:hAnsi="Times New Roman" w:cs="Times New Roman"/>
          <w:noProof/>
        </w:rPr>
        <w:tab/>
        <w:t>Lonardi S, Mirebrahim H, Wanamaker S, Alpert M, Ciardo G, Duma D, Close TJ. 2015. When less is more: “Slicing” sequencing data improves read decoding accuracy and de novo assembly quality. Bioinformatics 31:2972–2980.</w:t>
      </w:r>
    </w:p>
    <w:p w14:paraId="3B0F8EC4"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69. </w:t>
      </w:r>
      <w:r w:rsidRPr="00307058">
        <w:rPr>
          <w:rFonts w:ascii="Times New Roman" w:hAnsi="Times New Roman" w:cs="Times New Roman"/>
          <w:noProof/>
        </w:rPr>
        <w:tab/>
        <w:t>Rosselló-Móra R, Amann R. 2015. Past and future species definitions for Bacteria and Archaea. Syst Appl Microbiol 38:209–216.</w:t>
      </w:r>
    </w:p>
    <w:p w14:paraId="5EE4BABC"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70. </w:t>
      </w:r>
      <w:r w:rsidRPr="00307058">
        <w:rPr>
          <w:rFonts w:ascii="Times New Roman" w:hAnsi="Times New Roman" w:cs="Times New Roman"/>
          <w:noProof/>
        </w:rPr>
        <w:tab/>
        <w:t xml:space="preserve">Bentley DR, Balasubramanian S, Swerdlow HP, Smith GP, Milton J, Brown CG, Hall KP, Evers DJ, Barnes CL, Bignell HR, Boutell JM, Bryant J, Carter RJ, Keira Cheetham R, Cox AJ, Ellis DJ, Flatbush MR, Gormley NA, Humphray SJ, Irving LJ, Karbelashvili MS, Kirk SM, Li H, Liu X, Maisinger KS, Murray LJ, Obradovic B, Ost T, Parkinson ML, Pratt MR, Rasolonjatovo IMJ, Reed MT, Rigatti R, Rodighiero C, Ross MT, Sabot A, Sankar S V., Scally A, Schroth GP, Smith ME, Smith VP, Spiridou A, Torrance PE, Tzonev SS, Vermaas EH, Walter K, Wu X, Zhang L, Alam MD, Anastasi C, Aniebo IC, Bailey DMD, Bancarz IR, Banerjee S, Barbour SG, Baybayan PA, Benoit VA, Benson KF, Bevis C, Black </w:t>
      </w:r>
      <w:r w:rsidRPr="00307058">
        <w:rPr>
          <w:rFonts w:ascii="Times New Roman" w:hAnsi="Times New Roman" w:cs="Times New Roman"/>
          <w:noProof/>
        </w:rPr>
        <w:lastRenderedPageBreak/>
        <w:t xml:space="preserve">PJ, Boodhun A, Brennan JS, Bridgham JA, Brown RC, Brown AA, Buermann DH, Bundu AA, Burrows JC, Carter NP, Castillo N, Catenazzi MCE, Chang S, Neil Cooley R, Crake NR, Dada OO, Diakoumakos KD, Dominguez-Fernandez B, Earnshaw DJ, Egbujor UC, Elmore DW, Etchin SS, Ewan MR, Fedurco M, Fraser LJ, Fuentes Fajardo K V., Scott Furey W, George D, Gietzen KJ, Goddard CP, Golda GS, Granieri PA, Green DE, Gustafson DL, Hansen NF, Harnish K, Haudenschild CD, Heyer NI, Hims MM, Ho JT, Horgan AM, Hoschler K, Hurwitz S, Ivanov D V., Johnson MQ, James T, Huw Jones TA, Kang GD, Kerelska TH, Kersey AD, Khrebtukova I, Kindwall AP, Kingsbury Z, Kokko-Gonzales PI, Kumar A, Laurent MA, Lawley CT, Lee SE, Lee X, Liao AK, Loch JA, Lok M, Luo S, Mammen RM, Martin JW, McCauley PG, McNitt P, Mehta P, Moon KW, Mullens JW, Newington T, Ning Z, Ling Ng B, Novo SM, O’Neill MJ, Osborne MA, Osnowski A, Ostadan O, Paraschos LL, Pickering L, Pike AC, Pike AC, Chris Pinkard D, Pliskin DP, Podhasky J, Quijano VJ, Raczy C, Rae VH, Rawlings SR, Chiva Rodriguez A, Roe PM, Rogers J, Rogert Bacigalupo MC, Romanov N, Romieu A, Roth RK, Rourke NJ, Ruediger ST, Rusman E, Sanches-Kuiper RM, Schenker MR, Seoane JM, Shaw RJ, Shiver MK, Short SW, Sizto NL, Sluis JP, Smith MA, Ernest Sohna Sohna J, Spence EJ, Stevens K, Sutton N, Szajkowski L, Tregidgo CL, Turcatti G, Vandevondele S, Verhovsky Y, Virk SM, Wakelin S, Walcott GC, Wang J, Worsley GJ, Yan J, Yau L, Zuerlein M, Rogers J, Mullikin JC, Hurles ME, McCooke NJ, West JS, Oaks FL, Lundberg PL, Klenerman D, Durbin R, Smith AJ. 2008. Accurate whole human genome </w:t>
      </w:r>
      <w:r w:rsidRPr="00307058">
        <w:rPr>
          <w:rFonts w:ascii="Times New Roman" w:hAnsi="Times New Roman" w:cs="Times New Roman"/>
          <w:noProof/>
        </w:rPr>
        <w:lastRenderedPageBreak/>
        <w:t>sequencing using reversible terminator chemistry. Nature 456:53–59.</w:t>
      </w:r>
    </w:p>
    <w:p w14:paraId="07DCADB8"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71. </w:t>
      </w:r>
      <w:r w:rsidRPr="00307058">
        <w:rPr>
          <w:rFonts w:ascii="Times New Roman" w:hAnsi="Times New Roman" w:cs="Times New Roman"/>
          <w:noProof/>
        </w:rPr>
        <w:tab/>
        <w:t>Flajolet P, Gardy D, Thimonier L. 1992. Birthday paradox, coupon collectors, caching algorithms and self-organizing search. Discret Appl Math 39:207–229.</w:t>
      </w:r>
    </w:p>
    <w:p w14:paraId="38012324"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72. </w:t>
      </w:r>
      <w:r w:rsidRPr="00307058">
        <w:rPr>
          <w:rFonts w:ascii="Times New Roman" w:hAnsi="Times New Roman" w:cs="Times New Roman"/>
          <w:noProof/>
        </w:rPr>
        <w:tab/>
        <w:t>Magurran AE. 1988. Ecological Diversity and Its Measurement, 1st ed. Croom Helm Ltd.</w:t>
      </w:r>
    </w:p>
    <w:p w14:paraId="1EADF7DE"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73. </w:t>
      </w:r>
      <w:r w:rsidRPr="00307058">
        <w:rPr>
          <w:rFonts w:ascii="Times New Roman" w:hAnsi="Times New Roman" w:cs="Times New Roman"/>
          <w:noProof/>
        </w:rPr>
        <w:tab/>
        <w:t>Galand PE, Casamayor EO, Kirchman DL, Lovejoy C. 2009. Ecology of the rare microbial biosphere of the Arctic Ocean. Proc Natl Acad Sci 106:22427–22432.</w:t>
      </w:r>
    </w:p>
    <w:p w14:paraId="130AC6AF"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74. </w:t>
      </w:r>
      <w:r w:rsidRPr="00307058">
        <w:rPr>
          <w:rFonts w:ascii="Times New Roman" w:hAnsi="Times New Roman" w:cs="Times New Roman"/>
          <w:noProof/>
        </w:rPr>
        <w:tab/>
        <w:t>Shannon CE. 1948. A mathematical theory of communication. Bell Syst Tech J 27:379–423.</w:t>
      </w:r>
    </w:p>
    <w:p w14:paraId="1F74E28C"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75. </w:t>
      </w:r>
      <w:r w:rsidRPr="00307058">
        <w:rPr>
          <w:rFonts w:ascii="Times New Roman" w:hAnsi="Times New Roman" w:cs="Times New Roman"/>
          <w:noProof/>
        </w:rPr>
        <w:tab/>
        <w:t>Leinonen R, Sugawara H, Shumway M. 2010. The Sequence Read Archive. Nucleic Acids Res 39:2010–2012.</w:t>
      </w:r>
    </w:p>
    <w:p w14:paraId="6223C676"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76. </w:t>
      </w:r>
      <w:r w:rsidRPr="00307058">
        <w:rPr>
          <w:rFonts w:ascii="Times New Roman" w:hAnsi="Times New Roman" w:cs="Times New Roman"/>
          <w:noProof/>
        </w:rPr>
        <w:tab/>
        <w:t>Schmieder R, Edwards R. 2011. Quality control and preprocessing of metagenomic datasets. Bioinformatics 27:863–864.</w:t>
      </w:r>
    </w:p>
    <w:p w14:paraId="11818026"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77. </w:t>
      </w:r>
      <w:r w:rsidRPr="00307058">
        <w:rPr>
          <w:rFonts w:ascii="Times New Roman" w:hAnsi="Times New Roman" w:cs="Times New Roman"/>
          <w:noProof/>
        </w:rPr>
        <w:tab/>
        <w:t>Graham ED, Heidelberg JF, Tully BJ. 2017. BinSanity: unsupervised clustering of environmental microbial assemblies using coverage and affinity propagation. PeerJ 5:e3035.</w:t>
      </w:r>
    </w:p>
    <w:p w14:paraId="301DFF22"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78. </w:t>
      </w:r>
      <w:r w:rsidRPr="00307058">
        <w:rPr>
          <w:rFonts w:ascii="Times New Roman" w:hAnsi="Times New Roman" w:cs="Times New Roman"/>
          <w:noProof/>
        </w:rPr>
        <w:tab/>
        <w:t>Bolger AM, Lohse M, Usadel B. 2014. Trimmomatic: a flexible trimmer for Illumina sequence data. Bioinformatics 30:2114–20.</w:t>
      </w:r>
    </w:p>
    <w:p w14:paraId="09D18037"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79. </w:t>
      </w:r>
      <w:r w:rsidRPr="00307058">
        <w:rPr>
          <w:rFonts w:ascii="Times New Roman" w:hAnsi="Times New Roman" w:cs="Times New Roman"/>
          <w:noProof/>
        </w:rPr>
        <w:tab/>
        <w:t>Li D, Luo R, Liu C-M, Ting H-F, Sadakane K, Yamashita H, Lam T-W. 2016. MEGAHIT v1.0: A fast and scalable metagenome assembler driven by advanced methodologies and community practices. Methods 102:3–11.</w:t>
      </w:r>
    </w:p>
    <w:p w14:paraId="45306EAF"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80. </w:t>
      </w:r>
      <w:r w:rsidRPr="00307058">
        <w:rPr>
          <w:rFonts w:ascii="Times New Roman" w:hAnsi="Times New Roman" w:cs="Times New Roman"/>
          <w:noProof/>
        </w:rPr>
        <w:tab/>
        <w:t xml:space="preserve">Fu L, Niu B, Zhu Z, Wu S, Li W. 2012. CD-HIT: accelerated for clustering the </w:t>
      </w:r>
      <w:r w:rsidRPr="00307058">
        <w:rPr>
          <w:rFonts w:ascii="Times New Roman" w:hAnsi="Times New Roman" w:cs="Times New Roman"/>
          <w:noProof/>
        </w:rPr>
        <w:lastRenderedPageBreak/>
        <w:t>next-generation sequencing data. Bioinformatics 28:3150–3152.</w:t>
      </w:r>
    </w:p>
    <w:p w14:paraId="6E130BF5"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81. </w:t>
      </w:r>
      <w:r w:rsidRPr="00307058">
        <w:rPr>
          <w:rFonts w:ascii="Times New Roman" w:hAnsi="Times New Roman" w:cs="Times New Roman"/>
          <w:noProof/>
        </w:rPr>
        <w:tab/>
        <w:t>Langmead B, Salzberg SL. 2012. Fast gapped-read alignment with Bowtie 2. Nat Methods 9:357–9.</w:t>
      </w:r>
    </w:p>
    <w:p w14:paraId="6BBEB4C8"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82. </w:t>
      </w:r>
      <w:r w:rsidRPr="00307058">
        <w:rPr>
          <w:rFonts w:ascii="Times New Roman" w:hAnsi="Times New Roman" w:cs="Times New Roman"/>
          <w:noProof/>
        </w:rPr>
        <w:tab/>
        <w:t>Parks DH, Imelfort M, Skennerton CT, Hugenholtz P, Tyson GW. 2015. CheckM: assessing the quality of microbial genomes recovered from isolates, single cells, and metagenomes. Genome Res 25:1043–55.</w:t>
      </w:r>
    </w:p>
    <w:p w14:paraId="0E2A436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83. </w:t>
      </w:r>
      <w:r w:rsidRPr="00307058">
        <w:rPr>
          <w:rFonts w:ascii="Times New Roman" w:hAnsi="Times New Roman" w:cs="Times New Roman"/>
          <w:noProof/>
        </w:rPr>
        <w:tab/>
        <w:t>Royalty TM, Steen AD. 2020. A quantitative measure of functional redundancy in microbial ecosystems. bioRxiv.</w:t>
      </w:r>
    </w:p>
    <w:p w14:paraId="0667E1A5"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84. </w:t>
      </w:r>
      <w:r w:rsidRPr="00307058">
        <w:rPr>
          <w:rFonts w:ascii="Times New Roman" w:hAnsi="Times New Roman" w:cs="Times New Roman"/>
          <w:noProof/>
        </w:rPr>
        <w:tab/>
        <w:t>Coles VJ, Stukel MR, Brooks MT, Burd A, Crump BC, Moran MA, Paul JH, Satinsky BM, Yager PL, Zielinski BL, Hood RR. 2017. Ocean biogeochemistry modeled with emergent trait-based genomics. Science (80- ) 358:1149–1154.</w:t>
      </w:r>
    </w:p>
    <w:p w14:paraId="5A481EA7"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85. </w:t>
      </w:r>
      <w:r w:rsidRPr="00307058">
        <w:rPr>
          <w:rFonts w:ascii="Times New Roman" w:hAnsi="Times New Roman" w:cs="Times New Roman"/>
          <w:noProof/>
        </w:rPr>
        <w:tab/>
        <w:t>Sunagawa S, Coelho LP, Chaffron S, Kultima JR, Labadie K, Salazar G, Djahanschiri B, Zeller G, Mende DR, Alberti A, Cornejo-Castillo FM, Costea PI, Cruaud C, d’Ovidio F, Engelen S, Ferrera I, Gasol JM, Guidi L, Hildebrand F, Kokoszka F, Lepoivre C, Lima-Mendez G, Poulain J, Poulos BT, Royo-Llonch M, Sarmento H, Vieira-Silva S, Dimier C, Picheral M, Searson S, Kandels-Lewis S, Bowler C, de Vargas C, Gorsky G, Grimsley N, Hingamp P, Iudicone D, Jaillon O, Not F, Ogata H, Pesant S, Speich S, Stemmann L, Sullivan MB, Weissenbach J, Wincker P, Karsenti E, Raes J, Acinas SG, Bork P, Boss E, Bowler C, Follows M, Karp-Boss L, Krzic U, Reynaud EG, Sardet C, Sieracki M, Velayoudon D. 2015. Structure and function of the global ocean microbiome. Science (80- ) 348:1261359–1261359.</w:t>
      </w:r>
    </w:p>
    <w:p w14:paraId="1BCCD0DA"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lastRenderedPageBreak/>
        <w:t xml:space="preserve">86. </w:t>
      </w:r>
      <w:r w:rsidRPr="00307058">
        <w:rPr>
          <w:rFonts w:ascii="Times New Roman" w:hAnsi="Times New Roman" w:cs="Times New Roman"/>
          <w:noProof/>
        </w:rPr>
        <w:tab/>
        <w:t>Naeem S. 1998. Species redundancy and ecosystem reliability. Conserv Biol 12:39–45.</w:t>
      </w:r>
    </w:p>
    <w:p w14:paraId="1B74E90E"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87. </w:t>
      </w:r>
      <w:r w:rsidRPr="00307058">
        <w:rPr>
          <w:rFonts w:ascii="Times New Roman" w:hAnsi="Times New Roman" w:cs="Times New Roman"/>
          <w:noProof/>
        </w:rPr>
        <w:tab/>
        <w:t>Hunting ER, Vijver MG, van der Geest HG, Mulder C, Kraak MHS, Breure AM, Admiraal W. 2015. Resource niche overlap promotes stability of bacterial community metabolism in experimental microcosms. Front Microbiol 6:1–7.</w:t>
      </w:r>
    </w:p>
    <w:p w14:paraId="6F1D77DA"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88. </w:t>
      </w:r>
      <w:r w:rsidRPr="00307058">
        <w:rPr>
          <w:rFonts w:ascii="Times New Roman" w:hAnsi="Times New Roman" w:cs="Times New Roman"/>
          <w:noProof/>
        </w:rPr>
        <w:tab/>
        <w:t>Teeling H, Fuchs BM, Becher D, Klockow C, Gardebrecht A, Bennke CM, Kassabgy M, Huang S, Mann AJ, Waldmann J, Weber M, Klindworth A, Otto A, Lange J, Bernhardt J, Reinsch C, Hecker M, Peplies J, Bockelmann FD, Callies U, Gerdts G, Wichels A, Wiltshire KH, Glöckner FO, Schweder T, Amann R. 2012. Substrate-Controlled Succession of Marine Bacterioplankton Populations Induced by a Phytoplankton Bloom. Science (80- ) 336:608–611.</w:t>
      </w:r>
    </w:p>
    <w:p w14:paraId="588BE81F"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89. </w:t>
      </w:r>
      <w:r w:rsidRPr="00307058">
        <w:rPr>
          <w:rFonts w:ascii="Times New Roman" w:hAnsi="Times New Roman" w:cs="Times New Roman"/>
          <w:noProof/>
        </w:rPr>
        <w:tab/>
        <w:t>Heintz-Buschart A, Wilmes P. 2018. Human Gut Microbiome: Function Matters. Trends Microbiol 26:563–574.</w:t>
      </w:r>
    </w:p>
    <w:p w14:paraId="0A54C5E8"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90. </w:t>
      </w:r>
      <w:r w:rsidRPr="00307058">
        <w:rPr>
          <w:rFonts w:ascii="Times New Roman" w:hAnsi="Times New Roman" w:cs="Times New Roman"/>
          <w:noProof/>
        </w:rPr>
        <w:tab/>
        <w:t>Rao R. 1982. Diversity and Dissimilarity Coefficients: A Unified Approach. Theor Popul Biol 21:24–43.</w:t>
      </w:r>
    </w:p>
    <w:p w14:paraId="7139042F"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91. </w:t>
      </w:r>
      <w:r w:rsidRPr="00307058">
        <w:rPr>
          <w:rFonts w:ascii="Times New Roman" w:hAnsi="Times New Roman" w:cs="Times New Roman"/>
          <w:noProof/>
        </w:rPr>
        <w:tab/>
        <w:t>Ricotta C, de Bello F, Moretti M, Caccianiga M, Cerabolini BEL, Pavoine S. 2016. Measuring the functional redundancy of biological communities: a quantitative guide. Methods Ecol Evol 7:1386–1395.</w:t>
      </w:r>
    </w:p>
    <w:p w14:paraId="3362740A"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92. </w:t>
      </w:r>
      <w:r w:rsidRPr="00307058">
        <w:rPr>
          <w:rFonts w:ascii="Times New Roman" w:hAnsi="Times New Roman" w:cs="Times New Roman"/>
          <w:noProof/>
        </w:rPr>
        <w:tab/>
        <w:t>Mouillot D, Villéger S, Parravicini V, Kulbicki M, Arias-González JE, Bender M, Chabanet P, Floeter SR, Friedlander A, Vigliola L, Bellwood DR. 2014. Functional over-redundancy and high functional vulnerability in global fish faunas on tropical reefs. Proc Natl Acad Sci U S A 111:13757–13762.</w:t>
      </w:r>
    </w:p>
    <w:p w14:paraId="630A6BF0"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lastRenderedPageBreak/>
        <w:t xml:space="preserve">93. </w:t>
      </w:r>
      <w:r w:rsidRPr="00307058">
        <w:rPr>
          <w:rFonts w:ascii="Times New Roman" w:hAnsi="Times New Roman" w:cs="Times New Roman"/>
          <w:noProof/>
        </w:rPr>
        <w:tab/>
        <w:t>Ricotta C, Szeidl L. 2006. Towards a unifying approach to diversity measures: Bridging the gap between the Shannon entropy and Rao’s quadratic index. Theor Popul Biol 70:237–243.</w:t>
      </w:r>
    </w:p>
    <w:p w14:paraId="21DBBAE5"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94. </w:t>
      </w:r>
      <w:r w:rsidRPr="00307058">
        <w:rPr>
          <w:rFonts w:ascii="Times New Roman" w:hAnsi="Times New Roman" w:cs="Times New Roman"/>
          <w:noProof/>
        </w:rPr>
        <w:tab/>
        <w:t>Villéger S, Mason NWH, Mouillot D. 2008. New Mulitdimensional Functional Diversity Indicies for a Muiltifaceted Framework in Functional Ecology. Ecology 39:2290–2301.</w:t>
      </w:r>
    </w:p>
    <w:p w14:paraId="059D9B77"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95. </w:t>
      </w:r>
      <w:r w:rsidRPr="00307058">
        <w:rPr>
          <w:rFonts w:ascii="Times New Roman" w:hAnsi="Times New Roman" w:cs="Times New Roman"/>
          <w:noProof/>
        </w:rPr>
        <w:tab/>
        <w:t>Staley J, Konopka A. 1985. Measurement of In Situ Activities of Nonphotosynthetic Microorganisms in Aquatic and Terrestrial Habitats. Annu Rev Microbiol 39:321–346.</w:t>
      </w:r>
    </w:p>
    <w:p w14:paraId="0A61E785"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96. </w:t>
      </w:r>
      <w:r w:rsidRPr="00307058">
        <w:rPr>
          <w:rFonts w:ascii="Times New Roman" w:hAnsi="Times New Roman" w:cs="Times New Roman"/>
          <w:noProof/>
        </w:rPr>
        <w:tab/>
        <w:t>Allison SD, Martiny JBH. 2009. Resistance, resilience, and redundancy in microbial communities. Light Evol 2:149–166.</w:t>
      </w:r>
    </w:p>
    <w:p w14:paraId="68FB912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97. </w:t>
      </w:r>
      <w:r w:rsidRPr="00307058">
        <w:rPr>
          <w:rFonts w:ascii="Times New Roman" w:hAnsi="Times New Roman" w:cs="Times New Roman"/>
          <w:noProof/>
        </w:rPr>
        <w:tab/>
        <w:t>Delgado-Baquerizo M, Giaramida L, Reich PB, Khachane AN, Hamonts K, Edwards C, Lawton LA, Singh BK. 2016. Lack of functional redundancy in the relationship between microbial diversity and ecosystem functioning. J Ecol 104:936–946.</w:t>
      </w:r>
    </w:p>
    <w:p w14:paraId="15FBD1EC"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98. </w:t>
      </w:r>
      <w:r w:rsidRPr="00307058">
        <w:rPr>
          <w:rFonts w:ascii="Times New Roman" w:hAnsi="Times New Roman" w:cs="Times New Roman"/>
          <w:noProof/>
        </w:rPr>
        <w:tab/>
        <w:t>Krause S, Le Roux X, Niklaus PA, van Bodegom PM, Lennon T. JT, Bertilsson S, Grossart HP, Philippot L, Bodelier PLE. 2014. Trait-based approaches for understanding microbial biodiversity and ecosystem functioning. Front Microbiol 5:1–10.</w:t>
      </w:r>
    </w:p>
    <w:p w14:paraId="78B0F4EA"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99. </w:t>
      </w:r>
      <w:r w:rsidRPr="00307058">
        <w:rPr>
          <w:rFonts w:ascii="Times New Roman" w:hAnsi="Times New Roman" w:cs="Times New Roman"/>
          <w:noProof/>
        </w:rPr>
        <w:tab/>
        <w:t>Patil GP, Taillie C. 1982. Diversity as a concept and its measurement. J Am Stat Assoc 77:548–561.</w:t>
      </w:r>
    </w:p>
    <w:p w14:paraId="37B0BF54"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100. </w:t>
      </w:r>
      <w:r w:rsidRPr="00307058">
        <w:rPr>
          <w:rFonts w:ascii="Times New Roman" w:hAnsi="Times New Roman" w:cs="Times New Roman"/>
          <w:noProof/>
        </w:rPr>
        <w:tab/>
        <w:t xml:space="preserve">McGill BJ, Etienne RS, Gray JS, Alonso D, Anderson MJ, Benecha HK, Dornelas </w:t>
      </w:r>
      <w:r w:rsidRPr="00307058">
        <w:rPr>
          <w:rFonts w:ascii="Times New Roman" w:hAnsi="Times New Roman" w:cs="Times New Roman"/>
          <w:noProof/>
        </w:rPr>
        <w:lastRenderedPageBreak/>
        <w:t>M, Enquist BJ, Green JL, He F, Hurlbert AH, Magurran AE, Marquet PA, Maurer BA, Ostling A, Soykan CU, Ugland KI, White EP. 2007. Species abundance distributions: Moving beyond single prediction theories to integration within an ecological framework. Ecol Lett 10:995–1015.</w:t>
      </w:r>
    </w:p>
    <w:p w14:paraId="12A8B8FC"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101. </w:t>
      </w:r>
      <w:r w:rsidRPr="00307058">
        <w:rPr>
          <w:rFonts w:ascii="Times New Roman" w:hAnsi="Times New Roman" w:cs="Times New Roman"/>
          <w:noProof/>
        </w:rPr>
        <w:tab/>
        <w:t>Pajares S, Ramos R. 2019. Processes and Microorganisms Involved in the Marine Nitrogen Cycle: Knowledge and Gaps. Front Mar Sci 6.</w:t>
      </w:r>
    </w:p>
    <w:p w14:paraId="6DCD4940"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102. </w:t>
      </w:r>
      <w:r w:rsidRPr="00307058">
        <w:rPr>
          <w:rFonts w:ascii="Times New Roman" w:hAnsi="Times New Roman" w:cs="Times New Roman"/>
          <w:noProof/>
        </w:rPr>
        <w:tab/>
        <w:t>Malik AA, Martiny JBH, Brodie EL, Martiny AC, Treseder KK, Allison SD. 2019. Defining trait-based microbial strategies with consequences for soil carbon cycling under climate change. ISME J 445866.</w:t>
      </w:r>
    </w:p>
    <w:p w14:paraId="778014CE"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103. </w:t>
      </w:r>
      <w:r w:rsidRPr="00307058">
        <w:rPr>
          <w:rFonts w:ascii="Times New Roman" w:hAnsi="Times New Roman" w:cs="Times New Roman"/>
          <w:noProof/>
        </w:rPr>
        <w:tab/>
        <w:t>Hubert C. 2009. A Constant Flux of Diverse. Program 1541:1541–1544.</w:t>
      </w:r>
    </w:p>
    <w:p w14:paraId="07AB2D15"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104. </w:t>
      </w:r>
      <w:r w:rsidRPr="00307058">
        <w:rPr>
          <w:rFonts w:ascii="Times New Roman" w:hAnsi="Times New Roman" w:cs="Times New Roman"/>
          <w:noProof/>
        </w:rPr>
        <w:tab/>
        <w:t>McPherson JM, Yeager LA, Baum JK. 2018. A simulation tool to scrutinise the behaviour of functional diversity metrics. Methods Ecol Evol 9:200–206.</w:t>
      </w:r>
    </w:p>
    <w:p w14:paraId="4CED370D"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105. </w:t>
      </w:r>
      <w:r w:rsidRPr="00307058">
        <w:rPr>
          <w:rFonts w:ascii="Times New Roman" w:hAnsi="Times New Roman" w:cs="Times New Roman"/>
          <w:noProof/>
        </w:rPr>
        <w:tab/>
        <w:t>Tilman D. 2001. Functional Diversity. Encycl Biodivers Second Ed 3:587–596.</w:t>
      </w:r>
    </w:p>
    <w:p w14:paraId="4365BEF2"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106. </w:t>
      </w:r>
      <w:r w:rsidRPr="00307058">
        <w:rPr>
          <w:rFonts w:ascii="Times New Roman" w:hAnsi="Times New Roman" w:cs="Times New Roman"/>
          <w:noProof/>
        </w:rPr>
        <w:tab/>
        <w:t>Wuchter C, Abbas B, Coolen MJL, Herfort L, Van Bleijswijk J, Timmers P, Strous M, Teira E, Herndl GJ, Middelburg JJ, Schouten S, Damsté JSS. 2006. Archaeal nitrification in the ocean. Proc Natl Acad Sci U S A 103:12317–12322.</w:t>
      </w:r>
    </w:p>
    <w:p w14:paraId="315B1FDC"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107. </w:t>
      </w:r>
      <w:r w:rsidRPr="00307058">
        <w:rPr>
          <w:rFonts w:ascii="Times New Roman" w:hAnsi="Times New Roman" w:cs="Times New Roman"/>
          <w:noProof/>
        </w:rPr>
        <w:tab/>
        <w:t xml:space="preserve">Thompson LR, Sanders JG, McDonald D, Amir A, Ladau J, Locey KJ, Prill RJ, Tripathi A, Gibbons SM, Ackermann G, Navas-Molina JA, Janssen S, Kopylova E, Vázquez-Baeza Y, González A, Morton JT, Mirarab S, Xu ZZ, Jiang L, Haroon MF, Kanbar J, Zhu Q, Song SJ, Kosciolek T, Bokulich NA, Lefler J, Brislawn CJ, Humphrey G, Owens SM, Hampton-Marcell J, Berg-Lyons D, McKenzie V, Fierer N, Fuhrman JA, Clauset A, Stevens RL, Shade A, Pollard KS, Goodwin KD, </w:t>
      </w:r>
      <w:r w:rsidRPr="00307058">
        <w:rPr>
          <w:rFonts w:ascii="Times New Roman" w:hAnsi="Times New Roman" w:cs="Times New Roman"/>
          <w:noProof/>
        </w:rPr>
        <w:lastRenderedPageBreak/>
        <w:t xml:space="preserve">Jansson JK, Gilbert JA, Knight R, Agosto Rivera JL, Al-Moosawi L, Alverdy J, Amato KR, Andras J, Angenent LT, Antonopoulos DA, Apprill A, Armitage D, Ballantine K, Bárta J, Baum JK, Berry A, Bhatnagar A, Bhatnagar M, Biddle JF, Bittner L, Boldgiv B, Bottos E, Boyer DM, Braun J, Brazelton W, Brearley FQ, Campbell AH, Caporaso JG, Cardona C, Carroll JL, Cary SC, Casper BB, Charles TC, Chu H, Claar DC, Clark RG, Clayton JB, Clemente JC, Cochran A, Coleman ML, Collins G, Colwell RR, Contreras M, Crary BB, Creer S, Cristol DA, Crump BC, Cui D, Daly SE, Davalos L, Dawson RD, Defazio J, Delsuc F, Dionisi HM, Dominguez-Bello MG, Dowell R, Dubinsky EA, Dunn PO, Ercolini D, Espinoza RE, Ezenwa V, Fenner N, Findlay HS, Fleming ID, Fogliano V, Forsman A, Freeman C, Friedman ES, Galindo G, Garcia L, Garcia-Amado MA, Garshelis D, Gasser RB, Gerdts G, Gibson MK, Gifford I, Gill RT, Giray T, Gittel A, Golyshin P, Gong D, Grossart HP, Guyton K, Haig SJ, Hale V, Hall RS, Hallam SJ, Handley KM, Hasan NA, Haydon SR, Hickman JE, Hidalgo G, Hofmockel KS, Hooker J, Hulth S, Hultman J, Hyde E, Ibáñez-Álamo JD, Jastrow JD, Jex AR, Johnson LS, Johnston ER, Joseph S, Jurburg SD, Jurelevicius D, Karlsson A, Karlsson R, Kauppinen S, Kellogg CTE, Kennedy SJ, Kerkhof LJ, King GM, Kling GW, Koehler A V., Krezalek M, Kueneman J, Lamendella R, Landon EM, Lanede Graaf K, LaRoche J, Larsen P, Laverock B, Lax S, Lentino M, Levin II, Liancourt P, Liang W, Linz AM, Lipson DA, Liu Y, Lladser ME, Lozada M, Spirito CM, MacCormack WP, MacRae-Crerar A, Magris M, Martín-Platero AM, Martín-Vivaldi M, Martínez LM, Martínez-Bueno M, Marzinelli EM, Mason OU, </w:t>
      </w:r>
      <w:r w:rsidRPr="00307058">
        <w:rPr>
          <w:rFonts w:ascii="Times New Roman" w:hAnsi="Times New Roman" w:cs="Times New Roman"/>
          <w:noProof/>
        </w:rPr>
        <w:lastRenderedPageBreak/>
        <w:t>Mayer GD, McDevitt-Irwin JM, McDonald JE, McGuire KL, McMahon KD, McMinds R, Medina M, Mendelson JR, Metcalf JL, Meyer F, Michelangeli F, Miller K, Mills DA, Minich J, Mocali S, Moitinho-Silva L, Moore A, Morgan-Kiss RM, Munroe P, Myrold D, Neufeld JD, Ni Y, Nicol GW, Nielsen S, Nissimov JI, Niu K, Nolan MJ, Noyce K, O’Brien SL, Okamoto N, Orlando L, Castellano YO, Osuolale O, Oswald W, Parnell J, Peralta-Sánchez JM, Petraitis P, Pfister C, Pilon-Smits E, Piombino P, Pointing SB, Pollock FJ, Potter C, Prithiviraj B, Quince C, Rani A, Ranjan R, Rao S, Rees AP, Richardson M, Riebesell U, Robinson C, Rockne KJ, Rodriguezl SM, Rohwer F, Roundstone W, Safran RJ, Sangwan N, Sanz V, Schrenk M, Schrenzel MD, Scott NM, Seger RL, Seguinorlando A, Seldin L, Seyler LM, Shakhsheer B, Sheets GM, Shen C, Shi Y, Shin H, Shogan BD, Shutler D, Siegel J, Simmons S, Sjöling S, Smith DP, Soler JJ, Sperling M, Steinberg PD, Stephens B, Stevens MA, Taghavi S, Tai V, Tait K, Tan CL, Taş N, Taylor DL, Thomas T, Timling I, Turner BL, Urich T, Ursell LK, Van Der Lelie D, Van Treuren W, Van Zwieten L, Vargas-Robles D, Thurber RV, Vitaglione P, Walker DA, Walters WA, Wang S, Wang T, Weaver T, Webster NS, Wehrle B, Weisenhorn P, Weiss S, Werner JJ, West K, Whitehead A, Whitehead SR, Whittingham LA, Willerslev E, Williams AE, Wood SA, Woodhams DC, Yang Y, Zaneveld J, Zarraonaindia I, Zhang Q, Zhao H. 2017. A communal catalogue reveals Earth’s multiscale microbial diversity. Nature 551:457–463.</w:t>
      </w:r>
    </w:p>
    <w:p w14:paraId="0FE1FB8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108. </w:t>
      </w:r>
      <w:r w:rsidRPr="00307058">
        <w:rPr>
          <w:rFonts w:ascii="Times New Roman" w:hAnsi="Times New Roman" w:cs="Times New Roman"/>
          <w:noProof/>
        </w:rPr>
        <w:tab/>
        <w:t xml:space="preserve">Steen AD, Crits-Christoph A, Carini P, DeAngelis KM, Fierer N, Lloyd KG, Cameron Thrash J. 2019. High proportions of bacteria and archaea across most </w:t>
      </w:r>
      <w:r w:rsidRPr="00307058">
        <w:rPr>
          <w:rFonts w:ascii="Times New Roman" w:hAnsi="Times New Roman" w:cs="Times New Roman"/>
          <w:noProof/>
        </w:rPr>
        <w:lastRenderedPageBreak/>
        <w:t>biomes remain uncultured. ISME J 13:3126–3130.</w:t>
      </w:r>
    </w:p>
    <w:p w14:paraId="6B7A9A18"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109. </w:t>
      </w:r>
      <w:r w:rsidRPr="00307058">
        <w:rPr>
          <w:rFonts w:ascii="Times New Roman" w:hAnsi="Times New Roman" w:cs="Times New Roman"/>
          <w:noProof/>
        </w:rPr>
        <w:tab/>
        <w:t>Musat N, Foster R, Vagner T, Adam B, Kuypers MMM. 2012. Detecting metabolic activities in single cells, with emphasis on nanoSIMS. FEMS Microbiol Rev 36:486–511.</w:t>
      </w:r>
    </w:p>
    <w:p w14:paraId="59766BD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110. </w:t>
      </w:r>
      <w:r w:rsidRPr="00307058">
        <w:rPr>
          <w:rFonts w:ascii="Times New Roman" w:hAnsi="Times New Roman" w:cs="Times New Roman"/>
          <w:noProof/>
        </w:rPr>
        <w:tab/>
        <w:t>Clark K, Karsch-Mizrachi I, Lipman DJ, Ostell J, Sayers EW. 2019. GenBank. Nucleic Acids Res 47:D94–D99.</w:t>
      </w:r>
    </w:p>
    <w:p w14:paraId="2F136714"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111. </w:t>
      </w:r>
      <w:r w:rsidRPr="00307058">
        <w:rPr>
          <w:rFonts w:ascii="Times New Roman" w:hAnsi="Times New Roman" w:cs="Times New Roman"/>
          <w:noProof/>
        </w:rPr>
        <w:tab/>
        <w:t>Bairoch A, Apweiler R. 2000. The SWISS-PROT protein sequence database and its supplement TrEMBL in 2000. Nucleic Acids Res 28:45–48.</w:t>
      </w:r>
    </w:p>
    <w:p w14:paraId="1666338C"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112. </w:t>
      </w:r>
      <w:r w:rsidRPr="00307058">
        <w:rPr>
          <w:rFonts w:ascii="Times New Roman" w:hAnsi="Times New Roman" w:cs="Times New Roman"/>
          <w:noProof/>
        </w:rPr>
        <w:tab/>
        <w:t>Froelich PN, Klinkhammer GP, Bender ML, Luedtke NA, Heath GR, Cullen D, Dauphin P, Hammond D, Hartman B, Maynard V. 1979. Early oxidation of organic matter in pelagic sediments of the eastern equatorial Atlantic: suboxic diagenesis. Geochim Cosmochim Acta 43:1075–1090.</w:t>
      </w:r>
    </w:p>
    <w:p w14:paraId="69D44E0F"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113. </w:t>
      </w:r>
      <w:r w:rsidRPr="00307058">
        <w:rPr>
          <w:rFonts w:ascii="Times New Roman" w:hAnsi="Times New Roman" w:cs="Times New Roman"/>
          <w:noProof/>
        </w:rPr>
        <w:tab/>
        <w:t>LaRowe DE, Arndt S, Bradley JA, Estes ER, Hoarfrost A, Lang SQ, Lloyd KG, Mahmoudi N, Orsi WD, Shah Walter SR, Steen AD, Zhao R. 2020. The fate of organic carbon in marine sediments - New insights from recent data and analysis. Earth-Science Rev 204:103146.</w:t>
      </w:r>
    </w:p>
    <w:p w14:paraId="10C38B3D"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114. </w:t>
      </w:r>
      <w:r w:rsidRPr="00307058">
        <w:rPr>
          <w:rFonts w:ascii="Times New Roman" w:hAnsi="Times New Roman" w:cs="Times New Roman"/>
          <w:noProof/>
        </w:rPr>
        <w:tab/>
        <w:t>Hutchings JA, Bianchi TS, Najjar RG, Herrmann M, Kemp WM, Hinson AL, Feagin RA. 2020. Carbon Deposition and Burial in Estuarine Sediments of the Contiguous United States. Global Biogeochem Cycles 34.</w:t>
      </w:r>
    </w:p>
    <w:p w14:paraId="38C16B51"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115. </w:t>
      </w:r>
      <w:r w:rsidRPr="00307058">
        <w:rPr>
          <w:rFonts w:ascii="Times New Roman" w:hAnsi="Times New Roman" w:cs="Times New Roman"/>
          <w:noProof/>
        </w:rPr>
        <w:tab/>
        <w:t>Martens S, Goldhaber B. 1978. Early diagenesis in transitional sedimentary environments of the White Oak River Estuary , North Carolina 23.</w:t>
      </w:r>
    </w:p>
    <w:p w14:paraId="6F3ED931"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116. </w:t>
      </w:r>
      <w:r w:rsidRPr="00307058">
        <w:rPr>
          <w:rFonts w:ascii="Times New Roman" w:hAnsi="Times New Roman" w:cs="Times New Roman"/>
          <w:noProof/>
        </w:rPr>
        <w:tab/>
        <w:t xml:space="preserve">Kelley C a., Martens CS, Chanton JP. 1990. Variations in sedimentary carbon </w:t>
      </w:r>
      <w:r w:rsidRPr="00307058">
        <w:rPr>
          <w:rFonts w:ascii="Times New Roman" w:hAnsi="Times New Roman" w:cs="Times New Roman"/>
          <w:noProof/>
        </w:rPr>
        <w:lastRenderedPageBreak/>
        <w:t>remineralization rates in the White Oak River estuary, North Carolina. Limnol Oceanogr 35:372–383.</w:t>
      </w:r>
    </w:p>
    <w:p w14:paraId="591F13AD"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117. </w:t>
      </w:r>
      <w:r w:rsidRPr="00307058">
        <w:rPr>
          <w:rFonts w:ascii="Times New Roman" w:hAnsi="Times New Roman" w:cs="Times New Roman"/>
          <w:noProof/>
        </w:rPr>
        <w:tab/>
        <w:t>Lloyd KG, Alperin MJ, Teske A. 2011. Environmental evidence for net methane production and oxidation in putative ANaerobic MEthanotrophic (ANME) archaea. Environ Microbiol 13:2548–2564.</w:t>
      </w:r>
    </w:p>
    <w:p w14:paraId="1842BCD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118. </w:t>
      </w:r>
      <w:r w:rsidRPr="00307058">
        <w:rPr>
          <w:rFonts w:ascii="Times New Roman" w:hAnsi="Times New Roman" w:cs="Times New Roman"/>
          <w:noProof/>
        </w:rPr>
        <w:tab/>
        <w:t>Steen AD, Kevorkian RT, Bird JT, Dombrowski N, Baker BJ, Hagen SM, Mulligan KH, Schmidt JM, Webber AT, Royalty TM, Alperin MJ. 2019. Kinetics and identities of extracellular peptidases in subsurface sediments of the White Oak River Estuary, NC. Appl Environ Microbiol.</w:t>
      </w:r>
    </w:p>
    <w:p w14:paraId="5352B07C"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119. </w:t>
      </w:r>
      <w:r w:rsidRPr="00307058">
        <w:rPr>
          <w:rFonts w:ascii="Times New Roman" w:hAnsi="Times New Roman" w:cs="Times New Roman"/>
          <w:noProof/>
        </w:rPr>
        <w:tab/>
        <w:t>Kogan I, Paull CK. 2005. Coastal seismic wipe-outs: Distribution controlled by pore water. Mar Geol 217:161–175.</w:t>
      </w:r>
    </w:p>
    <w:p w14:paraId="264969FA"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120. </w:t>
      </w:r>
      <w:r w:rsidRPr="00307058">
        <w:rPr>
          <w:rFonts w:ascii="Times New Roman" w:hAnsi="Times New Roman" w:cs="Times New Roman"/>
          <w:noProof/>
        </w:rPr>
        <w:tab/>
        <w:t>Lazar CS, Baker BJ, Seitz KW, Teske AP. 2017. Genomic reconstruction of multiple lineages of uncultured benthic archaea suggests distinct biogeochemical roles and ecological niches. ISME J 11:1118–1129.</w:t>
      </w:r>
    </w:p>
    <w:p w14:paraId="697368FF"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121. </w:t>
      </w:r>
      <w:r w:rsidRPr="00307058">
        <w:rPr>
          <w:rFonts w:ascii="Times New Roman" w:hAnsi="Times New Roman" w:cs="Times New Roman"/>
          <w:noProof/>
        </w:rPr>
        <w:tab/>
        <w:t>Okie JG, Horn DJ Van, Storch D, Barrett JE, Gooseff MN, Kopsova L, Takacs-vesbach CD, Okie JG. 2015. Niche and metabolic principles explain patterns of diversity and distribution : theory and a case study with soil bacterial communities. R Soc Proc B.</w:t>
      </w:r>
    </w:p>
    <w:p w14:paraId="0B8FDBED"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122. </w:t>
      </w:r>
      <w:r w:rsidRPr="00307058">
        <w:rPr>
          <w:rFonts w:ascii="Times New Roman" w:hAnsi="Times New Roman" w:cs="Times New Roman"/>
          <w:noProof/>
        </w:rPr>
        <w:tab/>
        <w:t>Morrissey EM, Mau RL, Hayer M, Liu XJA, Schwartz E, Dijkstra P, Koch BJ, Allen K, Blazewicz SJ, Hofmockel K, Pett-Ridge J, Hungate BA. 2019. Evolutionary history constrains microbial traits across environmental variation. Nat Ecol Evol 3:1064–1069.</w:t>
      </w:r>
    </w:p>
    <w:p w14:paraId="28F4CC0B"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lastRenderedPageBreak/>
        <w:t xml:space="preserve">123. </w:t>
      </w:r>
      <w:r w:rsidRPr="00307058">
        <w:rPr>
          <w:rFonts w:ascii="Times New Roman" w:hAnsi="Times New Roman" w:cs="Times New Roman"/>
          <w:noProof/>
        </w:rPr>
        <w:tab/>
        <w:t>Knab NJ, Dale AW, Lettmann K, Fossing H, Jørgensen BB. 2008. Thermodynamic and kinetic control on anaerobic oxidation of methane in marine sediments. Geochim Cosmochim Acta 72:3746–3757.</w:t>
      </w:r>
    </w:p>
    <w:p w14:paraId="52449DA2"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124. </w:t>
      </w:r>
      <w:r w:rsidRPr="00307058">
        <w:rPr>
          <w:rFonts w:ascii="Times New Roman" w:hAnsi="Times New Roman" w:cs="Times New Roman"/>
          <w:noProof/>
        </w:rPr>
        <w:tab/>
        <w:t>Land LA, Paull CK. 2001. Thermal gradients as a tool for estimating groundwater advective rates in a coastal estuary: White Oak River, North Carolina, USA. J Hydrol 248:198–215.</w:t>
      </w:r>
    </w:p>
    <w:p w14:paraId="2D602F50"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125. </w:t>
      </w:r>
      <w:r w:rsidRPr="00307058">
        <w:rPr>
          <w:rFonts w:ascii="Times New Roman" w:hAnsi="Times New Roman" w:cs="Times New Roman"/>
          <w:noProof/>
        </w:rPr>
        <w:tab/>
        <w:t>Helms JR, Stubbins A, Ritchie JD, Minor EC, Kieber DJ, Mopper K. 2009. Erratum: Absorption spectral slopes and slope ratios as indicators of molecular weight, source, and photobleaching of chromophoric dissolved organic matter. Limnol Oceanogr 54:1023.</w:t>
      </w:r>
    </w:p>
    <w:p w14:paraId="5E03D346"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126. </w:t>
      </w:r>
      <w:r w:rsidRPr="00307058">
        <w:rPr>
          <w:rFonts w:ascii="Times New Roman" w:hAnsi="Times New Roman" w:cs="Times New Roman"/>
          <w:noProof/>
        </w:rPr>
        <w:tab/>
        <w:t>Peng Y, Liu D, Wang Y, Richard P, Keesing JK. 2018. Analyzing biases of nitrogen contents and δ 15N values arising from acidified marine sediments with different CaCO3 concentrations. Acta Oceanol Sin 37:1–5.</w:t>
      </w:r>
    </w:p>
    <w:p w14:paraId="53CCFBA5"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127. </w:t>
      </w:r>
      <w:r w:rsidRPr="00307058">
        <w:rPr>
          <w:rFonts w:ascii="Times New Roman" w:hAnsi="Times New Roman" w:cs="Times New Roman"/>
          <w:noProof/>
        </w:rPr>
        <w:tab/>
        <w:t>Kelley CA, Martens CS, Chanton JP. 1990. Variations in sedimentary carbon remineralization rates in the White Oak River estuary, North Carolina. Limnol Oceanogr 35:372–383.</w:t>
      </w:r>
    </w:p>
    <w:p w14:paraId="79DED34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128. </w:t>
      </w:r>
      <w:r w:rsidRPr="00307058">
        <w:rPr>
          <w:rFonts w:ascii="Times New Roman" w:hAnsi="Times New Roman" w:cs="Times New Roman"/>
          <w:noProof/>
        </w:rPr>
        <w:tab/>
        <w:t>Boudreau BP. 1997. Diagenetic Models and Their Implementation. Springer.</w:t>
      </w:r>
    </w:p>
    <w:p w14:paraId="745BA7E0"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129. </w:t>
      </w:r>
      <w:r w:rsidRPr="00307058">
        <w:rPr>
          <w:rFonts w:ascii="Times New Roman" w:hAnsi="Times New Roman" w:cs="Times New Roman"/>
          <w:noProof/>
        </w:rPr>
        <w:tab/>
        <w:t>Oelkers EH. 1991. Calculation of diffusion coefficients for aqueous organic species at temperatures from 0 to 350 °C. Geochim Cosmochim Acta 55:3515–3529.</w:t>
      </w:r>
    </w:p>
    <w:p w14:paraId="7B4423FF"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130. </w:t>
      </w:r>
      <w:r w:rsidRPr="00307058">
        <w:rPr>
          <w:rFonts w:ascii="Times New Roman" w:hAnsi="Times New Roman" w:cs="Times New Roman"/>
          <w:noProof/>
        </w:rPr>
        <w:tab/>
        <w:t>Winner MD, Coble RW. 1996. Hydrogeologic framework of the North Carolina Coastal Plain. US Geol Surv Prof Pap 11–150.</w:t>
      </w:r>
    </w:p>
    <w:p w14:paraId="0025F5EF"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lastRenderedPageBreak/>
        <w:t xml:space="preserve">131. </w:t>
      </w:r>
      <w:r w:rsidRPr="00307058">
        <w:rPr>
          <w:rFonts w:ascii="Times New Roman" w:hAnsi="Times New Roman" w:cs="Times New Roman"/>
          <w:noProof/>
        </w:rPr>
        <w:tab/>
        <w:t>Lapham LL, Alperin M, Chanton J, Martens C. 2008. Upward advection rates and methane fluxes, oxidation, and sources at two Gulf of Mexico brine seeps. Mar Chem 112:65–71.</w:t>
      </w:r>
    </w:p>
    <w:p w14:paraId="4B5894E2"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132. </w:t>
      </w:r>
      <w:r w:rsidRPr="00307058">
        <w:rPr>
          <w:rFonts w:ascii="Times New Roman" w:hAnsi="Times New Roman" w:cs="Times New Roman"/>
          <w:noProof/>
        </w:rPr>
        <w:tab/>
        <w:t>Hartnett HE, Keil RG, Hedges JI, Devol AH. 1998. Influence of oxygen exposure time on organic carbon preservation in continental margin sediments. Nature 391:572–574.</w:t>
      </w:r>
    </w:p>
    <w:p w14:paraId="205491C0"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133. </w:t>
      </w:r>
      <w:r w:rsidRPr="00307058">
        <w:rPr>
          <w:rFonts w:ascii="Times New Roman" w:hAnsi="Times New Roman" w:cs="Times New Roman"/>
          <w:noProof/>
        </w:rPr>
        <w:tab/>
        <w:t>Middelburg JJ, Vlug T, Jaco F, van der Nat WA. 1993. Organic matter mineralization in marine systems. Glob Planet Change 8:47–58.</w:t>
      </w:r>
    </w:p>
    <w:p w14:paraId="676826F9"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134. </w:t>
      </w:r>
      <w:r w:rsidRPr="00307058">
        <w:rPr>
          <w:rFonts w:ascii="Times New Roman" w:hAnsi="Times New Roman" w:cs="Times New Roman"/>
          <w:noProof/>
        </w:rPr>
        <w:tab/>
        <w:t>Bianchi TS, Canuel EA. 2011. Chemical biomarkers in aquatic ecosystemsChemical Biomarkers in Aquatic Ecosystems.</w:t>
      </w:r>
    </w:p>
    <w:p w14:paraId="21AC0F73"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135. </w:t>
      </w:r>
      <w:r w:rsidRPr="00307058">
        <w:rPr>
          <w:rFonts w:ascii="Times New Roman" w:hAnsi="Times New Roman" w:cs="Times New Roman"/>
          <w:noProof/>
        </w:rPr>
        <w:tab/>
        <w:t>Megonigal JP, Hines ME, Visscher PT. 2003. Anaerobic Metabolism: Linkages to Trace Gases and Aerobic ProcessesBiogeochemistry: Treatise on Geochemistry, Volume 8.</w:t>
      </w:r>
    </w:p>
    <w:p w14:paraId="60D98551" w14:textId="77777777" w:rsidR="00307058" w:rsidRPr="00307058" w:rsidRDefault="00307058" w:rsidP="00307058">
      <w:pPr>
        <w:widowControl w:val="0"/>
        <w:autoSpaceDE w:val="0"/>
        <w:autoSpaceDN w:val="0"/>
        <w:adjustRightInd w:val="0"/>
        <w:spacing w:line="480" w:lineRule="auto"/>
        <w:ind w:left="640" w:hanging="640"/>
        <w:rPr>
          <w:rFonts w:ascii="Times New Roman" w:hAnsi="Times New Roman" w:cs="Times New Roman"/>
          <w:noProof/>
        </w:rPr>
      </w:pPr>
      <w:r w:rsidRPr="00307058">
        <w:rPr>
          <w:rFonts w:ascii="Times New Roman" w:hAnsi="Times New Roman" w:cs="Times New Roman"/>
          <w:noProof/>
        </w:rPr>
        <w:t xml:space="preserve">136. </w:t>
      </w:r>
      <w:r w:rsidRPr="00307058">
        <w:rPr>
          <w:rFonts w:ascii="Times New Roman" w:hAnsi="Times New Roman" w:cs="Times New Roman"/>
          <w:noProof/>
        </w:rPr>
        <w:tab/>
        <w:t>Jørgensen BB, Findlay AJ, Pellerin A. 2019. The biogeochemical sulfur cycle of marine sediments. Front Microbiol 10:1–27.</w:t>
      </w:r>
    </w:p>
    <w:p w14:paraId="4B1845AF" w14:textId="77777777" w:rsidR="00365526" w:rsidRPr="00F23F20" w:rsidRDefault="00365526" w:rsidP="00365526">
      <w:pPr>
        <w:numPr>
          <w:ilvl w:val="12"/>
          <w:numId w:val="0"/>
        </w:numPr>
        <w:spacing w:line="480" w:lineRule="auto"/>
        <w:rPr>
          <w:rFonts w:ascii="Times New Roman" w:hAnsi="Times New Roman" w:cs="Times New Roman"/>
        </w:rPr>
      </w:pPr>
      <w:r w:rsidRPr="00F23F20">
        <w:rPr>
          <w:rFonts w:ascii="Times New Roman" w:hAnsi="Times New Roman" w:cs="Times New Roman"/>
        </w:rPr>
        <w:fldChar w:fldCharType="end"/>
      </w:r>
      <w:r w:rsidRPr="00F23F20">
        <w:rPr>
          <w:rFonts w:ascii="Times New Roman" w:hAnsi="Times New Roman" w:cs="Times New Roman"/>
        </w:rPr>
        <w:br w:type="page"/>
      </w:r>
      <w:bookmarkStart w:id="289" w:name="_Toc420995912"/>
      <w:bookmarkStart w:id="290" w:name="_Toc422997499"/>
    </w:p>
    <w:p w14:paraId="7D361DE4" w14:textId="77777777" w:rsidR="00365526" w:rsidRPr="00F23F20" w:rsidRDefault="00365526" w:rsidP="00365526">
      <w:pPr>
        <w:pStyle w:val="AltHeading1"/>
      </w:pPr>
      <w:bookmarkStart w:id="291" w:name="_Toc420995913"/>
      <w:bookmarkStart w:id="292" w:name="_Toc422997500"/>
      <w:bookmarkStart w:id="293" w:name="_Toc427156485"/>
      <w:bookmarkStart w:id="294" w:name="_Toc41908156"/>
      <w:bookmarkEnd w:id="289"/>
      <w:bookmarkEnd w:id="290"/>
      <w:r w:rsidRPr="00F23F20">
        <w:lastRenderedPageBreak/>
        <w:t>Vita</w:t>
      </w:r>
      <w:bookmarkEnd w:id="291"/>
      <w:bookmarkEnd w:id="292"/>
      <w:bookmarkEnd w:id="293"/>
      <w:bookmarkEnd w:id="294"/>
    </w:p>
    <w:p w14:paraId="2025B36F" w14:textId="77777777" w:rsidR="00365526" w:rsidRPr="00F23F20" w:rsidRDefault="00365526" w:rsidP="00365526">
      <w:pPr>
        <w:spacing w:line="480" w:lineRule="auto"/>
        <w:rPr>
          <w:rFonts w:ascii="Times New Roman" w:hAnsi="Times New Roman" w:cs="Times New Roman"/>
        </w:rPr>
      </w:pPr>
      <w:r w:rsidRPr="00F23F20">
        <w:rPr>
          <w:rFonts w:ascii="Times New Roman" w:hAnsi="Times New Roman" w:cs="Times New Roman"/>
        </w:rPr>
        <w:tab/>
        <w:t xml:space="preserve">Taylor M. Royalty was born in Raleigh, N.C., USA. He obtained his B.S. in Biology at Western Carolina University, Cullowhee, N.C., USA. While at Western Carolina University, Taylor studied aqueous copper-sulfide chemistry under the advisement of Dr. Jack Summers. Taylor proceeded to obtain his M.S. in Atmospheric Science at North Carolina State University, Raleigh, N.C., USA. While at North Carolina State University, Taylor studied marine aerosol hygroscopicity and atmospheric aerosol fluxes under the co-advisement of Dr. Markus Petters and Dr. Nicholas </w:t>
      </w:r>
      <w:proofErr w:type="spellStart"/>
      <w:r w:rsidRPr="00F23F20">
        <w:rPr>
          <w:rFonts w:ascii="Times New Roman" w:hAnsi="Times New Roman" w:cs="Times New Roman"/>
        </w:rPr>
        <w:t>Meskhidze</w:t>
      </w:r>
      <w:proofErr w:type="spellEnd"/>
      <w:r w:rsidRPr="00F23F20">
        <w:rPr>
          <w:rFonts w:ascii="Times New Roman" w:hAnsi="Times New Roman" w:cs="Times New Roman"/>
        </w:rPr>
        <w:t xml:space="preserve">. Taylor </w:t>
      </w:r>
      <w:r>
        <w:rPr>
          <w:rFonts w:ascii="Times New Roman" w:hAnsi="Times New Roman" w:cs="Times New Roman"/>
        </w:rPr>
        <w:t xml:space="preserve">pursued </w:t>
      </w:r>
      <w:r w:rsidRPr="00F23F20">
        <w:rPr>
          <w:rFonts w:ascii="Times New Roman" w:hAnsi="Times New Roman" w:cs="Times New Roman"/>
        </w:rPr>
        <w:t xml:space="preserve">his Ph.D. at the University of Tennessee, Knoxville, USA. While at the University of Tennessee, Knoxville, Taylor studied diversity in microbial communities, taxonomic groups, and community function under the advisement of Dr. Andrew Steen. </w:t>
      </w:r>
    </w:p>
    <w:p w14:paraId="339AD9EA" w14:textId="77777777" w:rsidR="00AE125E" w:rsidRPr="00365526" w:rsidRDefault="00402A22" w:rsidP="00365526">
      <w:r w:rsidRPr="00365526">
        <w:t xml:space="preserve"> </w:t>
      </w:r>
    </w:p>
    <w:sectPr w:rsidR="00AE125E" w:rsidRPr="00365526" w:rsidSect="00FA2C3F">
      <w:headerReference w:type="even" r:id="rId47"/>
      <w:headerReference w:type="default" r:id="rId48"/>
      <w:footerReference w:type="default" r:id="rId49"/>
      <w:footerReference w:type="first" r:id="rId50"/>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F95C7" w14:textId="77777777" w:rsidR="009A7A42" w:rsidRDefault="009A7A42">
      <w:r>
        <w:separator/>
      </w:r>
    </w:p>
  </w:endnote>
  <w:endnote w:type="continuationSeparator" w:id="0">
    <w:p w14:paraId="262BABE1" w14:textId="77777777" w:rsidR="009A7A42" w:rsidRDefault="009A7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auto"/>
    <w:pitch w:val="default"/>
  </w:font>
  <w:font w:name="WenQuanYi Zen Hei Sharp">
    <w:altName w:val="Cambria"/>
    <w:charset w:val="00"/>
    <w:family w:val="auto"/>
    <w:pitch w:val="variable"/>
  </w:font>
  <w:font w:name="Lohit Devanagari">
    <w:altName w:val="Cambria"/>
    <w:charset w:val="00"/>
    <w:family w:val="auto"/>
    <w:pitch w:val="variable"/>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0734660"/>
      <w:docPartObj>
        <w:docPartGallery w:val="Page Numbers (Bottom of Page)"/>
        <w:docPartUnique/>
      </w:docPartObj>
    </w:sdtPr>
    <w:sdtEndPr>
      <w:rPr>
        <w:noProof/>
      </w:rPr>
    </w:sdtEndPr>
    <w:sdtContent>
      <w:p w14:paraId="0F31FEAA" w14:textId="7BBBF2B7" w:rsidR="00861272" w:rsidRDefault="008612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90E6A4" w14:textId="77777777" w:rsidR="00861272" w:rsidRDefault="0086127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9008E" w14:textId="302953E4" w:rsidR="00861272" w:rsidRDefault="00861272">
    <w:pPr>
      <w:pStyle w:val="Footer"/>
      <w:jc w:val="center"/>
    </w:pPr>
  </w:p>
  <w:p w14:paraId="75147576" w14:textId="77777777" w:rsidR="00861272" w:rsidRDefault="008612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986760"/>
      <w:docPartObj>
        <w:docPartGallery w:val="Page Numbers (Bottom of Page)"/>
        <w:docPartUnique/>
      </w:docPartObj>
    </w:sdtPr>
    <w:sdtEndPr>
      <w:rPr>
        <w:rFonts w:ascii="Times New Roman" w:hAnsi="Times New Roman" w:cs="Times New Roman"/>
        <w:noProof/>
      </w:rPr>
    </w:sdtEndPr>
    <w:sdtContent>
      <w:p w14:paraId="6ED7463D" w14:textId="77777777" w:rsidR="00861272" w:rsidRDefault="00861272">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53AE956F" w14:textId="77777777" w:rsidR="00861272" w:rsidRDefault="0086127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5227989"/>
      <w:docPartObj>
        <w:docPartGallery w:val="Page Numbers (Bottom of Page)"/>
        <w:docPartUnique/>
      </w:docPartObj>
    </w:sdtPr>
    <w:sdtEndPr>
      <w:rPr>
        <w:noProof/>
      </w:rPr>
    </w:sdtEndPr>
    <w:sdtContent>
      <w:p w14:paraId="199E166A" w14:textId="77777777" w:rsidR="00861272" w:rsidRDefault="008612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CE97E1" w14:textId="77777777" w:rsidR="00861272" w:rsidRDefault="00861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09E1EC" w14:textId="77777777" w:rsidR="009A7A42" w:rsidRDefault="009A7A42">
      <w:r>
        <w:separator/>
      </w:r>
    </w:p>
  </w:footnote>
  <w:footnote w:type="continuationSeparator" w:id="0">
    <w:p w14:paraId="7D6CDD97" w14:textId="77777777" w:rsidR="009A7A42" w:rsidRDefault="009A7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28699" w14:textId="77777777" w:rsidR="00861272" w:rsidRDefault="00861272">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C29E9" w14:textId="77777777" w:rsidR="00861272" w:rsidRDefault="00861272">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3F193" w14:textId="77777777" w:rsidR="00861272" w:rsidRDefault="00861272">
    <w:pPr>
      <w:spacing w:line="34" w:lineRule="auto"/>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093F4" w14:textId="77777777" w:rsidR="00861272" w:rsidRDefault="00861272">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50FE0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7E88C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1094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07062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B40D4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C8C653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69680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EF8D0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1086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8AFF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C997795"/>
    <w:multiLevelType w:val="hybridMultilevel"/>
    <w:tmpl w:val="AC42D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0440B3E"/>
    <w:multiLevelType w:val="multilevel"/>
    <w:tmpl w:val="BB321BA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9" w15:restartNumberingAfterBreak="0">
    <w:nsid w:val="227B0907"/>
    <w:multiLevelType w:val="multilevel"/>
    <w:tmpl w:val="20E43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4AF02BEF"/>
    <w:multiLevelType w:val="multilevel"/>
    <w:tmpl w:val="5D72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CD41A3"/>
    <w:multiLevelType w:val="multilevel"/>
    <w:tmpl w:val="9C0ACC62"/>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0"/>
  </w:num>
  <w:num w:numId="2">
    <w:abstractNumId w:val="18"/>
  </w:num>
  <w:num w:numId="3">
    <w:abstractNumId w:val="13"/>
  </w:num>
  <w:num w:numId="4">
    <w:abstractNumId w:val="26"/>
  </w:num>
  <w:num w:numId="5">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19"/>
  </w:num>
  <w:num w:numId="8">
    <w:abstractNumId w:val="21"/>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B30"/>
    <w:rsid w:val="000041F6"/>
    <w:rsid w:val="00004AB3"/>
    <w:rsid w:val="00006269"/>
    <w:rsid w:val="00010D50"/>
    <w:rsid w:val="00010F74"/>
    <w:rsid w:val="000110DA"/>
    <w:rsid w:val="00014A3E"/>
    <w:rsid w:val="000166A9"/>
    <w:rsid w:val="000200D0"/>
    <w:rsid w:val="0002037F"/>
    <w:rsid w:val="00023279"/>
    <w:rsid w:val="00023A54"/>
    <w:rsid w:val="00024533"/>
    <w:rsid w:val="0002542A"/>
    <w:rsid w:val="000267A2"/>
    <w:rsid w:val="00033C13"/>
    <w:rsid w:val="00035DB0"/>
    <w:rsid w:val="000420DB"/>
    <w:rsid w:val="00042C97"/>
    <w:rsid w:val="0004338E"/>
    <w:rsid w:val="0004492D"/>
    <w:rsid w:val="00045566"/>
    <w:rsid w:val="00045A50"/>
    <w:rsid w:val="00046C40"/>
    <w:rsid w:val="000521CE"/>
    <w:rsid w:val="00057004"/>
    <w:rsid w:val="000635D3"/>
    <w:rsid w:val="00065C7F"/>
    <w:rsid w:val="00066E7B"/>
    <w:rsid w:val="00067758"/>
    <w:rsid w:val="000703CE"/>
    <w:rsid w:val="00071FB8"/>
    <w:rsid w:val="000729C1"/>
    <w:rsid w:val="00073A2F"/>
    <w:rsid w:val="00074490"/>
    <w:rsid w:val="00074A34"/>
    <w:rsid w:val="0007615B"/>
    <w:rsid w:val="00076A95"/>
    <w:rsid w:val="00082413"/>
    <w:rsid w:val="00082619"/>
    <w:rsid w:val="000860A5"/>
    <w:rsid w:val="0008686D"/>
    <w:rsid w:val="00092BA4"/>
    <w:rsid w:val="00092E3A"/>
    <w:rsid w:val="00093A6E"/>
    <w:rsid w:val="00093D7B"/>
    <w:rsid w:val="00094D19"/>
    <w:rsid w:val="000957C1"/>
    <w:rsid w:val="000A4878"/>
    <w:rsid w:val="000A64BF"/>
    <w:rsid w:val="000A67EE"/>
    <w:rsid w:val="000B04E1"/>
    <w:rsid w:val="000B066D"/>
    <w:rsid w:val="000B0725"/>
    <w:rsid w:val="000B0A40"/>
    <w:rsid w:val="000B2B22"/>
    <w:rsid w:val="000B4859"/>
    <w:rsid w:val="000B4AA8"/>
    <w:rsid w:val="000B4BF4"/>
    <w:rsid w:val="000B58A9"/>
    <w:rsid w:val="000B5C42"/>
    <w:rsid w:val="000C1A52"/>
    <w:rsid w:val="000C2A25"/>
    <w:rsid w:val="000C4695"/>
    <w:rsid w:val="000C47AF"/>
    <w:rsid w:val="000C596E"/>
    <w:rsid w:val="000C6630"/>
    <w:rsid w:val="000D01EC"/>
    <w:rsid w:val="000D268A"/>
    <w:rsid w:val="000D40B1"/>
    <w:rsid w:val="000D4590"/>
    <w:rsid w:val="000D4927"/>
    <w:rsid w:val="000D5317"/>
    <w:rsid w:val="000D7103"/>
    <w:rsid w:val="000E215A"/>
    <w:rsid w:val="000E3AB2"/>
    <w:rsid w:val="000E3D6D"/>
    <w:rsid w:val="000E422F"/>
    <w:rsid w:val="000F1F65"/>
    <w:rsid w:val="000F52FD"/>
    <w:rsid w:val="000F607C"/>
    <w:rsid w:val="000F6A1D"/>
    <w:rsid w:val="0010217F"/>
    <w:rsid w:val="001033A3"/>
    <w:rsid w:val="00104C4C"/>
    <w:rsid w:val="0010694B"/>
    <w:rsid w:val="00112F00"/>
    <w:rsid w:val="0011519A"/>
    <w:rsid w:val="00116E75"/>
    <w:rsid w:val="00121B10"/>
    <w:rsid w:val="00122045"/>
    <w:rsid w:val="00122D7B"/>
    <w:rsid w:val="00123ADB"/>
    <w:rsid w:val="00124CF5"/>
    <w:rsid w:val="001318E0"/>
    <w:rsid w:val="00133AC0"/>
    <w:rsid w:val="00141F4D"/>
    <w:rsid w:val="00146500"/>
    <w:rsid w:val="001501F2"/>
    <w:rsid w:val="0015044C"/>
    <w:rsid w:val="00150DF8"/>
    <w:rsid w:val="00152377"/>
    <w:rsid w:val="00152AB3"/>
    <w:rsid w:val="00161F17"/>
    <w:rsid w:val="00162573"/>
    <w:rsid w:val="001630D2"/>
    <w:rsid w:val="001651AD"/>
    <w:rsid w:val="001663A0"/>
    <w:rsid w:val="001669A7"/>
    <w:rsid w:val="001677B0"/>
    <w:rsid w:val="001702D6"/>
    <w:rsid w:val="001703CB"/>
    <w:rsid w:val="001726A0"/>
    <w:rsid w:val="00173751"/>
    <w:rsid w:val="00177D09"/>
    <w:rsid w:val="00182FCD"/>
    <w:rsid w:val="00183080"/>
    <w:rsid w:val="001844C8"/>
    <w:rsid w:val="001854FB"/>
    <w:rsid w:val="00193642"/>
    <w:rsid w:val="00193C6F"/>
    <w:rsid w:val="00194737"/>
    <w:rsid w:val="00194783"/>
    <w:rsid w:val="00197417"/>
    <w:rsid w:val="00197BBE"/>
    <w:rsid w:val="001A0F13"/>
    <w:rsid w:val="001B3A5C"/>
    <w:rsid w:val="001B7163"/>
    <w:rsid w:val="001C00A4"/>
    <w:rsid w:val="001C39F6"/>
    <w:rsid w:val="001C4C74"/>
    <w:rsid w:val="001C5883"/>
    <w:rsid w:val="001C5D90"/>
    <w:rsid w:val="001C66FE"/>
    <w:rsid w:val="001D0B39"/>
    <w:rsid w:val="001D4908"/>
    <w:rsid w:val="001D6904"/>
    <w:rsid w:val="001E2A5A"/>
    <w:rsid w:val="001E3913"/>
    <w:rsid w:val="001F1730"/>
    <w:rsid w:val="001F365B"/>
    <w:rsid w:val="001F4FE8"/>
    <w:rsid w:val="001F522F"/>
    <w:rsid w:val="001F69F9"/>
    <w:rsid w:val="00202730"/>
    <w:rsid w:val="00202C11"/>
    <w:rsid w:val="00207219"/>
    <w:rsid w:val="00211F5F"/>
    <w:rsid w:val="0021216D"/>
    <w:rsid w:val="00212762"/>
    <w:rsid w:val="00220B45"/>
    <w:rsid w:val="0022520A"/>
    <w:rsid w:val="00226860"/>
    <w:rsid w:val="00227844"/>
    <w:rsid w:val="002279E6"/>
    <w:rsid w:val="00227E84"/>
    <w:rsid w:val="00231A9A"/>
    <w:rsid w:val="0023661E"/>
    <w:rsid w:val="00236E6D"/>
    <w:rsid w:val="00237E22"/>
    <w:rsid w:val="00240FDE"/>
    <w:rsid w:val="00241F0C"/>
    <w:rsid w:val="002429E5"/>
    <w:rsid w:val="00244062"/>
    <w:rsid w:val="00250243"/>
    <w:rsid w:val="002546CF"/>
    <w:rsid w:val="00260814"/>
    <w:rsid w:val="00263905"/>
    <w:rsid w:val="002645E3"/>
    <w:rsid w:val="0026674F"/>
    <w:rsid w:val="00270E48"/>
    <w:rsid w:val="002739C2"/>
    <w:rsid w:val="00275ED8"/>
    <w:rsid w:val="00277619"/>
    <w:rsid w:val="00280CEF"/>
    <w:rsid w:val="00284FAE"/>
    <w:rsid w:val="002855CE"/>
    <w:rsid w:val="00285B9C"/>
    <w:rsid w:val="0028757A"/>
    <w:rsid w:val="00293346"/>
    <w:rsid w:val="00297094"/>
    <w:rsid w:val="002A016F"/>
    <w:rsid w:val="002A3883"/>
    <w:rsid w:val="002A4C63"/>
    <w:rsid w:val="002A71D7"/>
    <w:rsid w:val="002A75F2"/>
    <w:rsid w:val="002B0869"/>
    <w:rsid w:val="002B2686"/>
    <w:rsid w:val="002B42BC"/>
    <w:rsid w:val="002B4555"/>
    <w:rsid w:val="002C0FDE"/>
    <w:rsid w:val="002C2D4B"/>
    <w:rsid w:val="002C6A3C"/>
    <w:rsid w:val="002C73E4"/>
    <w:rsid w:val="002D1FE4"/>
    <w:rsid w:val="002D328B"/>
    <w:rsid w:val="002D35CA"/>
    <w:rsid w:val="002D432E"/>
    <w:rsid w:val="002D470F"/>
    <w:rsid w:val="002D4DFA"/>
    <w:rsid w:val="002E11CF"/>
    <w:rsid w:val="002E2492"/>
    <w:rsid w:val="002E568E"/>
    <w:rsid w:val="002E584B"/>
    <w:rsid w:val="002E72F5"/>
    <w:rsid w:val="002F0D5F"/>
    <w:rsid w:val="002F15D8"/>
    <w:rsid w:val="002F1F46"/>
    <w:rsid w:val="002F3E17"/>
    <w:rsid w:val="002F784A"/>
    <w:rsid w:val="0030256D"/>
    <w:rsid w:val="00304BD0"/>
    <w:rsid w:val="00307058"/>
    <w:rsid w:val="00307207"/>
    <w:rsid w:val="00307D77"/>
    <w:rsid w:val="00311F1A"/>
    <w:rsid w:val="00313E9E"/>
    <w:rsid w:val="003150D5"/>
    <w:rsid w:val="003164B5"/>
    <w:rsid w:val="003200F4"/>
    <w:rsid w:val="003209EE"/>
    <w:rsid w:val="00320A21"/>
    <w:rsid w:val="00320F78"/>
    <w:rsid w:val="003217DF"/>
    <w:rsid w:val="00325964"/>
    <w:rsid w:val="00333A7F"/>
    <w:rsid w:val="003365F4"/>
    <w:rsid w:val="00336C9C"/>
    <w:rsid w:val="00340182"/>
    <w:rsid w:val="00340481"/>
    <w:rsid w:val="0034071E"/>
    <w:rsid w:val="0034136F"/>
    <w:rsid w:val="003458A5"/>
    <w:rsid w:val="00350392"/>
    <w:rsid w:val="003520F1"/>
    <w:rsid w:val="0035516C"/>
    <w:rsid w:val="00356E82"/>
    <w:rsid w:val="00356F53"/>
    <w:rsid w:val="0035768F"/>
    <w:rsid w:val="00360CC8"/>
    <w:rsid w:val="0036142D"/>
    <w:rsid w:val="00361D23"/>
    <w:rsid w:val="00363874"/>
    <w:rsid w:val="00365526"/>
    <w:rsid w:val="00365810"/>
    <w:rsid w:val="0036777B"/>
    <w:rsid w:val="00370406"/>
    <w:rsid w:val="003723B6"/>
    <w:rsid w:val="00373758"/>
    <w:rsid w:val="00374AE6"/>
    <w:rsid w:val="00376A1F"/>
    <w:rsid w:val="00377FE8"/>
    <w:rsid w:val="00380621"/>
    <w:rsid w:val="0038177C"/>
    <w:rsid w:val="00382D5A"/>
    <w:rsid w:val="003836EB"/>
    <w:rsid w:val="00383723"/>
    <w:rsid w:val="0038466E"/>
    <w:rsid w:val="00386E4F"/>
    <w:rsid w:val="00387024"/>
    <w:rsid w:val="00387FF4"/>
    <w:rsid w:val="00393152"/>
    <w:rsid w:val="0039365D"/>
    <w:rsid w:val="003963D3"/>
    <w:rsid w:val="0039702B"/>
    <w:rsid w:val="003979E5"/>
    <w:rsid w:val="003A0FAB"/>
    <w:rsid w:val="003A108A"/>
    <w:rsid w:val="003A25FD"/>
    <w:rsid w:val="003A2BD3"/>
    <w:rsid w:val="003B0C11"/>
    <w:rsid w:val="003B1831"/>
    <w:rsid w:val="003B1F24"/>
    <w:rsid w:val="003C1575"/>
    <w:rsid w:val="003C2F7D"/>
    <w:rsid w:val="003C4F5E"/>
    <w:rsid w:val="003C7804"/>
    <w:rsid w:val="003D07F7"/>
    <w:rsid w:val="003D0BB4"/>
    <w:rsid w:val="003D0BB7"/>
    <w:rsid w:val="003D0D70"/>
    <w:rsid w:val="003D5275"/>
    <w:rsid w:val="003D638F"/>
    <w:rsid w:val="003D63DF"/>
    <w:rsid w:val="003D737F"/>
    <w:rsid w:val="003D79BA"/>
    <w:rsid w:val="003E1BC7"/>
    <w:rsid w:val="003E2944"/>
    <w:rsid w:val="003E475B"/>
    <w:rsid w:val="003E5EA7"/>
    <w:rsid w:val="003E605E"/>
    <w:rsid w:val="003E6508"/>
    <w:rsid w:val="003F0F6C"/>
    <w:rsid w:val="003F7474"/>
    <w:rsid w:val="003F7FED"/>
    <w:rsid w:val="00402A22"/>
    <w:rsid w:val="00404616"/>
    <w:rsid w:val="00406252"/>
    <w:rsid w:val="00407B6A"/>
    <w:rsid w:val="00411362"/>
    <w:rsid w:val="0041253D"/>
    <w:rsid w:val="00414400"/>
    <w:rsid w:val="004178F7"/>
    <w:rsid w:val="00420910"/>
    <w:rsid w:val="00421157"/>
    <w:rsid w:val="00421CD4"/>
    <w:rsid w:val="00427833"/>
    <w:rsid w:val="004308C2"/>
    <w:rsid w:val="00431E71"/>
    <w:rsid w:val="004331FF"/>
    <w:rsid w:val="0043443F"/>
    <w:rsid w:val="00434DDB"/>
    <w:rsid w:val="00435BCE"/>
    <w:rsid w:val="00435D23"/>
    <w:rsid w:val="00436AA4"/>
    <w:rsid w:val="0044196E"/>
    <w:rsid w:val="00460BCE"/>
    <w:rsid w:val="004620D1"/>
    <w:rsid w:val="00465EC4"/>
    <w:rsid w:val="0046660F"/>
    <w:rsid w:val="00467F68"/>
    <w:rsid w:val="00472117"/>
    <w:rsid w:val="00474210"/>
    <w:rsid w:val="0047528E"/>
    <w:rsid w:val="00476F96"/>
    <w:rsid w:val="00477F2D"/>
    <w:rsid w:val="00480B96"/>
    <w:rsid w:val="0048217A"/>
    <w:rsid w:val="0048303E"/>
    <w:rsid w:val="00484199"/>
    <w:rsid w:val="00485361"/>
    <w:rsid w:val="004863FE"/>
    <w:rsid w:val="00487819"/>
    <w:rsid w:val="00490B5E"/>
    <w:rsid w:val="00491235"/>
    <w:rsid w:val="004920F6"/>
    <w:rsid w:val="00493F7B"/>
    <w:rsid w:val="00494739"/>
    <w:rsid w:val="00495266"/>
    <w:rsid w:val="00495564"/>
    <w:rsid w:val="004A1B3F"/>
    <w:rsid w:val="004A3F68"/>
    <w:rsid w:val="004A449A"/>
    <w:rsid w:val="004A46D9"/>
    <w:rsid w:val="004A67E8"/>
    <w:rsid w:val="004B1BB6"/>
    <w:rsid w:val="004B4556"/>
    <w:rsid w:val="004B53AF"/>
    <w:rsid w:val="004C3D65"/>
    <w:rsid w:val="004C47FB"/>
    <w:rsid w:val="004C6F33"/>
    <w:rsid w:val="004D056A"/>
    <w:rsid w:val="004D05F5"/>
    <w:rsid w:val="004D40EE"/>
    <w:rsid w:val="004D5082"/>
    <w:rsid w:val="004D6472"/>
    <w:rsid w:val="004D6C18"/>
    <w:rsid w:val="004E07A9"/>
    <w:rsid w:val="004E129F"/>
    <w:rsid w:val="004E32AB"/>
    <w:rsid w:val="004E353B"/>
    <w:rsid w:val="004E3998"/>
    <w:rsid w:val="004E3A65"/>
    <w:rsid w:val="004F309B"/>
    <w:rsid w:val="004F4B54"/>
    <w:rsid w:val="004F773A"/>
    <w:rsid w:val="004F79A6"/>
    <w:rsid w:val="00501712"/>
    <w:rsid w:val="00501C73"/>
    <w:rsid w:val="005049BA"/>
    <w:rsid w:val="005061E0"/>
    <w:rsid w:val="005066C7"/>
    <w:rsid w:val="00513BB6"/>
    <w:rsid w:val="005174D8"/>
    <w:rsid w:val="00520936"/>
    <w:rsid w:val="00522DC3"/>
    <w:rsid w:val="0052470C"/>
    <w:rsid w:val="005262C6"/>
    <w:rsid w:val="0052662D"/>
    <w:rsid w:val="00527DCB"/>
    <w:rsid w:val="00527E87"/>
    <w:rsid w:val="00532DF2"/>
    <w:rsid w:val="00537E9F"/>
    <w:rsid w:val="00540026"/>
    <w:rsid w:val="00540A3A"/>
    <w:rsid w:val="00541693"/>
    <w:rsid w:val="005418C0"/>
    <w:rsid w:val="00542808"/>
    <w:rsid w:val="00542905"/>
    <w:rsid w:val="00544909"/>
    <w:rsid w:val="0054594A"/>
    <w:rsid w:val="00547128"/>
    <w:rsid w:val="005526FC"/>
    <w:rsid w:val="00553F3B"/>
    <w:rsid w:val="00556561"/>
    <w:rsid w:val="00557F08"/>
    <w:rsid w:val="0056135F"/>
    <w:rsid w:val="00562EB1"/>
    <w:rsid w:val="00563769"/>
    <w:rsid w:val="005646AB"/>
    <w:rsid w:val="0056515F"/>
    <w:rsid w:val="00565386"/>
    <w:rsid w:val="00565C39"/>
    <w:rsid w:val="00566DA3"/>
    <w:rsid w:val="00571265"/>
    <w:rsid w:val="00571615"/>
    <w:rsid w:val="005722BB"/>
    <w:rsid w:val="00572F90"/>
    <w:rsid w:val="00574FC2"/>
    <w:rsid w:val="005765C6"/>
    <w:rsid w:val="00580662"/>
    <w:rsid w:val="005808D7"/>
    <w:rsid w:val="00581043"/>
    <w:rsid w:val="005817C7"/>
    <w:rsid w:val="005840D5"/>
    <w:rsid w:val="00586077"/>
    <w:rsid w:val="00591DC8"/>
    <w:rsid w:val="005937AB"/>
    <w:rsid w:val="00593CBB"/>
    <w:rsid w:val="00597212"/>
    <w:rsid w:val="00597B3C"/>
    <w:rsid w:val="00597D3F"/>
    <w:rsid w:val="00597D70"/>
    <w:rsid w:val="005A0837"/>
    <w:rsid w:val="005A0EB0"/>
    <w:rsid w:val="005A3558"/>
    <w:rsid w:val="005A4932"/>
    <w:rsid w:val="005A6465"/>
    <w:rsid w:val="005A6E0F"/>
    <w:rsid w:val="005A7F18"/>
    <w:rsid w:val="005B1EA2"/>
    <w:rsid w:val="005B2738"/>
    <w:rsid w:val="005B30E0"/>
    <w:rsid w:val="005B4576"/>
    <w:rsid w:val="005B4A13"/>
    <w:rsid w:val="005B56CB"/>
    <w:rsid w:val="005B6551"/>
    <w:rsid w:val="005B722C"/>
    <w:rsid w:val="005B79AA"/>
    <w:rsid w:val="005B79E9"/>
    <w:rsid w:val="005C0065"/>
    <w:rsid w:val="005C0E47"/>
    <w:rsid w:val="005C5CEB"/>
    <w:rsid w:val="005D1525"/>
    <w:rsid w:val="005D271B"/>
    <w:rsid w:val="005D44BA"/>
    <w:rsid w:val="005D709F"/>
    <w:rsid w:val="005E3C88"/>
    <w:rsid w:val="005E4912"/>
    <w:rsid w:val="005E5F2D"/>
    <w:rsid w:val="005E6F1F"/>
    <w:rsid w:val="005E77E5"/>
    <w:rsid w:val="005F1406"/>
    <w:rsid w:val="005F2B0B"/>
    <w:rsid w:val="005F3876"/>
    <w:rsid w:val="005F44D1"/>
    <w:rsid w:val="005F6764"/>
    <w:rsid w:val="005F6D94"/>
    <w:rsid w:val="005F7023"/>
    <w:rsid w:val="005F70E1"/>
    <w:rsid w:val="006001C5"/>
    <w:rsid w:val="00603228"/>
    <w:rsid w:val="006065A5"/>
    <w:rsid w:val="00607DAA"/>
    <w:rsid w:val="0061078C"/>
    <w:rsid w:val="006109EA"/>
    <w:rsid w:val="00610BD9"/>
    <w:rsid w:val="00614780"/>
    <w:rsid w:val="006158C1"/>
    <w:rsid w:val="00615A66"/>
    <w:rsid w:val="0062040F"/>
    <w:rsid w:val="00621129"/>
    <w:rsid w:val="006235A5"/>
    <w:rsid w:val="0062551D"/>
    <w:rsid w:val="00625552"/>
    <w:rsid w:val="0063126F"/>
    <w:rsid w:val="00632A87"/>
    <w:rsid w:val="00633916"/>
    <w:rsid w:val="006359B4"/>
    <w:rsid w:val="00636C2F"/>
    <w:rsid w:val="00641D2B"/>
    <w:rsid w:val="00650DFA"/>
    <w:rsid w:val="0065123B"/>
    <w:rsid w:val="0065568C"/>
    <w:rsid w:val="00657C7F"/>
    <w:rsid w:val="00662B37"/>
    <w:rsid w:val="00662D3E"/>
    <w:rsid w:val="00662E11"/>
    <w:rsid w:val="00665C7E"/>
    <w:rsid w:val="00665D43"/>
    <w:rsid w:val="00666C32"/>
    <w:rsid w:val="00667997"/>
    <w:rsid w:val="00672DDD"/>
    <w:rsid w:val="00676661"/>
    <w:rsid w:val="00676C91"/>
    <w:rsid w:val="00677246"/>
    <w:rsid w:val="00680744"/>
    <w:rsid w:val="00680E71"/>
    <w:rsid w:val="0068388D"/>
    <w:rsid w:val="0068392C"/>
    <w:rsid w:val="00683F5B"/>
    <w:rsid w:val="006855DA"/>
    <w:rsid w:val="00685B5B"/>
    <w:rsid w:val="00686FBB"/>
    <w:rsid w:val="0068767E"/>
    <w:rsid w:val="00690B77"/>
    <w:rsid w:val="00692CAE"/>
    <w:rsid w:val="00692ECF"/>
    <w:rsid w:val="00693334"/>
    <w:rsid w:val="0069681A"/>
    <w:rsid w:val="006A59BB"/>
    <w:rsid w:val="006A728F"/>
    <w:rsid w:val="006B0120"/>
    <w:rsid w:val="006B0CE7"/>
    <w:rsid w:val="006B2252"/>
    <w:rsid w:val="006B3F14"/>
    <w:rsid w:val="006B528A"/>
    <w:rsid w:val="006C1EB4"/>
    <w:rsid w:val="006C4000"/>
    <w:rsid w:val="006D164C"/>
    <w:rsid w:val="006D3A9F"/>
    <w:rsid w:val="006D474B"/>
    <w:rsid w:val="006E05A4"/>
    <w:rsid w:val="006E0D70"/>
    <w:rsid w:val="006E187E"/>
    <w:rsid w:val="006E1E6D"/>
    <w:rsid w:val="006E3B95"/>
    <w:rsid w:val="006E418B"/>
    <w:rsid w:val="006E4BDD"/>
    <w:rsid w:val="006E56E8"/>
    <w:rsid w:val="006E7EC9"/>
    <w:rsid w:val="006F1B12"/>
    <w:rsid w:val="006F34AD"/>
    <w:rsid w:val="006F3D6C"/>
    <w:rsid w:val="006F73AD"/>
    <w:rsid w:val="007000AC"/>
    <w:rsid w:val="007014F8"/>
    <w:rsid w:val="00702E7C"/>
    <w:rsid w:val="00703EBD"/>
    <w:rsid w:val="0070438E"/>
    <w:rsid w:val="00711200"/>
    <w:rsid w:val="00711CF2"/>
    <w:rsid w:val="007138BC"/>
    <w:rsid w:val="00714C38"/>
    <w:rsid w:val="007219A9"/>
    <w:rsid w:val="0072397F"/>
    <w:rsid w:val="00724D33"/>
    <w:rsid w:val="0072745F"/>
    <w:rsid w:val="00727F03"/>
    <w:rsid w:val="0073078F"/>
    <w:rsid w:val="00731922"/>
    <w:rsid w:val="00731ACB"/>
    <w:rsid w:val="007355AA"/>
    <w:rsid w:val="007368AD"/>
    <w:rsid w:val="00737F54"/>
    <w:rsid w:val="0074133D"/>
    <w:rsid w:val="00741467"/>
    <w:rsid w:val="007414C7"/>
    <w:rsid w:val="0074293C"/>
    <w:rsid w:val="00743025"/>
    <w:rsid w:val="007444EB"/>
    <w:rsid w:val="00746176"/>
    <w:rsid w:val="007462A5"/>
    <w:rsid w:val="00751365"/>
    <w:rsid w:val="0075196D"/>
    <w:rsid w:val="00752790"/>
    <w:rsid w:val="00753EAD"/>
    <w:rsid w:val="00754046"/>
    <w:rsid w:val="0075558C"/>
    <w:rsid w:val="00757336"/>
    <w:rsid w:val="0076003C"/>
    <w:rsid w:val="00761EFA"/>
    <w:rsid w:val="007647E3"/>
    <w:rsid w:val="00764873"/>
    <w:rsid w:val="007778DD"/>
    <w:rsid w:val="0078280C"/>
    <w:rsid w:val="00782B40"/>
    <w:rsid w:val="007867E5"/>
    <w:rsid w:val="00787753"/>
    <w:rsid w:val="00790B6C"/>
    <w:rsid w:val="00790BE2"/>
    <w:rsid w:val="00790CF8"/>
    <w:rsid w:val="0079126A"/>
    <w:rsid w:val="007916F1"/>
    <w:rsid w:val="00791933"/>
    <w:rsid w:val="0079198B"/>
    <w:rsid w:val="00794144"/>
    <w:rsid w:val="007944ED"/>
    <w:rsid w:val="00794677"/>
    <w:rsid w:val="007953D6"/>
    <w:rsid w:val="00795D03"/>
    <w:rsid w:val="00796595"/>
    <w:rsid w:val="00796693"/>
    <w:rsid w:val="007A1053"/>
    <w:rsid w:val="007A2D58"/>
    <w:rsid w:val="007A342F"/>
    <w:rsid w:val="007A4B79"/>
    <w:rsid w:val="007A7D74"/>
    <w:rsid w:val="007B0477"/>
    <w:rsid w:val="007B1C3C"/>
    <w:rsid w:val="007B4551"/>
    <w:rsid w:val="007B5CE4"/>
    <w:rsid w:val="007C0766"/>
    <w:rsid w:val="007C1A2C"/>
    <w:rsid w:val="007C1ABD"/>
    <w:rsid w:val="007C2D01"/>
    <w:rsid w:val="007C3BDC"/>
    <w:rsid w:val="007C6EA8"/>
    <w:rsid w:val="007C7591"/>
    <w:rsid w:val="007D020C"/>
    <w:rsid w:val="007D0864"/>
    <w:rsid w:val="007D11D1"/>
    <w:rsid w:val="007D538B"/>
    <w:rsid w:val="007D5394"/>
    <w:rsid w:val="007D5CD5"/>
    <w:rsid w:val="007D7947"/>
    <w:rsid w:val="007E1397"/>
    <w:rsid w:val="007E1D7C"/>
    <w:rsid w:val="007F39E1"/>
    <w:rsid w:val="007F5117"/>
    <w:rsid w:val="007F5BE8"/>
    <w:rsid w:val="007F6894"/>
    <w:rsid w:val="007F6AE9"/>
    <w:rsid w:val="00801A42"/>
    <w:rsid w:val="00802DE9"/>
    <w:rsid w:val="008030E4"/>
    <w:rsid w:val="00812DBD"/>
    <w:rsid w:val="0081382F"/>
    <w:rsid w:val="00816B5F"/>
    <w:rsid w:val="0081729D"/>
    <w:rsid w:val="00822198"/>
    <w:rsid w:val="00822642"/>
    <w:rsid w:val="00825491"/>
    <w:rsid w:val="00826376"/>
    <w:rsid w:val="00826D54"/>
    <w:rsid w:val="00831691"/>
    <w:rsid w:val="008329F8"/>
    <w:rsid w:val="00834A5A"/>
    <w:rsid w:val="00834CBF"/>
    <w:rsid w:val="00836F89"/>
    <w:rsid w:val="0084064B"/>
    <w:rsid w:val="00846459"/>
    <w:rsid w:val="00852266"/>
    <w:rsid w:val="00861272"/>
    <w:rsid w:val="008615F4"/>
    <w:rsid w:val="00861CAB"/>
    <w:rsid w:val="00863435"/>
    <w:rsid w:val="00865318"/>
    <w:rsid w:val="00870004"/>
    <w:rsid w:val="00871095"/>
    <w:rsid w:val="00872827"/>
    <w:rsid w:val="0087349A"/>
    <w:rsid w:val="008749FF"/>
    <w:rsid w:val="00880BE1"/>
    <w:rsid w:val="008839FA"/>
    <w:rsid w:val="00883C2C"/>
    <w:rsid w:val="008865B6"/>
    <w:rsid w:val="00886655"/>
    <w:rsid w:val="00887D27"/>
    <w:rsid w:val="0089359B"/>
    <w:rsid w:val="008940E4"/>
    <w:rsid w:val="00895DF4"/>
    <w:rsid w:val="0089738C"/>
    <w:rsid w:val="008A0502"/>
    <w:rsid w:val="008A1B60"/>
    <w:rsid w:val="008A1D4E"/>
    <w:rsid w:val="008A4913"/>
    <w:rsid w:val="008A4E30"/>
    <w:rsid w:val="008A67A5"/>
    <w:rsid w:val="008B1A4D"/>
    <w:rsid w:val="008B774E"/>
    <w:rsid w:val="008C013C"/>
    <w:rsid w:val="008C47DD"/>
    <w:rsid w:val="008C682C"/>
    <w:rsid w:val="008C6B35"/>
    <w:rsid w:val="008C7751"/>
    <w:rsid w:val="008C78D4"/>
    <w:rsid w:val="008D589C"/>
    <w:rsid w:val="008E0BA5"/>
    <w:rsid w:val="008E3AA1"/>
    <w:rsid w:val="008E5877"/>
    <w:rsid w:val="008E7085"/>
    <w:rsid w:val="008F04EE"/>
    <w:rsid w:val="008F09EC"/>
    <w:rsid w:val="008F282D"/>
    <w:rsid w:val="008F2A6C"/>
    <w:rsid w:val="008F5AEC"/>
    <w:rsid w:val="008F60C3"/>
    <w:rsid w:val="00901310"/>
    <w:rsid w:val="00902CDD"/>
    <w:rsid w:val="00912910"/>
    <w:rsid w:val="00913CEE"/>
    <w:rsid w:val="00913E19"/>
    <w:rsid w:val="00913EB4"/>
    <w:rsid w:val="00915835"/>
    <w:rsid w:val="00921E7E"/>
    <w:rsid w:val="009254D6"/>
    <w:rsid w:val="00925611"/>
    <w:rsid w:val="0092669B"/>
    <w:rsid w:val="0093163E"/>
    <w:rsid w:val="00933CB0"/>
    <w:rsid w:val="00936436"/>
    <w:rsid w:val="00937D10"/>
    <w:rsid w:val="009402AB"/>
    <w:rsid w:val="00940BAC"/>
    <w:rsid w:val="0094115D"/>
    <w:rsid w:val="00941167"/>
    <w:rsid w:val="0094708C"/>
    <w:rsid w:val="0094721A"/>
    <w:rsid w:val="0094742E"/>
    <w:rsid w:val="00953AA7"/>
    <w:rsid w:val="00964C01"/>
    <w:rsid w:val="00965FBD"/>
    <w:rsid w:val="00966BAC"/>
    <w:rsid w:val="00967CF8"/>
    <w:rsid w:val="00967F43"/>
    <w:rsid w:val="00971C06"/>
    <w:rsid w:val="00972124"/>
    <w:rsid w:val="0097457F"/>
    <w:rsid w:val="009808A3"/>
    <w:rsid w:val="00980B1C"/>
    <w:rsid w:val="0098134D"/>
    <w:rsid w:val="0098176E"/>
    <w:rsid w:val="00982AFF"/>
    <w:rsid w:val="00984894"/>
    <w:rsid w:val="009903AD"/>
    <w:rsid w:val="00990735"/>
    <w:rsid w:val="00991C6B"/>
    <w:rsid w:val="009938AA"/>
    <w:rsid w:val="00996C07"/>
    <w:rsid w:val="00997493"/>
    <w:rsid w:val="009A0ECF"/>
    <w:rsid w:val="009A2ABE"/>
    <w:rsid w:val="009A4A2B"/>
    <w:rsid w:val="009A5C2D"/>
    <w:rsid w:val="009A5DD8"/>
    <w:rsid w:val="009A5F56"/>
    <w:rsid w:val="009A667B"/>
    <w:rsid w:val="009A6A2F"/>
    <w:rsid w:val="009A7A42"/>
    <w:rsid w:val="009B0654"/>
    <w:rsid w:val="009B0F6D"/>
    <w:rsid w:val="009B2EF6"/>
    <w:rsid w:val="009B378E"/>
    <w:rsid w:val="009B47F7"/>
    <w:rsid w:val="009B61E4"/>
    <w:rsid w:val="009B6D22"/>
    <w:rsid w:val="009C0A53"/>
    <w:rsid w:val="009C5F1B"/>
    <w:rsid w:val="009C6779"/>
    <w:rsid w:val="009C755C"/>
    <w:rsid w:val="009C780F"/>
    <w:rsid w:val="009D203F"/>
    <w:rsid w:val="009D2408"/>
    <w:rsid w:val="009D6053"/>
    <w:rsid w:val="009D619D"/>
    <w:rsid w:val="009E31BF"/>
    <w:rsid w:val="009E3416"/>
    <w:rsid w:val="009E4F4C"/>
    <w:rsid w:val="009E58F5"/>
    <w:rsid w:val="009E6FDE"/>
    <w:rsid w:val="009F20E6"/>
    <w:rsid w:val="009F2D86"/>
    <w:rsid w:val="009F580A"/>
    <w:rsid w:val="009F6ABD"/>
    <w:rsid w:val="00A00AFA"/>
    <w:rsid w:val="00A012DE"/>
    <w:rsid w:val="00A042E0"/>
    <w:rsid w:val="00A04E53"/>
    <w:rsid w:val="00A05EBA"/>
    <w:rsid w:val="00A071B7"/>
    <w:rsid w:val="00A11097"/>
    <w:rsid w:val="00A11422"/>
    <w:rsid w:val="00A114A4"/>
    <w:rsid w:val="00A133A2"/>
    <w:rsid w:val="00A15601"/>
    <w:rsid w:val="00A20C84"/>
    <w:rsid w:val="00A22E51"/>
    <w:rsid w:val="00A248B5"/>
    <w:rsid w:val="00A25353"/>
    <w:rsid w:val="00A30D1C"/>
    <w:rsid w:val="00A33A8A"/>
    <w:rsid w:val="00A34ABE"/>
    <w:rsid w:val="00A34F5F"/>
    <w:rsid w:val="00A35DB2"/>
    <w:rsid w:val="00A360BF"/>
    <w:rsid w:val="00A40C52"/>
    <w:rsid w:val="00A42EBE"/>
    <w:rsid w:val="00A4346E"/>
    <w:rsid w:val="00A436A0"/>
    <w:rsid w:val="00A43D55"/>
    <w:rsid w:val="00A44476"/>
    <w:rsid w:val="00A44F4E"/>
    <w:rsid w:val="00A459B9"/>
    <w:rsid w:val="00A46A68"/>
    <w:rsid w:val="00A47768"/>
    <w:rsid w:val="00A50EE9"/>
    <w:rsid w:val="00A5188E"/>
    <w:rsid w:val="00A5288D"/>
    <w:rsid w:val="00A563A8"/>
    <w:rsid w:val="00A5670D"/>
    <w:rsid w:val="00A56B44"/>
    <w:rsid w:val="00A56B68"/>
    <w:rsid w:val="00A602A3"/>
    <w:rsid w:val="00A615C8"/>
    <w:rsid w:val="00A64521"/>
    <w:rsid w:val="00A66BD7"/>
    <w:rsid w:val="00A70D6B"/>
    <w:rsid w:val="00A713A4"/>
    <w:rsid w:val="00A714DB"/>
    <w:rsid w:val="00A714E2"/>
    <w:rsid w:val="00A73162"/>
    <w:rsid w:val="00A7495A"/>
    <w:rsid w:val="00A75030"/>
    <w:rsid w:val="00A76FC8"/>
    <w:rsid w:val="00A8225B"/>
    <w:rsid w:val="00A83DBA"/>
    <w:rsid w:val="00A848CE"/>
    <w:rsid w:val="00A8521F"/>
    <w:rsid w:val="00A86850"/>
    <w:rsid w:val="00A86F48"/>
    <w:rsid w:val="00A968A9"/>
    <w:rsid w:val="00A97099"/>
    <w:rsid w:val="00A974BC"/>
    <w:rsid w:val="00AA0691"/>
    <w:rsid w:val="00AA2C36"/>
    <w:rsid w:val="00AA44F5"/>
    <w:rsid w:val="00AA7452"/>
    <w:rsid w:val="00AB26BF"/>
    <w:rsid w:val="00AB4B5B"/>
    <w:rsid w:val="00AC1CC4"/>
    <w:rsid w:val="00AC2451"/>
    <w:rsid w:val="00AC32FD"/>
    <w:rsid w:val="00AC4779"/>
    <w:rsid w:val="00AC6D06"/>
    <w:rsid w:val="00AC7B10"/>
    <w:rsid w:val="00AD0A33"/>
    <w:rsid w:val="00AD2B1E"/>
    <w:rsid w:val="00AD304E"/>
    <w:rsid w:val="00AD6614"/>
    <w:rsid w:val="00AE0982"/>
    <w:rsid w:val="00AE125E"/>
    <w:rsid w:val="00AE2762"/>
    <w:rsid w:val="00AE5816"/>
    <w:rsid w:val="00AE78B0"/>
    <w:rsid w:val="00AF1CF0"/>
    <w:rsid w:val="00AF260A"/>
    <w:rsid w:val="00AF54F5"/>
    <w:rsid w:val="00AF6714"/>
    <w:rsid w:val="00B0345C"/>
    <w:rsid w:val="00B03FE2"/>
    <w:rsid w:val="00B06DA4"/>
    <w:rsid w:val="00B074A2"/>
    <w:rsid w:val="00B07524"/>
    <w:rsid w:val="00B113E7"/>
    <w:rsid w:val="00B11CF5"/>
    <w:rsid w:val="00B11E42"/>
    <w:rsid w:val="00B13E6E"/>
    <w:rsid w:val="00B20820"/>
    <w:rsid w:val="00B26091"/>
    <w:rsid w:val="00B302C6"/>
    <w:rsid w:val="00B3190C"/>
    <w:rsid w:val="00B31D9B"/>
    <w:rsid w:val="00B3272F"/>
    <w:rsid w:val="00B32E4E"/>
    <w:rsid w:val="00B335D0"/>
    <w:rsid w:val="00B35B7C"/>
    <w:rsid w:val="00B36F3C"/>
    <w:rsid w:val="00B444EA"/>
    <w:rsid w:val="00B44BDE"/>
    <w:rsid w:val="00B479B6"/>
    <w:rsid w:val="00B47A6A"/>
    <w:rsid w:val="00B50063"/>
    <w:rsid w:val="00B53C15"/>
    <w:rsid w:val="00B54C19"/>
    <w:rsid w:val="00B57376"/>
    <w:rsid w:val="00B60D9C"/>
    <w:rsid w:val="00B63B74"/>
    <w:rsid w:val="00B64371"/>
    <w:rsid w:val="00B64696"/>
    <w:rsid w:val="00B660A4"/>
    <w:rsid w:val="00B66347"/>
    <w:rsid w:val="00B66D8A"/>
    <w:rsid w:val="00B759E9"/>
    <w:rsid w:val="00B76E7C"/>
    <w:rsid w:val="00B77CDF"/>
    <w:rsid w:val="00B8045E"/>
    <w:rsid w:val="00B82B9C"/>
    <w:rsid w:val="00B8701E"/>
    <w:rsid w:val="00B90095"/>
    <w:rsid w:val="00B910C7"/>
    <w:rsid w:val="00B91423"/>
    <w:rsid w:val="00B94F35"/>
    <w:rsid w:val="00B955BD"/>
    <w:rsid w:val="00B956EE"/>
    <w:rsid w:val="00B9596C"/>
    <w:rsid w:val="00BB6954"/>
    <w:rsid w:val="00BB7F2C"/>
    <w:rsid w:val="00BC049D"/>
    <w:rsid w:val="00BC2D0D"/>
    <w:rsid w:val="00BC4588"/>
    <w:rsid w:val="00BC54D2"/>
    <w:rsid w:val="00BC5DB2"/>
    <w:rsid w:val="00BD0F91"/>
    <w:rsid w:val="00BD2591"/>
    <w:rsid w:val="00BD3522"/>
    <w:rsid w:val="00BD3C2D"/>
    <w:rsid w:val="00BD43E6"/>
    <w:rsid w:val="00BD5A8B"/>
    <w:rsid w:val="00BD798E"/>
    <w:rsid w:val="00BD7E21"/>
    <w:rsid w:val="00BE21C5"/>
    <w:rsid w:val="00BE3364"/>
    <w:rsid w:val="00BE5278"/>
    <w:rsid w:val="00BE6CAE"/>
    <w:rsid w:val="00BF0213"/>
    <w:rsid w:val="00BF0646"/>
    <w:rsid w:val="00BF0809"/>
    <w:rsid w:val="00BF1022"/>
    <w:rsid w:val="00BF1050"/>
    <w:rsid w:val="00BF1122"/>
    <w:rsid w:val="00BF1A49"/>
    <w:rsid w:val="00BF4351"/>
    <w:rsid w:val="00BF60BC"/>
    <w:rsid w:val="00C01042"/>
    <w:rsid w:val="00C03EC3"/>
    <w:rsid w:val="00C067FC"/>
    <w:rsid w:val="00C06F1D"/>
    <w:rsid w:val="00C0799A"/>
    <w:rsid w:val="00C11A4F"/>
    <w:rsid w:val="00C11D0D"/>
    <w:rsid w:val="00C13426"/>
    <w:rsid w:val="00C137EA"/>
    <w:rsid w:val="00C2124C"/>
    <w:rsid w:val="00C21EC3"/>
    <w:rsid w:val="00C252C2"/>
    <w:rsid w:val="00C33BBC"/>
    <w:rsid w:val="00C35C14"/>
    <w:rsid w:val="00C363F6"/>
    <w:rsid w:val="00C41B60"/>
    <w:rsid w:val="00C42165"/>
    <w:rsid w:val="00C449B3"/>
    <w:rsid w:val="00C44AB9"/>
    <w:rsid w:val="00C44D5C"/>
    <w:rsid w:val="00C44E9A"/>
    <w:rsid w:val="00C47E74"/>
    <w:rsid w:val="00C506C9"/>
    <w:rsid w:val="00C5080B"/>
    <w:rsid w:val="00C509C3"/>
    <w:rsid w:val="00C50A17"/>
    <w:rsid w:val="00C528A3"/>
    <w:rsid w:val="00C55025"/>
    <w:rsid w:val="00C576CA"/>
    <w:rsid w:val="00C579E3"/>
    <w:rsid w:val="00C637A1"/>
    <w:rsid w:val="00C65186"/>
    <w:rsid w:val="00C70EAE"/>
    <w:rsid w:val="00C71F88"/>
    <w:rsid w:val="00C72D98"/>
    <w:rsid w:val="00C738B6"/>
    <w:rsid w:val="00C73976"/>
    <w:rsid w:val="00C73D8F"/>
    <w:rsid w:val="00C74298"/>
    <w:rsid w:val="00C75F7A"/>
    <w:rsid w:val="00C83B65"/>
    <w:rsid w:val="00C86D58"/>
    <w:rsid w:val="00C8718C"/>
    <w:rsid w:val="00C879C6"/>
    <w:rsid w:val="00C87F92"/>
    <w:rsid w:val="00C91E74"/>
    <w:rsid w:val="00C95581"/>
    <w:rsid w:val="00C95D60"/>
    <w:rsid w:val="00CA08DF"/>
    <w:rsid w:val="00CA1A07"/>
    <w:rsid w:val="00CA2537"/>
    <w:rsid w:val="00CA3CE2"/>
    <w:rsid w:val="00CA517B"/>
    <w:rsid w:val="00CA57F7"/>
    <w:rsid w:val="00CA70EA"/>
    <w:rsid w:val="00CB08DD"/>
    <w:rsid w:val="00CB77EA"/>
    <w:rsid w:val="00CC6610"/>
    <w:rsid w:val="00CC6F8B"/>
    <w:rsid w:val="00CD08D2"/>
    <w:rsid w:val="00CD5006"/>
    <w:rsid w:val="00CD50B5"/>
    <w:rsid w:val="00CD5E9B"/>
    <w:rsid w:val="00CD72BC"/>
    <w:rsid w:val="00CD73A9"/>
    <w:rsid w:val="00CE22C7"/>
    <w:rsid w:val="00CE3B2D"/>
    <w:rsid w:val="00CE4023"/>
    <w:rsid w:val="00CE778C"/>
    <w:rsid w:val="00CF01A8"/>
    <w:rsid w:val="00CF0FEA"/>
    <w:rsid w:val="00CF2C51"/>
    <w:rsid w:val="00CF5886"/>
    <w:rsid w:val="00CF62B5"/>
    <w:rsid w:val="00D00AA7"/>
    <w:rsid w:val="00D00C81"/>
    <w:rsid w:val="00D06F12"/>
    <w:rsid w:val="00D0747A"/>
    <w:rsid w:val="00D1027E"/>
    <w:rsid w:val="00D104C7"/>
    <w:rsid w:val="00D11C0A"/>
    <w:rsid w:val="00D11D0D"/>
    <w:rsid w:val="00D21EF3"/>
    <w:rsid w:val="00D25419"/>
    <w:rsid w:val="00D2670C"/>
    <w:rsid w:val="00D2713C"/>
    <w:rsid w:val="00D3195A"/>
    <w:rsid w:val="00D35D42"/>
    <w:rsid w:val="00D42474"/>
    <w:rsid w:val="00D43770"/>
    <w:rsid w:val="00D46790"/>
    <w:rsid w:val="00D52014"/>
    <w:rsid w:val="00D53AF7"/>
    <w:rsid w:val="00D56655"/>
    <w:rsid w:val="00D70693"/>
    <w:rsid w:val="00D709C6"/>
    <w:rsid w:val="00D712B5"/>
    <w:rsid w:val="00D74080"/>
    <w:rsid w:val="00D7468C"/>
    <w:rsid w:val="00D74E29"/>
    <w:rsid w:val="00D75172"/>
    <w:rsid w:val="00D76D41"/>
    <w:rsid w:val="00D771A0"/>
    <w:rsid w:val="00D81B0C"/>
    <w:rsid w:val="00D83124"/>
    <w:rsid w:val="00D83B30"/>
    <w:rsid w:val="00D840D0"/>
    <w:rsid w:val="00D84C26"/>
    <w:rsid w:val="00D8522B"/>
    <w:rsid w:val="00D85B50"/>
    <w:rsid w:val="00D85F8A"/>
    <w:rsid w:val="00D86BDC"/>
    <w:rsid w:val="00D87147"/>
    <w:rsid w:val="00D91B06"/>
    <w:rsid w:val="00D91C27"/>
    <w:rsid w:val="00D91E55"/>
    <w:rsid w:val="00D963C1"/>
    <w:rsid w:val="00DB3148"/>
    <w:rsid w:val="00DB3CF8"/>
    <w:rsid w:val="00DB4963"/>
    <w:rsid w:val="00DB6F2E"/>
    <w:rsid w:val="00DC00F3"/>
    <w:rsid w:val="00DC0744"/>
    <w:rsid w:val="00DC0C42"/>
    <w:rsid w:val="00DC3DC5"/>
    <w:rsid w:val="00DC424B"/>
    <w:rsid w:val="00DC42E4"/>
    <w:rsid w:val="00DC5925"/>
    <w:rsid w:val="00DC5FF1"/>
    <w:rsid w:val="00DC60FA"/>
    <w:rsid w:val="00DD0F3D"/>
    <w:rsid w:val="00DD1583"/>
    <w:rsid w:val="00DD1A15"/>
    <w:rsid w:val="00DD34E3"/>
    <w:rsid w:val="00DD672E"/>
    <w:rsid w:val="00DE1FFD"/>
    <w:rsid w:val="00DE23AF"/>
    <w:rsid w:val="00DE5BD4"/>
    <w:rsid w:val="00DE65E0"/>
    <w:rsid w:val="00DE7547"/>
    <w:rsid w:val="00DE7A9A"/>
    <w:rsid w:val="00DE7F6B"/>
    <w:rsid w:val="00DF3585"/>
    <w:rsid w:val="00DF3B9A"/>
    <w:rsid w:val="00DF437C"/>
    <w:rsid w:val="00E02628"/>
    <w:rsid w:val="00E064F1"/>
    <w:rsid w:val="00E07BE3"/>
    <w:rsid w:val="00E11089"/>
    <w:rsid w:val="00E128C6"/>
    <w:rsid w:val="00E14F7B"/>
    <w:rsid w:val="00E17598"/>
    <w:rsid w:val="00E240D6"/>
    <w:rsid w:val="00E26364"/>
    <w:rsid w:val="00E26559"/>
    <w:rsid w:val="00E26885"/>
    <w:rsid w:val="00E35492"/>
    <w:rsid w:val="00E36B76"/>
    <w:rsid w:val="00E37D56"/>
    <w:rsid w:val="00E409F1"/>
    <w:rsid w:val="00E40B11"/>
    <w:rsid w:val="00E41AE8"/>
    <w:rsid w:val="00E4405F"/>
    <w:rsid w:val="00E457C1"/>
    <w:rsid w:val="00E45AA5"/>
    <w:rsid w:val="00E46362"/>
    <w:rsid w:val="00E50910"/>
    <w:rsid w:val="00E51582"/>
    <w:rsid w:val="00E51BE2"/>
    <w:rsid w:val="00E53493"/>
    <w:rsid w:val="00E54F4E"/>
    <w:rsid w:val="00E55693"/>
    <w:rsid w:val="00E645A5"/>
    <w:rsid w:val="00E66E18"/>
    <w:rsid w:val="00E72045"/>
    <w:rsid w:val="00E7368D"/>
    <w:rsid w:val="00E75CB9"/>
    <w:rsid w:val="00E80BD9"/>
    <w:rsid w:val="00E843D5"/>
    <w:rsid w:val="00E869F1"/>
    <w:rsid w:val="00E90352"/>
    <w:rsid w:val="00E91028"/>
    <w:rsid w:val="00E91931"/>
    <w:rsid w:val="00E923ED"/>
    <w:rsid w:val="00E94325"/>
    <w:rsid w:val="00E96229"/>
    <w:rsid w:val="00E97FDB"/>
    <w:rsid w:val="00EA4456"/>
    <w:rsid w:val="00EA5199"/>
    <w:rsid w:val="00EA5479"/>
    <w:rsid w:val="00EA67D0"/>
    <w:rsid w:val="00EA7F90"/>
    <w:rsid w:val="00EB34D1"/>
    <w:rsid w:val="00EB5EBA"/>
    <w:rsid w:val="00EB5FFF"/>
    <w:rsid w:val="00EB6473"/>
    <w:rsid w:val="00EB71D9"/>
    <w:rsid w:val="00EC0346"/>
    <w:rsid w:val="00EC3CF8"/>
    <w:rsid w:val="00ED0949"/>
    <w:rsid w:val="00ED3B3F"/>
    <w:rsid w:val="00ED4777"/>
    <w:rsid w:val="00ED6195"/>
    <w:rsid w:val="00ED72F9"/>
    <w:rsid w:val="00ED7A05"/>
    <w:rsid w:val="00EE0519"/>
    <w:rsid w:val="00EE1904"/>
    <w:rsid w:val="00EE334C"/>
    <w:rsid w:val="00EF0745"/>
    <w:rsid w:val="00EF11A4"/>
    <w:rsid w:val="00EF3F20"/>
    <w:rsid w:val="00EF4B5E"/>
    <w:rsid w:val="00EF63A0"/>
    <w:rsid w:val="00F02153"/>
    <w:rsid w:val="00F0474C"/>
    <w:rsid w:val="00F058DF"/>
    <w:rsid w:val="00F06425"/>
    <w:rsid w:val="00F077A3"/>
    <w:rsid w:val="00F130B0"/>
    <w:rsid w:val="00F13ABC"/>
    <w:rsid w:val="00F14DDA"/>
    <w:rsid w:val="00F15675"/>
    <w:rsid w:val="00F21250"/>
    <w:rsid w:val="00F21819"/>
    <w:rsid w:val="00F2398D"/>
    <w:rsid w:val="00F23F20"/>
    <w:rsid w:val="00F24D5A"/>
    <w:rsid w:val="00F30E1B"/>
    <w:rsid w:val="00F33AFC"/>
    <w:rsid w:val="00F360A2"/>
    <w:rsid w:val="00F367E0"/>
    <w:rsid w:val="00F4227F"/>
    <w:rsid w:val="00F4486D"/>
    <w:rsid w:val="00F45F6B"/>
    <w:rsid w:val="00F464FC"/>
    <w:rsid w:val="00F46E31"/>
    <w:rsid w:val="00F4714F"/>
    <w:rsid w:val="00F47B74"/>
    <w:rsid w:val="00F500ED"/>
    <w:rsid w:val="00F51A03"/>
    <w:rsid w:val="00F54D16"/>
    <w:rsid w:val="00F55DA2"/>
    <w:rsid w:val="00F573F7"/>
    <w:rsid w:val="00F609B9"/>
    <w:rsid w:val="00F634A3"/>
    <w:rsid w:val="00F64B8A"/>
    <w:rsid w:val="00F65048"/>
    <w:rsid w:val="00F705D6"/>
    <w:rsid w:val="00F710F9"/>
    <w:rsid w:val="00F74F65"/>
    <w:rsid w:val="00F7579C"/>
    <w:rsid w:val="00F7620F"/>
    <w:rsid w:val="00F77009"/>
    <w:rsid w:val="00F80CCD"/>
    <w:rsid w:val="00F837F4"/>
    <w:rsid w:val="00F83A5F"/>
    <w:rsid w:val="00F83D3F"/>
    <w:rsid w:val="00F84046"/>
    <w:rsid w:val="00F8462C"/>
    <w:rsid w:val="00F846AD"/>
    <w:rsid w:val="00F85B3E"/>
    <w:rsid w:val="00F87F40"/>
    <w:rsid w:val="00FA0AE4"/>
    <w:rsid w:val="00FA2C3F"/>
    <w:rsid w:val="00FA508F"/>
    <w:rsid w:val="00FA59A6"/>
    <w:rsid w:val="00FB2841"/>
    <w:rsid w:val="00FB3CB2"/>
    <w:rsid w:val="00FB3D1F"/>
    <w:rsid w:val="00FB3EF0"/>
    <w:rsid w:val="00FB4DBA"/>
    <w:rsid w:val="00FB6353"/>
    <w:rsid w:val="00FB667E"/>
    <w:rsid w:val="00FB6C3C"/>
    <w:rsid w:val="00FB772A"/>
    <w:rsid w:val="00FC7616"/>
    <w:rsid w:val="00FD1ABE"/>
    <w:rsid w:val="00FD2A3F"/>
    <w:rsid w:val="00FD327F"/>
    <w:rsid w:val="00FD39D2"/>
    <w:rsid w:val="00FD43F2"/>
    <w:rsid w:val="00FD458C"/>
    <w:rsid w:val="00FD78D3"/>
    <w:rsid w:val="00FE407C"/>
    <w:rsid w:val="00FE552D"/>
    <w:rsid w:val="00FE5563"/>
    <w:rsid w:val="00FE5D51"/>
    <w:rsid w:val="00FF034D"/>
    <w:rsid w:val="00FF195C"/>
    <w:rsid w:val="00FF39A3"/>
    <w:rsid w:val="00FF4FF0"/>
    <w:rsid w:val="00FF6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C5922F"/>
  <w15:docId w15:val="{10EE15E0-E0CB-438D-9E7A-A30F31AD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7A2D58"/>
    <w:pPr>
      <w:numPr>
        <w:numId w:val="4"/>
      </w:numPr>
      <w:shd w:val="clear" w:color="auto" w:fill="FFFFFF"/>
      <w:autoSpaceDE w:val="0"/>
      <w:autoSpaceDN w:val="0"/>
      <w:adjustRightInd w:val="0"/>
      <w:spacing w:before="120" w:after="75" w:line="360" w:lineRule="auto"/>
      <w:jc w:val="center"/>
      <w:textAlignment w:val="baseline"/>
      <w:outlineLvl w:val="0"/>
    </w:pPr>
    <w:rPr>
      <w:rFonts w:ascii="Times New Roman" w:hAnsi="Times New Roman" w:cs="Times New Roman"/>
      <w:b/>
      <w:bCs/>
      <w:caps/>
      <w:color w:val="131313"/>
      <w:spacing w:val="-7"/>
      <w:sz w:val="28"/>
    </w:rPr>
  </w:style>
  <w:style w:type="paragraph" w:styleId="Heading2">
    <w:name w:val="heading 2"/>
    <w:basedOn w:val="Normal"/>
    <w:next w:val="Normal"/>
    <w:link w:val="Heading2Char"/>
    <w:autoRedefine/>
    <w:uiPriority w:val="9"/>
    <w:qFormat/>
    <w:rsid w:val="00565386"/>
    <w:pPr>
      <w:keepNext/>
      <w:spacing w:before="240" w:after="60" w:line="480" w:lineRule="auto"/>
      <w:jc w:val="center"/>
      <w:outlineLvl w:val="1"/>
    </w:pPr>
    <w:rPr>
      <w:rFonts w:ascii="Times New Roman" w:hAnsi="Times New Roman" w:cs="Times New Roman"/>
      <w:b/>
      <w:bCs/>
      <w:iCs/>
      <w:sz w:val="28"/>
      <w:szCs w:val="28"/>
    </w:rPr>
  </w:style>
  <w:style w:type="paragraph" w:styleId="Heading3">
    <w:name w:val="heading 3"/>
    <w:basedOn w:val="Normal"/>
    <w:next w:val="Normal"/>
    <w:link w:val="Heading3Char"/>
    <w:autoRedefine/>
    <w:uiPriority w:val="9"/>
    <w:qFormat/>
    <w:rsid w:val="0008686D"/>
    <w:pPr>
      <w:keepNext/>
      <w:numPr>
        <w:ilvl w:val="2"/>
        <w:numId w:val="2"/>
      </w:numPr>
      <w:spacing w:before="240" w:after="60" w:line="480" w:lineRule="auto"/>
      <w:jc w:val="both"/>
      <w:outlineLvl w:val="2"/>
    </w:pPr>
    <w:rPr>
      <w:rFonts w:ascii="Times New Roman" w:hAnsi="Times New Roman" w:cs="Times New Roman"/>
      <w:b/>
      <w:iCs/>
    </w:rPr>
  </w:style>
  <w:style w:type="paragraph" w:styleId="Heading4">
    <w:name w:val="heading 4"/>
    <w:basedOn w:val="Normal"/>
    <w:next w:val="Normal"/>
    <w:link w:val="Heading4Char"/>
    <w:uiPriority w:val="9"/>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uiPriority w:val="10"/>
    <w:qFormat/>
    <w:rsid w:val="002F1F46"/>
    <w:pPr>
      <w:autoSpaceDE w:val="0"/>
      <w:autoSpaceDN w:val="0"/>
      <w:adjustRightInd w:val="0"/>
      <w:jc w:val="center"/>
    </w:pPr>
    <w:rPr>
      <w:rFonts w:ascii="Times New Roman" w:hAnsi="Times New Roman" w:cs="Times New Roman"/>
      <w:b/>
      <w:bCs/>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autoRedefine/>
    <w:uiPriority w:val="11"/>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7A2D58"/>
    <w:rPr>
      <w:rFonts w:cs="Times New Roman"/>
      <w:b/>
      <w:bCs/>
      <w:caps/>
      <w:color w:val="131313"/>
      <w:spacing w:val="-7"/>
      <w:sz w:val="28"/>
      <w:shd w:val="clear" w:color="auto" w:fill="FFFFFF"/>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933CB0"/>
    <w:pPr>
      <w:numPr>
        <w:ilvl w:val="12"/>
        <w:numId w:val="0"/>
      </w:numPr>
    </w:pPr>
    <w:rPr>
      <w:bCs w:val="0"/>
      <w:szCs w:val="28"/>
    </w:rPr>
  </w:style>
  <w:style w:type="paragraph" w:customStyle="1" w:styleId="LO-normal">
    <w:name w:val="LO-normal"/>
    <w:qFormat/>
    <w:rsid w:val="00B9596C"/>
    <w:pPr>
      <w:widowControl w:val="0"/>
      <w:pBdr>
        <w:top w:val="nil"/>
        <w:left w:val="nil"/>
        <w:bottom w:val="nil"/>
        <w:right w:val="nil"/>
        <w:between w:val="nil"/>
      </w:pBdr>
      <w:spacing w:after="160" w:line="480" w:lineRule="auto"/>
      <w:ind w:firstLine="720"/>
    </w:pPr>
    <w:rPr>
      <w:rFonts w:cs="Times New Roman"/>
      <w:color w:val="000000"/>
      <w:lang w:eastAsia="zh-CN" w:bidi="hi-IN"/>
    </w:rPr>
  </w:style>
  <w:style w:type="character" w:customStyle="1" w:styleId="Heading2Char">
    <w:name w:val="Heading 2 Char"/>
    <w:basedOn w:val="DefaultParagraphFont"/>
    <w:link w:val="Heading2"/>
    <w:uiPriority w:val="9"/>
    <w:rsid w:val="00565386"/>
    <w:rPr>
      <w:rFonts w:cs="Times New Roman"/>
      <w:b/>
      <w:bCs/>
      <w:iCs/>
      <w:sz w:val="28"/>
      <w:szCs w:val="28"/>
    </w:rPr>
  </w:style>
  <w:style w:type="character" w:customStyle="1" w:styleId="Heading3Char">
    <w:name w:val="Heading 3 Char"/>
    <w:basedOn w:val="DefaultParagraphFont"/>
    <w:link w:val="Heading3"/>
    <w:uiPriority w:val="9"/>
    <w:rsid w:val="0008686D"/>
    <w:rPr>
      <w:rFonts w:cs="Times New Roman"/>
      <w:b/>
      <w:iCs/>
    </w:rPr>
  </w:style>
  <w:style w:type="character" w:customStyle="1" w:styleId="TitleChar">
    <w:name w:val="Title Char"/>
    <w:basedOn w:val="DefaultParagraphFont"/>
    <w:link w:val="Title"/>
    <w:uiPriority w:val="10"/>
    <w:rsid w:val="002F1F46"/>
    <w:rPr>
      <w:rFonts w:cs="Times New Roman"/>
      <w:b/>
      <w:bCs/>
      <w:sz w:val="28"/>
      <w:szCs w:val="28"/>
    </w:rPr>
  </w:style>
  <w:style w:type="character" w:customStyle="1" w:styleId="SubtitleChar">
    <w:name w:val="Subtitle Char"/>
    <w:basedOn w:val="DefaultParagraphFont"/>
    <w:link w:val="Subtitle"/>
    <w:uiPriority w:val="11"/>
    <w:rsid w:val="00DC3DC5"/>
    <w:rPr>
      <w:rFonts w:ascii="Arial" w:hAnsi="Arial"/>
      <w:b/>
      <w:bCs/>
    </w:rPr>
  </w:style>
  <w:style w:type="character" w:customStyle="1" w:styleId="BalloonTextChar">
    <w:name w:val="Balloon Text Char"/>
    <w:basedOn w:val="DefaultParagraphFont"/>
    <w:link w:val="BalloonText"/>
    <w:uiPriority w:val="99"/>
    <w:semiHidden/>
    <w:rsid w:val="00DC3DC5"/>
    <w:rPr>
      <w:rFonts w:ascii="Segoe UI" w:hAnsi="Segoe UI" w:cs="Segoe UI"/>
      <w:color w:val="000000"/>
      <w:sz w:val="18"/>
      <w:szCs w:val="18"/>
    </w:rPr>
  </w:style>
  <w:style w:type="paragraph" w:styleId="BalloonText">
    <w:name w:val="Balloon Text"/>
    <w:basedOn w:val="Normal"/>
    <w:link w:val="BalloonTextChar"/>
    <w:uiPriority w:val="99"/>
    <w:semiHidden/>
    <w:unhideWhenUsed/>
    <w:rsid w:val="00DC3DC5"/>
    <w:pPr>
      <w:widowControl w:val="0"/>
      <w:pBdr>
        <w:top w:val="nil"/>
        <w:left w:val="nil"/>
        <w:bottom w:val="nil"/>
        <w:right w:val="nil"/>
        <w:between w:val="nil"/>
      </w:pBdr>
      <w:ind w:firstLine="720"/>
    </w:pPr>
    <w:rPr>
      <w:rFonts w:ascii="Segoe UI" w:hAnsi="Segoe UI" w:cs="Segoe UI"/>
      <w:color w:val="000000"/>
      <w:sz w:val="18"/>
      <w:szCs w:val="18"/>
    </w:rPr>
  </w:style>
  <w:style w:type="character" w:customStyle="1" w:styleId="BalloonTextChar1">
    <w:name w:val="Balloon Text Char1"/>
    <w:basedOn w:val="DefaultParagraphFont"/>
    <w:semiHidden/>
    <w:rsid w:val="00DC3DC5"/>
    <w:rPr>
      <w:rFonts w:ascii="Segoe UI" w:hAnsi="Segoe UI" w:cs="Segoe UI"/>
      <w:sz w:val="18"/>
      <w:szCs w:val="18"/>
    </w:rPr>
  </w:style>
  <w:style w:type="character" w:customStyle="1" w:styleId="CommentTextChar">
    <w:name w:val="Comment Text Char"/>
    <w:basedOn w:val="DefaultParagraphFont"/>
    <w:link w:val="CommentText"/>
    <w:uiPriority w:val="99"/>
    <w:rsid w:val="00DC3DC5"/>
    <w:rPr>
      <w:rFonts w:cs="Times New Roman"/>
      <w:color w:val="000000"/>
      <w:sz w:val="20"/>
      <w:szCs w:val="20"/>
    </w:rPr>
  </w:style>
  <w:style w:type="paragraph" w:styleId="CommentText">
    <w:name w:val="annotation text"/>
    <w:basedOn w:val="Normal"/>
    <w:link w:val="CommentTextChar"/>
    <w:uiPriority w:val="99"/>
    <w:unhideWhenUsed/>
    <w:rsid w:val="00DC3DC5"/>
    <w:pPr>
      <w:widowControl w:val="0"/>
      <w:pBdr>
        <w:top w:val="nil"/>
        <w:left w:val="nil"/>
        <w:bottom w:val="nil"/>
        <w:right w:val="nil"/>
        <w:between w:val="nil"/>
      </w:pBdr>
      <w:ind w:firstLine="720"/>
    </w:pPr>
    <w:rPr>
      <w:rFonts w:ascii="Times New Roman" w:hAnsi="Times New Roman" w:cs="Times New Roman"/>
      <w:color w:val="000000"/>
      <w:sz w:val="20"/>
      <w:szCs w:val="20"/>
    </w:rPr>
  </w:style>
  <w:style w:type="character" w:customStyle="1" w:styleId="CommentTextChar1">
    <w:name w:val="Comment Text Char1"/>
    <w:basedOn w:val="DefaultParagraphFont"/>
    <w:semiHidden/>
    <w:rsid w:val="00DC3DC5"/>
    <w:rPr>
      <w:rFonts w:ascii="Arial" w:hAnsi="Arial"/>
      <w:sz w:val="20"/>
      <w:szCs w:val="20"/>
    </w:rPr>
  </w:style>
  <w:style w:type="character" w:customStyle="1" w:styleId="CommentSubjectChar">
    <w:name w:val="Comment Subject Char"/>
    <w:basedOn w:val="CommentTextChar"/>
    <w:link w:val="CommentSubject"/>
    <w:uiPriority w:val="99"/>
    <w:semiHidden/>
    <w:rsid w:val="00DC3DC5"/>
    <w:rPr>
      <w:rFonts w:cs="Times New Roman"/>
      <w:b/>
      <w:bCs/>
      <w:color w:val="000000"/>
      <w:sz w:val="20"/>
      <w:szCs w:val="20"/>
    </w:rPr>
  </w:style>
  <w:style w:type="paragraph" w:styleId="CommentSubject">
    <w:name w:val="annotation subject"/>
    <w:basedOn w:val="CommentText"/>
    <w:next w:val="CommentText"/>
    <w:link w:val="CommentSubjectChar"/>
    <w:uiPriority w:val="99"/>
    <w:semiHidden/>
    <w:unhideWhenUsed/>
    <w:rsid w:val="00DC3DC5"/>
    <w:rPr>
      <w:b/>
      <w:bCs/>
    </w:rPr>
  </w:style>
  <w:style w:type="character" w:customStyle="1" w:styleId="CommentSubjectChar1">
    <w:name w:val="Comment Subject Char1"/>
    <w:basedOn w:val="CommentTextChar1"/>
    <w:semiHidden/>
    <w:rsid w:val="00DC3DC5"/>
    <w:rPr>
      <w:rFonts w:ascii="Arial" w:hAnsi="Arial"/>
      <w:b/>
      <w:bCs/>
      <w:sz w:val="20"/>
      <w:szCs w:val="20"/>
    </w:rPr>
  </w:style>
  <w:style w:type="character" w:styleId="LineNumber">
    <w:name w:val="line number"/>
    <w:basedOn w:val="DefaultParagraphFont"/>
    <w:uiPriority w:val="99"/>
    <w:semiHidden/>
    <w:unhideWhenUsed/>
    <w:rsid w:val="00DC3DC5"/>
  </w:style>
  <w:style w:type="character" w:styleId="PlaceholderText">
    <w:name w:val="Placeholder Text"/>
    <w:basedOn w:val="DefaultParagraphFont"/>
    <w:uiPriority w:val="99"/>
    <w:semiHidden/>
    <w:rsid w:val="00DC3DC5"/>
    <w:rPr>
      <w:color w:val="808080"/>
    </w:rPr>
  </w:style>
  <w:style w:type="character" w:styleId="CommentReference">
    <w:name w:val="annotation reference"/>
    <w:basedOn w:val="DefaultParagraphFont"/>
    <w:uiPriority w:val="99"/>
    <w:semiHidden/>
    <w:unhideWhenUsed/>
    <w:rsid w:val="00DC3DC5"/>
    <w:rPr>
      <w:sz w:val="16"/>
      <w:szCs w:val="16"/>
    </w:rPr>
  </w:style>
  <w:style w:type="paragraph" w:customStyle="1" w:styleId="Standard">
    <w:name w:val="Standard"/>
    <w:qFormat/>
    <w:rsid w:val="00DC3DC5"/>
    <w:pPr>
      <w:widowControl w:val="0"/>
      <w:suppressAutoHyphens/>
      <w:autoSpaceDN w:val="0"/>
      <w:textAlignment w:val="baseline"/>
    </w:pPr>
    <w:rPr>
      <w:rFonts w:ascii="Liberation Serif" w:eastAsia="WenQuanYi Zen Hei Sharp" w:hAnsi="Liberation Serif" w:cs="Lohit Devanagari"/>
      <w:kern w:val="3"/>
      <w:lang w:eastAsia="zh-CN" w:bidi="hi-IN"/>
    </w:rPr>
  </w:style>
  <w:style w:type="character" w:styleId="UnresolvedMention">
    <w:name w:val="Unresolved Mention"/>
    <w:basedOn w:val="DefaultParagraphFont"/>
    <w:uiPriority w:val="99"/>
    <w:semiHidden/>
    <w:unhideWhenUsed/>
    <w:rsid w:val="00DC3DC5"/>
    <w:rPr>
      <w:color w:val="605E5C"/>
      <w:shd w:val="clear" w:color="auto" w:fill="E1DFDD"/>
    </w:rPr>
  </w:style>
  <w:style w:type="paragraph" w:styleId="NormalWeb">
    <w:name w:val="Normal (Web)"/>
    <w:basedOn w:val="Normal"/>
    <w:uiPriority w:val="99"/>
    <w:unhideWhenUsed/>
    <w:rsid w:val="00DC3DC5"/>
    <w:pPr>
      <w:spacing w:before="100" w:beforeAutospacing="1" w:after="100" w:afterAutospacing="1"/>
    </w:pPr>
    <w:rPr>
      <w:rFonts w:ascii="Times New Roman" w:hAnsi="Times New Roman" w:cs="Times New Roman"/>
    </w:rPr>
  </w:style>
  <w:style w:type="character" w:customStyle="1" w:styleId="InternetLink">
    <w:name w:val="Internet Link"/>
    <w:basedOn w:val="DefaultParagraphFont"/>
    <w:uiPriority w:val="99"/>
    <w:unhideWhenUsed/>
    <w:rsid w:val="005049BA"/>
    <w:rPr>
      <w:color w:val="0000FF" w:themeColor="hyperlink"/>
      <w:u w:val="single"/>
    </w:rPr>
  </w:style>
  <w:style w:type="table" w:customStyle="1" w:styleId="1">
    <w:name w:val="1"/>
    <w:basedOn w:val="TableNormal"/>
    <w:rsid w:val="00227E84"/>
    <w:rPr>
      <w:rFonts w:ascii="Calibri" w:eastAsia="Calibri" w:hAnsi="Calibri" w:cs="Calibri"/>
      <w:sz w:val="22"/>
      <w:szCs w:val="22"/>
    </w:rPr>
    <w:tblPr>
      <w:tblStyleRowBandSize w:val="1"/>
      <w:tblStyleColBandSize w:val="1"/>
    </w:tblPr>
  </w:style>
  <w:style w:type="character" w:customStyle="1" w:styleId="HeaderChar">
    <w:name w:val="Header Char"/>
    <w:basedOn w:val="DefaultParagraphFont"/>
    <w:link w:val="Header"/>
    <w:uiPriority w:val="99"/>
    <w:rsid w:val="00227E84"/>
    <w:rPr>
      <w:rFonts w:ascii="Arial" w:hAnsi="Arial"/>
    </w:rPr>
  </w:style>
  <w:style w:type="paragraph" w:customStyle="1" w:styleId="Heading1IntroConc">
    <w:name w:val="Heading_1_Intro_Conc"/>
    <w:basedOn w:val="Heading1"/>
    <w:rsid w:val="00565386"/>
    <w:rPr>
      <w:rFonts w:eastAsiaTheme="minorEastAsia"/>
      <w:noProof/>
    </w:rPr>
  </w:style>
  <w:style w:type="paragraph" w:customStyle="1" w:styleId="Style1">
    <w:name w:val="Style1"/>
    <w:basedOn w:val="Heading2"/>
    <w:qFormat/>
    <w:rsid w:val="00565386"/>
    <w:p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626962148">
      <w:bodyDiv w:val="1"/>
      <w:marLeft w:val="0"/>
      <w:marRight w:val="0"/>
      <w:marTop w:val="0"/>
      <w:marBottom w:val="0"/>
      <w:divBdr>
        <w:top w:val="none" w:sz="0" w:space="0" w:color="auto"/>
        <w:left w:val="none" w:sz="0" w:space="0" w:color="auto"/>
        <w:bottom w:val="none" w:sz="0" w:space="0" w:color="auto"/>
        <w:right w:val="none" w:sz="0" w:space="0" w:color="auto"/>
      </w:divBdr>
    </w:div>
    <w:div w:id="196434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1.png"/><Relationship Id="rId39" Type="http://schemas.openxmlformats.org/officeDocument/2006/relationships/image" Target="media/image22.png"/><Relationship Id="rId21" Type="http://schemas.openxmlformats.org/officeDocument/2006/relationships/hyperlink" Target="http://adsteen.shinyapps.io/grase" TargetMode="External"/><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header" Target="header3.xml"/><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4.png"/><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hyperlink" Target="https://doi.org/10.6084/m9.figshare.5188273" TargetMode="External"/><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19.png"/><Relationship Id="rId49" Type="http://schemas.openxmlformats.org/officeDocument/2006/relationships/footer" Target="footer3.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hyperlink" Target="https://doi.org/10.1101/2020.04.22.054593" TargetMode="External"/><Relationship Id="rId44" Type="http://schemas.openxmlformats.org/officeDocument/2006/relationships/image" Target="media/image27.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yperlink" Target="http://github.com/adsteen/GRASE"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header" Target="header4.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doi.org/10.1128/mSphere.00446-19" TargetMode="External"/><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20" Type="http://schemas.openxmlformats.org/officeDocument/2006/relationships/hyperlink" Target="https://doi.org/10.1128/mSystems.00384-19" TargetMode="External"/><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A0346-8A37-4317-A082-30F858D0D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187</Pages>
  <Words>180511</Words>
  <Characters>1028914</Characters>
  <Application>Microsoft Office Word</Application>
  <DocSecurity>0</DocSecurity>
  <Lines>8574</Lines>
  <Paragraphs>2414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1207011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user</dc:creator>
  <cp:lastModifiedBy>Royalty, Taylor Michael</cp:lastModifiedBy>
  <cp:revision>30</cp:revision>
  <cp:lastPrinted>2005-09-22T13:02:00Z</cp:lastPrinted>
  <dcterms:created xsi:type="dcterms:W3CDTF">2020-06-01T22:20:00Z</dcterms:created>
  <dcterms:modified xsi:type="dcterms:W3CDTF">2020-06-02T14:44:00Z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http://www.zotero.org/styles/american-geophysical-union</vt:lpwstr>
  </property>
  <property fmtid="{D5CDD505-2E9C-101B-9397-08002B2CF9AE}" pid="3" name="Mendeley Recent Style Name 0_1">
    <vt:lpwstr>American Geophysical Union</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http://www.zotero.org/styles/the-isme-journal</vt:lpwstr>
  </property>
  <property fmtid="{D5CDD505-2E9C-101B-9397-08002B2CF9AE}" pid="19" name="Mendeley Recent Style Name 8_1">
    <vt:lpwstr>The ISME Journal</vt:lpwstr>
  </property>
  <property fmtid="{D5CDD505-2E9C-101B-9397-08002B2CF9AE}" pid="20" name="Mendeley Recent Style Id 9_1">
    <vt:lpwstr>http://www.zotero.org/styles/mbio</vt:lpwstr>
  </property>
  <property fmtid="{D5CDD505-2E9C-101B-9397-08002B2CF9AE}" pid="21" name="Mendeley Recent Style Name 9_1">
    <vt:lpwstr>mBio</vt:lpwstr>
  </property>
  <property fmtid="{D5CDD505-2E9C-101B-9397-08002B2CF9AE}" pid="22" name="Mendeley Document_1">
    <vt:lpwstr>True</vt:lpwstr>
  </property>
  <property fmtid="{D5CDD505-2E9C-101B-9397-08002B2CF9AE}" pid="23" name="Mendeley Citation Style_1">
    <vt:lpwstr>http://www.zotero.org/styles/mbio</vt:lpwstr>
  </property>
  <property fmtid="{D5CDD505-2E9C-101B-9397-08002B2CF9AE}" pid="24" name="Mendeley Unique User Id_1">
    <vt:lpwstr>1b7c5901-a19c-3434-b22c-84e9d616ee98</vt:lpwstr>
  </property>
</Properties>
</file>