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3876F" w14:textId="0F6D4FB8" w:rsidR="00B602BA" w:rsidRPr="00C347AD" w:rsidRDefault="00044DC3" w:rsidP="00B26A26">
      <w:pPr>
        <w:pStyle w:val="headingfm1"/>
      </w:pPr>
      <w:r w:rsidRPr="00C347AD">
        <w:t xml:space="preserve"> </w:t>
      </w:r>
      <w:r w:rsidR="008E32A8" w:rsidRPr="00C347AD">
        <w:t xml:space="preserve">Modeling as Teaching: </w:t>
      </w:r>
      <w:r w:rsidR="00B602BA" w:rsidRPr="00C347AD">
        <w:t xml:space="preserve">Preparing Preservice Teachers to Implement Universal Design for Learning </w:t>
      </w:r>
    </w:p>
    <w:p w14:paraId="5B2F77A7" w14:textId="77777777" w:rsidR="00236E6D" w:rsidRPr="00C347AD" w:rsidRDefault="00236E6D" w:rsidP="0037384D"/>
    <w:p w14:paraId="470E22B3" w14:textId="77777777" w:rsidR="00236E6D" w:rsidRPr="00C347AD" w:rsidRDefault="00236E6D" w:rsidP="0037384D"/>
    <w:p w14:paraId="04560F7D" w14:textId="77777777" w:rsidR="00236E6D" w:rsidRPr="00C347AD" w:rsidRDefault="00236E6D" w:rsidP="0037384D"/>
    <w:p w14:paraId="749CD572" w14:textId="77777777" w:rsidR="00236E6D" w:rsidRPr="00C347AD" w:rsidRDefault="00236E6D" w:rsidP="0037384D"/>
    <w:p w14:paraId="3FB5689B" w14:textId="77777777" w:rsidR="00236E6D" w:rsidRPr="00C347AD" w:rsidRDefault="00236E6D" w:rsidP="0037384D"/>
    <w:p w14:paraId="2D7AD541" w14:textId="77777777" w:rsidR="00236E6D" w:rsidRPr="00C347AD" w:rsidRDefault="00236E6D" w:rsidP="0037384D"/>
    <w:p w14:paraId="5C53FB60" w14:textId="77777777" w:rsidR="00236E6D" w:rsidRPr="00C347AD" w:rsidRDefault="00236E6D" w:rsidP="0037384D"/>
    <w:p w14:paraId="1CDF66C5" w14:textId="77777777" w:rsidR="00236E6D" w:rsidRPr="00C347AD" w:rsidRDefault="00236E6D" w:rsidP="0037384D"/>
    <w:p w14:paraId="417665B0" w14:textId="77777777" w:rsidR="00236E6D" w:rsidRPr="00C347AD" w:rsidRDefault="009C755C" w:rsidP="00EF1D09">
      <w:pPr>
        <w:jc w:val="center"/>
      </w:pPr>
      <w:r w:rsidRPr="00C347AD">
        <w:t xml:space="preserve">A </w:t>
      </w:r>
      <w:r w:rsidR="00B602BA" w:rsidRPr="00C347AD">
        <w:t>Dissertation</w:t>
      </w:r>
      <w:r w:rsidRPr="00C347AD">
        <w:t xml:space="preserve"> Presented for</w:t>
      </w:r>
      <w:r w:rsidR="00371BAE" w:rsidRPr="00C347AD">
        <w:t xml:space="preserve"> the</w:t>
      </w:r>
    </w:p>
    <w:p w14:paraId="7627EDC5" w14:textId="77777777" w:rsidR="009C755C" w:rsidRPr="00C347AD" w:rsidRDefault="00B602BA" w:rsidP="00EF1D09">
      <w:pPr>
        <w:jc w:val="center"/>
      </w:pPr>
      <w:r w:rsidRPr="00C347AD">
        <w:t>Doctor</w:t>
      </w:r>
      <w:r w:rsidR="009C755C" w:rsidRPr="00C347AD">
        <w:t xml:space="preserve"> of </w:t>
      </w:r>
      <w:r w:rsidRPr="00C347AD">
        <w:t>Philosophy</w:t>
      </w:r>
    </w:p>
    <w:p w14:paraId="74D9A0CA" w14:textId="77777777" w:rsidR="009C755C" w:rsidRPr="00C347AD" w:rsidRDefault="009C755C" w:rsidP="00EF1D09">
      <w:pPr>
        <w:jc w:val="center"/>
      </w:pPr>
      <w:r w:rsidRPr="00C347AD">
        <w:t>Degree</w:t>
      </w:r>
    </w:p>
    <w:p w14:paraId="5BFA59E5" w14:textId="77777777" w:rsidR="009C755C" w:rsidRPr="00C347AD" w:rsidRDefault="009C755C" w:rsidP="00EF1D09">
      <w:pPr>
        <w:jc w:val="center"/>
      </w:pPr>
      <w:r w:rsidRPr="00C347AD">
        <w:t>The University of Tennessee, Knoxville</w:t>
      </w:r>
    </w:p>
    <w:p w14:paraId="2E57916A" w14:textId="77777777" w:rsidR="00236E6D" w:rsidRPr="00C347AD" w:rsidRDefault="00236E6D" w:rsidP="00EF1D09">
      <w:pPr>
        <w:jc w:val="center"/>
      </w:pPr>
    </w:p>
    <w:p w14:paraId="70726692" w14:textId="77777777" w:rsidR="00236E6D" w:rsidRPr="00C347AD" w:rsidRDefault="00236E6D" w:rsidP="00EF1D09">
      <w:pPr>
        <w:jc w:val="center"/>
      </w:pPr>
    </w:p>
    <w:p w14:paraId="6FD5F1C9" w14:textId="77777777" w:rsidR="00236E6D" w:rsidRPr="00C347AD" w:rsidRDefault="00236E6D" w:rsidP="00EF1D09">
      <w:pPr>
        <w:jc w:val="center"/>
      </w:pPr>
    </w:p>
    <w:p w14:paraId="7DA9AADF" w14:textId="77777777" w:rsidR="00236E6D" w:rsidRPr="00C347AD" w:rsidRDefault="00236E6D" w:rsidP="00EF1D09">
      <w:pPr>
        <w:jc w:val="center"/>
      </w:pPr>
    </w:p>
    <w:p w14:paraId="710D1AC7" w14:textId="77777777" w:rsidR="00236E6D" w:rsidRPr="00C347AD" w:rsidRDefault="00236E6D" w:rsidP="00EF1D09">
      <w:pPr>
        <w:jc w:val="center"/>
      </w:pPr>
    </w:p>
    <w:p w14:paraId="1EC9488B" w14:textId="7D9F452B" w:rsidR="00236E6D" w:rsidRPr="00C347AD" w:rsidRDefault="000F7BF7" w:rsidP="00EF1D09">
      <w:pPr>
        <w:jc w:val="center"/>
      </w:pPr>
      <w:r w:rsidRPr="00C347AD">
        <w:t>Eric Jordan</w:t>
      </w:r>
      <w:r w:rsidR="00B602BA" w:rsidRPr="00C347AD">
        <w:t xml:space="preserve"> Moore</w:t>
      </w:r>
    </w:p>
    <w:p w14:paraId="2AF0C6E7" w14:textId="77777777" w:rsidR="009C755C" w:rsidRPr="00C347AD" w:rsidRDefault="00B602BA" w:rsidP="00EF1D09">
      <w:pPr>
        <w:jc w:val="center"/>
      </w:pPr>
      <w:r w:rsidRPr="00C347AD">
        <w:t>May</w:t>
      </w:r>
      <w:r w:rsidR="009C755C" w:rsidRPr="00C347AD">
        <w:t xml:space="preserve"> </w:t>
      </w:r>
      <w:r w:rsidR="00E603D9" w:rsidRPr="00C347AD">
        <w:t>20</w:t>
      </w:r>
      <w:r w:rsidRPr="00C347AD">
        <w:t>17</w:t>
      </w:r>
    </w:p>
    <w:p w14:paraId="720B4D8D" w14:textId="77777777" w:rsidR="00236E6D" w:rsidRPr="00C347AD" w:rsidRDefault="00236E6D" w:rsidP="0037384D"/>
    <w:p w14:paraId="36AB1EEC" w14:textId="77777777" w:rsidR="00236E6D" w:rsidRPr="00C347AD" w:rsidRDefault="00236E6D" w:rsidP="0037384D"/>
    <w:p w14:paraId="5DCE1195" w14:textId="77777777" w:rsidR="00236E6D" w:rsidRPr="00C347AD" w:rsidRDefault="00236E6D" w:rsidP="0037384D"/>
    <w:p w14:paraId="458576C4" w14:textId="77777777" w:rsidR="00236E6D" w:rsidRPr="00C347AD" w:rsidRDefault="00236E6D" w:rsidP="0037384D"/>
    <w:p w14:paraId="2C2A1DCA" w14:textId="77777777" w:rsidR="00236E6D" w:rsidRPr="00C347AD" w:rsidRDefault="00236E6D" w:rsidP="0037384D"/>
    <w:p w14:paraId="66C58707" w14:textId="77777777" w:rsidR="00236E6D" w:rsidRPr="00C347AD" w:rsidRDefault="00236E6D" w:rsidP="0037384D"/>
    <w:p w14:paraId="42D9FDAC" w14:textId="77777777" w:rsidR="00236E6D" w:rsidRPr="00C347AD" w:rsidRDefault="00236E6D" w:rsidP="0037384D"/>
    <w:p w14:paraId="3FE57910" w14:textId="77777777" w:rsidR="00236E6D" w:rsidRPr="00C347AD" w:rsidRDefault="00236E6D" w:rsidP="0037384D"/>
    <w:p w14:paraId="616242E3" w14:textId="77777777" w:rsidR="00236E6D" w:rsidRPr="00C347AD" w:rsidRDefault="00236E6D" w:rsidP="0037384D"/>
    <w:p w14:paraId="11ACE3C5" w14:textId="77777777" w:rsidR="00236E6D" w:rsidRPr="00C347AD" w:rsidRDefault="00236E6D" w:rsidP="0037384D"/>
    <w:p w14:paraId="30AAC639" w14:textId="7332BBCA" w:rsidR="00236E6D" w:rsidRPr="00C347AD" w:rsidRDefault="00D91C27" w:rsidP="00EF1D09">
      <w:pPr>
        <w:jc w:val="center"/>
      </w:pPr>
      <w:r w:rsidRPr="00C347AD">
        <w:t>Copyright © 20</w:t>
      </w:r>
      <w:r w:rsidR="00B602BA" w:rsidRPr="00C347AD">
        <w:t>17</w:t>
      </w:r>
      <w:r w:rsidR="00236E6D" w:rsidRPr="00C347AD">
        <w:t xml:space="preserve"> by </w:t>
      </w:r>
      <w:r w:rsidR="00727B14" w:rsidRPr="00C347AD">
        <w:t>Eric Jordan</w:t>
      </w:r>
      <w:r w:rsidR="00B602BA" w:rsidRPr="00C347AD">
        <w:t xml:space="preserve"> Moore</w:t>
      </w:r>
    </w:p>
    <w:p w14:paraId="22834164" w14:textId="77777777" w:rsidR="00236E6D" w:rsidRPr="00C347AD" w:rsidRDefault="00236E6D" w:rsidP="00EF1D09">
      <w:pPr>
        <w:jc w:val="center"/>
      </w:pPr>
      <w:r w:rsidRPr="00C347AD">
        <w:t>All rights reserved.</w:t>
      </w:r>
    </w:p>
    <w:p w14:paraId="20705426" w14:textId="77777777" w:rsidR="00236E6D" w:rsidRPr="00C347AD" w:rsidRDefault="00236E6D" w:rsidP="0037384D"/>
    <w:p w14:paraId="1058FFD6" w14:textId="77777777" w:rsidR="00236E6D" w:rsidRPr="00C347AD" w:rsidRDefault="00236E6D" w:rsidP="0037384D"/>
    <w:p w14:paraId="415B79E7" w14:textId="77777777" w:rsidR="00236E6D" w:rsidRPr="00C347AD" w:rsidRDefault="00236E6D" w:rsidP="0037384D"/>
    <w:p w14:paraId="6D605F7E" w14:textId="77777777" w:rsidR="00236E6D" w:rsidRPr="00C347AD" w:rsidRDefault="00236E6D" w:rsidP="0037384D"/>
    <w:p w14:paraId="253C570B" w14:textId="77777777" w:rsidR="00236E6D" w:rsidRPr="00C347AD" w:rsidRDefault="00236E6D" w:rsidP="0037384D"/>
    <w:p w14:paraId="16E3F4A0" w14:textId="77777777" w:rsidR="00236E6D" w:rsidRPr="00C347AD" w:rsidRDefault="00236E6D" w:rsidP="0037384D"/>
    <w:p w14:paraId="422C575F" w14:textId="77777777" w:rsidR="00236E6D" w:rsidRPr="00C347AD" w:rsidRDefault="00236E6D" w:rsidP="0037384D"/>
    <w:p w14:paraId="3A20A8A9" w14:textId="77777777" w:rsidR="00236E6D" w:rsidRPr="00C347AD" w:rsidRDefault="00236E6D" w:rsidP="0037384D"/>
    <w:p w14:paraId="4446B892" w14:textId="77777777" w:rsidR="00E966ED" w:rsidRPr="00C347AD" w:rsidRDefault="00E966ED">
      <w:pPr>
        <w:spacing w:line="240" w:lineRule="auto"/>
        <w:ind w:firstLine="0"/>
      </w:pPr>
      <w:r w:rsidRPr="00C347AD">
        <w:br w:type="page"/>
      </w:r>
    </w:p>
    <w:p w14:paraId="41FFB56C" w14:textId="30A1A514" w:rsidR="00E966ED" w:rsidRPr="00C347AD" w:rsidRDefault="00E966ED" w:rsidP="00E966ED">
      <w:pPr>
        <w:jc w:val="center"/>
        <w:rPr>
          <w:b/>
        </w:rPr>
      </w:pPr>
      <w:r w:rsidRPr="00C347AD">
        <w:rPr>
          <w:b/>
        </w:rPr>
        <w:lastRenderedPageBreak/>
        <w:t>Acknowledgements</w:t>
      </w:r>
    </w:p>
    <w:p w14:paraId="09DFB4CC" w14:textId="77777777" w:rsidR="00E966ED" w:rsidRPr="00C347AD" w:rsidRDefault="00E966ED" w:rsidP="00E966ED">
      <w:pPr>
        <w:jc w:val="center"/>
      </w:pPr>
    </w:p>
    <w:p w14:paraId="6627B14D" w14:textId="77777777" w:rsidR="00E966ED" w:rsidRPr="00C347AD" w:rsidRDefault="00E966ED" w:rsidP="00E966ED">
      <w:pPr>
        <w:jc w:val="center"/>
      </w:pPr>
      <w:r w:rsidRPr="00C347AD">
        <w:t>Thank you all for your help.</w:t>
      </w:r>
      <w:r w:rsidRPr="00C347AD">
        <w:rPr>
          <w:sz w:val="36"/>
          <w:szCs w:val="36"/>
        </w:rPr>
        <w:br w:type="page"/>
      </w:r>
      <w:r w:rsidRPr="00C347AD">
        <w:rPr>
          <w:b/>
          <w:bCs/>
        </w:rPr>
        <w:lastRenderedPageBreak/>
        <w:t>Abstract</w:t>
      </w:r>
    </w:p>
    <w:p w14:paraId="1BC9C3D9" w14:textId="77777777" w:rsidR="00E966ED" w:rsidRPr="00C347AD" w:rsidRDefault="00E966ED" w:rsidP="00E966ED"/>
    <w:p w14:paraId="266B0C63" w14:textId="77777777" w:rsidR="00E966ED" w:rsidRPr="00C347AD" w:rsidRDefault="00E966ED" w:rsidP="00E966ED">
      <w:r w:rsidRPr="00C347AD">
        <w:t>This is a sample Word document that can be used as a template in formatting your thesis/dissertation. It must be 350 words or less, with no special characters.</w:t>
      </w:r>
    </w:p>
    <w:p w14:paraId="73C70069" w14:textId="77777777" w:rsidR="00E966ED" w:rsidRPr="00C347AD" w:rsidRDefault="00E966ED" w:rsidP="00E966ED"/>
    <w:p w14:paraId="3467C32B" w14:textId="77777777" w:rsidR="00E966ED" w:rsidRPr="00C347AD" w:rsidRDefault="00E966ED" w:rsidP="00E966ED">
      <w:r w:rsidRPr="00C347AD">
        <w:t>If you use any special characters (including superscripts and subscripts) in your abstract, you must write out the term in plain English in square brackets immediately following the first use of the character.  For example: H2O [water] and µ [micron].  This has nothing to do with how common the term is in your field of study-- our catalogers have to enter the abstract in our records using a plain text format that cannot accommodate the special characters, but has no problem with word substitutes.</w:t>
      </w:r>
    </w:p>
    <w:p w14:paraId="5D80BAE8" w14:textId="57E5D689" w:rsidR="00B26A26" w:rsidRDefault="00E966ED" w:rsidP="00B26A26">
      <w:r w:rsidRPr="00C347AD">
        <w:br w:type="page"/>
      </w:r>
    </w:p>
    <w:p w14:paraId="27642AA0" w14:textId="48C40255" w:rsidR="00B26A26" w:rsidRPr="00B26A26" w:rsidRDefault="00B26A26" w:rsidP="00B26A26">
      <w:pPr>
        <w:jc w:val="center"/>
        <w:rPr>
          <w:b/>
        </w:rPr>
      </w:pPr>
      <w:r w:rsidRPr="00B26A26">
        <w:rPr>
          <w:b/>
        </w:rPr>
        <w:lastRenderedPageBreak/>
        <w:t>Table of Contents</w:t>
      </w:r>
    </w:p>
    <w:p w14:paraId="48580033" w14:textId="77777777" w:rsidR="00FE779B" w:rsidRPr="00C347AD" w:rsidRDefault="00B50223" w:rsidP="00FE779B">
      <w:pPr>
        <w:pStyle w:val="TOC1"/>
        <w:rPr>
          <w:rFonts w:eastAsiaTheme="minorEastAsia"/>
        </w:rPr>
      </w:pPr>
      <w:r w:rsidRPr="00C347AD">
        <w:fldChar w:fldCharType="begin"/>
      </w:r>
      <w:r w:rsidRPr="00C347AD">
        <w:instrText xml:space="preserve"> TOC \o "1-2" </w:instrText>
      </w:r>
      <w:r w:rsidRPr="00C347AD">
        <w:fldChar w:fldCharType="separate"/>
      </w:r>
      <w:r w:rsidR="00FE779B" w:rsidRPr="00C347AD">
        <w:t>Chapter 1 Introduction and General Information</w:t>
      </w:r>
      <w:r w:rsidR="00FE779B" w:rsidRPr="00C347AD">
        <w:tab/>
      </w:r>
      <w:r w:rsidR="00FE779B" w:rsidRPr="00C347AD">
        <w:fldChar w:fldCharType="begin"/>
      </w:r>
      <w:r w:rsidR="00FE779B" w:rsidRPr="00C347AD">
        <w:instrText xml:space="preserve"> PAGEREF _Toc471890434 \h </w:instrText>
      </w:r>
      <w:r w:rsidR="00FE779B" w:rsidRPr="00C347AD">
        <w:fldChar w:fldCharType="separate"/>
      </w:r>
      <w:r w:rsidR="00FE779B" w:rsidRPr="00C347AD">
        <w:t>1</w:t>
      </w:r>
      <w:r w:rsidR="00FE779B" w:rsidRPr="00C347AD">
        <w:fldChar w:fldCharType="end"/>
      </w:r>
    </w:p>
    <w:p w14:paraId="730C7FCA"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Background</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_Toc471890435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w:t>
      </w:r>
      <w:r w:rsidRPr="00C347AD">
        <w:rPr>
          <w:rFonts w:ascii="Times New Roman" w:hAnsi="Times New Roman"/>
          <w:b w:val="0"/>
          <w:noProof/>
          <w:sz w:val="24"/>
          <w:szCs w:val="24"/>
        </w:rPr>
        <w:fldChar w:fldCharType="end"/>
      </w:r>
    </w:p>
    <w:p w14:paraId="418F4B5D"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Conceptual Underpinnings for the Study</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_Toc471890436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7</w:t>
      </w:r>
      <w:r w:rsidRPr="00C347AD">
        <w:rPr>
          <w:rFonts w:ascii="Times New Roman" w:hAnsi="Times New Roman"/>
          <w:b w:val="0"/>
          <w:noProof/>
          <w:sz w:val="24"/>
          <w:szCs w:val="24"/>
        </w:rPr>
        <w:fldChar w:fldCharType="end"/>
      </w:r>
    </w:p>
    <w:p w14:paraId="314B06AD"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Statement of the Problem</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_Toc471890437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15</w:t>
      </w:r>
      <w:r w:rsidRPr="00C347AD">
        <w:rPr>
          <w:rFonts w:ascii="Times New Roman" w:hAnsi="Times New Roman"/>
          <w:b w:val="0"/>
          <w:noProof/>
          <w:sz w:val="24"/>
          <w:szCs w:val="24"/>
        </w:rPr>
        <w:fldChar w:fldCharType="end"/>
      </w:r>
    </w:p>
    <w:p w14:paraId="264BF729"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Purpose of the Study</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_Toc471890438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17</w:t>
      </w:r>
      <w:r w:rsidRPr="00C347AD">
        <w:rPr>
          <w:rFonts w:ascii="Times New Roman" w:hAnsi="Times New Roman"/>
          <w:b w:val="0"/>
          <w:noProof/>
          <w:sz w:val="24"/>
          <w:szCs w:val="24"/>
        </w:rPr>
        <w:fldChar w:fldCharType="end"/>
      </w:r>
    </w:p>
    <w:p w14:paraId="4B55B157"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Research Question</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_Toc471890439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17</w:t>
      </w:r>
      <w:r w:rsidRPr="00C347AD">
        <w:rPr>
          <w:rFonts w:ascii="Times New Roman" w:hAnsi="Times New Roman"/>
          <w:b w:val="0"/>
          <w:noProof/>
          <w:sz w:val="24"/>
          <w:szCs w:val="24"/>
        </w:rPr>
        <w:fldChar w:fldCharType="end"/>
      </w:r>
    </w:p>
    <w:p w14:paraId="31814174"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Hypotheses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_Toc471890440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17</w:t>
      </w:r>
      <w:r w:rsidRPr="00C347AD">
        <w:rPr>
          <w:rFonts w:ascii="Times New Roman" w:hAnsi="Times New Roman"/>
          <w:b w:val="0"/>
          <w:noProof/>
          <w:sz w:val="24"/>
          <w:szCs w:val="24"/>
        </w:rPr>
        <w:fldChar w:fldCharType="end"/>
      </w:r>
    </w:p>
    <w:p w14:paraId="46B8D9BB"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Summary</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_Toc471890441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17</w:t>
      </w:r>
      <w:r w:rsidRPr="00C347AD">
        <w:rPr>
          <w:rFonts w:ascii="Times New Roman" w:hAnsi="Times New Roman"/>
          <w:b w:val="0"/>
          <w:noProof/>
          <w:sz w:val="24"/>
          <w:szCs w:val="24"/>
        </w:rPr>
        <w:fldChar w:fldCharType="end"/>
      </w:r>
    </w:p>
    <w:p w14:paraId="3C85A590" w14:textId="77777777" w:rsidR="00FE779B" w:rsidRPr="00C347AD" w:rsidRDefault="00FE779B" w:rsidP="00FE779B">
      <w:pPr>
        <w:pStyle w:val="TOC1"/>
        <w:rPr>
          <w:rFonts w:eastAsiaTheme="minorEastAsia"/>
        </w:rPr>
      </w:pPr>
      <w:r w:rsidRPr="00C347AD">
        <w:t>Chapter 2 Review of the Literature</w:t>
      </w:r>
      <w:r w:rsidRPr="00C347AD">
        <w:tab/>
      </w:r>
      <w:r w:rsidRPr="00C347AD">
        <w:fldChar w:fldCharType="begin"/>
      </w:r>
      <w:r w:rsidRPr="00C347AD">
        <w:instrText xml:space="preserve"> PAGEREF _Toc471890442 \h </w:instrText>
      </w:r>
      <w:r w:rsidRPr="00C347AD">
        <w:fldChar w:fldCharType="separate"/>
      </w:r>
      <w:r w:rsidRPr="00C347AD">
        <w:t>20</w:t>
      </w:r>
      <w:r w:rsidRPr="00C347AD">
        <w:fldChar w:fldCharType="end"/>
      </w:r>
    </w:p>
    <w:p w14:paraId="6E2D5BDA"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Independent Variables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_Toc471890443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21</w:t>
      </w:r>
      <w:r w:rsidRPr="00C347AD">
        <w:rPr>
          <w:rFonts w:ascii="Times New Roman" w:hAnsi="Times New Roman"/>
          <w:b w:val="0"/>
          <w:noProof/>
          <w:sz w:val="24"/>
          <w:szCs w:val="24"/>
        </w:rPr>
        <w:fldChar w:fldCharType="end"/>
      </w:r>
    </w:p>
    <w:p w14:paraId="5D29B287"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Universal Design (for Learning)</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_Toc471890444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21</w:t>
      </w:r>
      <w:r w:rsidRPr="00C347AD">
        <w:rPr>
          <w:rFonts w:ascii="Times New Roman" w:hAnsi="Times New Roman"/>
          <w:b w:val="0"/>
          <w:noProof/>
          <w:sz w:val="24"/>
          <w:szCs w:val="24"/>
        </w:rPr>
        <w:fldChar w:fldCharType="end"/>
      </w:r>
    </w:p>
    <w:p w14:paraId="23B2DA75"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Faculty Modeling</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_Toc471890445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28</w:t>
      </w:r>
      <w:r w:rsidRPr="00C347AD">
        <w:rPr>
          <w:rFonts w:ascii="Times New Roman" w:hAnsi="Times New Roman"/>
          <w:b w:val="0"/>
          <w:noProof/>
          <w:sz w:val="24"/>
          <w:szCs w:val="24"/>
        </w:rPr>
        <w:fldChar w:fldCharType="end"/>
      </w:r>
    </w:p>
    <w:p w14:paraId="1F73862F"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Dependent Variables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_Toc471890446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42</w:t>
      </w:r>
      <w:r w:rsidRPr="00C347AD">
        <w:rPr>
          <w:rFonts w:ascii="Times New Roman" w:hAnsi="Times New Roman"/>
          <w:b w:val="0"/>
          <w:noProof/>
          <w:sz w:val="24"/>
          <w:szCs w:val="24"/>
        </w:rPr>
        <w:fldChar w:fldCharType="end"/>
      </w:r>
    </w:p>
    <w:p w14:paraId="2DEF7E16" w14:textId="77777777" w:rsidR="00FE779B" w:rsidRPr="00C347AD" w:rsidRDefault="00FE779B" w:rsidP="00FE779B">
      <w:pPr>
        <w:pStyle w:val="TOC1"/>
        <w:rPr>
          <w:rFonts w:eastAsiaTheme="minorEastAsia"/>
        </w:rPr>
      </w:pPr>
      <w:r w:rsidRPr="00C347AD">
        <w:t>Chapter 3 Methods</w:t>
      </w:r>
      <w:r w:rsidRPr="00C347AD">
        <w:tab/>
      </w:r>
      <w:r w:rsidRPr="00C347AD">
        <w:fldChar w:fldCharType="begin"/>
      </w:r>
      <w:r w:rsidRPr="00C347AD">
        <w:instrText xml:space="preserve"> PAGEREF _Toc471890447 \h </w:instrText>
      </w:r>
      <w:r w:rsidRPr="00C347AD">
        <w:fldChar w:fldCharType="separate"/>
      </w:r>
      <w:r w:rsidRPr="00C347AD">
        <w:t>71</w:t>
      </w:r>
      <w:r w:rsidRPr="00C347AD">
        <w:fldChar w:fldCharType="end"/>
      </w:r>
    </w:p>
    <w:p w14:paraId="57C4D0A2"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Introduction</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_Toc471890448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71</w:t>
      </w:r>
      <w:r w:rsidRPr="00C347AD">
        <w:rPr>
          <w:rFonts w:ascii="Times New Roman" w:hAnsi="Times New Roman"/>
          <w:b w:val="0"/>
          <w:noProof/>
          <w:sz w:val="24"/>
          <w:szCs w:val="24"/>
        </w:rPr>
        <w:fldChar w:fldCharType="end"/>
      </w:r>
    </w:p>
    <w:p w14:paraId="3484AAFF"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Participants and Setting</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_Toc471890449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73</w:t>
      </w:r>
      <w:r w:rsidRPr="00C347AD">
        <w:rPr>
          <w:rFonts w:ascii="Times New Roman" w:hAnsi="Times New Roman"/>
          <w:b w:val="0"/>
          <w:noProof/>
          <w:sz w:val="24"/>
          <w:szCs w:val="24"/>
        </w:rPr>
        <w:fldChar w:fldCharType="end"/>
      </w:r>
    </w:p>
    <w:p w14:paraId="60A0D1CD"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Design</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_Toc471890450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74</w:t>
      </w:r>
      <w:r w:rsidRPr="00C347AD">
        <w:rPr>
          <w:rFonts w:ascii="Times New Roman" w:hAnsi="Times New Roman"/>
          <w:b w:val="0"/>
          <w:noProof/>
          <w:sz w:val="24"/>
          <w:szCs w:val="24"/>
        </w:rPr>
        <w:fldChar w:fldCharType="end"/>
      </w:r>
    </w:p>
    <w:p w14:paraId="149D8529"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Operationalizing UDL</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_Toc471890451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78</w:t>
      </w:r>
      <w:r w:rsidRPr="00C347AD">
        <w:rPr>
          <w:rFonts w:ascii="Times New Roman" w:hAnsi="Times New Roman"/>
          <w:b w:val="0"/>
          <w:noProof/>
          <w:sz w:val="24"/>
          <w:szCs w:val="24"/>
        </w:rPr>
        <w:fldChar w:fldCharType="end"/>
      </w:r>
    </w:p>
    <w:p w14:paraId="7A0A27A5"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Procedure</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_Toc471890452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82</w:t>
      </w:r>
      <w:r w:rsidRPr="00C347AD">
        <w:rPr>
          <w:rFonts w:ascii="Times New Roman" w:hAnsi="Times New Roman"/>
          <w:b w:val="0"/>
          <w:noProof/>
          <w:sz w:val="24"/>
          <w:szCs w:val="24"/>
        </w:rPr>
        <w:fldChar w:fldCharType="end"/>
      </w:r>
    </w:p>
    <w:p w14:paraId="729FD628"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Instruments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_Toc471890453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85</w:t>
      </w:r>
      <w:r w:rsidRPr="00C347AD">
        <w:rPr>
          <w:rFonts w:ascii="Times New Roman" w:hAnsi="Times New Roman"/>
          <w:b w:val="0"/>
          <w:noProof/>
          <w:sz w:val="24"/>
          <w:szCs w:val="24"/>
        </w:rPr>
        <w:fldChar w:fldCharType="end"/>
      </w:r>
    </w:p>
    <w:p w14:paraId="78E7A80D"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lastRenderedPageBreak/>
        <w:t>Data Analysis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_Toc471890454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92</w:t>
      </w:r>
      <w:r w:rsidRPr="00C347AD">
        <w:rPr>
          <w:rFonts w:ascii="Times New Roman" w:hAnsi="Times New Roman"/>
          <w:b w:val="0"/>
          <w:noProof/>
          <w:sz w:val="24"/>
          <w:szCs w:val="24"/>
        </w:rPr>
        <w:fldChar w:fldCharType="end"/>
      </w:r>
    </w:p>
    <w:p w14:paraId="6A26EDBC"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Summary</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_Toc471890455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93</w:t>
      </w:r>
      <w:r w:rsidRPr="00C347AD">
        <w:rPr>
          <w:rFonts w:ascii="Times New Roman" w:hAnsi="Times New Roman"/>
          <w:b w:val="0"/>
          <w:noProof/>
          <w:sz w:val="24"/>
          <w:szCs w:val="24"/>
        </w:rPr>
        <w:fldChar w:fldCharType="end"/>
      </w:r>
    </w:p>
    <w:p w14:paraId="727B3E9A" w14:textId="77777777" w:rsidR="00FE779B" w:rsidRPr="00C347AD" w:rsidRDefault="00FE779B" w:rsidP="00FE779B">
      <w:pPr>
        <w:pStyle w:val="TOC1"/>
        <w:rPr>
          <w:rFonts w:eastAsiaTheme="minorEastAsia"/>
        </w:rPr>
      </w:pPr>
      <w:r w:rsidRPr="00C347AD">
        <w:t>Chapter 4 Results</w:t>
      </w:r>
      <w:r w:rsidRPr="00C347AD">
        <w:tab/>
      </w:r>
      <w:r w:rsidRPr="00C347AD">
        <w:fldChar w:fldCharType="begin"/>
      </w:r>
      <w:r w:rsidRPr="00C347AD">
        <w:instrText xml:space="preserve"> PAGEREF _Toc471890456 \h </w:instrText>
      </w:r>
      <w:r w:rsidRPr="00C347AD">
        <w:fldChar w:fldCharType="separate"/>
      </w:r>
      <w:r w:rsidRPr="00C347AD">
        <w:t>95</w:t>
      </w:r>
      <w:r w:rsidRPr="00C347AD">
        <w:fldChar w:fldCharType="end"/>
      </w:r>
    </w:p>
    <w:p w14:paraId="7D1D9D11"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Introduction</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_Toc471890457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95</w:t>
      </w:r>
      <w:r w:rsidRPr="00C347AD">
        <w:rPr>
          <w:rFonts w:ascii="Times New Roman" w:hAnsi="Times New Roman"/>
          <w:b w:val="0"/>
          <w:noProof/>
          <w:sz w:val="24"/>
          <w:szCs w:val="24"/>
        </w:rPr>
        <w:fldChar w:fldCharType="end"/>
      </w:r>
    </w:p>
    <w:p w14:paraId="741F9094"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Demographic Data</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_Toc471890458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96</w:t>
      </w:r>
      <w:r w:rsidRPr="00C347AD">
        <w:rPr>
          <w:rFonts w:ascii="Times New Roman" w:hAnsi="Times New Roman"/>
          <w:b w:val="0"/>
          <w:noProof/>
          <w:sz w:val="24"/>
          <w:szCs w:val="24"/>
        </w:rPr>
        <w:fldChar w:fldCharType="end"/>
      </w:r>
    </w:p>
    <w:p w14:paraId="79FA8442"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Analysis of Research Questions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_Toc471890459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97</w:t>
      </w:r>
      <w:r w:rsidRPr="00C347AD">
        <w:rPr>
          <w:rFonts w:ascii="Times New Roman" w:hAnsi="Times New Roman"/>
          <w:b w:val="0"/>
          <w:noProof/>
          <w:sz w:val="24"/>
          <w:szCs w:val="24"/>
        </w:rPr>
        <w:fldChar w:fldCharType="end"/>
      </w:r>
    </w:p>
    <w:p w14:paraId="1AB0D9FB" w14:textId="77777777" w:rsidR="00FE779B" w:rsidRPr="00C347AD" w:rsidRDefault="00FE779B" w:rsidP="00FE779B">
      <w:pPr>
        <w:pStyle w:val="TOC1"/>
        <w:rPr>
          <w:rFonts w:eastAsiaTheme="minorEastAsia"/>
        </w:rPr>
      </w:pPr>
      <w:r w:rsidRPr="00C347AD">
        <w:t>References</w:t>
      </w:r>
      <w:r w:rsidRPr="00C347AD">
        <w:tab/>
      </w:r>
      <w:r w:rsidRPr="00C347AD">
        <w:fldChar w:fldCharType="begin"/>
      </w:r>
      <w:r w:rsidRPr="00C347AD">
        <w:instrText xml:space="preserve"> PAGEREF _Toc471890460 \h </w:instrText>
      </w:r>
      <w:r w:rsidRPr="00C347AD">
        <w:fldChar w:fldCharType="separate"/>
      </w:r>
      <w:r w:rsidRPr="00C347AD">
        <w:t>102</w:t>
      </w:r>
      <w:r w:rsidRPr="00C347AD">
        <w:fldChar w:fldCharType="end"/>
      </w:r>
    </w:p>
    <w:p w14:paraId="0DA72B5B" w14:textId="77777777" w:rsidR="00FE779B" w:rsidRPr="00C347AD" w:rsidRDefault="00FE779B" w:rsidP="00FE779B">
      <w:pPr>
        <w:pStyle w:val="TOC1"/>
        <w:rPr>
          <w:rFonts w:eastAsiaTheme="minorEastAsia"/>
        </w:rPr>
      </w:pPr>
      <w:r w:rsidRPr="00C347AD">
        <w:t>Appendices</w:t>
      </w:r>
      <w:r w:rsidRPr="00C347AD">
        <w:tab/>
      </w:r>
      <w:r w:rsidRPr="00C347AD">
        <w:fldChar w:fldCharType="begin"/>
      </w:r>
      <w:r w:rsidRPr="00C347AD">
        <w:instrText xml:space="preserve"> PAGEREF _Toc471890461 \h </w:instrText>
      </w:r>
      <w:r w:rsidRPr="00C347AD">
        <w:fldChar w:fldCharType="separate"/>
      </w:r>
      <w:r w:rsidRPr="00C347AD">
        <w:t>117</w:t>
      </w:r>
      <w:r w:rsidRPr="00C347AD">
        <w:fldChar w:fldCharType="end"/>
      </w:r>
    </w:p>
    <w:p w14:paraId="61370C3C"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Appendix A: Tables and Figures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_Toc471890462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118</w:t>
      </w:r>
      <w:r w:rsidRPr="00C347AD">
        <w:rPr>
          <w:rFonts w:ascii="Times New Roman" w:hAnsi="Times New Roman"/>
          <w:b w:val="0"/>
          <w:noProof/>
          <w:sz w:val="24"/>
          <w:szCs w:val="24"/>
        </w:rPr>
        <w:fldChar w:fldCharType="end"/>
      </w:r>
    </w:p>
    <w:p w14:paraId="17DD5342"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Appendix B: UDL Brief Lesson Design Template</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_Toc471890463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127</w:t>
      </w:r>
      <w:r w:rsidRPr="00C347AD">
        <w:rPr>
          <w:rFonts w:ascii="Times New Roman" w:hAnsi="Times New Roman"/>
          <w:b w:val="0"/>
          <w:noProof/>
          <w:sz w:val="24"/>
          <w:szCs w:val="24"/>
        </w:rPr>
        <w:fldChar w:fldCharType="end"/>
      </w:r>
    </w:p>
    <w:p w14:paraId="20CFCF50"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Appendix C: Treatment and Control Implementation Form and Checklists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_Toc471890464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128</w:t>
      </w:r>
      <w:r w:rsidRPr="00C347AD">
        <w:rPr>
          <w:rFonts w:ascii="Times New Roman" w:hAnsi="Times New Roman"/>
          <w:b w:val="0"/>
          <w:noProof/>
          <w:sz w:val="24"/>
          <w:szCs w:val="24"/>
        </w:rPr>
        <w:fldChar w:fldCharType="end"/>
      </w:r>
    </w:p>
    <w:p w14:paraId="5F50FCB6" w14:textId="77777777" w:rsidR="00FE779B" w:rsidRPr="00C347AD" w:rsidRDefault="00FE779B">
      <w:pPr>
        <w:pStyle w:val="TOC2"/>
        <w:tabs>
          <w:tab w:val="right" w:leader="dot" w:pos="8630"/>
        </w:tabs>
        <w:rPr>
          <w:rFonts w:ascii="Times New Roman" w:eastAsiaTheme="minorEastAsia" w:hAnsi="Times New Roman"/>
          <w:b w:val="0"/>
          <w:bCs w:val="0"/>
          <w:noProof/>
          <w:sz w:val="24"/>
          <w:szCs w:val="24"/>
        </w:rPr>
      </w:pPr>
      <w:r w:rsidRPr="00C347AD">
        <w:rPr>
          <w:rFonts w:ascii="Times New Roman" w:hAnsi="Times New Roman"/>
          <w:b w:val="0"/>
          <w:noProof/>
          <w:sz w:val="24"/>
          <w:szCs w:val="24"/>
        </w:rPr>
        <w:t>Appendix D: Instruments</w:t>
      </w:r>
      <w:r w:rsidRPr="00C347AD">
        <w:rPr>
          <w:rFonts w:ascii="Times New Roman" w:hAnsi="Times New Roman"/>
          <w:b w:val="0"/>
          <w:noProof/>
          <w:sz w:val="24"/>
          <w:szCs w:val="24"/>
        </w:rPr>
        <w:tab/>
      </w:r>
      <w:r w:rsidRPr="00C347AD">
        <w:rPr>
          <w:rFonts w:ascii="Times New Roman" w:hAnsi="Times New Roman"/>
          <w:b w:val="0"/>
          <w:noProof/>
          <w:sz w:val="24"/>
          <w:szCs w:val="24"/>
        </w:rPr>
        <w:fldChar w:fldCharType="begin"/>
      </w:r>
      <w:r w:rsidRPr="00C347AD">
        <w:rPr>
          <w:rFonts w:ascii="Times New Roman" w:hAnsi="Times New Roman"/>
          <w:b w:val="0"/>
          <w:noProof/>
          <w:sz w:val="24"/>
          <w:szCs w:val="24"/>
        </w:rPr>
        <w:instrText xml:space="preserve"> PAGEREF _Toc471890465 \h </w:instrText>
      </w:r>
      <w:r w:rsidRPr="00C347AD">
        <w:rPr>
          <w:rFonts w:ascii="Times New Roman" w:hAnsi="Times New Roman"/>
          <w:b w:val="0"/>
          <w:noProof/>
          <w:sz w:val="24"/>
          <w:szCs w:val="24"/>
        </w:rPr>
      </w:r>
      <w:r w:rsidRPr="00C347AD">
        <w:rPr>
          <w:rFonts w:ascii="Times New Roman" w:hAnsi="Times New Roman"/>
          <w:b w:val="0"/>
          <w:noProof/>
          <w:sz w:val="24"/>
          <w:szCs w:val="24"/>
        </w:rPr>
        <w:fldChar w:fldCharType="separate"/>
      </w:r>
      <w:r w:rsidRPr="00C347AD">
        <w:rPr>
          <w:rFonts w:ascii="Times New Roman" w:hAnsi="Times New Roman"/>
          <w:b w:val="0"/>
          <w:noProof/>
          <w:sz w:val="24"/>
          <w:szCs w:val="24"/>
        </w:rPr>
        <w:t>132</w:t>
      </w:r>
      <w:r w:rsidRPr="00C347AD">
        <w:rPr>
          <w:rFonts w:ascii="Times New Roman" w:hAnsi="Times New Roman"/>
          <w:b w:val="0"/>
          <w:noProof/>
          <w:sz w:val="24"/>
          <w:szCs w:val="24"/>
        </w:rPr>
        <w:fldChar w:fldCharType="end"/>
      </w:r>
    </w:p>
    <w:p w14:paraId="40FBCB5A" w14:textId="77777777" w:rsidR="00FE779B" w:rsidRPr="00C347AD" w:rsidRDefault="00FE779B" w:rsidP="00FE779B">
      <w:pPr>
        <w:pStyle w:val="TOC1"/>
        <w:rPr>
          <w:rFonts w:eastAsiaTheme="minorEastAsia"/>
        </w:rPr>
      </w:pPr>
      <w:r w:rsidRPr="00C347AD">
        <w:t>Vita</w:t>
      </w:r>
      <w:r w:rsidRPr="00C347AD">
        <w:tab/>
      </w:r>
      <w:r w:rsidRPr="00C347AD">
        <w:fldChar w:fldCharType="begin"/>
      </w:r>
      <w:r w:rsidRPr="00C347AD">
        <w:instrText xml:space="preserve"> PAGEREF _Toc471890466 \h </w:instrText>
      </w:r>
      <w:r w:rsidRPr="00C347AD">
        <w:fldChar w:fldCharType="separate"/>
      </w:r>
      <w:r w:rsidRPr="00C347AD">
        <w:t>133</w:t>
      </w:r>
      <w:r w:rsidRPr="00C347AD">
        <w:fldChar w:fldCharType="end"/>
      </w:r>
    </w:p>
    <w:p w14:paraId="5961C792" w14:textId="77777777" w:rsidR="00E966ED" w:rsidRPr="00C347AD" w:rsidRDefault="00B50223" w:rsidP="00E966ED">
      <w:pPr>
        <w:pStyle w:val="NoSpacing"/>
      </w:pPr>
      <w:r w:rsidRPr="00C347AD">
        <w:fldChar w:fldCharType="end"/>
      </w:r>
    </w:p>
    <w:p w14:paraId="6F79FF83" w14:textId="4089FDAA" w:rsidR="00E966ED" w:rsidRPr="00C347AD" w:rsidRDefault="00E966ED" w:rsidP="00E966ED">
      <w:pPr>
        <w:pStyle w:val="NoSpacing"/>
      </w:pPr>
    </w:p>
    <w:p w14:paraId="1629E0DD" w14:textId="77777777" w:rsidR="003158CC" w:rsidRPr="00C347AD" w:rsidRDefault="003158CC" w:rsidP="00727B14">
      <w:pPr>
        <w:pStyle w:val="NoSpacing"/>
      </w:pPr>
      <w:r w:rsidRPr="00C347AD">
        <w:br/>
      </w:r>
    </w:p>
    <w:p w14:paraId="364C398E" w14:textId="5FA42971" w:rsidR="00E966ED" w:rsidRPr="00C347AD" w:rsidRDefault="003158CC" w:rsidP="000D4BA8">
      <w:pPr>
        <w:jc w:val="center"/>
        <w:rPr>
          <w:b/>
        </w:rPr>
      </w:pPr>
      <w:r w:rsidRPr="00C347AD">
        <w:rPr>
          <w:b/>
        </w:rPr>
        <w:br w:type="column"/>
      </w:r>
      <w:bookmarkStart w:id="0" w:name="_Toc470600323"/>
      <w:r w:rsidR="00E966ED" w:rsidRPr="00C347AD">
        <w:rPr>
          <w:b/>
        </w:rPr>
        <w:lastRenderedPageBreak/>
        <w:t>List of Tables</w:t>
      </w:r>
      <w:bookmarkEnd w:id="0"/>
    </w:p>
    <w:p w14:paraId="2548C4E5" w14:textId="77777777" w:rsidR="00E966ED" w:rsidRDefault="00E966ED" w:rsidP="00E966ED">
      <w:pPr>
        <w:pStyle w:val="NoSpacing"/>
      </w:pPr>
    </w:p>
    <w:p w14:paraId="229A584A" w14:textId="4ED62A12" w:rsidR="00B26A26" w:rsidRPr="00C347AD" w:rsidRDefault="00B26A26" w:rsidP="00E966ED">
      <w:pPr>
        <w:pStyle w:val="NoSpacing"/>
      </w:pPr>
      <w:r>
        <w:t xml:space="preserve">Table 1. </w:t>
      </w:r>
      <w:r w:rsidRPr="00B26A26">
        <w:t>GPK and Cognitive Modalities; Adapted from Konig et al. (2011</w:t>
      </w:r>
      <w:r>
        <w:t>)………........49</w:t>
      </w:r>
    </w:p>
    <w:p w14:paraId="4C34445B" w14:textId="77777777" w:rsidR="00E966ED" w:rsidRPr="00C347AD" w:rsidRDefault="00E966ED" w:rsidP="00E966ED">
      <w:pPr>
        <w:pStyle w:val="NoSpacing"/>
      </w:pPr>
    </w:p>
    <w:p w14:paraId="0C2F3C37" w14:textId="77777777" w:rsidR="00E966ED" w:rsidRPr="00C347AD" w:rsidRDefault="00E966ED" w:rsidP="00E966ED">
      <w:pPr>
        <w:pStyle w:val="NoSpacing"/>
      </w:pPr>
    </w:p>
    <w:p w14:paraId="0B25C5B4" w14:textId="77777777" w:rsidR="00E966ED" w:rsidRPr="00C347AD" w:rsidRDefault="00E966ED" w:rsidP="00E966ED">
      <w:pPr>
        <w:pStyle w:val="NoSpacing"/>
        <w:rPr>
          <w:b/>
          <w:bCs/>
          <w:sz w:val="28"/>
          <w:szCs w:val="28"/>
        </w:rPr>
      </w:pPr>
    </w:p>
    <w:p w14:paraId="431E34F3" w14:textId="77777777" w:rsidR="00E966ED" w:rsidRPr="00C347AD" w:rsidRDefault="00E966ED" w:rsidP="000D4BA8">
      <w:pPr>
        <w:jc w:val="center"/>
        <w:rPr>
          <w:b/>
        </w:rPr>
      </w:pPr>
      <w:r w:rsidRPr="00C347AD">
        <w:rPr>
          <w:b/>
          <w:sz w:val="28"/>
          <w:szCs w:val="28"/>
        </w:rPr>
        <w:br w:type="page"/>
      </w:r>
      <w:bookmarkStart w:id="1" w:name="_Toc470600324"/>
      <w:r w:rsidRPr="00C347AD">
        <w:rPr>
          <w:b/>
        </w:rPr>
        <w:lastRenderedPageBreak/>
        <w:t>List of Figures</w:t>
      </w:r>
      <w:bookmarkEnd w:id="1"/>
    </w:p>
    <w:p w14:paraId="78E22EB5" w14:textId="77777777" w:rsidR="00E966ED" w:rsidRPr="00C347AD" w:rsidRDefault="00E966ED" w:rsidP="00E966ED">
      <w:pPr>
        <w:pStyle w:val="NoSpacing"/>
      </w:pPr>
    </w:p>
    <w:p w14:paraId="2F6BE5D0" w14:textId="53CF4F34" w:rsidR="00B26A26" w:rsidRPr="00AF369A" w:rsidRDefault="00B26A26" w:rsidP="00B26A26">
      <w:pPr>
        <w:spacing w:line="240" w:lineRule="auto"/>
        <w:ind w:firstLine="0"/>
      </w:pPr>
      <w:bookmarkStart w:id="2" w:name="_Toc466104347"/>
      <w:bookmarkStart w:id="3" w:name="_Toc470598412"/>
      <w:bookmarkStart w:id="4" w:name="_Toc470600325"/>
      <w:r w:rsidRPr="00B26A26">
        <w:t>Figure 1</w:t>
      </w:r>
      <w:r w:rsidRPr="00AF369A">
        <w:rPr>
          <w:i/>
        </w:rPr>
        <w:t xml:space="preserve">. </w:t>
      </w:r>
      <w:r>
        <w:t xml:space="preserve">A representation of the focus of access-based research across time from the 1960s to </w:t>
      </w:r>
      <w:r>
        <w:t>contemporary lines of research………………………………………………….5</w:t>
      </w:r>
    </w:p>
    <w:p w14:paraId="28209498" w14:textId="77777777" w:rsidR="000D4BA8" w:rsidRPr="00C347AD" w:rsidRDefault="000D4BA8">
      <w:pPr>
        <w:spacing w:line="240" w:lineRule="auto"/>
        <w:ind w:firstLine="0"/>
        <w:rPr>
          <w:b/>
          <w:bCs/>
        </w:rPr>
      </w:pPr>
      <w:r w:rsidRPr="00C347AD">
        <w:br w:type="page"/>
      </w:r>
    </w:p>
    <w:p w14:paraId="015E6050" w14:textId="77777777" w:rsidR="000D4BA8" w:rsidRPr="00C347AD" w:rsidRDefault="000D4BA8" w:rsidP="00B26A26">
      <w:pPr>
        <w:pStyle w:val="Heading1"/>
        <w:sectPr w:rsidR="000D4BA8" w:rsidRPr="00C347AD" w:rsidSect="00B26A26">
          <w:headerReference w:type="even" r:id="rId8"/>
          <w:headerReference w:type="default" r:id="rId9"/>
          <w:footerReference w:type="default" r:id="rId10"/>
          <w:headerReference w:type="first" r:id="rId11"/>
          <w:pgSz w:w="12240" w:h="15840" w:code="1"/>
          <w:pgMar w:top="2016" w:right="1800" w:bottom="1440" w:left="1800" w:header="1440" w:footer="1440" w:gutter="0"/>
          <w:pgNumType w:fmt="lowerRoman"/>
          <w:cols w:space="720"/>
          <w:noEndnote/>
          <w:titlePg/>
          <w:docGrid w:linePitch="326"/>
        </w:sectPr>
      </w:pPr>
    </w:p>
    <w:p w14:paraId="5CF17380" w14:textId="21AE7309" w:rsidR="00236E6D" w:rsidRPr="00C347AD" w:rsidRDefault="00D067C3" w:rsidP="00B26A26">
      <w:pPr>
        <w:pStyle w:val="Heading1"/>
      </w:pPr>
      <w:bookmarkStart w:id="5" w:name="_Toc471890434"/>
      <w:r w:rsidRPr="00C347AD">
        <w:lastRenderedPageBreak/>
        <w:t>Chapter 1</w:t>
      </w:r>
      <w:bookmarkStart w:id="6" w:name="_Toc466104348"/>
      <w:bookmarkStart w:id="7" w:name="_Toc470600326"/>
      <w:bookmarkEnd w:id="2"/>
      <w:bookmarkEnd w:id="3"/>
      <w:bookmarkEnd w:id="4"/>
      <w:r w:rsidR="000D4BA8" w:rsidRPr="00C347AD">
        <w:br/>
      </w:r>
      <w:r w:rsidR="00EE334C" w:rsidRPr="00C347AD">
        <w:t>Introduction and General Information</w:t>
      </w:r>
      <w:bookmarkEnd w:id="5"/>
      <w:bookmarkEnd w:id="6"/>
      <w:bookmarkEnd w:id="7"/>
    </w:p>
    <w:p w14:paraId="35E8D0B0" w14:textId="26E771F3" w:rsidR="007C4926" w:rsidRPr="00C347AD" w:rsidRDefault="007C4926" w:rsidP="00FE779B">
      <w:pPr>
        <w:pStyle w:val="Heading2"/>
      </w:pPr>
      <w:bookmarkStart w:id="8" w:name="_Toc466104349"/>
      <w:bookmarkStart w:id="9" w:name="_Toc470600327"/>
      <w:bookmarkStart w:id="10" w:name="_Toc471890435"/>
      <w:r w:rsidRPr="00C347AD">
        <w:t>Background</w:t>
      </w:r>
      <w:bookmarkEnd w:id="8"/>
      <w:bookmarkEnd w:id="9"/>
      <w:bookmarkEnd w:id="10"/>
      <w:r w:rsidRPr="00C347AD">
        <w:t xml:space="preserve"> </w:t>
      </w:r>
    </w:p>
    <w:p w14:paraId="2287B2CE" w14:textId="0C985001" w:rsidR="00062BA1" w:rsidRPr="00C347AD" w:rsidRDefault="005E1A41" w:rsidP="00062BA1">
      <w:r w:rsidRPr="00C347AD">
        <w:t xml:space="preserve">Quality education is a critical foundation of any democratic society, including that of the United States. </w:t>
      </w:r>
      <w:r w:rsidR="008A7498" w:rsidRPr="00C347AD">
        <w:t xml:space="preserve">It is appropriate and unsurprising, then, that education is a domain that receives intense scrutiny in the U.S. from the spheres of politics, </w:t>
      </w:r>
      <w:r w:rsidR="009D41EC" w:rsidRPr="00C347AD">
        <w:t>media, and re</w:t>
      </w:r>
      <w:r w:rsidR="00CB5032" w:rsidRPr="00C347AD">
        <w:t>search. Indeed, the relation</w:t>
      </w:r>
      <w:r w:rsidR="009D41EC" w:rsidRPr="00C347AD">
        <w:t xml:space="preserve"> between the broader social and societal context in which education occurs and the </w:t>
      </w:r>
      <w:r w:rsidR="000F4C24" w:rsidRPr="00C347AD">
        <w:t xml:space="preserve">practice of education </w:t>
      </w:r>
      <w:r w:rsidR="00403E13" w:rsidRPr="00C347AD">
        <w:t xml:space="preserve">is </w:t>
      </w:r>
      <w:r w:rsidR="00F558DB" w:rsidRPr="00C347AD">
        <w:t xml:space="preserve">a </w:t>
      </w:r>
      <w:r w:rsidR="00403E13" w:rsidRPr="00C347AD">
        <w:t>close and bilateral bond</w:t>
      </w:r>
      <w:r w:rsidR="000F4C24" w:rsidRPr="00C347AD">
        <w:t xml:space="preserve">. This </w:t>
      </w:r>
      <w:r w:rsidR="00D65032" w:rsidRPr="00C347AD">
        <w:t>relation</w:t>
      </w:r>
      <w:r w:rsidR="000F4C24" w:rsidRPr="00C347AD">
        <w:t xml:space="preserve"> reflects the concepts defined by Bronfenbrenner’s (19</w:t>
      </w:r>
      <w:r w:rsidR="00BB012F" w:rsidRPr="00C347AD">
        <w:t xml:space="preserve">79) Ecological Systems Theory. Though </w:t>
      </w:r>
      <w:r w:rsidR="00D93BAD" w:rsidRPr="00C347AD">
        <w:t xml:space="preserve">Bronfenbrenner </w:t>
      </w:r>
      <w:r w:rsidR="00BB012F" w:rsidRPr="00C347AD">
        <w:t xml:space="preserve">focused on application of his theory </w:t>
      </w:r>
      <w:r w:rsidR="00403E13" w:rsidRPr="00C347AD">
        <w:t>to</w:t>
      </w:r>
      <w:r w:rsidR="00BB012F" w:rsidRPr="00C347AD">
        <w:t xml:space="preserve"> development of individuals in context, </w:t>
      </w:r>
      <w:r w:rsidR="00403E13" w:rsidRPr="00C347AD">
        <w:t>I</w:t>
      </w:r>
      <w:r w:rsidR="00AE58F2" w:rsidRPr="00C347AD">
        <w:t xml:space="preserve"> posit that his theory may also be applied to communities, groups, and fields of study</w:t>
      </w:r>
      <w:r w:rsidR="005B20ED" w:rsidRPr="00C347AD">
        <w:t>. Accordingly, t</w:t>
      </w:r>
      <w:r w:rsidR="00062BA1" w:rsidRPr="00C347AD">
        <w:t>he field of education and the practice of teacher education have</w:t>
      </w:r>
      <w:r w:rsidR="00103C58" w:rsidRPr="00C347AD">
        <w:t xml:space="preserve"> not emerged in isolation, but in an ecological context. </w:t>
      </w:r>
    </w:p>
    <w:p w14:paraId="308F0537" w14:textId="3E77A25E" w:rsidR="0037384D" w:rsidRPr="00C347AD" w:rsidRDefault="00103C58" w:rsidP="00062BA1">
      <w:r w:rsidRPr="00C347AD">
        <w:t>For example, education theorists and practitioners interact mesosystematically with</w:t>
      </w:r>
      <w:r w:rsidR="00265E9A" w:rsidRPr="00C347AD">
        <w:t xml:space="preserve"> schools of</w:t>
      </w:r>
      <w:r w:rsidRPr="00C347AD">
        <w:t xml:space="preserve"> psychology, sociology, anth</w:t>
      </w:r>
      <w:r w:rsidR="00265E9A" w:rsidRPr="00C347AD">
        <w:t>ropology, philosophy, and other fields</w:t>
      </w:r>
      <w:r w:rsidRPr="00C347AD">
        <w:t xml:space="preserve">. Likewise, practitioners and researchers in education are influenced by systems such as those occupied by political authorities that are as distinct </w:t>
      </w:r>
      <w:r w:rsidR="00265E9A" w:rsidRPr="00C347AD">
        <w:t>from</w:t>
      </w:r>
      <w:r w:rsidRPr="00C347AD">
        <w:t xml:space="preserve"> education researchers as such researchers are </w:t>
      </w:r>
      <w:r w:rsidR="00265E9A" w:rsidRPr="00C347AD">
        <w:t>from</w:t>
      </w:r>
      <w:r w:rsidRPr="00C347AD">
        <w:t xml:space="preserve"> them, even as we continue to influence one another indirectly as exosystematic relations.  Still broader powerful and dynamic macrosystematic social forces and cultural identities give drive to our politics, our education, and all else that defines our civilization. </w:t>
      </w:r>
    </w:p>
    <w:p w14:paraId="79C7E3F2" w14:textId="4212A263" w:rsidR="007D165B" w:rsidRPr="00C347AD" w:rsidRDefault="00D93BAD" w:rsidP="0037384D">
      <w:r w:rsidRPr="00C347AD">
        <w:lastRenderedPageBreak/>
        <w:t xml:space="preserve">Interactions among these different contexts is complex, and some </w:t>
      </w:r>
      <w:r w:rsidR="001636C0" w:rsidRPr="00C347AD">
        <w:t>(</w:t>
      </w:r>
      <w:r w:rsidR="00B323A5" w:rsidRPr="00C347AD">
        <w:t>e.g.,</w:t>
      </w:r>
      <w:r w:rsidR="001636C0" w:rsidRPr="00C347AD">
        <w:t xml:space="preserve"> </w:t>
      </w:r>
      <w:r w:rsidR="001636C0" w:rsidRPr="00C347AD">
        <w:fldChar w:fldCharType="begin"/>
      </w:r>
      <w:r w:rsidR="00F7126F" w:rsidRPr="00C347AD">
        <w:instrText xml:space="preserve"> ADDIN ZOTERO_ITEM CSL_CITATION {"citationID":"1h7726irsu","properties":{"formattedCitation":"(Neal &amp; Neal, 2013)","plainCitation":"(Neal &amp; Neal, 2013)"},"citationItems":[{"id":583,"uris":["http://zotero.org/users/2098925/items/HEI365IE"],"uri":["http://zotero.org/users/2098925/items/HEI365IE"],"itemData":{"id":583,"type":"article-journal","title":"Nested or Networked? Future Directions for Ecological Systems Theory: Nested or Networked?","container-title":"Social Development","page":"n/a-n/a","source":"CrossRef","DOI":"10.1111/sode.12018","ISSN":"0961205X","shortTitle":"Nested or Networked?","language":"en","author":[{"family":"Neal","given":"Jennifer Watling"},{"family":"Neal","given":"Zachary P."}],"issued":{"date-parts":[["2013",4]]}}}],"schema":"https://github.com/citation-style-language/schema/raw/master/csl-citation.json"} </w:instrText>
      </w:r>
      <w:r w:rsidR="001636C0" w:rsidRPr="00C347AD">
        <w:fldChar w:fldCharType="separate"/>
      </w:r>
      <w:r w:rsidR="003F782E" w:rsidRPr="00C347AD">
        <w:rPr>
          <w:noProof/>
        </w:rPr>
        <w:t>Neal &amp; Neal, 2013)</w:t>
      </w:r>
      <w:r w:rsidR="001636C0" w:rsidRPr="00C347AD">
        <w:fldChar w:fldCharType="end"/>
      </w:r>
      <w:r w:rsidR="009B5FC1" w:rsidRPr="00C347AD">
        <w:t xml:space="preserve"> </w:t>
      </w:r>
      <w:r w:rsidRPr="00C347AD">
        <w:t xml:space="preserve">argue is better described in terms of networks rather than the classic “nested” model that Bronfenbrenner suggested. </w:t>
      </w:r>
      <w:r w:rsidR="003F782E" w:rsidRPr="00C347AD">
        <w:t xml:space="preserve">To this discussion, </w:t>
      </w:r>
      <w:r w:rsidR="00CB5032" w:rsidRPr="00C347AD">
        <w:t>I</w:t>
      </w:r>
      <w:r w:rsidR="003F782E" w:rsidRPr="00C347AD">
        <w:t xml:space="preserve"> add that contextual factors (</w:t>
      </w:r>
      <w:r w:rsidR="00B323A5" w:rsidRPr="00C347AD">
        <w:t>e.g.,</w:t>
      </w:r>
      <w:r w:rsidR="003F782E" w:rsidRPr="00C347AD">
        <w:t xml:space="preserve"> major economic and social events) not only affect classroom teaching and learning directly, but also indirectly </w:t>
      </w:r>
      <w:r w:rsidR="003F310E" w:rsidRPr="00C347AD">
        <w:t xml:space="preserve">by way of affecting the agenda for education research and </w:t>
      </w:r>
      <w:r w:rsidR="004466B3" w:rsidRPr="00C347AD">
        <w:t>teacher preparation</w:t>
      </w:r>
      <w:r w:rsidR="003F310E" w:rsidRPr="00C347AD">
        <w:t>; this effect is linear and bilateral (</w:t>
      </w:r>
      <w:r w:rsidR="009C2FB8" w:rsidRPr="00C347AD">
        <w:t>Figures</w:t>
      </w:r>
      <w:r w:rsidR="003F310E" w:rsidRPr="00C347AD">
        <w:t xml:space="preserve"> </w:t>
      </w:r>
      <w:r w:rsidR="00255A1E" w:rsidRPr="00C347AD">
        <w:t>6</w:t>
      </w:r>
      <w:r w:rsidR="003F310E" w:rsidRPr="00C347AD">
        <w:t xml:space="preserve"> and </w:t>
      </w:r>
      <w:r w:rsidR="00255A1E" w:rsidRPr="00C347AD">
        <w:t>7</w:t>
      </w:r>
      <w:r w:rsidR="008479EB" w:rsidRPr="00C347AD">
        <w:t xml:space="preserve"> Appendix A</w:t>
      </w:r>
      <w:r w:rsidR="003F310E" w:rsidRPr="00C347AD">
        <w:t xml:space="preserve">). </w:t>
      </w:r>
    </w:p>
    <w:p w14:paraId="18769A53" w14:textId="6BF6FB1F" w:rsidR="005B315F" w:rsidRPr="00C347AD" w:rsidRDefault="005B315F" w:rsidP="006514FA">
      <w:r w:rsidRPr="00C347AD">
        <w:t>The logic that gives rise to th</w:t>
      </w:r>
      <w:r w:rsidR="00255A1E" w:rsidRPr="00C347AD">
        <w:t>e phenomena modeled in Figures 6 and 7</w:t>
      </w:r>
      <w:r w:rsidRPr="00C347AD">
        <w:t xml:space="preserve"> is quite simply that of an associative property: if good teacher preparation programs develop good teachers </w:t>
      </w:r>
      <w:r w:rsidRPr="00C347AD">
        <w:fldChar w:fldCharType="begin"/>
      </w:r>
      <w:r w:rsidR="00F7126F" w:rsidRPr="00C347AD">
        <w:instrText xml:space="preserve"> ADDIN ZOTERO_ITEM CSL_CITATION {"citationID":"e5li70r2r","properties":{"formattedCitation":"(Darling-Hammond, 2000)","plainCitation":"(Darling-Hammond, 2000)"},"citationItems":[{"id":438,"uris":["http://zotero.org/users/2098925/items/DQKGX7EE"],"uri":["http://zotero.org/users/2098925/items/DQKGX7EE"],"itemData":{"id":438,"type":"article-journal","title":"How Teacher Education Matters","container-title":"Journal of Teacher Education","page":"166-173","volume":"51","issue":"3","source":"jte.sagepub.com","abstract":"Despite longstanding criticisms of teacher education, the weight of substantial evidence indicates that teachers who have had more preparation for teaching are more confident and successful with students than those who have had little or none. Recent evidence also indicates that reforms of teacher education creating more tightly integrated programs with extended clinical preparation interwoven with coursework on learning and teaching produce teachers who are both more effective and more likely to enter and stay in teaching. An important contribution of teacher education is its development of teachers’abilities to examine teaching from the perspective of learners who bring diverse experiences and frames of reference to the classroom.","DOI":"10.1177/0022487100051003002","ISSN":"0022-4871, 1552-7816","journalAbbreviation":"Journal of Teacher Education","language":"en","author":[{"family":"Darling-Hammond","given":"Linda"}],"issued":{"date-parts":[["2000",5,1]]}}}],"schema":"https://github.com/citation-style-language/schema/raw/master/csl-citation.json"} </w:instrText>
      </w:r>
      <w:r w:rsidRPr="00C347AD">
        <w:fldChar w:fldCharType="separate"/>
      </w:r>
      <w:r w:rsidRPr="00C347AD">
        <w:t>(Darling-Hammond, 2000)</w:t>
      </w:r>
      <w:r w:rsidRPr="00C347AD">
        <w:fldChar w:fldCharType="end"/>
      </w:r>
      <w:r w:rsidRPr="00C347AD">
        <w:t xml:space="preserve">, good teachers develop good students </w:t>
      </w:r>
      <w:r w:rsidRPr="00C347AD">
        <w:fldChar w:fldCharType="begin"/>
      </w:r>
      <w:r w:rsidR="00F7126F" w:rsidRPr="00C347AD">
        <w:instrText xml:space="preserve"> ADDIN ZOTERO_ITEM CSL_CITATION {"citationID":"1ebq9n20qn","properties":{"formattedCitation":"(Hanushek, 2002)","plainCitation":"(Hanushek, 2002)"},"citationItems":[{"id":542,"uris":["http://zotero.org/users/2098925/items/GCBSVITM"],"uri":["http://zotero.org/users/2098925/items/GCBSVITM"],"itemData":{"id":542,"type":"article-journal","title":"Evidence, politics, and the class size debate","container-title":"The class size debate","page":"37-65","journalAbbreviation":"The class size debate","author":[{"family":"Hanushek","given":"Eric A"}],"issued":{"date-parts":[["2002"]]}}}],"schema":"https://github.com/citation-style-language/schema/raw/master/csl-citation.json"} </w:instrText>
      </w:r>
      <w:r w:rsidRPr="00C347AD">
        <w:fldChar w:fldCharType="separate"/>
      </w:r>
      <w:r w:rsidRPr="00C347AD">
        <w:t>(Hanushek, 2002)</w:t>
      </w:r>
      <w:r w:rsidRPr="00C347AD">
        <w:fldChar w:fldCharType="end"/>
      </w:r>
      <w:r w:rsidRPr="00C347AD">
        <w:t xml:space="preserve">, and good students develop strong society </w:t>
      </w:r>
      <w:r w:rsidRPr="00C347AD">
        <w:fldChar w:fldCharType="begin"/>
      </w:r>
      <w:r w:rsidR="00F7126F" w:rsidRPr="00C347AD">
        <w:instrText xml:space="preserve"> ADDIN ZOTERO_ITEM CSL_CITATION {"citationID":"bo3clud5d","properties":{"formattedCitation":"(Jamison, Jamison, &amp; Hanushek, 2006)","plainCitation":"(Jamison, Jamison, &amp; Hanushek, 2006)"},"citationItems":[{"id":516,"uris":["http://zotero.org/users/2098925/items/FS4TPICV"],"uri":["http://zotero.org/users/2098925/items/FS4TPICV"],"itemData":{"id":516,"type":"report","title":"The Effects of Education Quality on Income Growth and Mortality Decline","publisher":"National Bureau of Economic Research","genre":"Working Paper","source":"National Bureau of Economic Research","abstract":"Previous work shows that higher levels of education quality (as measured by international student achievement tests) increases growth rates of national income. This paper begins by confirming those findings in an analysis involving more countries over more time with additional controls. We then use the panel structure of our data to assess whether the mechanism by which education quality appears to improve per capita income levels is through shifting the level of the production function (probably not), through increasing the impact of an additional year of education (probably not), or through increasing a country's rate of technological progress (very likely). Mortality rates complement income levels as indicators of national well-being and we extend our panel models to show that improved education quality increases the rate of decline in infant mortality. Throughout the analysis, we find a stronger impact of education quality and of years of schooling in open than in closed economies.","URL":"http://www.nber.org/papers/w12652","number":"12652","author":[{"family":"Jamison","given":"Eliot A."},{"family":"Jamison","given":"Dean T."},{"family":"Hanushek","given":"Eric A."}],"issued":{"date-parts":[["2006",10]]},"accessed":{"date-parts":[["2015",12,13]]}}}],"schema":"https://github.com/citation-style-language/schema/raw/master/csl-citation.json"} </w:instrText>
      </w:r>
      <w:r w:rsidRPr="00C347AD">
        <w:fldChar w:fldCharType="separate"/>
      </w:r>
      <w:r w:rsidRPr="00C347AD">
        <w:t>(Jamison, Jamison, &amp; Hanushek, 2006)</w:t>
      </w:r>
      <w:r w:rsidRPr="00C347AD">
        <w:fldChar w:fldCharType="end"/>
      </w:r>
      <w:r w:rsidRPr="00C347AD">
        <w:t>, then good teacher preparation programs indirectly have the immense—if indirect—responsibility of strengthening societies as a wh</w:t>
      </w:r>
      <w:r w:rsidR="009B5FC1" w:rsidRPr="00C347AD">
        <w:t>ole. With this understanding, educational research</w:t>
      </w:r>
      <w:r w:rsidRPr="00C347AD">
        <w:t xml:space="preserve"> is the overarching means by which each</w:t>
      </w:r>
      <w:r w:rsidR="009B5FC1" w:rsidRPr="00C347AD">
        <w:t xml:space="preserve"> level of the explicit education system (teacher preparation, K-12 teaching, K-12 student learning)</w:t>
      </w:r>
      <w:r w:rsidRPr="00C347AD">
        <w:t xml:space="preserve"> is improved as research-based practices are taught via teacher preparation and/or through professional development to in-service teachers. In this sense, attempting to rectify social problems and challenges by way of education and the professionals therein makes great sense. In recognition of this bilateral process, teacher preparation and the research that guides it gains substantial importance and relevan</w:t>
      </w:r>
      <w:r w:rsidR="009B5FC1" w:rsidRPr="00C347AD">
        <w:t>ce in our societies. Recognition</w:t>
      </w:r>
      <w:r w:rsidRPr="00C347AD">
        <w:t xml:space="preserve"> of this model of contextual drivers is also salient for articulating relevance of education research in the context of</w:t>
      </w:r>
      <w:r w:rsidR="006514FA" w:rsidRPr="00C347AD">
        <w:t xml:space="preserve"> </w:t>
      </w:r>
      <w:r w:rsidR="009B5FC1" w:rsidRPr="00C347AD">
        <w:t>macro</w:t>
      </w:r>
      <w:r w:rsidR="006514FA" w:rsidRPr="00C347AD">
        <w:t>systematic ecological factors.</w:t>
      </w:r>
      <w:r w:rsidR="00103C58" w:rsidRPr="00C347AD">
        <w:tab/>
      </w:r>
    </w:p>
    <w:p w14:paraId="4CA02F47" w14:textId="0D44A39F" w:rsidR="0079228B" w:rsidRPr="00C347AD" w:rsidRDefault="00DD0CF8" w:rsidP="005B315F">
      <w:pPr>
        <w:pStyle w:val="Caption"/>
        <w:ind w:firstLine="720"/>
      </w:pPr>
      <w:r w:rsidRPr="00C347AD">
        <w:lastRenderedPageBreak/>
        <w:t>Therefore, though t</w:t>
      </w:r>
      <w:r w:rsidR="00AC694B" w:rsidRPr="00C347AD">
        <w:t>his dissertation study</w:t>
      </w:r>
      <w:r w:rsidRPr="00C347AD">
        <w:t xml:space="preserve"> is </w:t>
      </w:r>
      <w:r w:rsidR="00AC694B" w:rsidRPr="00C347AD">
        <w:t xml:space="preserve">focused on one </w:t>
      </w:r>
      <w:r w:rsidR="009B5FC1" w:rsidRPr="00C347AD">
        <w:t>level</w:t>
      </w:r>
      <w:r w:rsidR="00AC694B" w:rsidRPr="00C347AD">
        <w:t xml:space="preserve"> in the educa</w:t>
      </w:r>
      <w:r w:rsidR="007111CC" w:rsidRPr="00C347AD">
        <w:t>tion system (</w:t>
      </w:r>
      <w:r w:rsidR="004466B3" w:rsidRPr="00C347AD">
        <w:t>teacher preparation</w:t>
      </w:r>
      <w:r w:rsidR="007111CC" w:rsidRPr="00C347AD">
        <w:t>),</w:t>
      </w:r>
      <w:r w:rsidRPr="00C347AD">
        <w:t xml:space="preserve"> in it </w:t>
      </w:r>
      <w:r w:rsidR="00846D4B" w:rsidRPr="00C347AD">
        <w:t>I</w:t>
      </w:r>
      <w:r w:rsidRPr="00C347AD">
        <w:t xml:space="preserve"> nevertheless seek</w:t>
      </w:r>
      <w:r w:rsidR="007111CC" w:rsidRPr="00C347AD">
        <w:t xml:space="preserve"> to </w:t>
      </w:r>
      <w:r w:rsidRPr="00C347AD">
        <w:t>contribute toward addressing</w:t>
      </w:r>
      <w:r w:rsidR="007111CC" w:rsidRPr="00C347AD">
        <w:t xml:space="preserve"> broader issues </w:t>
      </w:r>
      <w:r w:rsidRPr="00C347AD">
        <w:t>in contemporary education</w:t>
      </w:r>
      <w:r w:rsidR="009B5FC1" w:rsidRPr="00C347AD">
        <w:t>,</w:t>
      </w:r>
      <w:r w:rsidR="002E1ABC" w:rsidRPr="00C347AD">
        <w:t xml:space="preserve"> </w:t>
      </w:r>
      <w:r w:rsidR="009B5FC1" w:rsidRPr="00C347AD">
        <w:t>particularly</w:t>
      </w:r>
      <w:r w:rsidR="002E1ABC" w:rsidRPr="00C347AD">
        <w:t xml:space="preserve"> the need to prepare our relatively homogenous teacher force to better meet the needs of an increasingly diverse K-12 school population</w:t>
      </w:r>
      <w:r w:rsidR="00CD39FF" w:rsidRPr="00C347AD">
        <w:t xml:space="preserve"> </w:t>
      </w:r>
      <w:r w:rsidR="00CD39FF" w:rsidRPr="00C347AD">
        <w:fldChar w:fldCharType="begin"/>
      </w:r>
      <w:r w:rsidR="00F7126F" w:rsidRPr="00C347AD">
        <w:instrText xml:space="preserve"> ADDIN ZOTERO_ITEM CSL_CITATION {"citationID":"1mknl0c7ap","properties":{"formattedCitation":"{\\rtf (Darling-Hammond, 2005; Horne &amp; Timmons, 2009; Jung, 2007; Sosu, Mtika, &amp; Colucci\\uc0\\u8208{}Gray, 2010)}","plainCitation":"(Darling-Hammond, 2005; Horne &amp; Timmons, 2009; Jung, 2007; Sosu, Mtika, &amp; Colucci</w:instrText>
      </w:r>
      <w:r w:rsidR="00F7126F" w:rsidRPr="00C347AD">
        <w:rPr>
          <w:rFonts w:ascii="Calibri" w:eastAsia="Calibri" w:hAnsi="Calibri" w:cs="Calibri"/>
        </w:rPr>
        <w:instrText>‐</w:instrText>
      </w:r>
      <w:r w:rsidR="00F7126F" w:rsidRPr="00C347AD">
        <w:instrText>Gray, 2010)"},"citationItems":[{"id":1067,"uris":["http://zotero.org/users/2098925/items/XHZ5CX8F"],"uri":["http://zotero.org/users/2098925/items/XHZ5CX8F"],"itemData":{"id":1067,"type":"article-journal","title":"Educating the New Educator: Teacher Education and the Future of Democracy","container-title":"The New Educator","page":"1-18","volume":"1","issue":"1","source":"Taylor and Francis+NEJM","DOI":"10.1080/15476880490441379","ISSN":"1547-688X","shortTitle":"Educating the New Educator","author":[{"family":"Darling-Hammond","given":"Linda"}],"issued":{"date-parts":[["2005",2,1]]}}},{"id":442,"uris":["http://zotero.org/users/2098925/items/DS5TJI6K"],"uri":["http://zotero.org/users/2098925/items/DS5TJI6K"],"itemData":{"id":442,"type":"article-journal","title":"Making it work: Teachers’ perspectives on inclusion","container-title":"International Journal of Inclusive Education","page":"273-286","volume":"13","issue":"3","ISSN":"1360-3116","journalAbbreviation":"International Journal of Inclusive Education","author":[{"family":"Horne","given":"Phyllis E"},{"family":"Timmons","given":"Vianne"}],"issued":{"date-parts":[["2009"]]}}},{"id":195,"uris":["http://zotero.org/users/2098925/items/75P54K4I"],"uri":["http://zotero.org/users/2098925/items/75P54K4I"],"itemData":{"id":195,"type":"article-journal","title":"Preservice teacher training for successful inclusion","container-title":"Education","page":"106","volume":"128","issue":"1","ISSN":"0013-1172","journalAbbreviation":"Education","author":[{"family":"Jung","given":"Woo Sik"}],"issued":{"date-parts":[["2007"]]}}},{"id":489,"uris":["http://zotero.org/users/2098925/items/F2UV28GS"],"uri":["http://zotero.org/users/2098925/items/F2UV28GS"],"itemData":{"id":489,"type":"article-journal","title":"Does initial teacher education make a difference? The impact of teacher preparation on student teachers’ attitudes towards educational inclusion","container-title":"Journal of Education for Teaching","page":"389-405","volume":"36","issue":"4","ISSN":"0260-7476","journalAbbreviation":"Journal of Education for Teaching","author":[{"family":"Sosu","given":"Edward M"},{"family":"Mtika","given":"Peter"},{"family":"Colucci</w:instrText>
      </w:r>
      <w:r w:rsidR="00F7126F" w:rsidRPr="00C347AD">
        <w:rPr>
          <w:rFonts w:ascii="Calibri" w:eastAsia="Calibri" w:hAnsi="Calibri" w:cs="Calibri"/>
        </w:rPr>
        <w:instrText>‐</w:instrText>
      </w:r>
      <w:r w:rsidR="00F7126F" w:rsidRPr="00C347AD">
        <w:instrText xml:space="preserve">Gray","given":"Laura"}],"issued":{"date-parts":[["2010"]]}}}],"schema":"https://github.com/citation-style-language/schema/raw/master/csl-citation.json"} </w:instrText>
      </w:r>
      <w:r w:rsidR="00CD39FF" w:rsidRPr="00C347AD">
        <w:fldChar w:fldCharType="separate"/>
      </w:r>
      <w:r w:rsidR="00CD39FF" w:rsidRPr="00C347AD">
        <w:t>(Darling-Hammond, 2005; Horne &amp; Timmons, 2009; Jung, 2007; Sosu, Mtika, &amp; Colucci</w:t>
      </w:r>
      <w:r w:rsidR="00CD39FF" w:rsidRPr="00C347AD">
        <w:rPr>
          <w:rFonts w:ascii="Calibri" w:eastAsia="Calibri" w:hAnsi="Calibri" w:cs="Calibri"/>
        </w:rPr>
        <w:t>‐</w:t>
      </w:r>
      <w:r w:rsidR="00CD39FF" w:rsidRPr="00C347AD">
        <w:t>Gray, 2010)</w:t>
      </w:r>
      <w:r w:rsidR="00CD39FF" w:rsidRPr="00C347AD">
        <w:fldChar w:fldCharType="end"/>
      </w:r>
      <w:r w:rsidR="00CD39FF" w:rsidRPr="00C347AD">
        <w:t>.</w:t>
      </w:r>
      <w:r w:rsidR="002E1ABC" w:rsidRPr="00C347AD">
        <w:t xml:space="preserve"> </w:t>
      </w:r>
    </w:p>
    <w:p w14:paraId="1F845C72" w14:textId="13E5E52B" w:rsidR="008F0E5E" w:rsidRPr="00C347AD" w:rsidRDefault="008F0E5E" w:rsidP="00FE779B">
      <w:pPr>
        <w:pStyle w:val="Heading3"/>
        <w:rPr>
          <w:i/>
        </w:rPr>
      </w:pPr>
      <w:r w:rsidRPr="00C347AD">
        <w:t>Incr</w:t>
      </w:r>
      <w:r w:rsidR="00EA2877" w:rsidRPr="00C347AD">
        <w:t>easing d</w:t>
      </w:r>
      <w:r w:rsidRPr="00C347AD">
        <w:t>iversity</w:t>
      </w:r>
      <w:r w:rsidRPr="00C347AD">
        <w:rPr>
          <w:b w:val="0"/>
          <w:i/>
        </w:rPr>
        <w:t>.</w:t>
      </w:r>
      <w:r w:rsidR="00EA2877" w:rsidRPr="00C347AD">
        <w:rPr>
          <w:b w:val="0"/>
          <w:i/>
        </w:rPr>
        <w:t xml:space="preserve"> </w:t>
      </w:r>
      <w:r w:rsidRPr="00C347AD">
        <w:rPr>
          <w:b w:val="0"/>
        </w:rPr>
        <w:t>Since the mid-20th century, there has been a gradual, but persistent</w:t>
      </w:r>
      <w:r w:rsidR="00DB6F8D" w:rsidRPr="00C347AD">
        <w:rPr>
          <w:b w:val="0"/>
        </w:rPr>
        <w:t>,</w:t>
      </w:r>
      <w:r w:rsidRPr="00C347AD">
        <w:rPr>
          <w:b w:val="0"/>
        </w:rPr>
        <w:t xml:space="preserve"> growth in diversity in the K-12 classroom, including increasing inclusion for students with disabilities; however, this access has not necessarily translated into access to learning </w:t>
      </w:r>
      <w:r w:rsidRPr="00C347AD">
        <w:rPr>
          <w:b w:val="0"/>
        </w:rPr>
        <w:fldChar w:fldCharType="begin"/>
      </w:r>
      <w:r w:rsidR="00F7126F" w:rsidRPr="00C347AD">
        <w:rPr>
          <w:b w:val="0"/>
        </w:rPr>
        <w:instrText xml:space="preserve"> ADDIN ZOTERO_ITEM CSL_CITATION {"citationID":"4b6U2ic2","properties":{"formattedCitation":"{\\rtf (Jim\\uc0\\u233{}nez, Graf, &amp; Rose, 2007; McGuire-Schwartz &amp; Arndt, 2007; Rioux &amp; Pinto, 2010; D. H. Rose, 2000)}","plainCitation":"(Jiménez, Graf, &amp; Rose, 2007; McGuire-Schwartz &amp; Arndt, 2007; Rioux &amp; Pinto, 2010; D. H. Rose, 2000)"},"citationItems":[{"id":172,"uris":["http://zotero.org/users/2098925/items/6IBWZH4R"],"uri":["http://zotero.org/users/2098925/items/6IBWZH4R"],"itemData":{"id":172,"type":"article-journal","title":"Gaining Access to General Education: The Promise of Universal Design for Learning","container-title":"Issues in Teacher Education","page":"41-54","volume":"16","issue":"2","source":"EBSCOhost","abstract":"Universal Design for Learning (UDL) can benefit students and teachers in both general and special education programs.  Since President Ford signed the Education of All Handicapped Children Act into law in 1975, there have been changes to the law and the manner in which students with disabilities and their families are educated that require teachers to learn to design unique instructional programs that actively support learners with and without disabilities.  UDL, which provides a theoretical framework based on research related to how individuals learn best and in what context, integrating relevant methods of instruction, helps teachers develop appropriate goals designed to address the needs of a wide range of students and implement instructional methods responsive to individual differences.","ISSN":"15363031","shortTitle":"Gaining Access to General Education","journalAbbreviation":"Issues in Teacher Education","author":[{"family":"Jiménez","given":"Terese C."},{"family":"Graf","given":"Victoria L."},{"family":"Rose","given":"Ernest"}],"issued":{"date-parts":[["2007"]],"season":"Fall"}}},{"id":1013,"uris":["http://zotero.org/users/2098925/items/VWIQWCWZ"],"uri":["http://zotero.org/users/2098925/items/VWIQWCWZ"],"itemData":{"id":1013,"type":"article-journal","title":"Transforming Universal Design for Learning in Early Childhood Teacher Education from College Classroom to Early Childhood Classroom","container-title":"Journal of Early Childhood Teacher Education","page":"127-139","volume":"28","issue":"2","source":"EBSCOhost","abstract":"This article focuses on the application of Universal Design for Learning from theory to practice from the college classroom to the practicum experiences of preservice teacher candidates. It combines description of two research projects that explored and documented how participants understand and use Universal Design for Learning in lesson planning. Universal Design for Learning holds promise in training early childhood teacher educators to work with diverse populations and to provide access to learning for all students, including children with special needs. In Study One, 36 teacher candidates used action research to implement a Universal Design for Learning strategy, collect and analyze data, and become researchers. In Study Two, five teacher candidates were introduced to the principles of Universal Design for Learning and designed lesson plans for their practica. These qualitative research studies explored and documented how teacher candidates understand, introduce, and integrate the principles and practices of Universal Design for Learning. An overview of principles and practices of Universal Design for Learning, its use in the college classroom, its application in lesson planning and teaching, and the use of action research to determine its impact on the learning of all students in public school classrooms are presented.","DOI":"10.1080/10901020701366707","ISSN":"10901027","journalAbbreviation":"Journal of Early Childhood Teacher Education","author":[{"family":"McGuire-Schwartz","given":"Mary Ellen1","dropping-particle":"mmcguire@ric.edu","suffix":""},{"family":"Arndt","given":"Janet S.2"}],"issued":{"date-parts":[["2007",4]]}}},{"id":275,"uris":["http://zotero.org/users/2098925/items/92AACW95"],"uri":["http://zotero.org/users/2098925/items/92AACW95"],"itemData":{"id":275,"type":"article-journal","title":"A time for the universal right to education: back to basics","container-title":"British Journal of Sociology of Education","page":"621-642","volume":"31","issue":"5","source":"Taylor and Francis+NEJM","abstract":"The participation of children with disabilities in regular schools is too often the prerogative of education boards, who decide whether a child can learn within existing educational environments, rather than pressuring for systemic change and organization in school curricula that would grant the right of education to all children. This article looks at education as a right, as found in international agreements including the UN Covenant on Social, Economic and Cultural Rights, the UN Convention on the Rights of the Child and the UN Convention on the Rights of People with Disabilities, and education as a development tool, and discusses the limits and potential in each of these frameworks. An alternative model is proposed as an approach to universal pedagogy, which incorporates the idea of a flexible curriculum and the development of literacy skills, accessible and applicable to students with different backgrounds, learning styles, and abilities. Qualitative data from a large study in a number of nations monitoring the rights of people with disabilities are presented to illustrate the arguments and provide the perspective of people with disabilities themselves about their experiences in schools.","DOI":"10.1080/01425692.2010.500094","ISSN":"0142-5692","shortTitle":"A time for the universal right to education","author":[{"family":"Rioux","given":"Marcia H."},{"family":"Pinto","given":"Paula C."}],"issued":{"date-parts":[["2010",9,1]]}}},{"id":680,"uris":["http://zotero.org/users/2098925/items/K8UTUWIP"],"uri":["http://zotero.org/users/2098925/items/K8UTUWIP"],"itemData":{"id":680,"type":"article-journal","title":"Universal design for learning","container-title":"Journal of Special Education Technology","page":"47-51","volume":"15","issue":"4","source":"EBSCOhost","abstract":"Universal design for learning can improve assessment accuracy and its applicability to instruction.  Universally designed assessments provide multiple means of representation, expression, and engagement. These assessments are accessible and practical for students with disabilities.  Their flexibility reduces the common sources of error introduced by fixed assessments and enables teachers to align assessment more sharply with instructional goals and methods and to vary these goals and methods and assess them accurately within the instructional venue.  However, the future holds greater promise in that new technologies will allow educators to more organically assess the ongoing processes of learning, greater options will be available when the lesson will become a part of the assessment, the new technologies will allow two-way interactive assessments, and dynamic assessments will be universally designed.  Suggestions for how educators can move toward universally designed assessments are presented.","ISSN":"01626434","journalAbbreviation":"Journal of Special Education Technology","author":[{"family":"Rose","given":"David H."}],"issued":{"date-parts":[["2000",10,15]]}}}],"schema":"https://github.com/citation-style-language/schema/raw/master/csl-citation.json"} </w:instrText>
      </w:r>
      <w:r w:rsidRPr="00C347AD">
        <w:rPr>
          <w:b w:val="0"/>
        </w:rPr>
        <w:fldChar w:fldCharType="separate"/>
      </w:r>
      <w:r w:rsidR="00BF5B87" w:rsidRPr="00C347AD">
        <w:rPr>
          <w:b w:val="0"/>
        </w:rPr>
        <w:t>(Jiménez, Graf, &amp; Rose, 2007; McGuire-Schwartz &amp; Arndt, 2007; Rioux &amp; Pinto, 2010; Rose, 2000)</w:t>
      </w:r>
      <w:r w:rsidRPr="00C347AD">
        <w:rPr>
          <w:b w:val="0"/>
        </w:rPr>
        <w:fldChar w:fldCharType="end"/>
      </w:r>
      <w:r w:rsidRPr="00C347AD">
        <w:rPr>
          <w:b w:val="0"/>
        </w:rPr>
        <w:t>. Following the U.S. Supreme Court decision, Brown v. the Board of Education (1954), f</w:t>
      </w:r>
      <w:r w:rsidR="009B35BE" w:rsidRPr="00C347AD">
        <w:rPr>
          <w:b w:val="0"/>
        </w:rPr>
        <w:t>ive decades worth of education</w:t>
      </w:r>
      <w:r w:rsidRPr="00C347AD">
        <w:rPr>
          <w:b w:val="0"/>
        </w:rPr>
        <w:t xml:space="preserve"> </w:t>
      </w:r>
      <w:r w:rsidR="000F0E4A" w:rsidRPr="00C347AD">
        <w:rPr>
          <w:b w:val="0"/>
        </w:rPr>
        <w:t xml:space="preserve">research </w:t>
      </w:r>
      <w:r w:rsidR="004A552E" w:rsidRPr="00C347AD">
        <w:rPr>
          <w:b w:val="0"/>
        </w:rPr>
        <w:t>has</w:t>
      </w:r>
      <w:r w:rsidRPr="00C347AD">
        <w:rPr>
          <w:b w:val="0"/>
        </w:rPr>
        <w:t xml:space="preserve"> continued to show persistent achievement gaps for diverse students, including those from racially, economically, or linguistically diverse homes and those with disabilities; this achievement gap grows progressively by year in school </w:t>
      </w:r>
      <w:r w:rsidRPr="00C347AD">
        <w:rPr>
          <w:b w:val="0"/>
        </w:rPr>
        <w:fldChar w:fldCharType="begin"/>
      </w:r>
      <w:r w:rsidR="00F7126F" w:rsidRPr="00C347AD">
        <w:rPr>
          <w:b w:val="0"/>
        </w:rPr>
        <w:instrText xml:space="preserve"> ADDIN ZOTERO_ITEM CSL_CITATION {"citationID":"i2Bju2gw","properties":{"formattedCitation":"(Darensbourg &amp; Blake, 2013; Edyburn, 2010)","plainCitation":"(Darensbourg &amp; Blake, 2013; Edyburn, 2010)"},"citationItems":[{"id":1010,"uris":["http://zotero.org/users/2098925/items/VVD7C6VN"],"uri":["http://zotero.org/users/2098925/items/VVD7C6VN"],"itemData":{"id":1010,"type":"article-journal","title":"PREDICTORS OF ACHIEVEMENT IN AFRICAN AMERICAN STUDENTS AT RISK FOR ACADEMIC FAILURE: THE ROLES OF ACHIEVEMENT VALUES AND BEHAVIORAL ENGAGEMENT: At-Risk African American Students","container-title":"Psychology in the Schools","page":"1044-1059","volume":"50","issue":"10","source":"CrossRef","DOI":"10.1002/pits.21730","ISSN":"00333085","shortTitle":"PREDICTORS OF ACHIEVEMENT IN AFRICAN AMERICAN STUDENTS AT RISK FOR ACADEMIC FAILURE","language":"en","author":[{"family":"Darensbourg","given":"Alicia M."},{"family":"Blake","given":"Jamilia J."}],"issued":{"date-parts":[["2013",12]]}}},{"id":209,"uris":["http://zotero.org/users/2098925/items/7GS75EGJ"],"uri":["http://zotero.org/users/2098925/items/7GS75EGJ"],"itemData":{"id":209,"type":"article-journal","title":"Would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Pr="00C347AD">
        <w:rPr>
          <w:b w:val="0"/>
        </w:rPr>
        <w:fldChar w:fldCharType="separate"/>
      </w:r>
      <w:r w:rsidRPr="00C347AD">
        <w:rPr>
          <w:b w:val="0"/>
        </w:rPr>
        <w:t>(Darensbourg &amp; Blake, 2013; Edyburn, 2010)</w:t>
      </w:r>
      <w:r w:rsidRPr="00C347AD">
        <w:rPr>
          <w:b w:val="0"/>
        </w:rPr>
        <w:fldChar w:fldCharType="end"/>
      </w:r>
      <w:r w:rsidRPr="00C347AD">
        <w:rPr>
          <w:b w:val="0"/>
        </w:rPr>
        <w:t>. In other words, it has become resoundingly clear that physical access to the classroom is not enough to ensure fair and equal access to learning for diverse populations, but it has become clear that providing access to materials in isolation</w:t>
      </w:r>
      <w:r w:rsidR="00674B2C" w:rsidRPr="00C347AD">
        <w:rPr>
          <w:b w:val="0"/>
        </w:rPr>
        <w:t xml:space="preserve"> is </w:t>
      </w:r>
      <w:r w:rsidR="00255A1E" w:rsidRPr="00C347AD">
        <w:rPr>
          <w:b w:val="0"/>
        </w:rPr>
        <w:t>also a shortcoming (see Figure 1</w:t>
      </w:r>
      <w:r w:rsidRPr="00C347AD">
        <w:rPr>
          <w:b w:val="0"/>
        </w:rPr>
        <w:t xml:space="preserve">). For example, students learning to read who are given the opportunity to routinely access texts via text to speech </w:t>
      </w:r>
      <w:r w:rsidR="004A552E" w:rsidRPr="00C347AD">
        <w:rPr>
          <w:b w:val="0"/>
        </w:rPr>
        <w:t xml:space="preserve">technology </w:t>
      </w:r>
      <w:r w:rsidRPr="00C347AD">
        <w:rPr>
          <w:b w:val="0"/>
        </w:rPr>
        <w:t xml:space="preserve">may have access to the content of the reading, but this access may actually hinder their learning to be text </w:t>
      </w:r>
      <w:r w:rsidRPr="00C347AD">
        <w:rPr>
          <w:b w:val="0"/>
        </w:rPr>
        <w:lastRenderedPageBreak/>
        <w:t xml:space="preserve">readers. The time has come for education researchers to find solutions that go beyond paying lip service to inclusion and to find genuine solutions that enable all children and youth to access to their fundamental right to </w:t>
      </w:r>
      <w:r w:rsidRPr="00C347AD">
        <w:rPr>
          <w:b w:val="0"/>
          <w:i/>
        </w:rPr>
        <w:t>learn</w:t>
      </w:r>
      <w:r w:rsidRPr="00C347AD">
        <w:rPr>
          <w:b w:val="0"/>
        </w:rPr>
        <w:t xml:space="preserve"> </w:t>
      </w:r>
      <w:r w:rsidRPr="00C347AD">
        <w:rPr>
          <w:b w:val="0"/>
        </w:rPr>
        <w:fldChar w:fldCharType="begin"/>
      </w:r>
      <w:r w:rsidR="00F7126F" w:rsidRPr="00C347AD">
        <w:rPr>
          <w:b w:val="0"/>
        </w:rPr>
        <w:instrText xml:space="preserve"> ADDIN ZOTERO_ITEM CSL_CITATION {"citationID":"ohgk87utv","properties":{"formattedCitation":"(Rioux &amp; Pinto, 2010)","plainCitation":"(Rioux &amp; Pinto, 2010)"},"citationItems":[{"id":275,"uris":["http://zotero.org/users/2098925/items/92AACW95"],"uri":["http://zotero.org/users/2098925/items/92AACW95"],"itemData":{"id":275,"type":"article-journal","title":"A time for the universal right to education: back to basics","container-title":"British Journal of Sociology of Education","page":"621-642","volume":"31","issue":"5","source":"Taylor and Francis+NEJM","abstract":"The participation of children with disabilities in regular schools is too often the prerogative of education boards, who decide whether a child can learn within existing educational environments, rather than pressuring for systemic change and organization in school curricula that would grant the right of education to all children. This article looks at education as a right, as found in international agreements including the UN Covenant on Social, Economic and Cultural Rights, the UN Convention on the Rights of the Child and the UN Convention on the Rights of People with Disabilities, and education as a development tool, and discusses the limits and potential in each of these frameworks. An alternative model is proposed as an approach to universal pedagogy, which incorporates the idea of a flexible curriculum and the development of literacy skills, accessible and applicable to students with different backgrounds, learning styles, and abilities. Qualitative data from a large study in a number of nations monitoring the rights of people with disabilities are presented to illustrate the arguments and provide the perspective of people with disabilities themselves about their experiences in schools.","DOI":"10.1080/01425692.2010.500094","ISSN":"0142-5692","shortTitle":"A time for the universal right to education","author":[{"family":"Rioux","given":"Marcia H."},{"family":"Pinto","given":"Paula C."}],"issued":{"date-parts":[["2010",9,1]]}}}],"schema":"https://github.com/citation-style-language/schema/raw/master/csl-citation.json"} </w:instrText>
      </w:r>
      <w:r w:rsidRPr="00C347AD">
        <w:rPr>
          <w:b w:val="0"/>
        </w:rPr>
        <w:fldChar w:fldCharType="separate"/>
      </w:r>
      <w:r w:rsidRPr="00C347AD">
        <w:rPr>
          <w:b w:val="0"/>
        </w:rPr>
        <w:t>(Rioux &amp; Pinto, 2010)</w:t>
      </w:r>
      <w:r w:rsidRPr="00C347AD">
        <w:rPr>
          <w:b w:val="0"/>
        </w:rPr>
        <w:fldChar w:fldCharType="end"/>
      </w:r>
      <w:r w:rsidRPr="00C347AD">
        <w:rPr>
          <w:b w:val="0"/>
        </w:rPr>
        <w:t>.</w:t>
      </w:r>
      <w:r w:rsidRPr="00C347AD">
        <w:t xml:space="preserve"> </w:t>
      </w:r>
    </w:p>
    <w:p w14:paraId="33DB44B3" w14:textId="7ED42BDB" w:rsidR="008F0E5E" w:rsidRPr="00C347AD" w:rsidRDefault="00571F35" w:rsidP="00FE779B">
      <w:pPr>
        <w:pStyle w:val="Heading3"/>
        <w:rPr>
          <w:b w:val="0"/>
        </w:rPr>
      </w:pPr>
      <w:r w:rsidRPr="00C347AD">
        <w:t>Policy r</w:t>
      </w:r>
      <w:r w:rsidR="008F0E5E" w:rsidRPr="00C347AD">
        <w:t xml:space="preserve">esponse. </w:t>
      </w:r>
      <w:r w:rsidR="008F0E5E" w:rsidRPr="00C347AD">
        <w:rPr>
          <w:b w:val="0"/>
        </w:rPr>
        <w:t>Litigation (</w:t>
      </w:r>
      <w:r w:rsidR="00B323A5" w:rsidRPr="00C347AD">
        <w:rPr>
          <w:b w:val="0"/>
        </w:rPr>
        <w:t>e.g.,</w:t>
      </w:r>
      <w:r w:rsidR="008F0E5E" w:rsidRPr="00C347AD">
        <w:rPr>
          <w:b w:val="0"/>
        </w:rPr>
        <w:t xml:space="preserve"> Brown v. The Board of Education, 1954) and legislation (</w:t>
      </w:r>
      <w:r w:rsidR="00B323A5" w:rsidRPr="00C347AD">
        <w:rPr>
          <w:b w:val="0"/>
        </w:rPr>
        <w:t>e.g.,</w:t>
      </w:r>
      <w:r w:rsidR="00F64E47" w:rsidRPr="00C347AD">
        <w:rPr>
          <w:b w:val="0"/>
        </w:rPr>
        <w:t xml:space="preserve"> the Civil Rights Act of 1964, PL 88-352</w:t>
      </w:r>
      <w:r w:rsidR="008F0E5E" w:rsidRPr="00C347AD">
        <w:rPr>
          <w:b w:val="0"/>
        </w:rPr>
        <w:t>) in the 1950s and 60s pushed the agenda for the inclusion of individuals of diverse races, linguistic experience, cultures, and (dis)abilities.  The Civil Rights Act (1964), for example, sought to protect United States citizens from discrimination based on race, color, religion, sex, or national origin; it intended to “protect constitutional rights in public facilities and public education” and further “prevent discrimination in federally assisted programs” (</w:t>
      </w:r>
      <w:r w:rsidR="008569C5" w:rsidRPr="00C347AD">
        <w:rPr>
          <w:b w:val="0"/>
        </w:rPr>
        <w:t xml:space="preserve">p. </w:t>
      </w:r>
      <w:r w:rsidR="008F0E5E" w:rsidRPr="00C347AD">
        <w:rPr>
          <w:b w:val="0"/>
        </w:rPr>
        <w:t>241). Nearly a decade later, the Civil Rights Act was extended to also apply to in</w:t>
      </w:r>
      <w:r w:rsidR="00F33F5E" w:rsidRPr="00C347AD">
        <w:rPr>
          <w:b w:val="0"/>
        </w:rPr>
        <w:t>dividuals with disabilities in S</w:t>
      </w:r>
      <w:r w:rsidR="008F0E5E" w:rsidRPr="00C347AD">
        <w:rPr>
          <w:b w:val="0"/>
        </w:rPr>
        <w:t xml:space="preserve">ection 504 of the Rehabilitation Act (1973; PL 93-112), and this was shortly followed by the passage of the Education for All Handicapped </w:t>
      </w:r>
      <w:r w:rsidR="00F33F5E" w:rsidRPr="00C347AD">
        <w:rPr>
          <w:b w:val="0"/>
        </w:rPr>
        <w:t>Children Act (PL 94-142) in 1975</w:t>
      </w:r>
      <w:r w:rsidR="008F0E5E" w:rsidRPr="00C347AD">
        <w:rPr>
          <w:b w:val="0"/>
        </w:rPr>
        <w:t>. With the advent of this latter, “for the first time children and youth with disabilities</w:t>
      </w:r>
      <w:r w:rsidR="009B5FC1" w:rsidRPr="00C347AD">
        <w:rPr>
          <w:b w:val="0"/>
        </w:rPr>
        <w:t xml:space="preserve"> [were] </w:t>
      </w:r>
      <w:r w:rsidR="008F0E5E" w:rsidRPr="00C347AD">
        <w:rPr>
          <w:b w:val="0"/>
        </w:rPr>
        <w:t xml:space="preserve">afforded the right to a free and appropriate public education, individualized programming, parental participation in the decision making process, nondiscriminatory identification and evaluation, instruction in the least restrictive environment, while ensuring families due process rights and responsibilities” </w:t>
      </w:r>
      <w:r w:rsidR="008F0E5E" w:rsidRPr="00C347AD">
        <w:rPr>
          <w:b w:val="0"/>
        </w:rPr>
        <w:fldChar w:fldCharType="begin"/>
      </w:r>
      <w:r w:rsidR="00F7126F" w:rsidRPr="00C347AD">
        <w:rPr>
          <w:b w:val="0"/>
        </w:rPr>
        <w:instrText xml:space="preserve"> ADDIN ZOTERO_ITEM CSL_CITATION {"citationID":"2ijrva00f9","properties":{"formattedCitation":"{\\rtf (Jim\\uc0\\u233{}nez et al., 2007)}","plainCitation":"(Jiménez et al., 2007)"},"citationItems":[{"id":172,"uris":["http://zotero.org/users/2098925/items/6IBWZH4R"],"uri":["http://zotero.org/users/2098925/items/6IBWZH4R"],"itemData":{"id":172,"type":"article-journal","title":"Gaining Access to General Education: The Promise of Universal Design for Learning","container-title":"Issues in Teacher Education","page":"41-54","volume":"16","issue":"2","source":"EBSCOhost","abstract":"Universal Design for Learning (UDL) can benefit students and teachers in both general and special education programs.  Since President Ford signed the Education of All Handicapped Children Act into law in 1975, there have been changes to the law and the manner in which students with disabilities and their families are educated that require teachers to learn to design unique instructional programs that actively support learners with and without disabilities.  UDL, which provides a theoretical framework based on research related to how individuals learn best and in what context, integrating relevant methods of instruction, helps teachers develop appropriate goals designed to address the needs of a wide range of students and implement instructional methods responsive to individual differences.","ISSN":"15363031","shortTitle":"Gaining Access to General Education","journalAbbreviation":"Issues in Teacher Education","author":[{"family":"Jiménez","given":"Terese C."},{"family":"Graf","given":"Victoria L."},{"family":"Rose","given":"Ernest"}],"issued":{"date-parts":[["2007"]],"season":"Fall"}}}],"schema":"https://github.com/citation-style-language/schema/raw/master/csl-citation.json"} </w:instrText>
      </w:r>
      <w:r w:rsidR="008F0E5E" w:rsidRPr="00C347AD">
        <w:rPr>
          <w:b w:val="0"/>
        </w:rPr>
        <w:fldChar w:fldCharType="separate"/>
      </w:r>
      <w:r w:rsidR="008F0E5E" w:rsidRPr="00C347AD">
        <w:rPr>
          <w:b w:val="0"/>
        </w:rPr>
        <w:t>(Jiménez et al., 2007, p. 41)</w:t>
      </w:r>
      <w:r w:rsidR="008F0E5E" w:rsidRPr="00C347AD">
        <w:rPr>
          <w:b w:val="0"/>
        </w:rPr>
        <w:fldChar w:fldCharType="end"/>
      </w:r>
      <w:r w:rsidR="008F0E5E" w:rsidRPr="00C347AD">
        <w:rPr>
          <w:b w:val="0"/>
        </w:rPr>
        <w:t xml:space="preserve">. </w:t>
      </w:r>
    </w:p>
    <w:p w14:paraId="46A16CBA" w14:textId="77777777" w:rsidR="006514FA" w:rsidRPr="00C347AD" w:rsidRDefault="008F0E5E" w:rsidP="008F0E5E">
      <w:r w:rsidRPr="00C347AD">
        <w:t xml:space="preserve">These early legislative keystones have had tremendous influence on U.S. public schools and society, and provided opportunity for inclusion to populations that had </w:t>
      </w:r>
    </w:p>
    <w:p w14:paraId="245F438D" w14:textId="7AD287D1" w:rsidR="00654236" w:rsidRPr="00C347AD" w:rsidRDefault="00654236" w:rsidP="006514FA">
      <w:pPr>
        <w:ind w:firstLine="0"/>
      </w:pPr>
      <w:r w:rsidRPr="00C347AD">
        <w:rPr>
          <w:noProof/>
        </w:rPr>
        <w:lastRenderedPageBreak/>
        <w:drawing>
          <wp:anchor distT="0" distB="0" distL="114300" distR="114300" simplePos="0" relativeHeight="251705344" behindDoc="0" locked="0" layoutInCell="1" allowOverlap="1" wp14:anchorId="662BFFC9" wp14:editId="0CF287B8">
            <wp:simplePos x="0" y="0"/>
            <wp:positionH relativeFrom="column">
              <wp:posOffset>12700</wp:posOffset>
            </wp:positionH>
            <wp:positionV relativeFrom="paragraph">
              <wp:posOffset>697230</wp:posOffset>
            </wp:positionV>
            <wp:extent cx="5461000" cy="1485900"/>
            <wp:effectExtent l="25400" t="0" r="50800" b="0"/>
            <wp:wrapSquare wrapText="bothSides"/>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Pr="00C347AD">
        <w:rPr>
          <w:noProof/>
        </w:rPr>
        <mc:AlternateContent>
          <mc:Choice Requires="wps">
            <w:drawing>
              <wp:anchor distT="0" distB="0" distL="114300" distR="114300" simplePos="0" relativeHeight="251704320" behindDoc="0" locked="0" layoutInCell="1" allowOverlap="1" wp14:anchorId="5D1729EB" wp14:editId="72BFEB5C">
                <wp:simplePos x="0" y="0"/>
                <wp:positionH relativeFrom="column">
                  <wp:posOffset>-81280</wp:posOffset>
                </wp:positionH>
                <wp:positionV relativeFrom="paragraph">
                  <wp:posOffset>2009229</wp:posOffset>
                </wp:positionV>
                <wp:extent cx="5586730" cy="449580"/>
                <wp:effectExtent l="0" t="0" r="0" b="7620"/>
                <wp:wrapTight wrapText="bothSides">
                  <wp:wrapPolygon edited="0">
                    <wp:start x="98" y="0"/>
                    <wp:lineTo x="98" y="20746"/>
                    <wp:lineTo x="21409" y="20746"/>
                    <wp:lineTo x="21409" y="0"/>
                    <wp:lineTo x="98" y="0"/>
                  </wp:wrapPolygon>
                </wp:wrapTight>
                <wp:docPr id="13" name="Text Box 13"/>
                <wp:cNvGraphicFramePr/>
                <a:graphic xmlns:a="http://schemas.openxmlformats.org/drawingml/2006/main">
                  <a:graphicData uri="http://schemas.microsoft.com/office/word/2010/wordprocessingShape">
                    <wps:wsp>
                      <wps:cNvSpPr txBox="1"/>
                      <wps:spPr>
                        <a:xfrm>
                          <a:off x="0" y="0"/>
                          <a:ext cx="5586730" cy="4495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DA928C" w14:textId="033773DB" w:rsidR="006E3241" w:rsidRPr="00AF369A" w:rsidRDefault="006E3241" w:rsidP="00F84C35">
                            <w:pPr>
                              <w:spacing w:line="240" w:lineRule="auto"/>
                              <w:ind w:firstLine="0"/>
                            </w:pPr>
                            <w:r w:rsidRPr="00AF369A">
                              <w:rPr>
                                <w:i/>
                              </w:rPr>
                              <w:t xml:space="preserve">Figure </w:t>
                            </w:r>
                            <w:r>
                              <w:rPr>
                                <w:i/>
                              </w:rPr>
                              <w:t>1</w:t>
                            </w:r>
                            <w:r w:rsidRPr="00AF369A">
                              <w:rPr>
                                <w:i/>
                              </w:rPr>
                              <w:t xml:space="preserve">. </w:t>
                            </w:r>
                            <w:r>
                              <w:t xml:space="preserve">A representation of the focus of access-based research across time from the 1960s to contemporary lines of research. </w:t>
                            </w:r>
                          </w:p>
                          <w:p w14:paraId="22351194" w14:textId="77777777" w:rsidR="006E3241" w:rsidRDefault="006E3241" w:rsidP="00F84C35">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D1729EB" id="_x0000_t202" coordsize="21600,21600" o:spt="202" path="m0,0l0,21600,21600,21600,21600,0xe">
                <v:stroke joinstyle="miter"/>
                <v:path gradientshapeok="t" o:connecttype="rect"/>
              </v:shapetype>
              <v:shape id="Text Box 13" o:spid="_x0000_s1026" type="#_x0000_t202" style="position:absolute;margin-left:-6.4pt;margin-top:158.2pt;width:439.9pt;height:3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60RdACAAAQBgAADgAAAGRycy9lMm9Eb2MueG1srFRLb9swDL4P2H8QdE9tp06bGHUKN0WGAcVa&#10;rB16VmQpMabXJCVxN+y/j5LtNO12WIddbIr8RJEfHxeXrRRox6xrtCpxdpJixBTVdaPWJf7ysBxN&#10;MXKeqJoIrViJn5jDl/P37y72pmBjvdGiZhaBE+WKvSnxxntTJImjGyaJO9GGKTBybSXxcLTrpLZk&#10;D96lSMZpepbsta2N1ZQ5B9rrzojn0T/njPpbzh3zSJQYYvPxa+N3Fb7J/IIUa0vMpqF9GOQfopCk&#10;UfDowdU18QRtbfObK9lQq53m/oRqmWjOG8piDpBNlr7K5n5DDIu5ADnOHGhy/88t/bS7s6ipoXan&#10;GCkioUYPrPXoSrcIVMDP3rgCYPcGgL4FPWAHvQNlSLvlVoY/JITADkw/HdgN3igoJ5Pp2fkpmCjY&#10;8nw2mUb6k+fbxjr/gWmJglBiC9WLpJLdjfMQCUAHSHhM6WUjRKygUC8UAOw0LLZAd5sUEAmIARli&#10;iuX5sZicj6vzyWx0Vk2yUZ6l01FVpePR9bJKqzRfLmb51U+IQpIsL/bQKAbaLDAERCwFWfdFCea/&#10;q4ok9EUPZ1kSu6fLDxzHPIdQk8B+x3KU/JNgIQGhPjMOdYtkB0WcGLYQFu0I9DqhlCkf6xTJAHRA&#10;cSDsLRd7fKQsUvmWyx35w8ta+cNl2ShtY2lfhV1/HULmHR7IOMo7iL5dtX1XrnT9BE1pdTfWztBl&#10;A51zQ5y/IxbmGJoNdpO/hQ8Xel9i3UsYbbT9/id9wEMhwYpRKHeJ3bctsQwj8VHB4M2yPA+LJB5y&#10;aB442GPL6tiitnKhoRwZbEFDoxjwXgwit1o+wgqrwqtgIorC2yX2g7jw3baCFUhZVUUQrA5D/I26&#10;NzS4DtUJc/HQPhJr+uHx0EGf9LBBSPFqhjpsuKl0tfWaN3HAAsEdqz3xsHZiP/YrMuy143NEPS/y&#10;+S8AAAD//wMAUEsDBBQABgAIAAAAIQCw8Zio3wAAAAsBAAAPAAAAZHJzL2Rvd25yZXYueG1sTI/B&#10;TsMwEETvSPyDtUjcWjuhpCHEqRCIK4hCK3Fz420SEa+j2G3C37Oc4Dg7o9k35WZ2vTjjGDpPGpKl&#10;AoFUe9tRo+Hj/XmRgwjRkDW9J9TwjQE21eVFaQrrJ3rD8zY2gksoFEZDG+NQSBnqFp0JSz8gsXf0&#10;ozOR5dhIO5qJy10vU6Uy6UxH/KE1Az62WH9tT07D7uX4uV+p1+bJ3Q6Tn5Ukdye1vr6aH+5BRJzj&#10;Xxh+8RkdKmY6+BPZIHoNiyRl9KjhJslWIDiRZ2ted+BLvk5BVqX8v6H6AQAA//8DAFBLAQItABQA&#10;BgAIAAAAIQDkmcPA+wAAAOEBAAATAAAAAAAAAAAAAAAAAAAAAABbQ29udGVudF9UeXBlc10ueG1s&#10;UEsBAi0AFAAGAAgAAAAhACOyauHXAAAAlAEAAAsAAAAAAAAAAAAAAAAALAEAAF9yZWxzLy5yZWxz&#10;UEsBAi0AFAAGAAgAAAAhAOH+tEXQAgAAEAYAAA4AAAAAAAAAAAAAAAAALAIAAGRycy9lMm9Eb2Mu&#10;eG1sUEsBAi0AFAAGAAgAAAAhALDxmKjfAAAACwEAAA8AAAAAAAAAAAAAAAAAKAUAAGRycy9kb3du&#10;cmV2LnhtbFBLBQYAAAAABAAEAPMAAAA0BgAAAAA=&#10;" filled="f" stroked="f">
                <v:textbox>
                  <w:txbxContent>
                    <w:p w14:paraId="7EDA928C" w14:textId="033773DB" w:rsidR="006E3241" w:rsidRPr="00AF369A" w:rsidRDefault="006E3241" w:rsidP="00F84C35">
                      <w:pPr>
                        <w:spacing w:line="240" w:lineRule="auto"/>
                        <w:ind w:firstLine="0"/>
                      </w:pPr>
                      <w:r w:rsidRPr="00AF369A">
                        <w:rPr>
                          <w:i/>
                        </w:rPr>
                        <w:t xml:space="preserve">Figure </w:t>
                      </w:r>
                      <w:r>
                        <w:rPr>
                          <w:i/>
                        </w:rPr>
                        <w:t>1</w:t>
                      </w:r>
                      <w:r w:rsidRPr="00AF369A">
                        <w:rPr>
                          <w:i/>
                        </w:rPr>
                        <w:t xml:space="preserve">. </w:t>
                      </w:r>
                      <w:r>
                        <w:t xml:space="preserve">A representation of the focus of access-based research across time from the 1960s to contemporary lines of research. </w:t>
                      </w:r>
                    </w:p>
                    <w:p w14:paraId="22351194" w14:textId="77777777" w:rsidR="006E3241" w:rsidRDefault="006E3241" w:rsidP="00F84C35">
                      <w:pPr>
                        <w:spacing w:line="240" w:lineRule="auto"/>
                      </w:pPr>
                    </w:p>
                  </w:txbxContent>
                </v:textbox>
                <w10:wrap type="tight"/>
              </v:shape>
            </w:pict>
          </mc:Fallback>
        </mc:AlternateContent>
      </w:r>
      <w:r w:rsidR="008F0E5E" w:rsidRPr="00C347AD">
        <w:t>previously been disbarred.</w:t>
      </w:r>
    </w:p>
    <w:p w14:paraId="25690C7D" w14:textId="77777777" w:rsidR="00654236" w:rsidRPr="00C347AD" w:rsidRDefault="00654236" w:rsidP="006514FA">
      <w:pPr>
        <w:ind w:firstLine="0"/>
      </w:pPr>
    </w:p>
    <w:p w14:paraId="6DBBCFA6" w14:textId="77777777" w:rsidR="00654236" w:rsidRPr="00C347AD" w:rsidRDefault="00654236" w:rsidP="006514FA">
      <w:pPr>
        <w:ind w:firstLine="0"/>
      </w:pPr>
    </w:p>
    <w:p w14:paraId="7DE76535" w14:textId="63A232BD" w:rsidR="008F0E5E" w:rsidRPr="00C347AD" w:rsidRDefault="008F0E5E" w:rsidP="00255A1E">
      <w:r w:rsidRPr="00C347AD">
        <w:t xml:space="preserve">However, in education practice, these mandates may have enabled physical access to the public school classroom for diverse individuals, but social and academic access are far more complex and demanding of education systems and environments than physical access. Systematic discrimination (intentionally or not) continued and continues to be an issue facing U.S. public schools for both teachers and students </w:t>
      </w:r>
      <w:r w:rsidRPr="00C347AD">
        <w:fldChar w:fldCharType="begin"/>
      </w:r>
      <w:r w:rsidR="00F7126F" w:rsidRPr="00C347AD">
        <w:instrText xml:space="preserve"> ADDIN ZOTERO_ITEM CSL_CITATION {"citationID":"22aq1n03v0","properties":{"formattedCitation":"(Abramo, 2012; Adair, 2015; Bellmore, Nishina, You, &amp; Ma, 2012; Brown &amp; Chu, 2012; Ogbu, 1994; Smith, 2014)","plainCitation":"(Abramo, 2012; Adair, 2015; Bellmore, Nishina, You, &amp; Ma, 2012; Brown &amp; Chu, 2012; Ogbu, 1994; Smith, 2014)","dontUpdate":true},"citationItems":[{"id":646,"uris":["http://zotero.org/users/2098925/items/JC46AV6M"],"uri":["http://zotero.org/users/2098925/items/JC46AV6M"],"itemData":{"id":646,"type":"article-journal","title":"Disability in the Classroom Current Trends and Impacts on Music Education","container-title":"Music Educators Journal","page":"39-45","volume":"99","issue":"1","ISSN":"0027-4321","journalAbbreviation":"Music Educators Journal","author":[{"family":"Abramo","given":"Joseph"}],"issued":{"date-parts":[["2012"]]}}},{"id":655,"uris":["http://zotero.org/users/2098925/items/JJGUBQPM"],"uri":["http://zotero.org/users/2098925/items/JJGUBQPM"],"itemData":{"id":655,"type":"article-journal","title":"The impact of discrimination on the early schooling experiences of children from immigrant families","author":[{"family":"Adair","given":"Jennifer Keys"}],"issued":{"date-parts":[["2015"]]}}},{"id":947,"uris":["http://zotero.org/users/2098925/items/TW2T3WQW"],"uri":["http://zotero.org/users/2098925/items/TW2T3WQW"],"itemData":{"id":947,"type":"article-journal","title":"School context protective factors against peer ethnic discrimination across the high school years","container-title":"American Journal of Community Psychology","page":"98-111","volume":"49","issue":"1-2","ISSN":"0091-0562","journalAbbreviation":"American Journal of Community Psychology","author":[{"family":"Bellmore","given":"Amy"},{"family":"Nishina","given":"Adrienne"},{"family":"You","given":"Ji-in"},{"family":"Ma","given":"Ting-Lan"}],"issued":{"date-parts":[["2012"]]}}},{"id":291,"uris":["http://zotero.org/users/2098925/items/9F8SJ2VT"],"uri":["http://zotero.org/users/2098925/items/9F8SJ2VT"],"itemData":{"id":291,"type":"article-journal","title":"Discrimination, ethnic identity, and academic outcomes of Mexican immigrant children: The importance of school context","container-title":"Child Development","page":"1477-1485","volume":"83","issue":"5","ISSN":"1467-8624","journalAbbreviation":"Child Development","author":[{"family":"Brown","given":"Christia Spears"},{"family":"Chu","given":"Hui"}],"issued":{"date-parts":[["2012"]]}}},{"id":70,"uris":["http://zotero.org/users/2098925/items/3RS6WBM4"],"uri":["http://zotero.org/users/2098925/items/3RS6WBM4"],"itemData":{"id":70,"type":"article-journal","title":"Racial stratification and education in the United States: Why inequality persists","container-title":"The Teachers College Record","page":"264-298","volume":"96","issue":"2","ISSN":"1467-9620","journalAbbreviation":"The Teachers College Record","author":[{"family":"Ogbu","given":"John"}],"issued":{"date-parts":[["1994"]]}}},{"id":274,"uris":["http://zotero.org/users/2098925/items/926ICJDR"],"uri":["http://zotero.org/users/2098925/items/926ICJDR"],"itemData":{"id":274,"type":"article-journal","title":"Sex Discrimination in Teachers' Salary","container-title":"Schools, Classrooms, and Pupils: International Studies of Schooling from a Multilevel Perspective","page":"225","ISSN":"148321981X","journalAbbreviation":"Schools, Classrooms, and Pupils: International Studies of Schooling from a Multilevel Perspective","author":[{"family":"Smith","given":"Julia B"}],"issued":{"date-parts":[["2014"]]}}}],"schema":"https://github.com/citation-style-language/schema/raw/master/csl-citation.json"} </w:instrText>
      </w:r>
      <w:r w:rsidRPr="00C347AD">
        <w:fldChar w:fldCharType="separate"/>
      </w:r>
      <w:r w:rsidRPr="00C347AD">
        <w:rPr>
          <w:noProof/>
        </w:rPr>
        <w:t>(</w:t>
      </w:r>
      <w:r w:rsidR="00B323A5" w:rsidRPr="00C347AD">
        <w:rPr>
          <w:noProof/>
        </w:rPr>
        <w:t>e.g.,</w:t>
      </w:r>
      <w:r w:rsidRPr="00C347AD">
        <w:rPr>
          <w:noProof/>
        </w:rPr>
        <w:t xml:space="preserve"> Abramo, 2012; Adair, 2015; Bellmore, Nishina, You, &amp; Ma, 2012; Brown &amp; Chu, 2012; Ogbu, 1994; Smith, 2014)</w:t>
      </w:r>
      <w:r w:rsidRPr="00C347AD">
        <w:fldChar w:fldCharType="end"/>
      </w:r>
      <w:r w:rsidRPr="00C347AD">
        <w:t>. The effect of this systematic discrimination is apparent in the aforementioned achievement gap for diverse populations (Edyburn, 2010) as well as</w:t>
      </w:r>
      <w:r w:rsidR="00F64E47" w:rsidRPr="00C347AD">
        <w:t xml:space="preserve"> high school</w:t>
      </w:r>
      <w:r w:rsidR="009B5FC1" w:rsidRPr="00C347AD">
        <w:t xml:space="preserve"> drop</w:t>
      </w:r>
      <w:r w:rsidRPr="00C347AD">
        <w:t xml:space="preserve">out rates </w:t>
      </w:r>
      <w:r w:rsidR="00491B30" w:rsidRPr="00C347AD">
        <w:t xml:space="preserve">that are disproportionally high for students in at risk groups </w:t>
      </w:r>
      <w:r w:rsidRPr="00C347AD">
        <w:fldChar w:fldCharType="begin"/>
      </w:r>
      <w:r w:rsidR="00F7126F" w:rsidRPr="00C347AD">
        <w:instrText xml:space="preserve"> ADDIN ZOTERO_ITEM CSL_CITATION {"citationID":"104slur687","properties":{"formattedCitation":"(Murnane, 2013)","plainCitation":"(Murnane, 2013)"},"citationItems":[{"id":80,"uris":["http://zotero.org/users/2098925/items/42AUA3UC"],"uri":["http://zotero.org/users/2098925/items/42AUA3UC"],"itemData":{"id":80,"type":"report","title":"US high school graduation rates: Patterns and explanations","publisher":"National Bureau of Economic Research","author":[{"family":"Murnane","given":"Richard J"}],"issued":{"date-parts":[["2013"]]}}}],"schema":"https://github.com/citation-style-language/schema/raw/master/csl-citation.json"} </w:instrText>
      </w:r>
      <w:r w:rsidRPr="00C347AD">
        <w:fldChar w:fldCharType="separate"/>
      </w:r>
      <w:r w:rsidRPr="00C347AD">
        <w:rPr>
          <w:noProof/>
        </w:rPr>
        <w:t>(Murnane, 2013)</w:t>
      </w:r>
      <w:r w:rsidRPr="00C347AD">
        <w:fldChar w:fldCharType="end"/>
      </w:r>
      <w:r w:rsidRPr="00C347AD">
        <w:t xml:space="preserve">. </w:t>
      </w:r>
    </w:p>
    <w:p w14:paraId="3122AED2" w14:textId="2177C6AE" w:rsidR="008F0E5E" w:rsidRPr="00C347AD" w:rsidRDefault="008F0E5E" w:rsidP="008F0E5E">
      <w:r w:rsidRPr="00C347AD">
        <w:t xml:space="preserve">In recognition of the persistence of these </w:t>
      </w:r>
      <w:r w:rsidR="00F64E47" w:rsidRPr="00C347AD">
        <w:t>continued inequities</w:t>
      </w:r>
      <w:r w:rsidRPr="00C347AD">
        <w:t xml:space="preserve"> through the decades since the passage of initial anti-discrimination law</w:t>
      </w:r>
      <w:r w:rsidR="009B5FC1" w:rsidRPr="00C347AD">
        <w:t>s</w:t>
      </w:r>
      <w:r w:rsidRPr="00C347AD">
        <w:t xml:space="preserve">, several additional legal interventions </w:t>
      </w:r>
      <w:r w:rsidRPr="00C347AD">
        <w:lastRenderedPageBreak/>
        <w:t xml:space="preserve">have unfurled. </w:t>
      </w:r>
      <w:r w:rsidRPr="00C347AD">
        <w:fldChar w:fldCharType="begin"/>
      </w:r>
      <w:r w:rsidR="00F7126F" w:rsidRPr="00C347AD">
        <w:instrText xml:space="preserve"> ADDIN ZOTERO_ITEM CSL_CITATION {"citationID":"1b0dbbld06","properties":{"formattedCitation":"{\\rtf (Jim\\uc0\\u233{}nez et al., 2007)}","plainCitation":"(Jiménez et al., 2007)"},"citationItems":[{"id":172,"uris":["http://zotero.org/users/2098925/items/6IBWZH4R"],"uri":["http://zotero.org/users/2098925/items/6IBWZH4R"],"itemData":{"id":172,"type":"article-journal","title":"Gaining Access to General Education: The Promise of Universal Design for Learning","container-title":"Issues in Teacher Education","page":"41-54","volume":"16","issue":"2","source":"EBSCOhost","abstract":"Universal Design for Learning (UDL) can benefit students and teachers in both general and special education programs.  Since President Ford signed the Education of All Handicapped Children Act into law in 1975, there have been changes to the law and the manner in which students with disabilities and their families are educated that require teachers to learn to design unique instructional programs that actively support learners with and without disabilities.  UDL, which provides a theoretical framework based on research related to how individuals learn best and in what context, integrating relevant methods of instruction, helps teachers develop appropriate goals designed to address the needs of a wide range of students and implement instructional methods responsive to individual differences.","ISSN":"15363031","shortTitle":"Gaining Access to General Education","journalAbbreviation":"Issues in Teacher Education","author":[{"family":"Jiménez","given":"Terese C."},{"family":"Graf","given":"Victoria L."},{"family":"Rose","given":"Ernest"}],"issued":{"date-parts":[["2007"]],"season":"Fall"}}}],"schema":"https://github.com/citation-style-language/schema/raw/master/csl-citation.json"} </w:instrText>
      </w:r>
      <w:r w:rsidRPr="00C347AD">
        <w:fldChar w:fldCharType="separate"/>
      </w:r>
      <w:r w:rsidRPr="00C347AD">
        <w:t>Jiménez et al., (2007)</w:t>
      </w:r>
      <w:r w:rsidRPr="00C347AD">
        <w:fldChar w:fldCharType="end"/>
      </w:r>
      <w:r w:rsidRPr="00C347AD">
        <w:t xml:space="preserve"> propose two related legislative lines: that which, beginning with PL 94-142 in 1975 focused on inclusion and anti-discrimination, and that</w:t>
      </w:r>
      <w:r w:rsidR="00255A1E" w:rsidRPr="00C347AD">
        <w:t xml:space="preserve"> </w:t>
      </w:r>
      <w:r w:rsidRPr="00C347AD">
        <w:t>which began with the Elementary and Secondary Education Act (PL 89-10) in 1965, which focused on federal funding, narrowi</w:t>
      </w:r>
      <w:r w:rsidR="009B5FC1" w:rsidRPr="00C347AD">
        <w:t>ng achievement gaps, and calls</w:t>
      </w:r>
      <w:r w:rsidRPr="00C347AD">
        <w:t xml:space="preserve"> for explicit accountability measures. Each of these evolved over the decades and have had immense influence on which, how and where children and youths are educated and schools are evaluate</w:t>
      </w:r>
      <w:r w:rsidR="00255A1E" w:rsidRPr="00C347AD">
        <w:t>d in the United States (Tables 7 and 8</w:t>
      </w:r>
      <w:r w:rsidR="006514FA" w:rsidRPr="00C347AD">
        <w:t>, Appendix A</w:t>
      </w:r>
      <w:r w:rsidRPr="00C347AD">
        <w:t xml:space="preserve">). </w:t>
      </w:r>
    </w:p>
    <w:p w14:paraId="0F0CCBCB" w14:textId="037A9D19" w:rsidR="00C147FF" w:rsidRPr="00C347AD" w:rsidRDefault="00571F35" w:rsidP="00C147FF">
      <w:r w:rsidRPr="00C347AD">
        <w:rPr>
          <w:b/>
        </w:rPr>
        <w:t>Education research r</w:t>
      </w:r>
      <w:r w:rsidR="008F0E5E" w:rsidRPr="00C347AD">
        <w:rPr>
          <w:b/>
        </w:rPr>
        <w:t xml:space="preserve">esponse. </w:t>
      </w:r>
      <w:r w:rsidR="008F0E5E" w:rsidRPr="00C347AD">
        <w:t xml:space="preserve">In response to social and/or economic and/or political pressure, education research began to turn in earnest to expand the access that children and youth had to curriculum and to true learning in the 1990s and early 2000s in K-12 settings and </w:t>
      </w:r>
      <w:r w:rsidR="009B5FC1" w:rsidRPr="00C347AD">
        <w:t>extending</w:t>
      </w:r>
      <w:r w:rsidR="008F0E5E" w:rsidRPr="00C347AD">
        <w:t xml:space="preserve"> to postsecondary </w:t>
      </w:r>
      <w:r w:rsidR="008F0E5E" w:rsidRPr="00C347AD">
        <w:fldChar w:fldCharType="begin"/>
      </w:r>
      <w:r w:rsidR="00F7126F" w:rsidRPr="00C347AD">
        <w:instrText xml:space="preserve"> ADDIN ZOTERO_ITEM CSL_CITATION {"citationID":"dFkiSlhT","properties":{"formattedCitation":"(Bos &amp; Fletcher, 1997; Fisher &amp; Sax, 1999; Gilmore, Schuster, Zafft, &amp; Hart, 2001; Gundara, 2000; Hafner, 2008; Hart, 2006; Hines, 2001; S. L. Odom, 2000; Powell, Hyde, &amp; Punch, 2013; Rojewski, Lee, &amp; Gregg, 2013; Simpson, 2004; Williams, Berger, &amp; McClendon, 2005; Wlodkowski &amp; Ginsberg, 1995)","plainCitation":"(Bos &amp; Fletcher, 1997; Fisher &amp; Sax, 1999; Gilmore, Schuster, Zafft, &amp; Hart, 2001; Gundara, 2000; Hafner, 2008; Hart, 2006; Hines, 2001; S. L. Odom, 2000; Powell, Hyde, &amp; Punch, 2013; Rojewski, Lee, &amp; Gregg, 2013; Simpson, 2004; Williams, Berger, &amp; McClendon, 2005; Wlodkowski &amp; Ginsberg, 1995)","dontUpdate":true},"citationItems":[{"id":1016,"uris":["http://zotero.org/users/2098925/items/W49FXGIW"],"uri":["http://zotero.org/users/2098925/items/W49FXGIW"],"itemData":{"id":1016,"type":"article-journal","title":"Sociocultural Considerations in Learning Disabilities Inclusion Research: Knowledge Gaps and Future Directions.","container-title":"Learning Disabilities Research and Practice","page":"92-99","volume":"12","issue":"2","ISSN":"0938-8982","journalAbbreviation":"Learning Disabilities Research and Practice","author":[{"family":"Bos","given":"Candace S"},{"family":"Fletcher","given":"Todd V"}],"issued":{"date-parts":[["1997"]]}}},{"id":298,"uris":["http://zotero.org/users/2098925/items/9PKN6DHQ"],"uri":["http://zotero.org/users/2098925/items/9PKN6DHQ"],"itemData":{"id":298,"type":"article-journal","title":"Noticing differences between secondary and postsecondary education: Extending Agran, Snow, and Swaner's discussion","container-title":"JOURNAL-ASSOCIATION FOR PERSONS WITH SEVERE HANDICAPS","page":"303-305","volume":"24","issue":"4","ISSN":"0749-1425","journalAbbreviation":"JOURNAL-ASSOCIATION FOR PERSONS WITH SEVERE HANDICAPS","author":[{"family":"Fisher","given":"Douglas"},{"family":"Sax","given":"Caren"}],"issued":{"date-parts":[["1999"]]}}},{"id":455,"uris":["http://zotero.org/users/2098925/items/E73F224D"],"uri":["http://zotero.org/users/2098925/items/E73F224D"],"itemData":{"id":455,"type":"article-journal","title":"Postsecondary Education Services and Employment Outcomes within the Vocational Rehabilitation System","container-title":"Disability Studies Quarterly","volume":"21","issue":"1","source":"www.dsq-sds.org","URL":"http://dsq-sds.org/article/view/256","ISSN":"2159-8371","author":[{"family":"Gilmore","given":"Dana"},{"family":"Schuster","given":"Jennifer"},{"family":"Zafft","given":"Cynthia"},{"family":"Hart","given":"Debra"}],"issued":{"date-parts":[["2001",1,15]]},"accessed":{"date-parts":[["2015",10,1]]}}},{"id":84,"uris":["http://zotero.org/users/2098925/items/44H2PJFA"],"uri":["http://zotero.org/users/2098925/items/44H2PJFA"],"itemData":{"id":84,"type":"book","title":"Interculturalism, education and inclusion","publisher":"Sage","ISBN":"0-7619-6623-4","author":[{"family":"Gundara","given":"Jagdish S"}],"issued":{"date-parts":[["2000"]]}}},{"id":676,"uris":["http://zotero.org/users/2098925/items/K6I5FHKP"],"uri":["http://zotero.org/users/2098925/items/K6I5FHKP"],"itemData":{"id":676,"type":"book","title":"Inclusion in postsecondary education: Phenomenological study on identifying and addressing barriers to inclusion of individuals with significant disabilities at a four-year liberal arts college","publisher":"ProQuest","ISBN":"0-549-92060-9","author":[{"family":"Hafner","given":"Dedra"}],"issued":{"date-parts":[["2008"]]}}},{"id":383,"uris":["http://zotero.org/users/2098925/items/C9D3F8FF"],"uri":["http://zotero.org/users/2098925/items/C9D3F8FF"],"itemData":{"id":383,"type":"article-journal","title":"Research to practice: Postsecondary education options for students with intellectual disabilities","source":"Google Scholar","URL":"http://scholarworks.umb.edu/cgi/viewcontent.cgi?article=1005&amp;context=ici_researchtopractice","shortTitle":"Research to practice","author":[{"family":"Hart","given":"Debra"}],"issued":{"date-parts":[["2006"]]},"accessed":{"date-parts":[["2015",10,1]]}}},{"id":450,"uris":["http://zotero.org/users/2098925/items/E2KEAUU7"],"uri":["http://zotero.org/users/2098925/items/E2KEAUU7"],"itemData":{"id":450,"type":"book","title":"Inclusion in middle schools","publisher":"ERIC Clearinghouse on Elementary and Early Childhood Education, University of Illinois","author":[{"family":"Hines","given":"Rebecca A"}],"issued":{"date-parts":[["2001"]]}}},{"id":5,"uris":["http://zotero.org/users/2098925/items/24GMANEX"],"uri":["http://zotero.org/users/2098925/items/24GMANEX"],"itemData":{"id":5,"type":"article-journal","title":"Preschool inclusion what we know and where we go from here","container-title":"Topics in early childhood special education","page":"20-27","volume":"20","issue":"1","ISSN":"0271-1214","journalAbbreviation":"Topics in early childhood special education","author":[{"family":"Odom","given":"Samuel L"}],"issued":{"date-parts":[["2000"]]}}},{"id":293,"uris":["http://zotero.org/users/2098925/items/9HPM6DXJ"],"uri":["http://zotero.org/users/2098925/items/9HPM6DXJ"],"itemData":{"id":293,"type":"article-journal","title":"Inclusion in Postsecondary Institutions With Small Numbers of Deaf and Hard-of-Hearing Students: Highlights and Challenges","container-title":"Journal of deaf studies and deaf education","page":"ent035","ISSN":"1081-4159","journalAbbreviation":"Journal of deaf studies and deaf education","author":[{"family":"Powell","given":"Denise"},{"family":"Hyde","given":"Merv"},{"family":"Punch","given":"Renée"}],"issued":{"date-parts":[["2013"]]}}},{"id":328,"uris":["http://zotero.org/users/2098925/items/AHF53GAJ"],"uri":["http://zotero.org/users/2098925/items/AHF53GAJ"],"itemData":{"id":328,"type":"article-journal","title":"Causal effects of inclusion on postsecondary education outcomes of individuals with high-incidence disabilities","container-title":"Journal of Disability Policy Studies","page":"1044207313505648","ISSN":"1044-2073","journalAbbreviation":"Journal of Disability Policy Studies","author":[{"family":"Rojewski","given":"Jay W"},{"family":"Lee","given":"In Heok"},{"family":"Gregg","given":"Noel"}],"issued":{"date-parts":[["2013"]]}}},{"id":115,"uris":["http://zotero.org/users/2098925/items/4W63GTD7"],"uri":["http://zotero.org/users/2098925/items/4W63GTD7"],"itemData":{"id":115,"type":"article-journal","title":"Inclusion of students with behavior disorders in general education settings: Research and measurement issues","container-title":"Behavioral Disorders","page":"19-31","ISSN":"0198-7429","journalAbbreviation":"Behavioral Disorders","author":[{"family":"Simpson","given":"Richard L"}],"issued":{"date-parts":[["2004"]]}}},{"id":166,"uris":["http://zotero.org/users/2098925/items/6AWHSQ8N"],"uri":["http://zotero.org/users/2098925/items/6AWHSQ8N"],"itemData":{"id":166,"type":"book","title":"Toward a model of inclusive excellence and change in postsecondary institutions","publisher":"Citeseer","author":[{"family":"Williams","given":"Damon A"},{"family":"Berger","given":"Joseph Buryl"},{"family":"McClendon","given":"Shederick A"}],"issued":{"date-parts":[["2005"]]}}},{"id":510,"uris":["http://zotero.org/users/2098925/items/FKV6X349"],"uri":["http://zotero.org/users/2098925/items/FKV6X349"],"itemData":{"id":510,"type":"book","title":"Diversity &amp; Motivation: Culturally Responsive Teaching. Jossey-Bass Higher and Adult Education Series. Jossey-Bass Education Series, Jossey-Bass Social and Behavioral Science Series.","publisher":"ERIC","ISBN":"0-7879-0126-1","author":[{"family":"Wlodkowski","given":"Raymond J"},{"family":"Ginsberg","given":"Margery B"}],"issued":{"date-parts":[["1995"]]}}}],"schema":"https://github.com/citation-style-language/schema/raw/master/csl-citation.json"} </w:instrText>
      </w:r>
      <w:r w:rsidR="008F0E5E" w:rsidRPr="00C347AD">
        <w:fldChar w:fldCharType="separate"/>
      </w:r>
      <w:r w:rsidR="008F0E5E" w:rsidRPr="00C347AD">
        <w:t>(Bos &amp; Fletcher, 1997; Fisher &amp; Sax, 1999; Gilmore, Schuster, Zafft, &amp; Hart, 2001; Gundara, 2000; Hafner, 2008; Hart, 2006; Hines, 2001; Odom, 2000; Powell, Hyde, &amp; Punch, 2013; Rojewski, Lee, &amp; Gregg, 2013; Simpson, 2004; Williams, Berger, &amp; McClendon, 2005; Wlodkowski &amp; Ginsberg, 1995)</w:t>
      </w:r>
      <w:r w:rsidR="008F0E5E" w:rsidRPr="00C347AD">
        <w:fldChar w:fldCharType="end"/>
      </w:r>
      <w:r w:rsidR="008F0E5E" w:rsidRPr="00C347AD">
        <w:t xml:space="preserve">. </w:t>
      </w:r>
    </w:p>
    <w:p w14:paraId="78F2F4FF" w14:textId="7B9E6C2B" w:rsidR="008F0E5E" w:rsidRPr="00C347AD" w:rsidRDefault="008F0E5E" w:rsidP="00C147FF">
      <w:r w:rsidRPr="00C347AD">
        <w:t xml:space="preserve">Inasmuch as the status quo of inclusion practice to this time was ineffective </w:t>
      </w:r>
      <w:r w:rsidRPr="00C347AD">
        <w:fldChar w:fldCharType="begin"/>
      </w:r>
      <w:r w:rsidR="00F7126F" w:rsidRPr="00C347AD">
        <w:instrText xml:space="preserve"> ADDIN ZOTERO_ITEM CSL_CITATION {"citationID":"sgpkch2ii","properties":{"formattedCitation":"(Edyburn, 2010)","plainCitation":"(Edyburn, 2010)"},"citationItems":[{"id":209,"uris":["http://zotero.org/users/2098925/items/7GS75EGJ"],"uri":["http://zotero.org/users/2098925/items/7GS75EGJ"],"itemData":{"id":209,"type":"article-journal","title":"Would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Pr="00C347AD">
        <w:fldChar w:fldCharType="separate"/>
      </w:r>
      <w:r w:rsidRPr="00C347AD">
        <w:rPr>
          <w:noProof/>
        </w:rPr>
        <w:t>(Edyburn, 2010)</w:t>
      </w:r>
      <w:r w:rsidRPr="00C347AD">
        <w:fldChar w:fldCharType="end"/>
      </w:r>
      <w:r w:rsidRPr="00C347AD">
        <w:t>, the time ha</w:t>
      </w:r>
      <w:r w:rsidR="009B5FC1" w:rsidRPr="00C347AD">
        <w:t xml:space="preserve">d come for the articulation and application </w:t>
      </w:r>
      <w:r w:rsidRPr="00C347AD">
        <w:t xml:space="preserve">of a method or framework that would allow </w:t>
      </w:r>
      <w:r w:rsidR="009B5FC1" w:rsidRPr="00C347AD">
        <w:t xml:space="preserve">diverse students, </w:t>
      </w:r>
      <w:r w:rsidRPr="00C347AD">
        <w:t>including</w:t>
      </w:r>
      <w:r w:rsidR="009B5FC1" w:rsidRPr="00C347AD">
        <w:t xml:space="preserve"> those with</w:t>
      </w:r>
      <w:r w:rsidRPr="00C347AD">
        <w:t xml:space="preserve"> disabilities</w:t>
      </w:r>
      <w:r w:rsidR="009B5FC1" w:rsidRPr="00C347AD">
        <w:t>,</w:t>
      </w:r>
      <w:r w:rsidRPr="00C347AD">
        <w:t xml:space="preserve"> to truly learn and thus meet the accountability standards that had been implemented from federal mandates. </w:t>
      </w:r>
      <w:r w:rsidR="009B5FC1" w:rsidRPr="00C347AD">
        <w:t>One</w:t>
      </w:r>
      <w:r w:rsidRPr="00C347AD">
        <w:t xml:space="preserve"> focus</w:t>
      </w:r>
      <w:r w:rsidR="009B5FC1" w:rsidRPr="00C347AD">
        <w:t xml:space="preserve"> that emerged</w:t>
      </w:r>
      <w:r w:rsidRPr="00C347AD">
        <w:t xml:space="preserve"> at this time </w:t>
      </w:r>
      <w:r w:rsidR="009B5FC1" w:rsidRPr="00C347AD">
        <w:t xml:space="preserve">was </w:t>
      </w:r>
      <w:r w:rsidRPr="00C347AD">
        <w:t>Universal Design (UD)</w:t>
      </w:r>
      <w:r w:rsidR="002E09AF" w:rsidRPr="00C347AD">
        <w:t>, and more specifically Universal Design for Learning (UDL)</w:t>
      </w:r>
      <w:r w:rsidRPr="00C347AD">
        <w:t>. Indeed, it was in this social context that Howard (2003) wrote “UDL is an idea whose time has come” (p. 113).</w:t>
      </w:r>
    </w:p>
    <w:p w14:paraId="77B9DB89" w14:textId="01989200" w:rsidR="0079228B" w:rsidRPr="00C347AD" w:rsidRDefault="002E09AF" w:rsidP="00D53D07">
      <w:r w:rsidRPr="00C347AD">
        <w:lastRenderedPageBreak/>
        <w:t xml:space="preserve">Universal Design for Learning (UDL) now appears in critical federal policy and legislation including </w:t>
      </w:r>
      <w:r w:rsidR="00235CF6" w:rsidRPr="00C347AD">
        <w:t>the Every</w:t>
      </w:r>
      <w:r w:rsidRPr="00C347AD">
        <w:t xml:space="preserve"> </w:t>
      </w:r>
      <w:r w:rsidR="00D53D07" w:rsidRPr="00C347AD">
        <w:t>Student Succeeds Act (ESSA, 2015</w:t>
      </w:r>
      <w:r w:rsidRPr="00C347AD">
        <w:t xml:space="preserve">), </w:t>
      </w:r>
      <w:r w:rsidR="00997C11" w:rsidRPr="00C347AD">
        <w:t>the National</w:t>
      </w:r>
      <w:r w:rsidR="00654236" w:rsidRPr="00C347AD">
        <w:t xml:space="preserve"> </w:t>
      </w:r>
      <w:r w:rsidR="00997C11" w:rsidRPr="00C347AD">
        <w:t xml:space="preserve">Educational Technology Plan (2010) and </w:t>
      </w:r>
      <w:r w:rsidR="00790D3F" w:rsidRPr="00C347AD">
        <w:t>the National Instructional Materials Access</w:t>
      </w:r>
      <w:r w:rsidR="00997C11" w:rsidRPr="00C347AD">
        <w:t>ibility Standard (NIMAS, 2006</w:t>
      </w:r>
      <w:r w:rsidR="00BC20F9" w:rsidRPr="00C347AD">
        <w:t xml:space="preserve">) and also appears in several state and local initiatives. </w:t>
      </w:r>
      <w:r w:rsidR="00CB79DB" w:rsidRPr="00C347AD">
        <w:t xml:space="preserve">In spite of this, </w:t>
      </w:r>
      <w:r w:rsidR="00A81FD3" w:rsidRPr="00C347AD">
        <w:t>education</w:t>
      </w:r>
      <w:r w:rsidR="000D53F4" w:rsidRPr="00C347AD">
        <w:t>al preparation</w:t>
      </w:r>
      <w:r w:rsidR="00A81FD3" w:rsidRPr="00C347AD">
        <w:t xml:space="preserve"> faculty awareness of UDL remains low, and e</w:t>
      </w:r>
      <w:r w:rsidR="001A6C8B" w:rsidRPr="00C347AD">
        <w:t xml:space="preserve">ven those who are aware of UDL do not necessarily understand what it is or teach it in their courses </w:t>
      </w:r>
      <w:r w:rsidR="001A6C8B" w:rsidRPr="00C347AD">
        <w:fldChar w:fldCharType="begin"/>
      </w:r>
      <w:r w:rsidR="00F7126F" w:rsidRPr="00C347AD">
        <w:instrText xml:space="preserve"> ADDIN ZOTERO_ITEM CSL_CITATION {"citationID":"23cc32i7qh","properties":{"formattedCitation":"(Vitelli, 2015)","plainCitation":"(Vitelli, 2015)"},"citationItems":[{"id":135,"uris":["http://zotero.org/users/2098925/items/5HPEQ33J"],"uri":["http://zotero.org/users/2098925/items/5HPEQ33J"],"itemData":{"id":135,"type":"article-journal","title":"Universal Design for Learning Are We Teaching It to Preservice General Education Teachers?","container-title":"Journal of Special Education Technology","page":"166-178","volume":"30","issue":"3","author":[{"family":"Vitelli","given":"Edward M."}],"issued":{"date-parts":[["2015"]]}}}],"schema":"https://github.com/citation-style-language/schema/raw/master/csl-citation.json"} </w:instrText>
      </w:r>
      <w:r w:rsidR="001A6C8B" w:rsidRPr="00C347AD">
        <w:fldChar w:fldCharType="separate"/>
      </w:r>
      <w:r w:rsidR="000C2B16" w:rsidRPr="00C347AD">
        <w:rPr>
          <w:noProof/>
        </w:rPr>
        <w:t>(Vitelli, 2015)</w:t>
      </w:r>
      <w:r w:rsidR="001A6C8B" w:rsidRPr="00C347AD">
        <w:fldChar w:fldCharType="end"/>
      </w:r>
      <w:r w:rsidR="000C2B16" w:rsidRPr="00C347AD">
        <w:t>. There is opportunity, therefore</w:t>
      </w:r>
      <w:r w:rsidR="00C76C4E" w:rsidRPr="00C347AD">
        <w:t>,</w:t>
      </w:r>
      <w:r w:rsidR="000C2B16" w:rsidRPr="00C347AD">
        <w:t xml:space="preserve"> to promote means of teaching UDL</w:t>
      </w:r>
      <w:r w:rsidR="00C147FF" w:rsidRPr="00C347AD">
        <w:t xml:space="preserve"> to preservice teachers, and to begin examining methods of doing so effectively. That is what this study is designed to contribute. </w:t>
      </w:r>
    </w:p>
    <w:p w14:paraId="30281819" w14:textId="6FB5B3C5" w:rsidR="007C4926" w:rsidRPr="00C347AD" w:rsidRDefault="007C4926" w:rsidP="00FE779B">
      <w:pPr>
        <w:pStyle w:val="Heading2"/>
      </w:pPr>
      <w:bookmarkStart w:id="11" w:name="_Toc466104350"/>
      <w:bookmarkStart w:id="12" w:name="_Toc470600328"/>
      <w:bookmarkStart w:id="13" w:name="_Toc471890436"/>
      <w:r w:rsidRPr="00C347AD">
        <w:t>Conceptual Underpinnings for the Study</w:t>
      </w:r>
      <w:bookmarkEnd w:id="11"/>
      <w:bookmarkEnd w:id="12"/>
      <w:bookmarkEnd w:id="13"/>
      <w:r w:rsidRPr="00C347AD">
        <w:t xml:space="preserve"> </w:t>
      </w:r>
    </w:p>
    <w:p w14:paraId="3B3EAE92" w14:textId="68CDF85F" w:rsidR="009E29FC" w:rsidRPr="00C347AD" w:rsidRDefault="00180AAA" w:rsidP="008D0ADD">
      <w:pPr>
        <w:pStyle w:val="Caption"/>
        <w:ind w:firstLine="720"/>
        <w:rPr>
          <w:i/>
        </w:rPr>
      </w:pPr>
      <w:r w:rsidRPr="00C347AD">
        <w:t xml:space="preserve">In addition to social context and addressing a practical need in U.S. public education, this study is also couched in theoretical context. </w:t>
      </w:r>
      <w:r w:rsidR="004F7C23" w:rsidRPr="00C347AD">
        <w:t xml:space="preserve">In this study, </w:t>
      </w:r>
      <w:r w:rsidR="00D83BC4" w:rsidRPr="00C347AD">
        <w:t xml:space="preserve">the independent variable that is to be explored relates to the effect of modeling on the development of preservice teachers’ attitudes, efficacy, and skill. </w:t>
      </w:r>
      <w:r w:rsidR="00CF603F" w:rsidRPr="00C347AD">
        <w:t xml:space="preserve">Such a variable, as with all researched variables, stems from a theoretical position: in this case, </w:t>
      </w:r>
      <w:r w:rsidR="00BA6B19" w:rsidRPr="00C347AD">
        <w:t>social cognitive theory</w:t>
      </w:r>
      <w:r w:rsidR="00814E71" w:rsidRPr="00C347AD">
        <w:t xml:space="preserve"> </w:t>
      </w:r>
      <w:r w:rsidR="00814E71" w:rsidRPr="00C347AD">
        <w:fldChar w:fldCharType="begin"/>
      </w:r>
      <w:r w:rsidR="00F7126F" w:rsidRPr="00C347AD">
        <w:instrText xml:space="preserve"> ADDIN ZOTERO_ITEM CSL_CITATION {"citationID":"20vgrsvr8o","properties":{"formattedCitation":"(Albert Bandura, 1977, 1986)","plainCitation":"(Albert Bandura, 1977, 1986)"},"citationItems":[{"id":1074,"uris":["http://zotero.org/users/2098925/items/XNEINCME"],"uri":["http://zotero.org/users/2098925/items/XNEINCME"],"itemData":{"id":1074,"type":"book","title":"Social learning theory","publisher":"Prentice Hall","publisher-place":"Englewood Cliffs, NJ","number-of-pages":"viii+247","source":"Primo","event-place":"Englewood Cliffs, NJ","abstract":"Includes indexes., Bibliography: p. 216-233.","ISBN":"0-13-816751-6","call-number":"LB1084","language":"eng","author":[{"family":"Bandura","given":"Albert"}],"issued":{"date-parts":[["1977"]]}}},{"id":534,"uris":["http://zotero.org/users/2098925/items/G7PAN43E"],"uri":["http://zotero.org/users/2098925/items/G7PAN43E"],"itemData":{"id":534,"type":"book","title":"Social foundations of thought and action: a social cognitive theory","publisher":"Prentice-Hall","number-of-pages":"642","source":"Google Books","abstract":"Presents a comprehensive theory of human motivation and action from a social-cognitive perspective. This insightful text addresses the prominent roles played by cognitive, vicarious, self-regulatory, and self-reflective processes in psychosocial functioning; emphasizes reciprocal causation through the interplay of cognitive, behavioral, and environmental factors; and systematically applies the basic principles of this theory to personal and social change.","shortTitle":"Social foundations of thought and action","language":"en","author":[{"family":"Bandura","given":"Albert"}],"issued":{"date-parts":[["1986"]]}}}],"schema":"https://github.com/citation-style-language/schema/raw/master/csl-citation.json"} </w:instrText>
      </w:r>
      <w:r w:rsidR="00814E71" w:rsidRPr="00C347AD">
        <w:fldChar w:fldCharType="separate"/>
      </w:r>
      <w:r w:rsidR="001D2145" w:rsidRPr="00C347AD">
        <w:rPr>
          <w:noProof/>
        </w:rPr>
        <w:t xml:space="preserve">(Bandura, 1977, </w:t>
      </w:r>
      <w:r w:rsidR="00235CF6" w:rsidRPr="00C347AD">
        <w:rPr>
          <w:noProof/>
        </w:rPr>
        <w:t xml:space="preserve">1978, </w:t>
      </w:r>
      <w:r w:rsidR="001D2145" w:rsidRPr="00C347AD">
        <w:rPr>
          <w:noProof/>
        </w:rPr>
        <w:t>1986)</w:t>
      </w:r>
      <w:r w:rsidR="00814E71" w:rsidRPr="00C347AD">
        <w:fldChar w:fldCharType="end"/>
      </w:r>
      <w:r w:rsidR="00235CF6" w:rsidRPr="00C347AD">
        <w:rPr>
          <w:i/>
        </w:rPr>
        <w:t>.</w:t>
      </w:r>
      <w:r w:rsidR="00E34536" w:rsidRPr="00C347AD">
        <w:rPr>
          <w:i/>
        </w:rPr>
        <w:t xml:space="preserve"> </w:t>
      </w:r>
      <w:r w:rsidR="00235CF6" w:rsidRPr="00C347AD">
        <w:t>Meanwhile, t</w:t>
      </w:r>
      <w:r w:rsidR="00146B18" w:rsidRPr="00C347AD">
        <w:t>he research model is</w:t>
      </w:r>
      <w:r w:rsidR="00235CF6" w:rsidRPr="00C347AD">
        <w:t xml:space="preserve"> further supported by the theory of planner b</w:t>
      </w:r>
      <w:r w:rsidR="00E34536" w:rsidRPr="00C347AD">
        <w:t>ehavior</w:t>
      </w:r>
      <w:r w:rsidR="009F0D66" w:rsidRPr="00C347AD">
        <w:rPr>
          <w:i/>
        </w:rPr>
        <w:t xml:space="preserve"> </w:t>
      </w:r>
      <w:r w:rsidR="009F0D66" w:rsidRPr="00C347AD">
        <w:fldChar w:fldCharType="begin"/>
      </w:r>
      <w:r w:rsidR="00F7126F" w:rsidRPr="00C347AD">
        <w:instrText xml:space="preserve"> ADDIN ZOTERO_ITEM CSL_CITATION {"citationID":"1c0a67epm6","properties":{"formattedCitation":"(Ajzen, 1985, 1991b)","plainCitation":"(Ajzen, 1985, 1991b)"},"citationItems":[{"id":1078,"uris":["http://zotero.org/users/2098925/items/XX4EGJ73"],"uri":["http://zotero.org/users/2098925/items/XX4EGJ73"],"itemData":{"id":1078,"type":"book","title":"From intentions to actions: A theory of planned behavior","publisher":"Springer","ISBN":"3-642-69748-8","author":[{"family":"Ajzen","given":"Icek"}],"issued":{"date-parts":[["1985"]]}}},{"id":730,"uris":["http://zotero.org/users/2098925/items/MTDBPAS4"],"uri":["http://zotero.org/users/2098925/items/MTDBPAS4"],"itemData":{"id":730,"type":"article-journal","title":"The theory of planned behavior","container-title":"Organizational behavior and human decision processes","page":"179-211","volume":"50","issue":"2","ISSN":"0749-5978","journalAbbreviation":"Organizational behavior and human decision processes","author":[{"family":"Ajzen","given":"Icek"}],"issued":{"date-parts":[["1991"]]}}}],"schema":"https://github.com/citation-style-language/schema/raw/master/csl-citation.json"} </w:instrText>
      </w:r>
      <w:r w:rsidR="009F0D66" w:rsidRPr="00C347AD">
        <w:fldChar w:fldCharType="separate"/>
      </w:r>
      <w:r w:rsidR="006C2B74" w:rsidRPr="00C347AD">
        <w:t>(Ajzen, 1985, 1991b)</w:t>
      </w:r>
      <w:r w:rsidR="009F0D66" w:rsidRPr="00C347AD">
        <w:fldChar w:fldCharType="end"/>
      </w:r>
      <w:r w:rsidR="009E29FC" w:rsidRPr="00C347AD">
        <w:rPr>
          <w:i/>
        </w:rPr>
        <w:t>.</w:t>
      </w:r>
      <w:r w:rsidR="00E34536" w:rsidRPr="00C347AD">
        <w:rPr>
          <w:i/>
        </w:rPr>
        <w:t xml:space="preserve"> </w:t>
      </w:r>
    </w:p>
    <w:p w14:paraId="1E129242" w14:textId="5F751A9A" w:rsidR="008C1F99" w:rsidRPr="00C347AD" w:rsidRDefault="00FE779B" w:rsidP="008D0ADD">
      <w:pPr>
        <w:pStyle w:val="Caption"/>
        <w:ind w:firstLine="720"/>
      </w:pPr>
      <w:r w:rsidRPr="00C347AD">
        <w:rPr>
          <w:b/>
        </w:rPr>
        <w:t>Social cognitive t</w:t>
      </w:r>
      <w:r w:rsidR="00BD36A1" w:rsidRPr="00C347AD">
        <w:rPr>
          <w:b/>
        </w:rPr>
        <w:t>heory</w:t>
      </w:r>
      <w:r w:rsidR="009E29FC" w:rsidRPr="00C347AD">
        <w:rPr>
          <w:b/>
        </w:rPr>
        <w:t xml:space="preserve">. </w:t>
      </w:r>
      <w:bookmarkStart w:id="14" w:name="OLE_LINK7"/>
      <w:bookmarkStart w:id="15" w:name="OLE_LINK8"/>
      <w:r w:rsidR="00A81800" w:rsidRPr="00C347AD">
        <w:t>Bandura</w:t>
      </w:r>
      <w:r w:rsidR="00DE7A25" w:rsidRPr="00C347AD">
        <w:t>’s</w:t>
      </w:r>
      <w:r w:rsidR="00A81800" w:rsidRPr="00C347AD">
        <w:t xml:space="preserve"> </w:t>
      </w:r>
      <w:r w:rsidR="00A81800" w:rsidRPr="00C347AD">
        <w:fldChar w:fldCharType="begin"/>
      </w:r>
      <w:r w:rsidR="00F7126F" w:rsidRPr="00C347AD">
        <w:instrText xml:space="preserve"> ADDIN ZOTERO_ITEM CSL_CITATION {"citationID":"bpe7f60cc","properties":{"formattedCitation":"(Bandura, 1977, 1986)","plainCitation":"(Bandura, 1977, 1986)","dontUpdate":true},"citationItems":[{"id":1074,"uris":["http://zotero.org/users/2098925/items/XNEINCME"],"uri":["http://zotero.org/users/2098925/items/XNEINCME"],"itemData":{"id":1074,"type":"book","title":"Social learning theory","publisher":"Prentice Hall","publisher-place":"Englewood Cliffs, NJ","number-of-pages":"viii+247","source":"Primo","event-place":"Englewood Cliffs, NJ","abstract":"Includes indexes., Bibliography: p. 216-233.","ISBN":"0-13-816751-6","call-number":"LB1084","language":"eng","author":[{"family":"Bandura","given":"Albert"}],"issued":{"date-parts":[["1977"]]}}},{"id":534,"uris":["http://zotero.org/users/2098925/items/G7PAN43E"],"uri":["http://zotero.org/users/2098925/items/G7PAN43E"],"itemData":{"id":534,"type":"book","title":"Social foundations of thought and action: a social cognitive theory","publisher":"Prentice-Hall","number-of-pages":"642","source":"Google Books","abstract":"Presents a comprehensive theory of human motivation and action from a social-cognitive perspective. This insightful text addresses the prominent roles played by cognitive, vicarious, self-regulatory, and self-reflective processes in psychosocial functioning; emphasizes reciprocal causation through the interplay of cognitive, behavioral, and environmental factors; and systematically applies the basic principles of this theory to personal and social change.","shortTitle":"Social foundations of thought and action","language":"en","author":[{"family":"Bandura","given":"Albert"}],"issued":{"date-parts":[["1986"]]}}}],"schema":"https://github.com/citation-style-language/schema/raw/master/csl-citation.json"} </w:instrText>
      </w:r>
      <w:r w:rsidR="00A81800" w:rsidRPr="00C347AD">
        <w:fldChar w:fldCharType="separate"/>
      </w:r>
      <w:r w:rsidR="00DE7A25" w:rsidRPr="00C347AD">
        <w:rPr>
          <w:noProof/>
        </w:rPr>
        <w:t>(1977,</w:t>
      </w:r>
      <w:r w:rsidR="00D371CD" w:rsidRPr="00C347AD">
        <w:rPr>
          <w:noProof/>
        </w:rPr>
        <w:t xml:space="preserve"> 1978,</w:t>
      </w:r>
      <w:r w:rsidR="00DE7A25" w:rsidRPr="00C347AD">
        <w:rPr>
          <w:noProof/>
        </w:rPr>
        <w:t xml:space="preserve"> 1986)</w:t>
      </w:r>
      <w:r w:rsidR="00A81800" w:rsidRPr="00C347AD">
        <w:fldChar w:fldCharType="end"/>
      </w:r>
      <w:r w:rsidR="004B6D5C" w:rsidRPr="00C347AD">
        <w:t xml:space="preserve"> </w:t>
      </w:r>
      <w:r w:rsidR="00DE7A25" w:rsidRPr="00C347AD">
        <w:t xml:space="preserve">theory </w:t>
      </w:r>
      <w:r w:rsidR="00FC72FC" w:rsidRPr="00C347AD">
        <w:t xml:space="preserve">articulates the idea that </w:t>
      </w:r>
      <w:r w:rsidR="00183250" w:rsidRPr="00C347AD">
        <w:t>learning occurs</w:t>
      </w:r>
      <w:r w:rsidR="00B91A57" w:rsidRPr="00C347AD">
        <w:t>, in part,</w:t>
      </w:r>
      <w:r w:rsidR="00183250" w:rsidRPr="00C347AD">
        <w:t xml:space="preserve"> through </w:t>
      </w:r>
      <w:r w:rsidR="00001BE7" w:rsidRPr="00C347AD">
        <w:t xml:space="preserve">behavioral experience and in part through </w:t>
      </w:r>
      <w:r w:rsidR="00183250" w:rsidRPr="00C347AD">
        <w:t>observation of others.</w:t>
      </w:r>
      <w:bookmarkEnd w:id="14"/>
      <w:bookmarkEnd w:id="15"/>
      <w:r w:rsidR="00183250" w:rsidRPr="00C347AD">
        <w:t xml:space="preserve"> </w:t>
      </w:r>
      <w:r w:rsidR="00001BE7" w:rsidRPr="00C347AD">
        <w:t>On the one hand, Bandura’s (1978) model of reci</w:t>
      </w:r>
      <w:r w:rsidR="000F4D0C" w:rsidRPr="00C347AD">
        <w:t>procal determinism</w:t>
      </w:r>
      <w:r w:rsidR="00001BE7" w:rsidRPr="00C347AD">
        <w:t xml:space="preserve"> suggests that learning is</w:t>
      </w:r>
      <w:r w:rsidR="009B35BE" w:rsidRPr="00C347AD">
        <w:t xml:space="preserve"> a</w:t>
      </w:r>
      <w:r w:rsidR="00AC707B" w:rsidRPr="00C347AD">
        <w:t>ffected by the</w:t>
      </w:r>
      <w:r w:rsidR="00BD36A1" w:rsidRPr="00C347AD">
        <w:t xml:space="preserve"> reciprocal</w:t>
      </w:r>
      <w:r w:rsidR="00AC707B" w:rsidRPr="00C347AD">
        <w:t xml:space="preserve"> inter</w:t>
      </w:r>
      <w:r w:rsidR="00D65032" w:rsidRPr="00C347AD">
        <w:t>relation</w:t>
      </w:r>
      <w:r w:rsidR="00AC707B" w:rsidRPr="00C347AD">
        <w:t xml:space="preserve">s among </w:t>
      </w:r>
      <w:r w:rsidR="00AC707B" w:rsidRPr="00C347AD">
        <w:lastRenderedPageBreak/>
        <w:t xml:space="preserve">personal </w:t>
      </w:r>
      <w:r w:rsidR="00BD36A1" w:rsidRPr="00C347AD">
        <w:t xml:space="preserve">cognitive </w:t>
      </w:r>
      <w:r w:rsidR="00AC707B" w:rsidRPr="00C347AD">
        <w:t>factors (</w:t>
      </w:r>
      <w:r w:rsidR="00B323A5" w:rsidRPr="00C347AD">
        <w:t>e.g.,</w:t>
      </w:r>
      <w:r w:rsidR="00AC707B" w:rsidRPr="00C347AD">
        <w:t xml:space="preserve"> </w:t>
      </w:r>
      <w:r w:rsidR="00202599" w:rsidRPr="00C347AD">
        <w:t>self-efficacy</w:t>
      </w:r>
      <w:r w:rsidR="00376AD9" w:rsidRPr="00C347AD">
        <w:t>, will, attitudes and beliefs</w:t>
      </w:r>
      <w:r w:rsidR="00202599" w:rsidRPr="00C347AD">
        <w:t xml:space="preserve">), behavior </w:t>
      </w:r>
      <w:r w:rsidR="009F479B" w:rsidRPr="00C347AD">
        <w:t>(</w:t>
      </w:r>
      <w:r w:rsidR="00BD36A1" w:rsidRPr="00C347AD">
        <w:t>i.e., what one actually does), and environment</w:t>
      </w:r>
      <w:r w:rsidR="009F479B" w:rsidRPr="00C347AD">
        <w:t xml:space="preserve"> (</w:t>
      </w:r>
      <w:r w:rsidR="00B323A5" w:rsidRPr="00C347AD">
        <w:t>e.g.,</w:t>
      </w:r>
      <w:r w:rsidR="009F479B" w:rsidRPr="00C347AD">
        <w:t xml:space="preserve"> the </w:t>
      </w:r>
      <w:r w:rsidR="00376AD9" w:rsidRPr="00C347AD">
        <w:t xml:space="preserve">circumstances of a situation </w:t>
      </w:r>
      <w:r w:rsidR="00BD36A1" w:rsidRPr="00C347AD">
        <w:t>and the reinforcement that emerges from the environment in response to one’s behavior</w:t>
      </w:r>
      <w:r w:rsidR="005E5108" w:rsidRPr="00C347AD">
        <w:t xml:space="preserve"> and cognitive perspectives</w:t>
      </w:r>
      <w:r w:rsidR="001D6AB5" w:rsidRPr="00C347AD">
        <w:t>).</w:t>
      </w:r>
      <w:r w:rsidR="005E5108" w:rsidRPr="00C347AD">
        <w:t xml:space="preserve"> </w:t>
      </w:r>
      <w:bookmarkStart w:id="16" w:name="OLE_LINK11"/>
      <w:bookmarkStart w:id="17" w:name="OLE_LINK12"/>
      <w:r w:rsidR="00001BE7" w:rsidRPr="00C347AD">
        <w:t>Bandura</w:t>
      </w:r>
      <w:r w:rsidR="00AB0C64" w:rsidRPr="00C347AD">
        <w:t xml:space="preserve"> thus seems to promote </w:t>
      </w:r>
      <w:r w:rsidR="00001BE7" w:rsidRPr="00C347AD">
        <w:t>the importance of learn</w:t>
      </w:r>
      <w:r w:rsidR="00AB0C64" w:rsidRPr="00C347AD">
        <w:t>ing by doing. In context of teacher preparation</w:t>
      </w:r>
      <w:r w:rsidR="00001BE7" w:rsidRPr="00C347AD">
        <w:t xml:space="preserve">, this may be taken to imply that teachers will learn most about teaching </w:t>
      </w:r>
      <w:r w:rsidR="00001BE7" w:rsidRPr="00C347AD">
        <w:rPr>
          <w:i/>
        </w:rPr>
        <w:t>by teaching</w:t>
      </w:r>
      <w:r w:rsidR="00AB0C64" w:rsidRPr="00C347AD">
        <w:t xml:space="preserve"> (behavior), which is both influenced by</w:t>
      </w:r>
      <w:r w:rsidR="00235CF6" w:rsidRPr="00C347AD">
        <w:softHyphen/>
        <w:t>–</w:t>
      </w:r>
      <w:r w:rsidR="00AB0C64" w:rsidRPr="00C347AD">
        <w:t xml:space="preserve"> and reciprocally influences</w:t>
      </w:r>
      <w:r w:rsidR="00235CF6" w:rsidRPr="00C347AD">
        <w:t>–</w:t>
      </w:r>
      <w:r w:rsidR="00AB0C64" w:rsidRPr="00C347AD">
        <w:t xml:space="preserve"> their teaching environment and their cognitive positions in relation to aspects of teaching. </w:t>
      </w:r>
      <w:r w:rsidR="00235CF6" w:rsidRPr="00C347AD">
        <w:t>Such an application of Bandrua’s theory</w:t>
      </w:r>
      <w:r w:rsidR="00001BE7" w:rsidRPr="00C347AD">
        <w:t xml:space="preserve"> </w:t>
      </w:r>
      <w:r w:rsidR="00AB0C64" w:rsidRPr="00C347AD">
        <w:t>could be taken to</w:t>
      </w:r>
      <w:r w:rsidR="00001BE7" w:rsidRPr="00C347AD">
        <w:t xml:space="preserve"> further imply</w:t>
      </w:r>
      <w:r w:rsidR="00C76C4E" w:rsidRPr="00C347AD">
        <w:t xml:space="preserve"> a</w:t>
      </w:r>
      <w:r w:rsidR="00001BE7" w:rsidRPr="00C347AD">
        <w:t xml:space="preserve"> limitation of the effect that University-based teacher education may ha</w:t>
      </w:r>
      <w:r w:rsidR="00235CF6" w:rsidRPr="00C347AD">
        <w:t>ve on preparing future teachers given that</w:t>
      </w:r>
      <w:r w:rsidR="00AB0C64" w:rsidRPr="00C347AD">
        <w:t xml:space="preserve"> such preparation tends to occur largely before extensive teaching experience occurs.</w:t>
      </w:r>
    </w:p>
    <w:bookmarkEnd w:id="16"/>
    <w:bookmarkEnd w:id="17"/>
    <w:p w14:paraId="12986B94" w14:textId="1548779F" w:rsidR="005A34EB" w:rsidRPr="00C347AD" w:rsidRDefault="00381C31" w:rsidP="008D0ADD">
      <w:pPr>
        <w:pStyle w:val="Caption"/>
        <w:ind w:firstLine="720"/>
      </w:pPr>
      <w:r w:rsidRPr="00C347AD">
        <w:t xml:space="preserve">However, inasmuch as </w:t>
      </w:r>
      <w:r w:rsidRPr="00C347AD">
        <w:fldChar w:fldCharType="begin"/>
      </w:r>
      <w:r w:rsidR="00F7126F" w:rsidRPr="00C347AD">
        <w:instrText xml:space="preserve"> ADDIN ZOTERO_ITEM CSL_CITATION {"citationID":"27slt3i71t","properties":{"formattedCitation":"(Albert Bandura, 1978)","plainCitation":"(Albert Bandura, 1978)"},"citationItems":[{"id":171,"uris":["http://zotero.org/users/2098925/items/6I3CG4NN"],"uri":["http://zotero.org/users/2098925/items/6I3CG4NN"],"itemData":{"id":171,"type":"article-journal","title":"The self system in reciprocal determinism.","container-title":"American psychologist","page":"344","volume":"33","issue":"4","source":"Google Scholar","author":[{"family":"Bandura","given":"Albert"}],"issued":{"date-parts":[["1978"]]}}}],"schema":"https://github.com/citation-style-language/schema/raw/master/csl-citation.json"} </w:instrText>
      </w:r>
      <w:r w:rsidRPr="00C347AD">
        <w:fldChar w:fldCharType="separate"/>
      </w:r>
      <w:r w:rsidRPr="00C347AD">
        <w:rPr>
          <w:noProof/>
        </w:rPr>
        <w:t>Bandura's (1978)</w:t>
      </w:r>
      <w:r w:rsidRPr="00C347AD">
        <w:fldChar w:fldCharType="end"/>
      </w:r>
      <w:r w:rsidRPr="00C347AD">
        <w:t xml:space="preserve"> </w:t>
      </w:r>
      <w:r w:rsidR="00B91A57" w:rsidRPr="00C347AD">
        <w:t>model of recipr</w:t>
      </w:r>
      <w:r w:rsidR="00255A1E" w:rsidRPr="00C347AD">
        <w:t xml:space="preserve">ocal determination </w:t>
      </w:r>
      <w:r w:rsidR="00AB0C64" w:rsidRPr="00C347AD">
        <w:t>provides</w:t>
      </w:r>
      <w:r w:rsidR="0041688A" w:rsidRPr="00C347AD">
        <w:t xml:space="preserve"> emphasis also on the effect of personal cognitive positions on one</w:t>
      </w:r>
      <w:r w:rsidR="00C76C4E" w:rsidRPr="00C347AD">
        <w:t>’</w:t>
      </w:r>
      <w:r w:rsidR="0041688A" w:rsidRPr="00C347AD">
        <w:t>s environment and behavior, this theory may still be taken to suggest that attempts to develop desired personal cognitive positions in teacher preparation is worthwhile</w:t>
      </w:r>
      <w:r w:rsidR="00066345" w:rsidRPr="00C347AD">
        <w:t xml:space="preserve"> and can have instrumental effect on both individual teachers’ practice and in shaping schools in which teachers will later be employed</w:t>
      </w:r>
      <w:r w:rsidRPr="00C347AD">
        <w:t>.</w:t>
      </w:r>
      <w:r w:rsidR="00066345" w:rsidRPr="00C347AD">
        <w:t xml:space="preserve"> Indeed, I </w:t>
      </w:r>
      <w:r w:rsidR="00235CF6" w:rsidRPr="00C347AD">
        <w:t>posit</w:t>
      </w:r>
      <w:r w:rsidR="00066345" w:rsidRPr="00C347AD">
        <w:t xml:space="preserve"> that </w:t>
      </w:r>
      <w:r w:rsidR="00235CF6" w:rsidRPr="00C347AD">
        <w:t>through</w:t>
      </w:r>
      <w:r w:rsidR="00066345" w:rsidRPr="00C347AD">
        <w:t xml:space="preserve"> the </w:t>
      </w:r>
      <w:r w:rsidR="00235CF6" w:rsidRPr="00C347AD">
        <w:t>lens</w:t>
      </w:r>
      <w:r w:rsidR="00066345" w:rsidRPr="00C347AD">
        <w:t xml:space="preserve"> of </w:t>
      </w:r>
      <w:r w:rsidR="00BA6B19" w:rsidRPr="00C347AD">
        <w:t>social cognitive theory</w:t>
      </w:r>
      <w:r w:rsidR="00DB7A50" w:rsidRPr="00C347AD">
        <w:t>, the development of preservice teachers’ cognitive positions may be a central aspect of teacher preparation.</w:t>
      </w:r>
      <w:r w:rsidR="001D6AB5" w:rsidRPr="00C347AD">
        <w:t xml:space="preserve"> </w:t>
      </w:r>
    </w:p>
    <w:p w14:paraId="23FFC21A" w14:textId="77777777" w:rsidR="00235CF6" w:rsidRPr="00C347AD" w:rsidRDefault="00091BD7" w:rsidP="00235CF6">
      <w:pPr>
        <w:pStyle w:val="Caption"/>
        <w:ind w:firstLine="720"/>
      </w:pPr>
      <w:bookmarkStart w:id="18" w:name="OLE_LINK9"/>
      <w:bookmarkStart w:id="19" w:name="OLE_LINK10"/>
      <w:r w:rsidRPr="00C347AD">
        <w:t xml:space="preserve">Moreover, </w:t>
      </w:r>
      <w:r w:rsidR="005A34EB" w:rsidRPr="00C347AD">
        <w:t xml:space="preserve">even as Bandura (1978) stresses the utility of one’s own actions as a source of knowledge, he also recognizes that, as is generally the case with preservice </w:t>
      </w:r>
      <w:r w:rsidR="005A34EB" w:rsidRPr="00C347AD">
        <w:lastRenderedPageBreak/>
        <w:t>teachers, “Results of one’s own actions are no</w:t>
      </w:r>
      <w:r w:rsidR="00167478" w:rsidRPr="00C347AD">
        <w:t>t the sole source of knowledge” (</w:t>
      </w:r>
      <w:r w:rsidR="00235CF6" w:rsidRPr="00C347AD">
        <w:t>p.347). H</w:t>
      </w:r>
      <w:r w:rsidR="00167478" w:rsidRPr="00C347AD">
        <w:t>e goes on to say, “</w:t>
      </w:r>
      <w:r w:rsidR="005A34EB" w:rsidRPr="00C347AD">
        <w:t>Information about the nature of things is frequently extracted from vicarious experience.</w:t>
      </w:r>
      <w:r w:rsidR="00A71BE8" w:rsidRPr="00C347AD">
        <w:t xml:space="preserve">.. [through the] observation of the effects produced by somebody else’s actions” (pp. 347-348). </w:t>
      </w:r>
      <w:r w:rsidR="005A34EB" w:rsidRPr="00C347AD">
        <w:t xml:space="preserve"> </w:t>
      </w:r>
      <w:r w:rsidR="000361C6" w:rsidRPr="00C347AD">
        <w:t>Elsewhere</w:t>
      </w:r>
      <w:r w:rsidR="00235CF6" w:rsidRPr="00C347AD">
        <w:t>, Bandura (</w:t>
      </w:r>
      <w:r w:rsidR="00167478" w:rsidRPr="00C347AD">
        <w:t xml:space="preserve">1971) </w:t>
      </w:r>
      <w:r w:rsidR="00E247F0" w:rsidRPr="00C347AD">
        <w:t xml:space="preserve">emphasizes </w:t>
      </w:r>
      <w:r w:rsidR="00167478" w:rsidRPr="00C347AD">
        <w:t xml:space="preserve">that learning by doing can be both dangerous and laborious, and thus </w:t>
      </w:r>
      <w:r w:rsidR="00E247F0" w:rsidRPr="00C347AD">
        <w:t xml:space="preserve">underscores </w:t>
      </w:r>
      <w:r w:rsidR="00167478" w:rsidRPr="00C347AD">
        <w:t xml:space="preserve">the significance and value of learning by watching </w:t>
      </w:r>
      <w:r w:rsidR="00167478" w:rsidRPr="00C347AD">
        <w:rPr>
          <w:i/>
        </w:rPr>
        <w:t>others</w:t>
      </w:r>
      <w:r w:rsidR="00167478" w:rsidRPr="00C347AD">
        <w:t xml:space="preserve"> perform behaviors and observing or experiencing consequences therefrom.</w:t>
      </w:r>
      <w:r w:rsidR="000361C6" w:rsidRPr="00C347AD">
        <w:t xml:space="preserve"> </w:t>
      </w:r>
      <w:r w:rsidR="00AC2ADD" w:rsidRPr="00C347AD">
        <w:t>In fact, he goes as far as suggesti</w:t>
      </w:r>
      <w:r w:rsidR="00885240" w:rsidRPr="00C347AD">
        <w:t>ng that “some complex behaviors... can be produced only through the influence of models” (p. 5).</w:t>
      </w:r>
      <w:r w:rsidR="00E247F0" w:rsidRPr="00C347AD">
        <w:t xml:space="preserve"> Given that teachers are expected to perform as professionals from their first </w:t>
      </w:r>
      <w:r w:rsidR="00235CF6" w:rsidRPr="00C347AD">
        <w:t>week</w:t>
      </w:r>
      <w:r w:rsidR="00E247F0" w:rsidRPr="00C347AD">
        <w:t xml:space="preserve"> of teaching, I believe that learning from observation is an important aspect of teacher preparation. </w:t>
      </w:r>
    </w:p>
    <w:p w14:paraId="137E9DD4" w14:textId="5A533747" w:rsidR="00775EB2" w:rsidRPr="00C347AD" w:rsidRDefault="00626EEA" w:rsidP="00235CF6">
      <w:pPr>
        <w:pStyle w:val="Caption"/>
        <w:ind w:firstLine="720"/>
      </w:pPr>
      <w:r w:rsidRPr="00C347AD">
        <w:t xml:space="preserve">In the context of teacher education, </w:t>
      </w:r>
      <w:r w:rsidR="00235CF6" w:rsidRPr="00C347AD">
        <w:t>application of Bandura’s (1971) comments on the value of observing others</w:t>
      </w:r>
      <w:r w:rsidRPr="00C347AD">
        <w:t xml:space="preserve"> may</w:t>
      </w:r>
      <w:r w:rsidR="00235CF6" w:rsidRPr="00C347AD">
        <w:t xml:space="preserve"> be taken to</w:t>
      </w:r>
      <w:r w:rsidRPr="00C347AD">
        <w:t xml:space="preserve"> suggest that while preservice teachers are not yet teaching, they are nevertheless being taught by someone who </w:t>
      </w:r>
      <w:r w:rsidRPr="00C347AD">
        <w:rPr>
          <w:i/>
        </w:rPr>
        <w:t xml:space="preserve">is </w:t>
      </w:r>
      <w:r w:rsidRPr="00C347AD">
        <w:t>teaching and thus</w:t>
      </w:r>
      <w:r w:rsidR="00803DEB" w:rsidRPr="00C347AD">
        <w:t xml:space="preserve"> </w:t>
      </w:r>
      <w:r w:rsidR="00235CF6" w:rsidRPr="00C347AD">
        <w:t xml:space="preserve">have the opportunity to </w:t>
      </w:r>
      <w:r w:rsidRPr="00C347AD">
        <w:t xml:space="preserve">learn from the vicarious experience of being pupils. </w:t>
      </w:r>
      <w:r w:rsidR="00DB7A50" w:rsidRPr="00C347AD">
        <w:t xml:space="preserve">Thus, </w:t>
      </w:r>
      <w:r w:rsidR="00BA6B19" w:rsidRPr="00C347AD">
        <w:t>social cognitive theory</w:t>
      </w:r>
      <w:r w:rsidR="00091BD7" w:rsidRPr="00C347AD">
        <w:t xml:space="preserve"> (SCT)</w:t>
      </w:r>
      <w:r w:rsidR="00DB7A50" w:rsidRPr="00C347AD">
        <w:t xml:space="preserve"> is useful for this study in providing a theoretical justification for the significance</w:t>
      </w:r>
      <w:r w:rsidR="00235CF6" w:rsidRPr="00C347AD">
        <w:t xml:space="preserve"> </w:t>
      </w:r>
      <w:r w:rsidR="00DB7A50" w:rsidRPr="00C347AD">
        <w:t>of some of the dependent variables herein explored (</w:t>
      </w:r>
      <w:r w:rsidR="006E3241" w:rsidRPr="00C347AD">
        <w:t xml:space="preserve">i.e., </w:t>
      </w:r>
      <w:r w:rsidR="00DB7A50" w:rsidRPr="00C347AD">
        <w:t xml:space="preserve">teacher’s sense of efficacy and attitudes regarding inclusion), which may well affect teacher behavior. </w:t>
      </w:r>
      <w:r w:rsidR="00235CF6" w:rsidRPr="00C347AD">
        <w:t>More directly</w:t>
      </w:r>
      <w:r w:rsidR="00091BD7" w:rsidRPr="00C347AD">
        <w:t>, however, SCT is useful for guiding the independen</w:t>
      </w:r>
      <w:r w:rsidR="00235CF6" w:rsidRPr="00C347AD">
        <w:t>t variable of faculty modeling given that</w:t>
      </w:r>
      <w:r w:rsidR="00091BD7" w:rsidRPr="00C347AD">
        <w:t xml:space="preserve"> modeling</w:t>
      </w:r>
      <w:r w:rsidR="00E313F9" w:rsidRPr="00C347AD">
        <w:t>, when done intentionally and explicitly (</w:t>
      </w:r>
      <w:r w:rsidR="00E313F9" w:rsidRPr="00C347AD">
        <w:fldChar w:fldCharType="begin"/>
      </w:r>
      <w:r w:rsidR="00F7126F" w:rsidRPr="00C347AD">
        <w:instrText xml:space="preserve"> ADDIN ZOTERO_ITEM CSL_CITATION {"citationID":"1lc5dq7vgi","properties":{"formattedCitation":"(Lunenberg, Korthagen, &amp; Swennen, 2007)","plainCitation":"(Lunenberg, Korthagen, &amp; Swennen, 2007)"},"citationItems":[{"id":669,"uris":["http://zotero.org/users/2098925/items/JZ76C86M"],"uri":["http://zotero.org/users/2098925/items/JZ76C86M"],"itemData":{"id":669,"type":"article-journal","title":"The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Education","author":[{"family":"Lunenberg","given":"Mieke"},{"family":"Korthagen","given":"Fred"},{"family":"Swennen","given":"Anja"}],"issued":{"date-parts":[["2007",7]]}}}],"schema":"https://github.com/citation-style-language/schema/raw/master/csl-citation.json"} </w:instrText>
      </w:r>
      <w:r w:rsidR="00E313F9" w:rsidRPr="00C347AD">
        <w:fldChar w:fldCharType="separate"/>
      </w:r>
      <w:r w:rsidR="00E313F9" w:rsidRPr="00C347AD">
        <w:rPr>
          <w:noProof/>
        </w:rPr>
        <w:t>Lunenberg, Korthagen, &amp; Swennen, 2007)</w:t>
      </w:r>
      <w:r w:rsidR="00E313F9" w:rsidRPr="00C347AD">
        <w:fldChar w:fldCharType="end"/>
      </w:r>
      <w:r w:rsidR="00235CF6" w:rsidRPr="00C347AD">
        <w:t>,</w:t>
      </w:r>
      <w:r w:rsidR="00E313F9" w:rsidRPr="00C347AD">
        <w:t xml:space="preserve"> may provide the vicarious experience necessary to affect preservice teacher </w:t>
      </w:r>
      <w:r w:rsidR="00C17955" w:rsidRPr="00C347AD">
        <w:t>development in cognitive and behavioral domains</w:t>
      </w:r>
      <w:r w:rsidR="001D6AB5" w:rsidRPr="00C347AD">
        <w:t>.</w:t>
      </w:r>
      <w:bookmarkEnd w:id="18"/>
      <w:bookmarkEnd w:id="19"/>
      <w:r w:rsidR="001D6AB5" w:rsidRPr="00C347AD">
        <w:t xml:space="preserve"> </w:t>
      </w:r>
      <w:r w:rsidR="00781593" w:rsidRPr="00C347AD">
        <w:t xml:space="preserve">Below I briefly </w:t>
      </w:r>
      <w:r w:rsidR="00235CF6" w:rsidRPr="00C347AD">
        <w:lastRenderedPageBreak/>
        <w:t>detail</w:t>
      </w:r>
      <w:r w:rsidR="00781593" w:rsidRPr="00C347AD">
        <w:t xml:space="preserve"> modeling and self-efficacy</w:t>
      </w:r>
      <w:r w:rsidR="00235CF6" w:rsidRPr="00C347AD">
        <w:t xml:space="preserve"> </w:t>
      </w:r>
      <w:r w:rsidR="00781593" w:rsidRPr="00C347AD">
        <w:t>as two constructs of SCT that are of great relevance to this study.</w:t>
      </w:r>
    </w:p>
    <w:p w14:paraId="6AA6C7A7" w14:textId="25699ABC" w:rsidR="001A66FE" w:rsidRPr="00C347AD" w:rsidRDefault="00775EB2" w:rsidP="001F2657">
      <w:r w:rsidRPr="00C347AD">
        <w:rPr>
          <w:i/>
        </w:rPr>
        <w:t xml:space="preserve">Modeling. </w:t>
      </w:r>
      <w:r w:rsidR="000C1D25" w:rsidRPr="00C347AD">
        <w:t xml:space="preserve">In </w:t>
      </w:r>
      <w:r w:rsidR="00F63136" w:rsidRPr="00C347AD">
        <w:t>social cognitive theory</w:t>
      </w:r>
      <w:r w:rsidR="0068483B" w:rsidRPr="00C347AD">
        <w:t xml:space="preserve"> (</w:t>
      </w:r>
      <w:r w:rsidR="00034E56" w:rsidRPr="00C347AD">
        <w:t xml:space="preserve">Formerly “Social Learning Theory”; </w:t>
      </w:r>
      <w:r w:rsidR="00034E56" w:rsidRPr="00C347AD">
        <w:fldChar w:fldCharType="begin"/>
      </w:r>
      <w:r w:rsidR="00F7126F" w:rsidRPr="00C347AD">
        <w:instrText xml:space="preserve"> ADDIN ZOTERO_ITEM CSL_CITATION {"citationID":"1279l6oohm","properties":{"formattedCitation":"(Albert Bandura, 1971)","plainCitation":"(Albert Bandura, 1971)"},"citationItems":[{"id":312,"uris":["http://zotero.org/users/2098925/items/9ZEQA4RD"],"uri":["http://zotero.org/users/2098925/items/9ZEQA4RD"],"itemData":{"id":312,"type":"book","title":"Social Learning Theory","publisher":"General Learning Press","number-of-pages":"46","source":"Google Books","ISBN":"978-0-382-25025-5","language":"en","author":[{"family":"Bandura","given":"Albert"}],"issued":{"date-parts":[["1971"]]}}}],"schema":"https://github.com/citation-style-language/schema/raw/master/csl-citation.json"} </w:instrText>
      </w:r>
      <w:r w:rsidR="00034E56" w:rsidRPr="00C347AD">
        <w:fldChar w:fldCharType="separate"/>
      </w:r>
      <w:r w:rsidR="00034E56" w:rsidRPr="00C347AD">
        <w:rPr>
          <w:noProof/>
        </w:rPr>
        <w:t>Bandura, 1971)</w:t>
      </w:r>
      <w:r w:rsidR="00034E56" w:rsidRPr="00C347AD">
        <w:fldChar w:fldCharType="end"/>
      </w:r>
      <w:r w:rsidR="000C1D25" w:rsidRPr="00C347AD">
        <w:t xml:space="preserve">, modeling </w:t>
      </w:r>
      <w:r w:rsidR="00E179BA" w:rsidRPr="00C347AD">
        <w:t xml:space="preserve">is fundamentally different than the modeling construct in operant conditioning </w:t>
      </w:r>
      <w:r w:rsidR="00E179BA" w:rsidRPr="00C347AD">
        <w:fldChar w:fldCharType="begin"/>
      </w:r>
      <w:r w:rsidR="00F7126F" w:rsidRPr="00C347AD">
        <w:instrText xml:space="preserve"> ADDIN ZOTERO_ITEM CSL_CITATION {"citationID":"1q1mkv7vol","properties":{"formattedCitation":"(Skinner, 1954)","plainCitation":"(Skinner, 1954)"},"citationItems":[{"id":29,"uris":["http://zotero.org/users/2098925/items/2SU35FF4"],"uri":["http://zotero.org/users/2098925/items/2SU35FF4"],"itemData":{"id":29,"type":"article-journal","title":"The science of learning and the art of teaching","container-title":"Harvard Educational Review","page":"86-97","volume":"24","source":"APA PsycNET","abstract":"Recent advances in the systematic analysis of learning are exemplified in the development of improved laboratory techniques for controlling the contingencies of reinforcement to shape behavior at will and to maintain its strength over long periods of time. In contrast, classroom teaching techniques are characterized by aversive control of behavior, the contingencies of reinforcement are not optimally arranged, there is no provision for progressive approximation to the final behavior desired, and reinforcement is too infrequent. Changes in the practical situation are indicated, principally in the direction of providing mechanical devices for controlling the contingencies of reinforcement.","ISSN":"1943-5045(Electronic);0017-8055(Print)","author":[{"family":"Skinner","given":"B.F."}],"issued":{"date-parts":[["1954"]]}}}],"schema":"https://github.com/citation-style-language/schema/raw/master/csl-citation.json"} </w:instrText>
      </w:r>
      <w:r w:rsidR="00E179BA" w:rsidRPr="00C347AD">
        <w:fldChar w:fldCharType="separate"/>
      </w:r>
      <w:r w:rsidR="00E179BA" w:rsidRPr="00C347AD">
        <w:rPr>
          <w:noProof/>
        </w:rPr>
        <w:t>(Skinner, 1954)</w:t>
      </w:r>
      <w:r w:rsidR="00E179BA" w:rsidRPr="00C347AD">
        <w:fldChar w:fldCharType="end"/>
      </w:r>
      <w:r w:rsidR="00EC0876" w:rsidRPr="00C347AD">
        <w:t xml:space="preserve"> and Miller and Dollard’s (</w:t>
      </w:r>
      <w:r w:rsidR="00EC0876" w:rsidRPr="00C347AD">
        <w:fldChar w:fldCharType="begin"/>
      </w:r>
      <w:r w:rsidR="00F7126F" w:rsidRPr="00C347AD">
        <w:instrText xml:space="preserve"> ADDIN ZOTERO_ITEM CSL_CITATION {"citationID":"2d6jrji1ka","properties":{"formattedCitation":"(Miller &amp; Dollard, 1941)","plainCitation":"(Miller &amp; Dollard, 1941)"},"citationItems":[{"id":754,"uris":["http://zotero.org/users/2098925/items/NFISSNBB"],"uri":["http://zotero.org/users/2098925/items/NFISSNBB"],"itemData":{"id":754,"type":"article-journal","title":"Social learning and imitation.","author":[{"family":"Miller","given":"Neal Elgar"},{"family":"Dollard","given":"John"}],"issued":{"date-parts":[["1941"]]}}}],"schema":"https://github.com/citation-style-language/schema/raw/master/csl-citation.json"} </w:instrText>
      </w:r>
      <w:r w:rsidR="00EC0876" w:rsidRPr="00C347AD">
        <w:fldChar w:fldCharType="separate"/>
      </w:r>
      <w:r w:rsidR="00EC0876" w:rsidRPr="00C347AD">
        <w:rPr>
          <w:noProof/>
        </w:rPr>
        <w:t>1941)</w:t>
      </w:r>
      <w:r w:rsidR="00EC0876" w:rsidRPr="00C347AD">
        <w:fldChar w:fldCharType="end"/>
      </w:r>
      <w:r w:rsidR="00F54725" w:rsidRPr="00C347AD">
        <w:t xml:space="preserve"> classic “Social Learning and </w:t>
      </w:r>
      <w:r w:rsidR="00060A9B" w:rsidRPr="00C347AD">
        <w:t>Imitation</w:t>
      </w:r>
      <w:r w:rsidR="00F54725" w:rsidRPr="00C347AD">
        <w:t>,” in both of which modeling requires immediate reciprocal action from the learner. Such modeling would be impr</w:t>
      </w:r>
      <w:r w:rsidR="007612D9" w:rsidRPr="00C347AD">
        <w:t>actical for teacher preparation</w:t>
      </w:r>
      <w:r w:rsidR="00F54725" w:rsidRPr="00C347AD">
        <w:t xml:space="preserve"> whereby preservice teachers will not have the opportunity to apply practices professionally for months or years after learning. </w:t>
      </w:r>
      <w:r w:rsidR="00B02594" w:rsidRPr="00C347AD">
        <w:t>In contrast, Bandura’s (1971) construct of modeling moves beyond the temporal</w:t>
      </w:r>
      <w:r w:rsidR="00060A9B" w:rsidRPr="00C347AD">
        <w:t xml:space="preserve"> and</w:t>
      </w:r>
      <w:r w:rsidR="00B02594" w:rsidRPr="00C347AD">
        <w:t xml:space="preserve"> physical </w:t>
      </w:r>
      <w:r w:rsidR="00060A9B" w:rsidRPr="00C347AD">
        <w:t xml:space="preserve">to a being potentially symbolic; that is, such modeling doesn’t represent what the learner should do specifically and immediately, but informs a conceptual </w:t>
      </w:r>
      <w:r w:rsidR="003058B8" w:rsidRPr="00C347AD">
        <w:t>means of doing something that can be later applied in different and similar situations. In this way, Bandura’s concept of modeling is far more relevant and useful for teacher preparation</w:t>
      </w:r>
      <w:r w:rsidR="001A66FE" w:rsidRPr="00C347AD">
        <w:t xml:space="preserve"> than that of Skinner’s</w:t>
      </w:r>
      <w:r w:rsidR="003058B8" w:rsidRPr="00C347AD">
        <w:t xml:space="preserve">. </w:t>
      </w:r>
    </w:p>
    <w:p w14:paraId="2A6CF552" w14:textId="70343483" w:rsidR="001F2657" w:rsidRPr="00C347AD" w:rsidRDefault="001F2657" w:rsidP="001F2657">
      <w:r w:rsidRPr="00C347AD">
        <w:t>In the context of this study</w:t>
      </w:r>
      <w:r w:rsidR="001A66FE" w:rsidRPr="00C347AD">
        <w:t>,</w:t>
      </w:r>
      <w:r w:rsidRPr="00C347AD">
        <w:t xml:space="preserve"> and more broadly of teacher preparation, modeling </w:t>
      </w:r>
      <w:r w:rsidR="00F711E9" w:rsidRPr="00C347AD">
        <w:t>may be taken to involve a teacher demonstrating instructional methods either as a means of teaching other content (e.g., modeling cooperative groups to teach</w:t>
      </w:r>
      <w:r w:rsidR="00A82168" w:rsidRPr="00C347AD">
        <w:t xml:space="preserve"> about education law) or may be taught more directly by modeling an education method explicitly for its own sake (e.g., modeling literature circles for the purpose of helping students understand literature circles). In other words, the modele</w:t>
      </w:r>
      <w:r w:rsidR="005669EA" w:rsidRPr="00C347AD">
        <w:t xml:space="preserve">d pedagogical method may be </w:t>
      </w:r>
      <w:r w:rsidR="00A82168" w:rsidRPr="00C347AD">
        <w:t>the vehicle to deliver content</w:t>
      </w:r>
      <w:r w:rsidR="005669EA" w:rsidRPr="00C347AD">
        <w:t>, or both the vehicle and the content itself</w:t>
      </w:r>
      <w:r w:rsidR="00EB18AB" w:rsidRPr="00C347AD">
        <w:t>. In the</w:t>
      </w:r>
      <w:r w:rsidR="00A82168" w:rsidRPr="00C347AD">
        <w:t xml:space="preserve"> case</w:t>
      </w:r>
      <w:r w:rsidR="00EB18AB" w:rsidRPr="00C347AD">
        <w:t xml:space="preserve"> of modeling a </w:t>
      </w:r>
      <w:r w:rsidR="00EB18AB" w:rsidRPr="00C347AD">
        <w:lastRenderedPageBreak/>
        <w:t>method to teach unrelated content</w:t>
      </w:r>
      <w:r w:rsidR="00A82168" w:rsidRPr="00C347AD">
        <w:t xml:space="preserve">, being explicit about what is being modeled </w:t>
      </w:r>
      <w:r w:rsidR="00D371CD" w:rsidRPr="00C347AD">
        <w:t xml:space="preserve">may allow for a dual learning experience for preservice teachers; they may learn the target content but also have opportunity to reflect on the vicarious experience of how they were taught. </w:t>
      </w:r>
    </w:p>
    <w:p w14:paraId="17C557E0" w14:textId="7D25BAA2" w:rsidR="00D7137F" w:rsidRPr="00C347AD" w:rsidRDefault="00D371CD" w:rsidP="00D7137F">
      <w:r w:rsidRPr="00C347AD">
        <w:t xml:space="preserve">Regardless of the strategy employed, Bandura’s (1977, 1978, 1986) model calls for </w:t>
      </w:r>
      <w:r w:rsidR="00D7137F" w:rsidRPr="00C347AD">
        <w:t>modeling to reflect four interrelated sub</w:t>
      </w:r>
      <w:r w:rsidR="000F4D0C" w:rsidRPr="00C347AD">
        <w:t>-</w:t>
      </w:r>
      <w:r w:rsidR="00D7137F" w:rsidRPr="00C347AD">
        <w:t xml:space="preserve">processes: </w:t>
      </w:r>
    </w:p>
    <w:p w14:paraId="0B0F3EF3" w14:textId="77777777" w:rsidR="00D7137F" w:rsidRPr="00C347AD" w:rsidRDefault="00A16642" w:rsidP="00D7137F">
      <w:pPr>
        <w:pStyle w:val="ListParagraph"/>
        <w:numPr>
          <w:ilvl w:val="0"/>
          <w:numId w:val="17"/>
        </w:numPr>
      </w:pPr>
      <w:r w:rsidRPr="00C347AD">
        <w:t xml:space="preserve">Attention: the observer selectively attends to the </w:t>
      </w:r>
      <w:r w:rsidR="003445BD" w:rsidRPr="00C347AD">
        <w:t>behavior being modeled</w:t>
      </w:r>
      <w:r w:rsidR="00073C67" w:rsidRPr="00C347AD">
        <w:t>.</w:t>
      </w:r>
    </w:p>
    <w:p w14:paraId="234527BA" w14:textId="77777777" w:rsidR="00D7137F" w:rsidRPr="00C347AD" w:rsidRDefault="003445BD" w:rsidP="00D7137F">
      <w:pPr>
        <w:pStyle w:val="ListParagraph"/>
        <w:numPr>
          <w:ilvl w:val="0"/>
          <w:numId w:val="17"/>
        </w:numPr>
      </w:pPr>
      <w:r w:rsidRPr="00C347AD">
        <w:t>Retention: the observer recognizes the cause and effects of a behavior an</w:t>
      </w:r>
      <w:r w:rsidR="00792574" w:rsidRPr="00C347AD">
        <w:t>d generalizes these cause/effects so as to apply th</w:t>
      </w:r>
      <w:r w:rsidR="00D7137F" w:rsidRPr="00C347AD">
        <w:t>em to future, similar behavior.</w:t>
      </w:r>
    </w:p>
    <w:p w14:paraId="7D259A46" w14:textId="77777777" w:rsidR="00D7137F" w:rsidRPr="00C347AD" w:rsidRDefault="00792574" w:rsidP="00D7137F">
      <w:pPr>
        <w:pStyle w:val="ListParagraph"/>
        <w:numPr>
          <w:ilvl w:val="0"/>
          <w:numId w:val="17"/>
        </w:numPr>
      </w:pPr>
      <w:r w:rsidRPr="00C347AD">
        <w:t xml:space="preserve">Production: </w:t>
      </w:r>
      <w:r w:rsidR="0068483B" w:rsidRPr="00C347AD">
        <w:t>the observer applies the behavior, himself or herself</w:t>
      </w:r>
      <w:r w:rsidRPr="00C347AD">
        <w:t xml:space="preserve">, in an appropriate context. </w:t>
      </w:r>
    </w:p>
    <w:p w14:paraId="14C85EB2" w14:textId="269C618C" w:rsidR="00125176" w:rsidRPr="00C347AD" w:rsidRDefault="00125176" w:rsidP="00D7137F">
      <w:pPr>
        <w:pStyle w:val="ListParagraph"/>
        <w:numPr>
          <w:ilvl w:val="0"/>
          <w:numId w:val="17"/>
        </w:numPr>
      </w:pPr>
      <w:r w:rsidRPr="00C347AD">
        <w:t xml:space="preserve">Motivational process: the observer’s behavior is reinforced or </w:t>
      </w:r>
      <w:r w:rsidR="0068483B" w:rsidRPr="00C347AD">
        <w:t xml:space="preserve">weakened based on the feedback received from attempting to replicate the behavior observed. </w:t>
      </w:r>
    </w:p>
    <w:p w14:paraId="65E588FC" w14:textId="4721F5CC" w:rsidR="0068483B" w:rsidRPr="00C347AD" w:rsidRDefault="0068483B" w:rsidP="0068483B">
      <w:pPr>
        <w:ind w:firstLine="0"/>
      </w:pPr>
      <w:r w:rsidRPr="00C347AD">
        <w:t xml:space="preserve">The entirety of the process and its relative success </w:t>
      </w:r>
      <w:r w:rsidR="00793764" w:rsidRPr="00C347AD">
        <w:t xml:space="preserve">for learning </w:t>
      </w:r>
      <w:r w:rsidRPr="00C347AD">
        <w:t xml:space="preserve">is contingent upon </w:t>
      </w:r>
      <w:r w:rsidR="00793764" w:rsidRPr="00C347AD">
        <w:t>contextual factors (</w:t>
      </w:r>
      <w:r w:rsidR="00B323A5" w:rsidRPr="00C347AD">
        <w:t>e.g.,</w:t>
      </w:r>
      <w:r w:rsidR="00793764" w:rsidRPr="00C347AD">
        <w:t xml:space="preserve"> self-efficacy, cognitive ability, environmental supports or barriers). </w:t>
      </w:r>
      <w:r w:rsidR="00064377" w:rsidRPr="00C347AD">
        <w:t xml:space="preserve">According to </w:t>
      </w:r>
      <w:r w:rsidR="00BA6B19" w:rsidRPr="00C347AD">
        <w:t>social cognitive theory</w:t>
      </w:r>
      <w:r w:rsidR="00064377" w:rsidRPr="00C347AD">
        <w:t xml:space="preserve">, being able to observe behavior in others, particularly social behaviors, is a central means of learning to act in certain ways. </w:t>
      </w:r>
    </w:p>
    <w:p w14:paraId="5975FBEA" w14:textId="0BD9DF61" w:rsidR="005B5E54" w:rsidRPr="00C347AD" w:rsidRDefault="00561D3D" w:rsidP="0068483B">
      <w:pPr>
        <w:ind w:firstLine="0"/>
      </w:pPr>
      <w:r w:rsidRPr="00C347AD">
        <w:tab/>
        <w:t xml:space="preserve">In this study, the entirety of the modeling process will not be carried out. As aforementioned, preservice teachers in the university setting are not in the context or in a professional position to actually implement best practices in their (nonexistent) classrooms. </w:t>
      </w:r>
      <w:r w:rsidR="009A12DD" w:rsidRPr="00C347AD">
        <w:t xml:space="preserve">While it is certainly possible to practice making lesson plans or demonstrating methods to peers acting as pseudo K-12 students, preservice teachers, </w:t>
      </w:r>
      <w:r w:rsidR="009A12DD" w:rsidRPr="00C347AD">
        <w:lastRenderedPageBreak/>
        <w:t xml:space="preserve">these are no more than proxies to true practice, and feedback—while constructive—cannot be equivalent to the natural feedback experience in the K-12 classroom. </w:t>
      </w:r>
      <w:r w:rsidR="005B5E54" w:rsidRPr="00C347AD">
        <w:t>As such, the focus will be on the first two aspects: supporting students in attending to and retaining a pedagogical framework such that they may later practice it in the context of a genuine classroom setting and experience the natural feedback of student response and achievement. This method of applying SCT without</w:t>
      </w:r>
      <w:r w:rsidR="00E417C7" w:rsidRPr="00C347AD">
        <w:t xml:space="preserve"> immediate</w:t>
      </w:r>
      <w:r w:rsidR="005B5E54" w:rsidRPr="00C347AD">
        <w:t xml:space="preserve"> </w:t>
      </w:r>
      <w:r w:rsidR="00722640" w:rsidRPr="00C347AD">
        <w:t xml:space="preserve">performance is an accepted form of practice in the literature, including in studies by Bandura himself </w:t>
      </w:r>
      <w:r w:rsidR="005A2367" w:rsidRPr="00C347AD">
        <w:fldChar w:fldCharType="begin"/>
      </w:r>
      <w:r w:rsidR="00F7126F" w:rsidRPr="00C347AD">
        <w:instrText xml:space="preserve"> ADDIN ZOTERO_ITEM CSL_CITATION {"citationID":"bbmoes0e3","properties":{"formattedCitation":"(Albert Bandura, 1969; Flanders, 1968)","plainCitation":"(Albert Bandura, 1969; Flanders, 1968)"},"citationItems":[{"id":637,"uris":["http://zotero.org/users/2098925/items/J4WQI742"],"uri":["http://zotero.org/users/2098925/items/J4WQI742"],"itemData":{"id":637,"type":"article-journal","title":"Principles of behavior modification.","author":[{"family":"Bandura","given":"Albert"}],"issued":{"date-parts":[["1969"]]}}},{"id":675,"uris":["http://zotero.org/users/2098925/items/K4WEXUN8"],"uri":["http://zotero.org/users/2098925/items/K4WEXUN8"],"itemData":{"id":675,"type":"article-journal","title":"A review of research on imitative behavior.","container-title":"Psychological bulletin","page":"316","volume":"69","issue":"5","ISSN":"1939-1455","journalAbbreviation":"Psychological bulletin","author":[{"family":"Flanders","given":"James P"}],"issued":{"date-parts":[["1968"]]}}}],"schema":"https://github.com/citation-style-language/schema/raw/master/csl-citation.json"} </w:instrText>
      </w:r>
      <w:r w:rsidR="005A2367" w:rsidRPr="00C347AD">
        <w:fldChar w:fldCharType="separate"/>
      </w:r>
      <w:r w:rsidR="005A2367" w:rsidRPr="00C347AD">
        <w:rPr>
          <w:noProof/>
        </w:rPr>
        <w:t>(Bandura, 1969; Flanders, 1968)</w:t>
      </w:r>
      <w:r w:rsidR="005A2367" w:rsidRPr="00C347AD">
        <w:fldChar w:fldCharType="end"/>
      </w:r>
      <w:r w:rsidR="005A2367" w:rsidRPr="00C347AD">
        <w:t xml:space="preserve">. </w:t>
      </w:r>
      <w:r w:rsidR="00E417C7" w:rsidRPr="00C347AD">
        <w:t xml:space="preserve">While the final two steps, including the power of reinforcements, are vital to complete the process, the nature of teacher preparation may require that true </w:t>
      </w:r>
      <w:r w:rsidR="00347BE3" w:rsidRPr="00C347AD">
        <w:t xml:space="preserve">completion of learning may only occur after teachers are placed, and thus the role of teacher preparation in this sense is to develop the </w:t>
      </w:r>
      <w:r w:rsidR="00347BE3" w:rsidRPr="00C347AD">
        <w:rPr>
          <w:i/>
        </w:rPr>
        <w:t>potential</w:t>
      </w:r>
      <w:r w:rsidR="00347BE3" w:rsidRPr="00C347AD">
        <w:t xml:space="preserve"> for skilled practice (Bandura, 1978) in preservice teachers. </w:t>
      </w:r>
    </w:p>
    <w:p w14:paraId="31C51FD6" w14:textId="20EDE032" w:rsidR="002402EC" w:rsidRPr="00C347AD" w:rsidRDefault="0061371C" w:rsidP="0068483B">
      <w:pPr>
        <w:ind w:firstLine="0"/>
      </w:pPr>
      <w:r w:rsidRPr="00C347AD">
        <w:tab/>
      </w:r>
      <w:r w:rsidR="00784EC8" w:rsidRPr="00C347AD">
        <w:rPr>
          <w:i/>
        </w:rPr>
        <w:t xml:space="preserve">Self-efficacy. </w:t>
      </w:r>
      <w:r w:rsidRPr="00C347AD">
        <w:t xml:space="preserve">The second aspect, self-efficacy, has emerged in education and </w:t>
      </w:r>
      <w:r w:rsidR="004466B3" w:rsidRPr="00C347AD">
        <w:t>teacher preparation</w:t>
      </w:r>
      <w:r w:rsidRPr="00C347AD">
        <w:t xml:space="preserve"> literature as a substantial topic in its own right, suc</w:t>
      </w:r>
      <w:r w:rsidR="00845F60" w:rsidRPr="00C347AD">
        <w:t xml:space="preserve">h that the construct of teacher </w:t>
      </w:r>
      <w:r w:rsidRPr="00C347AD">
        <w:t xml:space="preserve">efficacy has been developed as a specific </w:t>
      </w:r>
      <w:r w:rsidR="00845F60" w:rsidRPr="00C347AD">
        <w:t>manifestation of self-efficacy particularly related to teachers</w:t>
      </w:r>
      <w:r w:rsidR="00922F6E" w:rsidRPr="00C347AD">
        <w:t xml:space="preserve"> (Gibson &amp; Dembo, 1984); m</w:t>
      </w:r>
      <w:r w:rsidR="00845F60" w:rsidRPr="00C347AD">
        <w:t xml:space="preserve">ore about teacher efficacy follows in </w:t>
      </w:r>
      <w:r w:rsidR="00526038" w:rsidRPr="00C347AD">
        <w:t>Chapter</w:t>
      </w:r>
      <w:r w:rsidR="00845F60" w:rsidRPr="00C347AD">
        <w:t xml:space="preserve"> 2. </w:t>
      </w:r>
      <w:r w:rsidR="004107D2" w:rsidRPr="00C347AD">
        <w:t>In his work, Bandura (1981; 1982;</w:t>
      </w:r>
      <w:r w:rsidR="006951ED" w:rsidRPr="00C347AD">
        <w:t xml:space="preserve"> 1986</w:t>
      </w:r>
      <w:r w:rsidR="004107D2" w:rsidRPr="00C347AD">
        <w:t>;</w:t>
      </w:r>
      <w:r w:rsidR="00F214E0" w:rsidRPr="00C347AD">
        <w:t xml:space="preserve"> 1989</w:t>
      </w:r>
      <w:r w:rsidR="006951ED" w:rsidRPr="00C347AD">
        <w:t xml:space="preserve">) explored self-efficacy </w:t>
      </w:r>
      <w:r w:rsidR="00524129" w:rsidRPr="00C347AD">
        <w:t xml:space="preserve">as one’s perceptions about </w:t>
      </w:r>
      <w:r w:rsidR="002F7B82" w:rsidRPr="00C347AD">
        <w:t>his or her</w:t>
      </w:r>
      <w:r w:rsidR="00524129" w:rsidRPr="00C347AD">
        <w:t xml:space="preserve"> own capability to</w:t>
      </w:r>
      <w:r w:rsidR="00331124" w:rsidRPr="00C347AD">
        <w:t xml:space="preserve"> successfully </w:t>
      </w:r>
      <w:r w:rsidR="00524129" w:rsidRPr="00C347AD">
        <w:t>perform a given action</w:t>
      </w:r>
      <w:r w:rsidR="00331124" w:rsidRPr="00C347AD">
        <w:t xml:space="preserve"> or task</w:t>
      </w:r>
      <w:r w:rsidR="00524129" w:rsidRPr="00C347AD">
        <w:t xml:space="preserve">. If one does not believe that </w:t>
      </w:r>
      <w:r w:rsidR="00E306CD" w:rsidRPr="00C347AD">
        <w:t>he or she</w:t>
      </w:r>
      <w:r w:rsidR="00524129" w:rsidRPr="00C347AD">
        <w:t xml:space="preserve"> </w:t>
      </w:r>
      <w:r w:rsidR="00524129" w:rsidRPr="00C347AD">
        <w:rPr>
          <w:i/>
        </w:rPr>
        <w:t>can</w:t>
      </w:r>
      <w:r w:rsidR="00331124" w:rsidRPr="00C347AD">
        <w:t xml:space="preserve"> personally perform a</w:t>
      </w:r>
      <w:r w:rsidR="00524129" w:rsidRPr="00C347AD">
        <w:t xml:space="preserve"> behavior, </w:t>
      </w:r>
      <w:r w:rsidR="00E306CD" w:rsidRPr="00C347AD">
        <w:t>he or she is</w:t>
      </w:r>
      <w:r w:rsidR="00524129" w:rsidRPr="00C347AD">
        <w:t xml:space="preserve"> far less likely to try it. </w:t>
      </w:r>
      <w:r w:rsidR="00F214E0" w:rsidRPr="00C347AD">
        <w:t xml:space="preserve">Self-efficacy, according to </w:t>
      </w:r>
      <w:r w:rsidR="008A18F8" w:rsidRPr="00C347AD">
        <w:t>Bandura</w:t>
      </w:r>
      <w:r w:rsidR="00F214E0" w:rsidRPr="00C347AD">
        <w:t xml:space="preserve"> (19</w:t>
      </w:r>
      <w:r w:rsidR="009428FE" w:rsidRPr="00C347AD">
        <w:t>89) can be impacted by</w:t>
      </w:r>
      <w:r w:rsidR="00C96141" w:rsidRPr="00C347AD">
        <w:t xml:space="preserve"> physiological arousal, by</w:t>
      </w:r>
      <w:r w:rsidR="009428FE" w:rsidRPr="00C347AD">
        <w:t xml:space="preserve"> vicarious experience of observing others </w:t>
      </w:r>
      <w:r w:rsidR="009428FE" w:rsidRPr="00C347AD">
        <w:lastRenderedPageBreak/>
        <w:t>succeed or fail in a given behavior</w:t>
      </w:r>
      <w:r w:rsidR="00590AF5" w:rsidRPr="00C347AD">
        <w:t xml:space="preserve"> (</w:t>
      </w:r>
      <w:r w:rsidR="004F52F4" w:rsidRPr="00C347AD">
        <w:t>i.e.,</w:t>
      </w:r>
      <w:r w:rsidR="00590AF5" w:rsidRPr="00C347AD">
        <w:t xml:space="preserve"> modeling)</w:t>
      </w:r>
      <w:r w:rsidR="009428FE" w:rsidRPr="00C347AD">
        <w:t>, by encouragement and social pressure,</w:t>
      </w:r>
      <w:r w:rsidR="000B4659" w:rsidRPr="00C347AD">
        <w:t xml:space="preserve"> </w:t>
      </w:r>
      <w:r w:rsidR="009428FE" w:rsidRPr="00C347AD">
        <w:t>and by personal experience of relative success or failure in performing an attempted behavior</w:t>
      </w:r>
      <w:r w:rsidR="00590AF5" w:rsidRPr="00C347AD">
        <w:t xml:space="preserve"> (</w:t>
      </w:r>
      <w:r w:rsidR="004F52F4" w:rsidRPr="00C347AD">
        <w:t>i.e.,</w:t>
      </w:r>
      <w:r w:rsidR="00590AF5" w:rsidRPr="00C347AD">
        <w:t xml:space="preserve"> practice)</w:t>
      </w:r>
      <w:r w:rsidR="00C96141" w:rsidRPr="00C347AD">
        <w:t xml:space="preserve">; in the context of learning to teach, the latter three are perhaps the most significant. </w:t>
      </w:r>
    </w:p>
    <w:p w14:paraId="72632AFB" w14:textId="1DD8E468" w:rsidR="001C5390" w:rsidRPr="00C347AD" w:rsidRDefault="004110B3" w:rsidP="002402EC">
      <w:r w:rsidRPr="00C347AD">
        <w:t xml:space="preserve">Effectively, one’s belief that one can complete a given action affects the effort and persistence in trying, which in turn affect </w:t>
      </w:r>
      <w:r w:rsidR="00E306CD" w:rsidRPr="00C347AD">
        <w:t>his or her success, which itself impacts his or her</w:t>
      </w:r>
      <w:r w:rsidRPr="00C347AD">
        <w:t xml:space="preserve"> efficacy in a </w:t>
      </w:r>
      <w:r w:rsidR="00131A62" w:rsidRPr="00C347AD">
        <w:t xml:space="preserve">cyclical </w:t>
      </w:r>
      <w:r w:rsidRPr="00C347AD">
        <w:t xml:space="preserve">pattern. </w:t>
      </w:r>
      <w:r w:rsidR="000310A1" w:rsidRPr="00C347AD">
        <w:t xml:space="preserve">In application, </w:t>
      </w:r>
      <w:r w:rsidR="00BA6B19" w:rsidRPr="00C347AD">
        <w:t>social cognitive theory</w:t>
      </w:r>
      <w:r w:rsidR="000310A1" w:rsidRPr="00C347AD">
        <w:t xml:space="preserve"> would suggest that</w:t>
      </w:r>
      <w:r w:rsidR="001C5390" w:rsidRPr="00C347AD">
        <w:t xml:space="preserve"> in preparing teachers to perform the action of complex planning and instruction, providing successful modeling, encouragement, and opportunity to practice </w:t>
      </w:r>
      <w:r w:rsidR="00131A62" w:rsidRPr="00C347AD">
        <w:t xml:space="preserve">are </w:t>
      </w:r>
      <w:r w:rsidR="00715737" w:rsidRPr="00C347AD">
        <w:t xml:space="preserve">all critical. </w:t>
      </w:r>
      <w:r w:rsidR="00590AF5" w:rsidRPr="00C347AD">
        <w:t>A</w:t>
      </w:r>
      <w:r w:rsidR="00A02402" w:rsidRPr="00C347AD">
        <w:t xml:space="preserve">s </w:t>
      </w:r>
      <w:r w:rsidR="00A02402" w:rsidRPr="00C347AD">
        <w:fldChar w:fldCharType="begin"/>
      </w:r>
      <w:r w:rsidR="00F7126F" w:rsidRPr="00C347AD">
        <w:instrText xml:space="preserve"> ADDIN ZOTERO_ITEM CSL_CITATION {"citationID":"294b60jl21","properties":{"formattedCitation":"(Blume, 1971)","plainCitation":"(Blume, 1971)","dontUpdate":true},"citationItems":[{"id":815,"uris":["http://zotero.org/users/2098925/items/Q7NJE9A7"],"uri":["http://zotero.org/users/2098925/items/Q7NJE9A7"],"itemData":{"id":815,"type":"article-journal","title":"Humanizing Teacher Education","container-title":"The Phi Delta Kappan","page":"411–415","volume":"52","issue":"7","source":"Primo","ISSN":"0031-7217","language":"eng","author":[{"family":"Blume","given":"Robert"}],"issued":{"date-parts":[["1971"]]}}}],"schema":"https://github.com/citation-style-language/schema/raw/master/csl-citation.json"} </w:instrText>
      </w:r>
      <w:r w:rsidR="00A02402" w:rsidRPr="00C347AD">
        <w:fldChar w:fldCharType="separate"/>
      </w:r>
      <w:r w:rsidR="00A02402" w:rsidRPr="00C347AD">
        <w:rPr>
          <w:noProof/>
        </w:rPr>
        <w:t>Blume (1971)</w:t>
      </w:r>
      <w:r w:rsidR="00A02402" w:rsidRPr="00C347AD">
        <w:fldChar w:fldCharType="end"/>
      </w:r>
      <w:r w:rsidR="008A377C" w:rsidRPr="00C347AD">
        <w:t xml:space="preserve"> </w:t>
      </w:r>
      <w:r w:rsidR="00131A62" w:rsidRPr="00C347AD">
        <w:t>stated</w:t>
      </w:r>
      <w:r w:rsidR="008A377C" w:rsidRPr="00C347AD">
        <w:t>, “t</w:t>
      </w:r>
      <w:r w:rsidR="00A02402" w:rsidRPr="00C347AD">
        <w:t xml:space="preserve">eachers teach </w:t>
      </w:r>
      <w:r w:rsidR="000E5D10" w:rsidRPr="00C347AD">
        <w:t>the way</w:t>
      </w:r>
      <w:r w:rsidR="00A02402" w:rsidRPr="00C347AD">
        <w:t xml:space="preserve"> they have been taught</w:t>
      </w:r>
      <w:r w:rsidR="002F1DB4" w:rsidRPr="00C347AD">
        <w:t xml:space="preserve"> –</w:t>
      </w:r>
      <w:r w:rsidR="00A02402" w:rsidRPr="00C347AD">
        <w:t xml:space="preserve"> not how they have </w:t>
      </w:r>
      <w:r w:rsidR="002F1DB4" w:rsidRPr="00C347AD">
        <w:t>been taught to teach</w:t>
      </w:r>
      <w:r w:rsidR="00A02402" w:rsidRPr="00C347AD">
        <w:t>”</w:t>
      </w:r>
      <w:r w:rsidR="002F1DB4" w:rsidRPr="00C347AD">
        <w:t xml:space="preserve"> (p. 412).</w:t>
      </w:r>
      <w:r w:rsidR="00A02402" w:rsidRPr="00C347AD">
        <w:t xml:space="preserve"> </w:t>
      </w:r>
      <w:r w:rsidR="00715737" w:rsidRPr="00C347AD">
        <w:t>Using this theoretical basis, t</w:t>
      </w:r>
      <w:r w:rsidR="00754D79" w:rsidRPr="00C347AD">
        <w:t xml:space="preserve">his study </w:t>
      </w:r>
      <w:r w:rsidR="00715737" w:rsidRPr="00C347AD">
        <w:t>is designed</w:t>
      </w:r>
      <w:r w:rsidR="002402EC" w:rsidRPr="00C347AD">
        <w:t xml:space="preserve"> to </w:t>
      </w:r>
      <w:r w:rsidR="00E34536" w:rsidRPr="00C347AD">
        <w:t>examine</w:t>
      </w:r>
      <w:r w:rsidR="002402EC" w:rsidRPr="00C347AD">
        <w:t xml:space="preserve"> how modeling (or not) affects the</w:t>
      </w:r>
      <w:r w:rsidR="00754D79" w:rsidRPr="00C347AD">
        <w:t xml:space="preserve"> development of</w:t>
      </w:r>
      <w:r w:rsidR="002402EC" w:rsidRPr="00C347AD">
        <w:t xml:space="preserve"> preservice teacher</w:t>
      </w:r>
      <w:r w:rsidR="00754D79" w:rsidRPr="00C347AD">
        <w:t xml:space="preserve"> </w:t>
      </w:r>
      <w:r w:rsidR="002402EC" w:rsidRPr="00C347AD">
        <w:t>attitudes</w:t>
      </w:r>
      <w:r w:rsidR="00E34536" w:rsidRPr="00C347AD">
        <w:t>, efficacy</w:t>
      </w:r>
      <w:r w:rsidR="00754D79" w:rsidRPr="00C347AD">
        <w:t xml:space="preserve"> and behaviors related to </w:t>
      </w:r>
      <w:r w:rsidR="00131A62" w:rsidRPr="00C347AD">
        <w:t>UDL</w:t>
      </w:r>
      <w:r w:rsidR="00754D79" w:rsidRPr="00C347AD">
        <w:t xml:space="preserve">. </w:t>
      </w:r>
    </w:p>
    <w:p w14:paraId="1F121C37" w14:textId="132D6C4B" w:rsidR="00A1232A" w:rsidRPr="00C347AD" w:rsidRDefault="00BD36A1" w:rsidP="00727B14">
      <w:r w:rsidRPr="00C347AD">
        <w:rPr>
          <w:b/>
        </w:rPr>
        <w:t xml:space="preserve">Theory of </w:t>
      </w:r>
      <w:r w:rsidR="00404E0F" w:rsidRPr="00C347AD">
        <w:rPr>
          <w:b/>
        </w:rPr>
        <w:t>p</w:t>
      </w:r>
      <w:r w:rsidRPr="00C347AD">
        <w:rPr>
          <w:b/>
        </w:rPr>
        <w:t xml:space="preserve">lanned </w:t>
      </w:r>
      <w:r w:rsidR="00404E0F" w:rsidRPr="00C347AD">
        <w:rPr>
          <w:b/>
        </w:rPr>
        <w:t>b</w:t>
      </w:r>
      <w:r w:rsidRPr="00C347AD">
        <w:rPr>
          <w:b/>
        </w:rPr>
        <w:t>ehavior</w:t>
      </w:r>
      <w:r w:rsidR="00A1232A" w:rsidRPr="00C347AD">
        <w:rPr>
          <w:b/>
        </w:rPr>
        <w:t>.</w:t>
      </w:r>
      <w:r w:rsidR="00A1232A" w:rsidRPr="00C347AD">
        <w:t xml:space="preserve"> </w:t>
      </w:r>
      <w:r w:rsidR="001C0228" w:rsidRPr="00C347AD">
        <w:t xml:space="preserve">The </w:t>
      </w:r>
      <w:r w:rsidR="00404E0F" w:rsidRPr="00C347AD">
        <w:t>t</w:t>
      </w:r>
      <w:r w:rsidRPr="00C347AD">
        <w:t xml:space="preserve">heory of </w:t>
      </w:r>
      <w:r w:rsidR="008141E8" w:rsidRPr="00C347AD">
        <w:t>p</w:t>
      </w:r>
      <w:r w:rsidRPr="00C347AD">
        <w:t xml:space="preserve">lanned </w:t>
      </w:r>
      <w:r w:rsidR="008141E8" w:rsidRPr="00C347AD">
        <w:t>b</w:t>
      </w:r>
      <w:r w:rsidRPr="00C347AD">
        <w:t>ehavior</w:t>
      </w:r>
      <w:r w:rsidR="001C0228" w:rsidRPr="00C347AD">
        <w:t xml:space="preserve">, like Bandura’s </w:t>
      </w:r>
      <w:r w:rsidR="008141E8" w:rsidRPr="00C347AD">
        <w:t>so</w:t>
      </w:r>
      <w:r w:rsidR="00F63136" w:rsidRPr="00C347AD">
        <w:t>cial cognitive theory</w:t>
      </w:r>
      <w:r w:rsidR="001C0228" w:rsidRPr="00C347AD">
        <w:t xml:space="preserve">, draws attention to the importance of beliefs and feelings of self-efficacy in conducting behavior. </w:t>
      </w:r>
      <w:r w:rsidR="00BA7F53" w:rsidRPr="00C347AD">
        <w:t xml:space="preserve">This model, however, adapts these constructs to focus particularly on teachers and includes a proxy for performed behavior in the form of </w:t>
      </w:r>
      <w:r w:rsidR="00BA7F53" w:rsidRPr="00C347AD">
        <w:rPr>
          <w:i/>
        </w:rPr>
        <w:t>intention</w:t>
      </w:r>
      <w:r w:rsidR="00BA7F53" w:rsidRPr="00C347AD">
        <w:t xml:space="preserve"> to perform a behavior</w:t>
      </w:r>
      <w:r w:rsidR="008141E8" w:rsidRPr="00C347AD">
        <w:t xml:space="preserve"> </w:t>
      </w:r>
      <w:r w:rsidR="008141E8" w:rsidRPr="00C347AD">
        <w:fldChar w:fldCharType="begin"/>
      </w:r>
      <w:r w:rsidR="00F7126F" w:rsidRPr="00C347AD">
        <w:instrText xml:space="preserve"> ADDIN ZOTERO_ITEM CSL_CITATION {"citationID":"2b8tfjs12c","properties":{"formattedCitation":"(Ajzen, 1985)","plainCitation":"(Ajzen, 1985)"},"citationItems":[{"id":1078,"uris":["http://zotero.org/users/2098925/items/XX4EGJ73"],"uri":["http://zotero.org/users/2098925/items/XX4EGJ73"],"itemData":{"id":1078,"type":"book","title":"From intentions to actions: A theory of planned behavior","publisher":"Springer","ISBN":"3-642-69748-8","author":[{"family":"Ajzen","given":"Icek"}],"issued":{"date-parts":[["1985"]]}}}],"schema":"https://github.com/citation-style-language/schema/raw/master/csl-citation.json"} </w:instrText>
      </w:r>
      <w:r w:rsidR="008141E8" w:rsidRPr="00C347AD">
        <w:fldChar w:fldCharType="separate"/>
      </w:r>
      <w:r w:rsidR="008141E8" w:rsidRPr="00C347AD">
        <w:rPr>
          <w:noProof/>
        </w:rPr>
        <w:t>(Ajzen, 1985)</w:t>
      </w:r>
      <w:r w:rsidR="008141E8" w:rsidRPr="00C347AD">
        <w:fldChar w:fldCharType="end"/>
      </w:r>
      <w:r w:rsidR="00BA7F53" w:rsidRPr="00C347AD">
        <w:t xml:space="preserve">. </w:t>
      </w:r>
      <w:r w:rsidR="008449B1" w:rsidRPr="00C347AD">
        <w:t>This component is important, because</w:t>
      </w:r>
      <w:r w:rsidR="008710F0" w:rsidRPr="00C347AD">
        <w:t xml:space="preserve"> whereas </w:t>
      </w:r>
      <w:r w:rsidR="00F63136" w:rsidRPr="00C347AD">
        <w:t>social cognitive theory</w:t>
      </w:r>
      <w:r w:rsidR="008710F0" w:rsidRPr="00C347AD">
        <w:t xml:space="preserve"> helps</w:t>
      </w:r>
      <w:r w:rsidR="00C078F4" w:rsidRPr="00C347AD">
        <w:t xml:space="preserve"> us</w:t>
      </w:r>
      <w:r w:rsidR="008710F0" w:rsidRPr="00C347AD">
        <w:t xml:space="preserve"> understand methods for preparing teachers with the skills, attitudes, and efficacy needed to</w:t>
      </w:r>
      <w:r w:rsidR="008141E8" w:rsidRPr="00C347AD">
        <w:t xml:space="preserve"> potentially</w:t>
      </w:r>
      <w:r w:rsidR="008710F0" w:rsidRPr="00C347AD">
        <w:t xml:space="preserve"> perform behavior, </w:t>
      </w:r>
      <w:r w:rsidR="00315371" w:rsidRPr="00C347AD">
        <w:t xml:space="preserve">it is ultimately a theory based on </w:t>
      </w:r>
      <w:r w:rsidR="00E81DAA" w:rsidRPr="00C347AD">
        <w:t xml:space="preserve">individual </w:t>
      </w:r>
      <w:r w:rsidR="00315371" w:rsidRPr="00C347AD">
        <w:t>receptivity</w:t>
      </w:r>
      <w:r w:rsidR="00E81DAA" w:rsidRPr="00C347AD">
        <w:t xml:space="preserve"> or learning, with behavior </w:t>
      </w:r>
      <w:r w:rsidR="009770FE" w:rsidRPr="00C347AD">
        <w:t xml:space="preserve">functioning as part of </w:t>
      </w:r>
      <w:r w:rsidR="009770FE" w:rsidRPr="00C347AD">
        <w:lastRenderedPageBreak/>
        <w:t xml:space="preserve">learning rather than an end unto itself </w:t>
      </w:r>
      <w:r w:rsidR="009770FE" w:rsidRPr="00C347AD">
        <w:fldChar w:fldCharType="begin"/>
      </w:r>
      <w:r w:rsidR="00F7126F" w:rsidRPr="00C347AD">
        <w:instrText xml:space="preserve"> ADDIN ZOTERO_ITEM CSL_CITATION {"citationID":"15aefqvup5","properties":{"formattedCitation":"(Albert Bandura, 1978)","plainCitation":"(Albert Bandura, 1978)"},"citationItems":[{"id":171,"uris":["http://zotero.org/users/2098925/items/6I3CG4NN"],"uri":["http://zotero.org/users/2098925/items/6I3CG4NN"],"itemData":{"id":171,"type":"article-journal","title":"The self system in reciprocal determinism.","container-title":"American psychologist","page":"344","volume":"33","issue":"4","source":"Google Scholar","author":[{"family":"Bandura","given":"Albert"}],"issued":{"date-parts":[["1978"]]}}}],"schema":"https://github.com/citation-style-language/schema/raw/master/csl-citation.json"} </w:instrText>
      </w:r>
      <w:r w:rsidR="009770FE" w:rsidRPr="00C347AD">
        <w:fldChar w:fldCharType="separate"/>
      </w:r>
      <w:r w:rsidR="009770FE" w:rsidRPr="00C347AD">
        <w:rPr>
          <w:noProof/>
        </w:rPr>
        <w:t>(Bandura, 1978)</w:t>
      </w:r>
      <w:r w:rsidR="009770FE" w:rsidRPr="00C347AD">
        <w:fldChar w:fldCharType="end"/>
      </w:r>
      <w:r w:rsidR="00315371" w:rsidRPr="00C347AD">
        <w:t xml:space="preserve">. </w:t>
      </w:r>
      <w:r w:rsidR="00E81DAA" w:rsidRPr="00C347AD">
        <w:t xml:space="preserve">However, </w:t>
      </w:r>
      <w:r w:rsidR="009770FE" w:rsidRPr="00C347AD">
        <w:t xml:space="preserve">my </w:t>
      </w:r>
      <w:r w:rsidR="00E81DAA" w:rsidRPr="00C347AD">
        <w:t>study is focused both on preservice teacher learning and also on future performance of their learning. One</w:t>
      </w:r>
      <w:r w:rsidR="00315371" w:rsidRPr="00C347AD">
        <w:t xml:space="preserve"> may have the knowledge and skill to conduct a be</w:t>
      </w:r>
      <w:r w:rsidR="004615ED" w:rsidRPr="00C347AD">
        <w:t>havior, but still not do so</w:t>
      </w:r>
      <w:r w:rsidR="009770FE" w:rsidRPr="00C347AD">
        <w:t xml:space="preserve"> (Bandura, 1978). Thus, </w:t>
      </w:r>
      <w:r w:rsidR="001C1F14" w:rsidRPr="00C347AD">
        <w:t xml:space="preserve">in </w:t>
      </w:r>
      <w:r w:rsidR="004466B3" w:rsidRPr="00C347AD">
        <w:t>teacher preparation</w:t>
      </w:r>
      <w:r w:rsidR="001C1F14" w:rsidRPr="00C347AD">
        <w:t>, it is critical that</w:t>
      </w:r>
      <w:r w:rsidR="009770FE" w:rsidRPr="00C347AD">
        <w:t xml:space="preserve"> preservice</w:t>
      </w:r>
      <w:r w:rsidR="001C1F14" w:rsidRPr="00C347AD">
        <w:t xml:space="preserve"> teachers learn and also intend to perform what they have learned</w:t>
      </w:r>
      <w:r w:rsidR="004615ED" w:rsidRPr="00C347AD">
        <w:t xml:space="preserve">. Moreover, as </w:t>
      </w:r>
      <w:r w:rsidR="009770FE" w:rsidRPr="00C347AD">
        <w:t xml:space="preserve">my </w:t>
      </w:r>
      <w:r w:rsidR="004615ED" w:rsidRPr="00C347AD">
        <w:t xml:space="preserve">study is not longitudinal and therefore does not involve following teachers into placement settings, a more immediate proxy for classroom </w:t>
      </w:r>
      <w:r w:rsidR="002032F7" w:rsidRPr="00C347AD">
        <w:t xml:space="preserve">behavior is necessary. </w:t>
      </w:r>
    </w:p>
    <w:p w14:paraId="2C95D46D" w14:textId="2356A0F7" w:rsidR="002032F7" w:rsidRPr="00C347AD" w:rsidRDefault="002032F7" w:rsidP="00727B14">
      <w:r w:rsidRPr="00C347AD">
        <w:t xml:space="preserve">The </w:t>
      </w:r>
      <w:r w:rsidR="00305B48" w:rsidRPr="00C347AD">
        <w:t>theory of planned behavior</w:t>
      </w:r>
      <w:r w:rsidRPr="00C347AD">
        <w:t xml:space="preserve"> basically suggests that when teachers are motivated (attitudes and belief) to perform a behavior and feel empowered </w:t>
      </w:r>
      <w:r w:rsidR="002A5DBD" w:rsidRPr="00C347AD">
        <w:t>to control their own behavior and bring about the desired results</w:t>
      </w:r>
      <w:r w:rsidRPr="00C347AD">
        <w:t xml:space="preserve"> (teacher efficacy), they then </w:t>
      </w:r>
      <w:r w:rsidRPr="00C347AD">
        <w:rPr>
          <w:i/>
        </w:rPr>
        <w:t>intend</w:t>
      </w:r>
      <w:r w:rsidR="001D410C" w:rsidRPr="00C347AD">
        <w:t xml:space="preserve"> to undergo such behavior, which is the nearest proxy to actually </w:t>
      </w:r>
      <w:r w:rsidRPr="00C347AD">
        <w:t>perform</w:t>
      </w:r>
      <w:r w:rsidR="001D410C" w:rsidRPr="00C347AD">
        <w:t>ing</w:t>
      </w:r>
      <w:r w:rsidRPr="00C347AD">
        <w:t xml:space="preserve"> such behavior </w:t>
      </w:r>
      <w:r w:rsidRPr="00C347AD">
        <w:fldChar w:fldCharType="begin"/>
      </w:r>
      <w:r w:rsidR="00F7126F" w:rsidRPr="00C347AD">
        <w:instrText xml:space="preserve"> ADDIN ZOTERO_ITEM CSL_CITATION {"citationID":"2i444o797u","properties":{"formattedCitation":"(Ajzen, 1991; Armitage &amp; Conner, 2001; MacFarlane &amp; Woolfson, 2013; Pang &amp; Watkins, 2000)","plainCitation":"(Ajzen, 1991; Armitage &amp; Conner, 2001; MacFarlane &amp; Woolfson, 2013; Pang &amp; Watkins, 2000)","dontUpdate":true},"citationItems":[{"id":179,"uris":["http://zotero.org/users/2098925/items/6QSAIHR9"],"uri":["http://zotero.org/users/2098925/items/6QSAIHR9"],"itemData":{"id":179,"type":"article-journal","title":"Theories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id":511,"uris":["http://zotero.org/users/2098925/items/FN43ZKZA"],"uri":["http://zotero.org/users/2098925/items/FN43ZKZA"],"itemData":{"id":511,"type":"article-journal","title":"Efficacy of the Theory of Planned Behaviour: A meta-analytic review","container-title":"British Journal of Social Psychology","page":"471","volume":"40","issue":"4","source":"EBSCOhost","abstract":"The Theory of Planned Behaviour (TPB) has received considerable attention in  the literature. The present study is a quantitative integration and review of that  research. From a database of 185 i ndependent studies published up to the end  of 1997, the TPB accounted for 27% and 39% of the variance in behavi our  and intention, respectivel y. The perceived behavioural control (PBC) construct  accounted for significant amounts of variance i n intention and behavi our,  i ndependent of theory of reasoned action variables. When behaviour measures  were self-reports, the TPB accounted for 11% more of the vari ance in behavi our  than when behaviour measures were objective or observed (R²s = .31 and .21,  respectivel y). Attitude, subjective norm and PBC account for significantly more of  the vari ance in individuals' desires than intentions or sel f-predictions, but  i ntentions and self-predictions were better predictors of behaviour. The subjective  norm construct is generally found to be a weak predictor of i ntentions. This is  partly attri butable to a combination of poor measurement and the need for  expansion of the normative component. The discussion focuses on ways in which  current TPB research can be taken forward in the l ight of the present review.","ISSN":"01446665","shortTitle":"Efficacy of the Theory of Planned Behaviour","journalAbbreviation":"British Journal of Social Psychology","author":[{"family":"Armitage","given":"Christopher J."},{"family":"Conner","given":"Mark"}],"issued":{"date-parts":[["2001",12]]}}},{"id":1815,"uris":["http://zotero.org/users/2098925/items/I7BFPCNS"],"uri":["http://zotero.org/users/2098925/items/I7BFPCNS"],"itemData":{"id":1815,"type":"article-journal","title":"Teacher attitudes and behavior toward the inclusion of children with social, emotional and behavioral difficulties in mainstream schools: An application of the theory of planned behavior","container-title":"Teaching and Teacher Education","page":"46-52","volume":"29","source":"ScienceDirect","abstract":"The Theory of Planned Behavior (TPB) was used to examine relationships between teacher attitudes and behavior toward children with social, emotional and behavioral difficulties (SEBD). One hundred and eleven elementary school teachers completed questionnaires. Teacher perception of their school principals' expectations (subjective norm) predicted teacher behaviors. Teachers who had attended more in-service training (INSET) sessions held more positive feelings, but teachers with more experience were less willing to work with children with SEBD. Findings suggest that school principals have a central role in promoting an inclusive ethos within their schools. INSET could focus more on challenging beliefs.","DOI":"10.1016/j.tate.2012.08.006","ISSN":"0742-051X","shortTitle":"Teacher attitudes and behavior toward the inclusion of children with social, emotional and behavioral difficulties in mainstream schools","journalAbbreviation":"Teaching and Teacher Education","author":[{"family":"MacFarlane","given":"Kate"},{"family":"Woolfson","given":"Lisa Marks"}],"issued":{"date-parts":[["2013",1]]}}},{"id":658,"uris":["http://zotero.org/users/2098925/items/JKDIIFJP"],"uri":["http://zotero.org/users/2098925/items/JKDIIFJP"],"itemData":{"id":658,"type":"article-journal","title":"Towards a psychological model of teacher–parent communication in Hong Kong primary schools","container-title":"Educational Studies","page":"141-163","volume":"26","issue":"2","ISSN":"0305-5698","journalAbbreviation":"Educational Studies","author":[{"family":"Pang","given":"I-Wah"},{"family":"Watkins","given":"David"}],"issued":{"date-parts":[["2000"]]}}}],"schema":"https://github.com/citation-style-language/schema/raw/master/csl-citation.json"} </w:instrText>
      </w:r>
      <w:r w:rsidRPr="00C347AD">
        <w:fldChar w:fldCharType="separate"/>
      </w:r>
      <w:r w:rsidRPr="00C347AD">
        <w:rPr>
          <w:noProof/>
        </w:rPr>
        <w:t>(</w:t>
      </w:r>
      <w:r w:rsidR="00B323A5" w:rsidRPr="00C347AD">
        <w:rPr>
          <w:noProof/>
        </w:rPr>
        <w:t>e.g.,</w:t>
      </w:r>
      <w:r w:rsidRPr="00C347AD">
        <w:rPr>
          <w:noProof/>
        </w:rPr>
        <w:t xml:space="preserve"> Ajzen, 1991; Armitage &amp; Conner, 2001; MacFarlane &amp; Woolfson, 2013; Pang &amp; Watkins, 2000; see</w:t>
      </w:r>
      <w:r w:rsidRPr="00C347AD">
        <w:rPr>
          <w:i/>
          <w:noProof/>
        </w:rPr>
        <w:t xml:space="preserve"> </w:t>
      </w:r>
      <w:r w:rsidRPr="00C347AD">
        <w:rPr>
          <w:noProof/>
        </w:rPr>
        <w:t xml:space="preserve">Figure </w:t>
      </w:r>
      <w:r w:rsidR="00255A1E" w:rsidRPr="00C347AD">
        <w:rPr>
          <w:noProof/>
        </w:rPr>
        <w:t>2</w:t>
      </w:r>
      <w:r w:rsidRPr="00C347AD">
        <w:rPr>
          <w:noProof/>
        </w:rPr>
        <w:t>)</w:t>
      </w:r>
      <w:r w:rsidRPr="00C347AD">
        <w:fldChar w:fldCharType="end"/>
      </w:r>
      <w:r w:rsidRPr="00C347AD">
        <w:t>.</w:t>
      </w:r>
    </w:p>
    <w:p w14:paraId="04A6A72E" w14:textId="77777777" w:rsidR="000F4D0C" w:rsidRPr="00C347AD" w:rsidRDefault="000F4D0C" w:rsidP="00727B14"/>
    <w:p w14:paraId="5DF05A5E" w14:textId="64078570" w:rsidR="00366169" w:rsidRPr="00C347AD" w:rsidRDefault="00654236" w:rsidP="00C76659">
      <w:pPr>
        <w:spacing w:line="240" w:lineRule="auto"/>
        <w:rPr>
          <w:noProof/>
        </w:rPr>
      </w:pPr>
      <w:bookmarkStart w:id="20" w:name="_Toc466104351"/>
      <w:bookmarkStart w:id="21" w:name="_Toc470598388"/>
      <w:r w:rsidRPr="00C347AD">
        <w:rPr>
          <w:noProof/>
        </w:rPr>
        <w:drawing>
          <wp:inline distT="0" distB="0" distL="0" distR="0" wp14:anchorId="7F515A9E" wp14:editId="14D84FBC">
            <wp:extent cx="5257800" cy="173672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1736725"/>
                    </a:xfrm>
                    <a:prstGeom prst="rect">
                      <a:avLst/>
                    </a:prstGeom>
                    <a:noFill/>
                    <a:ln>
                      <a:noFill/>
                    </a:ln>
                  </pic:spPr>
                </pic:pic>
              </a:graphicData>
            </a:graphic>
          </wp:inline>
        </w:drawing>
      </w:r>
      <w:bookmarkEnd w:id="20"/>
      <w:bookmarkEnd w:id="21"/>
      <w:r w:rsidRPr="00C347AD">
        <w:rPr>
          <w:i/>
        </w:rPr>
        <w:br/>
      </w:r>
      <w:r w:rsidR="00255A1E" w:rsidRPr="00C347AD">
        <w:rPr>
          <w:i/>
        </w:rPr>
        <w:t>Figure 2</w:t>
      </w:r>
      <w:r w:rsidR="00366169" w:rsidRPr="00C347AD">
        <w:rPr>
          <w:i/>
        </w:rPr>
        <w:t xml:space="preserve">. </w:t>
      </w:r>
      <w:r w:rsidR="00366169" w:rsidRPr="00C347AD">
        <w:t>Simplified model of teacher behavioral intention adapted from “</w:t>
      </w:r>
      <w:r w:rsidR="00366169" w:rsidRPr="00C347AD">
        <w:rPr>
          <w:noProof/>
        </w:rPr>
        <w:t xml:space="preserve">The </w:t>
      </w:r>
      <w:r w:rsidR="00BD36A1" w:rsidRPr="00C347AD">
        <w:rPr>
          <w:noProof/>
        </w:rPr>
        <w:t>Theory of Planned Behavior</w:t>
      </w:r>
      <w:r w:rsidR="00366169" w:rsidRPr="00C347AD">
        <w:rPr>
          <w:noProof/>
        </w:rPr>
        <w:t xml:space="preserve">,” by I. Ajzen, 1991. </w:t>
      </w:r>
      <w:r w:rsidR="00366169" w:rsidRPr="00C347AD">
        <w:rPr>
          <w:i/>
          <w:noProof/>
        </w:rPr>
        <w:t>Organizational Behavior and Human Decision Processes, 50</w:t>
      </w:r>
      <w:r w:rsidR="00366169" w:rsidRPr="00C347AD">
        <w:rPr>
          <w:noProof/>
        </w:rPr>
        <w:t xml:space="preserve">(2), p. 181. </w:t>
      </w:r>
    </w:p>
    <w:p w14:paraId="0A654C4D" w14:textId="5D88CCFC" w:rsidR="00E2556A" w:rsidRPr="00C347AD" w:rsidRDefault="00E2556A" w:rsidP="00FE779B">
      <w:pPr>
        <w:pStyle w:val="Heading2"/>
      </w:pPr>
      <w:bookmarkStart w:id="22" w:name="_Toc466104352"/>
      <w:bookmarkStart w:id="23" w:name="_Toc470600329"/>
      <w:bookmarkStart w:id="24" w:name="_Toc471890437"/>
      <w:r w:rsidRPr="00C347AD">
        <w:lastRenderedPageBreak/>
        <w:t>Statement of the Problem</w:t>
      </w:r>
      <w:bookmarkEnd w:id="22"/>
      <w:bookmarkEnd w:id="23"/>
      <w:bookmarkEnd w:id="24"/>
      <w:r w:rsidRPr="00C347AD">
        <w:t xml:space="preserve"> </w:t>
      </w:r>
    </w:p>
    <w:p w14:paraId="280B2965" w14:textId="393ECD86" w:rsidR="00E2556A" w:rsidRPr="00C347AD" w:rsidRDefault="00E2556A" w:rsidP="00366169">
      <w:r w:rsidRPr="00C347AD">
        <w:t xml:space="preserve">In this study, </w:t>
      </w:r>
      <w:r w:rsidR="00AF2B55" w:rsidRPr="00C347AD">
        <w:t>I</w:t>
      </w:r>
      <w:r w:rsidRPr="00C347AD">
        <w:t xml:space="preserve"> address two different, but interrelated problems. First, researchers and practitioners have noted the increased complexity of the contemporary classroom and the demands that this places on high quality teacher preparation (</w:t>
      </w:r>
      <w:r w:rsidR="00B323A5" w:rsidRPr="00C347AD">
        <w:t>e.g.,</w:t>
      </w:r>
      <w:r w:rsidRPr="00C347AD">
        <w:t xml:space="preserve"> </w:t>
      </w:r>
      <w:r w:rsidRPr="00C347AD">
        <w:fldChar w:fldCharType="begin"/>
      </w:r>
      <w:r w:rsidR="00F7126F" w:rsidRPr="00C347AD">
        <w:instrText xml:space="preserve"> ADDIN ZOTERO_ITEM CSL_CITATION {"citationID":"5bdmfgv4b","properties":{"formattedCitation":"(Cochran-Smith &amp; Zeichner, 2005; Darling-Hammond, 2000, 2012; Korthagen, Loughran, &amp; Russell, 2006)","plainCitation":"(Cochran-Smith &amp; Zeichner, 2005; Darling-Hammond, 2000, 2012; Korthagen, Loughran, &amp; Russell, 2006)","dontUpdate":true},"citationItems":[{"id":260,"uris":["http://zotero.org/users/2098925/items/8MZEP338"],"uri":["http://zotero.org/users/2098925/items/8MZEP338"],"itemData":{"id":260,"type":"book","title":"Studying Teacher Education: The Report of the AERA Panel on Research and Teacher Education","publisher":"Lawrence Erlbaum Associates","source":"ERIC","abstract":"This landmark volume presents the work of the American Educational Research Association's Panel on Research and Teacher Education. It represents a systematic effort to apply a common set of scholarly lenses to a range of important topics in teacher education. The Panel's charge was twofold: (1) to create for the larger educational research community a thorough, rigorous, and even-handed analysis of the empirical research evidence relevant to major policies and practices in preservice teacher education in the U.S.; and (2) to propose a research agenda related to teacher education that builds on what is already known and that identifies the research directions that are most promising for the future. Members of the Panel were appointed from various sectors of the educational research community and with different areas of expertise, including teacher education, policy, assessment, research design and methods, liberal arts, multicultural education, and school reform. Building on their diverse perspectives, they ably translated their charge into a series of questions that became the framework for this volume. The questions illuminate many of the issues that have been most contested in past and current discourse about teacher education reform. This book  examines research about the current pool of prospective and entering teachers and about local, institutional, state, and federal preservice teacher education policies and practices. Following a foreword and preface, this book presents the following: (1) Executive Summary: The Report of the AERA Panel on Research and Teacher Education; (2) The AERA Panel on Research and Teacher Education: Context and Goals (M. Cochran-Smith and K. Fries); (3) Researching Teacher Education in Changing Times: Politics and Paradigms (M. Cochran-Smith and K. Fries); (4) Teachers Characteristics: Research on the Demographic Profile (K. Zumwalt and E. Craig); (5) Teachers' Characteristics: Research on the Indicators of Quality (K. Zumwalt and E. Craig); (6) Research on the Effects of Coursework in the Arts and Sciences and in the Foundations of Education (R. Floden and M. Meniketti); (7) Research on Methods Courses and Field Experiences (R. T. Clift and P. Brady); (8) Research on Pedagogical Approaches in Teacher Education (P. Grossman); (9) Research on Preparing Teachers' for Diverse Populations (E. Hollins and M. T. Guzman); (10) Research on Preparing General Education Teachers to Work with Students with Disabilities (M. C. Pugach); (11) Research on Accountability Processes in Teacher Education (S. Wilson and P. Youngs); (12) Teacher Education Programs (K. M. Zeichner and H. G. Conklin); and (13) A Research Agenda for Teacher Education (K. M. Zeichner). The book concludes with: AERA Panel on Research and Teacher Education--Biographies of the Panel Members.","ISBN":"0-8058-5592-0","shortTitle":"Studying Teacher Education","language":"en","author":[{"family":"Cochran-Smith","given":"Marilyn"},{"family":"Zeichner","given":"Kenneth M."}],"issued":{"date-parts":[["2005"]]},"accessed":{"date-parts":[["2015",4,15]]}}},{"id":438,"uris":["http://zotero.org/users/2098925/items/DQKGX7EE"],"uri":["http://zotero.org/users/2098925/items/DQKGX7EE"],"itemData":{"id":438,"type":"article-journal","title":"How Teacher Education Matters","container-title":"Journal of Teacher Education","page":"166-173","volume":"51","issue":"3","source":"jte.sagepub.com","abstract":"Despite longstanding criticisms of teacher education, the weight of substantial evidence indicates that teachers who have had more preparation for teaching are more confident and successful with students than those who have had little or none. Recent evidence also indicates that reforms of teacher education creating more tightly integrated programs with extended clinical preparation interwoven with coursework on learning and teaching produce teachers who are both more effective and more likely to enter and stay in teaching. An important contribution of teacher education is its development of teachers’abilities to examine teaching from the perspective of learners who bring diverse experiences and frames of reference to the classroom.","DOI":"10.1177/0022487100051003002","ISSN":"0022-4871, 1552-7816","journalAbbreviation":"Journal of Teacher Education","language":"en","author":[{"family":"Darling-Hammond","given":"Linda"}],"issued":{"date-parts":[["2000",5,1]]}}},{"id":256,"uris":["http://zotero.org/users/2098925/items/8KAS6N6M"],"uri":["http://zotero.org/users/2098925/items/8KAS6N6M"],"itemData":{"id":256,"type":"book","title":"Powerful Teacher Education: Lessons from Exemplary Programs","publisher":"John Wiley &amp; Sons","number-of-pages":"388","source":"Google Books","abstract":"Powerful Teacher Education describes the strategies, goals, content, and processes of seven highly successful and long-standing teacher education programs - Alverno College, Bank Street College, Trinity University, University of California, Berkeley, University of Southern Maine, University of Virginia, and Wheelock College. All these colleges and universities have succeeded in preparing teachers to teach diverse learners to achieve high levels of performance and understanding. In discussing the common features of these programs, Linda Darling-Hammond shows what outstanding teacher education models do and how they do it, and what their graduates accomplish as a result. Powerful Teacher Education also examines the policies, organizational features, resources, and relationships that have enabled these programs to succeed.","ISBN":"978-1-118-42943-3","shortTitle":"Powerful Teacher Education","language":"en","author":[{"family":"Darling-Hammond","given":"Linda"}],"issued":{"date-parts":[["2012",6,28]]}}},{"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Education","author":[{"family":"Korthagen","given":"Fred"},{"family":"Loughran","given":"John"},{"family":"Russell","given":"Tom"}],"issued":{"date-parts":[["2006",11]]}}}],"schema":"https://github.com/citation-style-language/schema/raw/master/csl-citation.json"} </w:instrText>
      </w:r>
      <w:r w:rsidRPr="00C347AD">
        <w:fldChar w:fldCharType="separate"/>
      </w:r>
      <w:r w:rsidRPr="00C347AD">
        <w:rPr>
          <w:noProof/>
        </w:rPr>
        <w:t>Cochran-Smith &amp; Zeichner, 2005; Darling-Hammond, 2000, 2012)</w:t>
      </w:r>
      <w:r w:rsidRPr="00C347AD">
        <w:fldChar w:fldCharType="end"/>
      </w:r>
      <w:r w:rsidRPr="00C347AD">
        <w:t>, but</w:t>
      </w:r>
      <w:r w:rsidR="00F86990" w:rsidRPr="00C347AD">
        <w:t xml:space="preserve"> there is little consensus as to best practices</w:t>
      </w:r>
      <w:r w:rsidR="00C02DDF" w:rsidRPr="00C347AD">
        <w:t xml:space="preserve"> for preparing teachers to implement quality teaching once they begin</w:t>
      </w:r>
      <w:r w:rsidR="00C078F4" w:rsidRPr="00C347AD">
        <w:t xml:space="preserve"> their careers </w:t>
      </w:r>
      <w:r w:rsidR="00C078F4" w:rsidRPr="00C347AD">
        <w:fldChar w:fldCharType="begin"/>
      </w:r>
      <w:r w:rsidR="00F7126F" w:rsidRPr="00C347AD">
        <w:instrText xml:space="preserve"> ADDIN ZOTERO_ITEM CSL_CITATION {"citationID":"lufg77vuv","properties":{"formattedCitation":"(Korthagen et al., 2006)","plainCitation":"(Korthagen et al., 2006)"},"citationItems":[{"id":374,"uris":["http://zotero.org/users/2098925/items/BZ598N29"],"uri":["http://zotero.org/users/2098925/items/BZ598N29"],"itemData":{"id":374,"type":"article-journal","title":"Developing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Education","author":[{"family":"Korthagen","given":"Fred"},{"family":"Loughran","given":"John"},{"family":"Russell","given":"Tom"}],"issued":{"date-parts":[["2006",11]]}}}],"schema":"https://github.com/citation-style-language/schema/raw/master/csl-citation.json"} </w:instrText>
      </w:r>
      <w:r w:rsidR="00C078F4" w:rsidRPr="00C347AD">
        <w:fldChar w:fldCharType="separate"/>
      </w:r>
      <w:r w:rsidR="00C078F4" w:rsidRPr="00C347AD">
        <w:rPr>
          <w:noProof/>
        </w:rPr>
        <w:t>(Korthagen et al., 2006)</w:t>
      </w:r>
      <w:r w:rsidR="00C078F4" w:rsidRPr="00C347AD">
        <w:fldChar w:fldCharType="end"/>
      </w:r>
      <w:r w:rsidR="00C078F4" w:rsidRPr="00C347AD">
        <w:t xml:space="preserve">. Faculty modeling of best practices for K-12 education to </w:t>
      </w:r>
      <w:r w:rsidR="00B46D1F" w:rsidRPr="00C347AD">
        <w:t>preservice</w:t>
      </w:r>
      <w:r w:rsidR="00C078F4" w:rsidRPr="00C347AD">
        <w:t xml:space="preserve"> teachers has long been proposed as a potential best practice </w:t>
      </w:r>
      <w:r w:rsidR="00C078F4" w:rsidRPr="00C347AD">
        <w:fldChar w:fldCharType="begin"/>
      </w:r>
      <w:r w:rsidR="00F7126F" w:rsidRPr="00C347AD">
        <w:instrText xml:space="preserve"> ADDIN ZOTERO_ITEM CSL_CITATION {"citationID":"1fcov7eeoi","properties":{"formattedCitation":"(Vincent1 Aleccia, 2011; Darling-Hammond, 2005; Korthagen et al., 2006; Loughran &amp; Berry, 2005; R. T. Putnam &amp; Borko, 2000)","plainCitation":"(Vincent1 Aleccia, 2011; Darling-Hammond, 2005; Korthagen et al., 2006; Loughran &amp; Berry, 2005; R. T. Putnam &amp; Borko, 2000)"},"citationItems":[{"id":603,"uris":["http://zotero.org/users/2098925/items/I5DNVFNH"],"uri":["http://zotero.org/users/2098925/items/I5DNVFNH"],"itemData":{"id":603,"type":"article-journal","title":"Walking Our Talk: The Imperative of Teacher Educator Modeling","container-title":"Clearing House","page":"87-90","volume":"84","issue":"3","source":"EBSCOhost","abstract":"If teacher educators are to be effective, they must be sure that their own professional house is in order. To that end, effective teacher educators must be absolutely clear about their professional mission. In addition, they must also have the appropriate background and training to be effective in their mission. Further, they must bridge the chasm between theory and practice as they prepare teacher candidates by keeping current in K-12 contemporary classroom practice. Finally, they must model what it means to be an accomplished classroom teacher for their pre-service teachers including the professional option of earning National Board certification. Only when teacher educators meet these four demanding criteria can we feel with reasonable certainty that they are living up to their job.","DOI":"10.1080/00098655.2010.524951","ISSN":"00098655","shortTitle":"Walking Our Talk","journalAbbreviation":"Clearing House","author":[{"family":"Aleccia","given":"Vincent1"}],"issued":{"date-parts":[["2011",5]]}}},{"id":1067,"uris":["http://zotero.org/users/2098925/items/XHZ5CX8F"],"uri":["http://zotero.org/users/2098925/items/XHZ5CX8F"],"itemData":{"id":1067,"type":"article-journal","title":"Educating the New Educator: Teacher Education and the Future of Democracy","container-title":"The New Educator","page":"1-18","volume":"1","issue":"1","source":"Taylor and Francis+NEJM","DOI":"10.1080/15476880490441379","ISSN":"1547-688X","shortTitle":"Educating the New Educator","author":[{"family":"Darling-Hammond","given":"Linda"}],"issued":{"date-parts":[["2005",2,1]]}}},{"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T."},{"family":"Borko","given":"Hilda"}],"issued":{"date-parts":[["2000",1,1]]}}}],"schema":"https://github.com/citation-style-language/schema/raw/master/csl-citation.json"} </w:instrText>
      </w:r>
      <w:r w:rsidR="00C078F4" w:rsidRPr="00C347AD">
        <w:fldChar w:fldCharType="separate"/>
      </w:r>
      <w:r w:rsidR="00C078F4" w:rsidRPr="00C347AD">
        <w:rPr>
          <w:noProof/>
        </w:rPr>
        <w:t>(Aleccia, 2011; Darling-Hammond, 2005; Korthagen et al., 2006; Loughran &amp; Berry, 2005; Putnam &amp; Borko, 2000)</w:t>
      </w:r>
      <w:r w:rsidR="00C078F4" w:rsidRPr="00C347AD">
        <w:fldChar w:fldCharType="end"/>
      </w:r>
      <w:r w:rsidR="00C078F4" w:rsidRPr="00C347AD">
        <w:t xml:space="preserve">, but has little empirical support </w:t>
      </w:r>
      <w:r w:rsidR="00C078F4" w:rsidRPr="00C347AD">
        <w:fldChar w:fldCharType="begin"/>
      </w:r>
      <w:r w:rsidR="00F7126F" w:rsidRPr="00C347AD">
        <w:instrText xml:space="preserve"> ADDIN ZOTERO_ITEM CSL_CITATION {"citationID":"jk17l03ra","properties":{"formattedCitation":"(Cochran-Smith &amp; Zeichner, 2005a; Korthagen et al., 2006; Merseth, 1996)","plainCitation":"(Cochran-Smith &amp; Zeichner, 2005a; Korthagen et al., 2006; Merseth, 1996)"},"citationItems":[{"id":260,"uris":["http://zotero.org/users/2098925/items/8MZEP338"],"uri":["http://zotero.org/users/2098925/items/8MZEP338"],"itemData":{"id":260,"type":"book","title":"Studying Teacher Education: The Report of the AERA Panel on Research and Teacher Education","publisher":"Lawrence Erlbaum Associates","source":"ERIC","abstract":"This landmark volume presents the work of the American Educational Research Association's Panel on Research and Teacher Education. It represents a systematic effort to apply a common set of scholarly lenses to a range of important topics in teacher education. The Panel's charge was twofold: (1) to create for the larger educational research community a thorough, rigorous, and even-handed analysis of the empirical research evidence relevant to major policies and practices in preservice teacher education in the U.S.; and (2) to propose a research agenda related to teacher education that builds on what is already known and that identifies the research directions that are most promising for the future. Members of the Panel were appointed from various sectors of the educational research community and with different areas of expertise, including teacher education, policy, assessment, research design and methods, liberal arts, multicultural education, and school reform. Building on their diverse perspectives, they ably translated their charge into a series of questions that became the framework for this volume. The questions illuminate many of the issues that have been most contested in past and current discourse about teacher education reform. This book  examines research about the current pool of prospective and entering teachers and about local, institutional, state, and federal preservice teacher education policies and practices. Following a foreword and preface, this book presents the following: (1) Executive Summary: The Report of the AERA Panel on Research and Teacher Education; (2) The AERA Panel on Research and Teacher Education: Context and Goals (M. Cochran-Smith and K. Fries); (3) Researching Teacher Education in Changing Times: Politics and Paradigms (M. Cochran-Smith and K. Fries); (4) Teachers Characteristics: Research on the Demographic Profile (K. Zumwalt and E. Craig); (5) Teachers' Characteristics: Research on the Indicators of Quality (K. Zumwalt and E. Craig); (6) Research on the Effects of Coursework in the Arts and Sciences and in the Foundations of Education (R. Floden and M. Meniketti); (7) Research on Methods Courses and Field Experiences (R. T. Clift and P. Brady); (8) Research on Pedagogical Approaches in Teacher Education (P. Grossman); (9) Research on Preparing Teachers' for Diverse Populations (E. Hollins and M. T. Guzman); (10) Research on Preparing General Education Teachers to Work with Students with Disabilities (M. C. Pugach); (11) Research on Accountability Processes in Teacher Education (S. Wilson and P. Youngs); (12) Teacher Education Programs (K. M. Zeichner and H. G. Conklin); and (13) A Research Agenda for Teacher Education (K. M. Zeichner). The book concludes with: AERA Panel on Research and Teacher Education--Biographies of the Panel Members.","ISBN":"0-8058-5592-0","shortTitle":"Studying Teacher Education","language":"en","author":[{"family":"Cochran-Smith","given":"Marilyn"},{"family":"Zeichner","given":"Kenneth M."}],"issued":{"date-parts":[["2005"]]},"accessed":{"date-parts":[["2015",4,15]]}}},{"id":374,"uris":["http://zotero.org/users/2098925/items/BZ598N29"],"uri":["http://zotero.org/users/2098925/items/BZ598N29"],"itemData":{"id":374,"type":"article-journal","title":"Developing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310,"uris":["http://zotero.org/users/2098925/items/9XFKGIZX"],"uri":["http://zotero.org/users/2098925/items/9XFKGIZX"],"itemData":{"id":310,"type":"article-journal","title":"Cases and case methods in teacher education","container-title":"Handbook of research on teacher education","page":"722-744","volume":"2","author":[{"family":"Merseth","given":"Katherine K."}],"issued":{"date-parts":[["1996"]]}}}],"schema":"https://github.com/citation-style-language/schema/raw/master/csl-citation.json"} </w:instrText>
      </w:r>
      <w:r w:rsidR="00C078F4" w:rsidRPr="00C347AD">
        <w:fldChar w:fldCharType="separate"/>
      </w:r>
      <w:r w:rsidR="00C078F4" w:rsidRPr="00C347AD">
        <w:rPr>
          <w:noProof/>
        </w:rPr>
        <w:t>(Cochran-Smith &amp; Zeichner, 2005a; Korthagen et al., 2006; Merseth, 1996)</w:t>
      </w:r>
      <w:r w:rsidR="00C078F4" w:rsidRPr="00C347AD">
        <w:fldChar w:fldCharType="end"/>
      </w:r>
      <w:r w:rsidR="00C078F4" w:rsidRPr="00C347AD">
        <w:t>. Empirical research is needed to</w:t>
      </w:r>
      <w:r w:rsidR="00DD69A8" w:rsidRPr="00C347AD">
        <w:t xml:space="preserve"> provide justification </w:t>
      </w:r>
      <w:r w:rsidR="00B323A5" w:rsidRPr="00C347AD">
        <w:t>for the notion tha</w:t>
      </w:r>
      <w:r w:rsidR="00546583" w:rsidRPr="00C347AD">
        <w:t>t modeling best practices may actually result in heightened learning and practice among preservice teachers when compared to non-modeled methods (</w:t>
      </w:r>
      <w:r w:rsidR="00B323A5" w:rsidRPr="00C347AD">
        <w:t>e.g.,</w:t>
      </w:r>
      <w:r w:rsidR="00546583" w:rsidRPr="00C347AD">
        <w:t xml:space="preserve"> lecture/textbook reading). </w:t>
      </w:r>
    </w:p>
    <w:p w14:paraId="0EC7DAD4" w14:textId="5F190B94" w:rsidR="00287D98" w:rsidRPr="00C347AD" w:rsidRDefault="00E82F32" w:rsidP="00287D98">
      <w:r w:rsidRPr="00C347AD">
        <w:t xml:space="preserve">Second, </w:t>
      </w:r>
      <w:r w:rsidR="001B2B76" w:rsidRPr="00C347AD">
        <w:t xml:space="preserve">as aforementioned, </w:t>
      </w:r>
      <w:r w:rsidRPr="00C347AD">
        <w:t xml:space="preserve">though </w:t>
      </w:r>
      <w:r w:rsidR="001D1527" w:rsidRPr="00C347AD">
        <w:t>UDL</w:t>
      </w:r>
      <w:r w:rsidRPr="00C347AD">
        <w:t xml:space="preserve"> has been </w:t>
      </w:r>
      <w:r w:rsidR="00AB10AB" w:rsidRPr="00C347AD">
        <w:t>emphasized in federal policy including eight times in the Every Student Succeeds Act (ESSA</w:t>
      </w:r>
      <w:r w:rsidR="00B323A5" w:rsidRPr="00C347AD">
        <w:t>, 2015</w:t>
      </w:r>
      <w:r w:rsidR="00AB10AB" w:rsidRPr="00C347AD">
        <w:t xml:space="preserve">), and </w:t>
      </w:r>
      <w:r w:rsidR="0031052D" w:rsidRPr="00C347AD">
        <w:t xml:space="preserve">has appeared as an independent variable in a wealth of contemporary research </w:t>
      </w:r>
      <w:r w:rsidR="001B2B76" w:rsidRPr="00C347AD">
        <w:fldChar w:fldCharType="begin"/>
      </w:r>
      <w:r w:rsidR="00F7126F" w:rsidRPr="00C347AD">
        <w:instrText xml:space="preserve"> ADDIN ZOTERO_ITEM CSL_CITATION {"citationID":"26sftu6sjr","properties":{"formattedCitation":"(Rao, Ok, &amp; Bryant, 2014)","plainCitation":"(Rao, Ok, &amp; Bryant, 2014)"},"citationItems":[{"id":874,"uris":["http://zotero.org/users/2098925/items/RU9VE9CB"],"uri":["http://zotero.org/users/2098925/items/RU9VE9CB"],"itemData":{"id":874,"type":"article-journal","title":"A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001B2B76" w:rsidRPr="00C347AD">
        <w:fldChar w:fldCharType="separate"/>
      </w:r>
      <w:r w:rsidR="001B2B76" w:rsidRPr="00C347AD">
        <w:rPr>
          <w:noProof/>
        </w:rPr>
        <w:t>(Rao, Ok, &amp; Bryant, 2014)</w:t>
      </w:r>
      <w:r w:rsidR="001B2B76" w:rsidRPr="00C347AD">
        <w:fldChar w:fldCharType="end"/>
      </w:r>
      <w:r w:rsidR="001B2B76" w:rsidRPr="00C347AD">
        <w:t xml:space="preserve">, there remain serious </w:t>
      </w:r>
      <w:r w:rsidR="00AF2B55" w:rsidRPr="00C347AD">
        <w:t>challenges</w:t>
      </w:r>
      <w:r w:rsidR="001B2B76" w:rsidRPr="00C347AD">
        <w:t xml:space="preserve"> in terms of clearly operationalizing UDL </w:t>
      </w:r>
      <w:r w:rsidR="001B2B76" w:rsidRPr="00C347AD">
        <w:fldChar w:fldCharType="begin"/>
      </w:r>
      <w:r w:rsidR="00F7126F" w:rsidRPr="00C347AD">
        <w:instrText xml:space="preserve"> ADDIN ZOTERO_ITEM CSL_CITATION {"citationID":"vr31sjtrk","properties":{"formattedCitation":"(Edyburn, 2010)","plainCitation":"(Edyburn, 2010)"},"citationItems":[{"id":209,"uris":["http://zotero.org/users/2098925/items/7GS75EGJ"],"uri":["http://zotero.org/users/2098925/items/7GS75EGJ"],"itemData":{"id":209,"type":"article-journal","title":"Would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001B2B76" w:rsidRPr="00C347AD">
        <w:fldChar w:fldCharType="separate"/>
      </w:r>
      <w:r w:rsidR="00686343" w:rsidRPr="00C347AD">
        <w:rPr>
          <w:noProof/>
        </w:rPr>
        <w:t>(Edyburn, 2010)</w:t>
      </w:r>
      <w:r w:rsidR="001B2B76" w:rsidRPr="00C347AD">
        <w:fldChar w:fldCharType="end"/>
      </w:r>
      <w:r w:rsidR="00686343" w:rsidRPr="00C347AD">
        <w:t xml:space="preserve">, being consistent in what is meant by UDL in research and practice </w:t>
      </w:r>
      <w:r w:rsidR="00686343" w:rsidRPr="00C347AD">
        <w:fldChar w:fldCharType="begin"/>
      </w:r>
      <w:r w:rsidR="00F7126F" w:rsidRPr="00C347AD">
        <w:instrText xml:space="preserve"> ADDIN ZOTERO_ITEM CSL_CITATION {"citationID":"mgfnlf3hv","properties":{"formattedCitation":"(Edyburn, 2010; Rao et al., 2014)","plainCitation":"(Edyburn, 2010; Rao et al., 2014)"},"citationItems":[{"id":209,"uris":["http://zotero.org/users/2098925/items/7GS75EGJ"],"uri":["http://zotero.org/users/2098925/items/7GS75EGJ"],"itemData":{"id":209,"type":"article-journal","title":"Would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00686343" w:rsidRPr="00C347AD">
        <w:fldChar w:fldCharType="separate"/>
      </w:r>
      <w:r w:rsidR="00686343" w:rsidRPr="00C347AD">
        <w:rPr>
          <w:noProof/>
        </w:rPr>
        <w:t>(Edyburn, 2010; Rao et al., 2014)</w:t>
      </w:r>
      <w:r w:rsidR="00686343" w:rsidRPr="00C347AD">
        <w:fldChar w:fldCharType="end"/>
      </w:r>
      <w:r w:rsidR="00B323A5" w:rsidRPr="00C347AD">
        <w:t>, and in consistency of e</w:t>
      </w:r>
      <w:r w:rsidR="00686343" w:rsidRPr="00C347AD">
        <w:t xml:space="preserve">ducation faculty knowledge and dissemination of knowledge related to UDL to preservice teachers </w:t>
      </w:r>
      <w:r w:rsidR="00686343" w:rsidRPr="00C347AD">
        <w:fldChar w:fldCharType="begin"/>
      </w:r>
      <w:r w:rsidR="00F7126F" w:rsidRPr="00C347AD">
        <w:instrText xml:space="preserve"> ADDIN ZOTERO_ITEM CSL_CITATION {"citationID":"24tonn57t5","properties":{"formattedCitation":"(Vitelli, 2015)","plainCitation":"(Vitelli, 2015)"},"citationItems":[{"id":135,"uris":["http://zotero.org/users/2098925/items/5HPEQ33J"],"uri":["http://zotero.org/users/2098925/items/5HPEQ33J"],"itemData":{"id":135,"type":"article-journal","title":"Universal Design for Learning Are We Teaching It to Preservice General Education Teachers?","container-title":"Journal of Special Education Technology","page":"166-178","volume":"30","issue":"3","author":[{"family":"Vitelli","given":"Edward M."}],"issued":{"date-parts":[["2015"]]}}}],"schema":"https://github.com/citation-style-language/schema/raw/master/csl-citation.json"} </w:instrText>
      </w:r>
      <w:r w:rsidR="00686343" w:rsidRPr="00C347AD">
        <w:fldChar w:fldCharType="separate"/>
      </w:r>
      <w:r w:rsidR="000E3311" w:rsidRPr="00C347AD">
        <w:rPr>
          <w:noProof/>
        </w:rPr>
        <w:t>(Vitelli, 2015)</w:t>
      </w:r>
      <w:r w:rsidR="00686343" w:rsidRPr="00C347AD">
        <w:fldChar w:fldCharType="end"/>
      </w:r>
      <w:r w:rsidR="000E3311" w:rsidRPr="00C347AD">
        <w:t xml:space="preserve">. Given </w:t>
      </w:r>
      <w:r w:rsidR="000E3311" w:rsidRPr="00C347AD">
        <w:lastRenderedPageBreak/>
        <w:t xml:space="preserve">the complexity of UDL as a framework for teaching, and the difficulty </w:t>
      </w:r>
      <w:r w:rsidR="00797F5B" w:rsidRPr="00C347AD">
        <w:t xml:space="preserve">in clearly </w:t>
      </w:r>
      <w:r w:rsidR="00797F5B" w:rsidRPr="00C347AD">
        <w:rPr>
          <w:i/>
        </w:rPr>
        <w:t>stating</w:t>
      </w:r>
      <w:r w:rsidR="00797F5B" w:rsidRPr="00C347AD">
        <w:t xml:space="preserve"> what UDL is </w:t>
      </w:r>
      <w:r w:rsidR="00797F5B" w:rsidRPr="00C347AD">
        <w:fldChar w:fldCharType="begin"/>
      </w:r>
      <w:r w:rsidR="00F7126F" w:rsidRPr="00C347AD">
        <w:instrText xml:space="preserve"> ADDIN ZOTERO_ITEM CSL_CITATION {"citationID":"273kfbv96l","properties":{"formattedCitation":"(Edyburn, 2010)","plainCitation":"(Edyburn, 2010)"},"citationItems":[{"id":209,"uris":["http://zotero.org/users/2098925/items/7GS75EGJ"],"uri":["http://zotero.org/users/2098925/items/7GS75EGJ"],"itemData":{"id":209,"type":"article-journal","title":"Would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00797F5B" w:rsidRPr="00C347AD">
        <w:fldChar w:fldCharType="separate"/>
      </w:r>
      <w:r w:rsidR="00797F5B" w:rsidRPr="00C347AD">
        <w:rPr>
          <w:noProof/>
        </w:rPr>
        <w:t>(Edyburn, 2010)</w:t>
      </w:r>
      <w:r w:rsidR="00797F5B" w:rsidRPr="00C347AD">
        <w:fldChar w:fldCharType="end"/>
      </w:r>
      <w:r w:rsidR="00797F5B" w:rsidRPr="00C347AD">
        <w:t xml:space="preserve">, it may be fairly suggested that UDL would be best </w:t>
      </w:r>
      <w:r w:rsidR="00797F5B" w:rsidRPr="00C347AD">
        <w:rPr>
          <w:i/>
        </w:rPr>
        <w:t>shown</w:t>
      </w:r>
      <w:r w:rsidR="00797F5B" w:rsidRPr="00C347AD">
        <w:t xml:space="preserve"> to preservice teachers, and thus lend</w:t>
      </w:r>
      <w:r w:rsidR="006E19F0" w:rsidRPr="00C347AD">
        <w:t>s</w:t>
      </w:r>
      <w:r w:rsidR="00797F5B" w:rsidRPr="00C347AD">
        <w:t xml:space="preserve"> itself to modeling, as proposed in this study. </w:t>
      </w:r>
    </w:p>
    <w:p w14:paraId="0BBB92B8" w14:textId="5DEA5C6F" w:rsidR="00BD7963" w:rsidRPr="00C347AD" w:rsidRDefault="00287D98" w:rsidP="00BD7963">
      <w:r w:rsidRPr="00C347AD">
        <w:t xml:space="preserve">However, very little research has been conducted on preparing teachers to utilize the framework of UDL. What few manuscripts currently provide research perspectives include case studies, surveys of perspective or practice, and other qualitative research </w:t>
      </w:r>
      <w:r w:rsidRPr="00C347AD">
        <w:fldChar w:fldCharType="begin"/>
      </w:r>
      <w:r w:rsidR="00F7126F" w:rsidRPr="00C347AD">
        <w:instrText xml:space="preserve"> ADDIN ZOTERO_ITEM CSL_CITATION {"citationID":"bL4gBTTn","properties":{"formattedCitation":"(Allday, Neilsen-Gatti, &amp; Hudson, 2013; Berquist, 2013; Cavendish &amp; Espinosa, 2013; Kurtts, 2006; Lang, 2014; McGuire-Schwartz &amp; Arndt, 2007; Vitelli, 2015)","plainCitation":"(Allday, Neilsen-Gatti, &amp; Hudson, 2013; Berquist, 2013; Cavendish &amp; Espinosa, 2013; Kurtts, 2006; Lang, 2014; McGuire-Schwartz &amp; Arndt, 2007; Vitelli, 2015)"},"citationItems":[{"id":778,"uris":["http://zotero.org/users/2098925/items/NXQD8MN2"],"uri":["http://zotero.org/users/2098925/items/NXQD8MN2"],"itemData":{"id":778,"type":"article-journal","title":"Preparation for Inclusion in Teacher Education Pre-Service Curricula","container-title":"Teacher Education and Special Education: The Journal of the Teacher Education Division of the Council for Exceptional Children","page":"298-311","volume":"36","issue":"4","source":"tes.sagepub.com.proxy.lib.utk.edu:90","abstract":"Inclusion of students with disabilities has been practiced and advocated for more than two decades in the United States. This practice involves the placement of students with disabilities in a general education classroom for part or all of the day, and the primary instructor is a general education teacher in collaboration with a special education teacher. The authors reviewed coursework related to inclusion provided to pre-service elementary teachers during their teacher preparation programs. A total of 109 elementary education bachelor’s degree programs were examined to determine the number of course hours devoted to inclusion, instruction, and management of students with disabilities. Results suggest that many teacher preparation programs provide instruction related to characteristics of disabilities and some form of classroom management; however, few programs offer courses specifically related to differentiation of instruction for students with disabilities or collaboration between general and special education teachers.","DOI":"10.1177/0888406413497485","ISSN":"0888-4064, 1944-4931","journalAbbreviation":"Teacher Education and Special Education: The Journal of the Teacher Education Division of the Council for Exceptional Children","language":"en","author":[{"family":"Allday","given":"R. Allan"},{"family":"Neilsen-Gatti","given":"Shelley"},{"family":"Hudson","given":"Tina M."}],"issued":{"date-parts":[["2013",11,1]]}}},{"id":104,"uris":["http://zotero.org/users/2098925/items/4JZG3ZJ8"],"uri":["http://zotero.org/users/2098925/items/4JZG3ZJ8"],"itemData":{"id":104,"type":"article-journal","title":"Universal Design for Learning, conceptual change and teacher education: an exploration of preconceptions and beliefs about practice","container-title":"Towson University Institutional Repository","source":"Google Scholar","URL":"https://mdsoar.org/handle/11603/2042","shortTitle":"Universal Design for Learning, conceptual change and teacher education","author":[{"family":"Berquist","given":"Elizabeth Tessier"}],"issued":{"date-parts":[["2013"]]},"accessed":{"date-parts":[["2016",1,5]]}}},{"id":654,"uris":["http://zotero.org/users/2098925/items/JHKWUVZW"],"uri":["http://zotero.org/users/2098925/items/JHKWUVZW"],"itemData":{"id":654,"type":"chapter","title":"Teacher Preparation for Student Diversity and Disabilities: Changing Roles in Response to Intervention Models","container-title":"Learning Disabilities: Practice Concerns And Students With LD","publisher":"Emerald Group Publishing Limited","page":"189-205","volume":"25","source":"CrossRef","URL":"http://www.emeraldinsight.com/doi/abs/10.1108/S0270-4013%282013%290000025013","ISBN":"978-1-78190-427-5","shortTitle":"Teacher Preparation for Student Diversity and Disabilities","language":"en","editor":[{"family":"Bakken","given":"Jeffrey P."},{"family":"Obiakor","given":"Festus E."},{"family":"Rotatori","given":"Anthony F."}],"author":[{"family":"Cavendish","given":"Wendy"},{"family":"Espinosa","given":"Anabel"}],"issued":{"date-parts":[["2013",1]]},"accessed":{"date-parts":[["2016",1,5]]}}},{"id":882,"uris":["http://zotero.org/users/2098925/items/S9PZ5PCT"],"uri":["http://zotero.org/users/2098925/items/S9PZ5PCT"],"itemData":{"id":882,"type":"article-journal","title":"Universal Design for Learning in Inclusive Classrooms","container-title":"Electronic Journal for Inclusive Education 1 (10)","source":"Google Scholar","URL":"http://corescholar.libraries.wright.edu/ejie/vol1/iss10/7/","author":[{"family":"Kurtts","given":"Stephanie A."}],"issued":{"date-parts":[["2006"]]},"accessed":{"date-parts":[["2016",1,5]]}}},{"id":604,"uris":["http://zotero.org/users/2098925/items/I5KZDXEC"],"uri":["http://zotero.org/users/2098925/items/I5KZDXEC"],"itemData":{"id":604,"type":"article-journal","title":"Preparing Preservice Teachers for Inclusive Classrooms: A State-Wide Survey of Teacher Education Faculty","author":[{"family":"Lang","given":"Lucinda Anne Ellenburg"}],"issued":{"date-parts":[["2014"]]}}},{"id":1013,"uris":["http://zotero.org/users/2098925/items/VWIQWCWZ"],"uri":["http://zotero.org/users/2098925/items/VWIQWCWZ"],"itemData":{"id":1013,"type":"article-journal","title":"Transforming Universal Design for Learning in Early Childhood Teacher Education from College Classroom to Early Childhood Classroom","container-title":"Journal of Early Childhood Teacher Education","page":"127-139","volume":"28","issue":"2","source":"EBSCOhost","abstract":"This article focuses on the application of Universal Design for Learning from theory to practice from the college classroom to the practicum experiences of preservice teacher candidates. It combines description of two research projects that explored and documented how participants understand and use Universal Design for Learning in lesson planning. Universal Design for Learning holds promise in training early childhood teacher educators to work with diverse populations and to provide access to learning for all students, including children with special needs. In Study One, 36 teacher candidates used action research to implement a Universal Design for Learning strategy, collect and analyze data, and become researchers. In Study Two, five teacher candidates were introduced to the principles of Universal Design for Learning and designed lesson plans for their practica. These qualitative research studies explored and documented how teacher candidates understand, introduce, and integrate the principles and practices of Universal Design for Learning. An overview of principles and practices of Universal Design for Learning, its use in the college classroom, its application in lesson planning and teaching, and the use of action research to determine its impact on the learning of all students in public school classrooms are presented.","DOI":"10.1080/10901020701366707","ISSN":"10901027","journalAbbreviation":"Journal of Early Childhood Teacher Education","author":[{"family":"McGuire-Schwartz","given":"Mary Ellen1","dropping-particle":"mmcguire@ric.edu","suffix":""},{"family":"Arndt","given":"Janet S.2"}],"issued":{"date-parts":[["2007",4]]}}},{"id":135,"uris":["http://zotero.org/users/2098925/items/5HPEQ33J"],"uri":["http://zotero.org/users/2098925/items/5HPEQ33J"],"itemData":{"id":135,"type":"article-journal","title":"Universal Design for Learning Are We Teaching It to Preservice General Education Teachers?","container-title":"Journal of Special Education Technology","page":"166-178","volume":"30","issue":"3","author":[{"family":"Vitelli","given":"Edward M."}],"issued":{"date-parts":[["2015"]]}}}],"schema":"https://github.com/citation-style-language/schema/raw/master/csl-citation.json"} </w:instrText>
      </w:r>
      <w:r w:rsidRPr="00C347AD">
        <w:fldChar w:fldCharType="separate"/>
      </w:r>
      <w:r w:rsidRPr="00C347AD">
        <w:t>(Allday, Neilsen-Gatti, &amp; Hudson, 2013; Berquist, 2013; Cavendish &amp; Espinosa, 2013; Kurtts, 2006; Lang, 2014; McGuire-Schwartz &amp; Arndt, 2007)</w:t>
      </w:r>
      <w:r w:rsidRPr="00C347AD">
        <w:fldChar w:fldCharType="end"/>
      </w:r>
      <w:r w:rsidRPr="00C347AD">
        <w:t xml:space="preserve">, and a very few empirically designed quantitative </w:t>
      </w:r>
      <w:r w:rsidRPr="00C347AD">
        <w:rPr>
          <w:highlight w:val="yellow"/>
        </w:rPr>
        <w:t xml:space="preserve">studies </w:t>
      </w:r>
      <w:r w:rsidRPr="00C347AD">
        <w:rPr>
          <w:highlight w:val="yellow"/>
        </w:rPr>
        <w:fldChar w:fldCharType="begin"/>
      </w:r>
      <w:r w:rsidR="00F7126F" w:rsidRPr="00C347AD">
        <w:rPr>
          <w:highlight w:val="yellow"/>
        </w:rPr>
        <w:instrText xml:space="preserve"> ADDIN ZOTERO_ITEM CSL_CITATION {"citationID":"156o0j81il","properties":{"formattedCitation":"(Aronin, 2009; Courey, Tappe, Siker, &amp; LePage, 2013; Killoran, Woronko, &amp; Zaretsky, 2014; Spooner, Baker, Harris, Delzell, &amp; Browder, 2007a)","plainCitation":"(Aronin, 2009; Courey, Tappe, Siker, &amp; LePage, 2013; Killoran, Woronko, &amp; Zaretsky, 2014; Spooner, Baker, Harris, Delzell, &amp; Browder, 2007a)"},"citationItems":[{"id":665,"uris":["http://zotero.org/users/2098925/items/JVZN6JRS"],"uri":["http://zotero.org/users/2098925/items/JVZN6JRS"],"itemData":{"id":665,"type":"thesis","title":"Integrating universal design for learning through content video with preservice teachers","publisher":"University of Central Florida Orlando, Florida","source":"Google Scholar","URL":"http://etd.fcla.edu/CF/CFE0002816/Aronin_Sara_A_200908_PhD.pdf","author":[{"family":"Aronin","given":"Sara Ann"}],"issued":{"date-parts":[["2009"]]},"accessed":{"date-parts":[["2016",1,5]]}}},{"id":1046,"uris":["http://zotero.org/users/2098925/items/WZ4JRR4F"],"uri":["http://zotero.org/users/2098925/items/WZ4JRR4F"],"itemData":{"id":1046,"type":"article-journal","title":"Improved Lesson Planning With Universal Design for Learning (UDL)","container-title":"Teacher Education and Special Education: The Journal of the Teacher Education Division of the Council for Exceptional Children","page":"7-27","volume":"36","issue":"1","source":"tes.sagepub.com","abstract":"Efficient lesson planning with universal design for learning (UDL) enables teachers to more effectively meet students’ individual needs. In this study, a comparison of lesson plans by teacher candidates in a teacher preparation program before and after UDL training is presented. After training, teachers (n = 45) incorporated more differentiated options and varied teacher strategies based on UDL principles into their lesson plans, so that the content was more accessible to all students. A variety of changes and options was examined, and examples of commonly occurring choices selected by the teacher candidates were provided. The improved multiplicity of options in lesson planning demonstrates a better understanding of UDL principles; however, teachers need more experience in actually implementing the UDL principles in their classrooms.","DOI":"10.1177/0888406412446178","ISSN":"0888-4064, 1944-4931","journalAbbreviation":"Teacher Education and Special Education: The Journal of the Teacher Education Division of the Council for Exceptional Children","language":"en","author":[{"family":"Courey","given":"Susan Joan"},{"family":"Tappe","given":"Phyllis"},{"family":"Siker","given":"Jody"},{"family":"LePage","given":"Pam"}],"issued":{"date-parts":[["2013",2,1]]}}},{"id":527,"uris":["http://zotero.org/users/2098925/items/FXZNZ9PQ"],"uri":["http://zotero.org/users/2098925/items/FXZNZ9PQ"],"itemData":{"id":527,"type":"article-journal","title":"Exploring preservice teachers' attitudes towards inclusion","container-title":"International Journal of Inclusive Education","page":"427-442","volume":"18","issue":"4","source":"Taylor and Francis+NEJM","abstract":"This study responds to a call for research into existing teacher-education programmes and their impact on teacher candidates' attitudes. An inclusive education course that examined the difference between ‘soft inclusion’ (inclusion which addresses the issue of place rather than substance of learning) and genuine inclusion was used to explore pre-existing teacher candidate beliefs and assumptions. Using the Opinions Relative to Mainstreaming-Adapted, four classes of students from two different teacher-preparation programmes within the Faculty of Education at York University in Toronto, Canada, were surveyed pre- and post-course. A statistically significant change in the scores was found for all of the classes. A significant difference was also found between the changes in scores of the two programme groups. Results indicate that the course was successful at shifting preservice students towards inclusion and gave the students a foundation that will hopefully translate into practice.","DOI":"10.1080/13603116.2013.784367","ISSN":"1360-3116","author":[{"family":"Killoran","given":"Isabel"},{"family":"Woronko","given":"Dagmara"},{"family":"Zaretsky","given":"Hayley"}],"issued":{"date-parts":[["2014",4,3]]}}},{"id":1065,"uris":["http://zotero.org/users/2098925/items/FHPWD6XK"],"uri":["http://zotero.org/users/2098925/items/FHPWD6XK"],"itemData":{"id":1065,"type":"article-journal","title":"Effects of Training in Universal Design for Learning on Lesson Plan Development","container-title":"Remedial &amp; Special Education","page":"108-116","volume":"28","issue":"2","source":"EBSCOhost","abstract":"The effects of training in Universal Design for Learning (UDL) on lesson plan development of special and general educators in a college classroom environment were investigated. A true experimental group design with a control group was used for this study. A one-hour teacher training session introduced UDL to the experimental group; the control group received the intervention later. A three-factor analysis of variance with repeated measures was completed for each of the dependent variables (i.e., UDL lesson plan). Differences were found between pretest and posttest measures for both treatment groups for special education and general education teachers. The results suggest that a simple introduction to UDL can help teachers to design a lesson plan accessible for all students.","ISSN":"07419325","journalAbbreviation":"Remedial &amp; Special Education","author":[{"family":"Spooner","given":"Fred"},{"family":"Baker","given":"Joshua N."},{"family":"Harris","given":"Amber A."},{"family":"Delzell","given":"Lynn Ahlgrim"},{"family":"Browder","given":"Diane M."}],"issued":{"date-parts":[["2007",4,3]]}}}],"schema":"https://github.com/citation-style-language/schema/raw/master/csl-citation.json"} </w:instrText>
      </w:r>
      <w:r w:rsidRPr="00C347AD">
        <w:rPr>
          <w:highlight w:val="yellow"/>
        </w:rPr>
        <w:fldChar w:fldCharType="separate"/>
      </w:r>
      <w:r w:rsidR="001D2145" w:rsidRPr="00C347AD">
        <w:rPr>
          <w:highlight w:val="yellow"/>
        </w:rPr>
        <w:t>(Aronin, 2009; Courey, Tappe, Siker, &amp; LePage, 2013; Killoran, Woronko, &amp; Zaretsky, 2014; Spooner, Baker, Harris, Delzell, &amp; Browder, 2007a)</w:t>
      </w:r>
      <w:r w:rsidRPr="00C347AD">
        <w:rPr>
          <w:highlight w:val="yellow"/>
        </w:rPr>
        <w:fldChar w:fldCharType="end"/>
      </w:r>
      <w:r w:rsidR="00284BD3" w:rsidRPr="00C347AD">
        <w:rPr>
          <w:highlight w:val="yellow"/>
        </w:rPr>
        <w:t xml:space="preserve">, which </w:t>
      </w:r>
      <w:r w:rsidRPr="00C347AD">
        <w:rPr>
          <w:highlight w:val="yellow"/>
        </w:rPr>
        <w:t>tend to focus on how short UDL interventions (</w:t>
      </w:r>
      <w:r w:rsidR="00B323A5" w:rsidRPr="00C347AD">
        <w:rPr>
          <w:highlight w:val="yellow"/>
        </w:rPr>
        <w:t>e.g.,</w:t>
      </w:r>
      <w:r w:rsidRPr="00C347AD">
        <w:rPr>
          <w:highlight w:val="yellow"/>
        </w:rPr>
        <w:t xml:space="preserve"> video or live modeling UDL, explicit training in UDL) lead to reported change in attitudes toward inclusion </w:t>
      </w:r>
      <w:r w:rsidRPr="00C347AD">
        <w:rPr>
          <w:highlight w:val="yellow"/>
        </w:rPr>
        <w:fldChar w:fldCharType="begin"/>
      </w:r>
      <w:r w:rsidR="00F7126F" w:rsidRPr="00C347AD">
        <w:rPr>
          <w:highlight w:val="yellow"/>
        </w:rPr>
        <w:instrText xml:space="preserve"> ADDIN ZOTERO_ITEM CSL_CITATION {"citationID":"1oo9dri85k","properties":{"formattedCitation":"(Killoran et al., 2014)","plainCitation":"(Killoran et al., 2014)"},"citationItems":[{"id":527,"uris":["http://zotero.org/users/2098925/items/FXZNZ9PQ"],"uri":["http://zotero.org/users/2098925/items/FXZNZ9PQ"],"itemData":{"id":527,"type":"article-journal","title":"Exploring preservice teachers' attitudes towards inclusion","container-title":"International Journal of Inclusive Education","page":"427-442","volume":"18","issue":"4","source":"Taylor and Francis+NEJM","abstract":"This study responds to a call for research into existing teacher-education programmes and their impact on teacher candidates' attitudes. An inclusive education course that examined the difference between ‘soft inclusion’ (inclusion which addresses the issue of place rather than substance of learning) and genuine inclusion was used to explore pre-existing teacher candidate beliefs and assumptions. Using the Opinions Relative to Mainstreaming-Adapted, four classes of students from two different teacher-preparation programmes within the Faculty of Education at York University in Toronto, Canada, were surveyed pre- and post-course. A statistically significant change in the scores was found for all of the classes. A significant difference was also found between the changes in scores of the two programme groups. Results indicate that the course was successful at shifting preservice students towards inclusion and gave the students a foundation that will hopefully translate into practice.","DOI":"10.1080/13603116.2013.784367","ISSN":"1360-3116","author":[{"family":"Killoran","given":"Isabel"},{"family":"Woronko","given":"Dagmara"},{"family":"Zaretsky","given":"Hayley"}],"issued":{"date-parts":[["2014",4,3]]}}}],"schema":"https://github.com/citation-style-language/schema/raw/master/csl-citation.json"} </w:instrText>
      </w:r>
      <w:r w:rsidRPr="00C347AD">
        <w:rPr>
          <w:highlight w:val="yellow"/>
        </w:rPr>
        <w:fldChar w:fldCharType="separate"/>
      </w:r>
      <w:r w:rsidRPr="00C347AD">
        <w:rPr>
          <w:highlight w:val="yellow"/>
        </w:rPr>
        <w:t>(Killoran et al., 2014)</w:t>
      </w:r>
      <w:r w:rsidRPr="00C347AD">
        <w:rPr>
          <w:highlight w:val="yellow"/>
        </w:rPr>
        <w:fldChar w:fldCharType="end"/>
      </w:r>
      <w:r w:rsidRPr="00C347AD">
        <w:rPr>
          <w:highlight w:val="yellow"/>
        </w:rPr>
        <w:t xml:space="preserve"> or performance on universally designed lesson plans </w:t>
      </w:r>
      <w:r w:rsidRPr="00C347AD">
        <w:rPr>
          <w:highlight w:val="yellow"/>
        </w:rPr>
        <w:fldChar w:fldCharType="begin"/>
      </w:r>
      <w:r w:rsidR="00F7126F" w:rsidRPr="00C347AD">
        <w:rPr>
          <w:highlight w:val="yellow"/>
        </w:rPr>
        <w:instrText xml:space="preserve"> ADDIN ZOTERO_ITEM CSL_CITATION {"citationID":"lVdlus5H","properties":{"formattedCitation":"(Aronin, 2009; Courey et al., 2013; Spooner et al., 2007a)","plainCitation":"(Aronin, 2009; Courey et al., 2013; Spooner et al., 2007a)"},"citationItems":[{"id":665,"uris":["http://zotero.org/users/2098925/items/JVZN6JRS"],"uri":["http://zotero.org/users/2098925/items/JVZN6JRS"],"itemData":{"id":665,"type":"thesis","title":"Integrating universal design for learning through content video with preservice teachers","publisher":"University of Central Florida Orlando, Florida","source":"Google Scholar","URL":"http://etd.fcla.edu/CF/CFE0002816/Aronin_Sara_A_200908_PhD.pdf","author":[{"family":"Aronin","given":"Sara Ann"}],"issued":{"date-parts":[["2009"]]},"accessed":{"date-parts":[["2016",1,5]]}}},{"id":1046,"uris":["http://zotero.org/users/2098925/items/WZ4JRR4F"],"uri":["http://zotero.org/users/2098925/items/WZ4JRR4F"],"itemData":{"id":1046,"type":"article-journal","title":"Improved Lesson Planning With Universal Design for Learning (UDL)","container-title":"Teacher Education and Special Education: The Journal of the Teacher Education Division of the Council for Exceptional Children","page":"7-27","volume":"36","issue":"1","source":"tes.sagepub.com","abstract":"Efficient lesson planning with universal design for learning (UDL) enables teachers to more effectively meet students’ individual needs. In this study, a comparison of lesson plans by teacher candidates in a teacher preparation program before and after UDL training is presented. After training, teachers (n = 45) incorporated more differentiated options and varied teacher strategies based on UDL principles into their lesson plans, so that the content was more accessible to all students. A variety of changes and options was examined, and examples of commonly occurring choices selected by the teacher candidates were provided. The improved multiplicity of options in lesson planning demonstrates a better understanding of UDL principles; however, teachers need more experience in actually implementing the UDL principles in their classrooms.","DOI":"10.1177/0888406412446178","ISSN":"0888-4064, 1944-4931","journalAbbreviation":"Teacher Education and Special Education: The Journal of the Teacher Education Division of the Council for Exceptional Children","language":"en","author":[{"family":"Courey","given":"Susan Joan"},{"family":"Tappe","given":"Phyllis"},{"family":"Siker","given":"Jody"},{"family":"LePage","given":"Pam"}],"issued":{"date-parts":[["2013",2,1]]}}},{"id":1065,"uris":["http://zotero.org/users/2098925/items/FHPWD6XK"],"uri":["http://zotero.org/users/2098925/items/FHPWD6XK"],"itemData":{"id":1065,"type":"article-journal","title":"Effects of Training in Universal Design for Learning on Lesson Plan Development","container-title":"Remedial &amp; Special Education","page":"108-116","volume":"28","issue":"2","source":"EBSCOhost","abstract":"The effects of training in Universal Design for Learning (UDL) on lesson plan development of special and general educators in a college classroom environment were investigated. A true experimental group design with a control group was used for this study. A one-hour teacher training session introduced UDL to the experimental group; the control group received the intervention later. A three-factor analysis of variance with repeated measures was completed for each of the dependent variables (i.e., UDL lesson plan). Differences were found between pretest and posttest measures for both treatment groups for special education and general education teachers. The results suggest that a simple introduction to UDL can help teachers to design a lesson plan accessible for all students.","ISSN":"07419325","journalAbbreviation":"Remedial &amp; Special Education","author":[{"family":"Spooner","given":"Fred"},{"family":"Baker","given":"Joshua N."},{"family":"Harris","given":"Amber A."},{"family":"Delzell","given":"Lynn Ahlgrim"},{"family":"Browder","given":"Diane M."}],"issued":{"date-parts":[["2007",4,3]]}}}],"schema":"https://github.com/citation-style-language/schema/raw/master/csl-citation.json"} </w:instrText>
      </w:r>
      <w:r w:rsidRPr="00C347AD">
        <w:rPr>
          <w:highlight w:val="yellow"/>
        </w:rPr>
        <w:fldChar w:fldCharType="separate"/>
      </w:r>
      <w:r w:rsidR="001D2145" w:rsidRPr="00C347AD">
        <w:rPr>
          <w:highlight w:val="yellow"/>
        </w:rPr>
        <w:t>(Aronin, 2009; Courey et al., 2013; Spooner et al., 2007a)</w:t>
      </w:r>
      <w:r w:rsidRPr="00C347AD">
        <w:rPr>
          <w:highlight w:val="yellow"/>
        </w:rPr>
        <w:fldChar w:fldCharType="end"/>
      </w:r>
      <w:r w:rsidRPr="00C347AD">
        <w:rPr>
          <w:highlight w:val="yellow"/>
        </w:rPr>
        <w:t>.</w:t>
      </w:r>
      <w:r w:rsidR="00284BD3" w:rsidRPr="00C347AD">
        <w:rPr>
          <w:highlight w:val="yellow"/>
        </w:rPr>
        <w:t xml:space="preserve"> The only research available that examines the effect of modeling</w:t>
      </w:r>
      <w:r w:rsidR="00BD7963" w:rsidRPr="00C347AD">
        <w:rPr>
          <w:highlight w:val="yellow"/>
        </w:rPr>
        <w:t xml:space="preserve"> UDL on preservice teachers is Aronin’s (2009)</w:t>
      </w:r>
      <w:r w:rsidR="00284BD3" w:rsidRPr="00C347AD">
        <w:t xml:space="preserve"> dissertation </w:t>
      </w:r>
      <w:r w:rsidR="00BD7963" w:rsidRPr="00C347AD">
        <w:t xml:space="preserve">in which she explored the effect of contextually relevant video modeling of UDL on elementary preservice teachers on their knowledge and understanding of UDL, their confidence in teaching UDL and their ability to construct UDL lesson plans. </w:t>
      </w:r>
      <w:r w:rsidR="00FA293F" w:rsidRPr="00C347AD">
        <w:t xml:space="preserve">More work is needed to provide practical solutions for– and empirical evidence to support– </w:t>
      </w:r>
      <w:r w:rsidR="0045612B" w:rsidRPr="00C347AD">
        <w:t xml:space="preserve">the preparation of preservice teachers to practice UDL. </w:t>
      </w:r>
      <w:r w:rsidR="00FA293F" w:rsidRPr="00C347AD">
        <w:t xml:space="preserve"> </w:t>
      </w:r>
    </w:p>
    <w:p w14:paraId="1E8FBB6A" w14:textId="69BA56B6" w:rsidR="007C4926" w:rsidRPr="00C347AD" w:rsidRDefault="007C4926" w:rsidP="00FE779B">
      <w:pPr>
        <w:pStyle w:val="Heading2"/>
      </w:pPr>
      <w:bookmarkStart w:id="25" w:name="_Toc466104353"/>
      <w:bookmarkStart w:id="26" w:name="_Toc470600330"/>
      <w:bookmarkStart w:id="27" w:name="_Toc471890438"/>
      <w:r w:rsidRPr="00C347AD">
        <w:lastRenderedPageBreak/>
        <w:t>Purpose of the Study</w:t>
      </w:r>
      <w:bookmarkEnd w:id="25"/>
      <w:bookmarkEnd w:id="26"/>
      <w:bookmarkEnd w:id="27"/>
      <w:r w:rsidRPr="00C347AD">
        <w:t xml:space="preserve"> </w:t>
      </w:r>
    </w:p>
    <w:p w14:paraId="0587BCC6" w14:textId="576E871B" w:rsidR="00126D60" w:rsidRPr="00C347AD" w:rsidRDefault="006E19F0" w:rsidP="00FD0511">
      <w:pPr>
        <w:pStyle w:val="Caption"/>
        <w:ind w:firstLine="720"/>
      </w:pPr>
      <w:r w:rsidRPr="00C347AD">
        <w:t>The purpose of this study is</w:t>
      </w:r>
      <w:r w:rsidR="0045612B" w:rsidRPr="00C347AD">
        <w:t xml:space="preserve"> </w:t>
      </w:r>
      <w:r w:rsidRPr="00C347AD">
        <w:t xml:space="preserve">(1) to pilot a new method of </w:t>
      </w:r>
      <w:r w:rsidR="001B18B0" w:rsidRPr="00C347AD">
        <w:t xml:space="preserve">operationalizing UDL (see Chapter 3), (2) to empirically test the effect of modeling UDL on preservice teacher knowledge of UDL, sense of efficacy in practicing UDL, </w:t>
      </w:r>
      <w:r w:rsidR="00A9508C" w:rsidRPr="00C347AD">
        <w:t>and</w:t>
      </w:r>
      <w:r w:rsidR="008B6A25" w:rsidRPr="00C347AD">
        <w:t xml:space="preserve"> their intention to include diverse students, including those with disabilities. </w:t>
      </w:r>
      <w:r w:rsidR="00695D3F" w:rsidRPr="00C347AD">
        <w:t xml:space="preserve"> </w:t>
      </w:r>
      <w:r w:rsidR="0045612B" w:rsidRPr="00C347AD">
        <w:t xml:space="preserve"> </w:t>
      </w:r>
    </w:p>
    <w:p w14:paraId="7CCF1421" w14:textId="7B970D25" w:rsidR="007C4926" w:rsidRPr="00C347AD" w:rsidRDefault="00BD2AEF" w:rsidP="00FE779B">
      <w:pPr>
        <w:pStyle w:val="Heading2"/>
      </w:pPr>
      <w:bookmarkStart w:id="28" w:name="_Toc466104354"/>
      <w:bookmarkStart w:id="29" w:name="_Toc470600331"/>
      <w:bookmarkStart w:id="30" w:name="_Toc471890439"/>
      <w:r w:rsidRPr="00C347AD">
        <w:t>Research Question</w:t>
      </w:r>
      <w:bookmarkEnd w:id="28"/>
      <w:bookmarkEnd w:id="29"/>
      <w:bookmarkEnd w:id="30"/>
    </w:p>
    <w:p w14:paraId="5A33F1A4" w14:textId="1E5F3762" w:rsidR="00244128" w:rsidRPr="00C347AD" w:rsidRDefault="00244128" w:rsidP="00244128">
      <w:bookmarkStart w:id="31" w:name="_Toc466104355"/>
      <w:bookmarkStart w:id="32" w:name="_Toc470600332"/>
      <w:r w:rsidRPr="00C347AD">
        <w:t xml:space="preserve">Does </w:t>
      </w:r>
      <w:r w:rsidR="00C23383" w:rsidRPr="00C347AD">
        <w:t xml:space="preserve">explicitly </w:t>
      </w:r>
      <w:r w:rsidRPr="00C347AD">
        <w:t>modeling UDL principles and practice compared to traditional instruction (e.g., lecture and textbook reading) while teaching non-UDL-based course content result in greater development for preservice teachers in terms of their (1) knowledge, (2) sense of efficacy and (3) attitudes regarding inclusion of diverse students, including those with disabilities, in the same period of time?</w:t>
      </w:r>
    </w:p>
    <w:p w14:paraId="66448E87" w14:textId="05E4B7BD" w:rsidR="007C4926" w:rsidRPr="00C347AD" w:rsidRDefault="007C4926" w:rsidP="00FE779B">
      <w:pPr>
        <w:pStyle w:val="Heading2"/>
      </w:pPr>
      <w:bookmarkStart w:id="33" w:name="_Toc471890440"/>
      <w:r w:rsidRPr="00C347AD">
        <w:t>Hypotheses</w:t>
      </w:r>
      <w:bookmarkEnd w:id="31"/>
      <w:bookmarkEnd w:id="32"/>
      <w:bookmarkEnd w:id="33"/>
      <w:r w:rsidRPr="00C347AD">
        <w:t xml:space="preserve"> </w:t>
      </w:r>
    </w:p>
    <w:p w14:paraId="4361B692" w14:textId="7C2158AE" w:rsidR="00126D60" w:rsidRPr="00C347AD" w:rsidRDefault="001E1AEF" w:rsidP="001E1AEF">
      <w:r w:rsidRPr="00C347AD">
        <w:t>There will be a statistically significant (</w:t>
      </w:r>
      <w:r w:rsidRPr="00C347AD">
        <w:rPr>
          <w:i/>
        </w:rPr>
        <w:t xml:space="preserve">p &lt; </w:t>
      </w:r>
      <w:r w:rsidRPr="00C347AD">
        <w:t xml:space="preserve">.05) difference between the two groups (i.e., those who are taught using explicit modeling </w:t>
      </w:r>
      <w:r w:rsidRPr="00C347AD">
        <w:fldChar w:fldCharType="begin"/>
      </w:r>
      <w:r w:rsidR="00F7126F" w:rsidRPr="00C347AD">
        <w:instrText xml:space="preserve"> ADDIN ZOTERO_ITEM CSL_CITATION {"citationID":"85UgmCq5","properties":{"formattedCitation":"(Lunenberg et al., 2007)","plainCitation":"(Lunenberg et al., 2007)"},"citationItems":[{"id":669,"uris":["http://zotero.org/users/2098925/items/JZ76C86M"],"uri":["http://zotero.org/users/2098925/items/JZ76C86M"],"itemData":{"id":669,"type":"article-journal","title":"The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Education","author":[{"family":"Lunenberg","given":"Mieke"},{"family":"Korthagen","given":"Fred"},{"family":"Swennen","given":"Anja"}],"issued":{"date-parts":[["2007",7]]}}}],"schema":"https://github.com/citation-style-language/schema/raw/master/csl-citation.json"} </w:instrText>
      </w:r>
      <w:r w:rsidRPr="00C347AD">
        <w:fldChar w:fldCharType="separate"/>
      </w:r>
      <w:r w:rsidRPr="00C347AD">
        <w:rPr>
          <w:noProof/>
        </w:rPr>
        <w:t>(Lunenberg et al., 2007)</w:t>
      </w:r>
      <w:r w:rsidRPr="00C347AD">
        <w:fldChar w:fldCharType="end"/>
      </w:r>
      <w:r w:rsidRPr="00C347AD">
        <w:t xml:space="preserve"> of UDL and those who are taught using textbook and lecture format only) in terms of knowledge of UDL, sense of efficacy in utilizing UDL, and attitudes regarding inclusion of diverse students and students with disabilities. </w:t>
      </w:r>
    </w:p>
    <w:p w14:paraId="30919A4E" w14:textId="608E2C24" w:rsidR="007C4926" w:rsidRPr="00C347AD" w:rsidRDefault="007C4926" w:rsidP="00FE779B">
      <w:pPr>
        <w:pStyle w:val="Heading2"/>
      </w:pPr>
      <w:bookmarkStart w:id="34" w:name="_Toc466104356"/>
      <w:bookmarkStart w:id="35" w:name="_Toc470600333"/>
      <w:bookmarkStart w:id="36" w:name="_Toc471890441"/>
      <w:r w:rsidRPr="00C347AD">
        <w:t>Summary</w:t>
      </w:r>
      <w:bookmarkEnd w:id="34"/>
      <w:bookmarkEnd w:id="35"/>
      <w:bookmarkEnd w:id="36"/>
      <w:r w:rsidRPr="00C347AD">
        <w:t xml:space="preserve"> </w:t>
      </w:r>
    </w:p>
    <w:p w14:paraId="5CD97940" w14:textId="17DE7770" w:rsidR="007C4926" w:rsidRPr="00C347AD" w:rsidRDefault="00A572A2" w:rsidP="00FD0511">
      <w:pPr>
        <w:pStyle w:val="Caption"/>
        <w:ind w:firstLine="720"/>
      </w:pPr>
      <w:r w:rsidRPr="00C347AD">
        <w:t>Quality K-12 education is of central importance to democratic societi</w:t>
      </w:r>
      <w:r w:rsidR="00860360" w:rsidRPr="00C347AD">
        <w:t>es such as the United States</w:t>
      </w:r>
      <w:r w:rsidRPr="00C347AD">
        <w:t xml:space="preserve">. </w:t>
      </w:r>
      <w:r w:rsidR="00601F1D" w:rsidRPr="00C347AD">
        <w:t xml:space="preserve">It is appropriate and expected that emphasis would be placed on ensuring high quality output therein. However, K-12 education does not </w:t>
      </w:r>
      <w:r w:rsidR="00056086" w:rsidRPr="00C347AD">
        <w:t xml:space="preserve">occur in </w:t>
      </w:r>
      <w:r w:rsidR="00056086" w:rsidRPr="00C347AD">
        <w:lastRenderedPageBreak/>
        <w:t xml:space="preserve">isolation, but in social, economic, and political context. </w:t>
      </w:r>
      <w:r w:rsidR="001007F8" w:rsidRPr="00C347AD">
        <w:t>The field of education is also systematic</w:t>
      </w:r>
      <w:r w:rsidR="00056086" w:rsidRPr="00C347AD">
        <w:t>,</w:t>
      </w:r>
      <w:r w:rsidR="00527432" w:rsidRPr="00C347AD">
        <w:t xml:space="preserve"> resulting in linear or semi-linear networking of schools, teachers, teacher preparation programs, and researchers. As a result,</w:t>
      </w:r>
      <w:r w:rsidR="00056086" w:rsidRPr="00C347AD">
        <w:t xml:space="preserve"> perceived deficiencies in K-12 put pressure on K-12 teachers, then teacher preparation programs, and </w:t>
      </w:r>
      <w:r w:rsidR="001007F8" w:rsidRPr="00C347AD">
        <w:t>generate</w:t>
      </w:r>
      <w:r w:rsidR="00056086" w:rsidRPr="00C347AD">
        <w:t xml:space="preserve"> new lines of research to address these </w:t>
      </w:r>
      <w:r w:rsidR="00527432" w:rsidRPr="00C347AD">
        <w:t xml:space="preserve">perceived deficiencies. </w:t>
      </w:r>
    </w:p>
    <w:p w14:paraId="7D51F79B" w14:textId="266D115D" w:rsidR="00EC3DD1" w:rsidRPr="00C347AD" w:rsidRDefault="00527432" w:rsidP="00527432">
      <w:r w:rsidRPr="00C347AD">
        <w:t xml:space="preserve">One contemporary perception of deficiency may be seen in the growing achievement gap that exists between </w:t>
      </w:r>
      <w:r w:rsidR="00ED4022" w:rsidRPr="00C347AD">
        <w:t xml:space="preserve">less and more diverse students (on the basis of race, socio-economic status, linguistic and ability diversity, etc.). It has been noted that teachers need to be better equipped with </w:t>
      </w:r>
      <w:r w:rsidR="00BC0D4F" w:rsidRPr="00C347AD">
        <w:t>efficacy</w:t>
      </w:r>
      <w:r w:rsidR="00ED4022" w:rsidRPr="00C347AD">
        <w:t xml:space="preserve">, attitudes, and ability to provide for the diverse needs of all learners, which implies that teacher preparation programs need to take responsibility for </w:t>
      </w:r>
      <w:r w:rsidR="00EC3DD1" w:rsidRPr="00C347AD">
        <w:t>equipping teachers as such</w:t>
      </w:r>
      <w:r w:rsidR="00ED4022" w:rsidRPr="00C347AD">
        <w:t xml:space="preserve">. </w:t>
      </w:r>
      <w:r w:rsidR="00EC3DD1" w:rsidRPr="00C347AD">
        <w:t>However, there is little consensus as to how to do so.</w:t>
      </w:r>
    </w:p>
    <w:p w14:paraId="4B6DCFB2" w14:textId="36486415" w:rsidR="00FA4D6E" w:rsidRPr="00C347AD" w:rsidRDefault="00FD0511" w:rsidP="00FA4D6E">
      <w:r w:rsidRPr="00C347AD">
        <w:t>S</w:t>
      </w:r>
      <w:r w:rsidR="00BA6B19" w:rsidRPr="00C347AD">
        <w:t>ocial cognitive theory</w:t>
      </w:r>
      <w:r w:rsidR="00EC3DD1" w:rsidRPr="00C347AD">
        <w:t xml:space="preserve"> </w:t>
      </w:r>
      <w:r w:rsidR="005567B3" w:rsidRPr="00C347AD">
        <w:fldChar w:fldCharType="begin"/>
      </w:r>
      <w:r w:rsidR="00F7126F" w:rsidRPr="00C347AD">
        <w:instrText xml:space="preserve"> ADDIN ZOTERO_ITEM CSL_CITATION {"citationID":"1p86a7bi5u","properties":{"formattedCitation":"(Albert Bandura, 1986)","plainCitation":"(Albert Bandura, 1986)"},"citationItems":[{"id":534,"uris":["http://zotero.org/users/2098925/items/G7PAN43E"],"uri":["http://zotero.org/users/2098925/items/G7PAN43E"],"itemData":{"id":534,"type":"book","title":"Social foundations of thought and action: a social cognitive theory","publisher":"Prentice-Hall","number-of-pages":"642","source":"Google Books","abstract":"Presents a comprehensive theory of human motivation and action from a social-cognitive perspective. This insightful text addresses the prominent roles played by cognitive, vicarious, self-regulatory, and self-reflective processes in psychosocial functioning; emphasizes reciprocal causation through the interplay of cognitive, behavioral, and environmental factors; and systematically applies the basic principles of this theory to personal and social change.","shortTitle":"Social foundations of thought and action","language":"en","author":[{"family":"Bandura","given":"Albert"}],"issued":{"date-parts":[["1986"]]}}}],"schema":"https://github.com/citation-style-language/schema/raw/master/csl-citation.json"} </w:instrText>
      </w:r>
      <w:r w:rsidR="005567B3" w:rsidRPr="00C347AD">
        <w:fldChar w:fldCharType="separate"/>
      </w:r>
      <w:r w:rsidR="001D2145" w:rsidRPr="00C347AD">
        <w:rPr>
          <w:noProof/>
        </w:rPr>
        <w:t>(Bandura, 1986)</w:t>
      </w:r>
      <w:r w:rsidR="005567B3" w:rsidRPr="00C347AD">
        <w:fldChar w:fldCharType="end"/>
      </w:r>
      <w:r w:rsidR="005567B3" w:rsidRPr="00C347AD">
        <w:t xml:space="preserve"> </w:t>
      </w:r>
      <w:r w:rsidR="00EC3DD1" w:rsidRPr="00C347AD">
        <w:t xml:space="preserve">and the </w:t>
      </w:r>
      <w:r w:rsidR="00305B48" w:rsidRPr="00C347AD">
        <w:t>theory of planned behavior</w:t>
      </w:r>
      <w:r w:rsidR="00EC3DD1" w:rsidRPr="00C347AD">
        <w:t xml:space="preserve"> </w:t>
      </w:r>
      <w:r w:rsidR="005567B3" w:rsidRPr="00C347AD">
        <w:fldChar w:fldCharType="begin"/>
      </w:r>
      <w:r w:rsidR="00F7126F" w:rsidRPr="00C347AD">
        <w:instrText xml:space="preserve"> ADDIN ZOTERO_ITEM CSL_CITATION {"citationID":"2di1577p8g","properties":{"formattedCitation":"(Ajzen, 1991a)","plainCitation":"(Ajzen, 1991a)"},"citationItems":[{"id":179,"uris":["http://zotero.org/users/2098925/items/6QSAIHR9"],"uri":["http://zotero.org/users/2098925/items/6QSAIHR9"],"itemData":{"id":179,"type":"article-journal","title":"Theories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Processes","author":[{"family":"Ajzen","given":"Icek"}],"issued":{"date-parts":[["1991",12,1]]}}}],"schema":"https://github.com/citation-style-language/schema/raw/master/csl-citation.json"} </w:instrText>
      </w:r>
      <w:r w:rsidR="005567B3" w:rsidRPr="00C347AD">
        <w:fldChar w:fldCharType="separate"/>
      </w:r>
      <w:r w:rsidR="005567B3" w:rsidRPr="00C347AD">
        <w:rPr>
          <w:noProof/>
        </w:rPr>
        <w:t>(Ajzen, 1991a)</w:t>
      </w:r>
      <w:r w:rsidR="005567B3" w:rsidRPr="00C347AD">
        <w:fldChar w:fldCharType="end"/>
      </w:r>
      <w:r w:rsidR="00EC3DD1" w:rsidRPr="00C347AD">
        <w:t xml:space="preserve"> </w:t>
      </w:r>
      <w:r w:rsidR="005567B3" w:rsidRPr="00C347AD">
        <w:t xml:space="preserve">provide a theoretical framework for approaching research to address this issue. Each of these theories focuses on how attitudes, beliefs, and efficacy interrelate and affect learning (especially </w:t>
      </w:r>
      <w:r w:rsidR="00F63136" w:rsidRPr="00C347AD">
        <w:t>social cognitive theory</w:t>
      </w:r>
      <w:r w:rsidR="005567B3" w:rsidRPr="00C347AD">
        <w:t xml:space="preserve">) and planned performance (especially </w:t>
      </w:r>
      <w:r w:rsidR="00305B48" w:rsidRPr="00C347AD">
        <w:t>theory of planned behavior</w:t>
      </w:r>
      <w:r w:rsidR="005567B3" w:rsidRPr="00C347AD">
        <w:t xml:space="preserve">) of </w:t>
      </w:r>
      <w:r w:rsidR="00FA4D6E" w:rsidRPr="00C347AD">
        <w:t xml:space="preserve">teaching strategies. </w:t>
      </w:r>
    </w:p>
    <w:p w14:paraId="121CBF08" w14:textId="05F37AC7" w:rsidR="00FA4D6E" w:rsidRPr="00C347AD" w:rsidRDefault="00FA4D6E" w:rsidP="00FA4D6E">
      <w:r w:rsidRPr="00C347AD">
        <w:t xml:space="preserve">One particular strategy for reaching diverse learners that has gained significant momentum in policy </w:t>
      </w:r>
      <w:r w:rsidR="00B85A67" w:rsidRPr="00C347AD">
        <w:t xml:space="preserve">and K-12 research </w:t>
      </w:r>
      <w:r w:rsidRPr="00C347AD">
        <w:t>is that of Universal Design for Learning</w:t>
      </w:r>
      <w:r w:rsidR="00F844D2" w:rsidRPr="00C347AD">
        <w:t xml:space="preserve"> (UDL)</w:t>
      </w:r>
      <w:r w:rsidRPr="00C347AD">
        <w:t xml:space="preserve">. </w:t>
      </w:r>
      <w:r w:rsidR="00F844D2" w:rsidRPr="00C347AD">
        <w:t xml:space="preserve">However, there remain significant limitations in practice for the degree to which UDL is taught in teacher preparation programs </w:t>
      </w:r>
      <w:r w:rsidR="009A767F" w:rsidRPr="00C347AD">
        <w:fldChar w:fldCharType="begin"/>
      </w:r>
      <w:r w:rsidR="00F7126F" w:rsidRPr="00C347AD">
        <w:instrText xml:space="preserve"> ADDIN ZOTERO_ITEM CSL_CITATION {"citationID":"2bi92tp8nr","properties":{"formattedCitation":"(Vitelli, 2015)","plainCitation":"(Vitelli, 2015)"},"citationItems":[{"id":135,"uris":["http://zotero.org/users/2098925/items/5HPEQ33J"],"uri":["http://zotero.org/users/2098925/items/5HPEQ33J"],"itemData":{"id":135,"type":"article-journal","title":"Universal Design for Learning Are We Teaching It to Preservice General Education Teachers?","container-title":"Journal of Special Education Technology","page":"166-178","volume":"30","issue":"3","author":[{"family":"Vitelli","given":"Edward M."}],"issued":{"date-parts":[["2015"]]}}}],"schema":"https://github.com/citation-style-language/schema/raw/master/csl-citation.json"} </w:instrText>
      </w:r>
      <w:r w:rsidR="009A767F" w:rsidRPr="00C347AD">
        <w:fldChar w:fldCharType="separate"/>
      </w:r>
      <w:r w:rsidR="009A767F" w:rsidRPr="00C347AD">
        <w:rPr>
          <w:noProof/>
        </w:rPr>
        <w:t>(Vitelli, 2015)</w:t>
      </w:r>
      <w:r w:rsidR="009A767F" w:rsidRPr="00C347AD">
        <w:fldChar w:fldCharType="end"/>
      </w:r>
      <w:r w:rsidR="009A767F" w:rsidRPr="00C347AD">
        <w:t xml:space="preserve"> as well as clarity as to what exactly </w:t>
      </w:r>
      <w:r w:rsidR="009A767F" w:rsidRPr="00C347AD">
        <w:lastRenderedPageBreak/>
        <w:t xml:space="preserve">UDL looks like in research or practice </w:t>
      </w:r>
      <w:r w:rsidR="009A767F" w:rsidRPr="00C347AD">
        <w:fldChar w:fldCharType="begin"/>
      </w:r>
      <w:r w:rsidR="00F7126F" w:rsidRPr="00C347AD">
        <w:instrText xml:space="preserve"> ADDIN ZOTERO_ITEM CSL_CITATION {"citationID":"m34cen70m","properties":{"formattedCitation":"(Edyburn, 2010; Rao et al., 2014)","plainCitation":"(Edyburn, 2010; Rao et al., 2014)"},"citationItems":[{"id":209,"uris":["http://zotero.org/users/2098925/items/7GS75EGJ"],"uri":["http://zotero.org/users/2098925/items/7GS75EGJ"],"itemData":{"id":209,"type":"article-journal","title":"Would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009A767F" w:rsidRPr="00C347AD">
        <w:fldChar w:fldCharType="separate"/>
      </w:r>
      <w:r w:rsidR="009A767F" w:rsidRPr="00C347AD">
        <w:rPr>
          <w:noProof/>
        </w:rPr>
        <w:t>(Edyburn, 2010; Rao et al., 2014)</w:t>
      </w:r>
      <w:r w:rsidR="009A767F" w:rsidRPr="00C347AD">
        <w:fldChar w:fldCharType="end"/>
      </w:r>
      <w:r w:rsidR="00B85A67" w:rsidRPr="00C347AD">
        <w:t xml:space="preserve">, and there is a significant paucity of empirical research that explores how UDL may be taught to preservice teachers in such a way that they apply the framework, themselves, in future classrooms. </w:t>
      </w:r>
    </w:p>
    <w:p w14:paraId="07448D44" w14:textId="6BEC2B1D" w:rsidR="004F78D3" w:rsidRPr="00C347AD" w:rsidRDefault="00FF599D" w:rsidP="004F78D3">
      <w:r w:rsidRPr="00C347AD">
        <w:t>One method that is frequently mentioned in discussions of preparing teachers to utilize UDL among UDL scholars is that of faculty modeling. Faculty modeling itself is the subject of</w:t>
      </w:r>
      <w:r w:rsidR="002A5E74" w:rsidRPr="00C347AD">
        <w:t xml:space="preserve"> numerous position papers and qualitative accounts, but there is limited empirical research </w:t>
      </w:r>
      <w:r w:rsidR="005656FB" w:rsidRPr="00C347AD">
        <w:t xml:space="preserve">available to support significant shifts in policy and practice. </w:t>
      </w:r>
      <w:r w:rsidR="004F78D3" w:rsidRPr="00C347AD">
        <w:t xml:space="preserve">Faculty modeling of UDL, specifically, is nearly completely absent from present literature. </w:t>
      </w:r>
    </w:p>
    <w:p w14:paraId="5E3EE754" w14:textId="30B832EF" w:rsidR="004F78D3" w:rsidRPr="00C347AD" w:rsidRDefault="003977D8" w:rsidP="004F78D3">
      <w:r w:rsidRPr="00C347AD">
        <w:t>Therefore, I</w:t>
      </w:r>
      <w:r w:rsidR="004F78D3" w:rsidRPr="00C347AD">
        <w:t xml:space="preserve"> designed</w:t>
      </w:r>
      <w:r w:rsidRPr="00C347AD">
        <w:t xml:space="preserve"> this study</w:t>
      </w:r>
      <w:r w:rsidR="004F78D3" w:rsidRPr="00C347AD">
        <w:t xml:space="preserve"> to provide empirical exploration of how</w:t>
      </w:r>
      <w:r w:rsidR="00DE29DC" w:rsidRPr="00C347AD">
        <w:t xml:space="preserve"> using</w:t>
      </w:r>
      <w:r w:rsidR="004F78D3" w:rsidRPr="00C347AD">
        <w:t xml:space="preserve"> faculty modeling to teach </w:t>
      </w:r>
      <w:r w:rsidR="001D1527" w:rsidRPr="00C347AD">
        <w:t>UDL</w:t>
      </w:r>
      <w:r w:rsidR="004F78D3" w:rsidRPr="00C347AD">
        <w:t xml:space="preserve"> to p</w:t>
      </w:r>
      <w:r w:rsidR="00940226" w:rsidRPr="00C347AD">
        <w:t>reservice teachers may be more</w:t>
      </w:r>
      <w:r w:rsidR="00940226" w:rsidRPr="00C347AD">
        <w:softHyphen/>
        <w:t xml:space="preserve">, less, or equally </w:t>
      </w:r>
      <w:r w:rsidR="004F78D3" w:rsidRPr="00C347AD">
        <w:t xml:space="preserve">effective </w:t>
      </w:r>
      <w:r w:rsidR="00940226" w:rsidRPr="00C347AD">
        <w:t>as more</w:t>
      </w:r>
      <w:r w:rsidR="004F78D3" w:rsidRPr="00C347AD">
        <w:t xml:space="preserve"> traditional methods of instruction (</w:t>
      </w:r>
      <w:r w:rsidR="00B323A5" w:rsidRPr="00C347AD">
        <w:t>e.g.,</w:t>
      </w:r>
      <w:r w:rsidR="004F78D3" w:rsidRPr="00C347AD">
        <w:t xml:space="preserve"> lecture and textbook reading) across comparable periods of time. </w:t>
      </w:r>
    </w:p>
    <w:p w14:paraId="42EFD317" w14:textId="604DEAA7" w:rsidR="003D63DF" w:rsidRPr="00C347AD" w:rsidRDefault="004466B3" w:rsidP="00B26A26">
      <w:pPr>
        <w:pStyle w:val="Heading1"/>
      </w:pPr>
      <w:r w:rsidRPr="00C347AD">
        <w:br w:type="column"/>
      </w:r>
      <w:bookmarkStart w:id="37" w:name="_Toc466104357"/>
      <w:bookmarkStart w:id="38" w:name="_Toc470598421"/>
      <w:bookmarkStart w:id="39" w:name="_Toc470600334"/>
      <w:bookmarkStart w:id="40" w:name="_Toc471890442"/>
      <w:r w:rsidR="00526038" w:rsidRPr="00C347AD">
        <w:lastRenderedPageBreak/>
        <w:t>Chapter</w:t>
      </w:r>
      <w:r w:rsidR="00CB665F" w:rsidRPr="00C347AD">
        <w:t xml:space="preserve"> 2</w:t>
      </w:r>
      <w:bookmarkStart w:id="41" w:name="_Toc466104358"/>
      <w:bookmarkStart w:id="42" w:name="_Toc470600335"/>
      <w:bookmarkEnd w:id="37"/>
      <w:bookmarkEnd w:id="38"/>
      <w:bookmarkEnd w:id="39"/>
      <w:r w:rsidR="000D4BA8" w:rsidRPr="00C347AD">
        <w:br/>
      </w:r>
      <w:r w:rsidR="00CB665F" w:rsidRPr="00C347AD">
        <w:t>Review of the Literature</w:t>
      </w:r>
      <w:bookmarkEnd w:id="40"/>
      <w:bookmarkEnd w:id="41"/>
      <w:bookmarkEnd w:id="42"/>
      <w:r w:rsidR="00CB665F" w:rsidRPr="00C347AD">
        <w:t xml:space="preserve"> </w:t>
      </w:r>
    </w:p>
    <w:p w14:paraId="7450416E" w14:textId="216BF6D9" w:rsidR="00FB1188" w:rsidRPr="00C347AD" w:rsidRDefault="00FA24B4" w:rsidP="00FA24B4">
      <w:r w:rsidRPr="00C347AD">
        <w:t xml:space="preserve">The </w:t>
      </w:r>
      <w:r w:rsidR="00526038" w:rsidRPr="00C347AD">
        <w:t>Chapter</w:t>
      </w:r>
      <w:r w:rsidRPr="00C347AD">
        <w:t xml:space="preserve"> 1 introduction to this study served to overview the </w:t>
      </w:r>
      <w:r w:rsidR="006F0978" w:rsidRPr="00C347AD">
        <w:t>research</w:t>
      </w:r>
      <w:r w:rsidRPr="00C347AD">
        <w:t xml:space="preserve"> and briefly couch it in </w:t>
      </w:r>
      <w:r w:rsidR="006F0978" w:rsidRPr="00C347AD">
        <w:t xml:space="preserve">social and theoretical context. </w:t>
      </w:r>
      <w:r w:rsidR="008E32A8" w:rsidRPr="00C347AD">
        <w:t>I</w:t>
      </w:r>
      <w:r w:rsidR="006F0978" w:rsidRPr="00C347AD">
        <w:t xml:space="preserve"> provided evidence to suggest that the policy support for UDL is not yet matched by practical</w:t>
      </w:r>
      <w:r w:rsidR="006744F8" w:rsidRPr="00C347AD">
        <w:t xml:space="preserve"> implementation in teacher preparation. That is, relatively few education facu</w:t>
      </w:r>
      <w:r w:rsidR="006628C2" w:rsidRPr="00C347AD">
        <w:t>lty accurately know what UDL is</w:t>
      </w:r>
      <w:r w:rsidR="006744F8" w:rsidRPr="00C347AD">
        <w:t xml:space="preserve"> and even fewer intentionally teach it in their courses (Vitelli, 2015). Part of the difficulty in teaching UDL is that it is a framework, rather than a method </w:t>
      </w:r>
      <w:r w:rsidR="006744F8" w:rsidRPr="00C347AD">
        <w:fldChar w:fldCharType="begin"/>
      </w:r>
      <w:r w:rsidR="00F7126F" w:rsidRPr="00C347AD">
        <w:instrText xml:space="preserve"> ADDIN ZOTERO_ITEM CSL_CITATION {"citationID":"pnctoj9bu","properties":{"formattedCitation":"(Meyer, Rose, &amp; Gordon, 2014)","plainCitation":"(Meyer, Rose, &amp; Gordon, 2014)"},"citationItems":[{"id":548,"uris":["http://zotero.org/users/2098925/items/GNXI6MGX"],"uri":["http://zotero.org/users/2098925/items/GNXI6MGX"],"itemData":{"id":548,"type":"book","title":"Universal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006744F8" w:rsidRPr="00C347AD">
        <w:fldChar w:fldCharType="separate"/>
      </w:r>
      <w:r w:rsidR="00E71DD2" w:rsidRPr="00C347AD">
        <w:rPr>
          <w:noProof/>
        </w:rPr>
        <w:t>(Meyer, Rose, &amp; Gordon, 2014)</w:t>
      </w:r>
      <w:r w:rsidR="006744F8" w:rsidRPr="00C347AD">
        <w:fldChar w:fldCharType="end"/>
      </w:r>
      <w:r w:rsidR="00940226" w:rsidRPr="00C347AD">
        <w:t>, and thus is challenging because the implementation of such a framework requires</w:t>
      </w:r>
      <w:r w:rsidR="00E71DD2" w:rsidRPr="00C347AD">
        <w:t xml:space="preserve"> complex cognitive consideration rather than just </w:t>
      </w:r>
      <w:r w:rsidR="00940226" w:rsidRPr="00C347AD">
        <w:t>methodological behavior</w:t>
      </w:r>
      <w:r w:rsidR="00E71DD2" w:rsidRPr="00C347AD">
        <w:t xml:space="preserve">. </w:t>
      </w:r>
    </w:p>
    <w:p w14:paraId="344EF814" w14:textId="60F428E2" w:rsidR="00C71FB6" w:rsidRPr="00C347AD" w:rsidRDefault="008E32A8" w:rsidP="00BA2CC0">
      <w:r w:rsidRPr="00C347AD">
        <w:t>I</w:t>
      </w:r>
      <w:r w:rsidR="00FB1188" w:rsidRPr="00C347AD">
        <w:t xml:space="preserve"> proposed that such complex teaching tasks may be best taught using advanced modeling techniques </w:t>
      </w:r>
      <w:r w:rsidR="00FB1188" w:rsidRPr="00C347AD">
        <w:fldChar w:fldCharType="begin"/>
      </w:r>
      <w:r w:rsidR="00F7126F" w:rsidRPr="00C347AD">
        <w:instrText xml:space="preserve"> ADDIN ZOTERO_ITEM CSL_CITATION {"citationID":"11nst1fhjc","properties":{"formattedCitation":"(Korthagen et al., 2006; Lunenberg et al., 2007)","plainCitation":"(Korthagen et al., 2006; Lunenberg et al., 2007)"},"citationItems":[{"id":374,"uris":["http://zotero.org/users/2098925/items/BZ598N29"],"uri":["http://zotero.org/users/2098925/items/BZ598N29"],"itemData":{"id":374,"type":"article-journal","title":"Developing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Education","author":[{"family":"Lunenberg","given":"Mieke"},{"family":"Korthagen","given":"Fred"},{"family":"Swennen","given":"Anja"}],"issued":{"date-parts":[["2007",7]]}}}],"schema":"https://github.com/citation-style-language/schema/raw/master/csl-citation.json"} </w:instrText>
      </w:r>
      <w:r w:rsidR="00FB1188" w:rsidRPr="00C347AD">
        <w:fldChar w:fldCharType="separate"/>
      </w:r>
      <w:r w:rsidR="00FB1188" w:rsidRPr="00C347AD">
        <w:rPr>
          <w:noProof/>
        </w:rPr>
        <w:t>(</w:t>
      </w:r>
      <w:r w:rsidR="00B323A5" w:rsidRPr="00C347AD">
        <w:rPr>
          <w:noProof/>
        </w:rPr>
        <w:t>e.g.,</w:t>
      </w:r>
      <w:r w:rsidR="00FB1188" w:rsidRPr="00C347AD">
        <w:rPr>
          <w:noProof/>
        </w:rPr>
        <w:t xml:space="preserve"> Korthagen et al., 2006; Lunenberg et al., 2007)</w:t>
      </w:r>
      <w:r w:rsidR="00FB1188" w:rsidRPr="00C347AD">
        <w:fldChar w:fldCharType="end"/>
      </w:r>
      <w:r w:rsidR="00FB1188" w:rsidRPr="00C347AD">
        <w:t>. However, a paucity of empirical research regarding the effect of faculty modeling</w:t>
      </w:r>
      <w:r w:rsidR="00770B32" w:rsidRPr="00C347AD">
        <w:t xml:space="preserve"> has resulted in opportunity for new lines of research in this area. </w:t>
      </w:r>
      <w:r w:rsidR="003977D8" w:rsidRPr="00C347AD">
        <w:t xml:space="preserve">In this study, I </w:t>
      </w:r>
      <w:r w:rsidR="00C71FB6" w:rsidRPr="00C347AD">
        <w:t xml:space="preserve">intended to combine these two issues to determine if there is empirical evidence to support the use of faculty modeling to prepare preservice teachers to implement UDL in future classrooms. </w:t>
      </w:r>
    </w:p>
    <w:p w14:paraId="25605019" w14:textId="24F910E3" w:rsidR="00BA2CC0" w:rsidRPr="00C347AD" w:rsidRDefault="006628C2" w:rsidP="00BA2CC0">
      <w:r w:rsidRPr="00C347AD">
        <w:t>In t</w:t>
      </w:r>
      <w:r w:rsidR="00BA2CC0" w:rsidRPr="00C347AD">
        <w:t>his chapter</w:t>
      </w:r>
      <w:r w:rsidRPr="00C347AD">
        <w:t>, I</w:t>
      </w:r>
      <w:r w:rsidR="00BA2CC0" w:rsidRPr="00C347AD">
        <w:t xml:space="preserve"> will overview </w:t>
      </w:r>
      <w:r w:rsidRPr="00C347AD">
        <w:t xml:space="preserve">relevant </w:t>
      </w:r>
      <w:r w:rsidR="00BA2CC0" w:rsidRPr="00C347AD">
        <w:t>research by</w:t>
      </w:r>
      <w:r w:rsidR="008E32A8" w:rsidRPr="00C347AD">
        <w:t xml:space="preserve"> </w:t>
      </w:r>
      <w:r w:rsidR="00A00A4F" w:rsidRPr="00C347AD">
        <w:t>exploring</w:t>
      </w:r>
      <w:r w:rsidR="00174799" w:rsidRPr="00C347AD">
        <w:t xml:space="preserve"> current</w:t>
      </w:r>
      <w:r w:rsidR="00A00A4F" w:rsidRPr="00C347AD">
        <w:t xml:space="preserve"> </w:t>
      </w:r>
      <w:r w:rsidR="00174799" w:rsidRPr="00C347AD">
        <w:t>issues related to the independent variables (</w:t>
      </w:r>
      <w:r w:rsidR="004F52F4" w:rsidRPr="00C347AD">
        <w:t>i.e.,</w:t>
      </w:r>
      <w:r w:rsidR="00174799" w:rsidRPr="00C347AD">
        <w:t xml:space="preserve"> UDL and facu</w:t>
      </w:r>
      <w:r w:rsidR="006A2367" w:rsidRPr="00C347AD">
        <w:t>l</w:t>
      </w:r>
      <w:r w:rsidR="00902FDA" w:rsidRPr="00C347AD">
        <w:t>t</w:t>
      </w:r>
      <w:r w:rsidR="008E32A8" w:rsidRPr="00C347AD">
        <w:t xml:space="preserve">y modeling) and then </w:t>
      </w:r>
      <w:r w:rsidR="006A2367" w:rsidRPr="00C347AD">
        <w:t>overviewing the literature as relates to the dependent variables (</w:t>
      </w:r>
      <w:r w:rsidR="004F52F4" w:rsidRPr="00C347AD">
        <w:t>i.e.,</w:t>
      </w:r>
      <w:r w:rsidR="008E32A8" w:rsidRPr="00C347AD">
        <w:t xml:space="preserve"> preservice teacher knowledge</w:t>
      </w:r>
      <w:r w:rsidR="006A2367" w:rsidRPr="00C347AD">
        <w:t xml:space="preserve">, </w:t>
      </w:r>
      <w:r w:rsidR="00A9508C" w:rsidRPr="00C347AD">
        <w:t>efficacy, and</w:t>
      </w:r>
      <w:r w:rsidR="006A2367" w:rsidRPr="00C347AD">
        <w:t xml:space="preserve"> </w:t>
      </w:r>
      <w:r w:rsidR="00925672" w:rsidRPr="00C347AD">
        <w:t xml:space="preserve">attitudes regarding inclusion). </w:t>
      </w:r>
    </w:p>
    <w:p w14:paraId="06F7A721" w14:textId="4F4BA11B" w:rsidR="008E32A8" w:rsidRPr="00C347AD" w:rsidRDefault="008E32A8" w:rsidP="00FE779B">
      <w:pPr>
        <w:pStyle w:val="Heading2"/>
      </w:pPr>
      <w:bookmarkStart w:id="43" w:name="_Toc466104359"/>
      <w:bookmarkStart w:id="44" w:name="_Toc470600336"/>
      <w:bookmarkStart w:id="45" w:name="_Toc471890443"/>
      <w:r w:rsidRPr="00C347AD">
        <w:lastRenderedPageBreak/>
        <w:t>Independent Variables</w:t>
      </w:r>
      <w:bookmarkEnd w:id="43"/>
      <w:bookmarkEnd w:id="44"/>
      <w:bookmarkEnd w:id="45"/>
      <w:r w:rsidRPr="00C347AD">
        <w:t xml:space="preserve"> </w:t>
      </w:r>
    </w:p>
    <w:p w14:paraId="2A440624" w14:textId="40EDD335" w:rsidR="009920D7" w:rsidRPr="00C347AD" w:rsidRDefault="009920D7" w:rsidP="00FE779B">
      <w:pPr>
        <w:pStyle w:val="Heading3"/>
        <w:rPr>
          <w:b w:val="0"/>
        </w:rPr>
      </w:pPr>
      <w:bookmarkStart w:id="46" w:name="_Toc466104360"/>
      <w:bookmarkStart w:id="47" w:name="_Toc470600337"/>
      <w:bookmarkStart w:id="48" w:name="_Toc471890444"/>
      <w:r w:rsidRPr="00C347AD">
        <w:t>Universal Design (for Learning)</w:t>
      </w:r>
      <w:bookmarkStart w:id="49" w:name="OLE_LINK3"/>
      <w:bookmarkStart w:id="50" w:name="OLE_LINK4"/>
      <w:bookmarkEnd w:id="46"/>
      <w:bookmarkEnd w:id="47"/>
      <w:bookmarkEnd w:id="48"/>
      <w:r w:rsidR="00FE779B" w:rsidRPr="00C347AD">
        <w:t xml:space="preserve">. </w:t>
      </w:r>
      <w:r w:rsidR="00135CD1" w:rsidRPr="00C347AD">
        <w:rPr>
          <w:b w:val="0"/>
        </w:rPr>
        <w:t>As aforementioned, t</w:t>
      </w:r>
      <w:r w:rsidR="00365182" w:rsidRPr="00C347AD">
        <w:rPr>
          <w:b w:val="0"/>
        </w:rPr>
        <w:t xml:space="preserve">he United States public school classroom has become increasingly diverse, and thus there is a persistent call to actively and intentionally prepare preservice teachers to meet the challenges that come with teaching truly heterogeneous student groups </w:t>
      </w:r>
      <w:r w:rsidR="00365182" w:rsidRPr="00C347AD">
        <w:rPr>
          <w:b w:val="0"/>
        </w:rPr>
        <w:fldChar w:fldCharType="begin"/>
      </w:r>
      <w:r w:rsidR="00F7126F" w:rsidRPr="00C347AD">
        <w:rPr>
          <w:b w:val="0"/>
        </w:rPr>
        <w:instrText xml:space="preserve"> ADDIN ZOTERO_ITEM CSL_CITATION {"citationID":"ca2cV3He","properties":{"formattedCitation":"{\\rtf (Darling-Hammond, 2005; Horne &amp; Timmons, 2009; Jung, 2007; Sosu, Mtika, &amp; Colucci\\uc0\\u8208{}Gray, 2010)}","plainCitation":"(Darling-Hammond, 2005; Horne &amp; Timmons, 2009; Jung, 2007; Sosu, Mtika, &amp; Colucci</w:instrText>
      </w:r>
      <w:r w:rsidR="00F7126F" w:rsidRPr="00C347AD">
        <w:rPr>
          <w:rFonts w:ascii="Calibri" w:eastAsia="Calibri" w:hAnsi="Calibri" w:cs="Calibri"/>
          <w:b w:val="0"/>
        </w:rPr>
        <w:instrText>‐</w:instrText>
      </w:r>
      <w:r w:rsidR="00F7126F" w:rsidRPr="00C347AD">
        <w:rPr>
          <w:b w:val="0"/>
        </w:rPr>
        <w:instrText>Gray, 2010)","dontUpdate":true},"citationItems":[{"id":1067,"uris":["http://zotero.org/users/2098925/items/XHZ5CX8F"],"uri":["http://zotero.org/users/2098925/items/XHZ5CX8F"],"itemData":{"id":1067,"type":"article-journal","title":"Educating the New Educator: Teacher Education and the Future of Democracy","container-title":"The New Educator","page":"1-18","volume":"1","issue":"1","source":"Taylor and Francis+NEJM","DOI":"10.1080/15476880490441379","ISSN":"1547-688X","shortTitle":"Educating the New Educator","author":[{"family":"Darling-Hammond","given":"Linda"}],"issued":{"date-parts":[["2005",2,1]]}}},{"id":442,"uris":["http://zotero.org/users/2098925/items/DS5TJI6K"],"uri":["http://zotero.org/users/2098925/items/DS5TJI6K"],"itemData":{"id":442,"type":"article-journal","title":"Making it work: Teachers’ perspectives on inclusion","container-title":"International Journal of Inclusive Education","page":"273-286","volume":"13","issue":"3","ISSN":"1360-3116","journalAbbreviation":"International Journal of Inclusive Education","author":[{"family":"Horne","given":"Phyllis E"},{"family":"Timmons","given":"Vianne"}],"issued":{"date-parts":[["2009"]]}}},{"id":195,"uris":["http://zotero.org/users/2098925/items/75P54K4I"],"uri":["http://zotero.org/users/2098925/items/75P54K4I"],"itemData":{"id":195,"type":"article-journal","title":"Preservice teacher training for successful inclusion","container-title":"Education","page":"106","volume":"128","issue":"1","ISSN":"0013-1172","journalAbbreviation":"Education","author":[{"family":"Jung","given":"Woo Sik"}],"issued":{"date-parts":[["2007"]]}}},{"id":489,"uris":["http://zotero.org/users/2098925/items/F2UV28GS"],"uri":["http://zotero.org/users/2098925/items/F2UV28GS"],"itemData":{"id":489,"type":"article-journal","title":"Does initial teacher education make a difference? The impact of teacher preparation on student teachers’ attitudes towards educational inclusion","container-title":"Journal of Education for Teaching","page":"389-405","volume":"36","issue":"4","ISSN":"0260-7476","journalAbbreviation":"Journal of Education for Teaching","author":[{"family":"Sosu","given":"Edward M"},{"family":"Mtika","given":"Peter"},{"family":"Colucci</w:instrText>
      </w:r>
      <w:r w:rsidR="00F7126F" w:rsidRPr="00C347AD">
        <w:rPr>
          <w:rFonts w:ascii="Calibri" w:eastAsia="Calibri" w:hAnsi="Calibri" w:cs="Calibri"/>
          <w:b w:val="0"/>
        </w:rPr>
        <w:instrText>‐</w:instrText>
      </w:r>
      <w:r w:rsidR="00F7126F" w:rsidRPr="00C347AD">
        <w:rPr>
          <w:b w:val="0"/>
        </w:rPr>
        <w:instrText xml:space="preserve">Gray","given":"Laura"}],"issued":{"date-parts":[["2010"]]}}}],"schema":"https://github.com/citation-style-language/schema/raw/master/csl-citation.json"} </w:instrText>
      </w:r>
      <w:r w:rsidR="00365182" w:rsidRPr="00C347AD">
        <w:rPr>
          <w:b w:val="0"/>
        </w:rPr>
        <w:fldChar w:fldCharType="separate"/>
      </w:r>
      <w:r w:rsidR="00365182" w:rsidRPr="00C347AD">
        <w:rPr>
          <w:b w:val="0"/>
        </w:rPr>
        <w:t>(</w:t>
      </w:r>
      <w:r w:rsidR="00B323A5" w:rsidRPr="00C347AD">
        <w:rPr>
          <w:b w:val="0"/>
        </w:rPr>
        <w:t>e.g.,</w:t>
      </w:r>
      <w:r w:rsidR="00365182" w:rsidRPr="00C347AD">
        <w:rPr>
          <w:b w:val="0"/>
        </w:rPr>
        <w:t xml:space="preserve"> Darling-Hammond, 2005; Horne &amp; Timmons, 2009; Jung, 2007; Sosu, Mtika, &amp; Colucci</w:t>
      </w:r>
      <w:r w:rsidR="00365182" w:rsidRPr="00C347AD">
        <w:rPr>
          <w:rFonts w:ascii="Calibri" w:eastAsia="Calibri" w:hAnsi="Calibri" w:cs="Calibri"/>
          <w:b w:val="0"/>
        </w:rPr>
        <w:t>‐</w:t>
      </w:r>
      <w:r w:rsidR="00135CD1" w:rsidRPr="00C347AD">
        <w:rPr>
          <w:b w:val="0"/>
        </w:rPr>
        <w:t xml:space="preserve">Gray, </w:t>
      </w:r>
      <w:r w:rsidR="00365182" w:rsidRPr="00C347AD">
        <w:rPr>
          <w:b w:val="0"/>
        </w:rPr>
        <w:t>2010)</w:t>
      </w:r>
      <w:r w:rsidR="00365182" w:rsidRPr="00C347AD">
        <w:rPr>
          <w:b w:val="0"/>
        </w:rPr>
        <w:fldChar w:fldCharType="end"/>
      </w:r>
      <w:r w:rsidR="00365182" w:rsidRPr="00C347AD">
        <w:rPr>
          <w:b w:val="0"/>
        </w:rPr>
        <w:t xml:space="preserve">. </w:t>
      </w:r>
      <w:r w:rsidR="00DE4C29" w:rsidRPr="00C347AD">
        <w:rPr>
          <w:b w:val="0"/>
        </w:rPr>
        <w:t>D</w:t>
      </w:r>
      <w:r w:rsidR="00365182" w:rsidRPr="00C347AD">
        <w:rPr>
          <w:b w:val="0"/>
        </w:rPr>
        <w:t xml:space="preserve">espite the fact that diverse individuals, including those with disabilities, now have access to the general education classroom, </w:t>
      </w:r>
      <w:r w:rsidR="00940226" w:rsidRPr="00C347AD">
        <w:rPr>
          <w:b w:val="0"/>
        </w:rPr>
        <w:t>such physical</w:t>
      </w:r>
      <w:r w:rsidR="00365182" w:rsidRPr="00C347AD">
        <w:rPr>
          <w:b w:val="0"/>
        </w:rPr>
        <w:t xml:space="preserve"> access has not necessarily translated into access to learning </w:t>
      </w:r>
      <w:r w:rsidR="00365182" w:rsidRPr="00C347AD">
        <w:rPr>
          <w:b w:val="0"/>
        </w:rPr>
        <w:fldChar w:fldCharType="begin"/>
      </w:r>
      <w:r w:rsidR="00F7126F" w:rsidRPr="00C347AD">
        <w:rPr>
          <w:b w:val="0"/>
        </w:rPr>
        <w:instrText xml:space="preserve"> ADDIN ZOTERO_ITEM CSL_CITATION {"citationID":"BDrQ1ndG","properties":{"formattedCitation":"{\\rtf (Jim\\uc0\\u233{}nez et al., 2007; McGuire-Schwartz &amp; Arndt, 2007; Rioux &amp; Pinto, 2010; D. H. Rose, 2000)}","plainCitation":"(Jiménez et al., 2007; McGuire-Schwartz &amp; Arndt, 2007; Rioux &amp; Pinto, 2010; D. H. Rose, 2000)"},"citationItems":[{"id":172,"uris":["http://zotero.org/users/2098925/items/6IBWZH4R"],"uri":["http://zotero.org/users/2098925/items/6IBWZH4R"],"itemData":{"id":172,"type":"article-journal","title":"Gaining Access to General Education: The Promise of Universal Design for Learning","container-title":"Issues in Teacher Education","page":"41-54","volume":"16","issue":"2","source":"EBSCOhost","abstract":"Universal Design for Learning (UDL) can benefit students and teachers in both general and special education programs.  Since President Ford signed the Education of All Handicapped Children Act into law in 1975, there have been changes to the law and the manner in which students with disabilities and their families are educated that require teachers to learn to design unique instructional programs that actively support learners with and without disabilities.  UDL, which provides a theoretical framework based on research related to how individuals learn best and in what context, integrating relevant methods of instruction, helps teachers develop appropriate goals designed to address the needs of a wide range of students and implement instructional methods responsive to individual differences.","ISSN":"15363031","shortTitle":"Gaining Access to General Education","journalAbbreviation":"Issues in Teacher Education","author":[{"family":"Jiménez","given":"Terese C."},{"family":"Graf","given":"Victoria L."},{"family":"Rose","given":"Ernest"}],"issued":{"date-parts":[["2007"]],"season":"Fall"}}},{"id":1013,"uris":["http://zotero.org/users/2098925/items/VWIQWCWZ"],"uri":["http://zotero.org/users/2098925/items/VWIQWCWZ"],"itemData":{"id":1013,"type":"article-journal","title":"Transforming Universal Design for Learning in Early Childhood Teacher Education from College Classroom to Early Childhood Classroom","container-title":"Journal of Early Childhood Teacher Education","page":"127-139","volume":"28","issue":"2","source":"EBSCOhost","abstract":"This article focuses on the application of Universal Design for Learning from theory to practice from the college classroom to the practicum experiences of preservice teacher candidates. It combines description of two research projects that explored and documented how participants understand and use Universal Design for Learning in lesson planning. Universal Design for Learning holds promise in training early childhood teacher educators to work with diverse populations and to provide access to learning for all students, including children with special needs. In Study One, 36 teacher candidates used action research to implement a Universal Design for Learning strategy, collect and analyze data, and become researchers. In Study Two, five teacher candidates were introduced to the principles of Universal Design for Learning and designed lesson plans for their practica. These qualitative research studies explored and documented how teacher candidates understand, introduce, and integrate the principles and practices of Universal Design for Learning. An overview of principles and practices of Universal Design for Learning, its use in the college classroom, its application in lesson planning and teaching, and the use of action research to determine its impact on the learning of all students in public school classrooms are presented.","DOI":"10.1080/10901020701366707","ISSN":"10901027","journalAbbreviation":"Journal of Early Childhood Teacher Education","author":[{"family":"McGuire-Schwartz","given":"Mary Ellen1","dropping-particle":"mmcguire@ric.edu","suffix":""},{"family":"Arndt","given":"Janet S.2"}],"issued":{"date-parts":[["2007",4]]}}},{"id":275,"uris":["http://zotero.org/users/2098925/items/92AACW95"],"uri":["http://zotero.org/users/2098925/items/92AACW95"],"itemData":{"id":275,"type":"article-journal","title":"A time for the universal right to education: back to basics","container-title":"British Journal of Sociology of Education","page":"621-642","volume":"31","issue":"5","source":"Taylor and Francis+NEJM","abstract":"The participation of children with disabilities in regular schools is too often the prerogative of education boards, who decide whether a child can learn within existing educational environments, rather than pressuring for systemic change and organization in school curricula that would grant the right of education to all children. This article looks at education as a right, as found in international agreements including the UN Covenant on Social, Economic and Cultural Rights, the UN Convention on the Rights of the Child and the UN Convention on the Rights of People with Disabilities, and education as a development tool, and discusses the limits and potential in each of these frameworks. An alternative model is proposed as an approach to universal pedagogy, which incorporates the idea of a flexible curriculum and the development of literacy skills, accessible and applicable to students with different backgrounds, learning styles, and abilities. Qualitative data from a large study in a number of nations monitoring the rights of people with disabilities are presented to illustrate the arguments and provide the perspective of people with disabilities themselves about their experiences in schools.","DOI":"10.1080/01425692.2010.500094","ISSN":"0142-5692","shortTitle":"A time for the universal right to education","author":[{"family":"Rioux","given":"Marcia H."},{"family":"Pinto","given":"Paula C."}],"issued":{"date-parts":[["2010",9,1]]}}},{"id":680,"uris":["http://zotero.org/users/2098925/items/K8UTUWIP"],"uri":["http://zotero.org/users/2098925/items/K8UTUWIP"],"itemData":{"id":680,"type":"article-journal","title":"Universal design for learning","container-title":"Journal of Special Education Technology","page":"47-51","volume":"15","issue":"4","source":"EBSCOhost","abstract":"Universal design for learning can improve assessment accuracy and its applicability to instruction.  Universally designed assessments provide multiple means of representation, expression, and engagement. These assessments are accessible and practical for students with disabilities.  Their flexibility reduces the common sources of error introduced by fixed assessments and enables teachers to align assessment more sharply with instructional goals and methods and to vary these goals and methods and assess them accurately within the instructional venue.  However, the future holds greater promise in that new technologies will allow educators to more organically assess the ongoing processes of learning, greater options will be available when the lesson will become a part of the assessment, the new technologies will allow two-way interactive assessments, and dynamic assessments will be universally designed.  Suggestions for how educators can move toward universally designed assessments are presented.","ISSN":"01626434","journalAbbreviation":"Journal of Special Education Technology","author":[{"family":"Rose","given":"David H."}],"issued":{"date-parts":[["2000",10,15]]}}}],"schema":"https://github.com/citation-style-language/schema/raw/master/csl-citation.json"} </w:instrText>
      </w:r>
      <w:r w:rsidR="00365182" w:rsidRPr="00C347AD">
        <w:rPr>
          <w:b w:val="0"/>
        </w:rPr>
        <w:fldChar w:fldCharType="separate"/>
      </w:r>
      <w:r w:rsidR="001D2145" w:rsidRPr="00C347AD">
        <w:rPr>
          <w:b w:val="0"/>
        </w:rPr>
        <w:t>(Jiménez et al., 2007; McGuire-Schwartz &amp; Arndt, 2</w:t>
      </w:r>
      <w:r w:rsidR="00940226" w:rsidRPr="00C347AD">
        <w:rPr>
          <w:b w:val="0"/>
        </w:rPr>
        <w:t xml:space="preserve">007; Rioux &amp; Pinto, 2010; </w:t>
      </w:r>
      <w:r w:rsidR="001D2145" w:rsidRPr="00C347AD">
        <w:rPr>
          <w:b w:val="0"/>
        </w:rPr>
        <w:t>Rose, 2000)</w:t>
      </w:r>
      <w:r w:rsidR="00365182" w:rsidRPr="00C347AD">
        <w:rPr>
          <w:b w:val="0"/>
        </w:rPr>
        <w:fldChar w:fldCharType="end"/>
      </w:r>
      <w:r w:rsidR="00365182" w:rsidRPr="00C347AD">
        <w:rPr>
          <w:b w:val="0"/>
        </w:rPr>
        <w:t>.</w:t>
      </w:r>
      <w:r w:rsidR="00C72CB1" w:rsidRPr="00C347AD">
        <w:rPr>
          <w:b w:val="0"/>
        </w:rPr>
        <w:t xml:space="preserve"> There is a long-established and progressively growing achievement gap among diverse students</w:t>
      </w:r>
      <w:r w:rsidR="00940226" w:rsidRPr="00C347AD">
        <w:rPr>
          <w:b w:val="0"/>
        </w:rPr>
        <w:t xml:space="preserve"> (</w:t>
      </w:r>
      <w:r w:rsidR="006E3241" w:rsidRPr="00C347AD">
        <w:rPr>
          <w:b w:val="0"/>
        </w:rPr>
        <w:t>e.g.,</w:t>
      </w:r>
      <w:r w:rsidR="00940226" w:rsidRPr="00C347AD">
        <w:rPr>
          <w:b w:val="0"/>
        </w:rPr>
        <w:t>those from minority racial, ethnic, linguistic backgrounds) when compared to their less diverse or more economically advantaged peers</w:t>
      </w:r>
      <w:r w:rsidR="00365182" w:rsidRPr="00C347AD">
        <w:rPr>
          <w:b w:val="0"/>
        </w:rPr>
        <w:t xml:space="preserve"> </w:t>
      </w:r>
      <w:r w:rsidR="00365182" w:rsidRPr="00C347AD">
        <w:rPr>
          <w:b w:val="0"/>
        </w:rPr>
        <w:fldChar w:fldCharType="begin"/>
      </w:r>
      <w:r w:rsidR="00F7126F" w:rsidRPr="00C347AD">
        <w:rPr>
          <w:b w:val="0"/>
        </w:rPr>
        <w:instrText xml:space="preserve"> ADDIN ZOTERO_ITEM CSL_CITATION {"citationID":"ongqMIjZ","properties":{"formattedCitation":"(Darensbourg &amp; Blake, 2013; Edyburn, 2010)","plainCitation":"(Darensbourg &amp; Blake, 2013; Edyburn, 2010)"},"citationItems":[{"id":1010,"uris":["http://zotero.org/users/2098925/items/VVD7C6VN"],"uri":["http://zotero.org/users/2098925/items/VVD7C6VN"],"itemData":{"id":1010,"type":"article-journal","title":"PREDICTORS OF ACHIEVEMENT IN AFRICAN AMERICAN STUDENTS AT RISK FOR ACADEMIC FAILURE: THE ROLES OF ACHIEVEMENT VALUES AND BEHAVIORAL ENGAGEMENT: At-Risk African American Students","container-title":"Psychology in the Schools","page":"1044-1059","volume":"50","issue":"10","source":"CrossRef","DOI":"10.1002/pits.21730","ISSN":"00333085","shortTitle":"PREDICTORS OF ACHIEVEMENT IN AFRICAN AMERICAN STUDENTS AT RISK FOR ACADEMIC FAILURE","language":"en","author":[{"family":"Darensbourg","given":"Alicia M."},{"family":"Blake","given":"Jamilia J."}],"issued":{"date-parts":[["2013",12]]}}},{"id":209,"uris":["http://zotero.org/users/2098925/items/7GS75EGJ"],"uri":["http://zotero.org/users/2098925/items/7GS75EGJ"],"itemData":{"id":209,"type":"article-journal","title":"Would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00365182" w:rsidRPr="00C347AD">
        <w:rPr>
          <w:b w:val="0"/>
        </w:rPr>
        <w:fldChar w:fldCharType="separate"/>
      </w:r>
      <w:r w:rsidR="00365182" w:rsidRPr="00C347AD">
        <w:rPr>
          <w:b w:val="0"/>
          <w:noProof/>
        </w:rPr>
        <w:t>(Darensbourg &amp; Blake, 2013; Edyburn, 2010)</w:t>
      </w:r>
      <w:r w:rsidR="00365182" w:rsidRPr="00C347AD">
        <w:rPr>
          <w:b w:val="0"/>
        </w:rPr>
        <w:fldChar w:fldCharType="end"/>
      </w:r>
      <w:r w:rsidR="00365182" w:rsidRPr="00C347AD">
        <w:rPr>
          <w:b w:val="0"/>
        </w:rPr>
        <w:t xml:space="preserve">. </w:t>
      </w:r>
      <w:bookmarkEnd w:id="49"/>
      <w:bookmarkEnd w:id="50"/>
    </w:p>
    <w:p w14:paraId="36456523" w14:textId="7685CA33" w:rsidR="00D7371E" w:rsidRPr="00C347AD" w:rsidRDefault="00C72CB1" w:rsidP="006514FA">
      <w:r w:rsidRPr="00C347AD">
        <w:t xml:space="preserve">Universal Design for Learning (UDL) was developed as a way to utilize neurological and educational research to </w:t>
      </w:r>
      <w:r w:rsidR="00D528D8" w:rsidRPr="00C347AD">
        <w:t xml:space="preserve">address achievement gaps, including those noted for students with disabilities </w:t>
      </w:r>
      <w:r w:rsidR="00D528D8" w:rsidRPr="00C347AD">
        <w:fldChar w:fldCharType="begin"/>
      </w:r>
      <w:r w:rsidR="00F7126F" w:rsidRPr="00C347AD">
        <w:instrText xml:space="preserve"> ADDIN ZOTERO_ITEM CSL_CITATION {"citationID":"2qlkhruak3","properties":{"formattedCitation":"(Meyer et al., 2014)","plainCitation":"(Meyer et al., 2014)"},"citationItems":[{"id":548,"uris":["http://zotero.org/users/2098925/items/GNXI6MGX"],"uri":["http://zotero.org/users/2098925/items/GNXI6MGX"],"itemData":{"id":548,"type":"book","title":"Universal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00D528D8" w:rsidRPr="00C347AD">
        <w:fldChar w:fldCharType="separate"/>
      </w:r>
      <w:r w:rsidR="00D528D8" w:rsidRPr="00C347AD">
        <w:rPr>
          <w:noProof/>
        </w:rPr>
        <w:t>(Meyer et al., 2014)</w:t>
      </w:r>
      <w:r w:rsidR="00D528D8" w:rsidRPr="00C347AD">
        <w:fldChar w:fldCharType="end"/>
      </w:r>
      <w:r w:rsidR="00D528D8" w:rsidRPr="00C347AD">
        <w:t>. To do so it borrowed more broadly from Universal Design</w:t>
      </w:r>
      <w:r w:rsidR="00CE3258" w:rsidRPr="00C347AD">
        <w:t xml:space="preserve"> (UD)</w:t>
      </w:r>
      <w:r w:rsidR="00D528D8" w:rsidRPr="00C347AD">
        <w:t xml:space="preserve">, a concept used to guide </w:t>
      </w:r>
      <w:r w:rsidR="00CE3258" w:rsidRPr="00C347AD">
        <w:t xml:space="preserve">architectural accessibility. </w:t>
      </w:r>
      <w:r w:rsidR="00365182" w:rsidRPr="00C347AD">
        <w:t>In 1999, Kame'enui and Simmons wrote about “the architecture of instruction” (p. 2) and used parallels to architectural ramps (</w:t>
      </w:r>
      <w:r w:rsidR="004F52F4" w:rsidRPr="00C347AD">
        <w:t>i.e.,</w:t>
      </w:r>
      <w:r w:rsidR="00365182" w:rsidRPr="00C347AD">
        <w:t xml:space="preserve"> for individuals in wheelchairs) to point out that "cognitive ramps" (p. 14) for “students with learning disabilities, like physical ramps for persons with physical disabilities, should be designed from the outset to go with the </w:t>
      </w:r>
      <w:r w:rsidR="00365182" w:rsidRPr="00C347AD">
        <w:lastRenderedPageBreak/>
        <w:t xml:space="preserve">architecture” (Howard 2001, p. 113). This reference was an early one of many that sought to borrow from the seven principles of Universal Design </w:t>
      </w:r>
      <w:r w:rsidR="00365182" w:rsidRPr="00C347AD">
        <w:fldChar w:fldCharType="begin"/>
      </w:r>
      <w:r w:rsidR="00F7126F" w:rsidRPr="00C347AD">
        <w:instrText xml:space="preserve"> ADDIN ZOTERO_ITEM CSL_CITATION {"citationID":"tsqofnfq3","properties":{"formattedCitation":"(Pisha &amp; Coyne, 2001; Story, Mueller, &amp; Mace, 1998)","plainCitation":"(Pisha &amp; Coyne, 2001; Story, Mueller, &amp; Mace, 1998)"},"citationItems":[{"id":261,"uris":["http://zotero.org/users/2098925/items/8QEHHA28"],"uri":["http://zotero.org/users/2098925/items/8QEHHA28"],"itemData":{"id":261,"type":"article-journal","title":"Smart from the start The promise of universal design for learning","container-title":"Remedial and special education","page":"197-203","volume":"22","issue":"4","ISSN":"0741-9325","journalAbbreviation":"Remedial and special education","author":[{"family":"Pisha","given":"Bart"},{"family":"Coyne","given":"Peggy"}],"issued":{"date-parts":[["2001"]]}}},{"id":507,"uris":["http://zotero.org/users/2098925/items/FIEV2E9T"],"uri":["http://zotero.org/users/2098925/items/FIEV2E9T"],"itemData":{"id":507,"type":"article-journal","title":"The universal design file: Designing for people of all ages and abilities","author":[{"family":"Story","given":"Molly Follette"},{"family":"Mueller","given":"James L"},{"family":"Mace","given":"Ronald L"}],"issued":{"date-parts":[["1998"]]}}}],"schema":"https://github.com/citation-style-language/schema/raw/master/csl-citation.json"} </w:instrText>
      </w:r>
      <w:r w:rsidR="00365182" w:rsidRPr="00C347AD">
        <w:fldChar w:fldCharType="separate"/>
      </w:r>
      <w:r w:rsidR="00365182" w:rsidRPr="00C347AD">
        <w:rPr>
          <w:noProof/>
        </w:rPr>
        <w:t>(Pisha &amp; Coyne, 2001; Story, Mueller, &amp; Mace, 1998)</w:t>
      </w:r>
      <w:r w:rsidR="00365182" w:rsidRPr="00C347AD">
        <w:fldChar w:fldCharType="end"/>
      </w:r>
      <w:r w:rsidR="00365182" w:rsidRPr="00C347AD">
        <w:t xml:space="preserve"> for building educational environments in which</w:t>
      </w:r>
      <w:r w:rsidR="000A0E86" w:rsidRPr="00C347AD">
        <w:t xml:space="preserve"> accessibility was a thoughtful and proactive </w:t>
      </w:r>
      <w:r w:rsidR="00365182" w:rsidRPr="00C347AD">
        <w:t xml:space="preserve">element, rather than a </w:t>
      </w:r>
      <w:r w:rsidR="000A0E86" w:rsidRPr="00C347AD">
        <w:t>retrofitted</w:t>
      </w:r>
      <w:r w:rsidR="00365182" w:rsidRPr="00C347AD">
        <w:t xml:space="preserve"> aspect of education (</w:t>
      </w:r>
      <w:r w:rsidR="00B323A5" w:rsidRPr="00C347AD">
        <w:t>e.g.,</w:t>
      </w:r>
      <w:r w:rsidR="00365182" w:rsidRPr="00C347AD">
        <w:t xml:space="preserve"> reactive accommodations, modifications for individual students with disabilities). While the seven principles of UD have been argued to be inconsistent with what we now practice in UDL, and thus called a distraction </w:t>
      </w:r>
      <w:r w:rsidR="00365182" w:rsidRPr="00C347AD">
        <w:fldChar w:fldCharType="begin"/>
      </w:r>
      <w:r w:rsidR="00F7126F" w:rsidRPr="00C347AD">
        <w:instrText xml:space="preserve"> ADDIN ZOTERO_ITEM CSL_CITATION {"citationID":"rq018dj73","properties":{"formattedCitation":"(Edyburn, 2010)","plainCitation":"(Edyburn, 2010)"},"citationItems":[{"id":209,"uris":["http://zotero.org/users/2098925/items/7GS75EGJ"],"uri":["http://zotero.org/users/2098925/items/7GS75EGJ"],"itemData":{"id":209,"type":"article-journal","title":"Would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00365182" w:rsidRPr="00C347AD">
        <w:fldChar w:fldCharType="separate"/>
      </w:r>
      <w:r w:rsidR="00365182" w:rsidRPr="00C347AD">
        <w:rPr>
          <w:noProof/>
        </w:rPr>
        <w:t>(Edyburn, 2010, p. 36)</w:t>
      </w:r>
      <w:r w:rsidR="00365182" w:rsidRPr="00C347AD">
        <w:fldChar w:fldCharType="end"/>
      </w:r>
      <w:r w:rsidR="00365182" w:rsidRPr="00C347AD">
        <w:t xml:space="preserve">, </w:t>
      </w:r>
      <w:r w:rsidR="0062509A" w:rsidRPr="00C347AD">
        <w:t>they are included</w:t>
      </w:r>
      <w:r w:rsidR="00365182" w:rsidRPr="00C347AD">
        <w:t xml:space="preserve"> here for the purpose of historical roots in literary reference and to articulate w</w:t>
      </w:r>
      <w:r w:rsidR="00255A1E" w:rsidRPr="00C347AD">
        <w:t>hat UD (not UDL) is (see Table 9</w:t>
      </w:r>
      <w:r w:rsidR="006514FA" w:rsidRPr="00C347AD">
        <w:t>, Appendix A</w:t>
      </w:r>
      <w:r w:rsidR="00365182" w:rsidRPr="00C347AD">
        <w:t xml:space="preserve">). </w:t>
      </w:r>
    </w:p>
    <w:p w14:paraId="681FACCE" w14:textId="1F3F2397" w:rsidR="00365182" w:rsidRPr="00C347AD" w:rsidRDefault="001A1448" w:rsidP="00365182">
      <w:r w:rsidRPr="00C347AD">
        <w:t>UD was adapted in different ways</w:t>
      </w:r>
      <w:r w:rsidR="00365182" w:rsidRPr="00C347AD">
        <w:t xml:space="preserve"> in relation to application in the classroom by different groups. The Center for Applied Special Technology (CAST) developed the framework of Universal Design for Learning (UDL) with three overarching principles (and nine guidelines, three for each principle; </w:t>
      </w:r>
      <w:r w:rsidR="00365182" w:rsidRPr="00C347AD">
        <w:fldChar w:fldCharType="begin"/>
      </w:r>
      <w:r w:rsidR="00F7126F" w:rsidRPr="00C347AD">
        <w:instrText xml:space="preserve"> ADDIN ZOTERO_ITEM CSL_CITATION {"citationID":"pdc2drqpb","properties":{"formattedCitation":"(Meyer et al., 2014)","plainCitation":"(Meyer et al., 2014)","dontUpdate":true},"citationItems":[{"id":548,"uris":["http://zotero.org/users/2098925/items/GNXI6MGX"],"uri":["http://zotero.org/users/2098925/items/GNXI6MGX"],"itemData":{"id":548,"type":"book","title":"Universal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00365182" w:rsidRPr="00C347AD">
        <w:fldChar w:fldCharType="separate"/>
      </w:r>
      <w:r w:rsidR="00365182" w:rsidRPr="00C347AD">
        <w:rPr>
          <w:noProof/>
        </w:rPr>
        <w:t>Meyer et al., 2014)</w:t>
      </w:r>
      <w:r w:rsidR="00365182" w:rsidRPr="00C347AD">
        <w:fldChar w:fldCharType="end"/>
      </w:r>
      <w:r w:rsidR="00365182" w:rsidRPr="00C347AD">
        <w:t xml:space="preserve">, while the National Center to Improve Tools of Education (NCITE) at the University of Oregon developed their own framework of six principles </w:t>
      </w:r>
      <w:r w:rsidR="00365182" w:rsidRPr="00C347AD">
        <w:fldChar w:fldCharType="begin"/>
      </w:r>
      <w:r w:rsidR="00F7126F" w:rsidRPr="00C347AD">
        <w:instrText xml:space="preserve"> ADDIN ZOTERO_ITEM CSL_CITATION {"citationID":"267prekb7l","properties":{"formattedCitation":"{\\rtf (Kame\\uc0\\u8217{}enui &amp; Simmons, 1999)}","plainCitation":"(Kame’enui &amp; Simmons, 1999)"},"citationItems":[{"id":532,"uris":["http://zotero.org/users/2098925/items/G46HEN6R"],"uri":["http://zotero.org/users/2098925/items/G46HEN6R"],"itemData":{"id":532,"type":"book","title":"Toward Successful Inclusion of Students with Disabilities: The Architecture of Instruction. Volume 1: An Overview of Materials Adaptations. ERIC/OSEP Mini-Library.","publisher":"Council for Exceptional Children, 1920 Association Drive, Reston, VA 20191-1589; Tel: 703-620-3660; Tel: 703-264-9446 (TTY); Fax: 703-264-9494; e-mail: cecpubs@cec.sped.org; Web site: http://www.cec.sped.org (Stock No. P5305).","source":"eric.ed.gov","abstract":"This book offers guidelines for designing the cognitive supports to instructional materials for students with disabilities in general education classrooms. Chapter 1, an introduction, describes the contexts of change, including the changing demography of learners, which has increased the curricular and instructional complexity that teachers face in general education classrooms. Chapter 2 defines and describes curriculum design as an important and distinctive requirement to provide cognitive access to general education content for students with disabilities. Chapter 3 offers six principles of effective curriculum design in the modification of general education content. These principles stress big ideas, conspicuous strategies, mediated scaffolding, strategic integration, judicious review, and primed background knowledge. Chapter 4 offers a framework for evaluating and adapting general education curriculum materials and applies the six curriculum design principles to a range of","URL":"http://eric.ed.gov/?id=ED429381","ISBN":"ISBN-0-86586-338-5","shortTitle":"Toward Successful Inclusion of Students with Disabilities","language":"en","author":[{"family":"Kame'enui","given":"Edward J."},{"family":"Simmons","given":"Deborah C."}],"issued":{"date-parts":[["1999"]]},"accessed":{"date-parts":[["2016",1,11]]}}}],"schema":"https://github.com/citation-style-language/schema/raw/master/csl-citation.json"} </w:instrText>
      </w:r>
      <w:r w:rsidR="00365182" w:rsidRPr="00C347AD">
        <w:fldChar w:fldCharType="separate"/>
      </w:r>
      <w:r w:rsidR="00365182" w:rsidRPr="00C347AD">
        <w:t>(Kame’enui &amp; Simmons, 1999)</w:t>
      </w:r>
      <w:r w:rsidR="00365182" w:rsidRPr="00C347AD">
        <w:fldChar w:fldCharType="end"/>
      </w:r>
      <w:r w:rsidR="00365182" w:rsidRPr="00C347AD">
        <w:t xml:space="preserve">. Additionally, Universal Instruction Design (UID; </w:t>
      </w:r>
      <w:r w:rsidR="00365182" w:rsidRPr="00C347AD">
        <w:fldChar w:fldCharType="begin"/>
      </w:r>
      <w:r w:rsidR="00F7126F" w:rsidRPr="00C347AD">
        <w:instrText xml:space="preserve"> ADDIN ZOTERO_ITEM CSL_CITATION {"citationID":"1jaqhb8d5m","properties":{"formattedCitation":"(Higbee &amp; Goff, 2008)","plainCitation":"(Higbee &amp; Goff, 2008)"},"citationItems":[{"id":302,"uris":["http://zotero.org/users/2098925/items/9SRQ5GUM"],"uri":["http://zotero.org/users/2098925/items/9SRQ5GUM"],"itemData":{"id":302,"type":"article-journal","title":"Pedagogy and Student Services for Institutional Transformation: Implementing Universal Design in Higher Education.","container-title":"Center for Research on Developmental Education and Urban Literacy","source":"Google Scholar","URL":"http://eric.ed.gov/?id=ED503835","shortTitle":"Pedagogy and Student Services for Institutional Transformation","author":[{"family":"Higbee","given":"Jeanne L."},{"family":"Goff","given":"Emily"}],"issued":{"date-parts":[["2008"]]},"accessed":{"date-parts":[["2016",1,11]]}}}],"schema":"https://github.com/citation-style-language/schema/raw/master/csl-citation.json"} </w:instrText>
      </w:r>
      <w:r w:rsidR="00365182" w:rsidRPr="00C347AD">
        <w:fldChar w:fldCharType="separate"/>
      </w:r>
      <w:r w:rsidR="00365182" w:rsidRPr="00C347AD">
        <w:rPr>
          <w:noProof/>
        </w:rPr>
        <w:t>Higbee &amp; Goff, 2008)</w:t>
      </w:r>
      <w:r w:rsidR="00365182" w:rsidRPr="00C347AD">
        <w:fldChar w:fldCharType="end"/>
      </w:r>
      <w:r w:rsidR="00365182" w:rsidRPr="00C347AD">
        <w:t xml:space="preserve"> formulated at the University of Minnesota has its own eight principles, and Universal Design for Instruction (UDI; </w:t>
      </w:r>
      <w:r w:rsidR="00365182" w:rsidRPr="00C347AD">
        <w:fldChar w:fldCharType="begin"/>
      </w:r>
      <w:r w:rsidR="00F7126F" w:rsidRPr="00C347AD">
        <w:instrText xml:space="preserve"> ADDIN ZOTERO_ITEM CSL_CITATION {"citationID":"pm1rv9jr7","properties":{"formattedCitation":"(Burgstahler, 2009)","plainCitation":"(Burgstahler, 2009)"},"citationItems":[{"id":578,"uris":["http://zotero.org/users/2098925/items/HBUSDV4H"],"uri":["http://zotero.org/users/2098925/items/HBUSDV4H"],"itemData":{"id":578,"type":"article-journal","title":"Universal design of instruction (UDI): Definition, principles, guidelines, and examples. University of Washington","author":[{"family":"Burgstahler","given":"S"}],"issued":{"date-parts":[["2009"]]}}}],"schema":"https://github.com/citation-style-language/schema/raw/master/csl-citation.json"} </w:instrText>
      </w:r>
      <w:r w:rsidR="00365182" w:rsidRPr="00C347AD">
        <w:fldChar w:fldCharType="separate"/>
      </w:r>
      <w:r w:rsidR="00365182" w:rsidRPr="00C347AD">
        <w:rPr>
          <w:noProof/>
        </w:rPr>
        <w:t>Burgstahler, 2009)</w:t>
      </w:r>
      <w:r w:rsidR="00365182" w:rsidRPr="00C347AD">
        <w:fldChar w:fldCharType="end"/>
      </w:r>
      <w:r w:rsidR="00365182" w:rsidRPr="00C347AD">
        <w:t xml:space="preserve"> from the University of Washington</w:t>
      </w:r>
      <w:r w:rsidR="00255A1E" w:rsidRPr="00C347AD">
        <w:t>, has eight as well (see Table 10</w:t>
      </w:r>
      <w:r w:rsidR="006514FA" w:rsidRPr="00C347AD">
        <w:t>, Appendix A</w:t>
      </w:r>
      <w:r w:rsidR="00365182" w:rsidRPr="00C347AD">
        <w:t xml:space="preserve">). </w:t>
      </w:r>
    </w:p>
    <w:p w14:paraId="6ED1853B" w14:textId="1ADCA46F" w:rsidR="00365182" w:rsidRPr="00C347AD" w:rsidRDefault="00365182" w:rsidP="00365182">
      <w:r w:rsidRPr="00C347AD">
        <w:t xml:space="preserve">These frameworks share points of similarity as well as divergence. Conceptually, all of the models draw from aspects of universal design and apply </w:t>
      </w:r>
      <w:r w:rsidR="000A0E86" w:rsidRPr="00C347AD">
        <w:t>these aspects</w:t>
      </w:r>
      <w:r w:rsidRPr="00C347AD">
        <w:t xml:space="preserve"> to a </w:t>
      </w:r>
      <w:r w:rsidRPr="00C347AD">
        <w:lastRenderedPageBreak/>
        <w:t xml:space="preserve">classroom environment and to the pedagogical </w:t>
      </w:r>
      <w:r w:rsidR="00D65032" w:rsidRPr="00C347AD">
        <w:t>relation</w:t>
      </w:r>
      <w:r w:rsidRPr="00C347AD">
        <w:t>. Structurally, each of the models is a framework, intentionall</w:t>
      </w:r>
      <w:r w:rsidR="00BE5433" w:rsidRPr="00C347AD">
        <w:t>y networking different research-</w:t>
      </w:r>
      <w:r w:rsidRPr="00C347AD">
        <w:t>based practices, even as the framework itself is not scientifically validated</w:t>
      </w:r>
      <w:r w:rsidR="00160E18" w:rsidRPr="00C347AD">
        <w:t xml:space="preserve">, </w:t>
      </w:r>
      <w:r w:rsidRPr="00C347AD">
        <w:t xml:space="preserve">as Edyburn (2010) argues is the case for UDL. </w:t>
      </w:r>
    </w:p>
    <w:p w14:paraId="76F10DA9" w14:textId="23F96305" w:rsidR="00365182" w:rsidRPr="00C347AD" w:rsidRDefault="00365182" w:rsidP="00365182">
      <w:r w:rsidRPr="00C347AD">
        <w:t xml:space="preserve">Each of these models, and particularly UDL, UID, and UDI continue to find success and application in research and practice </w:t>
      </w:r>
      <w:r w:rsidRPr="00C347AD">
        <w:fldChar w:fldCharType="begin"/>
      </w:r>
      <w:r w:rsidR="00F7126F" w:rsidRPr="00C347AD">
        <w:instrText xml:space="preserve"> ADDIN ZOTERO_ITEM CSL_CITATION {"citationID":"afl4hfhj8","properties":{"formattedCitation":"(Rao et al., 2014)","plainCitation":"(Rao et al., 2014)"},"citationItems":[{"id":874,"uris":["http://zotero.org/users/2098925/items/RU9VE9CB"],"uri":["http://zotero.org/users/2098925/items/RU9VE9CB"],"itemData":{"id":874,"type":"article-journal","title":"A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Pr="00C347AD">
        <w:fldChar w:fldCharType="separate"/>
      </w:r>
      <w:r w:rsidRPr="00C347AD">
        <w:rPr>
          <w:noProof/>
        </w:rPr>
        <w:t>(Rao et al., 2014)</w:t>
      </w:r>
      <w:r w:rsidRPr="00C347AD">
        <w:fldChar w:fldCharType="end"/>
      </w:r>
      <w:r w:rsidRPr="00C347AD">
        <w:t>. And while UDL has overshadowed the other models, appearing in college coursework throughout the country as well as in state and federal legislation (UDL Center</w:t>
      </w:r>
      <w:r w:rsidR="0062509A" w:rsidRPr="00C347AD">
        <w:t>, 2015</w:t>
      </w:r>
      <w:r w:rsidRPr="00C347AD">
        <w:t>), including being prominently mentioned in the Every Student Succeeds Act (2015), Rao et al. remind their readers that “there is no consensus on how UD principles should be applied, nor is there agreement as to how much or in what combination the principles or guidelines of any model need to be present for an educational intervention to be considered universally designed” (</w:t>
      </w:r>
      <w:r w:rsidR="007B5CBD" w:rsidRPr="00C347AD">
        <w:t xml:space="preserve">p. </w:t>
      </w:r>
      <w:r w:rsidRPr="00C347AD">
        <w:t>154).</w:t>
      </w:r>
    </w:p>
    <w:p w14:paraId="0D6BA861" w14:textId="6E14E82C" w:rsidR="00DF7FA9" w:rsidRPr="00C347AD" w:rsidRDefault="00365182" w:rsidP="00365182">
      <w:r w:rsidRPr="00C347AD">
        <w:t>In their review of nearly 200 peer-reviewed manuscripts that purported to use empirical methodology to apply universal design frameworks (</w:t>
      </w:r>
      <w:r w:rsidR="004F52F4" w:rsidRPr="00C347AD">
        <w:t>i.e.,</w:t>
      </w:r>
      <w:r w:rsidRPr="00C347AD">
        <w:t xml:space="preserve"> UDL, UID, UDI) to education settings (</w:t>
      </w:r>
      <w:r w:rsidR="004F52F4" w:rsidRPr="00C347AD">
        <w:t>i.e.,</w:t>
      </w:r>
      <w:r w:rsidRPr="00C347AD">
        <w:t xml:space="preserve"> P</w:t>
      </w:r>
      <w:r w:rsidR="000A0E86" w:rsidRPr="00C347AD">
        <w:t>K</w:t>
      </w:r>
      <w:r w:rsidRPr="00C347AD">
        <w:t>-12 or higher ed</w:t>
      </w:r>
      <w:r w:rsidR="000A0E86" w:rsidRPr="00C347AD">
        <w:t>ucation</w:t>
      </w:r>
      <w:r w:rsidRPr="00C347AD">
        <w:t xml:space="preserve">), Rao et al. (2014) discovered a “scarcity of empirical examinations exploring the efficacy of UD models” with most of the literature consisting of “descriptive studies about the importance of using UD in education and descriptions of how researchers applied the principles” (p. 164). They further appeared to concur with Edyburn’s (2010) call for an operationalization of UDL if claims are to be made for scientific validity. They suggest that, though there was </w:t>
      </w:r>
      <w:r w:rsidRPr="00C347AD">
        <w:lastRenderedPageBreak/>
        <w:t xml:space="preserve">abundant evidence of positive outcomes for students and educators who utilized UD models, “because the studies used a range of research designs, most of which did not establish causality of effectiveness, the evidence should be interpreted with caution as a set of preliminary positive results based on varied methods of analysis” (162). </w:t>
      </w:r>
    </w:p>
    <w:p w14:paraId="763D95FB" w14:textId="4E82EE0C" w:rsidR="009920D7" w:rsidRPr="00C347AD" w:rsidRDefault="009920D7" w:rsidP="00BA186E">
      <w:r w:rsidRPr="00C347AD">
        <w:rPr>
          <w:b/>
        </w:rPr>
        <w:t xml:space="preserve">Universal design for learning. </w:t>
      </w:r>
      <w:r w:rsidRPr="00C347AD">
        <w:t>UDL</w:t>
      </w:r>
      <w:r w:rsidR="00160E18" w:rsidRPr="00C347AD">
        <w:t xml:space="preserve"> </w:t>
      </w:r>
      <w:r w:rsidRPr="00C347AD">
        <w:t>has emerged as the most prolific model of UD in education, appearing liberally in federal policy and mandates including the National Instructional Materials Standards (2006), the Higher Education Opportunity Act (2008), the Common Core State Standards Initiative (2010), the National Educational Technology Plan (2010), and the Every Student Succeeds Act (2015). Additionally, as of 2013, six states (Michigan, Maine, Maryland, Rhode Island, Kentucky, and Louisiana) had statewide UDL initiatives and every state in the union had one o</w:t>
      </w:r>
      <w:r w:rsidR="008E31A9" w:rsidRPr="00C347AD">
        <w:t xml:space="preserve">r </w:t>
      </w:r>
      <w:r w:rsidR="000A0E86" w:rsidRPr="00C347AD">
        <w:t>more state-sanctioned activity</w:t>
      </w:r>
      <w:r w:rsidRPr="00C347AD">
        <w:t xml:space="preserve"> supporting the principles of UDL in public education (National Center on Universal Design for Learning, 2013).   </w:t>
      </w:r>
    </w:p>
    <w:p w14:paraId="33AFBB9D" w14:textId="3B50D3E6" w:rsidR="009920D7" w:rsidRPr="00C347AD" w:rsidRDefault="009920D7" w:rsidP="009920D7">
      <w:pPr>
        <w:ind w:firstLine="0"/>
        <w:rPr>
          <w:bCs/>
        </w:rPr>
      </w:pPr>
      <w:r w:rsidRPr="00C347AD">
        <w:tab/>
      </w:r>
      <w:bookmarkStart w:id="51" w:name="OLE_LINK5"/>
      <w:bookmarkStart w:id="52" w:name="OLE_LINK6"/>
      <w:r w:rsidRPr="00C347AD">
        <w:t>According to the Center of Applied Special Technology (CAST, 2015), UDL may be broadly defined as, “</w:t>
      </w:r>
      <w:r w:rsidRPr="00C347AD">
        <w:rPr>
          <w:bCs/>
        </w:rPr>
        <w:t>a framework to improve and optimize teaching and learning for all people based on scientific insights i</w:t>
      </w:r>
      <w:r w:rsidR="0082502A" w:rsidRPr="00C347AD">
        <w:rPr>
          <w:bCs/>
        </w:rPr>
        <w:t xml:space="preserve">nto how humans learn” (para. </w:t>
      </w:r>
      <w:r w:rsidRPr="00C347AD">
        <w:rPr>
          <w:bCs/>
        </w:rPr>
        <w:t>1). A parallel definition is presented at CAST’s udlcenter.org (2014), which notes that UDL is “a set of principles for curriculum development that give all individuals equal opportunities to learn” (p. 1). The website goes on to articulate that “UDL provides a blueprint for creating instructional goals, methods, materials, and assessments that work for everyone</w:t>
      </w:r>
      <w:r w:rsidR="00255A1E" w:rsidRPr="00C347AD">
        <w:rPr>
          <w:bCs/>
        </w:rPr>
        <w:t xml:space="preserve"> </w:t>
      </w:r>
      <w:r w:rsidR="00255A1E" w:rsidRPr="00C347AD">
        <w:rPr>
          <w:bCs/>
        </w:rPr>
        <w:lastRenderedPageBreak/>
        <w:t xml:space="preserve">— </w:t>
      </w:r>
      <w:r w:rsidRPr="00C347AD">
        <w:rPr>
          <w:bCs/>
        </w:rPr>
        <w:t xml:space="preserve">not a single, one-size-fits-all solution but rather flexible approaches that can be customized and adjusted for individual needs” (p. 1). </w:t>
      </w:r>
    </w:p>
    <w:bookmarkEnd w:id="51"/>
    <w:bookmarkEnd w:id="52"/>
    <w:p w14:paraId="2143A90A" w14:textId="098A986E" w:rsidR="00E20FD1" w:rsidRPr="00C347AD" w:rsidRDefault="009920D7" w:rsidP="00E20FD1">
      <w:pPr>
        <w:ind w:firstLine="0"/>
        <w:rPr>
          <w:bCs/>
        </w:rPr>
      </w:pPr>
      <w:r w:rsidRPr="00C347AD">
        <w:rPr>
          <w:bCs/>
        </w:rPr>
        <w:tab/>
        <w:t xml:space="preserve">The “blueprint” mentioned refers to a set of three principles, which are sub-divided into nine guidelines (three per principle), and the guidelines themselves are further subdivided into </w:t>
      </w:r>
      <w:r w:rsidR="008871EF" w:rsidRPr="00C347AD">
        <w:rPr>
          <w:bCs/>
        </w:rPr>
        <w:t>a total of 31 checkpoints (see F</w:t>
      </w:r>
      <w:r w:rsidRPr="00C347AD">
        <w:rPr>
          <w:bCs/>
        </w:rPr>
        <w:t xml:space="preserve">igure </w:t>
      </w:r>
      <w:r w:rsidR="008871EF" w:rsidRPr="00C347AD">
        <w:rPr>
          <w:bCs/>
        </w:rPr>
        <w:t>5</w:t>
      </w:r>
      <w:r w:rsidR="006514FA" w:rsidRPr="00C347AD">
        <w:rPr>
          <w:bCs/>
        </w:rPr>
        <w:t>, Appendix A</w:t>
      </w:r>
      <w:r w:rsidRPr="00C347AD">
        <w:rPr>
          <w:bCs/>
        </w:rPr>
        <w:t xml:space="preserve">). Not all guidelines or checkpoints need to be utilized in any given lesson or unit or even classroom setting for UDL to be applied; the focus of UDL application is one of </w:t>
      </w:r>
      <w:r w:rsidRPr="00C347AD">
        <w:rPr>
          <w:bCs/>
          <w:i/>
        </w:rPr>
        <w:t>designing</w:t>
      </w:r>
      <w:r w:rsidRPr="00C347AD">
        <w:rPr>
          <w:bCs/>
        </w:rPr>
        <w:t xml:space="preserve"> lessons with an eye toward barriers that may exist for students to access t</w:t>
      </w:r>
      <w:r w:rsidR="00E20FD1" w:rsidRPr="00C347AD">
        <w:rPr>
          <w:bCs/>
        </w:rPr>
        <w:t>he learning, and an intentional</w:t>
      </w:r>
      <w:r w:rsidR="00255A1E" w:rsidRPr="00C347AD">
        <w:rPr>
          <w:bCs/>
        </w:rPr>
        <w:t xml:space="preserve"> </w:t>
      </w:r>
      <w:r w:rsidR="00E20FD1" w:rsidRPr="00C347AD">
        <w:rPr>
          <w:bCs/>
        </w:rPr>
        <w:t>attempt to remove or reduce these barriers</w:t>
      </w:r>
      <w:r w:rsidR="000A0E86" w:rsidRPr="00C347AD">
        <w:rPr>
          <w:bCs/>
        </w:rPr>
        <w:t xml:space="preserve"> (or rather, equip and enable the students to do so)</w:t>
      </w:r>
      <w:r w:rsidR="00E20FD1" w:rsidRPr="00C347AD">
        <w:rPr>
          <w:bCs/>
        </w:rPr>
        <w:t xml:space="preserve"> using the UDL framework </w:t>
      </w:r>
      <w:r w:rsidR="00E20FD1" w:rsidRPr="00C347AD">
        <w:rPr>
          <w:bCs/>
        </w:rPr>
        <w:fldChar w:fldCharType="begin"/>
      </w:r>
      <w:r w:rsidR="00F7126F" w:rsidRPr="00C347AD">
        <w:rPr>
          <w:bCs/>
        </w:rPr>
        <w:instrText xml:space="preserve"> ADDIN ZOTERO_ITEM CSL_CITATION {"citationID":"2j8pjc50ak","properties":{"formattedCitation":"(Israel, Ribuffo, &amp; Smith, 2014)","plainCitation":"(Israel, Ribuffo, &amp; Smith, 2014)"},"citationItems":[{"id":368,"uris":["http://zotero.org/users/2098925/items/BTUH4B6P"],"uri":["http://zotero.org/users/2098925/items/BTUH4B6P"],"itemData":{"id":368,"type":"article-journal","title":"Universal design for learning innovation configuration: Recommendations for preservice teacher preparation and inservice professional development.","source":"Google Scholar","URL":"https://kuscholarworks.ku.edu/handle/1808/18509","shortTitle":"Universal design for learning innovation configuration","author":[{"family":"Israel","given":"Maya"},{"family":"Ribuffo","given":"Cecelia"},{"family":"Smith","given":"Sean Joseph"}],"issued":{"date-parts":[["2014"]]},"accessed":{"date-parts":[["2016",1,8]]}}}],"schema":"https://github.com/citation-style-language/schema/raw/master/csl-citation.json"} </w:instrText>
      </w:r>
      <w:r w:rsidR="00E20FD1" w:rsidRPr="00C347AD">
        <w:rPr>
          <w:bCs/>
        </w:rPr>
        <w:fldChar w:fldCharType="separate"/>
      </w:r>
      <w:r w:rsidR="00E20FD1" w:rsidRPr="00C347AD">
        <w:rPr>
          <w:bCs/>
          <w:noProof/>
        </w:rPr>
        <w:t>(Israel, Ribuffo, &amp; Smith, 2014)</w:t>
      </w:r>
      <w:r w:rsidR="00E20FD1" w:rsidRPr="00C347AD">
        <w:rPr>
          <w:bCs/>
        </w:rPr>
        <w:fldChar w:fldCharType="end"/>
      </w:r>
      <w:r w:rsidR="00E20FD1" w:rsidRPr="00C347AD">
        <w:rPr>
          <w:bCs/>
        </w:rPr>
        <w:t xml:space="preserve">. </w:t>
      </w:r>
    </w:p>
    <w:p w14:paraId="53626835" w14:textId="6A09145C" w:rsidR="00E20FD1" w:rsidRPr="00C347AD" w:rsidRDefault="00E20FD1" w:rsidP="00E20FD1">
      <w:pPr>
        <w:rPr>
          <w:bCs/>
        </w:rPr>
      </w:pPr>
      <w:r w:rsidRPr="00C347AD">
        <w:rPr>
          <w:bCs/>
        </w:rPr>
        <w:t xml:space="preserve">In contrast to the claims from Edyburn (2010) and Rao et al. (2014) that UDL lacks a clear research base, </w:t>
      </w:r>
      <w:r w:rsidRPr="00C347AD">
        <w:t>the UDL Center website (UDLCenter, 2012), counters that UDL has an extensive research base. The research page of the website references manifold empirical peer-reviewed research publications supporting the foundational constructs that have been synthesized in the UDL framework as well as empirical research supporting each of the 31 checkpoints that are included in the UDL guidelines (</w:t>
      </w:r>
      <w:r w:rsidR="00B323A5" w:rsidRPr="00C347AD">
        <w:t>e.g.,</w:t>
      </w:r>
      <w:r w:rsidRPr="00C347AD">
        <w:t xml:space="preserve"> </w:t>
      </w:r>
      <w:r w:rsidRPr="00C347AD">
        <w:fldChar w:fldCharType="begin"/>
      </w:r>
      <w:r w:rsidR="00F7126F" w:rsidRPr="00C347AD">
        <w:instrText xml:space="preserve"> ADDIN ZOTERO_ITEM CSL_CITATION {"citationID":"24h96lbkmb","properties":{"formattedCitation":"(Assor, Kaplan, &amp; Roth, 2002; Atkinson, 2002; Bottge, Rueda, Serlin, Hung, &amp; Kwon, 2007; Celinska, 2004; Cleary &amp; Zimmerman, 2004; Fuchs et al., 2000; Gersten &amp; Baker, 2001; Graham &amp; Perin, 2007; Norris, Sullivan, Poirot, &amp; Soloway, 2003; Orsmond, Merry, &amp; Reiling, 2002)","plainCitation":"(Assor, Kaplan, &amp; Roth, 2002; Atkinson, 2002; Bottge, Rueda, Serlin, Hung, &amp; Kwon, 2007; Celinska, 2004; Cleary &amp; Zimmerman, 2004; Fuchs et al., 2000; Gersten &amp; Baker, 2001; Graham &amp; Perin, 2007; Norris, Sullivan, Poirot, &amp; Soloway, 2003; Orsmond, Merry, &amp; Reiling, 2002)"},"citationItems":[{"id":808,"uris":["http://zotero.org/users/2098925/items/PXXMWWFX"],"uri":["http://zotero.org/users/2098925/items/PXXMWWFX"],"itemData":{"id":808,"type":"article-journal","title":"Choice is good, but relevance is excellent: Autonomy</w:instrText>
      </w:r>
      <w:r w:rsidR="00F7126F" w:rsidRPr="00C347AD">
        <w:rPr>
          <w:rFonts w:ascii="Calibri" w:eastAsia="Calibri" w:hAnsi="Calibri" w:cs="Calibri"/>
        </w:rPr>
        <w:instrText>‐</w:instrText>
      </w:r>
      <w:r w:rsidR="00F7126F" w:rsidRPr="00C347AD">
        <w:instrText>enhancing and suppressing teacher behaviours predicting students' engagement in schoolwork","container-title":"British Journal of Educational Psychology","page":"261-278","volume":"72","issue":"2","ISSN":"2044-8279","journalAbbreviation":"British Journal of Educational Psychology","author":[{"family":"Assor","given":"Avi"},{"family":"Kaplan","given":"Haya"},{"family":"Roth","given":"Guy"}],"issued":{"date-parts":[["2002"]]}}},{"id":169,"uris":["http://zotero.org/users/2098925/items/6F5TR5XB"],"uri":["http://zotero.org/users/2098925/items/6F5TR5XB"],"itemData":{"id":169,"type":"article-journal","title":"Optimizing learning from examples using animated pedagogical agents.","container-title":"Journal of Educational Psychology","page":"416","volume":"94","issue":"2","ISSN":"1939-2176","journalAbbreviation":"Journal of Educational Psychology","author":[{"family":"Atkinson","given":"Robert K"}],"issued":{"date-parts":[["2002"]]}}},{"id":15,"uris":["http://zotero.org/users/2098925/items/2IZ3WV2I"],"uri":["http://zotero.org/users/2098925/items/2IZ3WV2I"],"itemData":{"id":15,"type":"article-journal","title":"Shrinking Achievement Differences With Anchored Math Problems Challenges and Possibilities","container-title":"The Journal of Special Education","page":"31-49","volume":"41","issue":"1","ISSN":"0022-4669","journalAbbreviation":"The Journal of Special Education","author":[{"family":"Bottge","given":"Brian A"},{"family":"Rueda","given":"Enrique"},{"family":"Serlin","given":"Ronald C"},{"family":"Hung","given":"Ya-Hui"},{"family":"Kwon","given":"Jung Min"}],"issued":{"date-parts":[["2007"]]}}},{"id":463,"uris":["http://zotero.org/users/2098925/items/ECIW29GG"],"uri":["http://zotero.org/users/2098925/items/ECIW29GG"],"itemData":{"id":463,"type":"article-journal","title":"Personal narratives of students with and without learning disabilities","container-title":"Learning Disabilities Research &amp; Practice","page":"83-98","volume":"19","issue":"2","ISSN":"1540-5826","journalAbbreviation":"Learning Disabilities Research &amp; Practice","author":[{"family":"Celinska","given":"Dorota K"}],"issued":{"date-parts":[["2004"]]}}},{"id":414,"uris":["http://zotero.org/users/2098925/items/D96JGXBP"],"uri":["http://zotero.org/users/2098925/items/D96JGXBP"],"itemData":{"id":414,"type":"article-journal","title":"Self</w:instrText>
      </w:r>
      <w:r w:rsidR="00F7126F" w:rsidRPr="00C347AD">
        <w:rPr>
          <w:rFonts w:ascii="Calibri" w:eastAsia="Calibri" w:hAnsi="Calibri" w:cs="Calibri"/>
        </w:rPr>
        <w:instrText>‐</w:instrText>
      </w:r>
      <w:r w:rsidR="00F7126F" w:rsidRPr="00C347AD">
        <w:instrText>regulation empowerment program: A school</w:instrText>
      </w:r>
      <w:r w:rsidR="00F7126F" w:rsidRPr="00C347AD">
        <w:rPr>
          <w:rFonts w:ascii="Calibri" w:eastAsia="Calibri" w:hAnsi="Calibri" w:cs="Calibri"/>
        </w:rPr>
        <w:instrText>‐</w:instrText>
      </w:r>
      <w:r w:rsidR="00F7126F" w:rsidRPr="00C347AD">
        <w:instrText>based program to enhance self</w:instrText>
      </w:r>
      <w:r w:rsidR="00F7126F" w:rsidRPr="00C347AD">
        <w:rPr>
          <w:rFonts w:ascii="Calibri" w:eastAsia="Calibri" w:hAnsi="Calibri" w:cs="Calibri"/>
        </w:rPr>
        <w:instrText>‐</w:instrText>
      </w:r>
      <w:r w:rsidR="00F7126F" w:rsidRPr="00C347AD">
        <w:instrText>regulated and self</w:instrText>
      </w:r>
      <w:r w:rsidR="00F7126F" w:rsidRPr="00C347AD">
        <w:rPr>
          <w:rFonts w:ascii="Calibri" w:eastAsia="Calibri" w:hAnsi="Calibri" w:cs="Calibri"/>
        </w:rPr>
        <w:instrText>‐</w:instrText>
      </w:r>
      <w:r w:rsidR="00F7126F" w:rsidRPr="00C347AD">
        <w:instrText xml:space="preserve">motivated cycles of student learning","container-title":"Psychology in the Schools","page":"537-550","volume":"41","issue":"5","ISSN":"1520-6807","journalAbbreviation":"Psychology in the Schools","author":[{"family":"Cleary","given":"Timothy J"},{"family":"Zimmerman","given":"Barry J"}],"issued":{"date-parts":[["2004"]]}}},{"id":685,"uris":["http://zotero.org/users/2098925/items/KGJT7296"],"uri":["http://zotero.org/users/2098925/items/KGJT7296"],"itemData":{"id":685,"type":"article-journal","title":"Using objective data sources to enhance teacher judgments about test accommodations","container-title":"Exceptional Children","page":"67-81","volume":"67","issue":"1","ISSN":"0014-4029","journalAbbreviation":"Exceptional Children","author":[{"family":"Fuchs","given":"Lynn S"},{"family":"Fuchs","given":"Douglas"},{"family":"Eaton","given":"Susan B"},{"family":"Hamlett","given":"Carol"},{"family":"Binkley","given":"Edward"},{"family":"Crouch","given":"Robert"}],"issued":{"date-parts":[["2000"]]}}},{"id":473,"uris":["http://zotero.org/users/2098925/items/ERJEI2AM"],"uri":["http://zotero.org/users/2098925/items/ERJEI2AM"],"itemData":{"id":473,"type":"article-journal","title":"Teaching expressive writing to students with learning disabilities: A meta-analysis","container-title":"The elementary school journal","page":"251-272","ISSN":"0013-5984","journalAbbreviation":"The elementary school journal","author":[{"family":"Gersten","given":"Russell"},{"family":"Baker","given":"Scott"}],"issued":{"date-parts":[["2001"]]}}},{"id":860,"uris":["http://zotero.org/users/2098925/items/RHNPQEVQ"],"uri":["http://zotero.org/users/2098925/items/RHNPQEVQ"],"itemData":{"id":860,"type":"article-journal","title":"A meta-analysis of writing instruction for adolescent students.","container-title":"Journal of educational psychology","page":"445","volume":"99","issue":"3","ISSN":"1939-2176","journalAbbreviation":"Journal of educational psychology","author":[{"family":"Graham","given":"Steve"},{"family":"Perin","given":"Dolores"}],"issued":{"date-parts":[["2007"]]}}},{"id":382,"uris":["http://zotero.org/users/2098925/items/C6CQC2AR"],"uri":["http://zotero.org/users/2098925/items/C6CQC2AR"],"itemData":{"id":382,"type":"article-journal","title":"No access, no use, no impact: snapshot surveys of educational technology in K# x2013; 12","container-title":"Journal of Research on Technology in Education","page":"15-27","volume":"36","issue":"1","ISSN":"1539-1523","journalAbbreviation":"Journal of Research on Technology in Education","author":[{"family":"Norris","given":"Cathleen"},{"family":"Sullivan","given":"Terry"},{"family":"Poirot","given":"James"},{"family":"Soloway","given":"Elliot"}],"issued":{"date-parts":[["2003"]]}}},{"id":868,"uris":["http://zotero.org/users/2098925/items/RNBVFJ86"],"uri":["http://zotero.org/users/2098925/items/RNBVFJ86"],"itemData":{"id":868,"type":"article-journal","title":"The use of exemplars and formative feedback when using student derived marking criteria in peer and self-assessment","container-title":"Assessment &amp; Evaluation in Higher Education","page":"309-323","volume":"27","issue":"4","ISSN":"0260-2938","journalAbbreviation":"Assessment &amp; Evaluation in Higher Education","author":[{"family":"Orsmond","given":"Paul"},{"family":"Merry","given":"Stephen"},{"family":"Reiling","given":"Kevin"}],"issued":{"date-parts":[["2002"]]}}}],"schema":"https://github.com/citation-style-language/schema/raw/master/csl-citation.json"} </w:instrText>
      </w:r>
      <w:r w:rsidRPr="00C347AD">
        <w:fldChar w:fldCharType="separate"/>
      </w:r>
      <w:r w:rsidRPr="00C347AD">
        <w:rPr>
          <w:noProof/>
        </w:rPr>
        <w:t>Assor, Kaplan, &amp; Roth, 2002; Atkinson, 2002; Bottge, Rueda, Serlin, Hung, &amp; Kwon, 2007; Celinska, 2004; Cleary &amp; Zimmerman, 2004; Fuchs et al., 2000; Gersten &amp; Baker, 2001; Graham &amp; Perin, 2007; Norris, Sullivan, Poirot, &amp; Soloway, 2003; Orsmond, Merry, &amp; Reiling, 2002)</w:t>
      </w:r>
      <w:r w:rsidRPr="00C347AD">
        <w:fldChar w:fldCharType="end"/>
      </w:r>
      <w:r w:rsidRPr="00C347AD">
        <w:t>.</w:t>
      </w:r>
    </w:p>
    <w:p w14:paraId="2D5561D0" w14:textId="76907395" w:rsidR="00BA186E" w:rsidRPr="00C347AD" w:rsidRDefault="006C2124" w:rsidP="00E20FD1">
      <w:r w:rsidRPr="00C347AD">
        <w:lastRenderedPageBreak/>
        <w:t>In personal conversation with Edyburn (</w:t>
      </w:r>
      <w:r w:rsidR="00D7371E" w:rsidRPr="00C347AD">
        <w:t xml:space="preserve">personal communication, March 16, </w:t>
      </w:r>
      <w:r w:rsidRPr="00C347AD">
        <w:t xml:space="preserve">2016), it became clear that the rift between CAST’s claims that UDL is </w:t>
      </w:r>
      <w:r w:rsidR="00967ABB" w:rsidRPr="00C347AD">
        <w:t>research</w:t>
      </w:r>
      <w:r w:rsidR="00E7511B" w:rsidRPr="00C347AD">
        <w:t>-based</w:t>
      </w:r>
      <w:r w:rsidRPr="00C347AD">
        <w:t xml:space="preserve"> </w:t>
      </w:r>
      <w:r w:rsidR="00E7511B" w:rsidRPr="00C347AD">
        <w:t xml:space="preserve">and Edyburn’s conclusion that it is not </w:t>
      </w:r>
      <w:r w:rsidR="002234EA" w:rsidRPr="00C347AD">
        <w:t xml:space="preserve">is that while CAST underscores the research base for the </w:t>
      </w:r>
      <w:r w:rsidR="002234EA" w:rsidRPr="00C347AD">
        <w:rPr>
          <w:i/>
        </w:rPr>
        <w:t>components</w:t>
      </w:r>
      <w:r w:rsidR="002234EA" w:rsidRPr="00C347AD">
        <w:t xml:space="preserve"> of UDL, which are empirically validated, Edyburn believes that the complexity of UDL is such that component research itself isn’t enough to support claims of effectiveness for the framework as a whole. </w:t>
      </w:r>
      <w:r w:rsidR="00553165" w:rsidRPr="00C347AD">
        <w:t xml:space="preserve">He believes that there is no way to determine, with existing literature, if UDL is any more than the sum of its best-practice parts. </w:t>
      </w:r>
      <w:r w:rsidR="00E7511B" w:rsidRPr="00C347AD">
        <w:t>Though CAST does also refer to holistic research, as do Rao et al. (2014) in their revi</w:t>
      </w:r>
      <w:r w:rsidR="000A0E86" w:rsidRPr="00C347AD">
        <w:t>ew of the literature, Rao and others</w:t>
      </w:r>
      <w:r w:rsidR="00E7511B" w:rsidRPr="00C347AD">
        <w:t xml:space="preserve">’s </w:t>
      </w:r>
      <w:r w:rsidR="00553165" w:rsidRPr="00C347AD">
        <w:t xml:space="preserve">commentary on the different interpretations and manifestations </w:t>
      </w:r>
      <w:r w:rsidR="00F47638" w:rsidRPr="00C347AD">
        <w:t>of UDL in research and practice</w:t>
      </w:r>
      <w:r w:rsidR="00E7511B" w:rsidRPr="00C347AD">
        <w:t xml:space="preserve"> </w:t>
      </w:r>
      <w:r w:rsidR="008F4B91" w:rsidRPr="00C347AD">
        <w:t>also raises awareness of how a lack of consistent interpretation of UDL may preclude</w:t>
      </w:r>
      <w:r w:rsidR="00E7511B" w:rsidRPr="00C347AD">
        <w:t xml:space="preserve"> holistic research from being meaningfully synthesized.</w:t>
      </w:r>
      <w:r w:rsidR="002874BF" w:rsidRPr="00C347AD">
        <w:t xml:space="preserve"> </w:t>
      </w:r>
      <w:r w:rsidR="000A0E86" w:rsidRPr="00C347AD">
        <w:t>Rao and others</w:t>
      </w:r>
      <w:r w:rsidR="002874BF" w:rsidRPr="00C347AD">
        <w:t xml:space="preserve"> state, “most of the literature consists of descriptive studies about the importance of using UD in education and descriptions of how researchers applied the principles” (p. 164). </w:t>
      </w:r>
    </w:p>
    <w:p w14:paraId="57106F48" w14:textId="1BCBDAF2" w:rsidR="002874BF" w:rsidRPr="00C347AD" w:rsidRDefault="000A0E86" w:rsidP="00BA186E">
      <w:pPr>
        <w:rPr>
          <w:bCs/>
          <w:noProof/>
        </w:rPr>
      </w:pPr>
      <w:r w:rsidRPr="00C347AD">
        <w:t>Rao and other</w:t>
      </w:r>
      <w:r w:rsidR="008F4B91" w:rsidRPr="00C347AD">
        <w:t>s</w:t>
      </w:r>
      <w:r w:rsidRPr="00C347AD">
        <w:t>’</w:t>
      </w:r>
      <w:r w:rsidR="008F4B91" w:rsidRPr="00C347AD">
        <w:t xml:space="preserve"> </w:t>
      </w:r>
      <w:r w:rsidR="0097563D" w:rsidRPr="00C347AD">
        <w:t>recognition of</w:t>
      </w:r>
      <w:r w:rsidR="008F4B91" w:rsidRPr="00C347AD">
        <w:t xml:space="preserve"> qualitative and descriptive bias in the UDL literature </w:t>
      </w:r>
      <w:r w:rsidR="008E31A9" w:rsidRPr="00C347AD">
        <w:t xml:space="preserve">is </w:t>
      </w:r>
      <w:r w:rsidR="002874BF" w:rsidRPr="00C347AD">
        <w:t xml:space="preserve">consistent with </w:t>
      </w:r>
      <w:r w:rsidRPr="00C347AD">
        <w:t>my own review of the literature</w:t>
      </w:r>
      <w:r w:rsidR="002874BF" w:rsidRPr="00C347AD">
        <w:t xml:space="preserve"> as I found that most of the research published regarding the holistic implementation of UDL are variations of position papers (</w:t>
      </w:r>
      <w:r w:rsidR="00B323A5" w:rsidRPr="00C347AD">
        <w:t>e.g.,</w:t>
      </w:r>
      <w:r w:rsidR="002874BF" w:rsidRPr="00C347AD">
        <w:t xml:space="preserve"> </w:t>
      </w:r>
      <w:r w:rsidR="002874BF" w:rsidRPr="00C347AD">
        <w:fldChar w:fldCharType="begin"/>
      </w:r>
      <w:r w:rsidR="00F7126F" w:rsidRPr="00C347AD">
        <w:instrText xml:space="preserve"> ADDIN ZOTERO_ITEM CSL_CITATION {"citationID":"22qjim9c7q","properties":{"formattedCitation":"{\\rtf (Benton-Borghi, 2013; Cochran-Smith &amp; Dudley-Marling, 2012; Edyburn, 2010; Gradel &amp; Edson, 2009; Howard, 2003; Jim\\uc0\\u233{}nez et al., 2007; Lopes-Murphy, 2012; Martin, 2006; Nelson, 2006)}","plainCitation":"(Benton-Borghi, 2013; Cochran-Smith &amp; Dudley-Marling, 2012; Edyburn, 2010; Gradel &amp; Edson, 2009; Howard, 2003; Jiménez et al., 2007; Lopes-Murphy, 2012; Martin, 2006; Nelson, 2006)"},"citationItems":[{"id":318,"uris":["http://zotero.org/users/2098925/items/A74CKWWJ"],"uri":["http://zotero.org/users/2098925/items/A74CKWWJ"],"itemData":{"id":318,"type":"article-journal","title":"A Universally Designed for Learning (UDL) Infused Technological Pedagogical Content Knowledge (TPACK) Practitioners' Model Essential for Teacher Preparation in the 21st Century","container-title":"Journal of Educational Computing Research","page":"245-265","volume":"48","issue":"2","source":"MetaPress","abstract":"This article challenges educational computing researchers and teacher educators to consider a merger between universal design for learning and technological pedagogical content knowledge to create a practitioners' model to prepare teachers to graduate with the knowledge, skills, and dispositions needed to teach the full spectrum of learners. Presently, these models are being developed on parallel tracks because of the existing bifurcated system of general (regular) and special education. The two models together would create a cohesive, comprehensive, theoretical model for the preparation of 21st century teachers.","DOI":"10.2190/EC.48.2.g","author":[{"family":"Benton-Borghi","given":"Beatrice"}],"issued":{"date-parts":[["2013",1,1]]}}},{"id":251,"uris":["http://zotero.org/users/2098925/items/8HJMPZUZ"],"uri":["http://zotero.org/users/2098925/items/8HJMPZUZ"],"itemData":{"id":251,"type":"article-journal","title":"Diversity in Teacher Education and Special Education The Issues That Divide","container-title":"Journal of Teacher Education","page":"237-244","volume":"63","issue":"4","source":"jte.sagepub.com","abstract":"This article explores the enduring fissure between general and special teacher education by focusing directly on the issues that divide these two fields. In the first part of the article, the authors describe their individual and shared positionalities as scholars and practitioners. Then the article examines differences in the disciplinary traditions that influence the work of general teacher educators and special teacher educators as well as issues related to deficit perspectives and access to the general curriculum. The authors suggest that the lack of a common underpinning is the central cross-cutting reason for the continued deep division between the diversity communities in the two fields. Despite this deep divide, the article argues that it is imperative to find collaborative spaces that have the potential to unite the diversity communities and build new synergies in general teacher education and special teacher education.","DOI":"10.1177/0022487112446512","ISSN":"0022-4871, 1552-7816","journalAbbreviation":"Journal of Teacher Education","language":"en","author":[{"family":"Cochran-Smith","given":"Marilyn"},{"family":"Dudley-Marling","given":"Curt"}],"issued":{"date-parts":[["2012",9,1]]}}},{"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L."}],"issued":{"date-parts":[["2010"]],"season":"Winter"}}},{"id":58,"uris":["http://zotero.org/users/2098925/items/3H7KBWKQ"],"uri":["http://zotero.org/users/2098925/items/3H7KBWKQ"],"itemData":{"id":58,"type":"article-journal","title":"Putting Universal Design for Learning on the Higher Ed Agenda","container-title":"Journal of Educational Technology Systems","page":"111-121","volume":"38","issue":"2","source":"EBSCOhost","abstract":"This article provides an overview of how Universal Design for Learning (UDL) applies to higher education. Illustrations UDL implementation are made, using both campus models of systematic change and coursework exemplars. Start-up solutions and sample applications are summarized. The purpose of this article to: provide an overview of UDL, including needs for and challenges to UDL in higher education; and identify start-up strategies and models for faculty implementation of UDL practices, addressing potential challenges to their use.","DOI":"10.2190/ET.38.2.d","ISSN":"00472395","journalAbbreviation":"Journal of Educational Technology Systems","author":[{"family":"Gradel","given":"Kathleen"},{"family":"Edson","given":"Alden J."}],"issued":{"date-parts":[["2009",12]]}}},{"id":980,"uris":["http://zotero.org/users/2098925/items/UVWEM3HI"],"uri":["http://zotero.org/users/2098925/items/UVWEM3HI"],"itemData":{"id":980,"type":"article-journal","title":"Universal design for learning: An essential concept for teacher education","container-title":"Journal of Computing in Teacher Education","page":"113–118","volume":"19","issue":"4","source":"Google Scholar","shortTitle":"Universal design for learning","author":[{"family":"Howard","given":"Judith B."}],"issued":{"date-parts":[["2003"]]}}},{"id":172,"uris":["http://zotero.org/users/2098925/items/6IBWZH4R"],"uri":["http://zotero.org/users/2098925/items/6IBWZH4R"],"itemData":{"id":172,"type":"article-journal","title":"Gaining Access to General Education: The Promise of Universal Design for Learning","container-title":"Issues in Teacher Education","page":"41-54","volume":"16","issue":"2","source":"EBSCOhost","abstract":"Universal Design for Learning (UDL) can benefit students and teachers in both general and special education programs.  Since President Ford signed the Education of All Handicapped Children Act into law in 1975, there have been changes to the law and the manner in which students with disabilities and their families are educated that require teachers to learn to design unique instructional programs that actively support learners with and without disabilities.  UDL, which provides a theoretical framework based on research related to how individuals learn best and in what context, integrating relevant methods of instruction, helps teachers develop appropriate goals designed to address the needs of a wide range of students and implement instructional methods responsive to individual differences.","ISSN":"15363031","shortTitle":"Gaining Access to General Education","journalAbbreviation":"Issues in Teacher Education","author":[{"family":"Jiménez","given":"Terese C."},{"family":"Graf","given":"Victoria L."},{"family":"Rose","given":"Ernest"}],"issued":{"date-parts":[["2007"]],"season":"Fall"}}},{"id":731,"uris":["http://zotero.org/users/2098925/items/MVQ2R8KW"],"uri":["http://zotero.org/users/2098925/items/MVQ2R8KW"],"itemData":{"id":731,"type":"article-journal","title":"Universal Design for Learning: Preparing Secondary Education Teachers in Training to Increase Academic Accessibility of High School English Learners","container-title":"Clearing House","page":"226-230","volume":"85","issue":"6","source":"EBSCOhost","abstract":"Although the concept of universal design for learning (UDL) is well understood in the world of architecture and in the area of special education, its use to increase the academic performance of high school English learners (ELs) is not widely explored. To reduce this void, this article presents an overview of the UDL concept and its principles, applies UDL to classroom instruction and assessment of high school ELs, and offers suggestions on how UDL can be infused in preparation programs for secondary education teachers. This article also provides an example of how a school system has integrated UDL into its educational framework to increase academic accessibility for all.","DOI":"10.1080/00098655.2012.693549","ISSN":"00098655","shortTitle":"Universal Design for Learning","journalAbbreviation":"Clearing House","author":[{"family":"Lopes-Murphy","given":"Solange"}],"issued":{"date-parts":[["2012",9]]}}},{"id":131,"uris":["http://zotero.org/users/2098925/items/5EJQ8AKT"],"uri":["http://zotero.org/users/2098925/items/5EJQ8AKT"],"itemData":{"id":131,"type":"book","title":"Special education, technology, and teacher education","publisher":"ForeSITE","source":"Google Scholar","URL":"https://cesu.schoology.com/system/files/attachments/files/library/201209/Special_Education_Technology_and_Teacher_Education_0.pdf","author":[{"family":"Martin","given":"Sylvia S."}],"issued":{"date-parts":[["2006"]]},"accessed":{"date-parts":[["2016",1,5]]}}},{"id":590,"uris":["http://zotero.org/users/2098925/items/HM5WXR4Q"],"uri":["http://zotero.org/users/2098925/items/HM5WXR4Q"],"itemData":{"id":590,"type":"article-journal","title":"On Your Mark, Get Set, Walt! Are Your Teacher Candidates Prepared to Embed Assistive Technology in Teaching and Learning?","container-title":"College Student Journal","page":"485-494","volume":"40","issue":"3","source":"EBSCOhost","abstract":"Linda Darling-Hammond's simplistic, yet profound observation addresses the basis of reform in teacher education today. Our challenge is to develop the knowledge, disposition, and teaching performance or skills of initial and advanced teacher candidates to enable them to deliver the foundations of education necessary to meet the critical educational needs of P-12 students…the diversity of P-12 students…students with disabilities and their non-disabled peers…all teacher candidates must be prepared.","ISSN":"01463934","journalAbbreviation":"College Student Journal","author":[{"family":"Nelson","given":"Betty"}],"issued":{"date-parts":[["2006",9]]}}}],"schema":"https://github.com/citation-style-language/schema/raw/master/csl-citation.json"} </w:instrText>
      </w:r>
      <w:r w:rsidR="002874BF" w:rsidRPr="00C347AD">
        <w:fldChar w:fldCharType="separate"/>
      </w:r>
      <w:r w:rsidR="002874BF" w:rsidRPr="00C347AD">
        <w:t>Benton-Borghi, 2013; Cochran-Smith &amp; Dudley-Marling, 2012; Edyburn, 2010; Gradel &amp; Edson, 2009; Howard, 2003; Jiménez et al., 2007; Lopes-Murphy, 2012; Martin, 2006; Nelson, 2006)</w:t>
      </w:r>
      <w:r w:rsidR="002874BF" w:rsidRPr="00C347AD">
        <w:fldChar w:fldCharType="end"/>
      </w:r>
      <w:r w:rsidR="0097563D" w:rsidRPr="00C347AD">
        <w:t>,</w:t>
      </w:r>
      <w:r w:rsidR="00127861" w:rsidRPr="00C347AD">
        <w:t xml:space="preserve"> methods for implementation </w:t>
      </w:r>
      <w:r w:rsidR="00127861" w:rsidRPr="00C347AD">
        <w:fldChar w:fldCharType="begin"/>
      </w:r>
      <w:r w:rsidR="00F7126F" w:rsidRPr="00C347AD">
        <w:instrText xml:space="preserve"> ADDIN ZOTERO_ITEM CSL_CITATION {"citationID":"12791ni034","properties":{"formattedCitation":"(Katz, 2014)","plainCitation":"(Katz, 2014)"},"citationItems":[{"id":109,"uris":["http://zotero.org/users/2098925/items/4QNT9XG3"],"uri":["http://zotero.org/users/2098925/items/4QNT9XG3"],"itemData":{"id":109,"type":"article-journal","title":"Implementing the Three Block Model of Universal Design for Learning: effects on teachers' self-efficacy, stress, and job satisfaction in inclusive classrooms K-12","container-title":"International Journal of Inclusive Education","page":"1-20","volume":"0","issue":"0","source":"Taylor and Francis+NEJM","abstract":"Fifty-eight teachers of grades 1–12 in 10 schools located in two rural and three urban school divisions in Manitoba were involved in a study implementing the Three Block Model of Universal Design for Learning and exploring its outcomes for teachers and students. This article reports teachers' perceptions related to the outcomes of the implementation of the model for both students and themselves and gives voice to teachers working in challenging, diverse classrooms regarding the barriers they face to inclusive practice and what supports are needed. After implementing the model, teachers reported positive student outcomes in terms of reductions in challenging behaviour, improved student-to-student interactions, engagement, and learning. They also believed the model improved their practice and self-efficacy related to inclusive education, reduced their workload, and improved job satisfaction. However, teachers also articulated several barriers to its implementation, including the need for collaborative planning time, differentiated resources, professional learning communities, and public education.","DOI":"10.1080/13603116.2014.881569","ISSN":"1360-3116","shortTitle":"Implementing the Three Block Model of Universal Design for Learning","author":[{"family":"Katz","given":"Jennifer"}],"issued":{"date-parts":[["2014",3,27]]}}}],"schema":"https://github.com/citation-style-language/schema/raw/master/csl-citation.json"} </w:instrText>
      </w:r>
      <w:r w:rsidR="00127861" w:rsidRPr="00C347AD">
        <w:fldChar w:fldCharType="separate"/>
      </w:r>
      <w:r w:rsidR="00127861" w:rsidRPr="00C347AD">
        <w:rPr>
          <w:noProof/>
        </w:rPr>
        <w:t>(</w:t>
      </w:r>
      <w:r w:rsidR="00B323A5" w:rsidRPr="00C347AD">
        <w:rPr>
          <w:noProof/>
        </w:rPr>
        <w:t>e.g.,</w:t>
      </w:r>
      <w:r w:rsidR="00127861" w:rsidRPr="00C347AD">
        <w:rPr>
          <w:noProof/>
        </w:rPr>
        <w:t xml:space="preserve"> Katz, 2014)</w:t>
      </w:r>
      <w:r w:rsidR="00127861" w:rsidRPr="00C347AD">
        <w:fldChar w:fldCharType="end"/>
      </w:r>
      <w:r w:rsidR="00127861" w:rsidRPr="00C347AD">
        <w:t>, or qualitative case studies</w:t>
      </w:r>
      <w:r w:rsidR="0097563D" w:rsidRPr="00C347AD">
        <w:t xml:space="preserve"> with results</w:t>
      </w:r>
      <w:r w:rsidR="00127861" w:rsidRPr="00C347AD">
        <w:t xml:space="preserve"> that are difficult to generalize </w:t>
      </w:r>
      <w:r w:rsidR="00127861" w:rsidRPr="00C347AD">
        <w:fldChar w:fldCharType="begin"/>
      </w:r>
      <w:r w:rsidR="00F7126F" w:rsidRPr="00C347AD">
        <w:instrText xml:space="preserve"> ADDIN ZOTERO_ITEM CSL_CITATION {"citationID":"1635jun40g","properties":{"formattedCitation":"(Abell, Jung, &amp; Taylor, 2011; F. G. frances.smith@bc.edu Smith, 2012)","plainCitation":"(Abell, Jung, &amp; Taylor, 2011; F. G. frances.smith@bc.edu Smith, 2012)"},"citationItems":[{"id":1099,"uris":["http://zotero.org/users/2098925/items/ZEN2TM9Z"],"uri":["http://zotero.org/users/2098925/items/ZEN2TM9Z"],"itemData":{"id":1099,"type":"article-journal","title":"Students' perceptions of classroom instructional environments in the context of 'Universal Design for Learning'","container-title":"Learning Environments Research","page":"171-185","volume":"14","issue":"2","source":"EBSCOhost","abstract":"Using a sample of 867 students in Grades 5-12, the present study investigated whether students' perceptions toward the instructional environment in classrooms that employed Universal Design for Learning differed by school grade level and teacher gender. High-school students in the study showed higher perception scores than upper-elementary or middle-school students in the personalisation and participation aspect of the classroom environment. The results for teacher gender indicated that students in the study perceived a more personalised classroom environment with female teachers than with male teachers. Policy implications and methodological considerations are provided for future study.","DOI":"10.1007/s10984-011-9090-2","ISSN":"13871579","journalAbbreviation":"Learning Environments Research","author":[{"family":"Abell","given":"Michael1","dropping-particle":"abell.mike@gmail.com","suffix":""},{"family":"Jung","given":"Eunjoo1","dropping-particle":"ejung03@syr.edu","suffix":""},{"family":"Taylor","given":"Matthew1","dropping-particle":"mptayl02@gwise.louisville.edu","suffix":""}],"issued":{"date-parts":[["2011",5]]}}},{"id":788,"uris":["http://zotero.org/users/2098925/items/PBMFR7H4"],"uri":["http://zotero.org/users/2098925/items/PBMFR7H4"],"itemData":{"id":788,"type":"article-journal","title":"Analyzing a college course that adheres to the Universal Design for Learning (UDL) framework","container-title":"Journal of the Scholarship of Teaching &amp; Learning","page":"31-61","volume":"12","issue":"3","source":"EBSCOhost","abstract":"Universal design for learning (UDL) offers an educational framework for a college instructor that can maximize the design and delivery of course instruction by emphasizing multiple representations of materials, varied means for student expression, content and knowledge, and multiple ways to motivate and engage student learning. Through a UDL lens, learner variability is anticipated and considered as a strength in the instructional planning process. The present study examined the reflective practice of one faculty member as she applied the UDL framework to her graduate class. Study participants were engaged in action research that both explored the faculty's use of the UDL framework to design and deliver an introductory graduate research methods course and, student perspectives of the application of this approach. Both faculty and student responses were favorable towards the implementation of the UDL instructional practice. Results suggest that when faculty use the UDL framework to help design courses, goals are more clearly aligned with instructional practices; there is a positive relationship to student interest and engagement; and students are positively engaged in the course.","ISSN":"15279316","journalAbbreviation":"Journal of the Scholarship of Teaching &amp; Learning","author":[{"family":"Smith","given":"Frances G.","dropping-particle":"frances.smith@bc.edu","suffix":""}],"issued":{"date-parts":[["2012",9]]}}}],"schema":"https://github.com/citation-style-language/schema/raw/master/csl-citation.json"} </w:instrText>
      </w:r>
      <w:r w:rsidR="00127861" w:rsidRPr="00C347AD">
        <w:fldChar w:fldCharType="separate"/>
      </w:r>
      <w:r w:rsidR="00127861" w:rsidRPr="00C347AD">
        <w:rPr>
          <w:noProof/>
        </w:rPr>
        <w:t>(</w:t>
      </w:r>
      <w:r w:rsidR="00B323A5" w:rsidRPr="00C347AD">
        <w:rPr>
          <w:noProof/>
        </w:rPr>
        <w:t>e.g.,</w:t>
      </w:r>
      <w:r w:rsidR="00BA186E" w:rsidRPr="00C347AD">
        <w:rPr>
          <w:noProof/>
        </w:rPr>
        <w:t xml:space="preserve"> </w:t>
      </w:r>
      <w:r w:rsidR="00127861" w:rsidRPr="00C347AD">
        <w:rPr>
          <w:noProof/>
        </w:rPr>
        <w:t xml:space="preserve">Abell, </w:t>
      </w:r>
      <w:r w:rsidR="00127861" w:rsidRPr="00C347AD">
        <w:rPr>
          <w:noProof/>
        </w:rPr>
        <w:lastRenderedPageBreak/>
        <w:t>Jung, &amp; Taylor, 2011; Smith, 2012)</w:t>
      </w:r>
      <w:r w:rsidR="00127861" w:rsidRPr="00C347AD">
        <w:fldChar w:fldCharType="end"/>
      </w:r>
      <w:r w:rsidR="00BA186E" w:rsidRPr="00C347AD">
        <w:t>.</w:t>
      </w:r>
      <w:r w:rsidR="002874BF" w:rsidRPr="00C347AD">
        <w:rPr>
          <w:bCs/>
        </w:rPr>
        <w:t xml:space="preserve"> </w:t>
      </w:r>
      <w:r w:rsidR="002874BF" w:rsidRPr="00C347AD">
        <w:t>Several of these are helpful in articulating key issues and potential ways forward in the field, but the limitation of empirically designed research</w:t>
      </w:r>
      <w:r w:rsidR="00BA186E" w:rsidRPr="00C347AD">
        <w:t xml:space="preserve"> measuring student outcomes</w:t>
      </w:r>
      <w:r w:rsidR="002874BF" w:rsidRPr="00C347AD">
        <w:t xml:space="preserve"> is startling for a framework that is described in the Assistive Technology Act (29 U.S.C. 3002) as being “scientifically validated” </w:t>
      </w:r>
      <w:r w:rsidR="002874BF" w:rsidRPr="00C347AD">
        <w:fldChar w:fldCharType="begin"/>
      </w:r>
      <w:r w:rsidR="00F7126F" w:rsidRPr="00C347AD">
        <w:instrText xml:space="preserve"> ADDIN ZOTERO_ITEM CSL_CITATION {"citationID":"2cat2r7h4m","properties":{"formattedCitation":"(Edyburn, 2010)","plainCitation":"(Edyburn, 2010)"},"citationItems":[{"id":209,"uris":["http://zotero.org/users/2098925/items/7GS75EGJ"],"uri":["http://zotero.org/users/2098925/items/7GS75EGJ"],"itemData":{"id":209,"type":"article-journal","title":"Would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002874BF" w:rsidRPr="00C347AD">
        <w:fldChar w:fldCharType="separate"/>
      </w:r>
      <w:r w:rsidR="002874BF" w:rsidRPr="00C347AD">
        <w:rPr>
          <w:noProof/>
        </w:rPr>
        <w:t>(Edyburn, 2010, p. 34)</w:t>
      </w:r>
      <w:r w:rsidR="002874BF" w:rsidRPr="00C347AD">
        <w:fldChar w:fldCharType="end"/>
      </w:r>
      <w:r w:rsidR="002874BF" w:rsidRPr="00C347AD">
        <w:t xml:space="preserve">. </w:t>
      </w:r>
    </w:p>
    <w:p w14:paraId="5DDB64B2" w14:textId="2DA48C09" w:rsidR="00BA186E" w:rsidRPr="00C347AD" w:rsidRDefault="00E7511B" w:rsidP="00BA186E">
      <w:r w:rsidRPr="00C347AD">
        <w:t>Therefore,</w:t>
      </w:r>
      <w:r w:rsidR="00553165" w:rsidRPr="00C347AD">
        <w:t xml:space="preserve"> it may be the lack of clear operationalization </w:t>
      </w:r>
      <w:r w:rsidR="00706D09" w:rsidRPr="00C347AD">
        <w:t>that has</w:t>
      </w:r>
      <w:r w:rsidR="00553165" w:rsidRPr="00C347AD">
        <w:t xml:space="preserve"> preclud</w:t>
      </w:r>
      <w:r w:rsidR="00706D09" w:rsidRPr="00C347AD">
        <w:t>ed</w:t>
      </w:r>
      <w:r w:rsidR="00553165" w:rsidRPr="00C347AD">
        <w:t xml:space="preserve"> quantitative study of the framework </w:t>
      </w:r>
      <w:r w:rsidR="00706D09" w:rsidRPr="00C347AD">
        <w:t>in its entirety</w:t>
      </w:r>
      <w:r w:rsidR="00553165" w:rsidRPr="00C347AD">
        <w:t>.</w:t>
      </w:r>
      <w:r w:rsidR="00BA186E" w:rsidRPr="00C347AD">
        <w:t xml:space="preserve"> </w:t>
      </w:r>
      <w:r w:rsidR="002124D7" w:rsidRPr="00C347AD">
        <w:t xml:space="preserve">In this study, I present a potential solution to the challenge of operationalizing UDL and provide quantitative, empirical evidence to measure the effectiveness of UDL for improving preservice teacher outcomes. In this way, I both acknowledge the barrier that exists in the field of UDL research today and contribute toward addressing this barrier. </w:t>
      </w:r>
    </w:p>
    <w:p w14:paraId="1779106A" w14:textId="2264BA4A" w:rsidR="00365182" w:rsidRPr="00C347AD" w:rsidRDefault="00FE779B" w:rsidP="00BA186E">
      <w:r w:rsidRPr="00C347AD">
        <w:rPr>
          <w:b/>
        </w:rPr>
        <w:t>Research on UDL and t</w:t>
      </w:r>
      <w:r w:rsidR="00365182" w:rsidRPr="00C347AD">
        <w:rPr>
          <w:b/>
        </w:rPr>
        <w:t>e</w:t>
      </w:r>
      <w:r w:rsidRPr="00C347AD">
        <w:rPr>
          <w:b/>
        </w:rPr>
        <w:t>acher e</w:t>
      </w:r>
      <w:r w:rsidR="00365182" w:rsidRPr="00C347AD">
        <w:rPr>
          <w:b/>
        </w:rPr>
        <w:t xml:space="preserve">ducation. </w:t>
      </w:r>
      <w:r w:rsidR="00612835" w:rsidRPr="00C347AD">
        <w:t xml:space="preserve">Extending the broader trend of UDL research noted in the preceding section, </w:t>
      </w:r>
      <w:r w:rsidR="00365182" w:rsidRPr="00C347AD">
        <w:t xml:space="preserve">very little empirical research has been conducted indicating the efficacy of such instruction for preservice teachers themselves and less still on the future outcomes of such preservice teachers’ students. What few manuscripts currently provide research perspectives include case studies, surveys of perspective or practice, and other qualitative research </w:t>
      </w:r>
      <w:r w:rsidR="00365182" w:rsidRPr="00C347AD">
        <w:fldChar w:fldCharType="begin"/>
      </w:r>
      <w:r w:rsidR="00F7126F" w:rsidRPr="00C347AD">
        <w:instrText xml:space="preserve"> ADDIN ZOTERO_ITEM CSL_CITATION {"citationID":"ylZWzWVn","properties":{"formattedCitation":"(Allday et al., 2013; Berquist, 2013; Cavendish &amp; Espinosa, 2013; Kurtts, 2006; Lang, 2014; McGuire-Schwartz &amp; Arndt, 2007; Vitelli, 2015)","plainCitation":"(Allday et al., 2013; Berquist, 2013; Cavendish &amp; Espinosa, 2013; Kurtts, 2006; Lang, 2014; McGuire-Schwartz &amp; Arndt, 2007; Vitelli, 2015)"},"citationItems":[{"id":778,"uris":["http://zotero.org/users/2098925/items/NXQD8MN2"],"uri":["http://zotero.org/users/2098925/items/NXQD8MN2"],"itemData":{"id":778,"type":"article-journal","title":"Preparation for Inclusion in Teacher Education Pre-Service Curricula","container-title":"Teacher Education and Special Education: The Journal of the Teacher Education Division of the Council for Exceptional Children","page":"298-311","volume":"36","issue":"4","source":"tes.sagepub.com.proxy.lib.utk.edu:90","abstract":"Inclusion of students with disabilities has been practiced and advocated for more than two decades in the United States. This practice involves the placement of students with disabilities in a general education classroom for part or all of the day, and the primary instructor is a general education teacher in collaboration with a special education teacher. The authors reviewed coursework related to inclusion provided to pre-service elementary teachers during their teacher preparation programs. A total of 109 elementary education bachelor’s degree programs were examined to determine the number of course hours devoted to inclusion, instruction, and management of students with disabilities. Results suggest that many teacher preparation programs provide instruction related to characteristics of disabilities and some form of classroom management; however, few programs offer courses specifically related to differentiation of instruction for students with disabilities or collaboration between general and special education teachers.","DOI":"10.1177/0888406413497485","ISSN":"0888-4064, 1944-4931","journalAbbreviation":"Teacher Education and Special Education: The Journal of the Teacher Education Division of the Council for Exceptional Children","language":"en","author":[{"family":"Allday","given":"R. Allan"},{"family":"Neilsen-Gatti","given":"Shelley"},{"family":"Hudson","given":"Tina M."}],"issued":{"date-parts":[["2013",11,1]]}}},{"id":104,"uris":["http://zotero.org/users/2098925/items/4JZG3ZJ8"],"uri":["http://zotero.org/users/2098925/items/4JZG3ZJ8"],"itemData":{"id":104,"type":"article-journal","title":"Universal Design for Learning, conceptual change and teacher education: an exploration of preconceptions and beliefs about practice","container-title":"Towson University Institutional Repository","source":"Google Scholar","URL":"https://mdsoar.org/handle/11603/2042","shortTitle":"Universal Design for Learning, conceptual change and teacher education","author":[{"family":"Berquist","given":"Elizabeth Tessier"}],"issued":{"date-parts":[["2013"]]},"accessed":{"date-parts":[["2016",1,5]]}}},{"id":654,"uris":["http://zotero.org/users/2098925/items/JHKWUVZW"],"uri":["http://zotero.org/users/2098925/items/JHKWUVZW"],"itemData":{"id":654,"type":"chapter","title":"Teacher Preparation for Student Diversity and Disabilities: Changing Roles in Response to Intervention Models","container-title":"Learning Disabilities: Practice Concerns And Students With LD","publisher":"Emerald Group Publishing Limited","page":"189-205","volume":"25","source":"CrossRef","URL":"http://www.emeraldinsight.com/doi/abs/10.1108/S0270-4013%282013%290000025013","ISBN":"978-1-78190-427-5","shortTitle":"Teacher Preparation for Student Diversity and Disabilities","language":"en","editor":[{"family":"Bakken","given":"Jeffrey P."},{"family":"Obiakor","given":"Festus E."},{"family":"Rotatori","given":"Anthony F."}],"author":[{"family":"Cavendish","given":"Wendy"},{"family":"Espinosa","given":"Anabel"}],"issued":{"date-parts":[["2013",1]]},"accessed":{"date-parts":[["2016",1,5]]}}},{"id":882,"uris":["http://zotero.org/users/2098925/items/S9PZ5PCT"],"uri":["http://zotero.org/users/2098925/items/S9PZ5PCT"],"itemData":{"id":882,"type":"article-journal","title":"Universal Design for Learning in Inclusive Classrooms","container-title":"Electronic Journal for Inclusive Education 1 (10)","source":"Google Scholar","URL":"http://corescholar.libraries.wright.edu/ejie/vol1/iss10/7/","author":[{"family":"Kurtts","given":"Stephanie A."}],"issued":{"date-parts":[["2006"]]},"accessed":{"date-parts":[["2016",1,5]]}}},{"id":604,"uris":["http://zotero.org/users/2098925/items/I5KZDXEC"],"uri":["http://zotero.org/users/2098925/items/I5KZDXEC"],"itemData":{"id":604,"type":"article-journal","title":"Preparing Preservice Teachers for Inclusive Classrooms: A State-Wide Survey of Teacher Education Faculty","author":[{"family":"Lang","given":"Lucinda Anne Ellenburg"}],"issued":{"date-parts":[["2014"]]}}},{"id":1013,"uris":["http://zotero.org/users/2098925/items/VWIQWCWZ"],"uri":["http://zotero.org/users/2098925/items/VWIQWCWZ"],"itemData":{"id":1013,"type":"article-journal","title":"Transforming Universal Design for Learning in Early Childhood Teacher Education from College Classroom to Early Childhood Classroom","container-title":"Journal of Early Childhood Teacher Education","page":"127-139","volume":"28","issue":"2","source":"EBSCOhost","abstract":"This article focuses on the application of Universal Design for Learning from theory to practice from the college classroom to the practicum experiences of preservice teacher candidates. It combines description of two research projects that explored and documented how participants understand and use Universal Design for Learning in lesson planning. Universal Design for Learning holds promise in training early childhood teacher educators to work with diverse populations and to provide access to learning for all students, including children with special needs. In Study One, 36 teacher candidates used action research to implement a Universal Design for Learning strategy, collect and analyze data, and become researchers. In Study Two, five teacher candidates were introduced to the principles of Universal Design for Learning and designed lesson plans for their practica. These qualitative research studies explored and documented how teacher candidates understand, introduce, and integrate the principles and practices of Universal Design for Learning. An overview of principles and practices of Universal Design for Learning, its use in the college classroom, its application in lesson planning and teaching, and the use of action research to determine its impact on the learning of all students in public school classrooms are presented.","DOI":"10.1080/10901020701366707","ISSN":"10901027","journalAbbreviation":"Journal of Early Childhood Teacher Education","author":[{"family":"McGuire-Schwartz","given":"Mary Ellen1","dropping-particle":"mmcguire@ric.edu","suffix":""},{"family":"Arndt","given":"Janet S.2"}],"issued":{"date-parts":[["2007",4]]}}},{"id":135,"uris":["http://zotero.org/users/2098925/items/5HPEQ33J"],"uri":["http://zotero.org/users/2098925/items/5HPEQ33J"],"itemData":{"id":135,"type":"article-journal","title":"Universal Design for Learning Are We Teaching It to Preservice General Education Teachers?","container-title":"Journal of Special Education Technology","page":"166-178","volume":"30","issue":"3","author":[{"family":"Vitelli","given":"Edward M."}],"issued":{"date-parts":[["2015"]]}}}],"schema":"https://github.com/citation-style-language/schema/raw/master/csl-citation.json"} </w:instrText>
      </w:r>
      <w:r w:rsidR="00365182" w:rsidRPr="00C347AD">
        <w:fldChar w:fldCharType="separate"/>
      </w:r>
      <w:r w:rsidR="001D2145" w:rsidRPr="00C347AD">
        <w:rPr>
          <w:noProof/>
        </w:rPr>
        <w:t>(Allday et al., 2013; Berquist, 2013; Cavendish &amp; Espinosa, 2013; Kurtts, 2006; Lang, 2014; McGuire-Schwartz &amp; Arndt, 2007; Vitelli, 2015)</w:t>
      </w:r>
      <w:r w:rsidR="00365182" w:rsidRPr="00C347AD">
        <w:fldChar w:fldCharType="end"/>
      </w:r>
      <w:r w:rsidR="00365182" w:rsidRPr="00C347AD">
        <w:t xml:space="preserve">, and a very few empirically designed quantitative studies </w:t>
      </w:r>
      <w:r w:rsidR="00365182" w:rsidRPr="00C347AD">
        <w:fldChar w:fldCharType="begin"/>
      </w:r>
      <w:r w:rsidR="00F7126F" w:rsidRPr="00C347AD">
        <w:instrText xml:space="preserve"> ADDIN ZOTERO_ITEM CSL_CITATION {"citationID":"GKQh38U3","properties":{"formattedCitation":"(Aronin, 2009; Courey et al., 2013; Killoran et al., 2014; Spooner et al., 2007a)","plainCitation":"(Aronin, 2009; Courey et al., 2013; Killoran et al., 2014; Spooner et al., 2007a)"},"citationItems":[{"id":665,"uris":["http://zotero.org/users/2098925/items/JVZN6JRS"],"uri":["http://zotero.org/users/2098925/items/JVZN6JRS"],"itemData":{"id":665,"type":"thesis","title":"Integrating universal design for learning through content video with preservice teachers","publisher":"University of Central Florida Orlando, Florida","source":"Google Scholar","URL":"http://etd.fcla.edu/CF/CFE0002816/Aronin_Sara_A_200908_PhD.pdf","author":[{"family":"Aronin","given":"Sara Ann"}],"issued":{"date-parts":[["2009"]]},"accessed":{"date-parts":[["2016",1,5]]}}},{"id":1046,"uris":["http://zotero.org/users/2098925/items/WZ4JRR4F"],"uri":["http://zotero.org/users/2098925/items/WZ4JRR4F"],"itemData":{"id":1046,"type":"article-journal","title":"Improved Lesson Planning With Universal Design for Learning (UDL)","container-title":"Teacher Education and Special Education: The Journal of the Teacher Education Division of the Council for Exceptional Children","page":"7-27","volume":"36","issue":"1","source":"tes.sagepub.com","abstract":"Efficient lesson planning with universal design for learning (UDL) enables teachers to more effectively meet students’ individual needs. In this study, a comparison of lesson plans by teacher candidates in a teacher preparation program before and after UDL training is presented. After training, teachers (n = 45) incorporated more differentiated options and varied teacher strategies based on UDL principles into their lesson plans, so that the content was more accessible to all students. A variety of changes and options was examined, and examples of commonly occurring choices selected by the teacher candidates were provided. The improved multiplicity of options in lesson planning demonstrates a better understanding of UDL principles; however, teachers need more experience in actually implementing the UDL principles in their classrooms.","DOI":"10.1177/0888406412446178","ISSN":"0888-4064, 1944-4931","journalAbbreviation":"Teacher Education and Special Education: The Journal of the Teacher Education Division of the Council for Exceptional Children","language":"en","author":[{"family":"Courey","given":"Susan Joan"},{"family":"Tappe","given":"Phyllis"},{"family":"Siker","given":"Jody"},{"family":"LePage","given":"Pam"}],"issued":{"date-parts":[["2013",2,1]]}}},{"id":527,"uris":["http://zotero.org/users/2098925/items/FXZNZ9PQ"],"uri":["http://zotero.org/users/2098925/items/FXZNZ9PQ"],"itemData":{"id":527,"type":"article-journal","title":"Exploring preservice teachers' attitudes towards inclusion","container-title":"International Journal of Inclusive Education","page":"427-442","volume":"18","issue":"4","source":"Taylor and Francis+NEJM","abstract":"This study responds to a call for research into existing teacher-education programmes and their impact on teacher candidates' attitudes. An inclusive education course that examined the difference between ‘soft inclusion’ (inclusion which addresses the issue of place rather than substance of learning) and genuine inclusion was used to explore pre-existing teacher candidate beliefs and assumptions. Using the Opinions Relative to Mainstreaming-Adapted, four classes of students from two different teacher-preparation programmes within the Faculty of Education at York University in Toronto, Canada, were surveyed pre- and post-course. A statistically significant change in the scores was found for all of the classes. A significant difference was also found between the changes in scores of the two programme groups. Results indicate that the course was successful at shifting preservice students towards inclusion and gave the students a foundation that will hopefully translate into practice.","DOI":"10.1080/13603116.2013.784367","ISSN":"1360-3116","author":[{"family":"Killoran","given":"Isabel"},{"family":"Woronko","given":"Dagmara"},{"family":"Zaretsky","given":"Hayley"}],"issued":{"date-parts":[["2014",4,3]]}}},{"id":1065,"uris":["http://zotero.org/users/2098925/items/FHPWD6XK"],"uri":["http://zotero.org/users/2098925/items/FHPWD6XK"],"itemData":{"id":1065,"type":"article-journal","title":"Effects of Training in Universal Design for Learning on Lesson Plan Development","container-title":"Remedial &amp; Special Education","page":"108-116","volume":"28","issue":"2","source":"EBSCOhost","abstract":"The effects of training in Universal Design for Learning (UDL) on lesson plan development of special and general educators in a college classroom environment were investigated. A true experimental group design with a control group was used for this study. A one-hour teacher training session introduced UDL to the experimental group; the control group received the intervention later. A three-factor analysis of variance with repeated measures was completed for each of the dependent variables (i.e., UDL lesson plan). Differences were found between pretest and posttest measures for both treatment groups for special education and general education teachers. The results suggest that a simple introduction to UDL can help teachers to design a lesson plan accessible for all students.","ISSN":"07419325","journalAbbreviation":"Remedial &amp; Special Education","author":[{"family":"Spooner","given":"Fred"},{"family":"Baker","given":"Joshua N."},{"family":"Harris","given":"Amber A."},{"family":"Delzell","given":"Lynn Ahlgrim"},{"family":"Browder","given":"Diane M."}],"issued":{"date-parts":[["2007",4,3]]}}}],"schema":"https://github.com/citation-style-language/schema/raw/master/csl-citation.json"} </w:instrText>
      </w:r>
      <w:r w:rsidR="00365182" w:rsidRPr="00C347AD">
        <w:fldChar w:fldCharType="separate"/>
      </w:r>
      <w:r w:rsidR="001D2145" w:rsidRPr="00C347AD">
        <w:rPr>
          <w:noProof/>
        </w:rPr>
        <w:t>(Aronin, 2009; Courey et al., 2013; Killoran et al., 2014; Spooner et al., 2007a)</w:t>
      </w:r>
      <w:r w:rsidR="00365182" w:rsidRPr="00C347AD">
        <w:fldChar w:fldCharType="end"/>
      </w:r>
      <w:r w:rsidR="00365182" w:rsidRPr="00C347AD">
        <w:t>. These studies tend to focus on how short UDL interventions (</w:t>
      </w:r>
      <w:r w:rsidR="00B323A5" w:rsidRPr="00C347AD">
        <w:t>e.g.,</w:t>
      </w:r>
      <w:r w:rsidR="00365182" w:rsidRPr="00C347AD">
        <w:t xml:space="preserve"> video or live modeling UDL, explicit training in UDL) </w:t>
      </w:r>
      <w:r w:rsidR="00365182" w:rsidRPr="00C347AD">
        <w:lastRenderedPageBreak/>
        <w:t xml:space="preserve">lead to reported change in attitudes toward inclusion </w:t>
      </w:r>
      <w:r w:rsidR="00365182" w:rsidRPr="00C347AD">
        <w:fldChar w:fldCharType="begin"/>
      </w:r>
      <w:r w:rsidR="00F7126F" w:rsidRPr="00C347AD">
        <w:instrText xml:space="preserve"> ADDIN ZOTERO_ITEM CSL_CITATION {"citationID":"cr5YtV26","properties":{"formattedCitation":"(Killoran et al., 2014)","plainCitation":"(Killoran et al., 2014)"},"citationItems":[{"id":527,"uris":["http://zotero.org/users/2098925/items/FXZNZ9PQ"],"uri":["http://zotero.org/users/2098925/items/FXZNZ9PQ"],"itemData":{"id":527,"type":"article-journal","title":"Exploring preservice teachers' attitudes towards inclusion","container-title":"International Journal of Inclusive Education","page":"427-442","volume":"18","issue":"4","source":"Taylor and Francis+NEJM","abstract":"This study responds to a call for research into existing teacher-education programmes and their impact on teacher candidates' attitudes. An inclusive education course that examined the difference between ‘soft inclusion’ (inclusion which addresses the issue of place rather than substance of learning) and genuine inclusion was used to explore pre-existing teacher candidate beliefs and assumptions. Using the Opinions Relative to Mainstreaming-Adapted, four classes of students from two different teacher-preparation programmes within the Faculty of Education at York University in Toronto, Canada, were surveyed pre- and post-course. A statistically significant change in the scores was found for all of the classes. A significant difference was also found between the changes in scores of the two programme groups. Results indicate that the course was successful at shifting preservice students towards inclusion and gave the students a foundation that will hopefully translate into practice.","DOI":"10.1080/13603116.2013.784367","ISSN":"1360-3116","author":[{"family":"Killoran","given":"Isabel"},{"family":"Woronko","given":"Dagmara"},{"family":"Zaretsky","given":"Hayley"}],"issued":{"date-parts":[["2014",4,3]]}}}],"schema":"https://github.com/citation-style-language/schema/raw/master/csl-citation.json"} </w:instrText>
      </w:r>
      <w:r w:rsidR="00365182" w:rsidRPr="00C347AD">
        <w:fldChar w:fldCharType="separate"/>
      </w:r>
      <w:r w:rsidR="00365182" w:rsidRPr="00C347AD">
        <w:rPr>
          <w:noProof/>
        </w:rPr>
        <w:t>(Killoran et al., 2014)</w:t>
      </w:r>
      <w:r w:rsidR="00365182" w:rsidRPr="00C347AD">
        <w:fldChar w:fldCharType="end"/>
      </w:r>
      <w:r w:rsidR="00365182" w:rsidRPr="00C347AD">
        <w:t xml:space="preserve"> or performance on universally designed lesson plans </w:t>
      </w:r>
      <w:r w:rsidR="00365182" w:rsidRPr="00C347AD">
        <w:fldChar w:fldCharType="begin"/>
      </w:r>
      <w:r w:rsidR="00F7126F" w:rsidRPr="00C347AD">
        <w:instrText xml:space="preserve"> ADDIN ZOTERO_ITEM CSL_CITATION {"citationID":"4lNFgEnD","properties":{"formattedCitation":"(Aronin, 2009; Courey et al., 2013; Spooner et al., 2007a)","plainCitation":"(Aronin, 2009; Courey et al., 2013; Spooner et al., 2007a)"},"citationItems":[{"id":665,"uris":["http://zotero.org/users/2098925/items/JVZN6JRS"],"uri":["http://zotero.org/users/2098925/items/JVZN6JRS"],"itemData":{"id":665,"type":"thesis","title":"Integrating universal design for learning through content video with preservice teachers","publisher":"University of Central Florida Orlando, Florida","source":"Google Scholar","URL":"http://etd.fcla.edu/CF/CFE0002816/Aronin_Sara_A_200908_PhD.pdf","author":[{"family":"Aronin","given":"Sara Ann"}],"issued":{"date-parts":[["2009"]]},"accessed":{"date-parts":[["2016",1,5]]}}},{"id":1046,"uris":["http://zotero.org/users/2098925/items/WZ4JRR4F"],"uri":["http://zotero.org/users/2098925/items/WZ4JRR4F"],"itemData":{"id":1046,"type":"article-journal","title":"Improved Lesson Planning With Universal Design for Learning (UDL)","container-title":"Teacher Education and Special Education: The Journal of the Teacher Education Division of the Council for Exceptional Children","page":"7-27","volume":"36","issue":"1","source":"tes.sagepub.com","abstract":"Efficient lesson planning with universal design for learning (UDL) enables teachers to more effectively meet students’ individual needs. In this study, a comparison of lesson plans by teacher candidates in a teacher preparation program before and after UDL training is presented. After training, teachers (n = 45) incorporated more differentiated options and varied teacher strategies based on UDL principles into their lesson plans, so that the content was more accessible to all students. A variety of changes and options was examined, and examples of commonly occurring choices selected by the teacher candidates were provided. The improved multiplicity of options in lesson planning demonstrates a better understanding of UDL principles; however, teachers need more experience in actually implementing the UDL principles in their classrooms.","DOI":"10.1177/0888406412446178","ISSN":"0888-4064, 1944-4931","journalAbbreviation":"Teacher Education and Special Education: The Journal of the Teacher Education Division of the Council for Exceptional Children","language":"en","author":[{"family":"Courey","given":"Susan Joan"},{"family":"Tappe","given":"Phyllis"},{"family":"Siker","given":"Jody"},{"family":"LePage","given":"Pam"}],"issued":{"date-parts":[["2013",2,1]]}}},{"id":1065,"uris":["http://zotero.org/users/2098925/items/FHPWD6XK"],"uri":["http://zotero.org/users/2098925/items/FHPWD6XK"],"itemData":{"id":1065,"type":"article-journal","title":"Effects of Training in Universal Design for Learning on Lesson Plan Development","container-title":"Remedial &amp; Special Education","page":"108-116","volume":"28","issue":"2","source":"EBSCOhost","abstract":"The effects of training in Universal Design for Learning (UDL) on lesson plan development of special and general educators in a college classroom environment were investigated. A true experimental group design with a control group was used for this study. A one-hour teacher training session introduced UDL to the experimental group; the control group received the intervention later. A three-factor analysis of variance with repeated measures was completed for each of the dependent variables (i.e., UDL lesson plan). Differences were found between pretest and posttest measures for both treatment groups for special education and general education teachers. The results suggest that a simple introduction to UDL can help teachers to design a lesson plan accessible for all students.","ISSN":"07419325","journalAbbreviation":"Remedial &amp; Special Education","author":[{"family":"Spooner","given":"Fred"},{"family":"Baker","given":"Joshua N."},{"family":"Harris","given":"Amber A."},{"family":"Delzell","given":"Lynn Ahlgrim"},{"family":"Browder","given":"Diane M."}],"issued":{"date-parts":[["2007",4,3]]}}}],"schema":"https://github.com/citation-style-language/schema/raw/master/csl-citation.json"} </w:instrText>
      </w:r>
      <w:r w:rsidR="00365182" w:rsidRPr="00C347AD">
        <w:fldChar w:fldCharType="separate"/>
      </w:r>
      <w:r w:rsidR="001D2145" w:rsidRPr="00C347AD">
        <w:rPr>
          <w:noProof/>
        </w:rPr>
        <w:t xml:space="preserve">(Aronin, 2009; Courey et </w:t>
      </w:r>
      <w:r w:rsidR="00255A1E" w:rsidRPr="00C347AD">
        <w:rPr>
          <w:noProof/>
        </w:rPr>
        <w:t>al., 2013; Spooner et al., 2007</w:t>
      </w:r>
      <w:r w:rsidR="001D2145" w:rsidRPr="00C347AD">
        <w:rPr>
          <w:noProof/>
        </w:rPr>
        <w:t>)</w:t>
      </w:r>
      <w:r w:rsidR="00365182" w:rsidRPr="00C347AD">
        <w:fldChar w:fldCharType="end"/>
      </w:r>
      <w:r w:rsidR="00365182" w:rsidRPr="00C347AD">
        <w:t>.</w:t>
      </w:r>
    </w:p>
    <w:p w14:paraId="4B0E1BF4" w14:textId="4C679EC7" w:rsidR="00762172" w:rsidRPr="00C347AD" w:rsidRDefault="002C41E4" w:rsidP="00BB0C89">
      <w:r w:rsidRPr="00C347AD">
        <w:t>Thus, i</w:t>
      </w:r>
      <w:r w:rsidR="00365182" w:rsidRPr="00C347AD">
        <w:t>n reviewing the literature</w:t>
      </w:r>
      <w:r w:rsidRPr="00C347AD">
        <w:t xml:space="preserve"> </w:t>
      </w:r>
      <w:r w:rsidR="00365182" w:rsidRPr="00C347AD">
        <w:t>it has become clear that the acceptance and promotion of UDL has in many wa</w:t>
      </w:r>
      <w:r w:rsidR="007836FA" w:rsidRPr="00C347AD">
        <w:t xml:space="preserve">ys superseded the research base, </w:t>
      </w:r>
      <w:r w:rsidR="00365182" w:rsidRPr="00C347AD">
        <w:t xml:space="preserve">which supports the </w:t>
      </w:r>
      <w:r w:rsidR="005F4382" w:rsidRPr="00C347AD">
        <w:t>individual checkpoints far better than it does the framework</w:t>
      </w:r>
      <w:r w:rsidR="00365182" w:rsidRPr="00C347AD">
        <w:t xml:space="preserve"> as a whole. This issue is present in the literature rel</w:t>
      </w:r>
      <w:r w:rsidR="005F4382" w:rsidRPr="00C347AD">
        <w:t xml:space="preserve">ated to UDL implementation in general </w:t>
      </w:r>
      <w:r w:rsidR="00365182" w:rsidRPr="00C347AD">
        <w:t>(Rao et al., 2014), and also particularly in research related to teacher education. It has been articulated that before further progress can be made in researching t</w:t>
      </w:r>
      <w:r w:rsidR="008B34C5" w:rsidRPr="00C347AD">
        <w:t>he framework of UDL as a discre</w:t>
      </w:r>
      <w:r w:rsidR="00365182" w:rsidRPr="00C347AD">
        <w:t>t</w:t>
      </w:r>
      <w:r w:rsidR="008B34C5" w:rsidRPr="00C347AD">
        <w:t>e</w:t>
      </w:r>
      <w:r w:rsidR="00365182" w:rsidRPr="00C347AD">
        <w:t xml:space="preserve"> </w:t>
      </w:r>
      <w:r w:rsidR="00476E8B" w:rsidRPr="00C347AD">
        <w:t>entity</w:t>
      </w:r>
      <w:r w:rsidR="00365182" w:rsidRPr="00C347AD">
        <w:t xml:space="preserve">, UDL must be operationalized (Edyburn, 2010; Rao et al., 2014). </w:t>
      </w:r>
      <w:r w:rsidR="005E372A" w:rsidRPr="00C347AD">
        <w:t xml:space="preserve">In </w:t>
      </w:r>
      <w:r w:rsidR="00526038" w:rsidRPr="00C347AD">
        <w:t>Chapter</w:t>
      </w:r>
      <w:r w:rsidR="005E372A" w:rsidRPr="00C347AD">
        <w:t xml:space="preserve"> 3, I articulate a method of operationalizing UDL that may encompass both the frameworks’ inherent and vital flexibility and the necessity of having clarity in defining what UDL is and is not. </w:t>
      </w:r>
    </w:p>
    <w:p w14:paraId="45EE1BD5" w14:textId="2CF49AA2" w:rsidR="009A72B4" w:rsidRPr="00C347AD" w:rsidRDefault="009A72B4" w:rsidP="00FE779B">
      <w:pPr>
        <w:pStyle w:val="Heading2"/>
      </w:pPr>
      <w:bookmarkStart w:id="53" w:name="_Toc466104361"/>
      <w:bookmarkStart w:id="54" w:name="_Toc470600338"/>
      <w:bookmarkStart w:id="55" w:name="_Toc471890445"/>
      <w:r w:rsidRPr="00C347AD">
        <w:t>Faculty Modeling</w:t>
      </w:r>
      <w:bookmarkEnd w:id="53"/>
      <w:bookmarkEnd w:id="54"/>
      <w:bookmarkEnd w:id="55"/>
      <w:r w:rsidRPr="00C347AD">
        <w:t xml:space="preserve"> </w:t>
      </w:r>
    </w:p>
    <w:p w14:paraId="6C6F7DF5" w14:textId="45CC58AD" w:rsidR="00927C46" w:rsidRPr="00C347AD" w:rsidRDefault="00927C46" w:rsidP="00927C46">
      <w:r w:rsidRPr="00C347AD">
        <w:t>There are issues and unique challenges to teachi</w:t>
      </w:r>
      <w:r w:rsidR="007024DB" w:rsidRPr="00C347AD">
        <w:t>ng well at the university level</w:t>
      </w:r>
      <w:r w:rsidRPr="00C347AD">
        <w:t xml:space="preserve">. Quality teaching is sometimes difficult to achieve among the many other roles that university faculty must fulfill as researchers and leaders. Exacerbating this point is the notion that quality teaching may not be a key factor in determining tenure and raises in the university setting </w:t>
      </w:r>
      <w:r w:rsidRPr="00C347AD">
        <w:fldChar w:fldCharType="begin"/>
      </w:r>
      <w:r w:rsidR="00F7126F" w:rsidRPr="00C347AD">
        <w:instrText xml:space="preserve"> ADDIN ZOTERO_ITEM CSL_CITATION {"citationID":"2fgist5c9j","properties":{"formattedCitation":"(Kelsky, 2015; Koster, Brekelmans, Korthagen, &amp; Wubbels, 2005)","plainCitation":"(Kelsky, 2015; Koster, Brekelmans, Korthagen, &amp; Wubbels, 2005)"},"citationItems":[{"id":785,"uris":["http://zotero.org/users/2098925/items/P8WT68HN"],"uri":["http://zotero.org/users/2098925/items/P8WT68HN"],"itemData":{"id":785,"type":"book","title":"The Professor Is In: The Essential Guide to Turning Your Ph.D. Into a Job","publisher":"Crown/Archetype","number-of-pages":"448","source":"Google Books","abstract":"The definitive career guide for grad students, adjuncts, post-docs and anyone else eager to get tenure or turn their Ph.D.  into their ideal job   Each year tens of thousands of students will, after years of hard work and enormous amounts of money, earn their Ph.D. And each year only a small percentage of them will land a job that justifies and rewards their investment. For every comfortably tenured professor or well-paid former academic, there are countless underpaid and overworked adjuncts, and many more who simply give up in frustration.   Those who do make it share an important asset that separates them from the pack: they have a plan. They understand exactly what they need to do to set themselves up for success.  They know what really moves the needle in academic job searches, how to avoid the all-too-common mistakes that sink so many of their peers, and how to decide when to point their Ph.D. toward other, non-academic options.   Karen Kelsky has made it her mission to help readers join the select few who get the most out of their Ph.D. As a former tenured professor and department head who oversaw numerous academic job searches, she knows from experience exactly what gets an academic applicant a job. And as the creator of the popular and widely respected advice site The Professor is In, she has helped countless Ph.D.'s turn themselves into stronger applicants and land their dream careers.   Now, for the first time ever, Karen has poured all her best advice into a single handy guide that addresses the most important issues facing any Ph.D., including:   -When, where, and what to publish -Writing a foolproof grant application -Cultivating references and crafting the perfect CV -Acing the job talk and campus interview -Avoiding the adjunct trap -Making the leap to nonacademic work, when the time is right   The Professor Is In addresses all of these issues, and many more.","ISBN":"978-0-553-41942-9","shortTitle":"The Professor Is In","language":"en","author":[{"family":"Kelsky","given":"Karen"}],"issued":{"date-parts":[["2015"]]}}},{"id":127,"uris":["http://zotero.org/users/2098925/items/59CD9MQH"],"uri":["http://zotero.org/users/2098925/items/59CD9MQH"],"itemData":{"id":127,"type":"article-journal","title":"Quality requirements for teacher educators","container-title":"Teaching and Teacher Education","collection-title":"Teaching Teachers","page":"157-176","volume":"21","issue":"2","source":"ScienceDirect","abstract":"This study deals with the quality requirements that are needed for teacher educators. The tasks teacher educators have to do and the competencies they should possess (a professional profile), according to their fellow teacher educators, were identified. On the basis of a literature search on tasks and competencies of teacher educators, we made a first overview of tasks and competencies. Next, we conducted a Delphi study in three rounds, during which we held open-ended interviews and sent out two rounds of questionnaires. The resulting profile consists of five task areas and four areas of competence. For university-based teacher educators, a sixth task area (carrying out research) has been added.","DOI":"10.1016/j.tate.2004.12.004","ISSN":"0742-051X","journalAbbreviation":"Teaching and Teacher Education","author":[{"family":"Koster","given":"Bob"},{"family":"Brekelmans","given":"Mieke"},{"family":"Korthagen","given":"Fred"},{"family":"Wubbels","given":"Theo"}],"issued":{"date-parts":[["2005",2]]}}}],"schema":"https://github.com/citation-style-language/schema/raw/master/csl-citation.json"} </w:instrText>
      </w:r>
      <w:r w:rsidRPr="00C347AD">
        <w:fldChar w:fldCharType="separate"/>
      </w:r>
      <w:r w:rsidR="00581D4B" w:rsidRPr="00C347AD">
        <w:rPr>
          <w:noProof/>
        </w:rPr>
        <w:t>(Kelsky, 2015; Koster, Brekelmans, Korthagen, &amp; Wubbels, 2005)</w:t>
      </w:r>
      <w:r w:rsidRPr="00C347AD">
        <w:fldChar w:fldCharType="end"/>
      </w:r>
      <w:r w:rsidRPr="00C347AD">
        <w:t xml:space="preserve">. </w:t>
      </w:r>
    </w:p>
    <w:p w14:paraId="0C400190" w14:textId="30D034DB" w:rsidR="00927C46" w:rsidRPr="00C347AD" w:rsidRDefault="00927C46" w:rsidP="00927C46">
      <w:r w:rsidRPr="00C347AD">
        <w:t xml:space="preserve">If more focus can and should be placed on the quality of teaching among teacher educators, as Koster, et al. (2005) propose, then there will need to be clear understanding </w:t>
      </w:r>
      <w:r w:rsidRPr="00C347AD">
        <w:lastRenderedPageBreak/>
        <w:t>of best pra</w:t>
      </w:r>
      <w:r w:rsidR="005F4382" w:rsidRPr="00C347AD">
        <w:t xml:space="preserve">ctices at the university level </w:t>
      </w:r>
      <w:r w:rsidRPr="00C347AD">
        <w:t xml:space="preserve">and there is a need to explicitly examine the degree to which such practices, when implemented in university-level courses, impact the quality of preservice teachers’ teaching after becoming professionals. </w:t>
      </w:r>
    </w:p>
    <w:p w14:paraId="222E7C9E" w14:textId="57085932" w:rsidR="00927C46" w:rsidRPr="00C347AD" w:rsidRDefault="00927C46" w:rsidP="00476E8B">
      <w:r w:rsidRPr="00C347AD">
        <w:t xml:space="preserve">Blume </w:t>
      </w:r>
      <w:r w:rsidRPr="00C347AD">
        <w:fldChar w:fldCharType="begin"/>
      </w:r>
      <w:r w:rsidR="001D2145" w:rsidRPr="00C347AD">
        <w:instrText xml:space="preserve"> ADDIN ZOTERO_ITEM CSL_CITATION {"citationID":"2adkqvvp4k","properties":{"formattedCitation":"(Blume, 1971)","plainCitation":"(Blume, 1971)","dontUpdate":true},"citationItems":[{"id":908,"uris":["http://zotero.org/users/2098925/items/37I3F4W4"],"uri":["http://zotero.org/users/2098925/items/37I3F4W4"],"itemData":{"id":908,"type":"article-journal","title":"Humanizing Teacher Education","container-title":"The Phi Delta Kappan","page":"411–415","volume":"52","issue":"7","source":"Primo","ISSN":"0031-7217","language":"eng","author":[{"family":"Blume","given":"Robert"}],"issued":{"date-parts":[["1971"]]}}}],"schema":"https://github.com/citation-style-language/schema/raw/master/csl-citation.json"} </w:instrText>
      </w:r>
      <w:r w:rsidRPr="00C347AD">
        <w:fldChar w:fldCharType="separate"/>
      </w:r>
      <w:r w:rsidRPr="00C347AD">
        <w:rPr>
          <w:noProof/>
        </w:rPr>
        <w:t>(1971)</w:t>
      </w:r>
      <w:r w:rsidRPr="00C347AD">
        <w:fldChar w:fldCharType="end"/>
      </w:r>
      <w:r w:rsidR="00581D4B" w:rsidRPr="00C347AD">
        <w:t xml:space="preserve"> asserted</w:t>
      </w:r>
      <w:r w:rsidRPr="00C347AD">
        <w:t xml:space="preserve"> that “teachers teach as they have been taught – not the way they have been taught to teach” (p. 412), an assertion that may be presently expanded to suggest that faculty modeling of best practices with preservice teachers may be among the most significant factors in determining the extent to which preservice teachers actualize the migration from theory to practice and demonstrate the use of skills and practices in the classroom that are most relevant to quality instruction. </w:t>
      </w:r>
      <w:r w:rsidRPr="00C347AD">
        <w:fldChar w:fldCharType="begin"/>
      </w:r>
      <w:r w:rsidR="00F7126F" w:rsidRPr="00C347AD">
        <w:instrText xml:space="preserve"> ADDIN ZOTERO_ITEM CSL_CITATION {"citationID":"2eu4pctqif","properties":{"formattedCitation":"(Korthagen, Loughran, &amp; Russell, 2006)","plainCitation":"(Korthagen, Loughran, &amp; Russell, 2006)","dontUpdate":true},"citationItems":[{"id":374,"uris":["http://zotero.org/users/2098925/items/BZ598N29"],"uri":["http://zotero.org/users/2098925/items/BZ598N29"],"itemData":{"id":374,"type":"article-journal","title":"Developing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Education","author":[{"family":"Korthagen","given":"Fred"},{"family":"Loughran","given":"John"},{"family":"Russell","given":"Tom"}],"issued":{"date-parts":[["2006",11]]}}}],"schema":"https://github.com/citation-style-language/schema/raw/master/csl-citation.json"} </w:instrText>
      </w:r>
      <w:r w:rsidRPr="00C347AD">
        <w:fldChar w:fldCharType="separate"/>
      </w:r>
      <w:r w:rsidRPr="00C347AD">
        <w:rPr>
          <w:noProof/>
        </w:rPr>
        <w:t>Korthagen, Loughran, and Russell (2006)</w:t>
      </w:r>
      <w:r w:rsidRPr="00C347AD">
        <w:fldChar w:fldCharType="end"/>
      </w:r>
      <w:r w:rsidRPr="00C347AD">
        <w:t xml:space="preserve"> articulate a central irony in this domain whereby “student teachers report their disappointment when they experience a class in which a lecture is used to present alternatives to the lecture method” (p. 1036).</w:t>
      </w:r>
      <w:r w:rsidR="00476E8B" w:rsidRPr="00C347AD">
        <w:t xml:space="preserve"> </w:t>
      </w:r>
      <w:r w:rsidRPr="00C347AD">
        <w:t>To this end, the purpose of this</w:t>
      </w:r>
      <w:r w:rsidR="007024DB" w:rsidRPr="00C347AD">
        <w:t xml:space="preserve"> section of the</w:t>
      </w:r>
      <w:r w:rsidRPr="00C347AD">
        <w:t xml:space="preserve"> literature review is to examine previously published findings regarding the effectiveness of faculty modeling of teaching practices for preservice teachers and the effects of modeling on the preservice teachers’ own practice.</w:t>
      </w:r>
    </w:p>
    <w:p w14:paraId="191A6694" w14:textId="0F83EB27" w:rsidR="00F27D6F" w:rsidRPr="00C347AD" w:rsidRDefault="00927C46" w:rsidP="00F27D6F">
      <w:r w:rsidRPr="00C347AD">
        <w:t xml:space="preserve">Faculty modeling has been highlighted in the literature as a practice with great </w:t>
      </w:r>
      <w:r w:rsidR="00F27D6F" w:rsidRPr="00C347AD">
        <w:t>potential (</w:t>
      </w:r>
      <w:r w:rsidR="00B323A5" w:rsidRPr="00C347AD">
        <w:t>e.g.,</w:t>
      </w:r>
      <w:r w:rsidR="00F27D6F" w:rsidRPr="00C347AD">
        <w:t xml:space="preserve"> </w:t>
      </w:r>
      <w:r w:rsidR="00F27D6F" w:rsidRPr="00C347AD">
        <w:fldChar w:fldCharType="begin"/>
      </w:r>
      <w:r w:rsidR="00F7126F" w:rsidRPr="00C347AD">
        <w:instrText xml:space="preserve"> ADDIN ZOTERO_ITEM CSL_CITATION {"citationID":"IIwiikJE","properties":{"formattedCitation":"(Aleccia, 2011; Darling-Hammond, 2005; Korthagen et al., 2006; Loughran &amp; Berry, 2005; Putnam &amp; Borko, 2000)","plainCitation":"(Aleccia, 2011; Darling-Hammond, 2005; Korthagen et al., 2006; Loughran &amp; Berry, 2005; Putnam &amp; Borko, 2000)","dontUpdate":true},"citationItems":[{"id":264,"uris":["http://zotero.org/users/2098925/items/NIMCI2HN"],"uri":["http://zotero.org/users/2098925/items/NIMCI2HN"],"itemData":{"id":264,"type":"article-journal","title":"Walking Our Talk: The Imperative of Teacher Educator Modeling","container-title":"Clearing House","page":"87-90","volume":"84","issue":"3","source":"EBSCOhost","abstract":"If teacher educators are to be effective, they must be sure that their own professional house is in order. To that end, effective teacher educators must be absolutely clear about their professional mission. In addition, they must also have the appropriate background and training to be effective in their mission. Further, they must bridge the chasm between theory and practice as they prepare teacher candidates by keeping current in K-12 contemporary classroom practice. Finally, they must model what it means to be an accomplished classroom teacher for their pre-service teachers including the professional option of earning National Board certification. Only when teacher educators meet these four demanding criteria can we feel with reasonable certainty that they are living up to their job.","DOI":"10.1080/00098655.2010.524951","ISSN":"00098655","shortTitle":"Walking Our Talk","journalAbbreviation":"Clearing House","author":[{"family":"Aleccia","given":"Vincent"}],"issued":{"date-parts":[["2011",5]]},"accessed":{"date-parts":[["2015",1,31]],"season":"17:55:30"}}},{"id":1067,"uris":["http://zotero.org/users/2098925/items/XHZ5CX8F"],"uri":["http://zotero.org/users/2098925/items/XHZ5CX8F"],"itemData":{"id":1067,"type":"article-journal","title":"Educating the New Educator: Teacher Education and the Future of Democracy","container-title":"The New Educator","page":"1-18","volume":"1","issue":"1","source":"Taylor and Francis+NEJM","DOI":"10.1080/15476880490441379","ISSN":"1547-688X","shortTitle":"Educating the New Educator","author":[{"family":"Darling-Hammond","given":"Linda"}],"issued":{"date-parts":[["2005",2,1]]}}},{"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T."},{"family":"Borko","given":"Hilda"}],"issued":{"date-parts":[["2000",1,1]]}}}],"schema":"https://github.com/citation-style-language/schema/raw/master/csl-citation.json"} </w:instrText>
      </w:r>
      <w:r w:rsidR="00F27D6F" w:rsidRPr="00C347AD">
        <w:fldChar w:fldCharType="separate"/>
      </w:r>
      <w:r w:rsidR="00F27D6F" w:rsidRPr="00C347AD">
        <w:rPr>
          <w:noProof/>
        </w:rPr>
        <w:t>Aleccia, 2011; Darling-Hammond, 2005; Korthagen et al., 2006; Loughran &amp; Berry, 2005; Putnam &amp; Borko, 2000)</w:t>
      </w:r>
      <w:r w:rsidR="00F27D6F" w:rsidRPr="00C347AD">
        <w:fldChar w:fldCharType="end"/>
      </w:r>
      <w:r w:rsidRPr="00C347AD">
        <w:t xml:space="preserve">; however, there is not yet published evidence to </w:t>
      </w:r>
      <w:r w:rsidR="00F27D6F" w:rsidRPr="00C347AD">
        <w:t xml:space="preserve">justify this notion. </w:t>
      </w:r>
      <w:r w:rsidRPr="00C347AD">
        <w:t xml:space="preserve"> </w:t>
      </w:r>
      <w:r w:rsidR="00F27D6F" w:rsidRPr="00C347AD">
        <w:t>What literature exists on the topic often notes this paucity (</w:t>
      </w:r>
      <w:r w:rsidR="00B323A5" w:rsidRPr="00C347AD">
        <w:t>e.g.,</w:t>
      </w:r>
      <w:r w:rsidR="00F27D6F" w:rsidRPr="00C347AD">
        <w:t xml:space="preserve"> </w:t>
      </w:r>
      <w:r w:rsidR="00F27D6F" w:rsidRPr="00C347AD">
        <w:fldChar w:fldCharType="begin"/>
      </w:r>
      <w:r w:rsidR="00F7126F" w:rsidRPr="00C347AD">
        <w:instrText xml:space="preserve"> ADDIN ZOTERO_ITEM CSL_CITATION {"citationID":"xmUWb6Kd","properties":{"formattedCitation":"(Cochran-Smith &amp; Zeichner, 2005; Korthagen et al., 2006; Merseth, 1996)","plainCitation":"(Cochran-Smith &amp; Zeichner, 2005; Korthagen et al., 2006; Merseth, 1996)","dontUpdate":true},"citationItems":[{"id":324,"uris":["http://zotero.org/users/2098925/items/AC9VVM4S"],"uri":["http://zotero.org/users/2098925/items/AC9VVM4S"],"itemData":{"id":324,"type":"book","title":"Studying Teacher Education: The Report of the AERA Panel on Research and Teacher Education","publisher":"Lawrence Erlbaum Associates","source":"ERIC","abstract":"This landmark volume presents the work of the American Educational Research Association's Panel on Research and Teacher Education. It represents a systematic effort to apply a common set of scholarly lenses to a range of important topics in teacher education. The Panel's charge was twofold: (1) to create for the larger educational research community a thorough, rigorous, and even-handed analysis of the empirical research evidence relevant to major policies and practices in preservice teacher education in the U.S.; and (2) to propose a research agenda related to teacher education that builds on what is already known and that identifies the research directions that are most promising for the future. Members of the Panel were appointed from various sectors of the educational research community and with different areas of expertise, including teacher education, policy, assessment, research design and methods, liberal arts, multicultural education, and school reform. Building on their diverse perspectives, they ably translated their charge into a series of questions that became the framework for this volume. The questions illuminate many of the issues that have been most contested in past and current discourse about teacher education reform. This book  examines research about the current pool of prospective and entering teachers and about local, institutional, state, and federal preservice teacher education policies and practices. Following a foreword and preface, this book presents the following: (1) Executive Summary: The Report of the AERA Panel on Research and Teacher Education; (2) The AERA Panel on Research and Teacher Education: Context and Goals (M. Cochran-Smith and K. Fries); (3) Researching Teacher Education in Changing Times: Politics and Paradigms (M. Cochran-Smith and K. Fries); (4) Teachers Characteristics: Research on the Demographic Profile (K. Zumwalt and E. Craig); (5) Teachers' Characteristics: Research on the Indicators of Quality (K. Zumwalt and E. Craig); (6) Research on the Effects of Coursework in the Arts and Sciences and in the Foundations of Education (R. Floden and M. Meniketti); (7) Research on Methods Courses and Field Experiences (R. T. Clift and P. Brady); (8) Research on Pedagogical Approaches in Teacher Education (P. Grossman); (9) Research on Preparing Teachers' for Diverse Populations (E. Hollins and M. T. Guzman); (10) Research on Preparing General Education Teachers to Work with Students with Disabilities (M. C. Pugach); (11) Research on Accountability Processes in Teacher Education (S. Wilson and P. Youngs); (12) Teacher Education Programs (K. M. Zeichner and H. G. Conklin); and (13) A Research Agenda for Teacher Education (K. M. Zeichner). The book concludes with: AERA Panel on Research and Teacher Education--Biographies of the Panel Members.","ISBN":"0-8058-5592-0","shortTitle":"Studying Teacher Education","language":"en","author":[{"family":"Cochran-Smith","given":"Marilyn"},{"family":"Zeichner","given":"Kenneth M."}],"issued":{"date-parts":[["2005"]]},"accessed":{"date-parts":[["2015",4,15]]}}},{"id":374,"uris":["http://zotero.org/users/2098925/items/BZ598N29"],"uri":["http://zotero.org/users/2098925/items/BZ598N29"],"itemData":{"id":374,"type":"article-journal","title":"Developing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310,"uris":["http://zotero.org/users/2098925/items/9XFKGIZX"],"uri":["http://zotero.org/users/2098925/items/9XFKGIZX"],"itemData":{"id":310,"type":"article-journal","title":"Cases and case methods in teacher education","container-title":"Handbook of research on teacher education","page":"722-744","volume":"2","author":[{"family":"Merseth","given":"Katherine K."}],"issued":{"date-parts":[["1996"]]}}}],"schema":"https://github.com/citation-style-language/schema/raw/master/csl-citation.json"} </w:instrText>
      </w:r>
      <w:r w:rsidR="00F27D6F" w:rsidRPr="00C347AD">
        <w:fldChar w:fldCharType="separate"/>
      </w:r>
      <w:r w:rsidR="00F27D6F" w:rsidRPr="00C347AD">
        <w:t>Cochran-Smith &amp; Zeichner, 2005; Korthagen et al., 2006; Merseth, 1996)</w:t>
      </w:r>
      <w:r w:rsidR="00F27D6F" w:rsidRPr="00C347AD">
        <w:fldChar w:fldCharType="end"/>
      </w:r>
      <w:r w:rsidR="00F27D6F" w:rsidRPr="00C347AD">
        <w:t xml:space="preserve">. To date, there does not appear to be a unified collection of literature on the topic, but rather a </w:t>
      </w:r>
      <w:r w:rsidR="00F27D6F" w:rsidRPr="00C347AD">
        <w:lastRenderedPageBreak/>
        <w:t xml:space="preserve">somewhat eclectic mix of position papers, self-reflections by faculty, secondary sources, and calls for research. Perhaps one of the issues causing this lack of coordinated and </w:t>
      </w:r>
      <w:r w:rsidR="005F4382" w:rsidRPr="00C347AD">
        <w:t>emperical</w:t>
      </w:r>
      <w:r w:rsidR="00F27D6F" w:rsidRPr="00C347AD">
        <w:t xml:space="preserve"> research is explicated in the American Education Research Association (</w:t>
      </w:r>
      <w:r w:rsidR="00F27D6F" w:rsidRPr="00C347AD">
        <w:rPr>
          <w:color w:val="1A1718"/>
        </w:rPr>
        <w:t xml:space="preserve">AERA) Panel on Research and Teacher Education (Cochran-Smith &amp; Zeichner, 2005) </w:t>
      </w:r>
      <w:r w:rsidR="005F4382" w:rsidRPr="00C347AD">
        <w:rPr>
          <w:color w:val="1A1718"/>
        </w:rPr>
        <w:t>the editors of which</w:t>
      </w:r>
      <w:r w:rsidR="00F27D6F" w:rsidRPr="00C347AD">
        <w:rPr>
          <w:color w:val="1A1718"/>
        </w:rPr>
        <w:t xml:space="preserve"> suggested that the complexity of methodological issues involved with teacher education may often prevent experimental design, an issue exacerbated by the array of difficult-to-control variables associated with teacher education. Several papers that have worked to provide a theoretical framework for faculty modeling as a means of improving outcomes in teacher education programs </w:t>
      </w:r>
      <w:r w:rsidR="00BB0C89" w:rsidRPr="00C347AD">
        <w:rPr>
          <w:color w:val="1A1718"/>
        </w:rPr>
        <w:t>are</w:t>
      </w:r>
      <w:r w:rsidR="00F27D6F" w:rsidRPr="00C347AD">
        <w:rPr>
          <w:color w:val="1A1718"/>
        </w:rPr>
        <w:t xml:space="preserve"> explored in this section. None of these studies contribute new experimental or quasi-experimental data, but are useful in demonstrating the value of such experimental studies going forward. </w:t>
      </w:r>
    </w:p>
    <w:p w14:paraId="24DDFBC2" w14:textId="77777777" w:rsidR="00F27D6F" w:rsidRPr="00C347AD" w:rsidRDefault="00F27D6F" w:rsidP="00F27D6F">
      <w:r w:rsidRPr="00C347AD">
        <w:t xml:space="preserve">An early exploration of the concept and importance of faculty modeling appears in Putnam and Borko’s (2000) literature review/conceptual framework regarding the social constructivist notion of situative learning. In this review, the authors draw attention to research that stresses the importance of authentic learning activities for cognitive development. They note the struggle of teacher educators to provide “learning experiences powerful enough to transform teachers’ classroom practice” (pp. 5-6) and examine different ways of providing vicarious learning experiences for preservice teachers. To this end, the authors examine the use of field experiences as well as modeling via case-based experiences where the preservice teachers, in the context of the university classroom, discuss and role play cases in order to attempt multiple approaches </w:t>
      </w:r>
      <w:r w:rsidRPr="00C347AD">
        <w:lastRenderedPageBreak/>
        <w:t xml:space="preserve">in a semi-controlled environment. Though the authors do not address faculty modeling explicitly in their paper, inasmuch as faculty modeling is designed to provide a vicarious experience for conceptual development, faculty modeling could be considered a sub-set of “situative learning” akin to case-based experiences. As such, Putnam and Borko’s study is a good place to begin in examining theoretical underpinnings for faculty modeling. </w:t>
      </w:r>
    </w:p>
    <w:p w14:paraId="730FF998" w14:textId="6C48ABAD" w:rsidR="00F27D6F" w:rsidRPr="00C347AD" w:rsidRDefault="00F27D6F" w:rsidP="00F27D6F">
      <w:r w:rsidRPr="00C347AD">
        <w:t>In a more explicit attempt to address the limited available research and respond to the AERA’s (</w:t>
      </w:r>
      <w:r w:rsidRPr="00C347AD">
        <w:rPr>
          <w:color w:val="1A1718"/>
        </w:rPr>
        <w:t>Cochran-Smith &amp; Zeichner, 2005</w:t>
      </w:r>
      <w:r w:rsidRPr="00C347AD">
        <w:t>) emphasis on researching teacher education, Korthagen, Loughran, and Russell (2006) used published self-studies in a form of qualitative review</w:t>
      </w:r>
      <w:r w:rsidRPr="00C347AD" w:rsidDel="00E859CC">
        <w:t xml:space="preserve"> </w:t>
      </w:r>
      <w:r w:rsidRPr="00C347AD">
        <w:t>designed to tease out principles that have shown consistent positive effects for training preservice teachers. Each of the principles presented is accompanied by anecdotal evidence from multiple primary sources</w:t>
      </w:r>
      <w:r w:rsidR="001A1448" w:rsidRPr="00C347AD">
        <w:t xml:space="preserve"> that</w:t>
      </w:r>
      <w:r w:rsidRPr="00C347AD">
        <w:t xml:space="preserve"> support and exemplify the practice. Korthagen, et al.’s principles have proven seminal in a new wave of research, and several more recent studies have cited Korthagen</w:t>
      </w:r>
      <w:r w:rsidR="00FD33E9" w:rsidRPr="00C347AD">
        <w:t xml:space="preserve"> et al.</w:t>
      </w:r>
      <w:r w:rsidRPr="00C347AD">
        <w:t>’s manuscript while expanding on one or more of the seven principles. Though description of all seven principles is beyond the scope of this review, principle seven is imme</w:t>
      </w:r>
      <w:r w:rsidR="00FD33E9" w:rsidRPr="00C347AD">
        <w:t>diately relevant. In the author</w:t>
      </w:r>
      <w:r w:rsidRPr="00C347AD">
        <w:t>s</w:t>
      </w:r>
      <w:r w:rsidR="00FD33E9" w:rsidRPr="00C347AD">
        <w:t>’</w:t>
      </w:r>
      <w:r w:rsidRPr="00C347AD">
        <w:t xml:space="preserve"> words, principle seven is: “Learning about teaching is enhanced when the teaching and learning approaches advocated in the program are </w:t>
      </w:r>
      <w:r w:rsidR="00A6166E" w:rsidRPr="00C347AD">
        <w:rPr>
          <w:i/>
        </w:rPr>
        <w:t>modeled by the</w:t>
      </w:r>
      <w:r w:rsidRPr="00C347AD">
        <w:rPr>
          <w:i/>
        </w:rPr>
        <w:t xml:space="preserve"> teacher educators in their own practice</w:t>
      </w:r>
      <w:r w:rsidRPr="00C347AD">
        <w:t xml:space="preserve">” (p. 1036, emphasis added). The nature of this research as a review again provides excellent basis for further experimentation, though the data presented </w:t>
      </w:r>
      <w:r w:rsidRPr="00C347AD">
        <w:lastRenderedPageBreak/>
        <w:t xml:space="preserve">therein </w:t>
      </w:r>
      <w:r w:rsidR="00FD33E9" w:rsidRPr="00C347AD">
        <w:t>are</w:t>
      </w:r>
      <w:r w:rsidRPr="00C347AD">
        <w:t xml:space="preserve"> not conclusive enough to be considered as evidence toward recognizing faculty modeling as a best practice in teacher education. </w:t>
      </w:r>
    </w:p>
    <w:p w14:paraId="46E73E4B" w14:textId="7D6A483C" w:rsidR="00F27D6F" w:rsidRPr="00C347AD" w:rsidRDefault="00F27D6F" w:rsidP="00F27D6F">
      <w:r w:rsidRPr="00C347AD">
        <w:t xml:space="preserve">Korthagen </w:t>
      </w:r>
      <w:r w:rsidR="00A72B77" w:rsidRPr="00C347AD">
        <w:t xml:space="preserve">et </w:t>
      </w:r>
      <w:r w:rsidRPr="00C347AD">
        <w:t>al.'s (2006) call for modeling was expanded in Lunenberg, Korthagen, and Swennen's (</w:t>
      </w:r>
      <w:r w:rsidRPr="00C347AD">
        <w:fldChar w:fldCharType="begin"/>
      </w:r>
      <w:r w:rsidR="00F7126F" w:rsidRPr="00C347AD">
        <w:instrText xml:space="preserve"> ADDIN ZOTERO_ITEM CSL_CITATION {"citationID":"bt37js93p","properties":{"formattedCitation":"(Lunenberg et al., 2007)","plainCitation":"(Lunenberg et al., 2007)","dontUpdate":true},"citationItems":[{"id":669,"uris":["http://zotero.org/users/2098925/items/JZ76C86M"],"uri":["http://zotero.org/users/2098925/items/JZ76C86M"],"itemData":{"id":669,"type":"article-journal","title":"The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Education","author":[{"family":"Lunenberg","given":"Mieke"},{"family":"Korthagen","given":"Fred"},{"family":"Swennen","given":"Anja"}],"issued":{"date-parts":[["2007",7]]}}}],"schema":"https://github.com/citation-style-language/schema/raw/master/csl-citation.json"} </w:instrText>
      </w:r>
      <w:r w:rsidRPr="00C347AD">
        <w:fldChar w:fldCharType="separate"/>
      </w:r>
      <w:r w:rsidRPr="00C347AD">
        <w:t>2007)</w:t>
      </w:r>
      <w:r w:rsidRPr="00C347AD">
        <w:fldChar w:fldCharType="end"/>
      </w:r>
      <w:r w:rsidRPr="00C347AD">
        <w:t xml:space="preserve"> study in which the authors review and articulate constructs relevant to the exploration of faculty modeling. These include: “(1) implicit modeling, which seems to have a low impact; (2) explicit modeling; (3) explicit modeling and facilitating the translation into the student teachers’ own practice; </w:t>
      </w:r>
      <w:r w:rsidR="00FD33E9" w:rsidRPr="00C347AD">
        <w:t xml:space="preserve">and </w:t>
      </w:r>
      <w:r w:rsidRPr="00C347AD">
        <w:t>(4) connecting exemplary behavior to theory” (p. 597). The authors suggest that modeling good practice (implicitly or explicitly) does not itself ensure that students can apply such practice in their own teaching, and thus explicit discussion and guidance in such application is necessary (</w:t>
      </w:r>
      <w:r w:rsidR="004F52F4" w:rsidRPr="00C347AD">
        <w:t>i.e.,</w:t>
      </w:r>
      <w:r w:rsidRPr="00C347AD">
        <w:t xml:space="preserve"> type 3); additionally, they articulate the constructivist notion that personal growth must be connected to public discourse in order to not waste time “reinventing the wheel” of best practices, and thus suggest that modeling should be clearly connected to theory in order to model not only the practice itself, but the process of using theory to guide practices (</w:t>
      </w:r>
      <w:r w:rsidR="004F52F4" w:rsidRPr="00C347AD">
        <w:t>i.e.,</w:t>
      </w:r>
      <w:r w:rsidRPr="00C347AD">
        <w:t xml:space="preserve"> type 4). This articulation of different forms of modeling is extremely useful for further analysis of the literature base and would be a critical component of any experimental design, given that different types of modeling may have substantially different outcomes. If the type of modeling used is not articulated, there is a danger of critical misunderstanding when the word “modeling” is used. </w:t>
      </w:r>
    </w:p>
    <w:p w14:paraId="304DA9AD" w14:textId="30A6B443" w:rsidR="00F27D6F" w:rsidRPr="00C347AD" w:rsidRDefault="00F27D6F" w:rsidP="00F27D6F">
      <w:r w:rsidRPr="00C347AD">
        <w:t xml:space="preserve">Korthagen et al.’s (2006) </w:t>
      </w:r>
      <w:r w:rsidR="00FD33E9" w:rsidRPr="00C347AD">
        <w:t>conclusions</w:t>
      </w:r>
      <w:r w:rsidRPr="00C347AD">
        <w:t xml:space="preserve"> suppo</w:t>
      </w:r>
      <w:r w:rsidR="00FD33E9" w:rsidRPr="00C347AD">
        <w:t>rt</w:t>
      </w:r>
      <w:r w:rsidRPr="00C347AD">
        <w:t xml:space="preserve"> another study conducted by </w:t>
      </w:r>
      <w:r w:rsidRPr="00C347AD">
        <w:fldChar w:fldCharType="begin"/>
      </w:r>
      <w:r w:rsidR="00F7126F" w:rsidRPr="00C347AD">
        <w:instrText xml:space="preserve"> ADDIN ZOTERO_ITEM CSL_CITATION {"citationID":"2mqttgl394","properties":{"formattedCitation":"(Koster et al., 2005)","plainCitation":"(Koster et al., 2005)"},"citationItems":[{"id":127,"uris":["http://zotero.org/users/2098925/items/59CD9MQH"],"uri":["http://zotero.org/users/2098925/items/59CD9MQH"],"itemData":{"id":127,"type":"article-journal","title":"Quality requirements for teacher educators","container-title":"Teaching and Teacher Education","collection-title":"Teaching Teachers","page":"157-176","volume":"21","issue":"2","source":"ScienceDirect","abstract":"This study deals with the quality requirements that are needed for teacher educators. The tasks teacher educators have to do and the competencies they should possess (a professional profile), according to their fellow teacher educators, were identified. On the basis of a literature search on tasks and competencies of teacher educators, we made a first overview of tasks and competencies. Next, we conducted a Delphi study in three rounds, during which we held open-ended interviews and sent out two rounds of questionnaires. The resulting profile consists of five task areas and four areas of competence. For university-based teacher educators, a sixth task area (carrying out research) has been added.","DOI":"10.1016/j.tate.2004.12.004","ISSN":"0742-051X","journalAbbreviation":"Teaching and Teacher Education","author":[{"family":"Koster","given":"Bob"},{"family":"Brekelmans","given":"Mieke"},{"family":"Korthagen","given":"Fred"},{"family":"Wubbels","given":"Theo"}],"issued":{"date-parts":[["2005",2]]}}}],"schema":"https://github.com/citation-style-language/schema/raw/master/csl-citation.json"} </w:instrText>
      </w:r>
      <w:r w:rsidRPr="00C347AD">
        <w:fldChar w:fldCharType="separate"/>
      </w:r>
      <w:r w:rsidRPr="00C347AD">
        <w:t>Koster, Brekelmans, Korthagen and Wubbels (2005)</w:t>
      </w:r>
      <w:r w:rsidRPr="00C347AD">
        <w:fldChar w:fldCharType="end"/>
      </w:r>
      <w:r w:rsidRPr="00C347AD">
        <w:t xml:space="preserve"> in which the authors also explored the </w:t>
      </w:r>
      <w:r w:rsidRPr="00C347AD">
        <w:lastRenderedPageBreak/>
        <w:t xml:space="preserve">question of what teacher education faculty believe to be best practices from their own experience, but approached this </w:t>
      </w:r>
      <w:r w:rsidR="00260048" w:rsidRPr="00C347AD">
        <w:t>through</w:t>
      </w:r>
      <w:r w:rsidRPr="00C347AD">
        <w:t xml:space="preserve"> a different research design. Koster et al. used a Delphi-method survey to elicit responses from large groups (different numbers for each wave of the study) of teacher education faculty, administrators, and leaders from all regions of the Netherlands regarding what competencies and practices are most important for teacher educators to possess. Scores on a seven-point </w:t>
      </w:r>
      <w:r w:rsidR="009A455C" w:rsidRPr="00C347AD">
        <w:t>Likert scale were averaged and rat</w:t>
      </w:r>
      <w:r w:rsidRPr="00C347AD">
        <w:t>ed in terms of being considered “very necessary,” “necessary,” “necessary to some extent” and others being filtered out as not being considered substantially necessary. Among a few competencies considered to be “very necessary” was “</w:t>
      </w:r>
      <w:r w:rsidRPr="00C347AD">
        <w:rPr>
          <w:color w:val="1A1718"/>
        </w:rPr>
        <w:t>being able to be a model with regard to pedagogical and communicative competencies” (p. 167).</w:t>
      </w:r>
      <w:r w:rsidRPr="00C347AD">
        <w:t xml:space="preserve"> </w:t>
      </w:r>
    </w:p>
    <w:p w14:paraId="2E7310F0" w14:textId="7B5A15EF" w:rsidR="00F27D6F" w:rsidRPr="00C347AD" w:rsidRDefault="00F27D6F" w:rsidP="00F27D6F">
      <w:r w:rsidRPr="00C347AD">
        <w:t>A</w:t>
      </w:r>
      <w:r w:rsidR="00ED1AD0" w:rsidRPr="00C347AD">
        <w:t xml:space="preserve"> more recent</w:t>
      </w:r>
      <w:r w:rsidRPr="00C347AD">
        <w:t xml:space="preserve"> review</w:t>
      </w:r>
      <w:r w:rsidR="00ED1AD0" w:rsidRPr="00C347AD">
        <w:t>,</w:t>
      </w:r>
      <w:r w:rsidRPr="00C347AD">
        <w:t xml:space="preserve"> similar to Korthagen et al.’s (2006) outline of seven qualities of effective teacher education </w:t>
      </w:r>
      <w:r w:rsidR="00ED1AD0" w:rsidRPr="00C347AD">
        <w:t xml:space="preserve">was published </w:t>
      </w:r>
      <w:r w:rsidRPr="00C347AD">
        <w:t>with a focus on qualities of effective teacher education faculty for teaching preservice teachers to use technology</w:t>
      </w:r>
      <w:r w:rsidR="00ED1AD0" w:rsidRPr="00C347AD">
        <w:t xml:space="preserve"> (</w:t>
      </w:r>
      <w:r w:rsidR="00ED1AD0" w:rsidRPr="00C347AD">
        <w:fldChar w:fldCharType="begin"/>
      </w:r>
      <w:r w:rsidR="00F7126F" w:rsidRPr="00C347AD">
        <w:instrText xml:space="preserve"> ADDIN ZOTERO_ITEM CSL_CITATION {"citationID":"1ianc1f1i0","properties":{"formattedCitation":"(Tondeur et al., 2012)","plainCitation":"(Tondeur et al., 2012)"},"citationItems":[{"id":670,"uris":["http://zotero.org/users/2098925/items/JZT62RD2"],"uri":["http://zotero.org/users/2098925/items/JZT62RD2"],"itemData":{"id":670,"type":"article-journal","title":"Preparing pre-service teachers to integrate technology in education: A synthesis of qualitative evidence","container-title":"Computers &amp; Education","collection-title":"CAL 2011 The CAL Conference 2011","page":"134-144","volume":"59","issue":"1","source":"ScienceDirect","abstract":"This study reviewed qualitative studies that focused on strategies to prepare pre-service teachers to integrate technology into their lessons. A meta-ethnography approach was utilized to locate, critically appraise, and synthesize the results of these studies. Based on an extensive search in the Web of Science, 19 articles were included in this synthesis. The results were divided into two parts: (1) key themes explicitly related to the preparation of pre-service teachers (e.g., using teacher educators as role models, learning technology by design, scaffolding authentic technology experiences), and (2) conditions necessary at the institutional level (e.g., technology planning and leadership, co-operation within and between institutions, training staff). To present how these key themes related to each other, an overarching model was developed. By interpreting the results of the review, recommendations were discussed for pre-service teacher technology training and future research.","DOI":"10.1016/j.compedu.2011.10.009","ISSN":"0360-1315","shortTitle":"Preparing pre-service teachers to integrate technology in education","journalAbbreviation":"Computers &amp; Education","author":[{"family":"Tondeur","given":"Jo"},{"family":"Braak","given":"Johan","non-dropping-particle":"van"},{"family":"Sang","given":"Guoyuan"},{"family":"Voogt","given":"Joke"},{"family":"Fisser","given":"Petra"},{"family":"Ottenbreit-Leftwich","given":"Anne"}],"issued":{"date-parts":[["2012",8]]}}}],"schema":"https://github.com/citation-style-language/schema/raw/master/csl-citation.json"} </w:instrText>
      </w:r>
      <w:r w:rsidR="00ED1AD0" w:rsidRPr="00C347AD">
        <w:fldChar w:fldCharType="separate"/>
      </w:r>
      <w:r w:rsidR="00ED1AD0" w:rsidRPr="00C347AD">
        <w:rPr>
          <w:noProof/>
        </w:rPr>
        <w:t>Tondeur et al., 2012)</w:t>
      </w:r>
      <w:r w:rsidR="00ED1AD0" w:rsidRPr="00C347AD">
        <w:fldChar w:fldCharType="end"/>
      </w:r>
      <w:r w:rsidRPr="00C347AD">
        <w:t xml:space="preserve">. </w:t>
      </w:r>
      <w:r w:rsidR="00ED1AD0" w:rsidRPr="00C347AD">
        <w:t xml:space="preserve">Tondeur et al. </w:t>
      </w:r>
      <w:r w:rsidRPr="00C347AD">
        <w:t>used a “meta-ethnography” to provide new interpretation across multiple qualitative studies related to teaching preservice teachers to use educational technology. The authors identified seven key themes related to best practices for the preparation of preservice teachers. While the focus on technology influences some of the themes to be technology-specific, many of the themes relate generally to developing preservice teachers and fit with other research on the topic of modeling. For example, Tondeur et al. highlight</w:t>
      </w:r>
      <w:r w:rsidR="00B26E04" w:rsidRPr="00C347AD">
        <w:t>ed</w:t>
      </w:r>
      <w:r w:rsidRPr="00C347AD">
        <w:t xml:space="preserve"> the themes o</w:t>
      </w:r>
      <w:r w:rsidR="00B26E04" w:rsidRPr="00C347AD">
        <w:t xml:space="preserve">f aligning theory and </w:t>
      </w:r>
      <w:r w:rsidR="00B26E04" w:rsidRPr="00C347AD">
        <w:lastRenderedPageBreak/>
        <w:t xml:space="preserve">practice, </w:t>
      </w:r>
      <w:r w:rsidRPr="00C347AD">
        <w:t>using t</w:t>
      </w:r>
      <w:r w:rsidR="00B26E04" w:rsidRPr="00C347AD">
        <w:t>eacher educators as role models, and scaffolding authentic experiences. E</w:t>
      </w:r>
      <w:r w:rsidRPr="00C347AD">
        <w:t xml:space="preserve">ach of these themes </w:t>
      </w:r>
      <w:r w:rsidR="00A6166E" w:rsidRPr="00C347AD">
        <w:t>is</w:t>
      </w:r>
      <w:r w:rsidRPr="00C347AD">
        <w:t xml:space="preserve"> highly relevant to the discussion of faculty modeling.</w:t>
      </w:r>
    </w:p>
    <w:p w14:paraId="0F5D9EC8" w14:textId="434F09DF" w:rsidR="00F27D6F" w:rsidRPr="00C347AD" w:rsidRDefault="00F27D6F" w:rsidP="00F27D6F">
      <w:r w:rsidRPr="00C347AD">
        <w:t xml:space="preserve">Thus, the reports by Korthagen et al. (2006) and Koster et al. (2005), and Tondeur et al. (2012) collectively suggest that there is a body of education faculty who believe that faculty modeling is necessary and useful. The next step may be providing evidence that this practice is statistically and practically significant and examining if faculty </w:t>
      </w:r>
      <w:r w:rsidRPr="00C347AD">
        <w:rPr>
          <w:i/>
        </w:rPr>
        <w:t xml:space="preserve">are </w:t>
      </w:r>
      <w:r w:rsidRPr="00C347AD">
        <w:t xml:space="preserve">actually practicing modeling techniques. Unfortunately, there is almost no literature examining the first question in a quantitative form to date, though there are reports examining the effectiveness of this approach in qualitative means. </w:t>
      </w:r>
      <w:r w:rsidR="00F9121A" w:rsidRPr="00C347AD">
        <w:t>In t</w:t>
      </w:r>
      <w:r w:rsidRPr="00C347AD">
        <w:t>he next section</w:t>
      </w:r>
      <w:r w:rsidR="00F9121A" w:rsidRPr="00C347AD">
        <w:t>, I</w:t>
      </w:r>
      <w:r w:rsidRPr="00C347AD">
        <w:t xml:space="preserve"> explore the degree to which faculty modeling is practiced and will examine some of the reports regarding its effectiveness. </w:t>
      </w:r>
    </w:p>
    <w:p w14:paraId="6132BDA6" w14:textId="370E724B" w:rsidR="00F27D6F" w:rsidRPr="00C347AD" w:rsidRDefault="00F27D6F" w:rsidP="00F27D6F">
      <w:pPr>
        <w:contextualSpacing/>
        <w:rPr>
          <w:b/>
        </w:rPr>
      </w:pPr>
      <w:r w:rsidRPr="00C347AD">
        <w:rPr>
          <w:b/>
        </w:rPr>
        <w:t xml:space="preserve">Faculty modeling in teacher education. </w:t>
      </w:r>
      <w:r w:rsidRPr="00C347AD">
        <w:t xml:space="preserve">In addition to offering an articulation of four types of faculty modeling, Lunenberg, et al.’s (2007) study was designed to determine whether teacher education faculty were using modeling and, if so, which types were being used.  In their study, </w:t>
      </w:r>
      <w:r w:rsidR="00AA5CF1" w:rsidRPr="00C347AD">
        <w:t>10</w:t>
      </w:r>
      <w:r w:rsidRPr="00C347AD">
        <w:t xml:space="preserve"> faculty members from three universities in Australia, the Netherlands, and Canada were observed for two sessions each (for a total of 20 teaching sessions). D</w:t>
      </w:r>
      <w:r w:rsidR="00F9121A" w:rsidRPr="00C347AD">
        <w:t xml:space="preserve">uring these observed sessions, six out of </w:t>
      </w:r>
      <w:r w:rsidR="00AA5CF1" w:rsidRPr="00C347AD">
        <w:t>10</w:t>
      </w:r>
      <w:r w:rsidRPr="00C347AD">
        <w:t xml:space="preserve"> faculty showed explicit modeling (type 2), of </w:t>
      </w:r>
      <w:r w:rsidR="00F9121A" w:rsidRPr="00C347AD">
        <w:t>which four out of six</w:t>
      </w:r>
      <w:r w:rsidRPr="00C347AD">
        <w:t xml:space="preserve"> connected to the students’ actual practice (type 3), and </w:t>
      </w:r>
      <w:r w:rsidR="000C58BC" w:rsidRPr="00C347AD">
        <w:t>zero out of six</w:t>
      </w:r>
      <w:r w:rsidRPr="00C347AD">
        <w:t xml:space="preserve"> connected to theory (type 4). There was no evidence of correlation between years of faculty experience and the degree to which the practice of modeling was utilized. The limited application of the higher forms of modeling is </w:t>
      </w:r>
      <w:r w:rsidRPr="00C347AD">
        <w:lastRenderedPageBreak/>
        <w:t xml:space="preserve">tempered yet further by the note that the data may have been overly favorable given that participants were informed in advance about the purpose of the observation, and many “reported that by participating they had become aware of their own pedagogical choices and the degree to which they acted in accordance with their views of learning and teaching” (p. 598). </w:t>
      </w:r>
    </w:p>
    <w:p w14:paraId="34D7D2AF" w14:textId="6B00E0B6" w:rsidR="00F27D6F" w:rsidRPr="00C347AD" w:rsidRDefault="00F27D6F" w:rsidP="00F27D6F">
      <w:pPr>
        <w:widowControl w:val="0"/>
        <w:autoSpaceDE w:val="0"/>
        <w:autoSpaceDN w:val="0"/>
        <w:adjustRightInd w:val="0"/>
        <w:spacing w:after="240"/>
        <w:contextualSpacing/>
      </w:pPr>
      <w:r w:rsidRPr="00C347AD">
        <w:t>These result</w:t>
      </w:r>
      <w:r w:rsidR="00517119" w:rsidRPr="00C347AD">
        <w:t xml:space="preserve">s are similar to findings in a United States </w:t>
      </w:r>
      <w:r w:rsidRPr="00C347AD">
        <w:t xml:space="preserve">setting by </w:t>
      </w:r>
      <w:r w:rsidRPr="00C347AD">
        <w:fldChar w:fldCharType="begin"/>
      </w:r>
      <w:r w:rsidR="00F7126F" w:rsidRPr="00C347AD">
        <w:instrText xml:space="preserve"> ADDIN ZOTERO_ITEM CSL_CITATION {"citationID":"115kno1qs9","properties":{"formattedCitation":"(Watanabe &amp; Others, 1997)","plainCitation":"(Watanabe &amp; Others, 1997)","dontUpdate":true},"citationItems":[{"id":1028,"uris":["http://zotero.org/users/2098925/items/WHC2VGSF"],"uri":["http://zotero.org/users/2098925/items/WHC2VGSF"],"itemData":{"id":1028,"type":"article-journal","title":"University Faculty \"Modeling\" Good Instruction in Mathematics and Science Courses for Prospective Middle Grades Teachers: Voices from the MCTP.","source":"eric.ed.gov","abstract":"A survey of participants in a model teacher education program examined instructor and student attitudes toward modeling of recommended instructional approaches. The Maryland Collaborative for Teacher Preparation (MCTP) has the goals of developing and implementing programs to prepare special middle grade level mathematics and science teachers at Maryland public institutions of higher education. This study involved semi-structured interviews of two groups of participants. The first group included instructors of MCTP mathematics and science content courses taught at six colleges/universities and three community colleges in Maryland during school years 1994-95 and 1995-96 (n=31, 102 interviews). The second group was comprised of MCTP teacher candidates enrolled in some of these courses (n=85, 146 interviews). Most MCTP content instructors indicated they accepted the dual role of modeling good instruction while teaching content. For many teachers, the role of exemplar was new and","URL":"http://eric.ed.gov/?id=ED406896","shortTitle":"University Faculty \"Modeling\" Good Instruction in Mathematics and Science Courses for Prospective Middle Grades Teachers","language":"en","author":[{"family":"Watanabe","given":"Tad"}],"issued":{"date-parts":[["1997",3]]},"accessed":{"date-parts":[["2015",1,31]]}}}],"schema":"https://github.com/citation-style-language/schema/raw/master/csl-citation.json"} </w:instrText>
      </w:r>
      <w:r w:rsidRPr="00C347AD">
        <w:fldChar w:fldCharType="separate"/>
      </w:r>
      <w:r w:rsidRPr="00C347AD">
        <w:rPr>
          <w:noProof/>
        </w:rPr>
        <w:t>Watanabe (1997)</w:t>
      </w:r>
      <w:r w:rsidRPr="00C347AD">
        <w:fldChar w:fldCharType="end"/>
      </w:r>
      <w:r w:rsidRPr="00C347AD">
        <w:t xml:space="preserve">. Watanabe surveyed the practice of </w:t>
      </w:r>
      <w:r w:rsidR="000C58BC" w:rsidRPr="00C347AD">
        <w:t xml:space="preserve">10 teacher </w:t>
      </w:r>
      <w:r w:rsidRPr="00C347AD">
        <w:t xml:space="preserve">education faculty members and their students’ response to the instruction. Watanabe reports that the faculty claimed to model good instruction frequently, though the type of modeling being used is what could be categorized as type 1 and 2 in Lunenberg et al.’s (2007) stratification. That is, faculty implicitly modeled good instruction, or explicitly modeled (reflecting on the fact that they were modeling), but fell short of connecting these models to the preservice teachers’ future classrooms and/or connecting explicitly to theory. Nonetheless, faculty participants believed that their students had more successful learning experiences as a result of this approach, a notion that was largely supported by qualitative content reported from the preservice teachers themselves. </w:t>
      </w:r>
      <w:r w:rsidR="00F50EDA" w:rsidRPr="00C347AD">
        <w:t>These findings suggest</w:t>
      </w:r>
      <w:r w:rsidRPr="00C347AD">
        <w:t xml:space="preserve"> that even if “higher” forms of modeling (</w:t>
      </w:r>
      <w:r w:rsidR="004F52F4" w:rsidRPr="00C347AD">
        <w:t>i.e.,</w:t>
      </w:r>
      <w:r w:rsidRPr="00C347AD">
        <w:t xml:space="preserve"> explicit modeling with reflection, explicit modeling with connection to theory) are theoretically superior, any form of modeling may be superior to the absence of modeling.</w:t>
      </w:r>
    </w:p>
    <w:p w14:paraId="4F6C6573" w14:textId="3228FC27" w:rsidR="00F27D6F" w:rsidRPr="00C347AD" w:rsidRDefault="00F27D6F" w:rsidP="00F27D6F">
      <w:pPr>
        <w:widowControl w:val="0"/>
        <w:autoSpaceDE w:val="0"/>
        <w:autoSpaceDN w:val="0"/>
        <w:adjustRightInd w:val="0"/>
        <w:spacing w:after="240"/>
        <w:contextualSpacing/>
      </w:pPr>
      <w:r w:rsidRPr="00C347AD">
        <w:t xml:space="preserve">Loughran and Berry (2005) reflect on a practice that they refer to as “pedagogic interventions,” which is a process in which a faculty member (1) provides an intentional </w:t>
      </w:r>
      <w:r w:rsidRPr="00C347AD">
        <w:lastRenderedPageBreak/>
        <w:t>context in which a vicarious meta-learning</w:t>
      </w:r>
      <w:r w:rsidR="009F7086" w:rsidRPr="00C347AD">
        <w:t xml:space="preserve"> (</w:t>
      </w:r>
      <w:r w:rsidR="004F52F4" w:rsidRPr="00C347AD">
        <w:t>i.e.,</w:t>
      </w:r>
      <w:r w:rsidR="009F7086" w:rsidRPr="00C347AD">
        <w:t xml:space="preserve"> learning about learning)</w:t>
      </w:r>
      <w:r w:rsidRPr="00C347AD">
        <w:t xml:space="preserve"> experience will occur (</w:t>
      </w:r>
      <w:r w:rsidR="004F52F4" w:rsidRPr="00C347AD">
        <w:t>i.e.,</w:t>
      </w:r>
      <w:r w:rsidRPr="00C347AD">
        <w:t xml:space="preserve"> briefing the students), (2) provides teaching experiences whereby the intent is to critically consider methods and outcomes as opposed to rote acceptance, (3) provides an explicit model of a concept in a modeled context (</w:t>
      </w:r>
      <w:r w:rsidR="00B323A5" w:rsidRPr="00C347AD">
        <w:t>e.g.,</w:t>
      </w:r>
      <w:r w:rsidRPr="00C347AD">
        <w:t xml:space="preserve"> demonstrated inquiry-based learning, pretending that the preservice teachers are 9</w:t>
      </w:r>
      <w:r w:rsidRPr="00C347AD">
        <w:rPr>
          <w:vertAlign w:val="superscript"/>
        </w:rPr>
        <w:t>th</w:t>
      </w:r>
      <w:r w:rsidRPr="00C347AD">
        <w:t xml:space="preserve"> grade science students), (4) explicitly reflect</w:t>
      </w:r>
      <w:r w:rsidR="00F50EDA" w:rsidRPr="00C347AD">
        <w:t>s</w:t>
      </w:r>
      <w:r w:rsidRPr="00C347AD">
        <w:t xml:space="preserve"> on what was done and connects this to relevant theory through dialogue with students. Loughran and Berry provide reflective evidence of the positive outcomes of this approach for their students, and also are clear about identifying issues and challenges that they have faced and/or foresee others facing in the pursuit of this discipline. </w:t>
      </w:r>
    </w:p>
    <w:p w14:paraId="66486858" w14:textId="40883CF8" w:rsidR="00F27D6F" w:rsidRPr="00C347AD" w:rsidRDefault="00F27D6F" w:rsidP="00F27D6F">
      <w:pPr>
        <w:widowControl w:val="0"/>
        <w:autoSpaceDE w:val="0"/>
        <w:autoSpaceDN w:val="0"/>
        <w:adjustRightInd w:val="0"/>
        <w:spacing w:after="240"/>
        <w:contextualSpacing/>
      </w:pPr>
      <w:r w:rsidRPr="00C347AD">
        <w:t>Though Loughran and Berry’s (2005) study predates Lunenberg et al.’s (2007) articulation of four types of faculty modeling, Lunenberg’s articulation can be retroactively applied. Loughran an</w:t>
      </w:r>
      <w:r w:rsidR="00D71487" w:rsidRPr="00C347AD">
        <w:t>d Berry’s approach demonstrates</w:t>
      </w:r>
      <w:r w:rsidRPr="00C347AD">
        <w:t xml:space="preserve"> modeling </w:t>
      </w:r>
      <w:r w:rsidR="00D71487" w:rsidRPr="00C347AD">
        <w:t xml:space="preserve">types 3 and 4, </w:t>
      </w:r>
      <w:r w:rsidRPr="00C347AD">
        <w:t xml:space="preserve">whereby the faculty’s practice included explicit modeling, reflection on the preservice teacher’s own future practice, and discussion about how the practice relates to </w:t>
      </w:r>
      <w:r w:rsidR="00D71487" w:rsidRPr="00C347AD">
        <w:t>education</w:t>
      </w:r>
      <w:r w:rsidRPr="00C347AD">
        <w:t xml:space="preserve"> theory. In this way, though the articles are not chronologically presented, it can be argued that Loughran and Berry’s study offers practical support for Lunenberg et al.’s promotion of faculty modeling </w:t>
      </w:r>
      <w:r w:rsidR="009F7086" w:rsidRPr="00C347AD">
        <w:t xml:space="preserve">types 3 and </w:t>
      </w:r>
      <w:r w:rsidRPr="00C347AD">
        <w:t xml:space="preserve">4. </w:t>
      </w:r>
    </w:p>
    <w:p w14:paraId="7329BF66" w14:textId="23782613" w:rsidR="00F27D6F" w:rsidRPr="00C347AD" w:rsidRDefault="00F27D6F" w:rsidP="00F27D6F">
      <w:pPr>
        <w:widowControl w:val="0"/>
        <w:autoSpaceDE w:val="0"/>
        <w:autoSpaceDN w:val="0"/>
        <w:adjustRightInd w:val="0"/>
        <w:spacing w:after="240"/>
        <w:contextualSpacing/>
        <w:rPr>
          <w:color w:val="1F1C1D"/>
        </w:rPr>
      </w:pPr>
      <w:r w:rsidRPr="00C347AD">
        <w:t xml:space="preserve">In another </w:t>
      </w:r>
      <w:r w:rsidR="003C08E7" w:rsidRPr="00C347AD">
        <w:t>self study</w:t>
      </w:r>
      <w:r w:rsidRPr="00C347AD">
        <w:t xml:space="preserve">, Russell </w:t>
      </w:r>
      <w:r w:rsidRPr="00C347AD">
        <w:fldChar w:fldCharType="begin"/>
      </w:r>
      <w:r w:rsidR="00F7126F" w:rsidRPr="00C347AD">
        <w:instrText xml:space="preserve"> ADDIN ZOTERO_ITEM CSL_CITATION {"citationID":"1rrfl9045t","properties":{"formattedCitation":"(Russell, 2005)","plainCitation":"(Russell, 2005)"},"citationItems":[{"id":492,"uris":["http://zotero.org/users/2098925/items/F5PHGFNH"],"uri":["http://zotero.org/users/2098925/items/F5PHGFNH"],"itemData":{"id":492,"type":"article-journal","title":"Can reflective practice be taught?","container-title":"Reflective Practice","page":"199-204","volume":"6","issue":"2","source":"Taylor and Francis+NEJM","abstract":"Professional educators often advocate reflective practice; it is less clear that they model it and provide explicit instruction. Working with illustrations from initial teacher education, this paper describes the author’s own reflection</w:instrText>
      </w:r>
      <w:r w:rsidR="00F7126F" w:rsidRPr="00C347AD">
        <w:rPr>
          <w:rFonts w:ascii="Calibri" w:eastAsia="Calibri" w:hAnsi="Calibri" w:cs="Calibri"/>
        </w:rPr>
        <w:instrText>‐</w:instrText>
      </w:r>
      <w:r w:rsidR="00F7126F" w:rsidRPr="00C347AD">
        <w:instrText>in</w:instrText>
      </w:r>
      <w:r w:rsidR="00F7126F" w:rsidRPr="00C347AD">
        <w:rPr>
          <w:rFonts w:ascii="Calibri" w:eastAsia="Calibri" w:hAnsi="Calibri" w:cs="Calibri"/>
        </w:rPr>
        <w:instrText>‐</w:instrText>
      </w:r>
      <w:r w:rsidR="00F7126F" w:rsidRPr="00C347AD">
        <w:instrText xml:space="preserve">action that resulted in an explicit strategy for helping new professionals experience the potential benefits of reflective practice through their program of professional preparation. The author concludes that reflective practice can and should be taught. The results of explicit instruction seem far more productive than merely advocating reflective practice and assuming that individuals will understand how reflective practice differs profoundly from our everyday sense of reflection.","DOI":"10.1080/14623940500105833","ISSN":"1462-3943","author":[{"family":"Russell","given":"Tom"}],"issued":{"date-parts":[["2005",1,1]]}}}],"schema":"https://github.com/citation-style-language/schema/raw/master/csl-citation.json"} </w:instrText>
      </w:r>
      <w:r w:rsidRPr="00C347AD">
        <w:fldChar w:fldCharType="separate"/>
      </w:r>
      <w:r w:rsidRPr="00C347AD">
        <w:rPr>
          <w:noProof/>
        </w:rPr>
        <w:t>(2005)</w:t>
      </w:r>
      <w:r w:rsidRPr="00C347AD">
        <w:fldChar w:fldCharType="end"/>
      </w:r>
      <w:r w:rsidRPr="00C347AD">
        <w:t xml:space="preserve"> explores the question of whether reflective practice (as a discipline of educators) can be taught. In his own reflection, Russell comes to recognize that reflection was best taught and learned through a modeling approach. </w:t>
      </w:r>
      <w:r w:rsidRPr="00C347AD">
        <w:lastRenderedPageBreak/>
        <w:t>Through gradual improvements based on student performance and response, Russell developed methods for teaching reflection that involved structured pr</w:t>
      </w:r>
      <w:r w:rsidR="00F50EDA" w:rsidRPr="00C347AD">
        <w:t>ovisions, open dialogue, and on</w:t>
      </w:r>
      <w:r w:rsidRPr="00C347AD">
        <w:t>going modeling of reflection in his classes. Again, this may be considered a positive example of Lunenberg et al. (2007) “type 3.” Russell notes, “</w:t>
      </w:r>
      <w:r w:rsidR="00F50EDA" w:rsidRPr="00C347AD">
        <w:rPr>
          <w:color w:val="1F1C1D"/>
        </w:rPr>
        <w:t>f</w:t>
      </w:r>
      <w:r w:rsidRPr="00C347AD">
        <w:rPr>
          <w:color w:val="1F1C1D"/>
        </w:rPr>
        <w:t>ostering reflective practice requires far more than telling people to reflect and then simply hoping for the best. I now believe that reflective practice can and should be taught… using personal reflection-in-action to interpret and improve one’s teaching of reflective practice to others” (</w:t>
      </w:r>
      <w:r w:rsidR="00427562" w:rsidRPr="00C347AD">
        <w:rPr>
          <w:color w:val="1F1C1D"/>
        </w:rPr>
        <w:t>p</w:t>
      </w:r>
      <w:r w:rsidRPr="00C347AD">
        <w:rPr>
          <w:color w:val="1F1C1D"/>
        </w:rPr>
        <w:t>p. 203-204). Given that reflection is an example of an implicit discipline (</w:t>
      </w:r>
      <w:r w:rsidR="00B323A5" w:rsidRPr="00C347AD">
        <w:rPr>
          <w:color w:val="1F1C1D"/>
        </w:rPr>
        <w:t>e.g.,</w:t>
      </w:r>
      <w:r w:rsidRPr="00C347AD">
        <w:rPr>
          <w:color w:val="1F1C1D"/>
        </w:rPr>
        <w:t xml:space="preserve"> a practice that usually occurs privately in one’s mind or one’s own</w:t>
      </w:r>
      <w:r w:rsidR="00976CED" w:rsidRPr="00C347AD">
        <w:rPr>
          <w:color w:val="1F1C1D"/>
        </w:rPr>
        <w:t xml:space="preserve"> private</w:t>
      </w:r>
      <w:r w:rsidRPr="00C347AD">
        <w:rPr>
          <w:color w:val="1F1C1D"/>
        </w:rPr>
        <w:t xml:space="preserve"> notes), and thus similar to the cognitive process of making pedagogical decisions, Russell’s report offers further </w:t>
      </w:r>
      <w:r w:rsidR="00976CED" w:rsidRPr="00C347AD">
        <w:rPr>
          <w:color w:val="1F1C1D"/>
        </w:rPr>
        <w:t xml:space="preserve">qualitative </w:t>
      </w:r>
      <w:r w:rsidRPr="00C347AD">
        <w:rPr>
          <w:color w:val="1F1C1D"/>
        </w:rPr>
        <w:t>evidence to suggest that making the implicit explicit</w:t>
      </w:r>
      <w:r w:rsidR="00976CED" w:rsidRPr="00C347AD">
        <w:rPr>
          <w:color w:val="1F1C1D"/>
        </w:rPr>
        <w:t xml:space="preserve"> through </w:t>
      </w:r>
      <w:r w:rsidRPr="00C347AD">
        <w:rPr>
          <w:color w:val="1F1C1D"/>
        </w:rPr>
        <w:t>type</w:t>
      </w:r>
      <w:r w:rsidR="00976CED" w:rsidRPr="00C347AD">
        <w:rPr>
          <w:color w:val="1F1C1D"/>
        </w:rPr>
        <w:t>s 2-4</w:t>
      </w:r>
      <w:r w:rsidRPr="00C347AD">
        <w:rPr>
          <w:color w:val="1F1C1D"/>
        </w:rPr>
        <w:t xml:space="preserve"> faculty modeling may prove effective. </w:t>
      </w:r>
    </w:p>
    <w:p w14:paraId="6BE76E18" w14:textId="5EBE33BA" w:rsidR="00F27D6F" w:rsidRPr="00C347AD" w:rsidRDefault="00F27D6F" w:rsidP="00F27D6F">
      <w:pPr>
        <w:widowControl w:val="0"/>
        <w:autoSpaceDE w:val="0"/>
        <w:autoSpaceDN w:val="0"/>
        <w:adjustRightInd w:val="0"/>
        <w:spacing w:after="240"/>
        <w:contextualSpacing/>
      </w:pPr>
      <w:r w:rsidRPr="00C347AD">
        <w:t>Other, more recent studies have built on the Korthagen, et al. (2006) and Lunenburg et al.’s (2007) manuscripts</w:t>
      </w:r>
      <w:r w:rsidR="006546BB" w:rsidRPr="00C347AD">
        <w:t xml:space="preserve"> (intentionally or not)</w:t>
      </w:r>
      <w:r w:rsidRPr="00C347AD">
        <w:t>. For example, in a self-study designed to examine the effects of modeli</w:t>
      </w:r>
      <w:r w:rsidR="00976CED" w:rsidRPr="00C347AD">
        <w:t>ng and reflection (Lunenburg’s type 3</w:t>
      </w:r>
      <w:r w:rsidRPr="00C347AD">
        <w:t xml:space="preserve">) on the development of preservice teachers, Kindle and Schmidt (2013) found that implicit modeling of professional language </w:t>
      </w:r>
      <w:r w:rsidR="00976CED" w:rsidRPr="00C347AD">
        <w:t>(</w:t>
      </w:r>
      <w:r w:rsidRPr="00C347AD">
        <w:t>ty</w:t>
      </w:r>
      <w:r w:rsidR="00976CED" w:rsidRPr="00C347AD">
        <w:t>pe 1</w:t>
      </w:r>
      <w:r w:rsidRPr="00C347AD">
        <w:t xml:space="preserve">) resulted in a faster and more thorough uptake of the professional jargon among preservice teachers and that reflective prompting to model professional introspection led to higher degrees of </w:t>
      </w:r>
      <w:r w:rsidR="00C22171" w:rsidRPr="00C347AD">
        <w:t>self-awareness</w:t>
      </w:r>
      <w:r w:rsidRPr="00C347AD">
        <w:t xml:space="preserve"> among student participants. This is a unique</w:t>
      </w:r>
      <w:r w:rsidR="00976CED" w:rsidRPr="00C347AD">
        <w:t xml:space="preserve"> example in the literature of type 1</w:t>
      </w:r>
      <w:r w:rsidRPr="00C347AD">
        <w:t xml:space="preserve"> (implicit) modeling proving effective, a phenomenon that may have as much to do with the nature of </w:t>
      </w:r>
      <w:r w:rsidRPr="00C347AD">
        <w:lastRenderedPageBreak/>
        <w:t xml:space="preserve">language acquisition </w:t>
      </w:r>
      <w:r w:rsidRPr="00C347AD">
        <w:fldChar w:fldCharType="begin"/>
      </w:r>
      <w:r w:rsidRPr="00C347AD">
        <w:instrText xml:space="preserve"> ADDIN ZOTERO_ITEM CSL_CITATION {"citationID":"b0uv0s5ej","properties":{"formattedCitation":"(Krashen, 1989)","plainCitation":"(Krashen, 1989)"},"citationItems":[{"id":842,"uris":["http://zotero.org/users/2098925/items/9JBEN2W7"],"uri":["http://zotero.org/users/2098925/items/9JBEN2W7"],"itemData":{"id":842,"type":"article-journal","title":"We Acquire Vocabulary and Spelling by Reading: Additional Evidence for the Input Hypothesis","container-title":"The Modern Language Journal","page":"440-464","volume":"73","issue":"4","source":"JSTOR","DOI":"10.2307/326879","ISSN":"0026-7902","shortTitle":"We Acquire Vocabulary and Spelling by Reading","journalAbbreviation":"The Modern Language Journal","author":[{"family":"Krashen","given":"Stephen"}],"issued":{"date-parts":[["1989",12,1]]},"accessed":{"date-parts":[["2014",11,5]]}}}],"schema":"https://github.com/citation-style-language/schema/raw/master/csl-citation.json"} </w:instrText>
      </w:r>
      <w:r w:rsidRPr="00C347AD">
        <w:fldChar w:fldCharType="separate"/>
      </w:r>
      <w:r w:rsidRPr="00C347AD">
        <w:rPr>
          <w:noProof/>
        </w:rPr>
        <w:t>(</w:t>
      </w:r>
      <w:r w:rsidR="00B323A5" w:rsidRPr="00C347AD">
        <w:rPr>
          <w:noProof/>
        </w:rPr>
        <w:t>e.g.,</w:t>
      </w:r>
      <w:r w:rsidRPr="00C347AD">
        <w:rPr>
          <w:noProof/>
        </w:rPr>
        <w:t xml:space="preserve"> Krashen, 1989)</w:t>
      </w:r>
      <w:r w:rsidRPr="00C347AD">
        <w:fldChar w:fldCharType="end"/>
      </w:r>
      <w:r w:rsidRPr="00C347AD">
        <w:t xml:space="preserve"> as it does faculty modeling. </w:t>
      </w:r>
    </w:p>
    <w:p w14:paraId="078180E9" w14:textId="5208A36A" w:rsidR="006546BB" w:rsidRPr="00C347AD" w:rsidRDefault="00F27D6F" w:rsidP="006546BB">
      <w:pPr>
        <w:widowControl w:val="0"/>
        <w:autoSpaceDE w:val="0"/>
        <w:autoSpaceDN w:val="0"/>
        <w:adjustRightInd w:val="0"/>
        <w:spacing w:after="240"/>
        <w:contextualSpacing/>
      </w:pPr>
      <w:r w:rsidRPr="00C347AD">
        <w:t>In another study, Casey (2011) explicates the role of live modeling and video modeling for coaching best practices for in-service teachers. Casey suggests a process whereby faculty create a clear purpose for the modeling experience, engage in the model, and thinking aloud/reflecting explicitly and communally; this approach is consistent with Lunenburg’s type 3 modeling (</w:t>
      </w:r>
      <w:r w:rsidR="00B323A5" w:rsidRPr="00C347AD">
        <w:t>e.g.,</w:t>
      </w:r>
      <w:r w:rsidRPr="00C347AD">
        <w:t xml:space="preserve"> explicit modeling and connection to the teacher’s own practice). Casey’s application of this model to in-service teachers expands the literature base, and demonstrates the effectiveness of intentional and reflective modeling in her own experience as a </w:t>
      </w:r>
      <w:r w:rsidR="006546BB" w:rsidRPr="00C347AD">
        <w:t>pedagogy coach in K-12 schools.</w:t>
      </w:r>
    </w:p>
    <w:p w14:paraId="6CBDD633" w14:textId="48E8BE21" w:rsidR="006546BB" w:rsidRPr="00C347AD" w:rsidRDefault="00F27D6F" w:rsidP="006546BB">
      <w:pPr>
        <w:widowControl w:val="0"/>
        <w:autoSpaceDE w:val="0"/>
        <w:autoSpaceDN w:val="0"/>
        <w:adjustRightInd w:val="0"/>
        <w:spacing w:after="240"/>
        <w:contextualSpacing/>
      </w:pPr>
      <w:r w:rsidRPr="00C347AD">
        <w:fldChar w:fldCharType="begin"/>
      </w:r>
      <w:r w:rsidR="00F7126F" w:rsidRPr="00C347AD">
        <w:instrText xml:space="preserve"> ADDIN ZOTERO_ITEM CSL_CITATION {"citationID":"kf13842cj","properties":{"formattedCitation":"(Lu, Liangyue &amp; Lei, 2012)","plainCitation":"(Lu, Liangyue &amp; Lei, 2012)"},"citationItems":[{"id":1008,"uris":["http://zotero.org/users/2098925/items/VP59SD4U"],"uri":["http://zotero.org/users/2098925/items/VP59SD4U"],"itemData":{"id":1008,"type":"article-journal","title":"Using Live Dual Modeling to Help Preservice Teachers Develop TPACK","container-title":"Journal of Digital Learning in Teacher Education (International Society for Technology in Education)","page":"14-22","volume":"29","issue":"1","source":"EBSCOhost","abstract":"To help preservice teachers learn about teaching with technology-specifically, technological pedagogical content knowledge (TPACK)-the researchers designed and implemented a Live Dual Modeling strategy involving both live behavior modeling and cognitive modeling in this study. Using qualitative research methods, the researchers investigated whether Live Dual Modeling was effective in helping preservice teachers develop TPACK in a technology integration course. The findings showed that the preservice teachers demonstrated the initial ability to transfer what they learned in the modeling to classroom teaching. When Live Dual Modeling is used, attention should be paid to the conditions that influence the effectiveness of the strategy due to the preservice teachers' limitation in their overall knowledge base, practical experience, and ability to transfer learning to other contexts.","ISSN":"21532974","journalAbbreviation":"Journal of Digital Learning in Teacher Education (International Society for Technology in Education)","author":[{"literal":"Lu, Liangyue"},{"family":"Lei","given":"Jing"}],"issued":{"date-parts":[["2012",9]]}}}],"schema":"https://github.com/citation-style-language/schema/raw/master/csl-citation.json"} </w:instrText>
      </w:r>
      <w:r w:rsidRPr="00C347AD">
        <w:fldChar w:fldCharType="separate"/>
      </w:r>
      <w:r w:rsidRPr="00C347AD">
        <w:rPr>
          <w:noProof/>
        </w:rPr>
        <w:t>Lu and Lei (2012)</w:t>
      </w:r>
      <w:r w:rsidRPr="00C347AD">
        <w:fldChar w:fldCharType="end"/>
      </w:r>
      <w:r w:rsidRPr="00C347AD">
        <w:t xml:space="preserve"> also refer to the components of Lunenburg’s type 3 modeling, which they refer to as “dual modeling,” itself a hybrid of</w:t>
      </w:r>
      <w:r w:rsidR="007E779E" w:rsidRPr="00C347AD">
        <w:t xml:space="preserve"> </w:t>
      </w:r>
      <w:r w:rsidRPr="00C347AD">
        <w:t>behavior</w:t>
      </w:r>
      <w:r w:rsidR="007E779E" w:rsidRPr="00C347AD">
        <w:t xml:space="preserve"> modeling</w:t>
      </w:r>
      <w:r w:rsidRPr="00C347AD">
        <w:t xml:space="preserve"> (</w:t>
      </w:r>
      <w:r w:rsidR="00B323A5" w:rsidRPr="00C347AD">
        <w:t>e.g.,</w:t>
      </w:r>
      <w:r w:rsidRPr="00C347AD">
        <w:t xml:space="preserve"> demonstrating th</w:t>
      </w:r>
      <w:r w:rsidR="007E779E" w:rsidRPr="00C347AD">
        <w:t xml:space="preserve">e behavior/teacher action) and cognitive modeling </w:t>
      </w:r>
      <w:r w:rsidRPr="00C347AD">
        <w:t>(</w:t>
      </w:r>
      <w:r w:rsidR="00B323A5" w:rsidRPr="00C347AD">
        <w:t>e.g.,</w:t>
      </w:r>
      <w:r w:rsidRPr="00C347AD">
        <w:t xml:space="preserve"> explicating the thought process driving the behavior/action). The authors apply this type of explicit modeling to training early-stage preservice teachers in the craft of combining technological skills, content knowledge, and pedagogical knowledge (collectively referred to as TPACK), a highly complex synthesis. In their experience, explicit and reflective modeling</w:t>
      </w:r>
      <w:r w:rsidR="007E779E" w:rsidRPr="00C347AD">
        <w:t xml:space="preserve"> (types 2 and 3)</w:t>
      </w:r>
      <w:r w:rsidRPr="00C347AD">
        <w:t xml:space="preserve"> was highly effective in facilitating early development in this complex enterprise. Gains were especially noted in the development and bridging of content knowledge and pedagogical knowledge. Students reported on the benefit of being able to see the faculty’s thought process in determining what and how to teach, instead of simply being “corrected” after their own trials. </w:t>
      </w:r>
    </w:p>
    <w:p w14:paraId="5A42DB6D" w14:textId="3CEE3570" w:rsidR="006546BB" w:rsidRPr="00C347AD" w:rsidRDefault="00F27D6F" w:rsidP="006546BB">
      <w:pPr>
        <w:widowControl w:val="0"/>
        <w:autoSpaceDE w:val="0"/>
        <w:autoSpaceDN w:val="0"/>
        <w:adjustRightInd w:val="0"/>
        <w:spacing w:after="240"/>
        <w:contextualSpacing/>
      </w:pPr>
      <w:r w:rsidRPr="00C347AD">
        <w:lastRenderedPageBreak/>
        <w:t>Only one quantitative, group study manuscript was identified as focusing explicitly on faculty modeling for preservice teachers in this literature search. Spooner, Baker, Harris, Delzell, and Browder (2007) set out to examine whether modeling of concepts and practices related to UDL would have more effect on the knowledge, understanding, and application of UDL for preservice teachers compared to a control group with no instruction. A pretest-posttest design was utilized to examine both within- and between-group differences in the experiment, and data were collected via preservice teacher planning for hypothetical student(s) with diverse learning needs in their future classrooms. Statistically and practic</w:t>
      </w:r>
      <w:r w:rsidR="00427562" w:rsidRPr="00C347AD">
        <w:t>ally significant results (</w:t>
      </w:r>
      <w:r w:rsidRPr="00C347AD">
        <w:rPr>
          <w:i/>
        </w:rPr>
        <w:t>p</w:t>
      </w:r>
      <w:r w:rsidRPr="00C347AD">
        <w:t xml:space="preserve"> &lt;.001) were noted for all three areas assessed (providing multiple means of representation, engagement, and expression). Given that this was a one-hour intervention, the gains are very significant from a practical perspective, assuming that the learning is maintained (a factor that was not examined in </w:t>
      </w:r>
      <w:r w:rsidR="007E779E" w:rsidRPr="00C347AD">
        <w:t>Spooner et al.’s</w:t>
      </w:r>
      <w:r w:rsidRPr="00C347AD">
        <w:t xml:space="preserve"> study).  </w:t>
      </w:r>
    </w:p>
    <w:p w14:paraId="66E5D489" w14:textId="71B7CE09" w:rsidR="007024DB" w:rsidRPr="00C347AD" w:rsidRDefault="00F27D6F" w:rsidP="007024DB">
      <w:pPr>
        <w:widowControl w:val="0"/>
        <w:autoSpaceDE w:val="0"/>
        <w:autoSpaceDN w:val="0"/>
        <w:adjustRightInd w:val="0"/>
        <w:spacing w:after="240"/>
        <w:contextualSpacing/>
      </w:pPr>
      <w:r w:rsidRPr="00C347AD">
        <w:rPr>
          <w:highlight w:val="yellow"/>
        </w:rPr>
        <w:t>Collectively, the studies reviewed in this section offer</w:t>
      </w:r>
      <w:r w:rsidR="007E779E" w:rsidRPr="00C347AD">
        <w:rPr>
          <w:highlight w:val="yellow"/>
        </w:rPr>
        <w:t xml:space="preserve"> (mostly qualitative)</w:t>
      </w:r>
      <w:r w:rsidRPr="00C347AD">
        <w:rPr>
          <w:highlight w:val="yellow"/>
        </w:rPr>
        <w:t xml:space="preserve"> support for the theoretical evidence presented in the prior section. Three themes</w:t>
      </w:r>
      <w:r w:rsidR="00240AF2" w:rsidRPr="00C347AD">
        <w:rPr>
          <w:highlight w:val="yellow"/>
        </w:rPr>
        <w:t xml:space="preserve"> that emerged from this review are</w:t>
      </w:r>
      <w:r w:rsidRPr="00C347AD">
        <w:rPr>
          <w:highlight w:val="yellow"/>
        </w:rPr>
        <w:t xml:space="preserve">: (1) faculty modeling is believed important and effective </w:t>
      </w:r>
      <w:r w:rsidRPr="00C347AD">
        <w:rPr>
          <w:highlight w:val="yellow"/>
        </w:rPr>
        <w:fldChar w:fldCharType="begin"/>
      </w:r>
      <w:r w:rsidR="00F7126F" w:rsidRPr="00C347AD">
        <w:rPr>
          <w:highlight w:val="yellow"/>
        </w:rPr>
        <w:instrText xml:space="preserve"> ADDIN ZOTERO_ITEM CSL_CITATION {"citationID":"13hgp8g4qn","properties":{"formattedCitation":"(Vincent Aleccia, 2011; Blume, 1971b; Darling-Hammond, 2005; Korthagen et al., 2006; Koster et al., 2005; Lunenberg et al., 2007; R. T. Putnam &amp; Borko, 2000; Tondeur et al., 2012)","plainCitation":"(Vincent Aleccia, 2011; Blume, 1971b; Darling-Hammond, 2005; Korthagen et al., 2006; Koster et al., 2005; Lunenberg et al., 2007; R. T. Putnam &amp; Borko, 2000; Tondeur et al., 2012)"},"citationItems":[{"id":264,"uris":["http://zotero.org/users/2098925/items/NIMCI2HN"],"uri":["http://zotero.org/users/2098925/items/NIMCI2HN"],"itemData":{"id":264,"type":"article-journal","title":"Walking Our Talk: The Imperative of Teacher Educator Modeling","container-title":"Clearing House","page":"87-90","volume":"84","issue":"3","source":"EBSCOhost","abstract":"If teacher educators are to be effective, they must be sure that their own professional house is in order. To that end, effective teacher educators must be absolutely clear about their professional mission. In addition, they must also have the appropriate background and training to be effective in their mission. Further, they must bridge the chasm between theory and practice as they prepare teacher candidates by keeping current in K-12 contemporary classroom practice. Finally, they must model what it means to be an accomplished classroom teacher for their pre-service teachers including the professional option of earning National Board certification. Only when teacher educators meet these four demanding criteria can we feel with reasonable certainty that they are living up to their job.","DOI":"10.1080/00098655.2010.524951","ISSN":"00098655","shortTitle":"Walking Our Talk","journalAbbreviation":"Clearing House","author":[{"family":"Aleccia","given":"Vincent"}],"issued":{"date-parts":[["2011",5]]},"accessed":{"date-parts":[["2015",1,31]],"season":"17:55:30"}}},{"id":908,"uris":["http://zotero.org/users/2098925/items/37I3F4W4"],"uri":["http://zotero.org/users/2098925/items/37I3F4W4"],"itemData":{"id":908,"type":"article-journal","title":"Humanizing Teacher Education","container-title":"The Phi Delta Kappan","page":"411–415","volume":"52","issue":"7","source":"Primo","ISSN":"0031-7217","language":"eng","author":[{"family":"Blume","given":"Robert"}],"issued":{"date-parts":[["1971"]]}}},{"id":1067,"uris":["http://zotero.org/users/2098925/items/XHZ5CX8F"],"uri":["http://zotero.org/users/2098925/items/XHZ5CX8F"],"itemData":{"id":1067,"type":"article-journal","title":"Educating the New Educator: Teacher Education and the Future of Democracy","container-title":"The New Educator","page":"1-18","volume":"1","issue":"1","source":"Taylor and Francis+NEJM","DOI":"10.1080/15476880490441379","ISSN":"1547-688X","shortTitle":"Educating the New Educator","author":[{"family":"Darling-Hammond","given":"Linda"}],"issued":{"date-parts":[["2005",2,1]]}}},{"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127,"uris":["http://zotero.org/users/2098925/items/59CD9MQH"],"uri":["http://zotero.org/users/2098925/items/59CD9MQH"],"itemData":{"id":127,"type":"article-journal","title":"Quality requirements for teacher educators","container-title":"Teaching and Teacher Education","collection-title":"Teaching Teachers","page":"157-176","volume":"21","issue":"2","source":"ScienceDirect","abstract":"This study deals with the quality requirements that are needed for teacher educators. The tasks teacher educators have to do and the competencies they should possess (a professional profile), according to their fellow teacher educators, were identified. On the basis of a literature search on tasks and competencies of teacher educators, we made a first overview of tasks and competencies. Next, we conducted a Delphi study in three rounds, during which we held open-ended interviews and sent out two rounds of questionnaires. The resulting profile consists of five task areas and four areas of competence. For university-based teacher educators, a sixth task area (carrying out research) has been added.","DOI":"10.1016/j.tate.2004.12.004","ISSN":"0742-051X","journalAbbreviation":"Teaching and Teacher Education","author":[{"family":"Koster","given":"Bob"},{"family":"Brekelmans","given":"Mieke"},{"family":"Korthagen","given":"Fred"},{"family":"Wubbels","given":"Theo"}],"issued":{"date-parts":[["2005",2]]}}},{"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T."},{"family":"Borko","given":"Hilda"}],"issued":{"date-parts":[["2000",1,1]]}}},{"id":670,"uris":["http://zotero.org/users/2098925/items/JZT62RD2"],"uri":["http://zotero.org/users/2098925/items/JZT62RD2"],"itemData":{"id":670,"type":"article-journal","title":"Preparing pre-service teachers to integrate technology in education: A synthesis of qualitative evidence","container-title":"Computers &amp; Education","collection-title":"CAL 2011 The CAL Conference 2011","page":"134-144","volume":"59","issue":"1","source":"ScienceDirect","abstract":"This study reviewed qualitative studies that focused on strategies to prepare pre-service teachers to integrate technology into their lessons. A meta-ethnography approach was utilized to locate, critically appraise, and synthesize the results of these studies. Based on an extensive search in the Web of Science, 19 articles were included in this synthesis. The results were divided into two parts: (1) key themes explicitly related to the preparation of pre-service teachers (e.g., using teacher educators as role models, learning technology by design, scaffolding authentic technology experiences), and (2) conditions necessary at the institutional level (e.g., technology planning and leadership, co-operation within and between institutions, training staff). To present how these key themes related to each other, an overarching model was developed. By interpreting the results of the review, recommendations were discussed for pre-service teacher technology training and future research.","DOI":"10.1016/j.compedu.2011.10.009","ISSN":"0360-1315","shortTitle":"Preparing pre-service teachers to integrate technology in education","journalAbbreviation":"Computers &amp; Education","author":[{"family":"Tondeur","given":"Jo"},{"family":"Braak","given":"Johan","non-dropping-particle":"van"},{"family":"Sang","given":"Guoyuan"},{"family":"Voogt","given":"Joke"},{"family":"Fisser","given":"Petra"},{"family":"Ottenbreit-Leftwich","given":"Anne"}],"issued":{"date-parts":[["2012",8]]}}}],"schema":"https://github.com/citation-style-language/schema/raw/master/csl-citation.json"} </w:instrText>
      </w:r>
      <w:r w:rsidRPr="00C347AD">
        <w:rPr>
          <w:highlight w:val="yellow"/>
        </w:rPr>
        <w:fldChar w:fldCharType="separate"/>
      </w:r>
      <w:r w:rsidR="001D2145" w:rsidRPr="00C347AD">
        <w:rPr>
          <w:noProof/>
          <w:highlight w:val="yellow"/>
        </w:rPr>
        <w:t>(Aleccia, 2011; Blume, 1971b; Darling-Hammond, 2005; Korthagen et al., 2006; Koster et al., 2005; Lunenberg et al., 2007; R. T. Putnam &amp; Borko, 2000; Tondeur et al., 2012)</w:t>
      </w:r>
      <w:r w:rsidRPr="00C347AD">
        <w:rPr>
          <w:highlight w:val="yellow"/>
        </w:rPr>
        <w:fldChar w:fldCharType="end"/>
      </w:r>
      <w:r w:rsidR="00E4203A" w:rsidRPr="00C347AD">
        <w:rPr>
          <w:highlight w:val="yellow"/>
        </w:rPr>
        <w:t>,;</w:t>
      </w:r>
      <w:r w:rsidRPr="00C347AD">
        <w:rPr>
          <w:highlight w:val="yellow"/>
        </w:rPr>
        <w:t xml:space="preserve">(2) not many faculty are actually practicing explicit modeling </w:t>
      </w:r>
      <w:r w:rsidRPr="00C347AD">
        <w:rPr>
          <w:highlight w:val="yellow"/>
        </w:rPr>
        <w:fldChar w:fldCharType="begin"/>
      </w:r>
      <w:r w:rsidR="00F7126F" w:rsidRPr="00C347AD">
        <w:rPr>
          <w:highlight w:val="yellow"/>
        </w:rPr>
        <w:instrText xml:space="preserve"> ADDIN ZOTERO_ITEM CSL_CITATION {"citationID":"ryrq4wm3","properties":{"formattedCitation":"(Lunenberg et al., 2007; Watanabe &amp; Others, 1997)","plainCitation":"(Lunenberg et al., 2007; Watanabe &amp; Others, 1997)","dontUpdate":true},"citationItems":[{"id":669,"uris":["http://zotero.org/users/2098925/items/JZ76C86M"],"uri":["http://zotero.org/users/2098925/items/JZ76C86M"],"itemData":{"id":669,"type":"article-journal","title":"The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id":1028,"uris":["http://zotero.org/users/2098925/items/WHC2VGSF"],"uri":["http://zotero.org/users/2098925/items/WHC2VGSF"],"itemData":{"id":1028,"type":"article-journal","title":"University Faculty \"Modeling\" Good Instruction in Mathematics and Science Courses for Prospective Middle Grades Teachers: Voices from the MCTP.","source":"eric.ed.gov","abstract":"A survey of participants in a model teacher education program examined instructor and student attitudes toward modeling of recommended instructional approaches. The Maryland Collaborative for Teacher Preparation (MCTP) has the goals of developing and implementing programs to prepare special middle grade level mathematics and science teachers at Maryland public institutions of higher education. This study involved semi-structured interviews of two groups of participants. The first group included instructors of MCTP mathematics and science content courses taught at six colleges/universities and three community colleges in Maryland during school years 1994-95 and 1995-96 (n=31, 102 interviews). The second group was comprised of MCTP teacher candidates enrolled in some of these courses (n=85, 146 interviews). Most MCTP content instructors indicated they accepted the dual role of modeling good instruction while teaching content. For many teachers, the role of exemplar was new and","URL":"http://eric.ed.gov/?id=ED406896","shortTitle":"University Faculty \"Modeling\" Good Instruction in Mathematics and Science Courses for Prospective Middle Grades Teachers","language":"en","author":[{"family":"Watanabe","given":"Tad"}],"issued":{"date-parts":[["1997",3]]},"accessed":{"date-parts":[["2015",1,31]]}}}],"schema":"https://github.com/citation-style-language/schema/raw/master/csl-citation.json"} </w:instrText>
      </w:r>
      <w:r w:rsidRPr="00C347AD">
        <w:rPr>
          <w:highlight w:val="yellow"/>
        </w:rPr>
        <w:fldChar w:fldCharType="separate"/>
      </w:r>
      <w:r w:rsidRPr="00C347AD">
        <w:rPr>
          <w:noProof/>
          <w:highlight w:val="yellow"/>
        </w:rPr>
        <w:t>(Lunenberg et al., 2007; Watanabe et al., 1997)</w:t>
      </w:r>
      <w:r w:rsidRPr="00C347AD">
        <w:rPr>
          <w:highlight w:val="yellow"/>
        </w:rPr>
        <w:fldChar w:fldCharType="end"/>
      </w:r>
      <w:r w:rsidR="00E4203A" w:rsidRPr="00C347AD">
        <w:rPr>
          <w:highlight w:val="yellow"/>
        </w:rPr>
        <w:t>;</w:t>
      </w:r>
      <w:r w:rsidRPr="00C347AD">
        <w:rPr>
          <w:highlight w:val="yellow"/>
        </w:rPr>
        <w:t xml:space="preserve"> and (3) when it is used, there is qualitative</w:t>
      </w:r>
      <w:r w:rsidR="00240AF2" w:rsidRPr="00C347AD">
        <w:rPr>
          <w:highlight w:val="yellow"/>
        </w:rPr>
        <w:t xml:space="preserve"> (and limited quantitative)</w:t>
      </w:r>
      <w:r w:rsidRPr="00C347AD">
        <w:rPr>
          <w:highlight w:val="yellow"/>
        </w:rPr>
        <w:t xml:space="preserve"> evidence as to its effectiveness </w:t>
      </w:r>
      <w:r w:rsidRPr="00C347AD">
        <w:rPr>
          <w:highlight w:val="yellow"/>
        </w:rPr>
        <w:fldChar w:fldCharType="begin"/>
      </w:r>
      <w:r w:rsidR="00F7126F" w:rsidRPr="00C347AD">
        <w:rPr>
          <w:highlight w:val="yellow"/>
        </w:rPr>
        <w:instrText xml:space="preserve"> ADDIN ZOTERO_ITEM CSL_CITATION {"citationID":"b8i2v1kjl","properties":{"formattedCitation":"(Casey, 2011; Kindle &amp; Schmidt, 2013; Korthagen et al., 2006; Loughran &amp; Berry, 2005; Lu, Liangyue &amp; Lei, 2012; Russell, 2005; Spooner et al., 2007)","plainCitation":"(Casey, 2011; Kindle &amp; Schmidt, 2013; Korthagen et al., 2006; Loughran &amp; Berry, 2005; Lu, Liangyue &amp; Lei, 2012; Russell, 2005; Spooner et al., 2007)","dontUpdate":true},"citationItems":[{"id":231,"uris":["http://zotero.org/users/2098925/items/84MNAXEA"],"uri":["http://zotero.org/users/2098925/items/84MNAXEA"],"itemData":{"id":231,"type":"article-journal","title":"Modeling LESSONS","container-title":"Educational Leadership","page":"24-29","volume":"69","issue":"2","source":"EBSCOhost","abstract":"The article presents discussion regarding the ways in which educational coaches work with cooperating teachers, focusing on the coach's modeling of lessons. Introductory comments are offered highlighting the frequent disconnect between what the coaches are proposing and what teachers are learning. Several steps and suggestions are then offered explicitly showing how teachers should observe and work with their coaches to improve their methods. Advice for coaches is also included, focusing on their need to be concise and demonstrative.","ISSN":"00131784","journalAbbreviation":"Educational Leadership","author":[{"family":"Casey","given":"Katherine"}],"issued":{"date-parts":[["2011",10]]}}},{"id":562,"uris":["http://zotero.org/users/2098925/items/H2VFUZHB"],"uri":["http://zotero.org/users/2098925/items/H2VFUZHB"],"itemData":{"id":562,"type":"article-journal","title":"Developing Preservice Teachers: A Self-Study of Instructor Scaffolding","container-title":"Reading Improvement","page":"83-100","volume":"50","issue":"3","source":"EBSCOhost","abstract":"In this collaborative self-study, two teacher educators examined transcripts of preservice teachers' inquiry groups focused on assessment and tutoring of struggling readers as part of a reading methods course. The analysis identified instances of scaffolding by the course instructor that influenced preservice teachers' development. Types of scaffolding included a shift in instructor stance from authority to expert peer, strategic prompts to promote inquiry, modeling professional language, and the transfer of responsibility from instructor to preservice teachers.","ISSN":"00340510","shortTitle":"Developing Preservice Teachers","journalAbbreviation":"Reading Improvement","author":[{"family":"Kindle","given":"Karen J."},{"family":"Schmidt","given":"Cynthia M."}],"issued":{"date-parts":[["2013"]],"season":"Fall"}}},{"id":374,"uris":["http://zotero.org/users/2098925/items/BZ598N29"],"uri":["http://zotero.org/users/2098925/items/BZ598N29"],"itemData":{"id":374,"type":"article-journal","title":"Developing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id":1008,"uris":["http://zotero.org/users/2098925/items/VP59SD4U"],"uri":["http://zotero.org/users/2098925/items/VP59SD4U"],"itemData":{"id":1008,"type":"article-journal","title":"Using Live Dual Modeling to Help Preservice Teachers Develop TPACK","container-title":"Journal of Digital Learning in Teacher Education (International Society for Technology in Education)","page":"14-22","volume":"29","issue":"1","source":"EBSCOhost","abstract":"To help preservice teachers learn about teaching with technology-specifically, technological pedagogical content knowledge (TPACK)-the researchers designed and implemented a Live Dual Modeling strategy involving both live behavior modeling and cognitive modeling in this study. Using qualitative research methods, the researchers investigated whether Live Dual Modeling was effective in helping preservice teachers develop TPACK in a technology integration course. The findings showed that the preservice teachers demonstrated the initial ability to transfer what they learned in the modeling to classroom teaching. When Live Dual Modeling is used, attention should be paid to the conditions that influence the effectiveness of the strategy due to the preservice teachers' limitation in their overall knowledge base, practical experience, and ability to transfer learning to other contexts.","ISSN":"21532974","journalAbbreviation":"Journal of Digital Learning in Teacher Education (International Society for Technology in Education)","author":[{"literal":"Lu, Liangyue"},{"family":"Lei","given":"Jing"}],"issued":{"date-parts":[["2012",9]]}}},{"id":492,"uris":["http://zotero.org/users/2098925/items/F5PHGFNH"],"uri":["http://zotero.org/users/2098925/items/F5PHGFNH"],"itemData":{"id":492,"type":"article-journal","title":"Can reflective practice be taught?","container-title":"Reflective Practice","page":"199-204","volume":"6","issue":"2","source":"Taylor and Francis+NEJM","abstract":"Professional educators often advocate reflective practice; it is less clear that they model it and provide explicit instruction. Working with illustrations from initial teacher education, this paper describes the author’s own reflection</w:instrText>
      </w:r>
      <w:r w:rsidR="00F7126F" w:rsidRPr="00C347AD">
        <w:rPr>
          <w:rFonts w:ascii="Calibri" w:eastAsia="Calibri" w:hAnsi="Calibri" w:cs="Calibri"/>
          <w:highlight w:val="yellow"/>
        </w:rPr>
        <w:instrText>‐</w:instrText>
      </w:r>
      <w:r w:rsidR="00F7126F" w:rsidRPr="00C347AD">
        <w:rPr>
          <w:highlight w:val="yellow"/>
        </w:rPr>
        <w:instrText>in</w:instrText>
      </w:r>
      <w:r w:rsidR="00F7126F" w:rsidRPr="00C347AD">
        <w:rPr>
          <w:rFonts w:ascii="Calibri" w:eastAsia="Calibri" w:hAnsi="Calibri" w:cs="Calibri"/>
          <w:highlight w:val="yellow"/>
        </w:rPr>
        <w:instrText>‐</w:instrText>
      </w:r>
      <w:r w:rsidR="00F7126F" w:rsidRPr="00C347AD">
        <w:rPr>
          <w:highlight w:val="yellow"/>
        </w:rPr>
        <w:instrText xml:space="preserve">action that resulted in an explicit strategy for helping new professionals experience the potential benefits of reflective practice through their program of professional preparation. The author concludes that reflective practice can and should be taught. The results of explicit instruction seem far more productive than merely advocating reflective practice and assuming that individuals will understand how reflective practice differs profoundly from our everyday sense of reflection.","DOI":"10.1080/14623940500105833","ISSN":"1462-3943","author":[{"family":"Russell","given":"Tom"}],"issued":{"date-parts":[["2005",1,1]]}}},{"id":967,"uris":["http://zotero.org/users/2098925/items/Q8R99EZB"],"uri":["http://zotero.org/users/2098925/items/Q8R99EZB"],"itemData":{"id":967,"type":"article-journal","title":"Effects of Training in Universal Design for Learning on Lesson Plan Development","container-title":"Remedial &amp; Special Education","page":"108-116","volume":"28","issue":"2","source":"EBSCOhost","abstract":"The effects of training in Universal Design for Learning (UDL) on lesson plan development of special and general educators in a college classroom environment were investigated. A true experimental group design with a control group was used for this study. A one-hour teacher training session introduced UDL to the experimental group; the control group received the intervention later. A three-factor analysis of variance with repeated measures was completed for each of the dependent variables (i.e., UDL lesson plan). Differences were found between pretest and posttest measures for both treatment groups for special education and general education teachers. The results suggest that a simple introduction to UDL can help teachers to design a lesson plan accessible for all students.","ISSN":"07419325","journalAbbreviation":"Remedial &amp; Special Education","author":[{"family":"Spooner","given":"Fred"},{"family":"Baker","given":"Joshua N."},{"family":"Harris","given":"Amber A."},{"family":"Delzell","given":"Lynn Ahlgrim"},{"family":"Browder","given":"Diane M."}],"issued":{"date-parts":[["2007",4,3]]},"accessed":{"date-parts":[["2015",3,20]]}}}],"schema":"https://github.com/citation-style-language/schema/raw/master/csl-citation.json"} </w:instrText>
      </w:r>
      <w:r w:rsidRPr="00C347AD">
        <w:rPr>
          <w:highlight w:val="yellow"/>
        </w:rPr>
        <w:fldChar w:fldCharType="separate"/>
      </w:r>
      <w:r w:rsidRPr="00C347AD">
        <w:rPr>
          <w:noProof/>
          <w:highlight w:val="yellow"/>
        </w:rPr>
        <w:t xml:space="preserve">(Casey, 2011; Kindle &amp; Schmidt, 2013; Korthagen et al., </w:t>
      </w:r>
      <w:r w:rsidRPr="00C347AD">
        <w:rPr>
          <w:noProof/>
          <w:highlight w:val="yellow"/>
        </w:rPr>
        <w:lastRenderedPageBreak/>
        <w:t>2006; Loughran &amp; Berry, 2005; Lu &amp; Lei, 2012; Russell, 2005; Spooner et al., 2007)</w:t>
      </w:r>
      <w:r w:rsidRPr="00C347AD">
        <w:rPr>
          <w:highlight w:val="yellow"/>
        </w:rPr>
        <w:fldChar w:fldCharType="end"/>
      </w:r>
      <w:r w:rsidRPr="00C347AD">
        <w:rPr>
          <w:highlight w:val="yellow"/>
        </w:rPr>
        <w:t>. In some ways, these themes raise more questions than answers. For example: if there is theoretical and practical evidence supporting faculty modeling (points 1 and 3), then why does</w:t>
      </w:r>
      <w:r w:rsidR="00240AF2" w:rsidRPr="00C347AD">
        <w:rPr>
          <w:highlight w:val="yellow"/>
        </w:rPr>
        <w:t xml:space="preserve"> such modeling, and especially types 3 and 4</w:t>
      </w:r>
      <w:r w:rsidRPr="00C347AD">
        <w:rPr>
          <w:highlight w:val="yellow"/>
        </w:rPr>
        <w:t xml:space="preserve"> appear to be practiced only rarely? This question is the focus of the next section.</w:t>
      </w:r>
      <w:r w:rsidRPr="00C347AD">
        <w:t xml:space="preserve"> </w:t>
      </w:r>
    </w:p>
    <w:p w14:paraId="60DAE3D9" w14:textId="1404C652" w:rsidR="00F27D6F" w:rsidRPr="00C347AD" w:rsidRDefault="00F27D6F" w:rsidP="007024DB">
      <w:pPr>
        <w:widowControl w:val="0"/>
        <w:autoSpaceDE w:val="0"/>
        <w:autoSpaceDN w:val="0"/>
        <w:adjustRightInd w:val="0"/>
        <w:spacing w:after="240"/>
        <w:contextualSpacing/>
      </w:pPr>
      <w:r w:rsidRPr="00C347AD">
        <w:rPr>
          <w:b/>
        </w:rPr>
        <w:t xml:space="preserve">Roadblocks to </w:t>
      </w:r>
      <w:r w:rsidR="007024DB" w:rsidRPr="00C347AD">
        <w:rPr>
          <w:b/>
        </w:rPr>
        <w:t>m</w:t>
      </w:r>
      <w:r w:rsidRPr="00C347AD">
        <w:rPr>
          <w:b/>
        </w:rPr>
        <w:t>odeling</w:t>
      </w:r>
      <w:r w:rsidR="006546BB" w:rsidRPr="00C347AD">
        <w:rPr>
          <w:b/>
        </w:rPr>
        <w:t xml:space="preserve">. </w:t>
      </w:r>
      <w:r w:rsidRPr="00C347AD">
        <w:t xml:space="preserve">Based on the limited body of research available, one may form an interim conclusion that it has been strongly suggested that modeling best practices of education to preservice teachers is being called for, but this call is not being fulfilled.  </w:t>
      </w:r>
      <w:r w:rsidRPr="00C347AD">
        <w:fldChar w:fldCharType="begin"/>
      </w:r>
      <w:r w:rsidR="00F7126F" w:rsidRPr="00C347AD">
        <w:instrText xml:space="preserve"> ADDIN ZOTERO_ITEM CSL_CITATION {"citationID":"cbreavoi3","properties":{"formattedCitation":"(Loughran &amp; Berry, 2005)","plainCitation":"(Loughran &amp; Berry, 2005)"},"citationItems":[{"id":898,"uris":["http://zotero.org/users/2098925/items/STCGTE6P"],"uri":["http://zotero.org/users/2098925/items/STCGTE6P"],"itemData":{"id":898,"type":"article-journal","title":"Modelling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schema":"https://github.com/citation-style-language/schema/raw/master/csl-citation.json"} </w:instrText>
      </w:r>
      <w:r w:rsidRPr="00C347AD">
        <w:fldChar w:fldCharType="separate"/>
      </w:r>
      <w:r w:rsidRPr="00C347AD">
        <w:rPr>
          <w:noProof/>
        </w:rPr>
        <w:t>Loughran and Berry (2005)</w:t>
      </w:r>
      <w:r w:rsidRPr="00C347AD">
        <w:fldChar w:fldCharType="end"/>
      </w:r>
      <w:r w:rsidRPr="00C347AD">
        <w:t xml:space="preserve"> begin to present some possible reasons for this lack of explicit modeling. The authors suggest that modeling entails not only demonstration but also added components of evaluation and reflection involving the preservice teachers; the vulnerability that this necessitates may indeed be very uncomfortable for the faculty member who is not used to having his or her pedagogical decisions questioned. </w:t>
      </w:r>
    </w:p>
    <w:p w14:paraId="4863DBF7" w14:textId="0139507C" w:rsidR="00F27D6F" w:rsidRPr="00C347AD" w:rsidRDefault="00F27D6F" w:rsidP="007024DB">
      <w:r w:rsidRPr="00C347AD">
        <w:t xml:space="preserve">Furthermore, effective modeling is anything but straightforward. Faculty must make difficult, thoughtful decisions in terms of what aspects of practice to model explicitly, as well as how and when to do so to maximize effectiveness and minimize confusion among preservice teachers </w:t>
      </w:r>
      <w:r w:rsidRPr="00C347AD">
        <w:fldChar w:fldCharType="begin"/>
      </w:r>
      <w:r w:rsidR="00F7126F" w:rsidRPr="00C347AD">
        <w:instrText xml:space="preserve"> ADDIN ZOTERO_ITEM CSL_CITATION {"citationID":"2arecurk21","properties":{"formattedCitation":"(Loughran &amp; Berry, 2005)","plainCitation":"(Loughran &amp; Berry, 2005)"},"citationItems":[{"id":898,"uris":["http://zotero.org/users/2098925/items/STCGTE6P"],"uri":["http://zotero.org/users/2098925/items/STCGTE6P"],"itemData":{"id":898,"type":"article-journal","title":"Modelling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schema":"https://github.com/citation-style-language/schema/raw/master/csl-citation.json"} </w:instrText>
      </w:r>
      <w:r w:rsidRPr="00C347AD">
        <w:fldChar w:fldCharType="separate"/>
      </w:r>
      <w:r w:rsidRPr="00C347AD">
        <w:rPr>
          <w:noProof/>
        </w:rPr>
        <w:t>(Loughran &amp; Berry, 2005)</w:t>
      </w:r>
      <w:r w:rsidRPr="00C347AD">
        <w:fldChar w:fldCharType="end"/>
      </w:r>
      <w:r w:rsidRPr="00C347AD">
        <w:t xml:space="preserve">. In many cases, the time necessary to construct such high quality instruction is beyond reason for faculty for whom teaching is only one responsibility among many such as publishing, taking leadership roles, attending and presenting at conferences, etc.; moreover, these other duties are far more likely to impact the faculty member’s career in terms of earning </w:t>
      </w:r>
      <w:r w:rsidRPr="00C347AD">
        <w:lastRenderedPageBreak/>
        <w:t>promotion or becoming tenured</w:t>
      </w:r>
      <w:r w:rsidR="00BA1D49" w:rsidRPr="00C347AD">
        <w:t>, which may result in a demotion of focus on quality teaching</w:t>
      </w:r>
      <w:r w:rsidRPr="00C347AD">
        <w:t xml:space="preserve"> </w:t>
      </w:r>
      <w:r w:rsidR="00BA1D49" w:rsidRPr="00C347AD">
        <w:t xml:space="preserve">in some settings </w:t>
      </w:r>
      <w:r w:rsidRPr="00C347AD">
        <w:fldChar w:fldCharType="begin"/>
      </w:r>
      <w:r w:rsidR="00F7126F" w:rsidRPr="00C347AD">
        <w:instrText xml:space="preserve"> ADDIN ZOTERO_ITEM CSL_CITATION {"citationID":"qqtc9q9qo","properties":{"formattedCitation":"(Koster et al., 2005)","plainCitation":"(Koster et al., 2005)"},"citationItems":[{"id":127,"uris":["http://zotero.org/users/2098925/items/59CD9MQH"],"uri":["http://zotero.org/users/2098925/items/59CD9MQH"],"itemData":{"id":127,"type":"article-journal","title":"Quality requirements for teacher educators","container-title":"Teaching and Teacher Education","collection-title":"Teaching Teachers","page":"157-176","volume":"21","issue":"2","source":"ScienceDirect","abstract":"This study deals with the quality requirements that are needed for teacher educators. The tasks teacher educators have to do and the competencies they should possess (a professional profile), according to their fellow teacher educators, were identified. On the basis of a literature search on tasks and competencies of teacher educators, we made a first overview of tasks and competencies. Next, we conducted a Delphi study in three rounds, during which we held open-ended interviews and sent out two rounds of questionnaires. The resulting profile consists of five task areas and four areas of competence. For university-based teacher educators, a sixth task area (carrying out research) has been added.","DOI":"10.1016/j.tate.2004.12.004","ISSN":"0742-051X","journalAbbreviation":"Teaching and Teacher Education","author":[{"family":"Koster","given":"Bob"},{"family":"Brekelmans","given":"Mieke"},{"family":"Korthagen","given":"Fred"},{"family":"Wubbels","given":"Theo"}],"issued":{"date-parts":[["2005",2]]}}}],"schema":"https://github.com/citation-style-language/schema/raw/master/csl-citation.json"} </w:instrText>
      </w:r>
      <w:r w:rsidRPr="00C347AD">
        <w:fldChar w:fldCharType="separate"/>
      </w:r>
      <w:r w:rsidRPr="00C347AD">
        <w:rPr>
          <w:noProof/>
        </w:rPr>
        <w:t>(Koster et al., 2005)</w:t>
      </w:r>
      <w:r w:rsidRPr="00C347AD">
        <w:fldChar w:fldCharType="end"/>
      </w:r>
      <w:r w:rsidRPr="00C347AD">
        <w:t>. Lunenburg et al. (2007) also suggest that lack of knowledge and skill related to either the concepts to be modeled or in terms of how such concepts could be explicitly</w:t>
      </w:r>
      <w:r w:rsidR="00BA1D49" w:rsidRPr="00C347AD">
        <w:t xml:space="preserve"> tied</w:t>
      </w:r>
      <w:r w:rsidRPr="00C347AD">
        <w:t xml:space="preserve"> to theory</w:t>
      </w:r>
      <w:r w:rsidR="00EB0F95" w:rsidRPr="00C347AD">
        <w:t xml:space="preserve"> may impede faculty modeling</w:t>
      </w:r>
      <w:r w:rsidRPr="00C347AD">
        <w:t>. This may not be as surprising as it may first appear after one considers the fact that education faculty are often removed from the K-12</w:t>
      </w:r>
      <w:r w:rsidR="00BA1D49" w:rsidRPr="00C347AD">
        <w:t xml:space="preserve"> classroom for some time before–and during–their tenure as faculty. A</w:t>
      </w:r>
      <w:r w:rsidRPr="00C347AD">
        <w:t>s best practices change and emerge, it is one thing to understand them conceptually and another to have actively practiced them. If anything, these inhibitions only underscore the initial issue of vulnerability.</w:t>
      </w:r>
    </w:p>
    <w:p w14:paraId="39FA6E4B" w14:textId="06E350CA" w:rsidR="00F27D6F" w:rsidRPr="00C347AD" w:rsidRDefault="00F27D6F" w:rsidP="007024DB">
      <w:r w:rsidRPr="00C347AD">
        <w:t xml:space="preserve">Another issue related to </w:t>
      </w:r>
      <w:r w:rsidR="007024DB" w:rsidRPr="00C347AD">
        <w:t>faculty</w:t>
      </w:r>
      <w:r w:rsidRPr="00C347AD">
        <w:t xml:space="preserve"> modeling for preservice teachers might be a lack of authenticity. </w:t>
      </w:r>
      <w:r w:rsidR="007024DB" w:rsidRPr="00C347AD">
        <w:t>Faculty</w:t>
      </w:r>
      <w:r w:rsidRPr="00C347AD">
        <w:t xml:space="preserve"> modeling often takes two broad forms in the teacher education classroom: the faculty member may model best practices (for university students) while teaching the natural content of the course or the faculty member may enlist the students to role play situations from a hypothetical K-12 setting. Either option has questions regarding the authenticity of the situation. While modeling and reflecting on best practices that emerge in the university classroom may well be authentic to the university setting, that particular tool, approach, or situation may be very unlike what the preservice teachers will actually encounter in a K-12 setting </w:t>
      </w:r>
      <w:r w:rsidRPr="00C347AD">
        <w:fldChar w:fldCharType="begin"/>
      </w:r>
      <w:r w:rsidR="00F7126F" w:rsidRPr="00C347AD">
        <w:instrText xml:space="preserve"> ADDIN ZOTERO_ITEM CSL_CITATION {"citationID":"2lfe9ohr1a","properties":{"formattedCitation":"(R. T. Putnam &amp; Borko, 2000)","plainCitation":"(R. T. Putnam &amp; Borko, 2000)"},"citationItems":[{"id":856,"uris":["http://zotero.org/users/2098925/items/REXENNVJ"],"uri":["http://zotero.org/users/2098925/items/REXENNVJ"],"itemData":{"id":856,"type":"article-journal","title":"What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T."},{"family":"Borko","given":"Hilda"}],"issued":{"date-parts":[["2000",1,1]]}}}],"schema":"https://github.com/citation-style-language/schema/raw/master/csl-citation.json"} </w:instrText>
      </w:r>
      <w:r w:rsidRPr="00C347AD">
        <w:fldChar w:fldCharType="separate"/>
      </w:r>
      <w:r w:rsidR="00BA1D49" w:rsidRPr="00C347AD">
        <w:rPr>
          <w:noProof/>
        </w:rPr>
        <w:t>(</w:t>
      </w:r>
      <w:r w:rsidR="001D2145" w:rsidRPr="00C347AD">
        <w:rPr>
          <w:noProof/>
        </w:rPr>
        <w:t>Putnam &amp; Borko, 2000)</w:t>
      </w:r>
      <w:r w:rsidRPr="00C347AD">
        <w:fldChar w:fldCharType="end"/>
      </w:r>
      <w:r w:rsidRPr="00C347AD">
        <w:t xml:space="preserve">. </w:t>
      </w:r>
    </w:p>
    <w:p w14:paraId="5A75DC41" w14:textId="0E5F5645" w:rsidR="007D27CF" w:rsidRPr="00C347AD" w:rsidRDefault="00F27D6F" w:rsidP="007024DB">
      <w:r w:rsidRPr="00C347AD">
        <w:t xml:space="preserve">On the other hand, seeking to model a situation that could be expected in a K-12 setting is still only a simulation. </w:t>
      </w:r>
      <w:r w:rsidRPr="00C347AD">
        <w:fldChar w:fldCharType="begin"/>
      </w:r>
      <w:r w:rsidR="00F7126F" w:rsidRPr="00C347AD">
        <w:instrText xml:space="preserve"> ADDIN ZOTERO_ITEM CSL_CITATION {"citationID":"1mh1smrvav","properties":{"formattedCitation":"(Schrader, Leu, &amp; Kinzer, 2003)","plainCitation":"(Schrader, Leu, &amp; Kinzer, 2003)"},"citationItems":[{"id":1038,"uris":["http://zotero.org/users/2098925/items/WSES4WR4"],"uri":["http://zotero.org/users/2098925/items/WSES4WR4"],"itemData":{"id":1038,"type":"article-journal","title":"Using Internet delivered video cases, to support pre-service teachers' understanding of effective early literacy instruction: An exploratory study","container-title":"Instructional Science","page":"317-340","volume":"31","issue":"4/5","source":"EBSCOhost","abstract":"This preliminary study explores the effects of using CTELL (Case Technologies Enhancing Literacy Learning) cases on preservice teachers' learning. Students participated in one of three instructional treatments: traditional, traditional plus video, and traditional plus CTELL cases. A pre-post concept web, describing students' understanding of effective reading instruction, served as the major outcome measure. This was supplemented with a unidimensional confidence measure, journal entries, and student interviews. No significant differences were found for any of the three treatment conditions on the concept mapping task or the confidence measure. However, the journal entries and interview data highlight important issues, challenges and benefits, with respect to the use of multimedia cases. Implications for teacher education are explored. Reprinted by permission of the publisher.","ISSN":"00204277","shortTitle":"Using Internet delivered video cases, to support pre-service teachers' understanding of effective early literacy instruction","journalAbbreviation":"Instructional Science","author":[{"family":"Schrader","given":"P. G."},{"family":"Leu","given":"Donald J."},{"family":"Kinzer","given":"Charles K."}],"issued":{"date-parts":[["2003",9,7]]}}}],"schema":"https://github.com/citation-style-language/schema/raw/master/csl-citation.json"} </w:instrText>
      </w:r>
      <w:r w:rsidRPr="00C347AD">
        <w:fldChar w:fldCharType="separate"/>
      </w:r>
      <w:r w:rsidRPr="00C347AD">
        <w:t>Schrader, Leu, and Kinzer (2003)</w:t>
      </w:r>
      <w:r w:rsidRPr="00C347AD">
        <w:fldChar w:fldCharType="end"/>
      </w:r>
      <w:r w:rsidRPr="00C347AD">
        <w:t xml:space="preserve"> note that “[Preservice teachers] do not usually see the identified practices actually used in context-rich or </w:t>
      </w:r>
      <w:r w:rsidRPr="00C347AD">
        <w:lastRenderedPageBreak/>
        <w:t xml:space="preserve">complex situations; rather, the materials often present imagined scenarios or… under pristine conditions” (p. 318). Preservice teachers who responded in the literature have sometimes expressed negativity toward such simulations, which they may see as fake </w:t>
      </w:r>
      <w:r w:rsidR="000E182C" w:rsidRPr="00C347AD">
        <w:t xml:space="preserve">or manipulated </w:t>
      </w:r>
      <w:r w:rsidRPr="00C347AD">
        <w:fldChar w:fldCharType="begin"/>
      </w:r>
      <w:r w:rsidR="00F7126F" w:rsidRPr="00C347AD">
        <w:instrText xml:space="preserve"> ADDIN ZOTERO_ITEM CSL_CITATION {"citationID":"1t2a38krfp","properties":{"formattedCitation":"(Lunenberg et al., 2007)","plainCitation":"(Lunenberg et al., 2007)"},"citationItems":[{"id":669,"uris":["http://zotero.org/users/2098925/items/JZ76C86M"],"uri":["http://zotero.org/users/2098925/items/JZ76C86M"],"itemData":{"id":669,"type":"article-journal","title":"The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Education","author":[{"family":"Lunenberg","given":"Mieke"},{"family":"Korthagen","given":"Fred"},{"family":"Swennen","given":"Anja"}],"issued":{"date-parts":[["2007",7]]}}}],"schema":"https://github.com/citation-style-language/schema/raw/master/csl-citation.json"} </w:instrText>
      </w:r>
      <w:r w:rsidRPr="00C347AD">
        <w:fldChar w:fldCharType="separate"/>
      </w:r>
      <w:r w:rsidRPr="00C347AD">
        <w:rPr>
          <w:noProof/>
        </w:rPr>
        <w:t>(Lunenberg et al., 2007)</w:t>
      </w:r>
      <w:r w:rsidRPr="00C347AD">
        <w:fldChar w:fldCharType="end"/>
      </w:r>
      <w:r w:rsidRPr="00C347AD">
        <w:t xml:space="preserve">.  </w:t>
      </w:r>
    </w:p>
    <w:p w14:paraId="7015AD33" w14:textId="10F6D04F" w:rsidR="00F27D6F" w:rsidRPr="00C347AD" w:rsidRDefault="00F31E66" w:rsidP="00EB0F95">
      <w:r w:rsidRPr="00C347AD">
        <w:rPr>
          <w:highlight w:val="yellow"/>
        </w:rPr>
        <w:t xml:space="preserve">These limitations and roadblocks to modeling were taken into account for </w:t>
      </w:r>
      <w:r w:rsidR="000E182C" w:rsidRPr="00C347AD">
        <w:rPr>
          <w:highlight w:val="yellow"/>
        </w:rPr>
        <w:t>this current</w:t>
      </w:r>
      <w:r w:rsidRPr="00C347AD">
        <w:rPr>
          <w:highlight w:val="yellow"/>
        </w:rPr>
        <w:t xml:space="preserve"> study. No attempt was made to model UDL in the context of P-12; instead, the practice of UDL was modeled in age- and context-appropriate means for the university classroom</w:t>
      </w:r>
      <w:r w:rsidR="000E182C" w:rsidRPr="00C347AD">
        <w:rPr>
          <w:highlight w:val="yellow"/>
        </w:rPr>
        <w:t xml:space="preserve"> using explicit modeling techniques with reflection (type 2)</w:t>
      </w:r>
      <w:r w:rsidRPr="00C347AD">
        <w:rPr>
          <w:highlight w:val="yellow"/>
        </w:rPr>
        <w:t>. Preservice teachers were then asked to take their learning and experience of UDL and apply it themselves to P-12 classrooms by</w:t>
      </w:r>
      <w:r w:rsidR="000E182C" w:rsidRPr="00C347AD">
        <w:rPr>
          <w:highlight w:val="yellow"/>
        </w:rPr>
        <w:t xml:space="preserve"> way of designing lesson plans (type 3). In this context, whereby teaching was my primary focus, I did not lack for time or motivation. Likewise, my position and </w:t>
      </w:r>
      <w:r w:rsidR="00777D27" w:rsidRPr="00C347AD">
        <w:rPr>
          <w:highlight w:val="yellow"/>
        </w:rPr>
        <w:t>purpose allowed me to circumvent the issue of vulnerability, which I intentionally accepted as part of this research agenda. As such, I was able to address the barriers to faculty modeling for the sake of this study, even if my solutions may not be generalized to faculty on the whole.</w:t>
      </w:r>
      <w:r w:rsidR="00777D27" w:rsidRPr="00C347AD">
        <w:t xml:space="preserve"> </w:t>
      </w:r>
    </w:p>
    <w:p w14:paraId="7D2E0E3A" w14:textId="26B8374E" w:rsidR="007D27CF" w:rsidRPr="00C347AD" w:rsidRDefault="007D27CF" w:rsidP="00FE779B">
      <w:pPr>
        <w:pStyle w:val="Heading2"/>
      </w:pPr>
      <w:bookmarkStart w:id="56" w:name="_Toc466104362"/>
      <w:bookmarkStart w:id="57" w:name="_Toc470600339"/>
      <w:bookmarkStart w:id="58" w:name="_Toc471890446"/>
      <w:r w:rsidRPr="00C347AD">
        <w:t>Dependent Variables</w:t>
      </w:r>
      <w:bookmarkEnd w:id="56"/>
      <w:bookmarkEnd w:id="57"/>
      <w:bookmarkEnd w:id="58"/>
    </w:p>
    <w:p w14:paraId="14BF9EFE" w14:textId="2C7227A5" w:rsidR="002126D8" w:rsidRPr="00C347AD" w:rsidRDefault="002126D8" w:rsidP="002126D8">
      <w:r w:rsidRPr="00C347AD">
        <w:t xml:space="preserve">In this section, attention is given to the dependent variables under consideration in this study. Given that education is decidedly a discipline that is grounded in action, and given that action is borne—at least in part—of both knowledge </w:t>
      </w:r>
      <w:r w:rsidRPr="00C347AD">
        <w:fldChar w:fldCharType="begin"/>
      </w:r>
      <w:r w:rsidR="00F7126F" w:rsidRPr="00C347AD">
        <w:instrText xml:space="preserve"> ADDIN ZOTERO_ITEM CSL_CITATION {"citationID":"hvmb8tti3","properties":{"formattedCitation":"{\\rtf (K\\uc0\\u246{}nig, Bl\\uc0\\u246{}meke, Paine, Schmidt, &amp; Hsieh, 2011; Putnam &amp; Borko, 2000)}","plainCitation":"(König, Blömeke, Paine, Schmidt, &amp; Hsieh, 2011; Putnam &amp; Borko, 2000)","dontUpdate":true},"citationItems":[{"id":60,"uris":["http://zotero.org/users/2098925/items/3HJA39FH"],"uri":["http://zotero.org/users/2098925/items/3HJA39FH"],"itemData":{"id":60,"type":"article-journal","title":"General Pedagogical Knowledge of Future Middle School Teachers: On the Complex Ecology of Teacher Education in the United States, Germany, and Taiwan","container-title":"Journal of Teacher Education","page":"188-201","volume":"62","issue":"2","source":"jte.sagepub.com.proxy.lib.utk.edu:90","abstract":"For more than two decades, three components of teacher knowledge have been discussed, namely, content knowledge (CK), pedagogical content knowledge (PCK), and general pedagogical knowledge (GPK). Although there is a growing body of analytic clarification and empirical testing with regard to CK and PCK, especially with a focus on mathematics teachers, hardly any attempt has been made to learn more about teachers’ GPK. In the context of the Teacher Education and Development Study in Mathematics (TEDS-M), Germany, Taiwan, and the United States worked on closing this research gap by conceptualizing a theoretical framework and developing a standardized test of GPK, which was taken by representative samples of future middle school teachers in these countries. Four task-based subdimensions of GPK and three cognitive subdimensions of GPK were distinguished in this test. TEDS-M data are used (a) to test the hypothesis that GPK is not homogenous but multidimensional and (b) to compare the achievement of U.S. future middle school teachers with future middle school teachers from Germany and Taiwan. The data revealed that U.S. future teachers were outperformed by both the other groups. They showed a relative strength in one of the cognitive subdimensions, generating strategies to perform in the classroom, indicating that in particular they had acquired procedural GPK during teacher education.","DOI":"10.1177/0022487110388664","ISSN":"0022-4871, 1552-7816","shortTitle":"General Pedagogical Knowledge of Future Middle School Teachers","journalAbbreviation":"Journal of Teacher Education","language":"en","author":[{"family":"König","given":"Johannes"},{"family":"Blömeke","given":"Sigrid"},{"family":"Paine","given":"Lynn"},{"family":"Schmidt","given":"William H."},{"family":"Hsieh","given":"Feng-Jui"}],"issued":{"date-parts":[["2011",3,1]]}}},{"id":856,"uris":["http://zotero.org/users/2098925/items/REXENNVJ"],"uri":["http://zotero.org/users/2098925/items/REXENNVJ"],"itemData":{"id":856,"type":"article-journal","title":"What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T."},{"family":"Borko","given":"Hilda"}],"issued":{"date-parts":[["2000",1,1]]}}}],"schema":"https://github.com/citation-style-language/schema/raw/master/csl-citation.json"} </w:instrText>
      </w:r>
      <w:r w:rsidRPr="00C347AD">
        <w:fldChar w:fldCharType="separate"/>
      </w:r>
      <w:r w:rsidRPr="00C347AD">
        <w:t>(</w:t>
      </w:r>
      <w:r w:rsidR="00B323A5" w:rsidRPr="00C347AD">
        <w:t>e.g.,</w:t>
      </w:r>
      <w:r w:rsidRPr="00C347AD">
        <w:t xml:space="preserve"> König, Blömeke, Paine, Schmidt, &amp; Hsieh, 2011; Putnam &amp; Borko, 2000)</w:t>
      </w:r>
      <w:r w:rsidRPr="00C347AD">
        <w:fldChar w:fldCharType="end"/>
      </w:r>
      <w:r w:rsidRPr="00C347AD">
        <w:t xml:space="preserve"> and cognitive beliefs and </w:t>
      </w:r>
      <w:r w:rsidRPr="00C347AD">
        <w:lastRenderedPageBreak/>
        <w:t>attitudes (</w:t>
      </w:r>
      <w:r w:rsidR="00B323A5" w:rsidRPr="00C347AD">
        <w:t>e.g.,</w:t>
      </w:r>
      <w:r w:rsidRPr="00C347AD">
        <w:t xml:space="preserve"> </w:t>
      </w:r>
      <w:r w:rsidRPr="00C347AD">
        <w:fldChar w:fldCharType="begin"/>
      </w:r>
      <w:r w:rsidR="00F7126F" w:rsidRPr="00C347AD">
        <w:instrText xml:space="preserve"> ADDIN ZOTERO_ITEM CSL_CITATION {"citationID":"91khg2d42","properties":{"formattedCitation":"(Fang, 1996; MacFarlane &amp; Woolfson, 2013)","plainCitation":"(Fang, 1996; MacFarlane &amp; Woolfson, 2013)"},"citationItems":[{"id":613,"uris":["http://zotero.org/users/2098925/items/IH5Q5E8U"],"uri":["http://zotero.org/users/2098925/items/IH5Q5E8U"],"itemData":{"id":613,"type":"article-journal","title":"A review of research on teacher beliefs and practices","container-title":"Educational research","page":"47–65","volume":"38","issue":"1","source":"Google Scholar","author":[{"family":"Fang","given":"Zhihui"}],"issued":{"date-parts":[["1996"]]}}},{"id":1815,"uris":["http://zotero.org/users/2098925/items/I7BFPCNS"],"uri":["http://zotero.org/users/2098925/items/I7BFPCNS"],"itemData":{"id":1815,"type":"article-journal","title":"Teacher attitudes and behavior toward the inclusion of children with social, emotional and behavioral difficulties in mainstream schools: An application of the theory of planned behavior","container-title":"Teaching and Teacher Education","page":"46-52","volume":"29","source":"ScienceDirect","abstract":"The Theory of Planned Behavior (TPB) was used to examine relationships between teacher attitudes and behavior toward children with social, emotional and behavioral difficulties (SEBD). One hundred and eleven elementary school teachers completed questionnaires. Teacher perception of their school principals' expectations (subjective norm) predicted teacher behaviors. Teachers who had attended more in-service training (INSET) sessions held more positive feelings, but teachers with more experience were less willing to work with children with SEBD. Findings suggest that school principals have a central role in promoting an inclusive ethos within their schools. INSET could focus more on challenging beliefs.","DOI":"10.1016/j.tate.2012.08.006","ISSN":"0742-051X","shortTitle":"Teacher attitudes and behavior toward the inclusion of children with social, emotional and behavioral difficulties in mainstream schools","journalAbbreviation":"Teaching and Teacher Education","author":[{"family":"MacFarlane","given":"Kate"},{"family":"Woolfson","given":"Lisa Marks"}],"issued":{"date-parts":[["2013",1]]}}}],"schema":"https://github.com/citation-style-language/schema/raw/master/csl-citation.json"} </w:instrText>
      </w:r>
      <w:r w:rsidRPr="00C347AD">
        <w:fldChar w:fldCharType="separate"/>
      </w:r>
      <w:r w:rsidRPr="00C347AD">
        <w:rPr>
          <w:noProof/>
        </w:rPr>
        <w:t>Fang, 1996; MacFarlane &amp; Woolfson, 2013)</w:t>
      </w:r>
      <w:r w:rsidRPr="00C347AD">
        <w:fldChar w:fldCharType="end"/>
      </w:r>
      <w:r w:rsidRPr="00C347AD">
        <w:t>, this study includes measures</w:t>
      </w:r>
      <w:r w:rsidR="00EB0F95" w:rsidRPr="00C347AD">
        <w:t xml:space="preserve"> of</w:t>
      </w:r>
      <w:r w:rsidRPr="00C347AD">
        <w:t xml:space="preserve"> each of these domains.</w:t>
      </w:r>
    </w:p>
    <w:p w14:paraId="16433B4A" w14:textId="2BE4E8FA" w:rsidR="002126D8" w:rsidRPr="00C347AD" w:rsidRDefault="002126D8" w:rsidP="002126D8">
      <w:r w:rsidRPr="00C347AD">
        <w:t xml:space="preserve">To this end, the following variables, which include both capacity measures (variables 1 and 2) and intention measures (variable 3 and sub-variables) are utilized as dependent measures of this study. Italicized words represent the core construct being assessed.  </w:t>
      </w:r>
    </w:p>
    <w:p w14:paraId="2C46352A" w14:textId="77777777" w:rsidR="002126D8" w:rsidRPr="00C347AD" w:rsidRDefault="002126D8" w:rsidP="002126D8">
      <w:pPr>
        <w:pStyle w:val="ListParagraph"/>
        <w:numPr>
          <w:ilvl w:val="0"/>
          <w:numId w:val="9"/>
        </w:numPr>
        <w:spacing w:before="100" w:beforeAutospacing="1" w:after="100" w:afterAutospacing="1"/>
      </w:pPr>
      <w:r w:rsidRPr="00C347AD">
        <w:t xml:space="preserve">Preservice </w:t>
      </w:r>
      <w:r w:rsidRPr="00C347AD">
        <w:rPr>
          <w:i/>
        </w:rPr>
        <w:t>teacher</w:t>
      </w:r>
      <w:r w:rsidRPr="00C347AD">
        <w:t xml:space="preserve"> </w:t>
      </w:r>
      <w:r w:rsidRPr="00C347AD">
        <w:rPr>
          <w:i/>
        </w:rPr>
        <w:t>knowledge</w:t>
      </w:r>
      <w:r w:rsidRPr="00C347AD">
        <w:t xml:space="preserve"> regarding structures and applied principles of UDL </w:t>
      </w:r>
    </w:p>
    <w:p w14:paraId="5D9029FE" w14:textId="77777777" w:rsidR="00FD0511" w:rsidRPr="00C347AD" w:rsidRDefault="00FD0511" w:rsidP="00FD0511">
      <w:pPr>
        <w:pStyle w:val="ListParagraph"/>
        <w:numPr>
          <w:ilvl w:val="0"/>
          <w:numId w:val="9"/>
        </w:numPr>
        <w:spacing w:line="240" w:lineRule="auto"/>
      </w:pPr>
      <w:r w:rsidRPr="00C347AD">
        <w:t xml:space="preserve">Preservice teacher </w:t>
      </w:r>
      <w:r w:rsidRPr="00C347AD">
        <w:rPr>
          <w:i/>
        </w:rPr>
        <w:t>sense of efficacy</w:t>
      </w:r>
      <w:r w:rsidRPr="00C347AD">
        <w:t xml:space="preserve"> in using UDL to teach students with disabilities and other diversities </w:t>
      </w:r>
    </w:p>
    <w:p w14:paraId="3B87F46E" w14:textId="77777777" w:rsidR="00FD0511" w:rsidRPr="00C347AD" w:rsidRDefault="00FD0511" w:rsidP="00FD0511">
      <w:pPr>
        <w:pStyle w:val="ListParagraph"/>
        <w:spacing w:line="240" w:lineRule="auto"/>
        <w:ind w:left="1440" w:firstLine="0"/>
      </w:pPr>
    </w:p>
    <w:p w14:paraId="7539DDE4" w14:textId="673DF1B1" w:rsidR="00B91EF6" w:rsidRPr="00C347AD" w:rsidRDefault="002126D8" w:rsidP="00925672">
      <w:pPr>
        <w:pStyle w:val="ListParagraph"/>
        <w:numPr>
          <w:ilvl w:val="0"/>
          <w:numId w:val="9"/>
        </w:numPr>
        <w:spacing w:before="100" w:beforeAutospacing="1" w:after="100" w:afterAutospacing="1"/>
      </w:pPr>
      <w:r w:rsidRPr="00C347AD">
        <w:rPr>
          <w:i/>
        </w:rPr>
        <w:t>Attitudes</w:t>
      </w:r>
      <w:r w:rsidR="00925672" w:rsidRPr="00C347AD">
        <w:t xml:space="preserve"> regarding</w:t>
      </w:r>
      <w:r w:rsidRPr="00C347AD">
        <w:t xml:space="preserve"> inclusion of students with disabilities</w:t>
      </w:r>
      <w:r w:rsidR="002F1A53" w:rsidRPr="00C347AD">
        <w:t xml:space="preserve"> </w:t>
      </w:r>
    </w:p>
    <w:p w14:paraId="4D7ADF09" w14:textId="5DDDF390" w:rsidR="00747959" w:rsidRPr="00C347AD" w:rsidRDefault="00747959" w:rsidP="00747959">
      <w:r w:rsidRPr="00C347AD">
        <w:t xml:space="preserve">As aforementioned, the ultimate goal of teacher preparation is preparation for the very active practical duties for which preservice teachers will later be responsible. </w:t>
      </w:r>
      <w:r w:rsidR="00ED45C0" w:rsidRPr="00C347AD">
        <w:t>To support preservice teacher development for practical duties,</w:t>
      </w:r>
      <w:r w:rsidRPr="00C347AD">
        <w:t xml:space="preserve"> </w:t>
      </w:r>
      <w:r w:rsidR="00EE6B8D" w:rsidRPr="00C347AD">
        <w:t xml:space="preserve">I </w:t>
      </w:r>
      <w:r w:rsidRPr="00C347AD">
        <w:t>chose to triangulate the dependent</w:t>
      </w:r>
      <w:r w:rsidR="00ED45C0" w:rsidRPr="00C347AD">
        <w:t xml:space="preserve"> variables to include knowledge, efficacy and</w:t>
      </w:r>
      <w:r w:rsidRPr="00C347AD">
        <w:t xml:space="preserve"> attitudes in order to bolster confidence that the display of such </w:t>
      </w:r>
      <w:r w:rsidR="00ED45C0" w:rsidRPr="00C347AD">
        <w:t xml:space="preserve">measures in unison in the </w:t>
      </w:r>
      <w:r w:rsidRPr="00C347AD">
        <w:t xml:space="preserve">context </w:t>
      </w:r>
      <w:r w:rsidR="00ED45C0" w:rsidRPr="00C347AD">
        <w:t xml:space="preserve">of teacher preparation </w:t>
      </w:r>
      <w:r w:rsidRPr="00C347AD">
        <w:t xml:space="preserve">may transfer to professional context. </w:t>
      </w:r>
    </w:p>
    <w:p w14:paraId="7DCB4AA3" w14:textId="7A821EB8" w:rsidR="00747959" w:rsidRPr="00C347AD" w:rsidRDefault="00747959" w:rsidP="00747959">
      <w:r w:rsidRPr="00C347AD">
        <w:t>On the one hand, that preservice teachers may be trained to behave in a certain way when explicitly taught, shortly after being taught</w:t>
      </w:r>
      <w:r w:rsidR="00A310B7" w:rsidRPr="00C347AD">
        <w:t>,</w:t>
      </w:r>
      <w:r w:rsidRPr="00C347AD">
        <w:t xml:space="preserve"> </w:t>
      </w:r>
      <w:r w:rsidR="00A310B7" w:rsidRPr="00C347AD">
        <w:t>has</w:t>
      </w:r>
      <w:r w:rsidR="0007643C" w:rsidRPr="00C347AD">
        <w:t xml:space="preserve"> long</w:t>
      </w:r>
      <w:r w:rsidRPr="00C347AD">
        <w:t xml:space="preserve"> been established in the literature of preservice teacher preparation (Cochran-Smith &amp; Fries, 2005). A study that demonstrates this phenomenon may add little to our current knowledge base. On the other </w:t>
      </w:r>
      <w:r w:rsidRPr="00C347AD">
        <w:lastRenderedPageBreak/>
        <w:t>hand, the fact that preservice teachers may demonstrate the ability to complete a task (</w:t>
      </w:r>
      <w:r w:rsidR="00B323A5" w:rsidRPr="00C347AD">
        <w:t>e.g.,</w:t>
      </w:r>
      <w:r w:rsidRPr="00C347AD">
        <w:t xml:space="preserve"> lesson plan) in a desired way in the context of a preparation setting does not itself necessarily indicate transfer to a professional setting </w:t>
      </w:r>
      <w:r w:rsidR="002E36F9" w:rsidRPr="00C347AD">
        <w:t>(</w:t>
      </w:r>
      <w:r w:rsidRPr="00C347AD">
        <w:t>Cochran-Smith &amp; Fries, 2005</w:t>
      </w:r>
      <w:r w:rsidR="002E36F9" w:rsidRPr="00C347AD">
        <w:t>, Sharp, 2009</w:t>
      </w:r>
      <w:r w:rsidRPr="00C347AD">
        <w:t xml:space="preserve">). One of the reasons for why this transfer cannot be assumed is that learning to apply behaviors in a given context is a lower-order skill than transferring such behavior to other, especially more complex, contexts </w:t>
      </w:r>
      <w:r w:rsidRPr="00C347AD">
        <w:fldChar w:fldCharType="begin"/>
      </w:r>
      <w:r w:rsidR="00F7126F" w:rsidRPr="00C347AD">
        <w:instrText xml:space="preserve"> ADDIN ZOTERO_ITEM CSL_CITATION {"citationID":"197scisp14","properties":{"formattedCitation":"(Sharp, 2009)","plainCitation":"(Sharp, 2009)"},"citationItems":[{"id":1077,"uris":["http://zotero.org/users/2098925/items/XVPTIQU4"],"uri":["http://zotero.org/users/2098925/items/XVPTIQU4"],"itemData":{"id":1077,"type":"article-journal","title":"How Do Teachers Learn New Skills for Reading Instruction and Transfer Their Learning into the Classroom?","author":[{"family":"Sharp","given":"Patricia Ann"}],"issued":{"date-parts":[["2009"]]}}}],"schema":"https://github.com/citation-style-language/schema/raw/master/csl-citation.json"} </w:instrText>
      </w:r>
      <w:r w:rsidRPr="00C347AD">
        <w:fldChar w:fldCharType="separate"/>
      </w:r>
      <w:r w:rsidRPr="00C347AD">
        <w:rPr>
          <w:noProof/>
        </w:rPr>
        <w:t>(Sharp, 2009)</w:t>
      </w:r>
      <w:r w:rsidRPr="00C347AD">
        <w:fldChar w:fldCharType="end"/>
      </w:r>
      <w:r w:rsidRPr="00C347AD">
        <w:t xml:space="preserve">. Furthermore, given that a focal point of UDL is the concept of </w:t>
      </w:r>
      <w:r w:rsidRPr="00C347AD">
        <w:rPr>
          <w:i/>
        </w:rPr>
        <w:t xml:space="preserve">designing </w:t>
      </w:r>
      <w:r w:rsidRPr="00C347AD">
        <w:t>lessons that meet the needs</w:t>
      </w:r>
      <w:r w:rsidR="00CB79B9" w:rsidRPr="00C347AD">
        <w:t xml:space="preserve"> of</w:t>
      </w:r>
      <w:r w:rsidRPr="00C347AD">
        <w:t xml:space="preserve"> one’s students in context, it cannot be sourced from chance, mimicry, or ignorant aptitude (</w:t>
      </w:r>
      <w:r w:rsidR="004F52F4" w:rsidRPr="00C347AD">
        <w:t>i.e.,</w:t>
      </w:r>
      <w:r w:rsidRPr="00C347AD">
        <w:t xml:space="preserve"> unintentional skill). </w:t>
      </w:r>
    </w:p>
    <w:p w14:paraId="13960AE7" w14:textId="26C68A23" w:rsidR="00747959" w:rsidRPr="00C347AD" w:rsidRDefault="00747959" w:rsidP="00A310B7">
      <w:r w:rsidRPr="00C347AD">
        <w:t xml:space="preserve">As such, a more robust dependent variable (or collection of variables) is necessary in order to provide confidence that skills learned in the preparation setting may transfer. Other researchers have argued that the application of complex skills in diverse settings must be based on a foundation of applied knowledge (Mohamed, Arshad, &amp; Hidzir, 2007). Meanwhile, attitudes also serve as proxies to applied behavior, as it has been well established that teacher attitudes have a significant effect on their actions, including regarding inclusive practices </w:t>
      </w:r>
      <w:r w:rsidRPr="00C347AD">
        <w:fldChar w:fldCharType="begin"/>
      </w:r>
      <w:r w:rsidR="00F7126F" w:rsidRPr="00C347AD">
        <w:instrText xml:space="preserve"> ADDIN ZOTERO_ITEM CSL_CITATION {"citationID":"2d35vfc08f","properties":{"formattedCitation":"(Hargreaves, 1977; Power &amp; Tisher, 1973; Rath, 2015)","plainCitation":"(Hargreaves, 1977; Power &amp; Tisher, 1973; Rath, 2015)"},"citationItems":[{"id":100,"uris":["http://zotero.org/users/2098925/items/4HEZIQMM"],"uri":["http://zotero.org/users/2098925/items/4HEZIQMM"],"itemData":{"id":100,"type":"article-journal","title":"A phenomenological approach to classroom decision</w:instrText>
      </w:r>
      <w:r w:rsidR="00F7126F" w:rsidRPr="00C347AD">
        <w:rPr>
          <w:rFonts w:ascii="Calibri" w:eastAsia="Calibri" w:hAnsi="Calibri" w:cs="Calibri"/>
        </w:rPr>
        <w:instrText>‐</w:instrText>
      </w:r>
      <w:r w:rsidR="00F7126F" w:rsidRPr="00C347AD">
        <w:instrText xml:space="preserve">making","container-title":"Cambridge Journal of Education","page":"12-20","volume":"7","issue":"1","source":"Taylor and Francis+NEJM","DOI":"10.1080/0305764770070103","ISSN":"0305-764X","author":[{"family":"Hargreaves","given":"David H."}],"issued":{"date-parts":[["1977",2,1]]}}},{"id":376,"uris":["http://zotero.org/users/2098925/items/C2R2B6S8"],"uri":["http://zotero.org/users/2098925/items/C2R2B6S8"],"itemData":{"id":376,"type":"article-journal","title":"Teacher values and their association with teaching strategies in ASEP classes","container-title":"Research in Science Education","page":"51–60","volume":"3","issue":"1","source":"Google Scholar","author":[{"family":"Power","given":"C. N."},{"family":"Tisher","given":"R. P."}],"issued":{"date-parts":[["1973"]]}}},{"id":410,"uris":["http://zotero.org/users/2098925/items/D5NZ3NR7"],"uri":["http://zotero.org/users/2098925/items/D5NZ3NR7"],"itemData":{"id":410,"type":"article-journal","title":"Teacher’s Values and value education: A relational approach","container-title":"Global Journal of Multidisciplinary Studies","volume":"4","issue":"8","ISSN":"2348-0459","journalAbbreviation":"Global Journal of Multidisciplinary Studies","author":[{"family":"Rath","given":"Sanat Kumar"}],"issued":{"date-parts":[["2015"]]}}}],"schema":"https://github.com/citation-style-language/schema/raw/master/csl-citation.json"} </w:instrText>
      </w:r>
      <w:r w:rsidRPr="00C347AD">
        <w:fldChar w:fldCharType="separate"/>
      </w:r>
      <w:r w:rsidRPr="00C347AD">
        <w:rPr>
          <w:noProof/>
        </w:rPr>
        <w:t>(Hargreaves, 1977; Power &amp; Tisher, 1973; Rath, 2015)</w:t>
      </w:r>
      <w:r w:rsidRPr="00C347AD">
        <w:fldChar w:fldCharType="end"/>
      </w:r>
      <w:r w:rsidRPr="00C347AD">
        <w:t xml:space="preserve">. </w:t>
      </w:r>
    </w:p>
    <w:p w14:paraId="7D4EA773" w14:textId="48CCFBC3" w:rsidR="00747959" w:rsidRPr="00C347AD" w:rsidRDefault="002E36F9" w:rsidP="00614BD6">
      <w:r w:rsidRPr="00C347AD">
        <w:t>More specifically, knowledge</w:t>
      </w:r>
      <w:r w:rsidR="00747959" w:rsidRPr="00C347AD">
        <w:t xml:space="preserve"> and skill must be accompanied by teacher intention to result in actual teacher practices </w:t>
      </w:r>
      <w:r w:rsidR="00747959" w:rsidRPr="00C347AD">
        <w:fldChar w:fldCharType="begin"/>
      </w:r>
      <w:r w:rsidR="00F7126F" w:rsidRPr="00C347AD">
        <w:instrText xml:space="preserve"> ADDIN ZOTERO_ITEM CSL_CITATION {"citationID":"cml9qpkcq","properties":{"formattedCitation":"(Ajzen, 1991; MacFarlane &amp; Woolfson, 2013)","plainCitation":"(Ajzen, 1991; MacFarlane &amp; Woolfson, 2013)","dontUpdate":true},"citationItems":[{"id":179,"uris":["http://zotero.org/users/2098925/items/6QSAIHR9"],"uri":["http://zotero.org/users/2098925/items/6QSAIHR9"],"itemData":{"id":179,"type":"article-journal","title":"Theories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id":1815,"uris":["http://zotero.org/users/2098925/items/I7BFPCNS"],"uri":["http://zotero.org/users/2098925/items/I7BFPCNS"],"itemData":{"id":1815,"type":"article-journal","title":"Teacher attitudes and behavior toward the inclusion of children with social, emotional and behavioral difficulties in mainstream schools: An application of the theory of planned behavior","container-title":"Teaching and Teacher Education","page":"46-52","volume":"29","source":"ScienceDirect","abstract":"The Theory of Planned Behavior (TPB) was used to examine relationships between teacher attitudes and behavior toward children with social, emotional and behavioral difficulties (SEBD). One hundred and eleven elementary school teachers completed questionnaires. Teacher perception of their school principals' expectations (subjective norm) predicted teacher behaviors. Teachers who had attended more in-service training (INSET) sessions held more positive feelings, but teachers with more experience were less willing to work with children with SEBD. Findings suggest that school principals have a central role in promoting an inclusive ethos within their schools. INSET could focus more on challenging beliefs.","DOI":"10.1016/j.tate.2012.08.006","ISSN":"0742-051X","shortTitle":"Teacher attitudes and behavior toward the inclusion of children with social, emotional and behavioral difficulties in mainstream schools","journalAbbreviation":"Teaching and Teacher Education","author":[{"family":"MacFarlane","given":"Kate"},{"family":"Woolfson","given":"Lisa Marks"}],"issued":{"date-parts":[["2013",1]]}}}],"schema":"https://github.com/citation-style-language/schema/raw/master/csl-citation.json"} </w:instrText>
      </w:r>
      <w:r w:rsidR="00747959" w:rsidRPr="00C347AD">
        <w:fldChar w:fldCharType="separate"/>
      </w:r>
      <w:r w:rsidR="00747959" w:rsidRPr="00C347AD">
        <w:rPr>
          <w:noProof/>
        </w:rPr>
        <w:t>(</w:t>
      </w:r>
      <w:r w:rsidR="00B323A5" w:rsidRPr="00C347AD">
        <w:rPr>
          <w:noProof/>
        </w:rPr>
        <w:t>e.g.,</w:t>
      </w:r>
      <w:r w:rsidR="00747959" w:rsidRPr="00C347AD">
        <w:rPr>
          <w:noProof/>
        </w:rPr>
        <w:t xml:space="preserve"> Ajzen, 1991; MacFarlane &amp; Woolfson, 2013)</w:t>
      </w:r>
      <w:r w:rsidR="00747959" w:rsidRPr="00C347AD">
        <w:fldChar w:fldCharType="end"/>
      </w:r>
      <w:r w:rsidR="00747959" w:rsidRPr="00C347AD">
        <w:t xml:space="preserve">. Furthermore, demonstrating growth in both practical (behaviorist) and attitudinal (cognitivist) domains simultaneously </w:t>
      </w:r>
      <w:r w:rsidRPr="00C347AD">
        <w:t xml:space="preserve">may </w:t>
      </w:r>
      <w:r w:rsidR="00747959" w:rsidRPr="00C347AD">
        <w:t xml:space="preserve">provide a higher degree of confidence that the demonstration of such knowledge, skills, and attitudes will transfer to applied settings. In </w:t>
      </w:r>
      <w:r w:rsidR="00747959" w:rsidRPr="00C347AD">
        <w:lastRenderedPageBreak/>
        <w:t xml:space="preserve">the following </w:t>
      </w:r>
      <w:r w:rsidRPr="00C347AD">
        <w:t>sub-</w:t>
      </w:r>
      <w:r w:rsidR="00747959" w:rsidRPr="00C347AD">
        <w:t xml:space="preserve">sections, </w:t>
      </w:r>
      <w:r w:rsidR="00EE6B8D" w:rsidRPr="00C347AD">
        <w:t xml:space="preserve">I report on </w:t>
      </w:r>
      <w:r w:rsidR="00747959" w:rsidRPr="00C347AD">
        <w:t xml:space="preserve">the critical aspects of these behavioral and cognitive dependent variables </w:t>
      </w:r>
      <w:r w:rsidR="00EE6B8D" w:rsidRPr="00C347AD">
        <w:t>and</w:t>
      </w:r>
      <w:r w:rsidR="00175A2B" w:rsidRPr="00C347AD">
        <w:t xml:space="preserve"> how they </w:t>
      </w:r>
      <w:r w:rsidR="00747959" w:rsidRPr="00C347AD">
        <w:t>have b</w:t>
      </w:r>
      <w:r w:rsidR="00175A2B" w:rsidRPr="00C347AD">
        <w:t>een addressed in the literature.</w:t>
      </w:r>
      <w:r w:rsidR="00747959" w:rsidRPr="00C347AD">
        <w:t xml:space="preserve"> </w:t>
      </w:r>
    </w:p>
    <w:p w14:paraId="2E714C31" w14:textId="06445D3F" w:rsidR="00B47BBB" w:rsidRPr="00C347AD" w:rsidRDefault="00B47BBB" w:rsidP="007B0BDB">
      <w:r w:rsidRPr="00C347AD">
        <w:rPr>
          <w:b/>
        </w:rPr>
        <w:t xml:space="preserve">(Preservice) teacher knowledge. </w:t>
      </w:r>
      <w:r w:rsidRPr="00C347AD">
        <w:t xml:space="preserve">The literature base demonstrates broad agreement that teacher knowledge is an important variable in establishing what it means to be a quality teacher (Darling-Hammond &amp; Bransford, 2005; Grossman &amp; McDonald, 2008; Munby, Russell, &amp; Martin, 2001; Voss, Kunter, Baumert, 2011; Woolfolk Hoy et al., 2006). </w:t>
      </w:r>
      <w:r w:rsidR="00540FB7" w:rsidRPr="00C347AD">
        <w:t>Indeed many recent studies have</w:t>
      </w:r>
      <w:r w:rsidR="0047010F" w:rsidRPr="00C347AD">
        <w:t xml:space="preserve"> shown that teacher knowledge is associated with higher student outcomes </w:t>
      </w:r>
      <w:r w:rsidR="0047010F" w:rsidRPr="00C347AD">
        <w:fldChar w:fldCharType="begin"/>
      </w:r>
      <w:r w:rsidR="00F7126F" w:rsidRPr="00C347AD">
        <w:instrText xml:space="preserve"> ADDIN ZOTERO_ITEM CSL_CITATION {"citationID":"29884kur96","properties":{"formattedCitation":"(Metzler &amp; Woessmann, 2012; Olszewski, 2010; Sadler, 1989; Tchoshanov, 2011; Walshaw, 2012)","plainCitation":"(Metzler &amp; Woessmann, 2012; Olszewski, 2010; Sadler, 1989; Tchoshanov, 2011; Walshaw, 2012)"},"citationItems":[{"id":784,"uris":["http://zotero.org/users/2098925/items/P8NFW8WX"],"uri":["http://zotero.org/users/2098925/items/P8NFW8WX"],"itemData":{"id":784,"type":"article-journal","title":"The impact of teacher subject knowledge on student achievement: Evidence from within-teacher within-student variation","container-title":"Journal of Development Economics","page":"486-496","volume":"99","issue":"2","source":"ScienceDirect","abstract":"Teachers differ greatly in how much they teach their students, but little is known about which teacher attributes account for this. We estimate the causal effect of teacher subject knowledge on student achievement using within-teacher within-student variation, exploiting a unique Peruvian 6th-grade dataset that tested both students and their teachers in two subjects. Observing teachers teaching both subjects in one-classroom-per-grade schools, we circumvent omitted-variable and selection biases using a correlated random effects model that identifies from differences between the two subjects. After measurement-error correction, one standard deviation in subject-specific teacher achievement increases student achievement by about 9% of a standard deviation in math. Effects in reading are significantly smaller and mostly not significantly different from zero. Effects also depend on the teacher-student match in ability and gender.","DOI":"10.1016/j.jdeveco.2012.06.002","ISSN":"0304-3878","shortTitle":"The impact of teacher subject knowledge on student achievement","journalAbbreviation":"Journal of Development Economics","author":[{"family":"Metzler","given":"Johannes"},{"family":"Woessmann","given":"Ludger"}],"issued":{"date-parts":[["2012",11]]}}},{"id":311,"uris":["http://zotero.org/users/2098925/items/9ZEN6RMT"],"uri":["http://zotero.org/users/2098925/items/9ZEN6RMT"],"itemData":{"id":311,"type":"book","title":"The Impact of Physics Teachers' Pedagogical Content Knowledge on Teacher Actions and Student Outcomes","publisher":"Logos Verlag Berlin GmbH","number-of-pages":"118","source":"Google Books","abstract":"Research on teachers' professional knowledge hints at teachers' pedagogical content knowledge being an important criterion for instructional quality and student achievement. This research project investigates the relation between teachers' pedagogical content knowledge, teachers' actions, and students' content knowledge in physics comparing Finland, Germany, and Switzerland.","ISBN":"978-3-8325-2680-1","language":"en","author":[{"family":"Olszewski","given":"Jennifer"}],"issued":{"date-parts":[["2010"]]}}},{"id":797,"uris":["http://zotero.org/users/2098925/items/PJVUCXN4"],"uri":["http://zotero.org/users/2098925/items/PJVUCXN4"],"itemData":{"id":797,"type":"article-journal","title":"Formative assessment and the design of instructional systems","container-title":"Instructional Science","page":"119-144","volume":"18","issue":"2","source":"link.springer.com","abstract":"The theory of formative assessment outlined in this article is relevant to a broad spectrum of learning outcomes in a wide variety of subjects. Specifically, it applies wherever multiple criteria are used in making judgments about the quality of student responses. The theory has less relevance for outcomes in which student responses may be assessed simply as correct or incorrect. Feedback is defined in a particular way to highlight its function in formative assessment. This definition differs in several significant respects from that traditionally found in educational research. Three conditions for effective feedback are then identified and their implications discussed. A key premise is that for students to be able to improve, they must develop the capacity to monitor the quality of their own work during actual production. This in turn requires that students possess an appreciation of what high quality work is, that they have the evaluative skill necessary for them to compare with some objectivity the quality of what they are producing in relation to the higher standard, and that they develop a store of tactics or moves which can be drawn upon to modify their own work. It is argued that these skills can be developed by providing direct authentic evaluative experience for students. Instructional systems which do not make explicit provision for the acquisition of evaluative expertise are deficient, because they set up artificial but potentially removable performance ceilings for students.","DOI":"10.1007/BF00117714","ISSN":"0020-4277, 1573-1952","journalAbbreviation":"Instr Sci","language":"en","author":[{"family":"Sadler","given":"D. Royce"}],"issued":{"date-parts":[["1989",6]]}}},{"id":121,"uris":["http://zotero.org/users/2098925/items/5536UZKJ"],"uri":["http://zotero.org/users/2098925/items/5536UZKJ"],"itemData":{"id":121,"type":"article-journal","title":"Relationship between teacher knowledge of concepts and connections, teaching practice, and student achievement in middle grades mathematics","container-title":"Educational Studies in Mathematics","page":"141-164","volume":"76","issue":"2","source":"EBSCOhost","abstract":"The mixed method sequential nested study examines whether and how the cognitive type of teachers' content knowledge is associated with student achievement, and correlated with teaching practice. In the context of this study, the cognitive type refers to the kind of teacher content knowledge and thinking processes required to accomplish a task successfully, in terms of knowledge of facts and procedures (Type 1), knowledge of concepts and connections (Type 2), and/or knowledge of models and generalizations (Type 3). A sample of 102 middle school mathematics teachers (grades 6-8) was assigned to the study from a number of school districts in an urban area in the Southwestern US. Teachers were tested using the Teacher Content Knowledge Survey. Student level data of about 2,400 middle grades students' standardized test passing rates including percentage of students meeting the state standards by objectives were collected. The type of teachers' content knowledge was assessed and tested for association with student achievement on the state-mandated standardized test using multivariate methods including tests for variance and independence. The nested research consisted of three phases. Substudy-1 focused on quantitative analysis of the association between cognitive type of teacher content knowledge and student achievement. Substudy-2 aimed at the correlation between cognitive type of teacher content knowledge and teaching practice. Finally, substudy-3 was a case study on examining middle grades mathematics teachers' knowledge and understanding of fraction division.","DOI":"10.1007/s10649-010-9269-y","ISSN":"00131954","journalAbbreviation":"Educational Studies in Mathematics","author":[{"family":"Tchoshanov","given":"Mourat A.1","dropping-particle":"mouratt@utep.edu","suffix":""}],"issued":{"date-parts":[["2011",3]]}}},{"id":160,"uris":["http://zotero.org/users/2098925/items/68ENVBV5"],"uri":["http://zotero.org/users/2098925/items/68ENVBV5"],"itemData":{"id":160,"type":"article-journal","title":"Teacher knowledge as fundamental to effective teaching practice","container-title":"Journal of Mathematics Teacher Education","page":"181-185","volume":"15","issue":"3","source":"link.springer.com","DOI":"10.1007/s10857-012-9217-0","ISSN":"1386-4416, 1573-1820","journalAbbreviation":"J Math Teacher Educ","language":"en","author":[{"family":"Walshaw","given":"Margaret"}],"issued":{"date-parts":[["2012",5,6]]}}}],"schema":"https://github.com/citation-style-language/schema/raw/master/csl-citation.json"} </w:instrText>
      </w:r>
      <w:r w:rsidR="0047010F" w:rsidRPr="00C347AD">
        <w:fldChar w:fldCharType="separate"/>
      </w:r>
      <w:r w:rsidR="00540FB7" w:rsidRPr="00C347AD">
        <w:rPr>
          <w:noProof/>
        </w:rPr>
        <w:t>(</w:t>
      </w:r>
      <w:r w:rsidR="006E3241" w:rsidRPr="00C347AD">
        <w:rPr>
          <w:noProof/>
        </w:rPr>
        <w:t>e.g.,</w:t>
      </w:r>
      <w:r w:rsidR="00540FB7" w:rsidRPr="00C347AD">
        <w:rPr>
          <w:noProof/>
        </w:rPr>
        <w:t>Metzler &amp; Woessmann, 2012; Olszewski, 2010; Sadler, 1989; Tchoshanov, 2011; Walshaw, 2012)</w:t>
      </w:r>
      <w:r w:rsidR="0047010F" w:rsidRPr="00C347AD">
        <w:fldChar w:fldCharType="end"/>
      </w:r>
      <w:r w:rsidR="00540FB7" w:rsidRPr="00C347AD">
        <w:t xml:space="preserve">. Additionally, </w:t>
      </w:r>
      <w:r w:rsidR="00540FB7" w:rsidRPr="00C347AD">
        <w:fldChar w:fldCharType="begin"/>
      </w:r>
      <w:r w:rsidR="00F7126F" w:rsidRPr="00C347AD">
        <w:instrText xml:space="preserve"> ADDIN ZOTERO_ITEM CSL_CITATION {"citationID":"jl91ospsi","properties":{"formattedCitation":"{\\rtf (Johannes1 johannes.koenig@uni-koeln.de K\\uc0\\u246{}nig, 2013)}","plainCitation":"(Johannes1 johannes.koenig@uni-koeln.de König, 2013)"},"citationItems":[{"id":606,"uris":["http://zotero.org/users/2098925/items/I6SP2EVN"],"uri":["http://zotero.org/users/2098925/items/I6SP2EVN"],"itemData":{"id":606,"type":"article-journal","title":"First Comes the Theory, Then the Practice? On the Acquisition of General Pedagogical Knowledge During Initial Teacher Education","container-title":"International Journal of Science &amp; Mathematics Education","page":"999-1028","volume":"11","issue":"4","source":"EBSCOhost","abstract":"Teacher education systems worldwide are confronted with the essential question of how to foster both future teachers' theoretical and practical knowledge and to adequately enable future teachers to connect their theoretical and practical knowledge for teaching. This article investigates how future teachers acquire general pedagogical knowledge (GPK) as a central component of teacher knowledge during initial teacher education, exemplified by pre-service teachers in Germany, where initial teacher education is divided into a first phase with a heavy focus on theoretical, academic study, and a second phase where future teachers learn how to apply their theoretical knowledge in the classroom. Data from teacher knowledge studies Teacher Education and Development Study in Mathematics and Längsschnittliche Erhebung pädagogischer Kompetenzen von Lehramtsstudierenden/Longitudinal Survey of Student Teachers' Pedagogical Competencies are used to compare future teachers' GPK at different teacher education stages (the beginning, after 2 years, and end of training). Findings show the more advanced future teachers are in the course of their initial teacher education, the better they perform in the test measuring GPK. When analyzing subscales of the test measuring cognitive dimensions of GPK, as would be expected declarative-conceptual knowledge (measured by cognitive dimensions 'recall' and 'understand/analyze') was gained predominantly during the theoretical study (first phase), whereas future teachers who had additionally passed through the practical second phase performed much better on the practical knowledge test subscale (measured by the cognitive dimension 'generate'). Research findings are discussed with regard to the development of teacher expertise during initial teacher education, and recommendations for future policy directions with respect to teacher education are given.","DOI":"10.1007/s10763-013-9420-1","ISSN":"15710068","shortTitle":"First Comes the Theory, Then the Practice?","journalAbbreviation":"International Journal of Science &amp; Mathematics Education","author":[{"family":"König","given":"Johannes1","dropping-particle":"johannes.koenig@uni-koeln.de","suffix":""}],"issued":{"date-parts":[["2013",8]]}}}],"schema":"https://github.com/citation-style-language/schema/raw/master/csl-citation.json"} </w:instrText>
      </w:r>
      <w:r w:rsidR="00540FB7" w:rsidRPr="00C347AD">
        <w:fldChar w:fldCharType="separate"/>
      </w:r>
      <w:r w:rsidR="00A94CA7" w:rsidRPr="00C347AD">
        <w:t>König, (2013)</w:t>
      </w:r>
      <w:r w:rsidR="00540FB7" w:rsidRPr="00C347AD">
        <w:fldChar w:fldCharType="end"/>
      </w:r>
      <w:r w:rsidR="00540FB7" w:rsidRPr="00C347AD">
        <w:t xml:space="preserve"> </w:t>
      </w:r>
      <w:r w:rsidR="00A94CA7" w:rsidRPr="00C347AD">
        <w:t xml:space="preserve">has demonstrated that early teacher preparation in developing teacher knowledge, before practice, can help prepare teachers for creative application of such knowledge. </w:t>
      </w:r>
      <w:r w:rsidRPr="00C347AD">
        <w:t xml:space="preserve">However, teacher knowledge is not a unitary construct in the literature. In his seminal work on the topic Shulman (1986, 1987) parsed the construct of teacher knowledge into </w:t>
      </w:r>
      <w:r w:rsidRPr="00C347AD">
        <w:rPr>
          <w:i/>
        </w:rPr>
        <w:t>content</w:t>
      </w:r>
      <w:r w:rsidRPr="00C347AD">
        <w:t xml:space="preserve"> knowledge (CK), </w:t>
      </w:r>
      <w:r w:rsidRPr="00C347AD">
        <w:rPr>
          <w:i/>
        </w:rPr>
        <w:t>pedagogical</w:t>
      </w:r>
      <w:r w:rsidRPr="00C347AD">
        <w:t xml:space="preserve"> knowledge (</w:t>
      </w:r>
      <w:r w:rsidR="001D6D43" w:rsidRPr="00C347AD">
        <w:t>PK</w:t>
      </w:r>
      <w:r w:rsidRPr="00C347AD">
        <w:t xml:space="preserve">), and the hybrid </w:t>
      </w:r>
      <w:r w:rsidRPr="00C347AD">
        <w:rPr>
          <w:i/>
        </w:rPr>
        <w:t>pedagogical content</w:t>
      </w:r>
      <w:r w:rsidRPr="00C347AD">
        <w:t xml:space="preserve"> knowledge (</w:t>
      </w:r>
      <w:r w:rsidR="00255A1E" w:rsidRPr="00C347AD">
        <w:t>PCK; see Figure 3</w:t>
      </w:r>
      <w:r w:rsidRPr="00C347AD">
        <w:t xml:space="preserve">).   </w:t>
      </w:r>
      <w:r w:rsidR="001D6D43" w:rsidRPr="00C347AD">
        <w:t>It is worth noting that more recent literature (</w:t>
      </w:r>
      <w:r w:rsidR="00B323A5" w:rsidRPr="00C347AD">
        <w:t>e.g.,</w:t>
      </w:r>
      <w:r w:rsidR="001D6D43" w:rsidRPr="00C347AD">
        <w:t xml:space="preserve"> </w:t>
      </w:r>
      <w:r w:rsidR="001D6D43" w:rsidRPr="00C347AD">
        <w:fldChar w:fldCharType="begin"/>
      </w:r>
      <w:r w:rsidR="00F7126F" w:rsidRPr="00C347AD">
        <w:instrText xml:space="preserve"> ADDIN ZOTERO_ITEM CSL_CITATION {"citationID":"19atat2s2o","properties":{"formattedCitation":"{\\rtf (K\\uc0\\u246{}nig, Bl\\uc0\\u246{}meke, Paine, Schmidt, &amp; Hsieh, 2011)}","plainCitation":"(König, Blömeke, Paine, Schmidt, &amp; Hsieh, 2011)","dontUpdate":true},"citationItems":[{"id":60,"uris":["http://zotero.org/users/2098925/items/3HJA39FH"],"uri":["http://zotero.org/users/2098925/items/3HJA39FH"],"itemData":{"id":60,"type":"article-journal","title":"General Pedagogical Knowledge of Future Middle School Teachers: On the Complex Ecology of Teacher Education in the United States, Germany, and Taiwan","container-title":"Journal of Teacher Education","page":"188-201","volume":"62","issue":"2","source":"jte.sagepub.com.proxy.lib.utk.edu:90","abstract":"For more than two decades, three components of teacher knowledge have been discussed, namely, content knowledge (CK), pedagogical content knowledge (PCK), and general pedagogical knowledge (GPK). Although there is a growing body of analytic clarification and empirical testing with regard to CK and PCK, especially with a focus on mathematics teachers, hardly any attempt has been made to learn more about teachers’ GPK. In the context of the Teacher Education and Development Study in Mathematics (TEDS-M), Germany, Taiwan, and the United States worked on closing this research gap by conceptualizing a theoretical framework and developing a standardized test of GPK, which was taken by representative samples of future middle school teachers in these countries. Four task-based subdimensions of GPK and three cognitive subdimensions of GPK were distinguished in this test. TEDS-M data are used (a) to test the hypothesis that GPK is not homogenous but multidimensional and (b) to compare the achievement of U.S. future middle school teachers with future middle school teachers from Germany and Taiwan. The data revealed that U.S. future teachers were outperformed by both the other groups. They showed a relative strength in one of the cognitive subdimensions, generating strategies to perform in the classroom, indicating that in particular they had acquired procedural GPK during teacher education.","DOI":"10.1177/0022487110388664","ISSN":"0022-4871, 1552-7816","shortTitle":"General Pedagogical Knowledge of Future Middle School Teachers","journalAbbreviation":"Journal of Teacher Education","language":"en","author":[{"family":"König","given":"Johannes"},{"family":"Blömeke","given":"Sigrid"},{"family":"Paine","given":"Lynn"},{"family":"Schmidt","given":"William H."},{"family":"Hsieh","given":"Feng-Jui"}],"issued":{"date-parts":[["2011",3,1]]}}}],"schema":"https://github.com/citation-style-language/schema/raw/master/csl-citation.json"} </w:instrText>
      </w:r>
      <w:r w:rsidR="001D6D43" w:rsidRPr="00C347AD">
        <w:fldChar w:fldCharType="separate"/>
      </w:r>
      <w:r w:rsidR="001D6D43" w:rsidRPr="00C347AD">
        <w:t>König, Blömeke, Paine, Schmidt, &amp; Hsieh, 2011)</w:t>
      </w:r>
      <w:r w:rsidR="001D6D43" w:rsidRPr="00C347AD">
        <w:fldChar w:fldCharType="end"/>
      </w:r>
      <w:r w:rsidR="001D6D43" w:rsidRPr="00C347AD">
        <w:t xml:space="preserve"> refer</w:t>
      </w:r>
      <w:r w:rsidR="004232D8" w:rsidRPr="00C347AD">
        <w:t>s</w:t>
      </w:r>
      <w:r w:rsidR="001D6D43" w:rsidRPr="00C347AD">
        <w:t xml:space="preserve"> to pedagogical knowledge </w:t>
      </w:r>
      <w:r w:rsidR="00735A27" w:rsidRPr="00C347AD">
        <w:t xml:space="preserve">(PK) </w:t>
      </w:r>
      <w:r w:rsidR="001D6D43" w:rsidRPr="00C347AD">
        <w:t xml:space="preserve">as general pedagogical knowledge (GPK), which I believe helps improve distinction from pedagogical content knowledge, and thus I will use GPK moving forward. </w:t>
      </w:r>
      <w:r w:rsidRPr="00C347AD">
        <w:t>Other teacher knowledge domains have also been proposed, such as Beattie’s (1995) “personal practical knowledge”, which was</w:t>
      </w:r>
      <w:r w:rsidR="00EB0F95" w:rsidRPr="00C347AD">
        <w:t xml:space="preserve"> </w:t>
      </w:r>
      <w:r w:rsidRPr="00C347AD">
        <w:t xml:space="preserve">related to teachers' knowledge of </w:t>
      </w:r>
      <w:r w:rsidR="001D6D43" w:rsidRPr="00C347AD">
        <w:t xml:space="preserve">their students' particular learning styles, interests, </w:t>
      </w:r>
      <w:r w:rsidR="004232D8" w:rsidRPr="00C347AD">
        <w:t xml:space="preserve">needs, strengths and difficulties as well as the experiential </w:t>
      </w:r>
      <w:r w:rsidR="004232D8" w:rsidRPr="00C347AD">
        <w:lastRenderedPageBreak/>
        <w:t>knowledge related to how to meet the needs that are evoked by these student qualities.</w:t>
      </w:r>
      <w:r w:rsidR="00255A1E" w:rsidRPr="00C347AD">
        <w:t xml:space="preserve"> </w:t>
      </w:r>
      <w:r w:rsidR="004232D8" w:rsidRPr="00C347AD">
        <w:t>The failure of “personal practical knowledge” to catch hold in the literature may be because these concepts may be subsumed by GPK.</w:t>
      </w:r>
    </w:p>
    <w:p w14:paraId="29407266" w14:textId="7FC0869E" w:rsidR="00654236" w:rsidRPr="00C347AD" w:rsidRDefault="00654236" w:rsidP="00654236">
      <w:pPr>
        <w:ind w:firstLine="0"/>
        <w:jc w:val="center"/>
      </w:pPr>
      <w:r w:rsidRPr="00C347AD">
        <w:rPr>
          <w:noProof/>
        </w:rPr>
        <w:drawing>
          <wp:inline distT="0" distB="0" distL="0" distR="0" wp14:anchorId="12615E7D" wp14:editId="12847D1D">
            <wp:extent cx="5161915" cy="2849880"/>
            <wp:effectExtent l="0" t="0" r="0" b="0"/>
            <wp:docPr id="20" name="Picture 20" descr="MacOSX:Users:emoore50:Desktop:Screen Shot 2016-02-09 at 3.45.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emoore50:Desktop:Screen Shot 2016-02-09 at 3.45.58 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1915" cy="2849880"/>
                    </a:xfrm>
                    <a:prstGeom prst="rect">
                      <a:avLst/>
                    </a:prstGeom>
                    <a:noFill/>
                    <a:ln>
                      <a:noFill/>
                    </a:ln>
                  </pic:spPr>
                </pic:pic>
              </a:graphicData>
            </a:graphic>
          </wp:inline>
        </w:drawing>
      </w:r>
    </w:p>
    <w:p w14:paraId="5BB5F471" w14:textId="190C3531" w:rsidR="00F850F3" w:rsidRPr="00C347AD" w:rsidRDefault="00255A1E" w:rsidP="00654236">
      <w:pPr>
        <w:spacing w:line="240" w:lineRule="auto"/>
        <w:ind w:firstLine="0"/>
      </w:pPr>
      <w:r w:rsidRPr="00C347AD">
        <w:rPr>
          <w:i/>
        </w:rPr>
        <w:t>Figure 3</w:t>
      </w:r>
      <w:r w:rsidR="00F850F3" w:rsidRPr="00C347AD">
        <w:rPr>
          <w:i/>
        </w:rPr>
        <w:t>.</w:t>
      </w:r>
      <w:r w:rsidR="001714DB" w:rsidRPr="00C347AD">
        <w:rPr>
          <w:i/>
        </w:rPr>
        <w:t xml:space="preserve"> </w:t>
      </w:r>
      <w:r w:rsidR="00783B6D" w:rsidRPr="00C347AD">
        <w:t>A V</w:t>
      </w:r>
      <w:r w:rsidR="001714DB" w:rsidRPr="00C347AD">
        <w:t>enn diagram demonstrating a conceptualization of Shulman’s (1986) constructs of teacher knowledge.</w:t>
      </w:r>
      <w:r w:rsidR="00F850F3" w:rsidRPr="00C347AD">
        <w:t xml:space="preserve"> </w:t>
      </w:r>
    </w:p>
    <w:p w14:paraId="00A650F9" w14:textId="77777777" w:rsidR="006569C7" w:rsidRPr="00C347AD" w:rsidRDefault="006569C7" w:rsidP="00654236">
      <w:pPr>
        <w:ind w:firstLine="0"/>
      </w:pPr>
    </w:p>
    <w:p w14:paraId="5BD111A5" w14:textId="77777777" w:rsidR="00735A27" w:rsidRPr="00C347AD" w:rsidRDefault="00735A27" w:rsidP="00654236">
      <w:pPr>
        <w:ind w:firstLine="0"/>
      </w:pPr>
    </w:p>
    <w:p w14:paraId="403040F2" w14:textId="6FE5AF4E" w:rsidR="00B47BBB" w:rsidRPr="00C347AD" w:rsidRDefault="0065481A" w:rsidP="001D6D43">
      <w:pPr>
        <w:rPr>
          <w:b/>
        </w:rPr>
      </w:pPr>
      <w:r w:rsidRPr="00C347AD">
        <w:t>The constructs of GPK and PCK have been developed and rearticulated in many ways since Shulmans’ writing, including recently (</w:t>
      </w:r>
      <w:r w:rsidR="00B323A5" w:rsidRPr="00C347AD">
        <w:t>e.g.,</w:t>
      </w:r>
      <w:r w:rsidRPr="00C347AD">
        <w:t xml:space="preserve"> Grossman &amp; Richert, 1988; König, et al. 2011; </w:t>
      </w:r>
      <w:r w:rsidRPr="00C347AD">
        <w:rPr>
          <w:noProof/>
        </w:rPr>
        <w:t xml:space="preserve">Voss, Kunter, &amp; Baumert, 2011) and expanded into new </w:t>
      </w:r>
      <w:r w:rsidR="00F850F3" w:rsidRPr="00C347AD">
        <w:rPr>
          <w:noProof/>
        </w:rPr>
        <w:t xml:space="preserve">forms, such as that of TPACK: teacher technology knowledge: </w:t>
      </w:r>
      <w:r w:rsidR="00F850F3" w:rsidRPr="00C347AD">
        <w:t>technology pedagogy, and content knowledge (</w:t>
      </w:r>
      <w:r w:rsidR="00F850F3" w:rsidRPr="00C347AD">
        <w:fldChar w:fldCharType="begin"/>
      </w:r>
      <w:r w:rsidR="00F7126F" w:rsidRPr="00C347AD">
        <w:instrText xml:space="preserve"> ADDIN ZOTERO_ITEM CSL_CITATION {"citationID":"2aeq9g7r19","properties":{"formattedCitation":"(Koehler &amp; Mishra, 2009)","plainCitation":"(Koehler &amp; Mishra, 2009)"},"citationItems":[{"id":727,"uris":["http://zotero.org/users/2098925/items/MPFVUA9W"],"uri":["http://zotero.org/users/2098925/items/MPFVUA9W"],"itemData":{"id":727,"type":"article-journal","title":"What is technological pedagogical content knowledge (TPACK)?","container-title":"Contemporary issues in technology and teacher education","page":"60-70","volume":"9","issue":"1","ISSN":"1528-5804","journalAbbreviation":"Contemporary issues in technology and teacher education","author":[{"family":"Koehler","given":"Matthew"},{"family":"Mishra","given":"Punya"}],"issued":{"date-parts":[["2009"]]}}}],"schema":"https://github.com/citation-style-language/schema/raw/master/csl-citation.json"} </w:instrText>
      </w:r>
      <w:r w:rsidR="00F850F3" w:rsidRPr="00C347AD">
        <w:fldChar w:fldCharType="separate"/>
      </w:r>
      <w:r w:rsidR="00F850F3" w:rsidRPr="00C347AD">
        <w:rPr>
          <w:noProof/>
        </w:rPr>
        <w:t>Koehler &amp; Mishra, 2009)</w:t>
      </w:r>
      <w:r w:rsidR="00F850F3" w:rsidRPr="00C347AD">
        <w:fldChar w:fldCharType="end"/>
      </w:r>
      <w:r w:rsidR="00F850F3" w:rsidRPr="00C347AD">
        <w:t>.</w:t>
      </w:r>
      <w:r w:rsidR="003C77A3" w:rsidRPr="00C347AD">
        <w:t xml:space="preserve"> </w:t>
      </w:r>
      <w:r w:rsidR="00F850F3" w:rsidRPr="00C347AD">
        <w:t xml:space="preserve">TPACK would add another overlapping circle to the diagram in Figure </w:t>
      </w:r>
      <w:r w:rsidR="00255A1E" w:rsidRPr="00C347AD">
        <w:t>3</w:t>
      </w:r>
      <w:r w:rsidR="00F850F3" w:rsidRPr="00C347AD">
        <w:t xml:space="preserve"> (technology knowledge), TPACK being </w:t>
      </w:r>
      <w:r w:rsidR="00B47BBB" w:rsidRPr="00C347AD">
        <w:t xml:space="preserve">the area in which all three teacher knowledge domains (technological, pedagogical and content) overlap. </w:t>
      </w:r>
      <w:r w:rsidR="00B47BBB" w:rsidRPr="00C347AD">
        <w:lastRenderedPageBreak/>
        <w:t xml:space="preserve">TPACK is concerned with identifying whether teachers know how to effectively utilize technology to teach quality content in a way that is relevant to their discipline and context. Though TPACK frequently </w:t>
      </w:r>
      <w:r w:rsidR="003C77A3" w:rsidRPr="00C347AD">
        <w:t xml:space="preserve">has been </w:t>
      </w:r>
      <w:r w:rsidR="00B47BBB" w:rsidRPr="00C347AD">
        <w:t>connected to UDL (</w:t>
      </w:r>
      <w:r w:rsidR="00B323A5" w:rsidRPr="00C347AD">
        <w:t>e.g.,</w:t>
      </w:r>
      <w:r w:rsidR="00B47BBB" w:rsidRPr="00C347AD">
        <w:t xml:space="preserve"> Benton-Borghi, 2013), a detailed description of TPACK and its influence is beyond the scope of </w:t>
      </w:r>
      <w:r w:rsidR="009075DF" w:rsidRPr="00C347AD">
        <w:t>this</w:t>
      </w:r>
      <w:r w:rsidR="00B47BBB" w:rsidRPr="00C347AD">
        <w:t xml:space="preserve"> study.  </w:t>
      </w:r>
    </w:p>
    <w:p w14:paraId="16386134" w14:textId="77777777" w:rsidR="00B47BBB" w:rsidRPr="00C347AD" w:rsidRDefault="00B47BBB" w:rsidP="00B47BBB">
      <w:r w:rsidRPr="00C347AD">
        <w:t xml:space="preserve">Most relevant to this study is general pedagogical knowledge (GPK). GPK has been defined by Shulman (1987) as “broad principles and strategies of classroom management and organization that appear to transcend subject matter” (p. 8); Grossman and Richert (1988) alternatively suggest that GPK “includes knowledge of theories of learning and general principles of instruction, an understanding of the various philosophies of education, general knowledge about learners, and knowledge of the principles and techniques of classroom management” (p. 54). Such an enormous construct is difficult to measure meaningfully and lends itself to parsing and analysis.  </w:t>
      </w:r>
    </w:p>
    <w:p w14:paraId="0BF5C0D7" w14:textId="3648A180" w:rsidR="00B47BBB" w:rsidRPr="00C347AD" w:rsidRDefault="00B47BBB" w:rsidP="00B47BBB">
      <w:r w:rsidRPr="00C347AD">
        <w:t>Despite its importance, general pedagogical knowledge has received the least recent, explicit research compared to other teacher knowledge constructs (</w:t>
      </w:r>
      <w:r w:rsidRPr="00C347AD">
        <w:fldChar w:fldCharType="begin"/>
      </w:r>
      <w:r w:rsidR="00F7126F" w:rsidRPr="00C347AD">
        <w:instrText xml:space="preserve"> ADDIN ZOTERO_ITEM CSL_CITATION {"citationID":"6XdkwNlm","properties":{"formattedCitation":"{\\rtf (K\\uc0\\u246{}nig et al., 2011)}","plainCitation":"(König et al., 2011)","dontUpdate":true},"citationItems":[{"id":60,"uris":["http://zotero.org/users/2098925/items/3HJA39FH"],"uri":["http://zotero.org/users/2098925/items/3HJA39FH"],"itemData":{"id":60,"type":"article-journal","title":"General Pedagogical Knowledge of Future Middle School Teachers: On the Complex Ecology of Teacher Education in the United States, Germany, and Taiwan","container-title":"Journal of Teacher Education","page":"188-201","volume":"62","issue":"2","source":"jte.sagepub.com.proxy.lib.utk.edu:90","abstract":"For more than two decades, three components of teacher knowledge have been discussed, namely, content knowledge (CK), pedagogical content knowledge (PCK), and general pedagogical knowledge (GPK). Although there is a growing body of analytic clarification and empirical testing with regard to CK and PCK, especially with a focus on mathematics teachers, hardly any attempt has been made to learn more about teachers’ GPK. In the context of the Teacher Education and Development Study in Mathematics (TEDS-M), Germany, Taiwan, and the United States worked on closing this research gap by conceptualizing a theoretical framework and developing a standardized test of GPK, which was taken by representative samples of future middle school teachers in these countries. Four task-based subdimensions of GPK and three cognitive subdimensions of GPK were distinguished in this test. TEDS-M data are used (a) to test the hypothesis that GPK is not homogenous but multidimensional and (b) to compare the achievement of U.S. future middle school teachers with future middle school teachers from Germany and Taiwan. The data revealed that U.S. future teachers were outperformed by both the other groups. They showed a relative strength in one of the cognitive subdimensions, generating strategies to perform in the classroom, indicating that in particular they had acquired procedural GPK during teacher education.","DOI":"10.1177/0022487110388664","ISSN":"0022-4871, 1552-7816","shortTitle":"General Pedagogical Knowledge of Future Middle School Teachers","journalAbbreviation":"Journal of Teacher Education","language":"en","author":[{"family":"König","given":"Johannes"},{"family":"Blömeke","given":"Sigrid"},{"family":"Paine","given":"Lynn"},{"family":"Schmidt","given":"William H."},{"family":"Hsieh","given":"Feng-Jui"}],"issued":{"date-parts":[["2011",3,1]]}}}],"schema":"https://github.com/citation-style-language/schema/raw/master/csl-citation.json"} </w:instrText>
      </w:r>
      <w:r w:rsidRPr="00C347AD">
        <w:fldChar w:fldCharType="separate"/>
      </w:r>
      <w:r w:rsidRPr="00C347AD">
        <w:t>König et al., 2011; Wilson &amp; Berne, 1999)</w:t>
      </w:r>
      <w:r w:rsidRPr="00C347AD">
        <w:fldChar w:fldCharType="end"/>
      </w:r>
      <w:r w:rsidRPr="00C347AD">
        <w:t>, possibly because of its unwieldy broadness, or because a focus on general pedagogical k</w:t>
      </w:r>
      <w:r w:rsidR="009075DF" w:rsidRPr="00C347AD">
        <w:t>nowledge, once popular (</w:t>
      </w:r>
      <w:r w:rsidRPr="00C347AD">
        <w:t>Shulman, 1986)</w:t>
      </w:r>
      <w:r w:rsidR="009075DF" w:rsidRPr="00C347AD">
        <w:t>,</w:t>
      </w:r>
      <w:r w:rsidRPr="00C347AD">
        <w:t xml:space="preserve"> has become less relevant in the face of more modern manifestations (e.g</w:t>
      </w:r>
      <w:r w:rsidR="00E116A1" w:rsidRPr="00C347AD">
        <w:t>.,</w:t>
      </w:r>
      <w:r w:rsidRPr="00C347AD">
        <w:t xml:space="preserve"> TPACK), and possibly because that which works best in one subject area/grade level may not transfer well to others, hence the value of pedagogical content knowledge (PCK), which deals with pedagogical methodology specific to levels and disciplines (Shulman, 1987).  </w:t>
      </w:r>
    </w:p>
    <w:p w14:paraId="6DF3AD61" w14:textId="0AA2BB4C" w:rsidR="00B47BBB" w:rsidRPr="00C347AD" w:rsidRDefault="00B47BBB" w:rsidP="00B47BBB">
      <w:r w:rsidRPr="00C347AD">
        <w:lastRenderedPageBreak/>
        <w:t>However</w:t>
      </w:r>
      <w:r w:rsidR="009075DF" w:rsidRPr="00C347AD">
        <w:t>,</w:t>
      </w:r>
      <w:r w:rsidRPr="00C347AD">
        <w:t xml:space="preserve"> the current trend away from static methods toward dynamic frameworks may allow for the growth of GPK as teachers are taught general frameworks in which they may plug in the various methodologies they learn via PCK coursework, professional development, and experience. This suggestion is reflected in the </w:t>
      </w:r>
      <w:r w:rsidR="009075DF" w:rsidRPr="00C347AD">
        <w:t xml:space="preserve">relatively </w:t>
      </w:r>
      <w:r w:rsidRPr="00C347AD">
        <w:t>recent re-emergence of GPK in the literature (</w:t>
      </w:r>
      <w:r w:rsidR="00B323A5" w:rsidRPr="00C347AD">
        <w:t>e.g.,</w:t>
      </w:r>
      <w:r w:rsidRPr="00C347AD">
        <w:t xml:space="preserve"> Baer et al., 2007; König et al., 2011; Oser &amp; Oelkers, 2001; Schulte, 2007). Tempering the resurgence of GPK, however, these studies have been limited in that they either examined </w:t>
      </w:r>
      <w:r w:rsidR="00702A3D" w:rsidRPr="00C347AD">
        <w:t xml:space="preserve">only </w:t>
      </w:r>
      <w:r w:rsidRPr="00C347AD">
        <w:t>a small</w:t>
      </w:r>
      <w:r w:rsidR="0093590A" w:rsidRPr="00C347AD">
        <w:t xml:space="preserve"> number of future teachers in </w:t>
      </w:r>
      <w:r w:rsidRPr="00C347AD">
        <w:t>non-generalizable setting</w:t>
      </w:r>
      <w:r w:rsidR="0090650D" w:rsidRPr="00C347AD">
        <w:t>s</w:t>
      </w:r>
      <w:r w:rsidRPr="00C347AD">
        <w:t xml:space="preserve"> (Baer et al., 2007; Schulte, 2007), or relied on qualitative measures that did not provide objectivity or </w:t>
      </w:r>
      <w:r w:rsidR="0090650D" w:rsidRPr="00C347AD">
        <w:t>empirical evidence of GPK (</w:t>
      </w:r>
      <w:r w:rsidR="0093590A" w:rsidRPr="00C347AD">
        <w:t>Oser &amp; Oelkers, 2001). König and others</w:t>
      </w:r>
      <w:r w:rsidRPr="00C347AD">
        <w:t xml:space="preserve"> (2011) were the first to attempt a broad scale objective examination of GPK according to the parsed framework that they established. </w:t>
      </w:r>
    </w:p>
    <w:p w14:paraId="384F41B3" w14:textId="08959119" w:rsidR="00B47BBB" w:rsidRPr="00C347AD" w:rsidRDefault="00B47BBB" w:rsidP="00B47BBB">
      <w:r w:rsidRPr="00C347AD">
        <w:t xml:space="preserve">In an apparent attempt to further deconstruct the broad notion of GPK, König </w:t>
      </w:r>
      <w:r w:rsidR="0093590A" w:rsidRPr="00C347AD">
        <w:t>and others</w:t>
      </w:r>
      <w:r w:rsidRPr="00C347AD">
        <w:t xml:space="preserve"> (2011), sought to convert it from a one-dimensional construct into a multi-dimensional construct. In their model, they identify four inter-related categories of GPK, which they </w:t>
      </w:r>
      <w:r w:rsidR="00E116A1" w:rsidRPr="00C347AD">
        <w:t>defined</w:t>
      </w:r>
      <w:r w:rsidRPr="00C347AD">
        <w:t xml:space="preserve"> as follow:</w:t>
      </w:r>
    </w:p>
    <w:p w14:paraId="53983363" w14:textId="77777777" w:rsidR="00B47BBB" w:rsidRPr="00C347AD" w:rsidRDefault="00B47BBB" w:rsidP="00B47BBB">
      <w:pPr>
        <w:pStyle w:val="ListParagraph"/>
        <w:numPr>
          <w:ilvl w:val="0"/>
          <w:numId w:val="10"/>
        </w:numPr>
        <w:spacing w:before="100" w:beforeAutospacing="1" w:after="100" w:afterAutospacing="1"/>
      </w:pPr>
      <w:r w:rsidRPr="00C347AD">
        <w:t>Structure: the ability to “prepare, structure, and evaluate lessons” (p. 62)</w:t>
      </w:r>
    </w:p>
    <w:p w14:paraId="10F8421F" w14:textId="77777777" w:rsidR="00B47BBB" w:rsidRPr="00C347AD" w:rsidRDefault="00B47BBB" w:rsidP="00B47BBB">
      <w:pPr>
        <w:pStyle w:val="ListParagraph"/>
        <w:numPr>
          <w:ilvl w:val="0"/>
          <w:numId w:val="10"/>
        </w:numPr>
        <w:spacing w:before="100" w:beforeAutospacing="1" w:after="100" w:afterAutospacing="1"/>
      </w:pPr>
      <w:r w:rsidRPr="00C347AD">
        <w:t>Motivation/Classroom Management: the ability to “to motivate and support students as well as manage the classroom” (p. 62)</w:t>
      </w:r>
    </w:p>
    <w:p w14:paraId="1F0D5AFB" w14:textId="77777777" w:rsidR="00B47BBB" w:rsidRPr="00C347AD" w:rsidRDefault="00B47BBB" w:rsidP="00B47BBB">
      <w:pPr>
        <w:pStyle w:val="ListParagraph"/>
        <w:numPr>
          <w:ilvl w:val="0"/>
          <w:numId w:val="10"/>
        </w:numPr>
        <w:spacing w:before="100" w:beforeAutospacing="1" w:after="100" w:afterAutospacing="1"/>
      </w:pPr>
      <w:r w:rsidRPr="00C347AD">
        <w:t>Adaptivity: the ability to “deal with heterogeneous learning groups in the classroom” (p. 62)</w:t>
      </w:r>
    </w:p>
    <w:p w14:paraId="5E68201B" w14:textId="77777777" w:rsidR="00B47BBB" w:rsidRPr="00C347AD" w:rsidRDefault="00B47BBB" w:rsidP="00B47BBB">
      <w:pPr>
        <w:pStyle w:val="ListParagraph"/>
        <w:numPr>
          <w:ilvl w:val="0"/>
          <w:numId w:val="10"/>
        </w:numPr>
        <w:spacing w:before="100" w:beforeAutospacing="1" w:after="100" w:afterAutospacing="1"/>
      </w:pPr>
      <w:r w:rsidRPr="00C347AD">
        <w:t xml:space="preserve">Assessment: the ability to assess students </w:t>
      </w:r>
    </w:p>
    <w:p w14:paraId="71854588" w14:textId="1EFB6579" w:rsidR="006922A6" w:rsidRPr="00C347AD" w:rsidRDefault="00B47BBB" w:rsidP="00C62C49">
      <w:pPr>
        <w:ind w:firstLine="0"/>
      </w:pPr>
      <w:r w:rsidRPr="00C347AD">
        <w:lastRenderedPageBreak/>
        <w:t xml:space="preserve">The authors further overlaid types of mastery, aligning closely with Krathwohl’s </w:t>
      </w:r>
      <w:r w:rsidRPr="00C347AD">
        <w:fldChar w:fldCharType="begin"/>
      </w:r>
      <w:r w:rsidR="00F7126F" w:rsidRPr="00C347AD">
        <w:instrText xml:space="preserve"> ADDIN ZOTERO_ITEM CSL_CITATION {"citationID":"f8iv7kdhk","properties":{"formattedCitation":"(Krathwohl, 2002)","plainCitation":"(Krathwohl, 2002)"},"citationItems":[{"id":798,"uris":["http://zotero.org/users/2098925/items/PM3KQ5QQ"],"uri":["http://zotero.org/users/2098925/items/PM3KQ5QQ"],"itemData":{"id":798,"type":"article-journal","title":"A Revision of Bloom's Taxonomy: An Overview","container-title":"Theory Into Practice","page":"212-218","volume":"41","issue":"4","source":"CrossRef","DOI":"10.1207/s15430421tip4104_2","ISSN":"0040-5841, 1543-0421","shortTitle":"A Revision of Bloom's Taxonomy","language":"en","author":[{"family":"Krathwohl","given":"David R."}],"issued":{"date-parts":[["2002",11]]}}}],"schema":"https://github.com/citation-style-language/schema/raw/master/csl-citation.json"} </w:instrText>
      </w:r>
      <w:r w:rsidRPr="00C347AD">
        <w:fldChar w:fldCharType="separate"/>
      </w:r>
      <w:r w:rsidRPr="00C347AD">
        <w:rPr>
          <w:noProof/>
        </w:rPr>
        <w:t>(2002)</w:t>
      </w:r>
      <w:r w:rsidRPr="00C347AD">
        <w:fldChar w:fldCharType="end"/>
      </w:r>
      <w:r w:rsidR="00244D05" w:rsidRPr="00C347AD">
        <w:t xml:space="preserve"> </w:t>
      </w:r>
      <w:r w:rsidRPr="00C347AD">
        <w:t xml:space="preserve">revision of Bloom’s </w:t>
      </w:r>
      <w:r w:rsidRPr="00C347AD">
        <w:fldChar w:fldCharType="begin"/>
      </w:r>
      <w:r w:rsidR="00F7126F" w:rsidRPr="00C347AD">
        <w:instrText xml:space="preserve"> ADDIN ZOTERO_ITEM CSL_CITATION {"citationID":"1kn6mqk2a4","properties":{"formattedCitation":"(Bloom &amp; Committee of College and University Examiners, 1956)","plainCitation":"(Bloom &amp; Committee of College and University Examiners, 1956)"},"citationItems":[{"id":1061,"uris":["http://zotero.org/users/2098925/items/XBS6893Z"],"uri":["http://zotero.org/users/2098925/items/XBS6893Z"],"itemData":{"id":1061,"type":"book","title":"Taxonomy of educational objectives","publisher":"David McKay New York","volume":"1","author":[{"family":"Bloom","given":"Benjamin Samuel"},{"literal":"Committee of College and University Examiners"}],"issued":{"date-parts":[["1956"]]}}}],"schema":"https://github.com/citation-style-language/schema/raw/master/csl-citation.json"} </w:instrText>
      </w:r>
      <w:r w:rsidRPr="00C347AD">
        <w:fldChar w:fldCharType="separate"/>
      </w:r>
      <w:r w:rsidRPr="00C347AD">
        <w:rPr>
          <w:noProof/>
        </w:rPr>
        <w:t>(1956)</w:t>
      </w:r>
      <w:r w:rsidRPr="00C347AD">
        <w:fldChar w:fldCharType="end"/>
      </w:r>
      <w:r w:rsidRPr="00C347AD">
        <w:t xml:space="preserve"> taxonomy, focusing on recall, understanding / analysis, and generation / creation. These cognitive processes thereby span from propositional knowledge (know that) to procedural knowledge (know how) of a situated nature </w:t>
      </w:r>
      <w:r w:rsidRPr="00C347AD">
        <w:fldChar w:fldCharType="begin"/>
      </w:r>
      <w:r w:rsidR="00F7126F" w:rsidRPr="00C347AD">
        <w:instrText xml:space="preserve"> ADDIN ZOTERO_ITEM CSL_CITATION {"citationID":"l1faqjdep","properties":{"formattedCitation":"(R. T. Putnam &amp; Borko, 2000)","plainCitation":"(R. T. Putnam &amp; Borko, 2000)"},"citationItems":[{"id":856,"uris":["http://zotero.org/users/2098925/items/REXENNVJ"],"uri":["http://zotero.org/users/2098925/items/REXENNVJ"],"itemData":{"id":856,"type":"article-journal","title":"What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T."},{"family":"Borko","given":"Hilda"}],"issued":{"date-parts":[["2000",1,1]]}}}],"schema":"https://github.com/citation-style-language/schema/raw/master/csl-citation.json"} </w:instrText>
      </w:r>
      <w:r w:rsidRPr="00C347AD">
        <w:fldChar w:fldCharType="separate"/>
      </w:r>
      <w:r w:rsidR="0090650D" w:rsidRPr="00C347AD">
        <w:rPr>
          <w:noProof/>
        </w:rPr>
        <w:t>(</w:t>
      </w:r>
      <w:r w:rsidRPr="00C347AD">
        <w:rPr>
          <w:noProof/>
        </w:rPr>
        <w:t>Putnam &amp; Borko, 2000)</w:t>
      </w:r>
      <w:r w:rsidRPr="00C347AD">
        <w:fldChar w:fldCharType="end"/>
      </w:r>
      <w:r w:rsidRPr="00C347AD">
        <w:t>. Through combined effect of parsing GPK into sub-domains and also identifying qualitatively different types of cognitive demonstration, König et al. effectively enrich the sensitivity of GPK and allow for more targeted intervention and research by converting from one broad model to 12 possible mani</w:t>
      </w:r>
      <w:r w:rsidR="0090650D" w:rsidRPr="00C347AD">
        <w:t xml:space="preserve">festations thereof (see </w:t>
      </w:r>
      <w:r w:rsidR="000F4D0C" w:rsidRPr="00C347AD">
        <w:t>Table 1</w:t>
      </w:r>
      <w:r w:rsidRPr="00C347AD">
        <w:t xml:space="preserve">). </w:t>
      </w:r>
    </w:p>
    <w:p w14:paraId="4052D62D" w14:textId="77777777" w:rsidR="00FE779B" w:rsidRPr="00C347AD" w:rsidRDefault="00FE779B" w:rsidP="00C62C49">
      <w:pPr>
        <w:ind w:firstLine="0"/>
      </w:pPr>
    </w:p>
    <w:p w14:paraId="17F9475F" w14:textId="77777777" w:rsidR="00654236" w:rsidRPr="00C347AD" w:rsidRDefault="00654236" w:rsidP="00C62C49">
      <w:pPr>
        <w:ind w:firstLine="0"/>
      </w:pPr>
    </w:p>
    <w:tbl>
      <w:tblPr>
        <w:tblStyle w:val="TableGrid"/>
        <w:tblpPr w:leftFromText="180" w:rightFromText="180" w:vertAnchor="text" w:horzAnchor="page" w:tblpX="1909"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2"/>
        <w:gridCol w:w="1891"/>
        <w:gridCol w:w="2498"/>
        <w:gridCol w:w="1895"/>
      </w:tblGrid>
      <w:tr w:rsidR="00255A1E" w:rsidRPr="00C347AD" w14:paraId="1E5D8B79" w14:textId="77777777" w:rsidTr="00B26A26">
        <w:trPr>
          <w:trHeight w:val="372"/>
        </w:trPr>
        <w:tc>
          <w:tcPr>
            <w:tcW w:w="8226" w:type="dxa"/>
            <w:gridSpan w:val="4"/>
            <w:shd w:val="clear" w:color="auto" w:fill="auto"/>
            <w:vAlign w:val="center"/>
          </w:tcPr>
          <w:p w14:paraId="718F37D3" w14:textId="4B60682C" w:rsidR="00255A1E" w:rsidRPr="00C347AD" w:rsidRDefault="000F4D0C" w:rsidP="00B377D6">
            <w:pPr>
              <w:spacing w:line="240" w:lineRule="auto"/>
              <w:ind w:firstLine="0"/>
              <w:rPr>
                <w:rFonts w:ascii="Times New Roman" w:hAnsi="Times New Roman" w:cs="Times New Roman"/>
              </w:rPr>
            </w:pPr>
            <w:r w:rsidRPr="00C347AD">
              <w:rPr>
                <w:rFonts w:ascii="Times New Roman" w:hAnsi="Times New Roman" w:cs="Times New Roman"/>
              </w:rPr>
              <w:t>Table 1</w:t>
            </w:r>
            <w:r w:rsidR="00255A1E" w:rsidRPr="00C347AD">
              <w:rPr>
                <w:rFonts w:ascii="Times New Roman" w:hAnsi="Times New Roman" w:cs="Times New Roman"/>
              </w:rPr>
              <w:t>.</w:t>
            </w:r>
          </w:p>
        </w:tc>
      </w:tr>
      <w:tr w:rsidR="00255A1E" w:rsidRPr="00C347AD" w14:paraId="24817DB0" w14:textId="77777777" w:rsidTr="00B377D6">
        <w:trPr>
          <w:trHeight w:val="129"/>
        </w:trPr>
        <w:tc>
          <w:tcPr>
            <w:tcW w:w="8226" w:type="dxa"/>
            <w:gridSpan w:val="4"/>
            <w:tcBorders>
              <w:bottom w:val="single" w:sz="4" w:space="0" w:color="auto"/>
            </w:tcBorders>
            <w:shd w:val="clear" w:color="auto" w:fill="auto"/>
            <w:vAlign w:val="center"/>
          </w:tcPr>
          <w:p w14:paraId="05BC5124" w14:textId="77777777" w:rsidR="00255A1E" w:rsidRPr="00C347AD" w:rsidRDefault="00255A1E" w:rsidP="00B377D6">
            <w:pPr>
              <w:spacing w:line="240" w:lineRule="auto"/>
              <w:ind w:firstLine="0"/>
              <w:rPr>
                <w:rFonts w:ascii="Times New Roman" w:hAnsi="Times New Roman" w:cs="Times New Roman"/>
              </w:rPr>
            </w:pPr>
            <w:r w:rsidRPr="00C347AD">
              <w:rPr>
                <w:rFonts w:ascii="Times New Roman" w:hAnsi="Times New Roman" w:cs="Times New Roman"/>
              </w:rPr>
              <w:t>G</w:t>
            </w:r>
            <w:r w:rsidRPr="00C347AD">
              <w:rPr>
                <w:rFonts w:ascii="Times New Roman" w:hAnsi="Times New Roman" w:cs="Times New Roman"/>
                <w:i/>
              </w:rPr>
              <w:t>PK and Cognitive Modalities; Adapted from Konig et al. (2011)</w:t>
            </w:r>
          </w:p>
        </w:tc>
      </w:tr>
      <w:tr w:rsidR="00255A1E" w:rsidRPr="00C347AD" w14:paraId="69EB7049" w14:textId="77777777" w:rsidTr="00B377D6">
        <w:trPr>
          <w:trHeight w:val="129"/>
        </w:trPr>
        <w:tc>
          <w:tcPr>
            <w:tcW w:w="1942" w:type="dxa"/>
            <w:tcBorders>
              <w:bottom w:val="single" w:sz="4" w:space="0" w:color="auto"/>
            </w:tcBorders>
            <w:shd w:val="clear" w:color="auto" w:fill="auto"/>
            <w:vAlign w:val="center"/>
          </w:tcPr>
          <w:p w14:paraId="16BF97D7" w14:textId="77777777" w:rsidR="00255A1E" w:rsidRPr="00C347AD" w:rsidRDefault="00255A1E" w:rsidP="00B377D6">
            <w:pPr>
              <w:ind w:firstLine="0"/>
              <w:jc w:val="center"/>
              <w:rPr>
                <w:rFonts w:ascii="Times New Roman" w:hAnsi="Times New Roman" w:cs="Times New Roman"/>
              </w:rPr>
            </w:pPr>
          </w:p>
        </w:tc>
        <w:tc>
          <w:tcPr>
            <w:tcW w:w="1891" w:type="dxa"/>
            <w:tcBorders>
              <w:bottom w:val="single" w:sz="4" w:space="0" w:color="auto"/>
            </w:tcBorders>
            <w:shd w:val="clear" w:color="auto" w:fill="auto"/>
            <w:vAlign w:val="center"/>
          </w:tcPr>
          <w:p w14:paraId="4F30D0D9"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Recall</w:t>
            </w:r>
          </w:p>
        </w:tc>
        <w:tc>
          <w:tcPr>
            <w:tcW w:w="2498" w:type="dxa"/>
            <w:tcBorders>
              <w:bottom w:val="single" w:sz="4" w:space="0" w:color="auto"/>
            </w:tcBorders>
            <w:shd w:val="clear" w:color="auto" w:fill="auto"/>
            <w:vAlign w:val="center"/>
          </w:tcPr>
          <w:p w14:paraId="1EC8E216"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Understand/Analyze</w:t>
            </w:r>
          </w:p>
        </w:tc>
        <w:tc>
          <w:tcPr>
            <w:tcW w:w="1895" w:type="dxa"/>
            <w:tcBorders>
              <w:bottom w:val="single" w:sz="4" w:space="0" w:color="auto"/>
            </w:tcBorders>
            <w:shd w:val="clear" w:color="auto" w:fill="auto"/>
            <w:vAlign w:val="center"/>
          </w:tcPr>
          <w:p w14:paraId="1B9623E3"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Create</w:t>
            </w:r>
          </w:p>
        </w:tc>
      </w:tr>
      <w:tr w:rsidR="00255A1E" w:rsidRPr="00C347AD" w14:paraId="5AF47134" w14:textId="77777777" w:rsidTr="00B377D6">
        <w:trPr>
          <w:trHeight w:val="468"/>
        </w:trPr>
        <w:tc>
          <w:tcPr>
            <w:tcW w:w="1942" w:type="dxa"/>
            <w:tcBorders>
              <w:top w:val="single" w:sz="4" w:space="0" w:color="auto"/>
            </w:tcBorders>
            <w:shd w:val="clear" w:color="auto" w:fill="auto"/>
            <w:vAlign w:val="center"/>
          </w:tcPr>
          <w:p w14:paraId="083FA2E6" w14:textId="77777777" w:rsidR="00255A1E" w:rsidRPr="00C347AD" w:rsidRDefault="00255A1E" w:rsidP="00B377D6">
            <w:pPr>
              <w:ind w:firstLine="0"/>
              <w:jc w:val="center"/>
              <w:rPr>
                <w:rFonts w:ascii="Times New Roman" w:hAnsi="Times New Roman" w:cs="Times New Roman"/>
              </w:rPr>
            </w:pPr>
          </w:p>
          <w:p w14:paraId="0C590722"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Structure</w:t>
            </w:r>
          </w:p>
        </w:tc>
        <w:tc>
          <w:tcPr>
            <w:tcW w:w="1891" w:type="dxa"/>
            <w:tcBorders>
              <w:top w:val="single" w:sz="4" w:space="0" w:color="auto"/>
            </w:tcBorders>
            <w:shd w:val="clear" w:color="auto" w:fill="auto"/>
            <w:vAlign w:val="center"/>
          </w:tcPr>
          <w:p w14:paraId="4E7351F5" w14:textId="77777777" w:rsidR="00255A1E" w:rsidRPr="00C347AD" w:rsidRDefault="00255A1E" w:rsidP="00B377D6">
            <w:pPr>
              <w:ind w:firstLine="0"/>
              <w:jc w:val="center"/>
              <w:rPr>
                <w:rFonts w:ascii="Times New Roman" w:hAnsi="Times New Roman" w:cs="Times New Roman"/>
              </w:rPr>
            </w:pPr>
          </w:p>
          <w:p w14:paraId="391BFD18"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1.1</w:t>
            </w:r>
          </w:p>
        </w:tc>
        <w:tc>
          <w:tcPr>
            <w:tcW w:w="2498" w:type="dxa"/>
            <w:tcBorders>
              <w:top w:val="single" w:sz="4" w:space="0" w:color="auto"/>
            </w:tcBorders>
            <w:shd w:val="clear" w:color="auto" w:fill="auto"/>
            <w:vAlign w:val="center"/>
          </w:tcPr>
          <w:p w14:paraId="01C95A70" w14:textId="77777777" w:rsidR="00255A1E" w:rsidRPr="00C347AD" w:rsidRDefault="00255A1E" w:rsidP="00B377D6">
            <w:pPr>
              <w:ind w:firstLine="0"/>
              <w:jc w:val="center"/>
              <w:rPr>
                <w:rFonts w:ascii="Times New Roman" w:hAnsi="Times New Roman" w:cs="Times New Roman"/>
              </w:rPr>
            </w:pPr>
          </w:p>
          <w:p w14:paraId="249F3090"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2.1</w:t>
            </w:r>
          </w:p>
        </w:tc>
        <w:tc>
          <w:tcPr>
            <w:tcW w:w="1895" w:type="dxa"/>
            <w:tcBorders>
              <w:top w:val="single" w:sz="4" w:space="0" w:color="auto"/>
            </w:tcBorders>
            <w:shd w:val="clear" w:color="auto" w:fill="auto"/>
            <w:vAlign w:val="center"/>
          </w:tcPr>
          <w:p w14:paraId="0A16CECC" w14:textId="77777777" w:rsidR="00255A1E" w:rsidRPr="00C347AD" w:rsidRDefault="00255A1E" w:rsidP="00B377D6">
            <w:pPr>
              <w:ind w:firstLine="0"/>
              <w:jc w:val="center"/>
              <w:rPr>
                <w:rFonts w:ascii="Times New Roman" w:hAnsi="Times New Roman" w:cs="Times New Roman"/>
              </w:rPr>
            </w:pPr>
          </w:p>
          <w:p w14:paraId="2808215B"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3.1</w:t>
            </w:r>
          </w:p>
        </w:tc>
      </w:tr>
      <w:tr w:rsidR="00255A1E" w:rsidRPr="00C347AD" w14:paraId="7B79CFAD" w14:textId="77777777" w:rsidTr="00B377D6">
        <w:trPr>
          <w:trHeight w:val="468"/>
        </w:trPr>
        <w:tc>
          <w:tcPr>
            <w:tcW w:w="1942" w:type="dxa"/>
            <w:shd w:val="clear" w:color="auto" w:fill="auto"/>
            <w:vAlign w:val="center"/>
          </w:tcPr>
          <w:p w14:paraId="6EA7CD3A"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Motivation</w:t>
            </w:r>
          </w:p>
        </w:tc>
        <w:tc>
          <w:tcPr>
            <w:tcW w:w="1891" w:type="dxa"/>
            <w:shd w:val="clear" w:color="auto" w:fill="auto"/>
            <w:vAlign w:val="center"/>
          </w:tcPr>
          <w:p w14:paraId="36791525"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1.2</w:t>
            </w:r>
          </w:p>
        </w:tc>
        <w:tc>
          <w:tcPr>
            <w:tcW w:w="2498" w:type="dxa"/>
            <w:shd w:val="clear" w:color="auto" w:fill="auto"/>
            <w:vAlign w:val="center"/>
          </w:tcPr>
          <w:p w14:paraId="5E2CF5A5"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2.2</w:t>
            </w:r>
          </w:p>
        </w:tc>
        <w:tc>
          <w:tcPr>
            <w:tcW w:w="1895" w:type="dxa"/>
            <w:shd w:val="clear" w:color="auto" w:fill="auto"/>
            <w:vAlign w:val="center"/>
          </w:tcPr>
          <w:p w14:paraId="7DD8A689"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3.2</w:t>
            </w:r>
          </w:p>
        </w:tc>
      </w:tr>
      <w:tr w:rsidR="00255A1E" w:rsidRPr="00C347AD" w14:paraId="16E71BF5" w14:textId="77777777" w:rsidTr="00B377D6">
        <w:trPr>
          <w:trHeight w:val="468"/>
        </w:trPr>
        <w:tc>
          <w:tcPr>
            <w:tcW w:w="1942" w:type="dxa"/>
            <w:shd w:val="clear" w:color="auto" w:fill="auto"/>
            <w:vAlign w:val="center"/>
          </w:tcPr>
          <w:p w14:paraId="0B210E12"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Adaptivity</w:t>
            </w:r>
          </w:p>
        </w:tc>
        <w:tc>
          <w:tcPr>
            <w:tcW w:w="1891" w:type="dxa"/>
            <w:shd w:val="clear" w:color="auto" w:fill="auto"/>
            <w:vAlign w:val="center"/>
          </w:tcPr>
          <w:p w14:paraId="0E258383"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1.3</w:t>
            </w:r>
          </w:p>
        </w:tc>
        <w:tc>
          <w:tcPr>
            <w:tcW w:w="2498" w:type="dxa"/>
            <w:shd w:val="clear" w:color="auto" w:fill="auto"/>
            <w:vAlign w:val="center"/>
          </w:tcPr>
          <w:p w14:paraId="5032EA31"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2.3</w:t>
            </w:r>
          </w:p>
        </w:tc>
        <w:tc>
          <w:tcPr>
            <w:tcW w:w="1895" w:type="dxa"/>
            <w:shd w:val="clear" w:color="auto" w:fill="auto"/>
            <w:vAlign w:val="center"/>
          </w:tcPr>
          <w:p w14:paraId="4C4F3D15"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3.3</w:t>
            </w:r>
          </w:p>
        </w:tc>
      </w:tr>
      <w:tr w:rsidR="00255A1E" w:rsidRPr="00C347AD" w14:paraId="11EEE6BA" w14:textId="77777777" w:rsidTr="00B377D6">
        <w:trPr>
          <w:trHeight w:val="480"/>
        </w:trPr>
        <w:tc>
          <w:tcPr>
            <w:tcW w:w="1942" w:type="dxa"/>
            <w:tcBorders>
              <w:bottom w:val="single" w:sz="4" w:space="0" w:color="auto"/>
            </w:tcBorders>
            <w:shd w:val="clear" w:color="auto" w:fill="auto"/>
            <w:vAlign w:val="center"/>
          </w:tcPr>
          <w:p w14:paraId="3B284ADD"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Assessment</w:t>
            </w:r>
          </w:p>
        </w:tc>
        <w:tc>
          <w:tcPr>
            <w:tcW w:w="1891" w:type="dxa"/>
            <w:tcBorders>
              <w:bottom w:val="single" w:sz="4" w:space="0" w:color="auto"/>
            </w:tcBorders>
            <w:shd w:val="clear" w:color="auto" w:fill="auto"/>
            <w:vAlign w:val="center"/>
          </w:tcPr>
          <w:p w14:paraId="13CCD75B"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1.4</w:t>
            </w:r>
          </w:p>
        </w:tc>
        <w:tc>
          <w:tcPr>
            <w:tcW w:w="2498" w:type="dxa"/>
            <w:tcBorders>
              <w:bottom w:val="single" w:sz="4" w:space="0" w:color="auto"/>
            </w:tcBorders>
            <w:shd w:val="clear" w:color="auto" w:fill="auto"/>
            <w:vAlign w:val="center"/>
          </w:tcPr>
          <w:p w14:paraId="346E7415"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2.4</w:t>
            </w:r>
          </w:p>
        </w:tc>
        <w:tc>
          <w:tcPr>
            <w:tcW w:w="1895" w:type="dxa"/>
            <w:tcBorders>
              <w:bottom w:val="single" w:sz="4" w:space="0" w:color="auto"/>
            </w:tcBorders>
            <w:shd w:val="clear" w:color="auto" w:fill="auto"/>
            <w:vAlign w:val="center"/>
          </w:tcPr>
          <w:p w14:paraId="0C68220C" w14:textId="77777777" w:rsidR="00255A1E" w:rsidRPr="00C347AD" w:rsidRDefault="00255A1E" w:rsidP="00B377D6">
            <w:pPr>
              <w:ind w:firstLine="0"/>
              <w:jc w:val="center"/>
              <w:rPr>
                <w:rFonts w:ascii="Times New Roman" w:hAnsi="Times New Roman" w:cs="Times New Roman"/>
              </w:rPr>
            </w:pPr>
            <w:r w:rsidRPr="00C347AD">
              <w:rPr>
                <w:rFonts w:ascii="Times New Roman" w:hAnsi="Times New Roman" w:cs="Times New Roman"/>
              </w:rPr>
              <w:t>3.4</w:t>
            </w:r>
          </w:p>
        </w:tc>
      </w:tr>
    </w:tbl>
    <w:p w14:paraId="11AB3EA7" w14:textId="77777777" w:rsidR="00255A1E" w:rsidRPr="00C347AD" w:rsidRDefault="00255A1E" w:rsidP="00C62C49">
      <w:pPr>
        <w:ind w:firstLine="0"/>
      </w:pPr>
    </w:p>
    <w:p w14:paraId="44EF5A62" w14:textId="77777777" w:rsidR="00FE779B" w:rsidRPr="00C347AD" w:rsidRDefault="00FE779B" w:rsidP="00C62C49">
      <w:pPr>
        <w:ind w:firstLine="0"/>
      </w:pPr>
    </w:p>
    <w:p w14:paraId="08C1C410" w14:textId="78AE4B7C" w:rsidR="007B5C4C" w:rsidRPr="00C347AD" w:rsidRDefault="00B47BBB" w:rsidP="007B0BDB">
      <w:r w:rsidRPr="00C347AD">
        <w:lastRenderedPageBreak/>
        <w:t>For example, in the realm of lesson planning, a task assigned to preservice teachers in domain 1.1 (recall-structure)</w:t>
      </w:r>
      <w:r w:rsidR="00ED45C0" w:rsidRPr="00C347AD">
        <w:t>,</w:t>
      </w:r>
      <w:r w:rsidRPr="00C347AD">
        <w:t xml:space="preserve"> may be that of identifying specific elements of a lesson plan. Domain 1.4 (recall-assessment) may be demonstrated as preservice teachers articulate the difference between assessment types and forms.</w:t>
      </w:r>
    </w:p>
    <w:p w14:paraId="2F193C24" w14:textId="2C0C5A2D" w:rsidR="00255A1E" w:rsidRPr="00C347AD" w:rsidRDefault="007B0BDB" w:rsidP="007B0BDB">
      <w:pPr>
        <w:ind w:firstLine="0"/>
      </w:pPr>
      <w:r w:rsidRPr="00C347AD">
        <w:tab/>
      </w:r>
      <w:r w:rsidR="00B47BBB" w:rsidRPr="00C347AD">
        <w:t xml:space="preserve">Advancing to the </w:t>
      </w:r>
      <w:r w:rsidR="00244D05" w:rsidRPr="00C347AD">
        <w:t>“</w:t>
      </w:r>
      <w:r w:rsidR="00B47BBB" w:rsidRPr="00C347AD">
        <w:t>create</w:t>
      </w:r>
      <w:r w:rsidR="00244D05" w:rsidRPr="00C347AD">
        <w:t>”</w:t>
      </w:r>
      <w:r w:rsidR="00B47BBB" w:rsidRPr="00C347AD">
        <w:t xml:space="preserve"> column, domain 3.1 (create-structure) may then call for the</w:t>
      </w:r>
      <w:r w:rsidR="00244D05" w:rsidRPr="00C347AD">
        <w:t xml:space="preserve"> </w:t>
      </w:r>
      <w:r w:rsidR="00B47BBB" w:rsidRPr="00C347AD">
        <w:t xml:space="preserve">same individuals to design an appropriate lesson plan. </w:t>
      </w:r>
      <w:r w:rsidR="0008010C" w:rsidRPr="00C347AD">
        <w:t>D</w:t>
      </w:r>
      <w:r w:rsidR="00B47BBB" w:rsidRPr="00C347AD">
        <w:t xml:space="preserve">omain 3.3 (create-adaptivity) could </w:t>
      </w:r>
      <w:r w:rsidR="0008010C" w:rsidRPr="00C347AD">
        <w:t xml:space="preserve">then </w:t>
      </w:r>
      <w:r w:rsidR="00B47BBB" w:rsidRPr="00C347AD">
        <w:t xml:space="preserve">easily be tied in whereby teachers must create intentionally designed lessons that also meet the needs of a diverse set of learners. And domain 3.4 (create-assessment) could be part of this lesson planning, if the preservice teacher demonstrates the ability to create highly practical and effective assessments that correspond with the learning objectives of the lesson.  </w:t>
      </w:r>
    </w:p>
    <w:p w14:paraId="0EEEE324" w14:textId="0E0043C9" w:rsidR="00B47BBB" w:rsidRPr="00C347AD" w:rsidRDefault="00B47BBB" w:rsidP="00000188">
      <w:r w:rsidRPr="00C347AD">
        <w:t>König et al. (2011) demonstrate the use of this parsing in their manuscript in which the authors utilized the results of a standardized test designed to measure GPK for future middle school teachers (the TEDS-</w:t>
      </w:r>
      <w:r w:rsidR="00C347AD">
        <w:t>M</w:t>
      </w:r>
      <w:r w:rsidRPr="00C347AD">
        <w:t xml:space="preserve">), which compared GPK of preservice teachers from the U.S., Germany, and Taiwan. In overall GPK scores, U.S. preservice teachers were 1.5 standard deviations </w:t>
      </w:r>
      <w:r w:rsidRPr="00C347AD">
        <w:rPr>
          <w:i/>
        </w:rPr>
        <w:t>below</w:t>
      </w:r>
      <w:r w:rsidRPr="00C347AD">
        <w:t xml:space="preserve"> preservice teachers in Germany and Taiwan. However, when the authors coded the questions according to</w:t>
      </w:r>
      <w:r w:rsidR="00255A1E" w:rsidRPr="00C347AD">
        <w:t xml:space="preserve"> the 12 domains of GPK (Figure 3</w:t>
      </w:r>
      <w:r w:rsidRPr="00C347AD">
        <w:t>, above), it became clear that though U.S. preservice teachers scored well below the other nations in recall and understanding/analysis (</w:t>
      </w:r>
      <w:r w:rsidR="004F52F4" w:rsidRPr="00C347AD">
        <w:t>i.e.,</w:t>
      </w:r>
      <w:r w:rsidRPr="00C347AD">
        <w:t xml:space="preserve"> columns 1 and 2), they were far superior in creation (</w:t>
      </w:r>
      <w:r w:rsidR="004F52F4" w:rsidRPr="00C347AD">
        <w:t>i.e.,</w:t>
      </w:r>
      <w:r w:rsidRPr="00C347AD">
        <w:t xml:space="preserve"> column 3). Likewise, the U.S. preservice teachers scored last in adaptivity (row 3) by a substantial margin, but were about even in the categories of </w:t>
      </w:r>
      <w:r w:rsidRPr="00C347AD">
        <w:lastRenderedPageBreak/>
        <w:t xml:space="preserve">structure (row 1) and assessment (row 4), and a distant best performer in management/ motivation (row 2). This study </w:t>
      </w:r>
      <w:r w:rsidR="00B607FF" w:rsidRPr="00C347AD">
        <w:t>is</w:t>
      </w:r>
      <w:r w:rsidRPr="00C347AD">
        <w:t xml:space="preserve"> useful in demonstrating the utility of parsing GPK into sub categories and qualitative forms, a strategy that </w:t>
      </w:r>
      <w:r w:rsidR="00B607FF" w:rsidRPr="00C347AD">
        <w:t>is</w:t>
      </w:r>
      <w:r w:rsidRPr="00C347AD">
        <w:t xml:space="preserve"> used in </w:t>
      </w:r>
      <w:r w:rsidR="00B607FF" w:rsidRPr="00C347AD">
        <w:t>this</w:t>
      </w:r>
      <w:r w:rsidRPr="00C347AD">
        <w:t xml:space="preserve"> dissertation study, as well. </w:t>
      </w:r>
    </w:p>
    <w:p w14:paraId="64C36EAF" w14:textId="517D33D3" w:rsidR="0008010C" w:rsidRPr="00C347AD" w:rsidRDefault="0008010C" w:rsidP="0008010C">
      <w:pPr>
        <w:ind w:firstLine="0"/>
      </w:pPr>
      <w:r w:rsidRPr="00C347AD">
        <w:tab/>
        <w:t>This parsed model is utilized in this study whereby different instruments and different parts of instruments examine different, and prescribed, cells in the GPK matrix (</w:t>
      </w:r>
      <w:r w:rsidR="00255A1E" w:rsidRPr="00C347AD">
        <w:t>Table</w:t>
      </w:r>
      <w:r w:rsidRPr="00C347AD">
        <w:t xml:space="preserve"> </w:t>
      </w:r>
      <w:r w:rsidR="00255A1E" w:rsidRPr="00C347AD">
        <w:t>5</w:t>
      </w:r>
      <w:r w:rsidRPr="00C347AD">
        <w:t>). This</w:t>
      </w:r>
      <w:r w:rsidR="00B607FF" w:rsidRPr="00C347AD">
        <w:t xml:space="preserve"> thus allows</w:t>
      </w:r>
      <w:r w:rsidRPr="00C347AD">
        <w:t xml:space="preserve"> for more sensitive identification of types of GPK growth among preservice teachers in either group. </w:t>
      </w:r>
    </w:p>
    <w:p w14:paraId="7D8C8EE0" w14:textId="23BE50E0" w:rsidR="00B47BBB" w:rsidRPr="00C347AD" w:rsidRDefault="00B47BBB" w:rsidP="00FE779B">
      <w:pPr>
        <w:pStyle w:val="Heading3"/>
        <w:rPr>
          <w:b w:val="0"/>
        </w:rPr>
      </w:pPr>
      <w:r w:rsidRPr="00C347AD">
        <w:t>Instrumentation for GPK</w:t>
      </w:r>
      <w:r w:rsidRPr="00C347AD">
        <w:rPr>
          <w:i/>
        </w:rPr>
        <w:t>.</w:t>
      </w:r>
      <w:r w:rsidRPr="00C347AD">
        <w:t xml:space="preserve"> </w:t>
      </w:r>
      <w:r w:rsidRPr="00C347AD">
        <w:rPr>
          <w:b w:val="0"/>
        </w:rPr>
        <w:t xml:space="preserve">A substantial number of researchers </w:t>
      </w:r>
      <w:r w:rsidR="00AA1948" w:rsidRPr="00C347AD">
        <w:rPr>
          <w:b w:val="0"/>
        </w:rPr>
        <w:t xml:space="preserve">have </w:t>
      </w:r>
      <w:r w:rsidRPr="00C347AD">
        <w:rPr>
          <w:b w:val="0"/>
        </w:rPr>
        <w:t>utilize</w:t>
      </w:r>
      <w:r w:rsidR="00AA1948" w:rsidRPr="00C347AD">
        <w:rPr>
          <w:b w:val="0"/>
        </w:rPr>
        <w:t>d</w:t>
      </w:r>
      <w:r w:rsidRPr="00C347AD">
        <w:rPr>
          <w:b w:val="0"/>
        </w:rPr>
        <w:t xml:space="preserve"> multiple choice inventories with either customized assessment or published instruments to determine preservice teacher knowledge; these are used frequently as either pre-test/posttest or posttest only (</w:t>
      </w:r>
      <w:r w:rsidR="00B323A5" w:rsidRPr="00C347AD">
        <w:rPr>
          <w:b w:val="0"/>
        </w:rPr>
        <w:t>e.g.,</w:t>
      </w:r>
      <w:r w:rsidRPr="00C347AD">
        <w:rPr>
          <w:b w:val="0"/>
        </w:rPr>
        <w:t xml:space="preserve"> Al Otaiba &amp; Lake 2007; Bos et al. 2002; Clark, Helfirich &amp; Hatch, 2015; Fielding-Barnsley, 2010; Mather, Bos, &amp; Babur, 2001; Matthews &amp; Seaman, 2007; Quinn, 1997).  Of these, it is worth noting that the type of knowledge sought varies. Many focus quite explicitly on content knowledge (CK), with fewer looking at pedagogical content knowledge (PCK) or general pedagogical knowledge (GPK; Clark et al., 2015). </w:t>
      </w:r>
    </w:p>
    <w:p w14:paraId="14522D6D" w14:textId="7F0FFADB" w:rsidR="00B47BBB" w:rsidRPr="00C347AD" w:rsidRDefault="00B47BBB" w:rsidP="00B47BBB">
      <w:r w:rsidRPr="00C347AD">
        <w:t>Other authors exploring teacher knowledge focus more on the details of how faculty can develop and assess preservice teacher knowledge at a local level. One method mentioned is that of lesson study (</w:t>
      </w:r>
      <w:r w:rsidRPr="00C347AD">
        <w:fldChar w:fldCharType="begin"/>
      </w:r>
      <w:r w:rsidR="00F7126F" w:rsidRPr="00C347AD">
        <w:instrText xml:space="preserve"> ADDIN ZOTERO_ITEM CSL_CITATION {"citationID":"2qjru53va0","properties":{"formattedCitation":"(Cerbin &amp; Kopp, 2006)","plainCitation":"(Cerbin &amp; Kopp, 2006)"},"citationItems":[{"id":11,"uris":["http://zotero.org/users/2098925/items/2DKIJVRV"],"uri":["http://zotero.org/users/2098925/items/2DKIJVRV"],"itemData":{"id":11,"type":"article-journal","title":"Lesson study as a model for building pedagogical knowledge and improving teaching","container-title":"International journal of teaching and learning in higher education","page":"250-257","volume":"18","issue":"3","journalAbbreviation":"International journal of teaching and learning in higher education","author":[{"family":"Cerbin","given":"William"},{"family":"Kopp","given":"Bryan"}],"issued":{"date-parts":[["2006"]]}}}],"schema":"https://github.com/citation-style-language/schema/raw/master/csl-citation.json"} </w:instrText>
      </w:r>
      <w:r w:rsidRPr="00C347AD">
        <w:fldChar w:fldCharType="separate"/>
      </w:r>
      <w:r w:rsidR="00B323A5" w:rsidRPr="00C347AD">
        <w:t>e.g.,</w:t>
      </w:r>
      <w:r w:rsidRPr="00C347AD">
        <w:t xml:space="preserve"> </w:t>
      </w:r>
      <w:r w:rsidRPr="00C347AD">
        <w:rPr>
          <w:noProof/>
        </w:rPr>
        <w:t xml:space="preserve">Cerbin &amp; Kopp 2006; </w:t>
      </w:r>
      <w:r w:rsidRPr="00C347AD">
        <w:t>Hiebert et al. 2002</w:t>
      </w:r>
      <w:r w:rsidRPr="00C347AD">
        <w:rPr>
          <w:noProof/>
        </w:rPr>
        <w:t>)</w:t>
      </w:r>
      <w:r w:rsidRPr="00C347AD">
        <w:fldChar w:fldCharType="end"/>
      </w:r>
      <w:r w:rsidRPr="00C347AD">
        <w:t xml:space="preserve">. In this method, preservice or in-service teachers collaborate with teachers who (will) teach the </w:t>
      </w:r>
      <w:r w:rsidRPr="00C347AD">
        <w:lastRenderedPageBreak/>
        <w:t xml:space="preserve">same subject/level design, teach, and reflect upon the results of a given lesson. This approach is recognized to promote reflectivity in the lesson construction process, which combined with the social collaborative aspect and faculty oversight is believed to improve GPK and PCK. </w:t>
      </w:r>
    </w:p>
    <w:p w14:paraId="2FA5606D" w14:textId="400DEFC1" w:rsidR="00B47BBB" w:rsidRPr="00C347AD" w:rsidRDefault="00B47BBB" w:rsidP="00B47BBB">
      <w:r w:rsidRPr="00C347AD">
        <w:fldChar w:fldCharType="begin"/>
      </w:r>
      <w:r w:rsidR="00F7126F" w:rsidRPr="00C347AD">
        <w:instrText xml:space="preserve"> ADDIN ZOTERO_ITEM CSL_CITATION {"citationID":"1odfnefbhc","properties":{"formattedCitation":"(Harr, Eichler, &amp; Renkl, 2015)","plainCitation":"(Harr, Eichler, &amp; Renkl, 2015)"},"citationItems":[{"id":8,"uris":["http://zotero.org/users/2098925/items/26AKTGR6"],"uri":["http://zotero.org/users/2098925/items/26AKTGR6"],"itemData":{"id":8,"type":"article-journal","title":"Integrated learning: ways of fostering the applicability of teachers’ pedagogical and psychological knowledge","container-title":"Educational Psychology","page":"738","source":"Frontiers","abstract":"In teacher education, general pedagogical and psychological knowledge (PPK) is often taught separately from the teaching subject itself, potentially leading to inert knowledge. In an experimental study with 69 mathematics student teachers, we tested the benefits of fostering the integration of pedagogical content knowledge (PCK) and general PPK with respect to knowledge application. Integration was fostered either by integrating the contents or by prompting the learners to integrate separately taught knowledge. Fostering integration, as compared to a separate presentation without integration help, led to more applicable PPK and greater simultaneous application of PPK and PCK. The advantages of fostering knowledge integration were not moderated by the student teachers’ prior knowledge or working memory capacity. A disadvantage of integrating different knowledge types referred to increased learning times.","DOI":"10.3389/fpsyg.2015.00738","shortTitle":"Integrated learning","journalAbbreviation":"Front. Psychol.","author":[{"family":"Harr","given":"Nora"},{"family":"Eichler","given":"Andreas"},{"family":"Renkl","given":"Alexander"}],"issued":{"date-parts":[["2015"]]}}}],"schema":"https://github.com/citation-style-language/schema/raw/master/csl-citation.json"} </w:instrText>
      </w:r>
      <w:r w:rsidRPr="00C347AD">
        <w:fldChar w:fldCharType="separate"/>
      </w:r>
      <w:r w:rsidRPr="00C347AD">
        <w:rPr>
          <w:noProof/>
        </w:rPr>
        <w:t>Harr, Eichler, and Renkl (2015)</w:t>
      </w:r>
      <w:r w:rsidRPr="00C347AD">
        <w:fldChar w:fldCharType="end"/>
      </w:r>
      <w:r w:rsidRPr="00C347AD">
        <w:t xml:space="preserve"> reflect</w:t>
      </w:r>
      <w:r w:rsidR="00F35D52" w:rsidRPr="00C347AD">
        <w:t>ed</w:t>
      </w:r>
      <w:r w:rsidRPr="00C347AD">
        <w:t xml:space="preserve"> on the fact that GPK, PCK, and subject-based content knowledge (</w:t>
      </w:r>
      <w:r w:rsidR="00B323A5" w:rsidRPr="00C347AD">
        <w:t>e.g.,</w:t>
      </w:r>
      <w:r w:rsidRPr="00C347AD">
        <w:t xml:space="preserve"> biology, literature, math) are often taught in separate courses at the university level. The authors suggest that universities may harbor an “implicit hope that each student teacher will integrate the different knowledge types, individually, for example, by practice teaching” (p. 1). However, as Ball (2000) points out, such individual and unguided integration is rarely achieved. In the context of </w:t>
      </w:r>
      <w:r w:rsidR="008A10B2" w:rsidRPr="00C347AD">
        <w:t>my</w:t>
      </w:r>
      <w:r w:rsidRPr="00C347AD">
        <w:t xml:space="preserve"> </w:t>
      </w:r>
      <w:r w:rsidR="00F35D52" w:rsidRPr="00C347AD">
        <w:t>study</w:t>
      </w:r>
      <w:r w:rsidRPr="00C347AD">
        <w:t xml:space="preserve"> and the program design </w:t>
      </w:r>
      <w:r w:rsidR="006B759D" w:rsidRPr="00C347AD">
        <w:t xml:space="preserve">at the university wherein </w:t>
      </w:r>
      <w:r w:rsidR="008A10B2" w:rsidRPr="00C347AD">
        <w:t>my</w:t>
      </w:r>
      <w:r w:rsidR="006B759D" w:rsidRPr="00C347AD">
        <w:t xml:space="preserve"> study </w:t>
      </w:r>
      <w:r w:rsidR="008A10B2" w:rsidRPr="00C347AD">
        <w:t>is being</w:t>
      </w:r>
      <w:r w:rsidR="00FB25E9" w:rsidRPr="00C347AD">
        <w:t xml:space="preserve">n </w:t>
      </w:r>
      <w:r w:rsidR="006B759D" w:rsidRPr="00C347AD">
        <w:t xml:space="preserve"> conducted</w:t>
      </w:r>
      <w:r w:rsidRPr="00C347AD">
        <w:t xml:space="preserve">, Harr et al.’s reflection is accurate. Students do attend separate content courses, pedagogical content knowledge courses, and courses like </w:t>
      </w:r>
      <w:r w:rsidR="006B2979" w:rsidRPr="00C347AD">
        <w:t>the one in which I am conducting this study</w:t>
      </w:r>
      <w:r w:rsidRPr="00C347AD">
        <w:t>, which is best classified as a GPK course attended by preservice teachers from a wide range of subject areas and levels (</w:t>
      </w:r>
      <w:r w:rsidR="004F52F4" w:rsidRPr="00C347AD">
        <w:t>i.e.,</w:t>
      </w:r>
      <w:r w:rsidRPr="00C347AD">
        <w:t xml:space="preserve"> from early childhood preservice teachers to high school preservice teachers in all discipline areas). Recognition of the fact that transfer from theory to practice in such courses cannot be broadly assumed is important. </w:t>
      </w:r>
    </w:p>
    <w:p w14:paraId="7671076B" w14:textId="74B87285" w:rsidR="00B47BBB" w:rsidRPr="00C347AD" w:rsidRDefault="00B47BBB" w:rsidP="00B47BBB">
      <w:r w:rsidRPr="00C347AD">
        <w:t xml:space="preserve">However, </w:t>
      </w:r>
      <w:r w:rsidR="006B759D" w:rsidRPr="00C347AD">
        <w:t>I</w:t>
      </w:r>
      <w:r w:rsidR="00571557" w:rsidRPr="00C347AD">
        <w:t xml:space="preserve"> </w:t>
      </w:r>
      <w:r w:rsidR="006B759D" w:rsidRPr="00C347AD">
        <w:t>do</w:t>
      </w:r>
      <w:r w:rsidRPr="00C347AD">
        <w:t xml:space="preserve"> not agree with Harr et al.’s (2015) implication that such courses necessarily abstain from teaching pedagogical content knowledge (PCK), as examples used in class as well as assessment options for the preservice teachers therein may allow </w:t>
      </w:r>
      <w:r w:rsidRPr="00C347AD">
        <w:lastRenderedPageBreak/>
        <w:t xml:space="preserve">them to contextualize the GPK in their own future area of certification. For example, students in </w:t>
      </w:r>
      <w:r w:rsidR="000C1B64" w:rsidRPr="00C347AD">
        <w:t>the course used for this study</w:t>
      </w:r>
      <w:r w:rsidR="006B2979" w:rsidRPr="00C347AD">
        <w:t>, a mandatory introduction to special education course for all education majors,</w:t>
      </w:r>
      <w:r w:rsidRPr="00C347AD">
        <w:t xml:space="preserve"> are instructed to design lesson plans reflective of the pedagogical concepts developed in the course, but </w:t>
      </w:r>
      <w:r w:rsidR="006B759D" w:rsidRPr="00C347AD">
        <w:t xml:space="preserve">to do so </w:t>
      </w:r>
      <w:r w:rsidRPr="00C347AD">
        <w:t xml:space="preserve">using content and hypothetical students from their own level and discipline area. That being said, such opportunities for connection are– and must be– explicitly prepared and articulated to be effective, which is consistent with Harr et al.’s ultimate point.  </w:t>
      </w:r>
    </w:p>
    <w:p w14:paraId="69367B32" w14:textId="7985EFCA" w:rsidR="00B47BBB" w:rsidRPr="00C347AD" w:rsidRDefault="00B47BBB" w:rsidP="00B47BBB">
      <w:r w:rsidRPr="00C347AD">
        <w:t xml:space="preserve">In spite of the limitations that exist in the literature regarding GPK, it is important to </w:t>
      </w:r>
      <w:r w:rsidR="006B759D" w:rsidRPr="00C347AD">
        <w:t>remember pedagogical knowledge in isolation (</w:t>
      </w:r>
      <w:r w:rsidR="004F52F4" w:rsidRPr="00C347AD">
        <w:t>i.e.,</w:t>
      </w:r>
      <w:r w:rsidRPr="00C347AD">
        <w:t xml:space="preserve"> GPK</w:t>
      </w:r>
      <w:r w:rsidR="006B759D" w:rsidRPr="00C347AD">
        <w:t xml:space="preserve">) </w:t>
      </w:r>
      <w:r w:rsidRPr="00C347AD">
        <w:t>or in conjunction with</w:t>
      </w:r>
      <w:r w:rsidR="006B759D" w:rsidRPr="00C347AD">
        <w:t xml:space="preserve"> specific content (</w:t>
      </w:r>
      <w:r w:rsidR="004F52F4" w:rsidRPr="00C347AD">
        <w:t>i.e.,</w:t>
      </w:r>
      <w:r w:rsidRPr="00C347AD">
        <w:t xml:space="preserve"> PCK) is the construct that separates the knowledge and related skill set of professional educators from those who know the content well, but are unaware of how to effectively teach it to others. As such, pedagogical knowledge is at the he</w:t>
      </w:r>
      <w:r w:rsidR="005D386C" w:rsidRPr="00C347AD">
        <w:t xml:space="preserve">art of the teaching discipline, and is thereby worthwhile as a continued focal point in research and practice of teacher preparation. </w:t>
      </w:r>
    </w:p>
    <w:p w14:paraId="1EE45E8C" w14:textId="42E6225C" w:rsidR="00B47BBB" w:rsidRPr="00C347AD" w:rsidRDefault="00B47BBB" w:rsidP="00FE779B">
      <w:pPr>
        <w:pStyle w:val="Heading3"/>
      </w:pPr>
      <w:r w:rsidRPr="00C347AD">
        <w:t xml:space="preserve">König et al.’s parsed GPK and UDL. </w:t>
      </w:r>
      <w:r w:rsidRPr="00C347AD">
        <w:rPr>
          <w:b w:val="0"/>
        </w:rPr>
        <w:t xml:space="preserve">König et al.’s (2011) parsing of GPK is particularly helpful for </w:t>
      </w:r>
      <w:r w:rsidR="0022550C" w:rsidRPr="00C347AD">
        <w:rPr>
          <w:b w:val="0"/>
        </w:rPr>
        <w:t>this</w:t>
      </w:r>
      <w:r w:rsidRPr="00C347AD">
        <w:rPr>
          <w:b w:val="0"/>
        </w:rPr>
        <w:t xml:space="preserve"> study as it lends itself to parallels with</w:t>
      </w:r>
      <w:r w:rsidR="001D1527" w:rsidRPr="00C347AD">
        <w:rPr>
          <w:b w:val="0"/>
        </w:rPr>
        <w:t xml:space="preserve"> </w:t>
      </w:r>
      <w:r w:rsidRPr="00C347AD">
        <w:rPr>
          <w:b w:val="0"/>
        </w:rPr>
        <w:t>UDL</w:t>
      </w:r>
      <w:r w:rsidR="0022550C" w:rsidRPr="00C347AD">
        <w:rPr>
          <w:b w:val="0"/>
        </w:rPr>
        <w:t xml:space="preserve">, which is an important </w:t>
      </w:r>
      <w:r w:rsidRPr="00C347AD">
        <w:rPr>
          <w:b w:val="0"/>
        </w:rPr>
        <w:t>indepen</w:t>
      </w:r>
      <w:r w:rsidR="0022550C" w:rsidRPr="00C347AD">
        <w:rPr>
          <w:b w:val="0"/>
        </w:rPr>
        <w:t>dent variable</w:t>
      </w:r>
      <w:r w:rsidRPr="00C347AD">
        <w:rPr>
          <w:b w:val="0"/>
        </w:rPr>
        <w:t xml:space="preserve">, and </w:t>
      </w:r>
      <w:r w:rsidR="0022550C" w:rsidRPr="00C347AD">
        <w:rPr>
          <w:b w:val="0"/>
        </w:rPr>
        <w:t xml:space="preserve">it </w:t>
      </w:r>
      <w:r w:rsidRPr="00C347AD">
        <w:rPr>
          <w:b w:val="0"/>
        </w:rPr>
        <w:t xml:space="preserve">provides a way to organize the dependent variables </w:t>
      </w:r>
      <w:r w:rsidR="0022550C" w:rsidRPr="00C347AD">
        <w:rPr>
          <w:b w:val="0"/>
        </w:rPr>
        <w:t>utilized in this study, as well</w:t>
      </w:r>
      <w:r w:rsidRPr="00C347AD">
        <w:rPr>
          <w:b w:val="0"/>
        </w:rPr>
        <w:t>.</w:t>
      </w:r>
      <w:r w:rsidRPr="00C347AD">
        <w:t xml:space="preserve"> </w:t>
      </w:r>
    </w:p>
    <w:p w14:paraId="3A0BD8E8" w14:textId="0A730DB3" w:rsidR="00B47BBB" w:rsidRPr="00C347AD" w:rsidRDefault="00B47BBB" w:rsidP="00B47BBB">
      <w:r w:rsidRPr="00C347AD">
        <w:t xml:space="preserve">The framework of UDL overlaps significantly with each of the four categories of GPK that König et al. articulate. </w:t>
      </w:r>
      <w:r w:rsidR="003E7ABC" w:rsidRPr="00C347AD">
        <w:t>For example, i</w:t>
      </w:r>
      <w:r w:rsidRPr="00C347AD">
        <w:t xml:space="preserve">n terms of </w:t>
      </w:r>
      <w:r w:rsidRPr="00C347AD">
        <w:rPr>
          <w:i/>
        </w:rPr>
        <w:t>motivation</w:t>
      </w:r>
      <w:r w:rsidRPr="00C347AD">
        <w:t xml:space="preserve">, providing multiple means of engagement is one of UDL’s three primary principles for application. In terms </w:t>
      </w:r>
      <w:r w:rsidRPr="00C347AD">
        <w:lastRenderedPageBreak/>
        <w:t xml:space="preserve">of </w:t>
      </w:r>
      <w:r w:rsidRPr="00C347AD">
        <w:rPr>
          <w:i/>
        </w:rPr>
        <w:t>adaptivity</w:t>
      </w:r>
      <w:r w:rsidRPr="00C347AD">
        <w:t>, providing access to the learning for diverse learners</w:t>
      </w:r>
      <w:r w:rsidR="0022550C" w:rsidRPr="00C347AD">
        <w:t xml:space="preserve"> by way of flexibility</w:t>
      </w:r>
      <w:r w:rsidRPr="00C347AD">
        <w:t xml:space="preserve"> is the central purpose</w:t>
      </w:r>
      <w:r w:rsidR="0022550C" w:rsidRPr="00C347AD">
        <w:t xml:space="preserve"> and construct</w:t>
      </w:r>
      <w:r w:rsidRPr="00C347AD">
        <w:t xml:space="preserve"> of UDL </w:t>
      </w:r>
      <w:r w:rsidRPr="00C347AD">
        <w:fldChar w:fldCharType="begin"/>
      </w:r>
      <w:r w:rsidR="00F7126F" w:rsidRPr="00C347AD">
        <w:instrText xml:space="preserve"> ADDIN ZOTERO_ITEM CSL_CITATION {"citationID":"kqa6udt1a","properties":{"formattedCitation":"(Meyer et al., 2014)","plainCitation":"(Meyer et al., 2014)"},"citationItems":[{"id":548,"uris":["http://zotero.org/users/2098925/items/GNXI6MGX"],"uri":["http://zotero.org/users/2098925/items/GNXI6MGX"],"itemData":{"id":548,"type":"book","title":"Universal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Pr="00C347AD">
        <w:fldChar w:fldCharType="separate"/>
      </w:r>
      <w:r w:rsidR="001D2145" w:rsidRPr="00C347AD">
        <w:rPr>
          <w:noProof/>
        </w:rPr>
        <w:t>(Meyer et al., 2014)</w:t>
      </w:r>
      <w:r w:rsidRPr="00C347AD">
        <w:fldChar w:fldCharType="end"/>
      </w:r>
      <w:r w:rsidRPr="00C347AD">
        <w:t xml:space="preserve">. In terms of </w:t>
      </w:r>
      <w:r w:rsidRPr="00C347AD">
        <w:rPr>
          <w:i/>
        </w:rPr>
        <w:t>assessment</w:t>
      </w:r>
      <w:r w:rsidRPr="00C347AD">
        <w:t xml:space="preserve">, UDL explicitly provides strategies to improve the quality and validity of assessment; furthermore, the most recent updates of UDL have pulled assessment to the fore of planning as a focal point following only identifying the goal of a lesson </w:t>
      </w:r>
      <w:r w:rsidRPr="00C347AD">
        <w:fldChar w:fldCharType="begin"/>
      </w:r>
      <w:r w:rsidR="00F7126F" w:rsidRPr="00C347AD">
        <w:instrText xml:space="preserve"> ADDIN ZOTERO_ITEM CSL_CITATION {"citationID":"Isvfxp7K","properties":{"formattedCitation":"(Meyer et al., 2014)","plainCitation":"(Meyer et al., 2014)"},"citationItems":[{"id":548,"uris":["http://zotero.org/users/2098925/items/GNXI6MGX"],"uri":["http://zotero.org/users/2098925/items/GNXI6MGX"],"itemData":{"id":548,"type":"book","title":"Universal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Pr="00C347AD">
        <w:fldChar w:fldCharType="separate"/>
      </w:r>
      <w:r w:rsidRPr="00C347AD">
        <w:rPr>
          <w:noProof/>
        </w:rPr>
        <w:t>(Meyer et al., 2014)</w:t>
      </w:r>
      <w:r w:rsidRPr="00C347AD">
        <w:fldChar w:fldCharType="end"/>
      </w:r>
      <w:r w:rsidRPr="00C347AD">
        <w:t xml:space="preserve">. </w:t>
      </w:r>
    </w:p>
    <w:p w14:paraId="738D1106" w14:textId="2516346A" w:rsidR="00B47BBB" w:rsidRPr="00C347AD" w:rsidRDefault="00B47BBB" w:rsidP="00B47BBB">
      <w:r w:rsidRPr="00C347AD">
        <w:rPr>
          <w:highlight w:val="yellow"/>
        </w:rPr>
        <w:t xml:space="preserve">Moreover, the dependent variables in </w:t>
      </w:r>
      <w:r w:rsidR="00E01ABE" w:rsidRPr="00C347AD">
        <w:rPr>
          <w:highlight w:val="yellow"/>
        </w:rPr>
        <w:t xml:space="preserve">this study </w:t>
      </w:r>
      <w:r w:rsidR="00AB1896" w:rsidRPr="00C347AD">
        <w:rPr>
          <w:highlight w:val="yellow"/>
        </w:rPr>
        <w:t>either</w:t>
      </w:r>
      <w:r w:rsidR="00E01ABE" w:rsidRPr="00C347AD">
        <w:rPr>
          <w:highlight w:val="yellow"/>
        </w:rPr>
        <w:t xml:space="preserve"> focus</w:t>
      </w:r>
      <w:r w:rsidR="00AB1896" w:rsidRPr="00C347AD">
        <w:rPr>
          <w:highlight w:val="yellow"/>
        </w:rPr>
        <w:t xml:space="preserve"> </w:t>
      </w:r>
      <w:r w:rsidRPr="00C347AD">
        <w:rPr>
          <w:highlight w:val="yellow"/>
        </w:rPr>
        <w:t>on different cognitive modalities</w:t>
      </w:r>
      <w:r w:rsidR="00AB1896" w:rsidRPr="00C347AD">
        <w:rPr>
          <w:highlight w:val="yellow"/>
        </w:rPr>
        <w:t xml:space="preserve"> or impact the expression of such knowledge</w:t>
      </w:r>
      <w:r w:rsidRPr="00C347AD">
        <w:rPr>
          <w:highlight w:val="yellow"/>
        </w:rPr>
        <w:t xml:space="preserve">. </w:t>
      </w:r>
      <w:r w:rsidR="00AB1896" w:rsidRPr="00C347AD">
        <w:rPr>
          <w:highlight w:val="yellow"/>
        </w:rPr>
        <w:t>For example, t</w:t>
      </w:r>
      <w:r w:rsidRPr="00C347AD">
        <w:rPr>
          <w:highlight w:val="yellow"/>
        </w:rPr>
        <w:t>he first variable (“Preservice teacher knowledge regarding structures and applied principles of UDL”) aligns between the columns of “rec</w:t>
      </w:r>
      <w:r w:rsidR="00AB1896" w:rsidRPr="00C347AD">
        <w:rPr>
          <w:highlight w:val="yellow"/>
        </w:rPr>
        <w:t>all” and “understand/analyze.” T</w:t>
      </w:r>
      <w:r w:rsidRPr="00C347AD">
        <w:rPr>
          <w:highlight w:val="yellow"/>
        </w:rPr>
        <w:t xml:space="preserve">he </w:t>
      </w:r>
      <w:r w:rsidR="00AB1896" w:rsidRPr="00C347AD">
        <w:rPr>
          <w:highlight w:val="yellow"/>
        </w:rPr>
        <w:t>second</w:t>
      </w:r>
      <w:r w:rsidRPr="00C347AD">
        <w:rPr>
          <w:highlight w:val="yellow"/>
        </w:rPr>
        <w:t xml:space="preserve"> </w:t>
      </w:r>
      <w:r w:rsidR="00AB1896" w:rsidRPr="00C347AD">
        <w:rPr>
          <w:highlight w:val="yellow"/>
        </w:rPr>
        <w:t xml:space="preserve">and third </w:t>
      </w:r>
      <w:r w:rsidRPr="00C347AD">
        <w:rPr>
          <w:highlight w:val="yellow"/>
        </w:rPr>
        <w:t>variable</w:t>
      </w:r>
      <w:r w:rsidR="00AB1896" w:rsidRPr="00C347AD">
        <w:rPr>
          <w:highlight w:val="yellow"/>
        </w:rPr>
        <w:t>s</w:t>
      </w:r>
      <w:r w:rsidRPr="00C347AD">
        <w:rPr>
          <w:highlight w:val="yellow"/>
        </w:rPr>
        <w:t>, examining preservice teacher</w:t>
      </w:r>
      <w:r w:rsidR="00AB1896" w:rsidRPr="00C347AD">
        <w:rPr>
          <w:highlight w:val="yellow"/>
        </w:rPr>
        <w:t>s efficacy and attitudes regarding including diverse students</w:t>
      </w:r>
      <w:r w:rsidR="008E273B" w:rsidRPr="00C347AD">
        <w:rPr>
          <w:highlight w:val="yellow"/>
        </w:rPr>
        <w:t xml:space="preserve"> and students with disabilities, serve as</w:t>
      </w:r>
      <w:r w:rsidRPr="00C347AD">
        <w:rPr>
          <w:highlight w:val="yellow"/>
        </w:rPr>
        <w:t xml:space="preserve"> mediators of knowledge and behavior (</w:t>
      </w:r>
      <w:r w:rsidR="00B323A5" w:rsidRPr="00C347AD">
        <w:rPr>
          <w:highlight w:val="yellow"/>
        </w:rPr>
        <w:t>e.g.,</w:t>
      </w:r>
      <w:r w:rsidRPr="00C347AD">
        <w:rPr>
          <w:highlight w:val="yellow"/>
        </w:rPr>
        <w:t xml:space="preserve"> Hargreaves, 1977; Link, 2013; Power &amp; Tisher, 1973; Rath, 2015) and thus </w:t>
      </w:r>
      <w:r w:rsidR="008E273B" w:rsidRPr="00C347AD">
        <w:rPr>
          <w:highlight w:val="yellow"/>
        </w:rPr>
        <w:t xml:space="preserve">remain </w:t>
      </w:r>
      <w:r w:rsidRPr="00C347AD">
        <w:rPr>
          <w:highlight w:val="yellow"/>
        </w:rPr>
        <w:t xml:space="preserve">relevant to </w:t>
      </w:r>
      <w:r w:rsidR="008E273B" w:rsidRPr="00C347AD">
        <w:rPr>
          <w:highlight w:val="yellow"/>
        </w:rPr>
        <w:t>the</w:t>
      </w:r>
      <w:r w:rsidRPr="00C347AD">
        <w:rPr>
          <w:highlight w:val="yellow"/>
        </w:rPr>
        <w:t xml:space="preserve"> discussion</w:t>
      </w:r>
      <w:r w:rsidR="008E273B" w:rsidRPr="00C347AD">
        <w:rPr>
          <w:highlight w:val="yellow"/>
        </w:rPr>
        <w:t xml:space="preserve"> of GPK</w:t>
      </w:r>
      <w:r w:rsidRPr="00C347AD">
        <w:rPr>
          <w:highlight w:val="yellow"/>
        </w:rPr>
        <w:t>.</w:t>
      </w:r>
      <w:r w:rsidRPr="00C347AD">
        <w:t xml:space="preserve"> Thus, given the overlap of UDL and König et al.’s four categories of GPK plus the degree to which the dependent variables correspond with the three cognitive modalities in König et al.’s framework of GPK, </w:t>
      </w:r>
      <w:r w:rsidR="005A6633" w:rsidRPr="00C347AD">
        <w:t xml:space="preserve">I herein </w:t>
      </w:r>
      <w:r w:rsidR="00F90BE4" w:rsidRPr="00C347AD">
        <w:t>utilize</w:t>
      </w:r>
      <w:r w:rsidR="005A6633" w:rsidRPr="00C347AD">
        <w:t xml:space="preserve"> the framework</w:t>
      </w:r>
      <w:r w:rsidRPr="00C347AD">
        <w:t xml:space="preserve"> to pinpoint exactly which of the 12 domains </w:t>
      </w:r>
      <w:r w:rsidR="00F90BE4" w:rsidRPr="00C347AD">
        <w:t>are</w:t>
      </w:r>
      <w:r w:rsidRPr="00C347AD">
        <w:t xml:space="preserve"> assessing with the instruments to be utilized in this study</w:t>
      </w:r>
      <w:r w:rsidR="00E01ABE" w:rsidRPr="00C347AD">
        <w:t xml:space="preserve"> (see </w:t>
      </w:r>
      <w:r w:rsidR="00526038" w:rsidRPr="00C347AD">
        <w:t>Chapter</w:t>
      </w:r>
      <w:r w:rsidR="00E01ABE" w:rsidRPr="00C347AD">
        <w:t xml:space="preserve"> 3)</w:t>
      </w:r>
      <w:r w:rsidRPr="00C347AD">
        <w:t xml:space="preserve">. This provides a degree of exactness that would not have otherwise been possible. </w:t>
      </w:r>
    </w:p>
    <w:p w14:paraId="05D2FDBB" w14:textId="6E358650" w:rsidR="00B47BBB" w:rsidRPr="00C347AD" w:rsidRDefault="00B47BBB" w:rsidP="00FE779B">
      <w:pPr>
        <w:pStyle w:val="Heading3"/>
        <w:rPr>
          <w:b w:val="0"/>
        </w:rPr>
      </w:pPr>
      <w:r w:rsidRPr="00C347AD">
        <w:t xml:space="preserve">Preservice teacher knowledge of UDL. </w:t>
      </w:r>
      <w:r w:rsidR="00E01ABE" w:rsidRPr="00C347AD">
        <w:rPr>
          <w:b w:val="0"/>
        </w:rPr>
        <w:t>The</w:t>
      </w:r>
      <w:r w:rsidRPr="00C347AD">
        <w:rPr>
          <w:b w:val="0"/>
        </w:rPr>
        <w:t xml:space="preserve"> last point of exploration regarding the literature base for teacher knowledge is the most specific: what does the literature say </w:t>
      </w:r>
      <w:r w:rsidRPr="00C347AD">
        <w:rPr>
          <w:b w:val="0"/>
        </w:rPr>
        <w:lastRenderedPageBreak/>
        <w:t>about measurement of preservice teacher GPK as pertains to UDL? Unsurprisingly, this degree of specificity combined with the relative youth of UDL research has resulted in a small pool of literature. Some of this work focuses specifically on how UDL can be applied in specific disciplines (</w:t>
      </w:r>
      <w:r w:rsidR="00B323A5" w:rsidRPr="00C347AD">
        <w:rPr>
          <w:b w:val="0"/>
        </w:rPr>
        <w:t>e.g.,</w:t>
      </w:r>
      <w:r w:rsidRPr="00C347AD">
        <w:rPr>
          <w:b w:val="0"/>
        </w:rPr>
        <w:t xml:space="preserve"> a PCK approach to UDL) including science </w:t>
      </w:r>
      <w:r w:rsidRPr="00C347AD">
        <w:rPr>
          <w:b w:val="0"/>
        </w:rPr>
        <w:fldChar w:fldCharType="begin"/>
      </w:r>
      <w:r w:rsidR="00F7126F" w:rsidRPr="00C347AD">
        <w:rPr>
          <w:b w:val="0"/>
        </w:rPr>
        <w:instrText xml:space="preserve"> ADDIN ZOTERO_ITEM CSL_CITATION {"citationID":"1qrlmi93hp","properties":{"formattedCitation":"(Dymond et al., 2006; Kurtts, Matthews, &amp; Smallwood, 2009)","plainCitation":"(Dymond et al., 2006; Kurtts, Matthews, &amp; Smallwood, 2009)"},"citationItems":[{"id":290,"uris":["http://zotero.org/users/2098925/items/9E555R6D"],"uri":["http://zotero.org/users/2098925/items/9E555R6D"],"itemData":{"id":290,"type":"article-journal","title":"Using a participatory action research approach to create a universally designed inclusive high school science course: A case study","container-title":"Research and Practice for Persons with Severe Disabilities","page":"293-308","volume":"31","issue":"4","ISSN":"0274-9483","journalAbbreviation":"Research and Practice for Persons with Severe Disabilities","author":[{"family":"Dymond","given":"Stacy K"},{"family":"Renzaglia","given":"Adelle"},{"family":"Rosenstein","given":"Amy"},{"family":"Chun","given":"Eul Jung"},{"family":"Banks","given":"Ronald A"},{"family":"Niswander","given":"Vicki"},{"family":"Gilson","given":"Christie L"}],"issued":{"date-parts":[["2006"]]}}},{"id":736,"uris":["http://zotero.org/users/2098925/items/MZ4ZZSAI"],"uri":["http://zotero.org/users/2098925/items/MZ4ZZSAI"],"itemData":{"id":736,"type":"article-journal","title":"(Dis)Solving the Differences A Physical Science Lesson Using Universal Design","container-title":"Intervention in School and Clinic","page":"151-159","volume":"44","issue":"3","source":"isc.sagepub.com.proxy.lib.utk.edu:90","abstract":"Universal design for learning (UDL) holds promise for teachers who are struggling with creating lessons that allow all students access to and engagement with the general science curriculum. In this article, the authors demonstrate how a secondary physical science lesson about solubility and concentration can be designed for diverse learners' needs by implementing UDL concepts. The lesson plan serves as an example of UDL in providing appropriate instruction that supports access to the general physical science curriculum for all learners.","DOI":"10.1177/1053451208326051","ISSN":"1053-4512,","journalAbbreviation":"Intervention in School and Clinic","language":"en","author":[{"family":"Kurtts","given":"Stephanie A."},{"family":"Matthews","given":"Catherine E."},{"family":"Smallwood","given":"Tammy"}],"issued":{"date-parts":[["2009",1,1]]}}}],"schema":"https://github.com/citation-style-language/schema/raw/master/csl-citation.json"} </w:instrText>
      </w:r>
      <w:r w:rsidRPr="00C347AD">
        <w:rPr>
          <w:b w:val="0"/>
        </w:rPr>
        <w:fldChar w:fldCharType="separate"/>
      </w:r>
      <w:r w:rsidRPr="00C347AD">
        <w:rPr>
          <w:b w:val="0"/>
          <w:noProof/>
        </w:rPr>
        <w:t>(Dymond et al., 2006; Kurtts, Matthews, &amp; Smallwood, 2009)</w:t>
      </w:r>
      <w:r w:rsidRPr="00C347AD">
        <w:rPr>
          <w:b w:val="0"/>
        </w:rPr>
        <w:fldChar w:fldCharType="end"/>
      </w:r>
      <w:r w:rsidRPr="00C347AD">
        <w:rPr>
          <w:b w:val="0"/>
        </w:rPr>
        <w:t xml:space="preserve">, reading </w:t>
      </w:r>
      <w:r w:rsidRPr="00C347AD">
        <w:rPr>
          <w:b w:val="0"/>
        </w:rPr>
        <w:fldChar w:fldCharType="begin"/>
      </w:r>
      <w:r w:rsidR="00F7126F" w:rsidRPr="00C347AD">
        <w:rPr>
          <w:b w:val="0"/>
        </w:rPr>
        <w:instrText xml:space="preserve"> ADDIN ZOTERO_ITEM CSL_CITATION {"citationID":"94x72q7Z","properties":{"formattedCitation":"(Coyne, Pisha, Dalton, Zeph, &amp; Smith, 2012; Meo, 2008)","plainCitation":"(Coyne, Pisha, Dalton, Zeph, &amp; Smith, 2012; Meo, 2008)"},"citationItems":[{"id":199,"uris":["http://zotero.org/users/2098925/items/77NQVPG6"],"uri":["http://zotero.org/users/2098925/items/77NQVPG6"],"itemData":{"id":199,"type":"article-journal","title":"Literacy by Design A Universal Design for Learning Approach for Students With Significant Intellectual Disabilities","container-title":"Remedial and Special Education","page":"162-172","volume":"33","issue":"3","source":"rse.sagepub.com.proxy.lib.utk.edu:90","abstract":"Literacy instruction for students with significant intellectual disabilities traditionally emphasizes isolated skills instruction focusing on sight words and basic vocabulary. Recent research suggests these students benefit from high-quality instruction that includes comprehension and storybook reading. This study examined the effect of a technology-based universal design for learning (UDL) approach to literacy instruction, Literacy by Design (LBD), on the reading achievement of 16 students with significant intellectual disabilities in Grades K–2. The LBD approach emphasizes reading for meaning, combining UDL-scaffolded e-books and letter and word recognition software. Nine teachers received training in research-based literacy practices. Of these, five received LBD training and implemented it four to five times weekly. Controlling for initial reading achievement, the LBD group made significantly greater gains on the Woodcock–Johnson Test of Achievement III Passage Comprehension subtest. Implications for research and practice in beginning reading instruction for children with significant intellectual disabilities are discussed.","DOI":"10.1177/0741932510381651","ISSN":"0741-9325, 1538-4756","journalAbbreviation":"Remedial and Special Education","language":"en","author":[{"family":"Coyne","given":"Peggy"},{"family":"Pisha","given":"Bart"},{"family":"Dalton","given":"Bridget"},{"family":"Zeph","given":"Lucille A."},{"family":"Smith","given":"Nancy Cook"}],"issued":{"date-parts":[["2012",5,1]]}}},{"id":395,"uris":["http://zotero.org/users/2098925/items/CPMDG93H"],"uri":["http://zotero.org/users/2098925/items/CPMDG93H"],"itemData":{"id":395,"type":"article-journal","title":"Curriculum Planning for All Learners: Applying Universal Design for Learning (UDL) to a High School Reading Comprehension Program","container-title":"Preventing School Failure","page":"21-30","volume":"52","issue":"2","source":"EBSCOhost","abstract":"The universal design for learning (UDL) principles provide a blueprint for designing a curriculum that addresses the diverse needs of all learners. The author provides an overview of UDL, connections to curriculum planning, and practical techniques that guide general and special education teachers in planning and implementing curriculum, using the planning for all learners (PAL) procedures. PAL is a 4-step process for designing and implementing a curriculum (goals, methods, materials, and assessments) that is accessible and effective for all learners. In this article, the author focuses on high school social studies content with a goal of supporting all students' understanding of the content by bringing together principles of UDL, the PAL process, and research-based reading comprehension strategies.","ISSN":"1045988X","shortTitle":"Curriculum Planning for All Learners","journalAbbreviation":"Preventing School Failure","author":[{"family":"Meo","given":"Grace"}],"issued":{"date-parts":[["2008"]],"season":"Winter"}}}],"schema":"https://github.com/citation-style-language/schema/raw/master/csl-citation.json"} </w:instrText>
      </w:r>
      <w:r w:rsidRPr="00C347AD">
        <w:rPr>
          <w:b w:val="0"/>
        </w:rPr>
        <w:fldChar w:fldCharType="separate"/>
      </w:r>
      <w:r w:rsidRPr="00C347AD">
        <w:rPr>
          <w:b w:val="0"/>
          <w:noProof/>
        </w:rPr>
        <w:t>(Coyne, Pisha, Dalton, Zeph, &amp; Smith, 2012; Meo, 2008)</w:t>
      </w:r>
      <w:r w:rsidRPr="00C347AD">
        <w:rPr>
          <w:b w:val="0"/>
        </w:rPr>
        <w:fldChar w:fldCharType="end"/>
      </w:r>
      <w:r w:rsidRPr="00C347AD">
        <w:rPr>
          <w:b w:val="0"/>
        </w:rPr>
        <w:t xml:space="preserve">, and mathematics </w:t>
      </w:r>
      <w:r w:rsidRPr="00C347AD">
        <w:rPr>
          <w:b w:val="0"/>
        </w:rPr>
        <w:fldChar w:fldCharType="begin"/>
      </w:r>
      <w:r w:rsidR="00F7126F" w:rsidRPr="00C347AD">
        <w:rPr>
          <w:b w:val="0"/>
        </w:rPr>
        <w:instrText xml:space="preserve"> ADDIN ZOTERO_ITEM CSL_CITATION {"citationID":"3sqr0fnuu","properties":{"formattedCitation":"(Kortering, McClannon, &amp; Braziel, 2008)","plainCitation":"(Kortering, McClannon, &amp; Braziel, 2008)"},"citationItems":[{"id":734,"uris":["http://zotero.org/users/2098925/items/MWWF6KPM"],"uri":["http://zotero.org/users/2098925/items/MWWF6KPM"],"itemData":{"id":734,"type":"article-journal","title":"Universal Design for Learning A Look at What Algebra and Biology Students With and Without High Incidence Conditions Are Saying","container-title":"Remedial and Special Education","page":"352-363","volume":"29","issue":"6","source":"rse.sagepub.com.proxy.lib.utk.edu:90","abstract":"This article examines findings on student perceptions of individual interventions based on the principles of universal design for learning (UDL). The examination includes a comparison of the reported perceptions of mainstreamed students with high incidence disabilities (i.e., learning disabilities, behavioral disorders, or other health impairments under Section 504 of the Rehabilitation Act) to that of their general education peers. Findings showed that relative to their other academic classes, both groups of students had high levels of satisfaction and expressed similar themes as to what they perceived to be the best and worst parts of the interventions and ideas for improvement. Both groups also reported near unanimous agreement as to wanting their teachers to use more UDL interventions. The reported perceptions and subsequent comparison forms the basis for discussing the implications of UDL in high school settings.","DOI":"10.1177/0741932507314020","ISSN":"0741-9325, 1538-4756","journalAbbreviation":"Remedial and Special Education","language":"en","author":[{"family":"Kortering","given":"Larry J."},{"family":"McClannon","given":"Terry W."},{"family":"Braziel","given":"Patricia M."}],"issued":{"date-parts":[["2008",11,1]]}}}],"schema":"https://github.com/citation-style-language/schema/raw/master/csl-citation.json"} </w:instrText>
      </w:r>
      <w:r w:rsidRPr="00C347AD">
        <w:rPr>
          <w:b w:val="0"/>
        </w:rPr>
        <w:fldChar w:fldCharType="separate"/>
      </w:r>
      <w:r w:rsidRPr="00C347AD">
        <w:rPr>
          <w:b w:val="0"/>
          <w:noProof/>
        </w:rPr>
        <w:t>(Kortering, McClannon, &amp; Braziel, 2008)</w:t>
      </w:r>
      <w:r w:rsidRPr="00C347AD">
        <w:rPr>
          <w:b w:val="0"/>
        </w:rPr>
        <w:fldChar w:fldCharType="end"/>
      </w:r>
      <w:r w:rsidRPr="00C347AD">
        <w:rPr>
          <w:b w:val="0"/>
        </w:rPr>
        <w:t xml:space="preserve">. However, these articles focus more on the professional application of UDL rather than the development of the skill in preservice teachers. Fewer works explicitly examine how to prepare and assess the GPK of preservice teachers in relation to UDL. Those that do offer ideas ranging from short direct instructional interventions, the efficacy of which are measured using UDL lesson plan development </w:t>
      </w:r>
      <w:r w:rsidRPr="00C347AD">
        <w:rPr>
          <w:b w:val="0"/>
        </w:rPr>
        <w:fldChar w:fldCharType="begin"/>
      </w:r>
      <w:r w:rsidR="00F7126F" w:rsidRPr="00C347AD">
        <w:rPr>
          <w:b w:val="0"/>
        </w:rPr>
        <w:instrText xml:space="preserve"> ADDIN ZOTERO_ITEM CSL_CITATION {"citationID":"ll9ka3a1o","properties":{"formattedCitation":"(Courey, Tappe, Siker, &amp; LePage, 2013; C. Evans, Williams, King, &amp; Metcalf, 2010; Spooner, Baker, Harris, Delzell, &amp; Browder, 2007; Van Laarhoven, Kraus, Karpman, Nizzi, &amp; Valentino, 2011)","plainCitation":"(Courey, Tappe, Siker, &amp; LePage, 2013; C. Evans, Williams, King, &amp; Metcalf, 2010; Spooner, Baker, Harris, Delzell, &amp; Browder, 2007; Van Laarhoven, Kraus, Karpman, Nizzi, &amp; Valentino, 2011)","dontUpdate":true},"citationItems":[{"id":1046,"uris":["http://zotero.org/users/2098925/items/WZ4JRR4F"],"uri":["http://zotero.org/users/2098925/items/WZ4JRR4F"],"itemData":{"id":1046,"type":"article-journal","title":"Improved Lesson Planning With Universal Design for Learning (UDL)","container-title":"Teacher Education and Special Education: The Journal of the Teacher Education Division of the Council for Exceptional Children","page":"7-27","volume":"36","issue":"1","source":"tes.sagepub.com","abstract":"Efficient lesson planning with universal design for learning (UDL) enables teachers to more effectively meet students’ individual needs. In this study, a comparison of lesson plans by teacher candidates in a teacher preparation program before and after UDL training is presented. After training, teachers (n = 45) incorporated more differentiated options and varied teacher strategies based on UDL principles into their lesson plans, so that the content was more accessible to all students. A variety of changes and options was examined, and examples of commonly occurring choices selected by the teacher candidates were provided. The improved multiplicity of options in lesson planning demonstrates a better understanding of UDL principles; however, teachers need more experience in actually implementing the UDL principles in their classrooms.","DOI":"10.1177/0888406412446178","ISSN":"0888-4064, 1944-4931","journalAbbreviation":"Teacher Education and Special Education: The Journal of the Teacher Education Division of the Council for Exceptional Children","language":"en","author":[{"family":"Courey","given":"Susan Joan"},{"family":"Tappe","given":"Phyllis"},{"family":"Siker","given":"Jody"},{"family":"LePage","given":"Pam"}],"issued":{"date-parts":[["2013",2,1]]}}},{"id":1058,"uris":["http://zotero.org/users/2098925/items/X9QR6Z2Z"],"uri":["http://zotero.org/users/2098925/items/X9QR6Z2Z"],"itemData":{"id":1058,"type":"article-journal","title":"Modeling, Guided Instruction, and Application of UDL in a Rural Special Education Teacher Preparation Program","container-title":"Rural Special Education Quarterly","page":"41-48 8p","volume":"29","issue":"4","source":"EBSCOhost","ISSN":"8756-8705","journalAbbreviation":"Rural Special Education Quarterly","author":[{"family":"Evans","given":"Chan"},{"family":"Williams","given":"Jennifer B."},{"family":"King","given":"Laura"},{"family":"Metcalf","given":"Debbie"}],"issued":{"date-parts":[["2010"]],"season":"Winter"}}},{"id":1065,"uris":["http://zotero.org/users/2098925/items/FHPWD6XK"],"uri":["http://zotero.org/users/2098925/items/FHPWD6XK"],"itemData":{"id":1065,"type":"article-journal","title":"Effects of Training in Universal Design for Learning on Lesson Plan Development","container-title":"Remedial &amp; Special Education","page":"108-116","volume":"28","issue":"2","source":"EBSCOhost","abstract":"The effects of training in Universal Design for Learning (UDL) on lesson plan development of special and general educators in a college classroom environment were investigated. A true experimental group design with a control group was used for this study. A one-hour teacher training session introduced UDL to the experimental group; the control group received the intervention later. A three-factor analysis of variance with repeated measures was completed for each of the dependent variables (i.e., UDL lesson plan). Differences were found between pretest and posttest measures for both treatment groups for special education and general education teachers. The results suggest that a simple introduction to UDL can help teachers to design a lesson plan accessible for all students.","ISSN":"07419325","journalAbbreviation":"Remedial &amp; Special Education","author":[{"family":"Spooner","given":"Fred"},{"family":"Baker","given":"Joshua N."},{"family":"Harris","given":"Amber A."},{"family":"Delzell","given":"Lynn Ahlgrim"},{"family":"Browder","given":"Diane M."}],"issued":{"date-parts":[["2007",4,3]]}}},{"id":264,"uris":["http://zotero.org/users/2098925/items/8SFXEQQC"],"uri":["http://zotero.org/users/2098925/items/8SFXEQQC"],"itemData":{"id":264,"type":"article-journal","title":"A Comparison of Picture and Video Prompts to Teach Daily Living Skills to Individuals with Autism","container-title":"Focus on Autism and Other Developmental Disabilities","page":"195–208","issue":"4","source":"Primo","abstract":"This study was conducted to compare the effectiveness of video prompting and picture prompting when used as antecedents for teaching daily living skills to two adolescents with autism. Participants were taught two different skills, and the effects of the instructional conditions were compared and evaluated using an adapted alternating-treatments design. The results can be interpreted to conclude that video prompting was slightly more effective in terms of independent correct responding, fewer external prompts for task completion, and fewer prompts to use instructional materials. In addition, when efficiency scores were calculated by considering the ratio of each participant's growth (from pretest to posttest) to the measured \"cost\" of minutes required to create instructional materials, video prompting was considerably more efficient than picture prompting. (Contains 4 figures.)","DOI":"10.1177/1088357610380412","ISSN":"1088-3576","language":"eng","author":[{"family":"Van Laarhoven","given":"Toni"},{"family":"Kraus","given":"Erika"},{"family":"Karpman","given":"Keri"},{"family":"Nizzi","given":"Rosemary"},{"family":"Valentino","given":"Joe"}],"issued":{"date-parts":[["2011"]]}}}],"schema":"https://github.com/citation-style-language/schema/raw/master/csl-citation.json"} </w:instrText>
      </w:r>
      <w:r w:rsidRPr="00C347AD">
        <w:rPr>
          <w:b w:val="0"/>
        </w:rPr>
        <w:fldChar w:fldCharType="separate"/>
      </w:r>
      <w:r w:rsidRPr="00C347AD">
        <w:rPr>
          <w:b w:val="0"/>
          <w:noProof/>
        </w:rPr>
        <w:t>(Courey, T</w:t>
      </w:r>
      <w:r w:rsidR="00060CC2" w:rsidRPr="00C347AD">
        <w:rPr>
          <w:b w:val="0"/>
          <w:noProof/>
        </w:rPr>
        <w:t xml:space="preserve">appe, Siker, &amp; LePage, 2013; </w:t>
      </w:r>
      <w:r w:rsidRPr="00C347AD">
        <w:rPr>
          <w:b w:val="0"/>
          <w:noProof/>
        </w:rPr>
        <w:t>Spooner, Baker, Harris, Delzell, &amp; Browder, 2007; Van Laarhoven, Kraus, Karpman, Nizzi, &amp; Valentino, 2011)</w:t>
      </w:r>
      <w:r w:rsidRPr="00C347AD">
        <w:rPr>
          <w:b w:val="0"/>
        </w:rPr>
        <w:fldChar w:fldCharType="end"/>
      </w:r>
      <w:r w:rsidRPr="00C347AD">
        <w:rPr>
          <w:b w:val="0"/>
        </w:rPr>
        <w:t xml:space="preserve"> to those that demonstrate intensive solutions involving whole program re-development with a central focus on UDL </w:t>
      </w:r>
      <w:r w:rsidRPr="00C347AD">
        <w:rPr>
          <w:b w:val="0"/>
        </w:rPr>
        <w:fldChar w:fldCharType="begin"/>
      </w:r>
      <w:r w:rsidR="00F7126F" w:rsidRPr="00C347AD">
        <w:rPr>
          <w:b w:val="0"/>
        </w:rPr>
        <w:instrText xml:space="preserve"> ADDIN ZOTERO_ITEM CSL_CITATION {"citationID":"2859thbmfk","properties":{"formattedCitation":"(C. Evans et al., 2010; Frey, Andres, McKeeman, &amp; Lane, 2012)","plainCitation":"(C. Evans et al., 2010; Frey, Andres, McKeeman, &amp; Lane, 2012)"},"citationItems":[{"id":1058,"uris":["http://zotero.org/users/2098925/items/X9QR6Z2Z"],"uri":["http://zotero.org/users/2098925/items/X9QR6Z2Z"],"itemData":{"id":1058,"type":"article-journal","title":"Modeling, Guided Instruction, and Application of UDL in a Rural Special Education Teacher Preparation Program","container-title":"Rural Special Education Quarterly","page":"41-48 8p","volume":"29","issue":"4","source":"EBSCOhost","ISSN":"8756-8705","journalAbbreviation":"Rural Special Education Quarterly","author":[{"family":"Evans","given":"Chan"},{"family":"Williams","given":"Jennifer B."},{"family":"King","given":"Laura"},{"family":"Metcalf","given":"Debbie"}],"issued":{"date-parts":[["2010"]],"season":"Winter"}}},{"id":857,"uris":["http://zotero.org/users/2098925/items/RF75UMZA"],"uri":["http://zotero.org/users/2098925/items/RF75UMZA"],"itemData":{"id":857,"type":"article-journal","title":"Collaboration by Design: Integrating Core Pedagogical Content and Special Education Methods Courses in a Preservice Secondary Education Program","container-title":"The Teacher Educator","page":"45-66","volume":"47","issue":"1","source":"Taylor and Francis+NEJM","abstract":"In this article the authors describe a collaboratively designed secondary teacher education program focused on the preparation of preservice general education teachers to work effectively with children who have diverse learning needs in inclusive classrooms. The focus of the article is on the collaborative development and initial evaluation of the program by secondary teacher education faculty and special education faculty. The instructional design emphasized a co-teaching model where principles of Universal Design for Learning and instructional adaptation were integrated and assessed in multiple courses by collaborating university faculty. Data from the initial evaluation included student teaching portfolios, formal teacher observations, and 6th- through 12th-grade student assessments. The data suggest that preservice teachers appropriately used strategies for adapting their instruction to meet the needs of students with exceptionalities.","DOI":"10.1080/08878730.2011.632473","ISSN":"0887-8730","shortTitle":"Collaboration by Design","author":[{"family":"Frey","given":"Timothy J."},{"family":"Andres","given":"Debra K."},{"family":"McKeeman","given":"Leah A."},{"family":"Lane","given":"Jessica J."}],"issued":{"date-parts":[["2012",1,1]]}}}],"schema":"https://github.com/citation-style-language/schema/raw/master/csl-citation.json"} </w:instrText>
      </w:r>
      <w:r w:rsidRPr="00C347AD">
        <w:rPr>
          <w:b w:val="0"/>
        </w:rPr>
        <w:fldChar w:fldCharType="separate"/>
      </w:r>
      <w:r w:rsidR="00060CC2" w:rsidRPr="00C347AD">
        <w:rPr>
          <w:b w:val="0"/>
          <w:noProof/>
        </w:rPr>
        <w:t xml:space="preserve">( Evans, Williams, King, &amp; Metcalf, 2010; </w:t>
      </w:r>
      <w:r w:rsidRPr="00C347AD">
        <w:rPr>
          <w:b w:val="0"/>
          <w:noProof/>
        </w:rPr>
        <w:t>Frey, Andres, McKeeman, &amp; Lane, 2012)</w:t>
      </w:r>
      <w:r w:rsidRPr="00C347AD">
        <w:rPr>
          <w:b w:val="0"/>
        </w:rPr>
        <w:fldChar w:fldCharType="end"/>
      </w:r>
      <w:r w:rsidRPr="00C347AD">
        <w:rPr>
          <w:b w:val="0"/>
        </w:rPr>
        <w:t xml:space="preserve">. Each of these studies provides ideas and instruments </w:t>
      </w:r>
      <w:r w:rsidR="00060CC2" w:rsidRPr="00C347AD">
        <w:rPr>
          <w:b w:val="0"/>
        </w:rPr>
        <w:t>useful for this study</w:t>
      </w:r>
      <w:r w:rsidRPr="00C347AD">
        <w:rPr>
          <w:b w:val="0"/>
        </w:rPr>
        <w:t>, which</w:t>
      </w:r>
      <w:r w:rsidR="00060CC2" w:rsidRPr="00C347AD">
        <w:rPr>
          <w:b w:val="0"/>
        </w:rPr>
        <w:t xml:space="preserve"> itself</w:t>
      </w:r>
      <w:r w:rsidRPr="00C347AD">
        <w:rPr>
          <w:b w:val="0"/>
        </w:rPr>
        <w:t xml:space="preserve"> falls somewhere between the two groups</w:t>
      </w:r>
      <w:r w:rsidR="0093590A" w:rsidRPr="00C347AD">
        <w:rPr>
          <w:b w:val="0"/>
        </w:rPr>
        <w:t xml:space="preserve"> in terms of comprehensiveness </w:t>
      </w:r>
      <w:r w:rsidRPr="00C347AD">
        <w:rPr>
          <w:b w:val="0"/>
        </w:rPr>
        <w:t xml:space="preserve">and extends the measurement to explore a network of dependent variables. </w:t>
      </w:r>
      <w:r w:rsidR="00060CC2" w:rsidRPr="00C347AD">
        <w:rPr>
          <w:b w:val="0"/>
        </w:rPr>
        <w:t>A brief review of the most relevant studies follows.</w:t>
      </w:r>
    </w:p>
    <w:p w14:paraId="0A5CADCD" w14:textId="430379BD" w:rsidR="00B47BBB" w:rsidRPr="00C347AD" w:rsidRDefault="00B47BBB" w:rsidP="00B47BBB">
      <w:r w:rsidRPr="00C347AD">
        <w:t xml:space="preserve">In their study, Spooner, et al. </w:t>
      </w:r>
      <w:r w:rsidR="00060CC2" w:rsidRPr="00C347AD">
        <w:t>(2007) explore the effect of a one-</w:t>
      </w:r>
      <w:r w:rsidRPr="00C347AD">
        <w:t xml:space="preserve">hour direct instruction intervention on the ability of preservice teachers to design lesson plans (in 20 </w:t>
      </w:r>
      <w:r w:rsidRPr="00C347AD">
        <w:lastRenderedPageBreak/>
        <w:t xml:space="preserve">minutes) that reflected the three guiding principles of UDL (multiple means of representation, action/expression, and engagement). </w:t>
      </w:r>
      <w:r w:rsidR="003977D8" w:rsidRPr="00C347AD">
        <w:t>In this</w:t>
      </w:r>
      <w:r w:rsidRPr="00C347AD">
        <w:t xml:space="preserve"> study, which was a pre-test/posttest experimental group study,</w:t>
      </w:r>
      <w:r w:rsidR="003977D8" w:rsidRPr="00C347AD">
        <w:t xml:space="preserve"> I</w:t>
      </w:r>
      <w:r w:rsidRPr="00C347AD">
        <w:t xml:space="preserve"> showed strong and statistically significant growth for the group re</w:t>
      </w:r>
      <w:r w:rsidR="00620CBF" w:rsidRPr="00C347AD">
        <w:t>ceiving the one</w:t>
      </w:r>
      <w:r w:rsidRPr="00C347AD">
        <w:t>-hour intervention compared to those who did not receive such intervention. However, the immediacy of the assessment (</w:t>
      </w:r>
      <w:r w:rsidR="004F52F4" w:rsidRPr="00C347AD">
        <w:t>i.e.,</w:t>
      </w:r>
      <w:r w:rsidRPr="00C347AD">
        <w:t xml:space="preserve"> the lesson plan) as well as the brevity and apparent directness of the instruction (without any indication of emotional engagement) casts uncertainty on the degree to which the learning can be assumed to be sustained </w:t>
      </w:r>
      <w:r w:rsidRPr="00C347AD">
        <w:fldChar w:fldCharType="begin"/>
      </w:r>
      <w:r w:rsidR="00F7126F" w:rsidRPr="00C347AD">
        <w:instrText xml:space="preserve"> ADDIN ZOTERO_ITEM CSL_CITATION {"citationID":"10tvunvh7g","properties":{"formattedCitation":"(Maren, 1999; Meyer et al., 2014)","plainCitation":"(Maren, 1999; Meyer et al., 2014)"},"citationItems":[{"id":17,"uris":["http://zotero.org/users/2098925/items/2M54W53U"],"uri":["http://zotero.org/users/2098925/items/2M54W53U"],"itemData":{"id":17,"type":"article-journal","title":"Long-term potentiation in the amygdala: a mechanism for emotional learning and memory","container-title":"Trends in Neurosciences","page":"561-567","volume":"22","issue":"12","source":"ScienceDirect","abstract":"In the mammalian brain, LTP is an enduring form of synaptic plasticity that is posited to have a role in learning and memory. Compelling new evidence for this view derives from studies of LTP in the amygdala, a brain structure that is essential for simple forms of emotional learning and memory, such as Pavlovian fear conditioning in rats. More specifically, antagonists of the NMDA receptor block both amygdaloid LTP induction and fear conditioning, fear conditioning induces increases in amygdaloid synaptic transmission that resemble LTP, and genetic modifications that disrupt amygdaloid LTP eliminate fear conditioning. Collectively, these results provide the most-convincing evidence to date that LTP mediates learning and memory in mammals.","DOI":"10.1016/S0166-2236(99)01465-4","ISSN":"0166-2236","shortTitle":"Long-term potentiation in the amygdala","journalAbbreviation":"Trends in Neurosciences","author":[{"family":"Maren","given":"Stephen"}],"issued":{"date-parts":[["1999",12,1]]}}},{"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Pr="00C347AD">
        <w:fldChar w:fldCharType="separate"/>
      </w:r>
      <w:r w:rsidRPr="00C347AD">
        <w:rPr>
          <w:noProof/>
        </w:rPr>
        <w:t>(Maren, 1999; Meyer et al., 2014)</w:t>
      </w:r>
      <w:r w:rsidRPr="00C347AD">
        <w:fldChar w:fldCharType="end"/>
      </w:r>
      <w:r w:rsidRPr="00C347AD">
        <w:t xml:space="preserve">. </w:t>
      </w:r>
      <w:r w:rsidR="008E273B" w:rsidRPr="00C347AD">
        <w:t xml:space="preserve">Therefore, the Spooner et al. </w:t>
      </w:r>
      <w:r w:rsidRPr="00C347AD">
        <w:t xml:space="preserve"> article provides some ideas as to how to teach UDL (</w:t>
      </w:r>
      <w:r w:rsidR="00B323A5" w:rsidRPr="00C347AD">
        <w:t>e.g.,</w:t>
      </w:r>
      <w:r w:rsidRPr="00C347AD">
        <w:t xml:space="preserve"> direct instruction, with a focus on definitional aspects) and how to assess preservice teacher knowledge thereof (via lesson plan development); however, the limitations of </w:t>
      </w:r>
      <w:r w:rsidR="008E273B" w:rsidRPr="00C347AD">
        <w:t>their</w:t>
      </w:r>
      <w:r w:rsidRPr="00C347AD">
        <w:t xml:space="preserve"> study ought to b</w:t>
      </w:r>
      <w:r w:rsidR="00EF04A2" w:rsidRPr="00C347AD">
        <w:t xml:space="preserve">e addressed in any new research. </w:t>
      </w:r>
    </w:p>
    <w:p w14:paraId="20845429" w14:textId="54DF7A1E" w:rsidR="00B47BBB" w:rsidRPr="00C347AD" w:rsidRDefault="00AB2016" w:rsidP="00B47BBB">
      <w:r w:rsidRPr="00C347AD">
        <w:t>Courey,</w:t>
      </w:r>
      <w:r w:rsidR="00B47BBB" w:rsidRPr="00C347AD">
        <w:t xml:space="preserve"> et al. (2013) do just that. In their replication/extension of Spooner, et al. (2007), Courey</w:t>
      </w:r>
      <w:r w:rsidRPr="00C347AD">
        <w:t>,</w:t>
      </w:r>
      <w:r w:rsidR="00B47BBB" w:rsidRPr="00C347AD">
        <w:t xml:space="preserve"> et al. involve participants who are preparing for inclusive settings in which students with disabilities will be present alongside those without disabilities. These participants are tasked with designing lesson plans to be used for simultaneously teaching a whole class (rather than individual students, as was the case in Spooner et al.). Courey</w:t>
      </w:r>
      <w:r w:rsidRPr="00C347AD">
        <w:t>,</w:t>
      </w:r>
      <w:r w:rsidR="00B47BBB" w:rsidRPr="00C347AD">
        <w:t xml:space="preserve"> et al. expand the UDL training module from 1 hour to 3 hours. The authors also match Spooner et al. in the provision of a pre-test and immediate posttest, but then also—critically—add a maintenance posttest at the end of the semester. The results are again positive, demonstrating significant growth in the performance of participants from pretest </w:t>
      </w:r>
      <w:r w:rsidR="00B47BBB" w:rsidRPr="00C347AD">
        <w:lastRenderedPageBreak/>
        <w:t>to first posttest and a high degree of maintenance (and often further improvement) between the first posttest and the maintenance posttest. This literature thus expands the notion of direct instruction of UDL to be a module-based learning</w:t>
      </w:r>
      <w:r w:rsidR="006E45CB" w:rsidRPr="00C347AD">
        <w:t xml:space="preserve"> experience</w:t>
      </w:r>
      <w:r w:rsidR="00B47BBB" w:rsidRPr="00C347AD">
        <w:t xml:space="preserve"> over three hours (</w:t>
      </w:r>
      <w:r w:rsidR="00E76A1B" w:rsidRPr="00C347AD">
        <w:t>compared to direct lecture for one</w:t>
      </w:r>
      <w:r w:rsidR="00B47BBB" w:rsidRPr="00C347AD">
        <w:t xml:space="preserve"> hour in Spooner </w:t>
      </w:r>
      <w:r w:rsidR="00E76A1B" w:rsidRPr="00C347AD">
        <w:t>and other’s study)</w:t>
      </w:r>
      <w:r w:rsidR="00B47BBB" w:rsidRPr="00C347AD">
        <w:t xml:space="preserve"> and demonstrate how the lesson plan analysis can be utilized as a repeated measure to obtain a degree of maintenance data at the end of the term. </w:t>
      </w:r>
    </w:p>
    <w:p w14:paraId="0F9D75B3" w14:textId="05C7A540" w:rsidR="00B47BBB" w:rsidRPr="00C347AD" w:rsidRDefault="00B47BBB" w:rsidP="00B47BBB">
      <w:r w:rsidRPr="00C347AD">
        <w:t xml:space="preserve">Frey, Andres, McKeeman, and Lane (2012) apply a far more comprehensive </w:t>
      </w:r>
      <w:r w:rsidR="005A6633" w:rsidRPr="00C347AD">
        <w:t>approach</w:t>
      </w:r>
      <w:r w:rsidRPr="00C347AD">
        <w:t xml:space="preserve"> which involves a fully developed, semester-long intervention whereby intensive collaboration between general and special education faculty is utilized for the purpose of developing understanding of UDL and its practical applications among preservice teacher participants. For example, when students design and write lesson plans, the single assessment is graded in both a general methods course and an inclusive education course in which each focuses on different aspects of the lesson plan (</w:t>
      </w:r>
      <w:r w:rsidR="00B323A5" w:rsidRPr="00C347AD">
        <w:t>e.g.,</w:t>
      </w:r>
      <w:r w:rsidRPr="00C347AD">
        <w:t xml:space="preserve"> hook, clear instructional materials, closure </w:t>
      </w:r>
      <w:r w:rsidR="008835CB" w:rsidRPr="00C347AD">
        <w:t>were</w:t>
      </w:r>
      <w:r w:rsidRPr="00C347AD">
        <w:t xml:space="preserve"> assessed for the general methods course, whereas degree of UDL integration was assessed for the inclusive education course). Critically, the participants were then followed into their semester-long practicum experience, and the outcomes of the students with diverse learning needs that the student teachers served were further assessed. The results were resoundingly positive. However, three major factors limit the utility of</w:t>
      </w:r>
      <w:r w:rsidR="00AC2584" w:rsidRPr="00C347AD">
        <w:t xml:space="preserve"> this study as an example for </w:t>
      </w:r>
      <w:r w:rsidR="008835CB" w:rsidRPr="00C347AD">
        <w:t>my</w:t>
      </w:r>
      <w:r w:rsidR="00AC2584" w:rsidRPr="00C347AD">
        <w:t xml:space="preserve"> study</w:t>
      </w:r>
      <w:r w:rsidRPr="00C347AD">
        <w:t xml:space="preserve">. First, the scope of </w:t>
      </w:r>
      <w:r w:rsidR="00AC2584" w:rsidRPr="00C347AD">
        <w:t>Frey et al.’s</w:t>
      </w:r>
      <w:r w:rsidRPr="00C347AD">
        <w:t xml:space="preserve"> study (being a comprehensive collaborative project of the college) </w:t>
      </w:r>
      <w:r w:rsidR="009D53FB" w:rsidRPr="00C347AD">
        <w:t>was</w:t>
      </w:r>
      <w:r w:rsidRPr="00C347AD">
        <w:t xml:space="preserve"> beyond </w:t>
      </w:r>
      <w:r w:rsidR="008835CB" w:rsidRPr="00C347AD">
        <w:t>my</w:t>
      </w:r>
      <w:r w:rsidRPr="00C347AD">
        <w:t xml:space="preserve"> position or feasible </w:t>
      </w:r>
      <w:r w:rsidR="00AC2584" w:rsidRPr="00C347AD">
        <w:t xml:space="preserve">capacity to replicate. Second, </w:t>
      </w:r>
      <w:r w:rsidR="008835CB" w:rsidRPr="00C347AD">
        <w:t>I</w:t>
      </w:r>
      <w:r w:rsidR="00AC2584" w:rsidRPr="00C347AD">
        <w:t xml:space="preserve"> did</w:t>
      </w:r>
      <w:r w:rsidRPr="00C347AD">
        <w:t xml:space="preserve"> not have the time to follow </w:t>
      </w:r>
      <w:r w:rsidRPr="00C347AD">
        <w:lastRenderedPageBreak/>
        <w:t xml:space="preserve">participants into their practicum experiences. Third, </w:t>
      </w:r>
      <w:r w:rsidR="00A97338" w:rsidRPr="00C347AD">
        <w:t>my</w:t>
      </w:r>
      <w:r w:rsidR="009D53FB" w:rsidRPr="00C347AD">
        <w:t xml:space="preserve"> study </w:t>
      </w:r>
      <w:r w:rsidR="00A97338" w:rsidRPr="00C347AD">
        <w:t>is</w:t>
      </w:r>
      <w:r w:rsidR="009D53FB" w:rsidRPr="00C347AD">
        <w:t xml:space="preserve"> necessarily quantitative in order to contribute to that void in existing literature</w:t>
      </w:r>
      <w:r w:rsidRPr="00C347AD">
        <w:t xml:space="preserve">. Nevertheless, the concepts and positive outcomes of </w:t>
      </w:r>
      <w:r w:rsidR="009D53FB" w:rsidRPr="00C347AD">
        <w:t>Frey et al,’s</w:t>
      </w:r>
      <w:r w:rsidRPr="00C347AD">
        <w:t xml:space="preserve"> study </w:t>
      </w:r>
      <w:r w:rsidR="000D37F6" w:rsidRPr="00C347AD">
        <w:t>are</w:t>
      </w:r>
      <w:r w:rsidRPr="00C347AD">
        <w:t xml:space="preserve"> encouraging</w:t>
      </w:r>
      <w:r w:rsidR="000D37F6" w:rsidRPr="00C347AD">
        <w:t xml:space="preserve"> and relevant</w:t>
      </w:r>
      <w:r w:rsidRPr="00C347AD">
        <w:t xml:space="preserve"> for </w:t>
      </w:r>
      <w:r w:rsidR="000D37F6" w:rsidRPr="00C347AD">
        <w:t>this</w:t>
      </w:r>
      <w:r w:rsidR="009D53FB" w:rsidRPr="00C347AD">
        <w:t xml:space="preserve"> study</w:t>
      </w:r>
      <w:r w:rsidRPr="00C347AD">
        <w:t xml:space="preserve">. </w:t>
      </w:r>
    </w:p>
    <w:p w14:paraId="26B90E79" w14:textId="3220F3E5" w:rsidR="00B47BBB" w:rsidRPr="00C347AD" w:rsidRDefault="00A97338" w:rsidP="00B47BBB">
      <w:r w:rsidRPr="00C347AD">
        <w:fldChar w:fldCharType="begin"/>
      </w:r>
      <w:r w:rsidR="00F7126F" w:rsidRPr="00C347AD">
        <w:instrText xml:space="preserve"> ADDIN ZOTERO_ITEM CSL_CITATION {"citationID":"k3g5t1v01","properties":{"formattedCitation":"(Van Laarhoven et al., 2011)","plainCitation":"(Van Laarhoven et al., 2011)"},"citationItems":[{"id":264,"uris":["http://zotero.org/users/2098925/items/8SFXEQQC"],"uri":["http://zotero.org/users/2098925/items/8SFXEQQC"],"itemData":{"id":264,"type":"article-journal","title":"A Comparison of Picture and Video Prompts to Teach Daily Living Skills to Individuals with Autism","container-title":"Focus on Autism and Other Developmental Disabilities","page":"195–208","issue":"4","source":"Primo","abstract":"This study was conducted to compare the effectiveness of video prompting and picture prompting when used as antecedents for teaching daily living skills to two adolescents with autism. Participants were taught two different skills, and the effects of the instructional conditions were compared and evaluated using an adapted alternating-treatments design. The results can be interpreted to conclude that video prompting was slightly more effective in terms of independent correct responding, fewer external prompts for task completion, and fewer prompts to use instructional materials. In addition, when efficiency scores were calculated by considering the ratio of each participant's growth (from pretest to posttest) to the measured \"cost\" of minutes required to create instructional materials, video prompting was considerably more efficient than picture prompting. (Contains 4 figures.)","DOI":"10.1177/1088357610380412","ISSN":"1088-3576","language":"eng","author":[{"family":"Van Laarhoven","given":"Toni"},{"family":"Kraus","given":"Erika"},{"family":"Karpman","given":"Keri"},{"family":"Nizzi","given":"Rosemary"},{"family":"Valentino","given":"Joe"}],"issued":{"date-parts":[["2011"]]}}}],"schema":"https://github.com/citation-style-language/schema/raw/master/csl-citation.json"} </w:instrText>
      </w:r>
      <w:r w:rsidRPr="00C347AD">
        <w:fldChar w:fldCharType="separate"/>
      </w:r>
      <w:r w:rsidRPr="00C347AD">
        <w:rPr>
          <w:noProof/>
        </w:rPr>
        <w:t>Van Laarhoven, et al.'s (2011)</w:t>
      </w:r>
      <w:r w:rsidRPr="00C347AD">
        <w:fldChar w:fldCharType="end"/>
      </w:r>
      <w:r w:rsidRPr="00C347AD">
        <w:t xml:space="preserve"> study </w:t>
      </w:r>
      <w:r w:rsidR="001A4B9D" w:rsidRPr="00C347AD">
        <w:t>is relevant and the author</w:t>
      </w:r>
      <w:r w:rsidR="00883E3E" w:rsidRPr="00C347AD">
        <w:t>s</w:t>
      </w:r>
      <w:r w:rsidR="001A4B9D" w:rsidRPr="00C347AD">
        <w:t>’</w:t>
      </w:r>
      <w:r w:rsidR="00B47BBB" w:rsidRPr="00C347AD">
        <w:t xml:space="preserve"> data collection </w:t>
      </w:r>
      <w:r w:rsidR="00883E3E" w:rsidRPr="00C347AD">
        <w:t>methods most closely resemble that used in</w:t>
      </w:r>
      <w:r w:rsidR="00B47BBB" w:rsidRPr="00C347AD">
        <w:t xml:space="preserve"> </w:t>
      </w:r>
      <w:r w:rsidR="00883E3E" w:rsidRPr="00C347AD">
        <w:t>my</w:t>
      </w:r>
      <w:r w:rsidR="00B47BBB" w:rsidRPr="00C347AD">
        <w:t xml:space="preserve"> study. In their study, Van Laarhoven</w:t>
      </w:r>
      <w:r w:rsidR="000B6501" w:rsidRPr="00C347AD">
        <w:t>,</w:t>
      </w:r>
      <w:r w:rsidR="00B47BBB" w:rsidRPr="00C347AD">
        <w:t xml:space="preserve"> et al. assessed the impact of a voluntary program offered to general education preservice teachers who wished to enhance their skills pertaining to inclusive classroom settings. Though the scale of the intervention, involving extensive collaboration, coursework, and field experiences, is beyond the range of </w:t>
      </w:r>
      <w:r w:rsidR="009D53FB" w:rsidRPr="00C347AD">
        <w:t>the</w:t>
      </w:r>
      <w:r w:rsidR="00B47BBB" w:rsidRPr="00C347AD">
        <w:t xml:space="preserve"> intervention</w:t>
      </w:r>
      <w:r w:rsidR="009D53FB" w:rsidRPr="00C347AD">
        <w:t xml:space="preserve"> in this study</w:t>
      </w:r>
      <w:r w:rsidR="00B47BBB" w:rsidRPr="00C347AD">
        <w:t xml:space="preserve">, their data collection, like </w:t>
      </w:r>
      <w:r w:rsidR="009D53FB" w:rsidRPr="00C347AD">
        <w:t>the one herein</w:t>
      </w:r>
      <w:r w:rsidR="00B47BBB" w:rsidRPr="00C347AD">
        <w:t xml:space="preserve">, drew from both preservice teachers’ “attitudes or dispositions toward inclusive education [and] also their competency in implementing critical strategies prior to and following their experience (pretest and posttest measures)” (p. 445). Also </w:t>
      </w:r>
      <w:r w:rsidR="00D57E65" w:rsidRPr="00C347AD">
        <w:t>parallel to this s</w:t>
      </w:r>
      <w:r w:rsidR="00B47BBB" w:rsidRPr="00C347AD">
        <w:t xml:space="preserve">tudy was </w:t>
      </w:r>
      <w:r w:rsidR="00D57E65" w:rsidRPr="00C347AD">
        <w:t>the authors’</w:t>
      </w:r>
      <w:r w:rsidR="00B47BBB" w:rsidRPr="00C347AD">
        <w:t xml:space="preserve"> idea of separating general education and special education majors in their posttest analysis, given that the latter group may be being influenced by other special education coursework.  In their own study, the impact of the programmatic interventions including instruction and field experiences resulted in statistically and significant improvement for participants in the intervention group (both special and general education majors) compared to the control group, which is promising. </w:t>
      </w:r>
    </w:p>
    <w:p w14:paraId="13B34BFB" w14:textId="298E1A74" w:rsidR="00B47BBB" w:rsidRPr="00C347AD" w:rsidRDefault="00521700" w:rsidP="001112D0">
      <w:r w:rsidRPr="00C347AD">
        <w:rPr>
          <w:b/>
        </w:rPr>
        <w:t>Preservice t</w:t>
      </w:r>
      <w:r w:rsidR="00B47BBB" w:rsidRPr="00C347AD">
        <w:rPr>
          <w:b/>
        </w:rPr>
        <w:t xml:space="preserve">eacher </w:t>
      </w:r>
      <w:r w:rsidRPr="00C347AD">
        <w:rPr>
          <w:b/>
        </w:rPr>
        <w:t>intention to i</w:t>
      </w:r>
      <w:r w:rsidR="00B47BBB" w:rsidRPr="00C347AD">
        <w:rPr>
          <w:b/>
        </w:rPr>
        <w:t>nclude</w:t>
      </w:r>
      <w:r w:rsidRPr="00C347AD">
        <w:rPr>
          <w:b/>
        </w:rPr>
        <w:t xml:space="preserve">. </w:t>
      </w:r>
      <w:r w:rsidR="00B47BBB" w:rsidRPr="00C347AD">
        <w:t>As mentioned earlier, there is evidence to support the notion that teacher practice is mutually informed by capacity (</w:t>
      </w:r>
      <w:r w:rsidR="00B323A5" w:rsidRPr="00C347AD">
        <w:t>e.g.,</w:t>
      </w:r>
      <w:r w:rsidR="00B47BBB" w:rsidRPr="00C347AD">
        <w:t xml:space="preserve"> knowledge, skill) and inten</w:t>
      </w:r>
      <w:r w:rsidR="00794A99" w:rsidRPr="00C347AD">
        <w:t>tion (</w:t>
      </w:r>
      <w:r w:rsidR="00B323A5" w:rsidRPr="00C347AD">
        <w:t>e.g.,</w:t>
      </w:r>
      <w:r w:rsidR="00794A99" w:rsidRPr="00C347AD">
        <w:t xml:space="preserve"> will, attitude, beliefs;</w:t>
      </w:r>
      <w:r w:rsidR="00B47BBB" w:rsidRPr="00C347AD">
        <w:t xml:space="preserve"> </w:t>
      </w:r>
      <w:r w:rsidR="00B47BBB" w:rsidRPr="00C347AD">
        <w:fldChar w:fldCharType="begin"/>
      </w:r>
      <w:r w:rsidR="00F7126F" w:rsidRPr="00C347AD">
        <w:instrText xml:space="preserve"> ADDIN ZOTERO_ITEM CSL_CITATION {"citationID":"kjzFeGK8","properties":{"formattedCitation":"(Fang, 1996; MacFarlane &amp; Woolfson, 2013)","plainCitation":"(Fang, 1996; MacFarlane &amp; Woolfson, 2013)"},"citationItems":[{"id":613,"uris":["http://zotero.org/users/2098925/items/IH5Q5E8U"],"uri":["http://zotero.org/users/2098925/items/IH5Q5E8U"],"itemData":{"id":613,"type":"article-journal","title":"A review of research on teacher beliefs and practices","container-title":"Educational research","page":"47–65","volume":"38","issue":"1","source":"Google Scholar","author":[{"family":"Fang","given":"Zhihui"}],"issued":{"date-parts":[["1996"]]}}},{"id":1815,"uris":["http://zotero.org/users/2098925/items/I7BFPCNS"],"uri":["http://zotero.org/users/2098925/items/I7BFPCNS"],"itemData":{"id":1815,"type":"article-journal","title":"Teacher attitudes and behavior toward the inclusion of children with social, emotional and behavioral difficulties in mainstream schools: An application of the theory of planned behavior","container-title":"Teaching and Teacher Education","page":"46-52","volume":"29","source":"ScienceDirect","abstract":"The Theory of Planned Behavior (TPB) was used to examine relationships between teacher attitudes and behavior toward children with social, emotional and behavioral difficulties (SEBD). One hundred and eleven elementary school teachers completed questionnaires. Teacher perception of their school principals' expectations (subjective norm) predicted teacher behaviors. Teachers who had attended more in-service training (INSET) sessions held more positive feelings, but teachers with more experience were less willing to work with children with SEBD. Findings suggest that school principals have a central role in promoting an inclusive ethos within their schools. INSET could focus more on challenging beliefs.","DOI":"10.1016/j.tate.2012.08.006","ISSN":"0742-051X","shortTitle":"Teacher attitudes and behavior toward the inclusion of children with social, emotional and behavioral difficulties in mainstream schools","journalAbbreviation":"Teaching and Teacher Education","author":[{"family":"MacFarlane","given":"Kate"},{"family":"Woolfson","given":"Lisa Marks"}],"issued":{"date-parts":[["2013",1]]}}}],"schema":"https://github.com/citation-style-language/schema/raw/master/csl-citation.json"} </w:instrText>
      </w:r>
      <w:r w:rsidR="00B47BBB" w:rsidRPr="00C347AD">
        <w:fldChar w:fldCharType="separate"/>
      </w:r>
      <w:r w:rsidR="00B47BBB" w:rsidRPr="00C347AD">
        <w:t xml:space="preserve">Fang, 1996; MacFarlane &amp; </w:t>
      </w:r>
      <w:r w:rsidR="00B47BBB" w:rsidRPr="00C347AD">
        <w:lastRenderedPageBreak/>
        <w:t>Woolfson, 2013)</w:t>
      </w:r>
      <w:r w:rsidR="00B47BBB" w:rsidRPr="00C347AD">
        <w:fldChar w:fldCharType="end"/>
      </w:r>
      <w:r w:rsidR="00B47BBB" w:rsidRPr="00C347AD">
        <w:t xml:space="preserve">. Hitherto, the variables explored have aligned with capacity. </w:t>
      </w:r>
      <w:r w:rsidR="006E3241" w:rsidRPr="00C347AD">
        <w:t>In this section, I  focus</w:t>
      </w:r>
      <w:r w:rsidR="00D57E65" w:rsidRPr="00C347AD">
        <w:t xml:space="preserve"> on the</w:t>
      </w:r>
      <w:r w:rsidR="00B47BBB" w:rsidRPr="00C347AD">
        <w:t xml:space="preserve"> cognitive domain of teacher intention, and specifically intention to include diverse students. The importance of intention is articulated by</w:t>
      </w:r>
      <w:r w:rsidR="001112D0" w:rsidRPr="00C347AD">
        <w:t xml:space="preserve"> Ajzen (1984) </w:t>
      </w:r>
      <w:r w:rsidR="00B47BBB" w:rsidRPr="00C347AD">
        <w:t>who demonstrated that</w:t>
      </w:r>
      <w:r w:rsidR="001112D0" w:rsidRPr="00C347AD">
        <w:t>,</w:t>
      </w:r>
      <w:r w:rsidR="00B47BBB" w:rsidRPr="00C347AD">
        <w:t xml:space="preserve"> “intentions to perform behaviors of different kinds... together with perceptions of behavioral control, account for considerable variance in actual [teacher] behavior” (p. 179).  The construct of intention to perform a particular behavior is assumed to represent moti</w:t>
      </w:r>
      <w:r w:rsidR="001A4B9D" w:rsidRPr="00C347AD">
        <w:t>vation;</w:t>
      </w:r>
      <w:r w:rsidR="00B47BBB" w:rsidRPr="00C347AD">
        <w:t xml:space="preserve"> that is, how hard one would be willing to work</w:t>
      </w:r>
      <w:r w:rsidR="0075677B" w:rsidRPr="00C347AD">
        <w:t xml:space="preserve"> to</w:t>
      </w:r>
      <w:r w:rsidR="00B47BBB" w:rsidRPr="00C347AD">
        <w:t xml:space="preserve"> perform a behavior </w:t>
      </w:r>
      <w:r w:rsidR="00B47BBB" w:rsidRPr="00C347AD">
        <w:fldChar w:fldCharType="begin"/>
      </w:r>
      <w:r w:rsidR="00F7126F" w:rsidRPr="00C347AD">
        <w:instrText xml:space="preserve"> ADDIN ZOTERO_ITEM CSL_CITATION {"citationID":"2nke3dl5nj","properties":{"formattedCitation":"(Ajzen, 1985, 1991a)","plainCitation":"(Ajzen, 1985, 1991a)"},"citationItems":[{"id":1078,"uris":["http://zotero.org/users/2098925/items/XX4EGJ73"],"uri":["http://zotero.org/users/2098925/items/XX4EGJ73"],"itemData":{"id":1078,"type":"book","title":"From intentions to actions: A theory of planned behavior","publisher":"Springer","ISBN":"3-642-69748-8","author":[{"family":"Ajzen","given":"Icek"}],"issued":{"date-parts":[["1985"]]}}},{"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Processes","author":[{"family":"Ajzen","given":"Icek"}],"issued":{"date-parts":[["1991",12,1]]}}}],"schema":"https://github.com/citation-style-language/schema/raw/master/csl-citation.json"} </w:instrText>
      </w:r>
      <w:r w:rsidR="00B47BBB" w:rsidRPr="00C347AD">
        <w:fldChar w:fldCharType="separate"/>
      </w:r>
      <w:r w:rsidR="001D2145" w:rsidRPr="00C347AD">
        <w:rPr>
          <w:noProof/>
        </w:rPr>
        <w:t>(Ajzen, 1985, 1991a)</w:t>
      </w:r>
      <w:r w:rsidR="00B47BBB" w:rsidRPr="00C347AD">
        <w:fldChar w:fldCharType="end"/>
      </w:r>
      <w:r w:rsidR="00B47BBB" w:rsidRPr="00C347AD">
        <w:t xml:space="preserve">. This variable itself is seen to largely correlate with actual behavior </w:t>
      </w:r>
      <w:r w:rsidR="00B47BBB" w:rsidRPr="00C347AD">
        <w:fldChar w:fldCharType="begin"/>
      </w:r>
      <w:r w:rsidR="00F7126F" w:rsidRPr="00C347AD">
        <w:instrText xml:space="preserve"> ADDIN ZOTERO_ITEM CSL_CITATION {"citationID":"m8g3tf0es","properties":{"formattedCitation":"(Ajzen &amp; Madden, 1986)","plainCitation":"(Ajzen &amp; Madden, 1986)"},"citationItems":[{"id":358,"uris":["http://zotero.org/users/2098925/items/BFS4XF43"],"uri":["http://zotero.org/users/2098925/items/BFS4XF43"],"itemData":{"id":358,"type":"article-journal","title":"Prediction of goal-directed behavior: Attitudes, intentions, and perceived behavioral control","container-title":"Journal of experimental social psychology","page":"453-474","volume":"22","issue":"5","ISSN":"0022-1031","journalAbbreviation":"Journal of experimental social psychology","author":[{"family":"Ajzen","given":"Icek"},{"family":"Madden","given":"Thomas J"}],"issued":{"date-parts":[["1986"]]}}}],"schema":"https://github.com/citation-style-language/schema/raw/master/csl-citation.json"} </w:instrText>
      </w:r>
      <w:r w:rsidR="00B47BBB" w:rsidRPr="00C347AD">
        <w:fldChar w:fldCharType="separate"/>
      </w:r>
      <w:r w:rsidR="00B47BBB" w:rsidRPr="00C347AD">
        <w:rPr>
          <w:noProof/>
        </w:rPr>
        <w:t>(Ajzen &amp; Madden, 1986)</w:t>
      </w:r>
      <w:r w:rsidR="00B47BBB" w:rsidRPr="00C347AD">
        <w:fldChar w:fldCharType="end"/>
      </w:r>
      <w:r w:rsidR="00B47BBB" w:rsidRPr="00C347AD">
        <w:t>, but is moder</w:t>
      </w:r>
      <w:r w:rsidR="002F6360" w:rsidRPr="00C347AD">
        <w:t>ated in part by a second factor:</w:t>
      </w:r>
      <w:r w:rsidR="00B47BBB" w:rsidRPr="00C347AD">
        <w:t xml:space="preserve"> the degree to which </w:t>
      </w:r>
      <w:r w:rsidR="000B6501" w:rsidRPr="00C347AD">
        <w:t>individuals feel</w:t>
      </w:r>
      <w:r w:rsidR="00B47BBB" w:rsidRPr="00C347AD">
        <w:t xml:space="preserve"> that they are able or enabled in a specific situation to bring about the outcomes they intend (Ajzen, 1991).  This latter construct is referred to in psychological literature as “perceived behav</w:t>
      </w:r>
      <w:r w:rsidR="00BF5B87" w:rsidRPr="00C347AD">
        <w:t xml:space="preserve">ioral control” (Ajzen, p. 183) </w:t>
      </w:r>
      <w:r w:rsidR="006F5DAB" w:rsidRPr="00C347AD">
        <w:t>and is similar to</w:t>
      </w:r>
      <w:r w:rsidR="00BF5B87" w:rsidRPr="00C347AD">
        <w:t xml:space="preserve"> </w:t>
      </w:r>
      <w:r w:rsidR="006F5DAB" w:rsidRPr="00C347AD">
        <w:t>the construct of “</w:t>
      </w:r>
      <w:r w:rsidR="00BF5B87" w:rsidRPr="00C347AD">
        <w:t>self-efficacy</w:t>
      </w:r>
      <w:r w:rsidR="006F5DAB" w:rsidRPr="00C347AD">
        <w:t>”</w:t>
      </w:r>
      <w:r w:rsidR="00D43879" w:rsidRPr="00C347AD">
        <w:t xml:space="preserve"> </w:t>
      </w:r>
      <w:r w:rsidR="00797E7E" w:rsidRPr="00C347AD">
        <w:t>(Bandura, 1986).</w:t>
      </w:r>
      <w:r w:rsidR="00BF5B87" w:rsidRPr="00C347AD">
        <w:t xml:space="preserve"> </w:t>
      </w:r>
      <w:r w:rsidR="00B47BBB" w:rsidRPr="00C347AD">
        <w:t xml:space="preserve">For example, a teacher may believe very strongly that a child with disabilities should be socially included in her classroom, and may be willing to work very hard to make this happen (motivation, intention), but if the teacher feels that she is disempowered (possibly because she thinks teachers cannot truly influence social </w:t>
      </w:r>
      <w:r w:rsidR="00D65032" w:rsidRPr="00C347AD">
        <w:t>relation</w:t>
      </w:r>
      <w:r w:rsidR="00B47BBB" w:rsidRPr="00C347AD">
        <w:t xml:space="preserve">s among peers), her low perceived behavioral control may mitigate the effect of her strong attitude/beliefs. </w:t>
      </w:r>
    </w:p>
    <w:p w14:paraId="5BDB58F5" w14:textId="32CD515F" w:rsidR="00165708" w:rsidRPr="00C347AD" w:rsidRDefault="00B47BBB" w:rsidP="00165708">
      <w:r w:rsidRPr="00C347AD">
        <w:t xml:space="preserve">Conversely, feeling that one can do something without the attitude or beliefs that motivate such action is </w:t>
      </w:r>
      <w:r w:rsidR="0075677B" w:rsidRPr="00C347AD">
        <w:t>not</w:t>
      </w:r>
      <w:r w:rsidRPr="00C347AD">
        <w:t xml:space="preserve"> a recipe for behavior</w:t>
      </w:r>
      <w:r w:rsidR="0075677B" w:rsidRPr="00C347AD">
        <w:t xml:space="preserve"> either</w:t>
      </w:r>
      <w:r w:rsidRPr="00C347AD">
        <w:t>.</w:t>
      </w:r>
      <w:r w:rsidR="006F5DAB" w:rsidRPr="00C347AD">
        <w:t xml:space="preserve"> For example, if</w:t>
      </w:r>
      <w:r w:rsidR="00797E7E" w:rsidRPr="00C347AD">
        <w:t xml:space="preserve"> </w:t>
      </w:r>
      <w:r w:rsidR="006F5DAB" w:rsidRPr="00C347AD">
        <w:t xml:space="preserve">a </w:t>
      </w:r>
      <w:r w:rsidR="00797E7E" w:rsidRPr="00C347AD">
        <w:t xml:space="preserve">teacher feels adequately prepared to help a student with a learning disability in reading, but believes </w:t>
      </w:r>
      <w:r w:rsidR="00797E7E" w:rsidRPr="00C347AD">
        <w:lastRenderedPageBreak/>
        <w:t>that such students should receive support outside the general classroom, he is not likely to expend the effort necessary to help this student achieve</w:t>
      </w:r>
      <w:r w:rsidR="006F5DAB" w:rsidRPr="00C347AD">
        <w:t>, and thus contributes to a sort of confirmation bias when the student fails to succeed in his general classroom setting</w:t>
      </w:r>
      <w:r w:rsidR="00797E7E" w:rsidRPr="00C347AD">
        <w:t>.</w:t>
      </w:r>
      <w:r w:rsidRPr="00C347AD">
        <w:t xml:space="preserve"> A simplified version of Ajzen’s (1991) model, therefore, may be: when teachers are motivated (attitudes and belief) to perform a behavior and feel empowered to achieve the target results of the behavior (perceived behavioral control), they then intend to undergo such behavior and then do in fact perform such behavior</w:t>
      </w:r>
      <w:r w:rsidR="006F5DAB" w:rsidRPr="00C347AD">
        <w:t xml:space="preserve"> </w:t>
      </w:r>
      <w:r w:rsidR="00255A1E" w:rsidRPr="00C347AD">
        <w:t>(see Figure 2</w:t>
      </w:r>
      <w:r w:rsidR="00483DD2" w:rsidRPr="00C347AD">
        <w:t>, page 14</w:t>
      </w:r>
      <w:r w:rsidR="006F5DAB" w:rsidRPr="00C347AD">
        <w:t>)</w:t>
      </w:r>
      <w:r w:rsidRPr="00C347AD">
        <w:t>. Because the actual behavior that is sought of preservice teachers must be performed in the future and in the school-setting context, intention to perform behavior (in this case, intention to include) may thus be the most relevant proxy available.</w:t>
      </w:r>
    </w:p>
    <w:p w14:paraId="4EA06BD6" w14:textId="41E15913" w:rsidR="00B47BBB" w:rsidRPr="00C347AD" w:rsidRDefault="00B47BBB" w:rsidP="00165708">
      <w:r w:rsidRPr="00C347AD">
        <w:t>It is worth noting that the construct of perceived behavioral control emerged in psychology literature (</w:t>
      </w:r>
      <w:r w:rsidR="00B323A5" w:rsidRPr="00C347AD">
        <w:t>e.g.,</w:t>
      </w:r>
      <w:r w:rsidRPr="00C347AD">
        <w:t xml:space="preserve"> Ajzen 1985, 1991) and is broadly used in health. However, it bears striking similarity to the education literature</w:t>
      </w:r>
      <w:r w:rsidR="00FA2E2B" w:rsidRPr="00C347AD">
        <w:t xml:space="preserve"> notion of teacher efficacy. For example, both</w:t>
      </w:r>
      <w:r w:rsidRPr="00C347AD">
        <w:t xml:space="preserve"> relate to the degree</w:t>
      </w:r>
      <w:r w:rsidR="00720FBA" w:rsidRPr="00C347AD">
        <w:t xml:space="preserve"> to which individuals (or</w:t>
      </w:r>
      <w:r w:rsidRPr="00C347AD">
        <w:t xml:space="preserve"> individual teacher</w:t>
      </w:r>
      <w:r w:rsidR="00720FBA" w:rsidRPr="00C347AD">
        <w:t>s</w:t>
      </w:r>
      <w:r w:rsidRPr="00C347AD">
        <w:t xml:space="preserve">) believe they can commit behavior that affects desired change and both recognize the subjectivity of this belief based on circumstances and context. </w:t>
      </w:r>
      <w:r w:rsidR="006121B7" w:rsidRPr="00C347AD">
        <w:t xml:space="preserve">Because this study is couched in education rather than general psychology or health (where the terminology “perceived behavioral control” is more commonly used), I focus more specifically on the construct and terminology of “teacher efficacy,” recognizing the strong overlap of the two concepts </w:t>
      </w:r>
      <w:r w:rsidR="006121B7" w:rsidRPr="00C347AD">
        <w:fldChar w:fldCharType="begin"/>
      </w:r>
      <w:r w:rsidR="00F7126F" w:rsidRPr="00C347AD">
        <w:instrText xml:space="preserve"> ADDIN ZOTERO_ITEM CSL_CITATION {"citationID":"dpj48ikir","properties":{"formattedCitation":"(Eagly &amp; Chaiken, 1993; MacFarlane &amp; Woolfson, 2013)","plainCitation":"(Eagly &amp; Chaiken, 1993; MacFarlane &amp; Woolfson, 2013)"},"citationItems":[{"id":402,"uris":["http://zotero.org/users/2098925/items/CXNZB5WW"],"uri":["http://zotero.org/users/2098925/items/CXNZB5WW"],"itemData":{"id":402,"type":"book","title":"The psychology of attitudes.","publisher":"Harcourt Brace Jovanovich College Publishers","ISBN":"0-15-500097-7","author":[{"family":"Eagly","given":"Alice H"},{"family":"Chaiken","given":"Shelly"}],"issued":{"date-parts":[["1993"]]}}},{"id":"yYq5pbKj/dct653Np","uris":["http://zotero.org/users/2098925/items/I7BFPCNS"],"uri":["http://zotero.org/users/2098925/items/I7BFPCNS"],"itemData":{"id":"yYq5pbKj/dct653Np","type":"article-journal","title":"Teacher attitudes and behavior toward the inclusion of children with social, emotional and behavioral difficulties in mainstream schools: An application of the theory of planned behavior","container-title":"Teaching and Teacher Education","page":"46-52","volume":"29","source":"ScienceDirect","abstract":"The Theory of Planned Behavior (TPB) was used to examine relationships between teacher attitudes and behavior toward children with social, emotional and behavioral difficulties (SEBD). One hundred and eleven elementary school teachers completed questionnaires. Teacher perception of their school principals' expectations (subjective norm) predicted teacher behaviors. Teachers who had attended more in-service training (INSET) sessions held more positive feelings, but teachers with more experience were less willing to work with children with SEBD. Findings suggest that school principals have a central role in promoting an inclusive ethos within their schools. INSET could focus more on challenging beliefs.","DOI":"10.1016/j.tate.2012.08.006","ISSN":"0742-051X","shortTitle":"Teacher attitudes and behavior toward the inclusion of children with social, emotional and behavioral difficulties in mainstream schools","journalAbbreviation":"Teaching and Teacher Education","author":[{"family":"MacFarlane","given":"Kate"},{"family":"Woolfson","given":"Lisa Marks"}],"issued":{"year":2013,"month":1},"page-first":"46","title-short":"Teacher attitudes and behavior toward the inclusion of children with social, emotional and behavioral difficulties in mainstream schools","container-title-short":"Teach. Teach. Educ."}}],"schema":"https://github.com/citation-style-language/schema/raw/master/csl-citation.json"} </w:instrText>
      </w:r>
      <w:r w:rsidR="006121B7" w:rsidRPr="00C347AD">
        <w:fldChar w:fldCharType="separate"/>
      </w:r>
      <w:r w:rsidR="006121B7" w:rsidRPr="00C347AD">
        <w:rPr>
          <w:noProof/>
        </w:rPr>
        <w:t>(</w:t>
      </w:r>
      <w:r w:rsidR="00B323A5" w:rsidRPr="00C347AD">
        <w:rPr>
          <w:noProof/>
        </w:rPr>
        <w:t>e.g.,</w:t>
      </w:r>
      <w:r w:rsidR="006121B7" w:rsidRPr="00C347AD">
        <w:rPr>
          <w:noProof/>
        </w:rPr>
        <w:t xml:space="preserve"> Eagly &amp; Chaiken, 1993; MacFarlane &amp; Woolfson, 2013)</w:t>
      </w:r>
      <w:r w:rsidR="006121B7" w:rsidRPr="00C347AD">
        <w:fldChar w:fldCharType="end"/>
      </w:r>
      <w:r w:rsidR="006121B7" w:rsidRPr="00C347AD">
        <w:t xml:space="preserve">. </w:t>
      </w:r>
    </w:p>
    <w:p w14:paraId="1DBF8129" w14:textId="17F45032" w:rsidR="00B47BBB" w:rsidRPr="00C347AD" w:rsidRDefault="00B47BBB" w:rsidP="006121B7">
      <w:r w:rsidRPr="00C347AD">
        <w:lastRenderedPageBreak/>
        <w:t>Effectively, recognition of this model allows for a more thorough and meaningful way to measure influence of cognitive effects on behavior than could have been achieved by just looking at the effects of attitudes, which have been demonstrated to be inconsistent in pre</w:t>
      </w:r>
      <w:r w:rsidR="006121B7" w:rsidRPr="00C347AD">
        <w:t xml:space="preserve">dicting behavior by themselves. </w:t>
      </w:r>
      <w:r w:rsidRPr="00C347AD">
        <w:t xml:space="preserve">Nevertheless, it is worth examining each of the two constructs independently before merging them to generate the meta-construct of teacher intention. The following sections set out to accomplish this independent examination. </w:t>
      </w:r>
    </w:p>
    <w:p w14:paraId="56CAB42C" w14:textId="47C5868B" w:rsidR="00B47BBB" w:rsidRPr="00C347AD" w:rsidRDefault="00FE779B" w:rsidP="00B47BBB">
      <w:pPr>
        <w:rPr>
          <w:bCs/>
        </w:rPr>
      </w:pPr>
      <w:r w:rsidRPr="00C347AD">
        <w:rPr>
          <w:b/>
        </w:rPr>
        <w:t>Teacher e</w:t>
      </w:r>
      <w:r w:rsidR="00B47BBB" w:rsidRPr="00C347AD">
        <w:rPr>
          <w:b/>
        </w:rPr>
        <w:t>fficacy</w:t>
      </w:r>
      <w:r w:rsidR="00B47BBB" w:rsidRPr="00C347AD">
        <w:rPr>
          <w:b/>
          <w:i/>
        </w:rPr>
        <w:t xml:space="preserve">. </w:t>
      </w:r>
      <w:r w:rsidR="00B47BBB" w:rsidRPr="00C347AD">
        <w:t>The con</w:t>
      </w:r>
      <w:r w:rsidR="001F1530" w:rsidRPr="00C347AD">
        <w:t xml:space="preserve">struct of teacher efficacy </w:t>
      </w:r>
      <w:r w:rsidR="00B47BBB" w:rsidRPr="00C347AD">
        <w:t xml:space="preserve">stems from two sources: the RAND organization (Armor, et al. 1976) and Bandura’s (1977) manuscript </w:t>
      </w:r>
      <w:r w:rsidR="00B47BBB" w:rsidRPr="00C347AD">
        <w:rPr>
          <w:bCs/>
        </w:rPr>
        <w:t>"Self-Efficacy: Toward a Unifying Theory of Behavioral Change.” The RAND study focused on just two Likert-scale questions that dealt with the degree to which teachers felt they had control over their students’ achievement in the face of external factors. The wording of these questions also varies in terms of generalized or personal subject (</w:t>
      </w:r>
      <w:r w:rsidR="004F52F4" w:rsidRPr="00C347AD">
        <w:rPr>
          <w:bCs/>
        </w:rPr>
        <w:t>i.e.,</w:t>
      </w:r>
      <w:r w:rsidR="00B47BBB" w:rsidRPr="00C347AD">
        <w:rPr>
          <w:bCs/>
        </w:rPr>
        <w:t xml:space="preserve"> “When it comes right down to it, </w:t>
      </w:r>
      <w:r w:rsidR="00B47BBB" w:rsidRPr="00C347AD">
        <w:rPr>
          <w:bCs/>
          <w:i/>
        </w:rPr>
        <w:t>a teacher</w:t>
      </w:r>
      <w:r w:rsidR="00B47BBB" w:rsidRPr="00C347AD">
        <w:rPr>
          <w:bCs/>
        </w:rPr>
        <w:t xml:space="preserve"> really can't... vs. “If </w:t>
      </w:r>
      <w:r w:rsidR="00B47BBB" w:rsidRPr="00C347AD">
        <w:rPr>
          <w:bCs/>
          <w:i/>
        </w:rPr>
        <w:t>I</w:t>
      </w:r>
      <w:r w:rsidR="00B47BBB" w:rsidRPr="00C347AD">
        <w:rPr>
          <w:b/>
          <w:bCs/>
          <w:i/>
        </w:rPr>
        <w:t xml:space="preserve"> </w:t>
      </w:r>
      <w:r w:rsidR="00B47BBB" w:rsidRPr="00C347AD">
        <w:rPr>
          <w:bCs/>
        </w:rPr>
        <w:t xml:space="preserve">really try hard, </w:t>
      </w:r>
      <w:r w:rsidR="00B47BBB" w:rsidRPr="00C347AD">
        <w:rPr>
          <w:bCs/>
          <w:i/>
        </w:rPr>
        <w:t>I</w:t>
      </w:r>
      <w:r w:rsidR="00B47BBB" w:rsidRPr="00C347AD">
        <w:rPr>
          <w:b/>
          <w:bCs/>
          <w:i/>
        </w:rPr>
        <w:t xml:space="preserve"> </w:t>
      </w:r>
      <w:r w:rsidR="00B47BBB" w:rsidRPr="00C347AD">
        <w:rPr>
          <w:bCs/>
        </w:rPr>
        <w:t xml:space="preserve">can...”). When parsed, responses to these questions can be assigned to the categories of General Teacher Efficacy (GTE; </w:t>
      </w:r>
      <w:r w:rsidR="00B47BBB" w:rsidRPr="00C347AD">
        <w:rPr>
          <w:bCs/>
        </w:rPr>
        <w:fldChar w:fldCharType="begin"/>
      </w:r>
      <w:r w:rsidR="00F7126F" w:rsidRPr="00C347AD">
        <w:rPr>
          <w:bCs/>
        </w:rPr>
        <w:instrText xml:space="preserve"> ADDIN ZOTERO_ITEM CSL_CITATION {"citationID":"1imbb04sui","properties":{"formattedCitation":"(Ashton, 1984)","plainCitation":"(Ashton, 1984)"},"citationItems":[{"id":319,"uris":["http://zotero.org/users/2098925/items/AA26FFPQ"],"uri":["http://zotero.org/users/2098925/items/AA26FFPQ"],"itemData":{"id":319,"type":"article-journal","title":"Teacher Efficacy: A Motivational Paradigm for Effective Teacher Education","container-title":"Journal of Teacher Education","page":"28-32","volume":"35","issue":"5","source":"jte.sagepub.com","abstract":"A powerful paradigm for teacher educa tion can be developed on the basis of the construct of teacher efficacy. Ashton as serts that no other teacher characteris tic has demonstrated such a consistent relationship to student achievement. A teacher education program that has as its aim the development of teacher effi cacy, and which includes the essential components of a motivation change pro gram, should develop teachers who possess the motivation essential for ef fective classroom performance.","DOI":"10.1177/002248718403500507","ISSN":"0022-4871, 1552-7816","shortTitle":"Teacher Efficacy","journalAbbreviation":"Journal of Teacher Education","language":"en","author":[{"family":"Ashton","given":"Patricia"}],"issued":{"date-parts":[["1984",9,1]]}}}],"schema":"https://github.com/citation-style-language/schema/raw/master/csl-citation.json"} </w:instrText>
      </w:r>
      <w:r w:rsidR="00B47BBB" w:rsidRPr="00C347AD">
        <w:rPr>
          <w:bCs/>
        </w:rPr>
        <w:fldChar w:fldCharType="separate"/>
      </w:r>
      <w:r w:rsidR="00B47BBB" w:rsidRPr="00C347AD">
        <w:rPr>
          <w:bCs/>
          <w:noProof/>
        </w:rPr>
        <w:t>Ashton, 1984)</w:t>
      </w:r>
      <w:r w:rsidR="00B47BBB" w:rsidRPr="00C347AD">
        <w:rPr>
          <w:bCs/>
        </w:rPr>
        <w:fldChar w:fldCharType="end"/>
      </w:r>
      <w:r w:rsidR="00B47BBB" w:rsidRPr="00C347AD">
        <w:rPr>
          <w:bCs/>
        </w:rPr>
        <w:t xml:space="preserve"> or Personal Teacher Efficacy (PTE; </w:t>
      </w:r>
      <w:r w:rsidR="00B323A5" w:rsidRPr="00C347AD">
        <w:rPr>
          <w:bCs/>
        </w:rPr>
        <w:t>e.g.,</w:t>
      </w:r>
      <w:r w:rsidR="00B47BBB" w:rsidRPr="00C347AD">
        <w:rPr>
          <w:bCs/>
        </w:rPr>
        <w:t xml:space="preserve"> </w:t>
      </w:r>
      <w:r w:rsidR="00B47BBB" w:rsidRPr="00C347AD">
        <w:rPr>
          <w:bCs/>
        </w:rPr>
        <w:fldChar w:fldCharType="begin"/>
      </w:r>
      <w:r w:rsidR="00F7126F" w:rsidRPr="00C347AD">
        <w:rPr>
          <w:bCs/>
        </w:rPr>
        <w:instrText xml:space="preserve"> ADDIN ZOTERO_ITEM CSL_CITATION {"citationID":"1792urafv8","properties":{"formattedCitation":"(Tschannen-Moran, Hoy, &amp; Hoy, 1998)","plainCitation":"(Tschannen-Moran, Hoy, &amp; Hoy, 1998)"},"citationItems":[{"id":79,"uris":["http://zotero.org/users/2098925/items/3ZHGJKGH"],"uri":["http://zotero.org/users/2098925/items/3ZHGJKGH"],"itemData":{"id":79,"type":"article-journal","title":"Teacher Efficacy: Its Meaning and Measure","container-title":"Review of Educational Research","page":"202-248","volume":"68","issue":"2","source":"JSTOR","abstract":"The theoretical and empirical underpinnings of teacher efficacy are examined to bring coherence to the construct and its measurement. First, we explore the correlates of teacher efficacy revealed using various instruments and search for patterns that suggest a better understanding of the construct. Next, we introduce a model of teacher efficacy that reconciles two competing conceptual strands found in the literature. Then we examine implications of the research on teacher efficacy for teacher preparation and suggest strategies for improving the efficacy of inservice teachers. Finally, we propose new directions for research in light of the proposed model.","DOI":"10.2307/1170754","ISSN":"0034-6543","shortTitle":"Teacher Efficacy","journalAbbreviation":"Review of Educational Research","author":[{"family":"Tschannen-Moran","given":"Megan"},{"family":"Hoy","given":"Anita Woolfolk"},{"family":"Hoy","given":"Wayne K."}],"issued":{"date-parts":[["1998"]]}}}],"schema":"https://github.com/citation-style-language/schema/raw/master/csl-citation.json"} </w:instrText>
      </w:r>
      <w:r w:rsidR="00B47BBB" w:rsidRPr="00C347AD">
        <w:rPr>
          <w:bCs/>
        </w:rPr>
        <w:fldChar w:fldCharType="separate"/>
      </w:r>
      <w:r w:rsidR="00B47BBB" w:rsidRPr="00C347AD">
        <w:rPr>
          <w:bCs/>
          <w:noProof/>
        </w:rPr>
        <w:t>Tschannen-Moran, Hoy, &amp; Hoy, 1998)</w:t>
      </w:r>
      <w:r w:rsidR="00B47BBB" w:rsidRPr="00C347AD">
        <w:rPr>
          <w:bCs/>
        </w:rPr>
        <w:fldChar w:fldCharType="end"/>
      </w:r>
      <w:r w:rsidR="00B47BBB" w:rsidRPr="00C347AD">
        <w:rPr>
          <w:bCs/>
        </w:rPr>
        <w:t xml:space="preserve">, a distinction which has proven fruitful in the literature. </w:t>
      </w:r>
    </w:p>
    <w:p w14:paraId="396ED141" w14:textId="246CC629" w:rsidR="00B47BBB" w:rsidRPr="00C347AD" w:rsidRDefault="00B47BBB" w:rsidP="00B47BBB">
      <w:pPr>
        <w:rPr>
          <w:bCs/>
        </w:rPr>
      </w:pPr>
      <w:r w:rsidRPr="00C347AD">
        <w:rPr>
          <w:bCs/>
        </w:rPr>
        <w:t xml:space="preserve">Building on the initial RAND construct for teacher efficacy, several instruments have been developed to either sharpen focus or expand the broadness of the construct including, for example, Teacher Locus of Control </w:t>
      </w:r>
      <w:r w:rsidRPr="00C347AD">
        <w:rPr>
          <w:bCs/>
        </w:rPr>
        <w:fldChar w:fldCharType="begin"/>
      </w:r>
      <w:r w:rsidR="00F7126F" w:rsidRPr="00C347AD">
        <w:rPr>
          <w:bCs/>
        </w:rPr>
        <w:instrText xml:space="preserve"> ADDIN ZOTERO_ITEM CSL_CITATION {"citationID":"2esbedsccp","properties":{"formattedCitation":"(J. S. Rose &amp; Medway, 1981)","plainCitation":"(J. S. Rose &amp; Medway, 1981)"},"citationItems":[{"id":1100,"uris":["http://zotero.org/users/2098925/items/ZER59BB5"],"uri":["http://zotero.org/users/2098925/items/ZER59BB5"],"itemData":{"id":1100,"type":"article-journal","title":"Measurement of teachers’ beliefs in their control over student outcome","container-title":"The journal of educational research","page":"185-190","volume":"74","issue":"3","ISSN":"0022-0671","journalAbbreviation":"The journal of educational research","author":[{"family":"Rose","given":"Janet S"},{"family":"Medway","given":"Frederic J"}],"issued":{"date-parts":[["1981"]]}}}],"schema":"https://github.com/citation-style-language/schema/raw/master/csl-citation.json"} </w:instrText>
      </w:r>
      <w:r w:rsidRPr="00C347AD">
        <w:rPr>
          <w:bCs/>
        </w:rPr>
        <w:fldChar w:fldCharType="separate"/>
      </w:r>
      <w:r w:rsidR="006121B7" w:rsidRPr="00C347AD">
        <w:rPr>
          <w:bCs/>
          <w:noProof/>
        </w:rPr>
        <w:t>(</w:t>
      </w:r>
      <w:r w:rsidR="001D2145" w:rsidRPr="00C347AD">
        <w:rPr>
          <w:bCs/>
          <w:noProof/>
        </w:rPr>
        <w:t>Rose &amp; Medway, 1981)</w:t>
      </w:r>
      <w:r w:rsidRPr="00C347AD">
        <w:rPr>
          <w:bCs/>
        </w:rPr>
        <w:fldChar w:fldCharType="end"/>
      </w:r>
      <w:r w:rsidRPr="00C347AD">
        <w:rPr>
          <w:bCs/>
        </w:rPr>
        <w:t xml:space="preserve">, </w:t>
      </w:r>
      <w:r w:rsidRPr="00C347AD">
        <w:rPr>
          <w:bCs/>
        </w:rPr>
        <w:lastRenderedPageBreak/>
        <w:t xml:space="preserve">Responsibility for Student Achievement </w:t>
      </w:r>
      <w:r w:rsidRPr="00C347AD">
        <w:rPr>
          <w:bCs/>
        </w:rPr>
        <w:fldChar w:fldCharType="begin"/>
      </w:r>
      <w:r w:rsidR="00F7126F" w:rsidRPr="00C347AD">
        <w:rPr>
          <w:bCs/>
        </w:rPr>
        <w:instrText xml:space="preserve"> ADDIN ZOTERO_ITEM CSL_CITATION {"citationID":"2nl4nk0a69","properties":{"formattedCitation":"(Guskey, 1981)","plainCitation":"(Guskey, 1981)"},"citationItems":[{"id":486,"uris":["http://zotero.org/users/2098925/items/EWZA9XCV"],"uri":["http://zotero.org/users/2098925/items/EWZA9XCV"],"itemData":{"id":486,"type":"article-journal","title":"Measurement of the Responsibility Teachers Assume for Academic Successes and Failures in the Classroom.","container-title":"Journal of Teacher Education","page":"44-51","volume":"32","issue":"3","journalAbbreviation":"Journal of Teacher Education","author":[{"family":"Guskey","given":"Thomas R"}],"issued":{"date-parts":[["1981"]]}}}],"schema":"https://github.com/citation-style-language/schema/raw/master/csl-citation.json"} </w:instrText>
      </w:r>
      <w:r w:rsidRPr="00C347AD">
        <w:rPr>
          <w:bCs/>
        </w:rPr>
        <w:fldChar w:fldCharType="separate"/>
      </w:r>
      <w:r w:rsidRPr="00C347AD">
        <w:rPr>
          <w:bCs/>
          <w:noProof/>
        </w:rPr>
        <w:t>(Guskey, 1981)</w:t>
      </w:r>
      <w:r w:rsidRPr="00C347AD">
        <w:rPr>
          <w:bCs/>
        </w:rPr>
        <w:fldChar w:fldCharType="end"/>
      </w:r>
      <w:r w:rsidRPr="00C347AD">
        <w:rPr>
          <w:bCs/>
        </w:rPr>
        <w:t xml:space="preserve">, and The Webb Efficacy Scale (Ashton et al., 1982) among others. </w:t>
      </w:r>
    </w:p>
    <w:p w14:paraId="6B5E7936" w14:textId="19F3CB6B" w:rsidR="00B47BBB" w:rsidRPr="00C347AD" w:rsidRDefault="00B47BBB" w:rsidP="00B47BBB">
      <w:r w:rsidRPr="00C347AD">
        <w:t>Bandura (1977), however, had a different definition of self-efficacy (of which he saw teacher efficacy to be an extension). He was dissatisfied with</w:t>
      </w:r>
      <w:r w:rsidR="006121B7" w:rsidRPr="00C347AD">
        <w:t xml:space="preserve"> the generalized nature of teacher efficacy</w:t>
      </w:r>
      <w:r w:rsidRPr="00C347AD">
        <w:t xml:space="preserve"> in the RAND construct, arguing that teacher efficacy could and did change with contexts. For example, a teacher may have high </w:t>
      </w:r>
      <w:r w:rsidR="009A670B" w:rsidRPr="00C347AD">
        <w:t>efficacy</w:t>
      </w:r>
      <w:r w:rsidRPr="00C347AD">
        <w:t xml:space="preserve"> in teaching high school chemistry, but a much lower </w:t>
      </w:r>
      <w:r w:rsidR="009A670B" w:rsidRPr="00C347AD">
        <w:t>efficacy</w:t>
      </w:r>
      <w:r w:rsidRPr="00C347AD">
        <w:t xml:space="preserve"> in teaching middle school biology. Or a teacher with high </w:t>
      </w:r>
      <w:r w:rsidR="009A670B" w:rsidRPr="00C347AD">
        <w:t>efficacy</w:t>
      </w:r>
      <w:r w:rsidRPr="00C347AD">
        <w:t xml:space="preserve"> in a mono-cultural setting may have much lower </w:t>
      </w:r>
      <w:r w:rsidR="009A670B" w:rsidRPr="00C347AD">
        <w:t>efficacy</w:t>
      </w:r>
      <w:r w:rsidRPr="00C347AD">
        <w:t xml:space="preserve"> in a diverse setting. In their summary of Bandura’s view, </w:t>
      </w:r>
      <w:r w:rsidRPr="00C347AD">
        <w:fldChar w:fldCharType="begin"/>
      </w:r>
      <w:r w:rsidR="00F7126F" w:rsidRPr="00C347AD">
        <w:instrText xml:space="preserve"> ADDIN ZOTERO_ITEM CSL_CITATION {"citationID":"2dbafjjfi7","properties":{"formattedCitation":"(Tschannen-Moran et al., 1998)","plainCitation":"(Tschannen-Moran et al., 1998)"},"citationItems":[{"id":79,"uris":["http://zotero.org/users/2098925/items/3ZHGJKGH"],"uri":["http://zotero.org/users/2098925/items/3ZHGJKGH"],"itemData":{"id":79,"type":"article-journal","title":"Teacher Efficacy: Its Meaning and Measure","container-title":"Review of Educational Research","page":"202-248","volume":"68","issue":"2","source":"JSTOR","abstract":"The theoretical and empirical underpinnings of teacher efficacy are examined to bring coherence to the construct and its measurement. First, we explore the correlates of teacher efficacy revealed using various instruments and search for patterns that suggest a better understanding of the construct. Next, we introduce a model of teacher efficacy that reconciles two competing conceptual strands found in the literature. Then we examine implications of the research on teacher efficacy for teacher preparation and suggest strategies for improving the efficacy of inservice teachers. Finally, we propose new directions for research in light of the proposed model.","DOI":"10.2307/1170754","ISSN":"0034-6543","shortTitle":"Teacher Efficacy","journalAbbreviation":"Review of Educational Research","author":[{"family":"Tschannen-Moran","given":"Megan"},{"family":"Hoy","given":"Anita Woolfolk"},{"family":"Hoy","given":"Wayne K."}],"issued":{"date-parts":[["1998"]]}}}],"schema":"https://github.com/citation-style-language/schema/raw/master/csl-citation.json"} </w:instrText>
      </w:r>
      <w:r w:rsidRPr="00C347AD">
        <w:fldChar w:fldCharType="separate"/>
      </w:r>
      <w:r w:rsidRPr="00C347AD">
        <w:rPr>
          <w:noProof/>
        </w:rPr>
        <w:t>Tschannen-Moran et al. (1998)</w:t>
      </w:r>
      <w:r w:rsidRPr="00C347AD">
        <w:fldChar w:fldCharType="end"/>
      </w:r>
      <w:r w:rsidRPr="00C347AD">
        <w:t xml:space="preserve"> suggest, </w:t>
      </w:r>
    </w:p>
    <w:p w14:paraId="225CFB37" w14:textId="77777777" w:rsidR="00B47BBB" w:rsidRPr="00C347AD" w:rsidRDefault="00B47BBB" w:rsidP="00B47BBB">
      <w:pPr>
        <w:ind w:left="720" w:firstLine="0"/>
      </w:pPr>
      <w:r w:rsidRPr="00C347AD">
        <w:t xml:space="preserve">“Self-efficacy is a future-oriented belief about the level of competence a person expects he or she will display in a </w:t>
      </w:r>
      <w:r w:rsidRPr="00C347AD">
        <w:rPr>
          <w:i/>
        </w:rPr>
        <w:t>given situation</w:t>
      </w:r>
      <w:r w:rsidRPr="00C347AD">
        <w:t xml:space="preserve">. Self-efficacy beliefs influence thought patterns and emotions that enable actions in which people expend substantial effort in pursuit of goals, persist in the face of adversity, rebound from temporary setbacks, and exercise some control over events that affect their lives” (p. 207, 210; emphasis added). </w:t>
      </w:r>
    </w:p>
    <w:p w14:paraId="641E245A" w14:textId="42768BB9" w:rsidR="00B47BBB" w:rsidRPr="00C347AD" w:rsidRDefault="00B47BBB" w:rsidP="00B47BBB">
      <w:r w:rsidRPr="00C347AD">
        <w:t>When applied to teachers (</w:t>
      </w:r>
      <w:r w:rsidR="004F52F4" w:rsidRPr="00C347AD">
        <w:t>i.e.,</w:t>
      </w:r>
      <w:r w:rsidRPr="00C347AD">
        <w:t xml:space="preserve"> teacher efficacy), self-efficacy requires the teacher to believe that (1) their behavior may have direct impact on student performance (implying a strong general internal locus of control), and (2) that they have the capacity to identify and utilize the behaviors that will be successful to this end in specific contexts. </w:t>
      </w:r>
    </w:p>
    <w:p w14:paraId="73657373" w14:textId="5B78B172" w:rsidR="00B47BBB" w:rsidRPr="00C347AD" w:rsidRDefault="00B47BBB" w:rsidP="00B47BBB">
      <w:r w:rsidRPr="00C347AD">
        <w:lastRenderedPageBreak/>
        <w:t xml:space="preserve"> This further implies that teachers believe in their ability to bring about positive student outcomes </w:t>
      </w:r>
      <w:r w:rsidRPr="00C347AD">
        <w:rPr>
          <w:i/>
        </w:rPr>
        <w:t>in spite of</w:t>
      </w:r>
      <w:r w:rsidRPr="00C347AD">
        <w:t xml:space="preserve"> other relevant factors affecting such outcomes including socio-economic status, home life, IQ scores, etc</w:t>
      </w:r>
      <w:r w:rsidR="003365B0" w:rsidRPr="00C347AD">
        <w:t>etera</w:t>
      </w:r>
      <w:r w:rsidR="009A670B" w:rsidRPr="00C347AD">
        <w:t xml:space="preserve"> </w:t>
      </w:r>
      <w:r w:rsidR="003365B0" w:rsidRPr="00C347AD">
        <w:fldChar w:fldCharType="begin"/>
      </w:r>
      <w:r w:rsidR="00F7126F" w:rsidRPr="00C347AD">
        <w:instrText xml:space="preserve"> ADDIN ZOTERO_ITEM CSL_CITATION {"citationID":"mfuqid9n0","properties":{"formattedCitation":"(Moeller &amp; Ishii-Jordan, 1996)","plainCitation":"(Moeller &amp; Ishii-Jordan, 1996)"},"citationItems":[{"id":424,"uris":["http://zotero.org/users/2098925/items/DFMGDEGC"],"uri":["http://zotero.org/users/2098925/items/DFMGDEGC"],"itemData":{"id":424,"type":"article-journal","title":"Teacher efficacy: A model for teacher development and inclusion","container-title":"Journal of Behavioral Education","page":"293-310","volume":"6","issue":"3","ISSN":"1053-0819","journalAbbreviation":"Journal of Behavioral Education","author":[{"family":"Moeller","given":"Aleidine J"},{"family":"Ishii-Jordan","given":"Sharon"}],"issued":{"date-parts":[["1996"]]}}}],"schema":"https://github.com/citation-style-language/schema/raw/master/csl-citation.json"} </w:instrText>
      </w:r>
      <w:r w:rsidR="003365B0" w:rsidRPr="00C347AD">
        <w:fldChar w:fldCharType="separate"/>
      </w:r>
      <w:r w:rsidR="003365B0" w:rsidRPr="00C347AD">
        <w:rPr>
          <w:noProof/>
        </w:rPr>
        <w:t>(Moeller &amp; Ishii-Jordan, 1996)</w:t>
      </w:r>
      <w:r w:rsidR="003365B0" w:rsidRPr="00C347AD">
        <w:fldChar w:fldCharType="end"/>
      </w:r>
      <w:r w:rsidR="003365B0" w:rsidRPr="00C347AD">
        <w:t xml:space="preserve">. As Moeller and Ishii-Jordan </w:t>
      </w:r>
      <w:r w:rsidRPr="00C347AD">
        <w:t>suggest, success for students with disabilities in inclusive classrooms requires that teacher</w:t>
      </w:r>
      <w:r w:rsidR="00BC2D72" w:rsidRPr="00C347AD">
        <w:t>s</w:t>
      </w:r>
      <w:r w:rsidRPr="00C347AD">
        <w:t xml:space="preserve"> believe that students can learn regardless of external environmental influences beyond the teacher’s control and that the teacher personally has the ability to reach such students. </w:t>
      </w:r>
    </w:p>
    <w:p w14:paraId="160AEC0E" w14:textId="6165B613" w:rsidR="00B47BBB" w:rsidRPr="00C347AD" w:rsidRDefault="003365B0" w:rsidP="00B47BBB">
      <w:r w:rsidRPr="00C347AD">
        <w:t>Despite the variance of ways</w:t>
      </w:r>
      <w:r w:rsidR="00B47BBB" w:rsidRPr="00C347AD">
        <w:t xml:space="preserve"> teacher efficacy has been measured</w:t>
      </w:r>
      <w:r w:rsidRPr="00C347AD">
        <w:t>,</w:t>
      </w:r>
      <w:r w:rsidR="00B47BBB" w:rsidRPr="00C347AD">
        <w:t xml:space="preserve"> there is overwhelming </w:t>
      </w:r>
      <w:r w:rsidRPr="00C347AD">
        <w:t>consensus</w:t>
      </w:r>
      <w:r w:rsidR="00B47BBB" w:rsidRPr="00C347AD">
        <w:t xml:space="preserve"> in the literature as to its importance. High scores in teacher efficacy measures have been used to accurately predict more active interaction with students </w:t>
      </w:r>
      <w:r w:rsidR="00B47BBB" w:rsidRPr="00C347AD">
        <w:fldChar w:fldCharType="begin"/>
      </w:r>
      <w:r w:rsidR="00F7126F" w:rsidRPr="00C347AD">
        <w:instrText xml:space="preserve"> ADDIN ZOTERO_ITEM CSL_CITATION {"citationID":"1t9gsgkc02","properties":{"formattedCitation":"(Gibson &amp; Dembo, 1984)","plainCitation":"(Gibson &amp; Dembo, 1984)"},"citationItems":[{"id":709,"uris":["http://zotero.org/users/2098925/items/KZBVH3C3"],"uri":["http://zotero.org/users/2098925/items/KZBVH3C3"],"itemData":{"id":709,"type":"article-journal","title":"Teacher efficacy: A construct validation.","container-title":"Journal of Educational Psychology","page":"569-582","volume":"76","issue":"4","source":"ProQuest","abstract":"Developed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reserved)","DOI":"http://dx.doi.org.proxy.lib.utk.edu:90/10.1037/0022-0663.76.4.569","ISSN":"0022-0663","shortTitle":"Teacher efficacy","language":"English","author":[{"family":"Gibson","given":"Sherri"},{"family":"Dembo","given":"Myron H."}],"issued":{"date-parts":[["1984",8]]}}}],"schema":"https://github.com/citation-style-language/schema/raw/master/csl-citation.json"} </w:instrText>
      </w:r>
      <w:r w:rsidR="00B47BBB" w:rsidRPr="00C347AD">
        <w:fldChar w:fldCharType="separate"/>
      </w:r>
      <w:r w:rsidR="00B47BBB" w:rsidRPr="00C347AD">
        <w:rPr>
          <w:noProof/>
        </w:rPr>
        <w:t>(Gibson &amp; Dembo, 1984)</w:t>
      </w:r>
      <w:r w:rsidR="00B47BBB" w:rsidRPr="00C347AD">
        <w:fldChar w:fldCharType="end"/>
      </w:r>
      <w:r w:rsidR="00B47BBB" w:rsidRPr="00C347AD">
        <w:t>, professional commitment</w:t>
      </w:r>
      <w:r w:rsidR="00B47BBB" w:rsidRPr="00C347AD">
        <w:rPr>
          <w:bCs/>
        </w:rPr>
        <w:t xml:space="preserve"> </w:t>
      </w:r>
      <w:r w:rsidR="00B47BBB" w:rsidRPr="00C347AD">
        <w:rPr>
          <w:bCs/>
        </w:rPr>
        <w:fldChar w:fldCharType="begin"/>
      </w:r>
      <w:r w:rsidR="00F7126F" w:rsidRPr="00C347AD">
        <w:rPr>
          <w:bCs/>
        </w:rPr>
        <w:instrText xml:space="preserve"> ADDIN ZOTERO_ITEM CSL_CITATION {"citationID":"15o4m5iai8","properties":{"formattedCitation":"(Coladarci, 1992; E. D. Evans &amp; Tribble, 1986)","plainCitation":"(Coladarci, 1992; E. D. Evans &amp; Tribble, 1986)"},"citationItems":[{"id":858,"uris":["http://zotero.org/users/2098925/items/RG3UBDQS"],"uri":["http://zotero.org/users/2098925/items/RG3UBDQS"],"itemData":{"id":858,"type":"article-journal","title":"Teachers' sense of efficacy and commitment to teaching","container-title":"The Journal of experimental education","page":"323-337","volume":"60","issue":"4","ISSN":"0022-0973","journalAbbreviation":"The Journal of experimental education","author":[{"family":"Coladarci","given":"Theodore"}],"issued":{"date-parts":[["1992"]]}}},{"id":1096,"uris":["http://zotero.org/users/2098925/items/ZBXSC6KB"],"uri":["http://zotero.org/users/2098925/items/ZBXSC6KB"],"itemData":{"id":1096,"type":"article-journal","title":"Perceived teaching problems, self-efficacy, and commitment to teaching among preservice teachers","container-title":"The Journal of Educational Research","page":"81-85","volume":"80","issue":"2","ISSN":"0022-0671","journalAbbreviation":"The Journal of Educational Research","author":[{"family":"Evans","given":"Ellis D"},{"family":"Tribble","given":"Margaret"}],"issued":{"date-parts":[["1986"]]}}}],"schema":"https://github.com/citation-style-language/schema/raw/master/csl-citation.json"} </w:instrText>
      </w:r>
      <w:r w:rsidR="00B47BBB" w:rsidRPr="00C347AD">
        <w:rPr>
          <w:bCs/>
        </w:rPr>
        <w:fldChar w:fldCharType="separate"/>
      </w:r>
      <w:r w:rsidR="00B47BBB" w:rsidRPr="00C347AD">
        <w:rPr>
          <w:bCs/>
          <w:noProof/>
        </w:rPr>
        <w:t>(Coladarci, 1992; Evans &amp; Tribble, 1986)</w:t>
      </w:r>
      <w:r w:rsidR="00B47BBB" w:rsidRPr="00C347AD">
        <w:rPr>
          <w:bCs/>
        </w:rPr>
        <w:fldChar w:fldCharType="end"/>
      </w:r>
      <w:r w:rsidR="00B47BBB" w:rsidRPr="00C347AD">
        <w:rPr>
          <w:bCs/>
        </w:rPr>
        <w:t xml:space="preserve">; progressive instructional experimentation </w:t>
      </w:r>
      <w:r w:rsidR="00B47BBB" w:rsidRPr="00C347AD">
        <w:rPr>
          <w:bCs/>
        </w:rPr>
        <w:fldChar w:fldCharType="begin"/>
      </w:r>
      <w:r w:rsidR="00F7126F" w:rsidRPr="00C347AD">
        <w:rPr>
          <w:bCs/>
        </w:rPr>
        <w:instrText xml:space="preserve"> ADDIN ZOTERO_ITEM CSL_CITATION {"citationID":"1fpj390chr","properties":{"formattedCitation":"(Allinder, 1994)","plainCitation":"(Allinder, 1994)"},"citationItems":[{"id":377,"uris":["http://zotero.org/users/2098925/items/C33P6QEV"],"uri":["http://zotero.org/users/2098925/items/C33P6QEV"],"itemData":{"id":377,"type":"article-journal","title":"The relationship between efficacy and the instructional practices of special education teachers and consultants","container-title":"Teacher Education and Special Education: The Journal of the Teacher Education Division of the Council for Exceptional Children","page":"86-95","volume":"17","issue":"2","ISSN":"0888-4064","journalAbbreviation":"Teacher Education and Special Education: The Journal of the Teacher Education Division of the Council for Exceptional Children","author":[{"family":"Allinder","given":"Rose M"}],"issued":{"date-parts":[["1994"]]}}}],"schema":"https://github.com/citation-style-language/schema/raw/master/csl-citation.json"} </w:instrText>
      </w:r>
      <w:r w:rsidR="00B47BBB" w:rsidRPr="00C347AD">
        <w:rPr>
          <w:bCs/>
        </w:rPr>
        <w:fldChar w:fldCharType="separate"/>
      </w:r>
      <w:r w:rsidR="00B47BBB" w:rsidRPr="00C347AD">
        <w:rPr>
          <w:bCs/>
          <w:noProof/>
        </w:rPr>
        <w:t>(Allinder, 1994)</w:t>
      </w:r>
      <w:r w:rsidR="00B47BBB" w:rsidRPr="00C347AD">
        <w:rPr>
          <w:bCs/>
        </w:rPr>
        <w:fldChar w:fldCharType="end"/>
      </w:r>
      <w:r w:rsidR="00B47BBB" w:rsidRPr="00C347AD">
        <w:rPr>
          <w:bCs/>
        </w:rPr>
        <w:t xml:space="preserve">; organization, planning and fairness (Allinder, 1994); a greater sense of willingness to keep students with diverse learning needs in the general classroom </w:t>
      </w:r>
      <w:r w:rsidR="00B47BBB" w:rsidRPr="00C347AD">
        <w:rPr>
          <w:bCs/>
        </w:rPr>
        <w:fldChar w:fldCharType="begin"/>
      </w:r>
      <w:r w:rsidR="00F7126F" w:rsidRPr="00C347AD">
        <w:rPr>
          <w:bCs/>
        </w:rPr>
        <w:instrText xml:space="preserve"> ADDIN ZOTERO_ITEM CSL_CITATION {"citationID":"16t3rpcsjv","properties":{"formattedCitation":"(Meijer &amp; Foster, 1988; Podell &amp; Soodak, 1993; Soodak &amp; Podell, 1993)","plainCitation":"(Meijer &amp; Foster, 1988; Podell &amp; Soodak, 1993; Soodak &amp; Podell, 1993)"},"citationItems":[{"id":745,"uris":["http://zotero.org/users/2098925/items/N7HBP8WZ"],"uri":["http://zotero.org/users/2098925/items/N7HBP8WZ"],"itemData":{"id":745,"type":"article-journal","title":"The effect of teacher self-efficacy on referral chance","container-title":"The Journal of Special Education","page":"378-385","volume":"22","issue":"3","ISSN":"0022-4669","journalAbbreviation":"The Journal of Special Education","author":[{"family":"Meijer","given":"CJW"},{"family":"Foster","given":"SF"}],"issued":{"date-parts":[["1988"]]}}},{"id":865,"uris":["http://zotero.org/users/2098925/items/RKHJQNHQ"],"uri":["http://zotero.org/users/2098925/items/RKHJQNHQ"],"itemData":{"id":865,"type":"article-journal","title":"Teacher efficacy and bias in special education referrals","container-title":"The Journal of educational research","page":"247-253","volume":"86","issue":"4","ISSN":"0022-0671","journalAbbreviation":"The Journal of educational research","author":[{"family":"Podell","given":"David M"},{"family":"Soodak","given":"Leslie C"}],"issued":{"date-parts":[["1993"]]}}},{"id":800,"uris":["http://zotero.org/users/2098925/items/PPNCC8AM"],"uri":["http://zotero.org/users/2098925/items/PPNCC8AM"],"itemData":{"id":800,"type":"article-journal","title":"Teacher efficacy and student problem as factors in special education referral","container-title":"The Journal of Special Education","page":"66-81","volume":"27","issue":"1","ISSN":"0022-4669","journalAbbreviation":"The Journal of Special Education","author":[{"family":"Soodak","given":"Leslie C"},{"family":"Podell","given":"David M"}],"issued":{"date-parts":[["1993"]]}}}],"schema":"https://github.com/citation-style-language/schema/raw/master/csl-citation.json"} </w:instrText>
      </w:r>
      <w:r w:rsidR="00B47BBB" w:rsidRPr="00C347AD">
        <w:rPr>
          <w:bCs/>
        </w:rPr>
        <w:fldChar w:fldCharType="separate"/>
      </w:r>
      <w:r w:rsidR="00B47BBB" w:rsidRPr="00C347AD">
        <w:rPr>
          <w:bCs/>
          <w:noProof/>
        </w:rPr>
        <w:t>(Meijer &amp; Foster, 1988; Podell &amp; Soodak, 1993; Soodak &amp; Podell, 1993)</w:t>
      </w:r>
      <w:r w:rsidR="00B47BBB" w:rsidRPr="00C347AD">
        <w:rPr>
          <w:bCs/>
        </w:rPr>
        <w:fldChar w:fldCharType="end"/>
      </w:r>
      <w:r w:rsidR="00B47BBB" w:rsidRPr="00C347AD">
        <w:rPr>
          <w:bCs/>
        </w:rPr>
        <w:t xml:space="preserve">; overall student academic outcomes </w:t>
      </w:r>
      <w:r w:rsidR="00B47BBB" w:rsidRPr="00C347AD">
        <w:rPr>
          <w:bCs/>
        </w:rPr>
        <w:fldChar w:fldCharType="begin"/>
      </w:r>
      <w:r w:rsidR="00F7126F" w:rsidRPr="00C347AD">
        <w:rPr>
          <w:bCs/>
        </w:rPr>
        <w:instrText xml:space="preserve"> ADDIN ZOTERO_ITEM CSL_CITATION {"citationID":"1cvbhq0oml","properties":{"formattedCitation":"(Moore &amp; Esselman, 1994; Ross, 1992; Watson, 1991)","plainCitation":"(Moore &amp; Esselman, 1994; Ross, 1992; Watson, 1991)"},"citationItems":[{"id":282,"uris":["http://zotero.org/users/2098925/items/96PSF3VN"],"uri":["http://zotero.org/users/2098925/items/96PSF3VN"],"itemData":{"id":282,"type":"article-journal","title":"Exploring the Context of Teacher Efficacy: The Role of Achievement and Climate.","author":[{"family":"Moore","given":"William P"},{"family":"Esselman","given":"Mary E"}],"issued":{"date-parts":[["1994"]]}}},{"id":1000,"uris":["http://zotero.org/users/2098925/items/VINDU8GR"],"uri":["http://zotero.org/users/2098925/items/VINDU8GR"],"itemData":{"id":1000,"type":"article-journal","title":"Teacher efficacy and the effects of coaching on student achievement","container-title":"Canadian Journal of Education/Revue canadienne de l'education","page":"51-65","ISSN":"0380-2361","journalAbbreviation":"Canadian Journal of Education/Revue canadienne de l'education","author":[{"family":"Ross","given":"John A"}],"issued":{"date-parts":[["1992"]]}}},{"id":354,"uris":["http://zotero.org/users/2098925/items/B9WDP4SZ"],"uri":["http://zotero.org/users/2098925/items/B9WDP4SZ"],"itemData":{"id":354,"type":"book","title":"A study of the effects of teacher efficacy on the academic achievement of third grade students in selected elementary schools in South Carolina","author":[{"family":"Watson","given":"Shirley Dendy"}],"issued":{"date-parts":[["1991"]]}}}],"schema":"https://github.com/citation-style-language/schema/raw/master/csl-citation.json"} </w:instrText>
      </w:r>
      <w:r w:rsidR="00B47BBB" w:rsidRPr="00C347AD">
        <w:rPr>
          <w:bCs/>
        </w:rPr>
        <w:fldChar w:fldCharType="separate"/>
      </w:r>
      <w:r w:rsidR="00B47BBB" w:rsidRPr="00C347AD">
        <w:rPr>
          <w:bCs/>
          <w:noProof/>
        </w:rPr>
        <w:t>(</w:t>
      </w:r>
      <w:r w:rsidR="00B323A5" w:rsidRPr="00C347AD">
        <w:rPr>
          <w:bCs/>
          <w:noProof/>
        </w:rPr>
        <w:t>e.g.,</w:t>
      </w:r>
      <w:r w:rsidR="00B47BBB" w:rsidRPr="00C347AD">
        <w:rPr>
          <w:bCs/>
          <w:noProof/>
        </w:rPr>
        <w:t xml:space="preserve"> Moore &amp; Esselman, 1994; Ross, 1992; Watson, 1991)</w:t>
      </w:r>
      <w:r w:rsidR="00B47BBB" w:rsidRPr="00C347AD">
        <w:rPr>
          <w:bCs/>
        </w:rPr>
        <w:fldChar w:fldCharType="end"/>
      </w:r>
      <w:r w:rsidR="00B47BBB" w:rsidRPr="00C347AD">
        <w:rPr>
          <w:bCs/>
        </w:rPr>
        <w:t xml:space="preserve"> and students’ own attitudes </w:t>
      </w:r>
      <w:r w:rsidR="00B47BBB" w:rsidRPr="00C347AD">
        <w:rPr>
          <w:bCs/>
        </w:rPr>
        <w:fldChar w:fldCharType="begin"/>
      </w:r>
      <w:r w:rsidR="00F7126F" w:rsidRPr="00C347AD">
        <w:rPr>
          <w:bCs/>
        </w:rPr>
        <w:instrText xml:space="preserve"> ADDIN ZOTERO_ITEM CSL_CITATION {"citationID":"ltcj9dh1h","properties":{"formattedCitation":"(Woolfolk, Rosoff, &amp; Hoy, 1990)","plainCitation":"(Woolfolk, Rosoff, &amp; Hoy, 1990)"},"citationItems":[{"id":461,"uris":["http://zotero.org/users/2098925/items/EBDGUG2W"],"uri":["http://zotero.org/users/2098925/items/EBDGUG2W"],"itemData":{"id":461,"type":"article-journal","title":"Teachers' sense of efficacy and their beliefs about managing students","container-title":"Teaching and teacher Education","page":"137-148","volume":"6","issue":"2","ISSN":"0742-051X","journalAbbreviation":"Teaching and teacher Education","author":[{"family":"Woolfolk","given":"Anita E"},{"family":"Rosoff","given":"Barbara"},{"family":"Hoy","given":"Wayne K"}],"issued":{"date-parts":[["1990"]]}}}],"schema":"https://github.com/citation-style-language/schema/raw/master/csl-citation.json"} </w:instrText>
      </w:r>
      <w:r w:rsidR="00B47BBB" w:rsidRPr="00C347AD">
        <w:rPr>
          <w:bCs/>
        </w:rPr>
        <w:fldChar w:fldCharType="separate"/>
      </w:r>
      <w:r w:rsidR="00B47BBB" w:rsidRPr="00C347AD">
        <w:rPr>
          <w:bCs/>
          <w:noProof/>
        </w:rPr>
        <w:t>(</w:t>
      </w:r>
      <w:r w:rsidR="00B323A5" w:rsidRPr="00C347AD">
        <w:rPr>
          <w:bCs/>
          <w:noProof/>
        </w:rPr>
        <w:t>e.g.,</w:t>
      </w:r>
      <w:r w:rsidR="00B47BBB" w:rsidRPr="00C347AD">
        <w:rPr>
          <w:bCs/>
          <w:noProof/>
        </w:rPr>
        <w:t xml:space="preserve"> Woolfolk, Rosoff, &amp; Hoy, 1990)</w:t>
      </w:r>
      <w:r w:rsidR="00B47BBB" w:rsidRPr="00C347AD">
        <w:rPr>
          <w:bCs/>
        </w:rPr>
        <w:fldChar w:fldCharType="end"/>
      </w:r>
      <w:r w:rsidR="00B47BBB" w:rsidRPr="00C347AD">
        <w:rPr>
          <w:bCs/>
        </w:rPr>
        <w:t>.</w:t>
      </w:r>
      <w:r w:rsidRPr="00C347AD">
        <w:rPr>
          <w:bCs/>
        </w:rPr>
        <w:t xml:space="preserve"> The importance of this construct, therefore, makes it a useful and significant dependent variable to measure in this study.</w:t>
      </w:r>
      <w:r w:rsidR="00B47BBB" w:rsidRPr="00C347AD">
        <w:rPr>
          <w:b/>
          <w:bCs/>
        </w:rPr>
        <w:t xml:space="preserve"> </w:t>
      </w:r>
      <w:r w:rsidR="00B47BBB" w:rsidRPr="00C347AD">
        <w:rPr>
          <w:bCs/>
        </w:rPr>
        <w:t xml:space="preserve">Further discussion of measurement of this construct, including the measures </w:t>
      </w:r>
      <w:r w:rsidR="00205F05" w:rsidRPr="00C347AD">
        <w:rPr>
          <w:bCs/>
        </w:rPr>
        <w:t xml:space="preserve">used in this study, appears in </w:t>
      </w:r>
      <w:r w:rsidR="00526038" w:rsidRPr="00C347AD">
        <w:rPr>
          <w:bCs/>
        </w:rPr>
        <w:t>Chapter</w:t>
      </w:r>
      <w:r w:rsidR="00205F05" w:rsidRPr="00C347AD">
        <w:rPr>
          <w:bCs/>
        </w:rPr>
        <w:t xml:space="preserve"> 3. </w:t>
      </w:r>
    </w:p>
    <w:p w14:paraId="3C0E9081" w14:textId="1FC156E2" w:rsidR="00B47BBB" w:rsidRPr="00C347AD" w:rsidRDefault="00E318E9" w:rsidP="001D2145">
      <w:r w:rsidRPr="00C347AD">
        <w:rPr>
          <w:b/>
        </w:rPr>
        <w:lastRenderedPageBreak/>
        <w:t>Teacher attitude</w:t>
      </w:r>
      <w:r w:rsidR="00B47BBB" w:rsidRPr="00C347AD">
        <w:rPr>
          <w:b/>
        </w:rPr>
        <w:t xml:space="preserve">. </w:t>
      </w:r>
      <w:r w:rsidRPr="00C347AD">
        <w:t>Teacher attitude</w:t>
      </w:r>
      <w:r w:rsidR="00B47BBB" w:rsidRPr="00C347AD">
        <w:t xml:space="preserve"> is a compound construct, as it may be recognized to have both cognitive (</w:t>
      </w:r>
      <w:r w:rsidR="00B323A5" w:rsidRPr="00C347AD">
        <w:t>e.g.,</w:t>
      </w:r>
      <w:r w:rsidR="00B47BBB" w:rsidRPr="00C347AD">
        <w:t xml:space="preserve"> belief) and affective (</w:t>
      </w:r>
      <w:r w:rsidR="00B323A5" w:rsidRPr="00C347AD">
        <w:t>e.g.,</w:t>
      </w:r>
      <w:r w:rsidR="00B47BBB" w:rsidRPr="00C347AD">
        <w:t xml:space="preserve"> feeling) aspects, both of which are relevant in driving behavior. Interest in teacher attitudes may date back to at least Phillip Jackson’s (1968) </w:t>
      </w:r>
      <w:r w:rsidR="00B47BBB" w:rsidRPr="00C347AD">
        <w:rPr>
          <w:i/>
        </w:rPr>
        <w:t xml:space="preserve">Life in the Classroom </w:t>
      </w:r>
      <w:r w:rsidR="00B47BBB" w:rsidRPr="00C347AD">
        <w:t xml:space="preserve">in which Jackson attempted to frame the means by which teacher thought processes were the </w:t>
      </w:r>
      <w:r w:rsidR="002F6360" w:rsidRPr="00C347AD">
        <w:t>implicit processes that underlie</w:t>
      </w:r>
      <w:r w:rsidR="00B47BBB" w:rsidRPr="00C347AD">
        <w:t xml:space="preserve"> the behavior that was the focal point of research at his time of writing. However, being a sub-domain of cognitivism, serious collective research on the topic of teacher attitudes did not take off until the early 1980s, during what Cochran-Smith and Fries (2005) refer to as the period in which teacher preparation was framed as a “learning problem,” a period that closely corresponds with the rise of cognitive models of education research. </w:t>
      </w:r>
    </w:p>
    <w:p w14:paraId="15CA8047" w14:textId="5A70E9BE" w:rsidR="00B47BBB" w:rsidRPr="00C347AD" w:rsidRDefault="00B47BBB" w:rsidP="00B47BBB">
      <w:r w:rsidRPr="00C347AD">
        <w:t xml:space="preserve">The rise of research interest in teacher attitudes was useful in establishing justification of an indirect connection from teacher cognition to teacher behavior and ultimately to student learning </w:t>
      </w:r>
      <w:r w:rsidRPr="00C347AD">
        <w:fldChar w:fldCharType="begin"/>
      </w:r>
      <w:r w:rsidR="00F7126F" w:rsidRPr="00C347AD">
        <w:instrText xml:space="preserve"> ADDIN ZOTERO_ITEM CSL_CITATION {"citationID":"QCrdQ0UB","properties":{"formattedCitation":"(Anders &amp; Evans, 1994; Clark, Peterson, &amp; Wittrock, 1986; Fang, 1996; Hollingsworth, 1989; Niederhauser &amp; Stoddart, 1994; Schommer, 1994; Wigfield &amp; Eccles, 2000)","plainCitation":"(Anders &amp; Evans, 1994; Clark, Peterson, &amp; Wittrock, 1986; Fang, 1996; Hollingsworth, 1989; Niederhauser &amp; Stoddart, 1994; Schommer, 1994; Wigfield &amp; Eccles, 2000)"},"citationItems":[{"id":289,"uris":["http://zotero.org/users/2098925/items/9DVHJ7VQ"],"uri":["http://zotero.org/users/2098925/items/9DVHJ7VQ"],"itemData":{"id":289,"type":"article-journal","title":"Relationship between teachers' beliefs and their instructional practice in reading","container-title":"Beliefs about text and instruction with text","page":"137-153","journalAbbreviation":"Beliefs about text and instruction with text","author":[{"family":"Anders","given":"Patricia L"},{"family":"Evans","given":"Karen S"}],"issued":{"date-parts":[["1994"]]}}},{"id":536,"uris":["http://zotero.org/users/2098925/items/G7XDX3HZ"],"uri":["http://zotero.org/users/2098925/items/G7XDX3HZ"],"itemData":{"id":536,"type":"article-journal","title":"Handbook of research on teaching","container-title":"Wittrock, MC","journalAbbreviation":"Wittrock, MC","author":[{"family":"Clark","given":"Christopher M"},{"family":"Peterson","given":"PL"},{"family":"Wittrock","given":"MC"}],"issued":{"date-parts":[["1986"]]}}},{"id":613,"uris":["http://zotero.org/users/2098925/items/IH5Q5E8U"],"uri":["http://zotero.org/users/2098925/items/IH5Q5E8U"],"itemData":{"id":613,"type":"article-journal","title":"A review of research on teacher beliefs and practices","container-title":"Educational research","page":"47–65","volume":"38","issue":"1","source":"Google Scholar","author":[{"family":"Fang","given":"Zhihui"}],"issued":{"date-parts":[["1996"]]}}},{"id":308,"uris":["http://zotero.org/users/2098925/items/9WTMZHUT"],"uri":["http://zotero.org/users/2098925/items/9WTMZHUT"],"itemData":{"id":308,"type":"article-journal","title":"Prior Beliefs and Cognitive Change in Learning to Teach","container-title":"American Educational Research Journal","page":"160-189","volume":"26","issue":"2","source":"aer.sagepub.com","abstract":"This is a report of the first year of a longitudinal study to investigate changes in preservice teachers’ knowledge and beliefs about reading instruction before, during, and after a fifth-year teacher education program. In particular, changes in global preprogram beliefs about education, teaching, and learning were traced as preservice teachers acquired specific knowledge of how to manage, assess, and instructionally facilitate students’ learning through text. Researchers interviewed and observed 14 elementary and secondary preservice teachers as they entered the teacher education program, attended reading classes at the university, then taught reading in school classrooms. These qualitative data were analyzed to determine (a) the patterns of intellectual change from novice preservice teacher to beginning classroom teacher; (b) the personal, program, and contextual influences or constraints on that change; (c) the role of the cooperating teacher and university supervisor in supporting intellectual change; and (d) the nature of prior beliefs on identity maintenance while learning. Findings include the importance of understanding preservice teachers’ prior beliefs to inform supervision and university course design, the value of cognitive dissonance in practice teaching contexts, the need to routinize classroom management knowledge before attending to subject-specific pedagogy, and the importance of the academic task as part of the teaching knowledge base.","DOI":"10.3102/00028312026002160","ISSN":"0002-8312, 1935-1011","journalAbbreviation":"Am Educ Res J","language":"en","author":[{"family":"Hollingsworth","given":"Sandra"}],"issued":{"date-parts":[["1989",6,20]]}}},{"id":687,"uris":["http://zotero.org/users/2098925/items/KGTAZFGC"],"uri":["http://zotero.org/users/2098925/items/KGTAZFGC"],"itemData":{"id":687,"type":"article-journal","title":"The relationship between teachers' beliefs about computer assisted instruction and their practice","container-title":"Technology and Teacher Educationm Annual","page":"52-56","journalAbbreviation":"Technology and Teacher Educationm Annual","author":[{"family":"Niederhauser","given":"Dale S"},{"family":"Stoddart","given":"Trish"}],"issued":{"date-parts":[["1994"]]}}},{"id":36,"uris":["http://zotero.org/users/2098925/items/2XZ53HWK"],"uri":["http://zotero.org/users/2098925/items/2XZ53HWK"],"itemData":{"id":36,"type":"article-journal","title":"Synthesizing epistemological belief research: Tentative understandings and provocative confusions","container-title":"Educational psychology review","page":"293-319","volume":"6","issue":"4","ISSN":"1040-726X","journalAbbreviation":"Educational psychology review","author":[{"family":"Schommer","given":"Marlene"}],"issued":{"date-parts":[["1994"]]}}},{"id":636,"uris":["http://zotero.org/users/2098925/items/J3JQERQK"],"uri":["http://zotero.org/users/2098925/items/J3JQERQK"],"itemData":{"id":636,"type":"article-journal","title":"Expectancy–value theory of achievement motivation","container-title":"Contemporary educational psychology","page":"68-81","volume":"25","issue":"1","ISSN":"0361-476X","journalAbbreviation":"Contemporary educational psychology","author":[{"family":"Wigfield","given":"Allan"},{"family":"Eccles","given":"Jacquelynne S"}],"issued":{"date-parts":[["2000"]]}}}],"schema":"https://github.com/citation-style-language/schema/raw/master/csl-citation.json"} </w:instrText>
      </w:r>
      <w:r w:rsidRPr="00C347AD">
        <w:fldChar w:fldCharType="separate"/>
      </w:r>
      <w:r w:rsidRPr="00C347AD">
        <w:rPr>
          <w:noProof/>
        </w:rPr>
        <w:t>(</w:t>
      </w:r>
      <w:r w:rsidR="00B323A5" w:rsidRPr="00C347AD">
        <w:rPr>
          <w:noProof/>
        </w:rPr>
        <w:t>e.g.,</w:t>
      </w:r>
      <w:r w:rsidRPr="00C347AD">
        <w:rPr>
          <w:noProof/>
        </w:rPr>
        <w:t xml:space="preserve"> Anders &amp; Evans, 1994; Clark, Peterson, &amp; Wittrock, 1986; Fang, 1996; Hollingsworth, 1989; Niederhauser &amp; Stoddart, 1994; Schommer, 1994; Wigfield &amp; Eccles, 2000)</w:t>
      </w:r>
      <w:r w:rsidRPr="00C347AD">
        <w:fldChar w:fldCharType="end"/>
      </w:r>
      <w:r w:rsidRPr="00C347AD">
        <w:t xml:space="preserve">. Collectively, this body of early research goes beyond demonstrating the connection from teacher cognition to student performance to attempting to formulate theories about the nature of the process (Fang, 1996). For example, </w:t>
      </w:r>
      <w:r w:rsidRPr="00C347AD">
        <w:fldChar w:fldCharType="begin"/>
      </w:r>
      <w:r w:rsidR="00F7126F" w:rsidRPr="00C347AD">
        <w:instrText xml:space="preserve"> ADDIN ZOTERO_ITEM CSL_CITATION {"citationID":"1krb6m21jn","properties":{"formattedCitation":"(J. Putnam &amp; Duffy, 1984)","plainCitation":"(J. Putnam &amp; Duffy, 1984)"},"citationItems":[{"id":965,"uris":["http://zotero.org/users/2098925/items/UG4JKMGD"],"uri":["http://zotero.org/users/2098925/items/UG4JKMGD"],"itemData":{"id":965,"type":"article-journal","title":"A Descriptive Study of the Preactive and Interactive Decision Making of an Expert Classroom Teacher. Research Series No. 148.","author":[{"family":"Putnam","given":"Joyce"},{"family":"Duffy","given":"Gerald G"}],"issued":{"date-parts":[["1984"]]}}}],"schema":"https://github.com/citation-style-language/schema/raw/master/csl-citation.json"} </w:instrText>
      </w:r>
      <w:r w:rsidRPr="00C347AD">
        <w:fldChar w:fldCharType="separate"/>
      </w:r>
      <w:r w:rsidRPr="00C347AD">
        <w:rPr>
          <w:noProof/>
        </w:rPr>
        <w:t>Putnam and Duffy (1984)</w:t>
      </w:r>
      <w:r w:rsidRPr="00C347AD">
        <w:fldChar w:fldCharType="end"/>
      </w:r>
      <w:r w:rsidRPr="00C347AD">
        <w:t xml:space="preserve"> argued that teacher cognition dictates pre-planned outcomes, as behaviors are unconsciously perpetuated to help bring these outcomes to bear; similarly, Shavelson and Stern </w:t>
      </w:r>
      <w:r w:rsidRPr="00C347AD">
        <w:fldChar w:fldCharType="begin"/>
      </w:r>
      <w:r w:rsidR="00F7126F" w:rsidRPr="00C347AD">
        <w:instrText xml:space="preserve"> ADDIN ZOTERO_ITEM CSL_CITATION {"citationID":"u361thfiq","properties":{"formattedCitation":"(Shavelson &amp; Stern, 1981)","plainCitation":"(Shavelson &amp; Stern, 1981)"},"citationItems":[{"id":662,"uris":["http://zotero.org/users/2098925/items/JQWZVX3G"],"uri":["http://zotero.org/users/2098925/items/JQWZVX3G"],"itemData":{"id":662,"type":"article-journal","title":"Research on teachers’ pedagogical thoughts, judgments, decisions, and behavior","container-title":"Review of educational research","page":"455-498","volume":"51","issue":"4","ISSN":"0034-6543","journalAbbreviation":"Review of educational research","author":[{"family":"Shavelson","given":"Richard J"},{"family":"Stern","given":"Paula"}],"issued":{"date-parts":[["1981"]]}}}],"schema":"https://github.com/citation-style-language/schema/raw/master/csl-citation.json"} </w:instrText>
      </w:r>
      <w:r w:rsidRPr="00C347AD">
        <w:fldChar w:fldCharType="separate"/>
      </w:r>
      <w:r w:rsidRPr="00C347AD">
        <w:rPr>
          <w:noProof/>
        </w:rPr>
        <w:t>(1981)</w:t>
      </w:r>
      <w:r w:rsidRPr="00C347AD">
        <w:fldChar w:fldCharType="end"/>
      </w:r>
      <w:r w:rsidRPr="00C347AD">
        <w:t xml:space="preserve"> suggested teacher cognition serves as a filter through which decisions are sifted and made, resulting in behavior.  Fang summarized the </w:t>
      </w:r>
      <w:r w:rsidRPr="00C347AD">
        <w:lastRenderedPageBreak/>
        <w:t xml:space="preserve">body of research from this period saying, “teachers' thinking about their roles and the beliefs and values they hold help shape their pedagogy. Specifically, it indicates that teachers teach in accordance with their theoretical beliefs” (p. 53). </w:t>
      </w:r>
    </w:p>
    <w:p w14:paraId="14A7EE59" w14:textId="50541769" w:rsidR="00B47BBB" w:rsidRPr="00C347AD" w:rsidRDefault="00B47BBB" w:rsidP="00B47BBB">
      <w:r w:rsidRPr="00C347AD">
        <w:t>However, this unilateral model whereby teacher beliefs determine teacher actions, which affect student performance has also</w:t>
      </w:r>
      <w:r w:rsidR="00205F05" w:rsidRPr="00C347AD">
        <w:t xml:space="preserve"> been challenged as too linear and as failing</w:t>
      </w:r>
      <w:r w:rsidRPr="00C347AD">
        <w:t xml:space="preserve"> </w:t>
      </w:r>
      <w:r w:rsidR="00205F05" w:rsidRPr="00C347AD">
        <w:t>to recognize</w:t>
      </w:r>
      <w:r w:rsidRPr="00C347AD">
        <w:t xml:space="preserve"> the complex environmental and social interactions that reciprocally affect teacher action and that mediate teacher </w:t>
      </w:r>
      <w:r w:rsidR="002E0F3E" w:rsidRPr="00C347AD">
        <w:t xml:space="preserve">action and student performance </w:t>
      </w:r>
      <w:r w:rsidRPr="00C347AD">
        <w:t>(Fang, 1996).  Other factors including school, instructional and classroom life (</w:t>
      </w:r>
      <w:r w:rsidR="00B323A5" w:rsidRPr="00C347AD">
        <w:t>e.g.,</w:t>
      </w:r>
      <w:r w:rsidRPr="00C347AD">
        <w:t xml:space="preserve"> Duffy &amp; Anderson, 1984), associative impact of administrator and collegial attitudes </w:t>
      </w:r>
      <w:r w:rsidRPr="00C347AD">
        <w:fldChar w:fldCharType="begin"/>
      </w:r>
      <w:r w:rsidR="00F7126F" w:rsidRPr="00C347AD">
        <w:instrText xml:space="preserve"> ADDIN ZOTERO_ITEM CSL_CITATION {"citationID":"2g8miimuqn","properties":{"formattedCitation":"(Kilgore, Ross, &amp; Zbikowski, 1990)","plainCitation":"(Kilgore, Ross, &amp; Zbikowski, 1990)"},"citationItems":[{"id":950,"uris":["http://zotero.org/users/2098925/items/TZKJSWEP"],"uri":["http://zotero.org/users/2098925/items/TZKJSWEP"],"itemData":{"id":950,"type":"article-journal","title":"Understanding the teaching perspectives of first-year teachers","container-title":"Journal of Teacher Education","page":"28-38","volume":"41","issue":"1","ISSN":"0022-4871","journalAbbreviation":"Journal of Teacher Education","author":[{"family":"Kilgore","given":"Karen"},{"family":"Ross","given":"Dorene"},{"family":"Zbikowski","given":"John"}],"issued":{"date-parts":[["1990"]]}}}],"schema":"https://github.com/citation-style-language/schema/raw/master/csl-citation.json"} </w:instrText>
      </w:r>
      <w:r w:rsidRPr="00C347AD">
        <w:fldChar w:fldCharType="separate"/>
      </w:r>
      <w:r w:rsidRPr="00C347AD">
        <w:rPr>
          <w:noProof/>
        </w:rPr>
        <w:t>(Kilgore, Ross, &amp; Zbikowski, 1990)</w:t>
      </w:r>
      <w:r w:rsidRPr="00C347AD">
        <w:fldChar w:fldCharType="end"/>
      </w:r>
      <w:r w:rsidRPr="00C347AD">
        <w:t xml:space="preserve">, teacher evaluation policies and their stated values </w:t>
      </w:r>
      <w:r w:rsidRPr="00C347AD">
        <w:fldChar w:fldCharType="begin"/>
      </w:r>
      <w:r w:rsidR="00F7126F" w:rsidRPr="00C347AD">
        <w:instrText xml:space="preserve"> ADDIN ZOTERO_ITEM CSL_CITATION {"citationID":"1j18je275t","properties":{"formattedCitation":"(Sapon-Shevin, 1990)","plainCitation":"(Sapon-Shevin, 1990)"},"citationItems":[{"id":1024,"uris":["http://zotero.org/users/2098925/items/WDBP6IQK"],"uri":["http://zotero.org/users/2098925/items/WDBP6IQK"],"itemData":{"id":1024,"type":"article-journal","title":"Gifted education and the deskilling of classroom teachers","container-title":"Journal of Teacher Education","page":"39-48","volume":"41","issue":"1","ISSN":"0022-4871","journalAbbreviation":"Journal of Teacher Education","author":[{"family":"Sapon-Shevin","given":"Mara"}],"issued":{"date-parts":[["1990"]]}}}],"schema":"https://github.com/citation-style-language/schema/raw/master/csl-citation.json"} </w:instrText>
      </w:r>
      <w:r w:rsidRPr="00C347AD">
        <w:fldChar w:fldCharType="separate"/>
      </w:r>
      <w:r w:rsidRPr="00C347AD">
        <w:rPr>
          <w:noProof/>
        </w:rPr>
        <w:t>(Sapon-Shevin, 1990)</w:t>
      </w:r>
      <w:r w:rsidRPr="00C347AD">
        <w:fldChar w:fldCharType="end"/>
      </w:r>
      <w:r w:rsidR="00F57E76" w:rsidRPr="00C347AD">
        <w:t xml:space="preserve">, and </w:t>
      </w:r>
      <w:r w:rsidRPr="00C347AD">
        <w:t xml:space="preserve">difficulty for early career teachers to bridge the gap from the idealism (often generated in preparation environments) to the realities of classroom life </w:t>
      </w:r>
      <w:r w:rsidRPr="00C347AD">
        <w:fldChar w:fldCharType="begin"/>
      </w:r>
      <w:r w:rsidR="00F7126F" w:rsidRPr="00C347AD">
        <w:instrText xml:space="preserve"> ADDIN ZOTERO_ITEM CSL_CITATION {"citationID":"1s9t5s8c6g","properties":{"formattedCitation":"(Pinnegar &amp; Carter, 1990)","plainCitation":"(Pinnegar &amp; Carter, 1990)"},"citationItems":[{"id":422,"uris":["http://zotero.org/users/2098925/items/DC5RPXME"],"uri":["http://zotero.org/users/2098925/items/DC5RPXME"],"itemData":{"id":422,"type":"article-journal","title":"Comparing theories from textbooks and practicing teachers","container-title":"Journal of Teacher Education","page":"20-27","volume":"41","issue":"1","ISSN":"0022-4871","journalAbbreviation":"Journal of Teacher Education","author":[{"family":"Pinnegar","given":"Stefinee"},{"family":"Carter","given":"Kathy"}],"issued":{"date-parts":[["1990"]]}}}],"schema":"https://github.com/citation-style-language/schema/raw/master/csl-citation.json"} </w:instrText>
      </w:r>
      <w:r w:rsidRPr="00C347AD">
        <w:fldChar w:fldCharType="separate"/>
      </w:r>
      <w:r w:rsidRPr="00C347AD">
        <w:rPr>
          <w:noProof/>
        </w:rPr>
        <w:t>(</w:t>
      </w:r>
      <w:r w:rsidR="00B323A5" w:rsidRPr="00C347AD">
        <w:rPr>
          <w:noProof/>
        </w:rPr>
        <w:t>e.g.,</w:t>
      </w:r>
      <w:r w:rsidRPr="00C347AD">
        <w:rPr>
          <w:noProof/>
        </w:rPr>
        <w:t xml:space="preserve"> Pinnegar &amp; Carter, 1990)</w:t>
      </w:r>
      <w:r w:rsidRPr="00C347AD">
        <w:fldChar w:fldCharType="end"/>
      </w:r>
      <w:r w:rsidRPr="00C347AD">
        <w:t>. In light of these factors, Fang (1996) suggested, “teachers' theoretical beliefs are situational and are transferred into instructional practices only in relation to the complexities of the classroom” (</w:t>
      </w:r>
      <w:r w:rsidR="002E39F7" w:rsidRPr="00C347AD">
        <w:t xml:space="preserve">p. </w:t>
      </w:r>
      <w:r w:rsidRPr="00C347AD">
        <w:t xml:space="preserve">55). </w:t>
      </w:r>
    </w:p>
    <w:p w14:paraId="096F9BE9" w14:textId="4272E7F6" w:rsidR="00B47BBB" w:rsidRPr="00C347AD" w:rsidRDefault="00B47BBB" w:rsidP="00B47BBB">
      <w:r w:rsidRPr="00C347AD">
        <w:t>In reflection, two findings from the early literature</w:t>
      </w:r>
      <w:r w:rsidR="00AE215D" w:rsidRPr="00C347AD">
        <w:t xml:space="preserve"> together present an important conundrum for education faculty:</w:t>
      </w:r>
      <w:r w:rsidRPr="00C347AD">
        <w:t xml:space="preserve"> (1) teacher cognition can have serious implications for student achievement and (2) teacher cognition may be affected by a large number of complex factors that occur after </w:t>
      </w:r>
      <w:r w:rsidR="00AE215D" w:rsidRPr="00C347AD">
        <w:t>leaving preparation programming</w:t>
      </w:r>
      <w:r w:rsidRPr="00C347AD">
        <w:t xml:space="preserve">. How can education faculty meaningfully contribute to developing constructive attitudes in preservice teachers and ensure that these fledgling beliefs survive the complex battery of (potentially </w:t>
      </w:r>
      <w:r w:rsidRPr="00C347AD">
        <w:lastRenderedPageBreak/>
        <w:t xml:space="preserve">less constructive) early career influences? Speaking of in-service teachers, Duffy and Anderson (1984) summarize this issue in a way that easily and vitally translates to the preparation process: </w:t>
      </w:r>
    </w:p>
    <w:p w14:paraId="19BCE960" w14:textId="608F150C" w:rsidR="00B47BBB" w:rsidRPr="00C347AD" w:rsidRDefault="00B47BBB" w:rsidP="00B47BBB">
      <w:pPr>
        <w:ind w:left="720" w:firstLine="0"/>
      </w:pPr>
      <w:r w:rsidRPr="00C347AD">
        <w:t xml:space="preserve">The issue is not whether teachers should possess theoretical knowledge ... They should. Instead, the issue is how teachers can apply theoretical knowledge in real classrooms where the </w:t>
      </w:r>
      <w:r w:rsidR="00D65032" w:rsidRPr="00C347AD">
        <w:t>relation</w:t>
      </w:r>
      <w:r w:rsidRPr="00C347AD">
        <w:t xml:space="preserve"> between theory and practice is complex and where numerous constraints and pressures influence teacher thinking (p. 103). </w:t>
      </w:r>
    </w:p>
    <w:p w14:paraId="7F51D665" w14:textId="77777777" w:rsidR="00B47BBB" w:rsidRPr="00C347AD" w:rsidRDefault="00B47BBB" w:rsidP="00B47BBB">
      <w:r w:rsidRPr="00C347AD">
        <w:t xml:space="preserve">It must, therefore, become a rallying point for teacher educators to consider how to not only develop constructive cognitive attitudes among preservice teachers with whom they have influence, but to do so in a way that prepares such preservice teachers for the complex settings in which such attitudes are to be applied, and to develop them in such a way as to be resilient against the impact of less constructive views with which teachers are likely to come in contact in their careers. </w:t>
      </w:r>
    </w:p>
    <w:p w14:paraId="019AEEAF" w14:textId="41F2B8FB" w:rsidR="00B47BBB" w:rsidRPr="00C347AD" w:rsidRDefault="00B47BBB" w:rsidP="00B47BBB">
      <w:r w:rsidRPr="00C347AD">
        <w:t>However, following attitudinal effects from undergraduate intervention to professional practice is excessively complicated. Longitudina</w:t>
      </w:r>
      <w:r w:rsidR="002E39F7" w:rsidRPr="00C347AD">
        <w:t xml:space="preserve">l studies are not only resource </w:t>
      </w:r>
      <w:r w:rsidRPr="00C347AD">
        <w:t xml:space="preserve">intensive, but also difficult to ensure validity given the multitude of variables that intercede between </w:t>
      </w:r>
      <w:r w:rsidR="00AE215D" w:rsidRPr="00C347AD">
        <w:t>coursework</w:t>
      </w:r>
      <w:r w:rsidRPr="00C347AD">
        <w:t xml:space="preserve"> and practice. To be convincing, therefore, such data would need to be collected not only longitudinally, but also large scale and requiring of an (also large) control group. </w:t>
      </w:r>
      <w:r w:rsidR="00AE215D" w:rsidRPr="00C347AD">
        <w:t xml:space="preserve">Such a study </w:t>
      </w:r>
      <w:r w:rsidR="00C13BB0" w:rsidRPr="00C347AD">
        <w:t>would be extremely resource intensive.</w:t>
      </w:r>
    </w:p>
    <w:p w14:paraId="2FC36B25" w14:textId="50828B08" w:rsidR="00B47BBB" w:rsidRPr="00C347AD" w:rsidRDefault="00B47BBB" w:rsidP="00B47BBB">
      <w:r w:rsidRPr="00C347AD">
        <w:t xml:space="preserve">In absence of the resources (time, program control, funding) for such a large-scale endeavor, </w:t>
      </w:r>
      <w:r w:rsidR="00C13BB0" w:rsidRPr="00C347AD">
        <w:t>this study examines</w:t>
      </w:r>
      <w:r w:rsidRPr="00C347AD">
        <w:t xml:space="preserve"> a smaller portion of the process: specifically, the impact </w:t>
      </w:r>
      <w:r w:rsidRPr="00C347AD">
        <w:lastRenderedPageBreak/>
        <w:t>that a single course of study may demonstrate on the immediate or short-term attitudes of teachers. Though this type of short-term research already</w:t>
      </w:r>
      <w:r w:rsidR="00AF39F8" w:rsidRPr="00C347AD">
        <w:t xml:space="preserve"> has</w:t>
      </w:r>
      <w:r w:rsidRPr="00C347AD">
        <w:t xml:space="preserve"> been developed in theoretical and some practical terms in much older research (</w:t>
      </w:r>
      <w:r w:rsidR="00B323A5" w:rsidRPr="00C347AD">
        <w:t>e.g.,</w:t>
      </w:r>
      <w:r w:rsidRPr="00C347AD">
        <w:t xml:space="preserve"> Anders </w:t>
      </w:r>
      <w:r w:rsidR="00F57E76" w:rsidRPr="00C347AD">
        <w:t>&amp;</w:t>
      </w:r>
      <w:r w:rsidRPr="00C347AD">
        <w:t xml:space="preserve"> Evans, 1994; Clark &amp; Peterson, 1986; Duffy &amp; Anderson, 1984; Eccles &amp; Wigfield, 1985; Fang, 1996; Hollingsworth, 1989), it still has value for </w:t>
      </w:r>
      <w:r w:rsidR="00911B1D" w:rsidRPr="00C347AD">
        <w:t>this study for two reasons. (1) Fr</w:t>
      </w:r>
      <w:r w:rsidRPr="00C347AD">
        <w:t>om a theoretical perspective</w:t>
      </w:r>
      <w:r w:rsidR="00EE3D7F" w:rsidRPr="00C347AD">
        <w:t>,</w:t>
      </w:r>
      <w:r w:rsidR="00C13BB0" w:rsidRPr="00C347AD">
        <w:t xml:space="preserve"> this study </w:t>
      </w:r>
      <w:r w:rsidR="00E72E00" w:rsidRPr="00C347AD">
        <w:t>extends the literature that examines</w:t>
      </w:r>
      <w:r w:rsidRPr="00C347AD">
        <w:t xml:space="preserve"> attitudes in isolation</w:t>
      </w:r>
      <w:r w:rsidR="00E72E00" w:rsidRPr="00C347AD">
        <w:t xml:space="preserve"> by</w:t>
      </w:r>
      <w:r w:rsidRPr="00C347AD">
        <w:t xml:space="preserve"> using teacher attitudes as one of a set of interdependent variables. </w:t>
      </w:r>
      <w:r w:rsidR="00C13BB0" w:rsidRPr="00C347AD">
        <w:t xml:space="preserve">The hypothesized expectation of significant growth in more than </w:t>
      </w:r>
      <w:r w:rsidRPr="00C347AD">
        <w:t xml:space="preserve">one domain may allow for greater certitude of continuation than any one in isolation.  That is, beliefs without related knowledge and skill </w:t>
      </w:r>
      <w:r w:rsidR="00E72E00" w:rsidRPr="00C347AD">
        <w:t>may be</w:t>
      </w:r>
      <w:r w:rsidRPr="00C347AD">
        <w:t xml:space="preserve"> more likely to be lost than those that are supported by the same. (2) </w:t>
      </w:r>
      <w:r w:rsidR="00911B1D" w:rsidRPr="00C347AD">
        <w:t>From a practical perspective</w:t>
      </w:r>
      <w:r w:rsidR="00EE3D7F" w:rsidRPr="00C347AD">
        <w:t>, t</w:t>
      </w:r>
      <w:r w:rsidRPr="00C347AD">
        <w:t xml:space="preserve">he presence of attitudinal measures may provide me with heightened sensitivity necessary for the multiple measures design </w:t>
      </w:r>
      <w:r w:rsidR="00911B1D" w:rsidRPr="00C347AD">
        <w:t xml:space="preserve">utilized in this study. Further discussion of the design utilized for this study can be found in </w:t>
      </w:r>
      <w:r w:rsidR="00526038" w:rsidRPr="00C347AD">
        <w:t>Chapter</w:t>
      </w:r>
      <w:r w:rsidR="00911B1D" w:rsidRPr="00C347AD">
        <w:t xml:space="preserve"> 3. </w:t>
      </w:r>
    </w:p>
    <w:p w14:paraId="7AB24126" w14:textId="09DFFAEB" w:rsidR="00456D5C" w:rsidRPr="00C347AD" w:rsidRDefault="00911B1D" w:rsidP="009E5CFE">
      <w:r w:rsidRPr="00C347AD">
        <w:rPr>
          <w:b/>
        </w:rPr>
        <w:t xml:space="preserve">Summary. </w:t>
      </w:r>
      <w:r w:rsidRPr="00C347AD">
        <w:t xml:space="preserve">In this chapter, </w:t>
      </w:r>
      <w:r w:rsidR="009E5CFE" w:rsidRPr="00C347AD">
        <w:t xml:space="preserve">I examined existing literature regarding each of the independent and dependent variables. </w:t>
      </w:r>
      <w:r w:rsidRPr="00C347AD">
        <w:t xml:space="preserve"> First</w:t>
      </w:r>
      <w:r w:rsidR="00456D5C" w:rsidRPr="00C347AD">
        <w:t xml:space="preserve"> </w:t>
      </w:r>
      <w:r w:rsidR="008E32A8" w:rsidRPr="00C347AD">
        <w:t>I</w:t>
      </w:r>
      <w:r w:rsidR="00456D5C" w:rsidRPr="00C347AD">
        <w:t xml:space="preserve"> provided an analysis of UDL</w:t>
      </w:r>
      <w:r w:rsidR="002F1D11" w:rsidRPr="00C347AD">
        <w:t xml:space="preserve"> </w:t>
      </w:r>
      <w:r w:rsidR="00456D5C" w:rsidRPr="00C347AD">
        <w:t xml:space="preserve">and how it is represented in the literature, particularly in relevance to teacher education. One of the most pertinent discoveries was that though UDL is well established in policy, it is less entrenched in teacher preparation programs (Vitelli, 2015). </w:t>
      </w:r>
      <w:r w:rsidR="001D2145" w:rsidRPr="00C347AD">
        <w:t xml:space="preserve">There are a number of barriers related to teaching and researching UDL including a lack of consensus as to how UDL may be operationalized </w:t>
      </w:r>
      <w:r w:rsidR="001D2145" w:rsidRPr="00C347AD">
        <w:fldChar w:fldCharType="begin"/>
      </w:r>
      <w:r w:rsidR="00F7126F" w:rsidRPr="00C347AD">
        <w:instrText xml:space="preserve"> ADDIN ZOTERO_ITEM CSL_CITATION {"citationID":"23q32ebcsf","properties":{"formattedCitation":"(Edyburn, 2010; Rao et al., 2014)","plainCitation":"(Edyburn, 2010; Rao et al., 2014)"},"citationItems":[{"id":209,"uris":["http://zotero.org/users/2098925/items/7GS75EGJ"],"uri":["http://zotero.org/users/2098925/items/7GS75EGJ"],"itemData":{"id":209,"type":"article-journal","title":"Would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001D2145" w:rsidRPr="00C347AD">
        <w:fldChar w:fldCharType="separate"/>
      </w:r>
      <w:r w:rsidR="001D2145" w:rsidRPr="00C347AD">
        <w:rPr>
          <w:noProof/>
        </w:rPr>
        <w:t>(Edyburn, 2010; Rao et al., 2014)</w:t>
      </w:r>
      <w:r w:rsidR="001D2145" w:rsidRPr="00C347AD">
        <w:fldChar w:fldCharType="end"/>
      </w:r>
      <w:r w:rsidR="00F96384" w:rsidRPr="00C347AD">
        <w:t xml:space="preserve">. </w:t>
      </w:r>
      <w:r w:rsidR="008E32A8" w:rsidRPr="00C347AD">
        <w:t>I</w:t>
      </w:r>
      <w:r w:rsidR="00F96384" w:rsidRPr="00C347AD">
        <w:t xml:space="preserve"> presented a case for operationalizing UDL as a territory, focusing on broad definitions provided by the Center </w:t>
      </w:r>
      <w:r w:rsidR="00F96384" w:rsidRPr="00C347AD">
        <w:lastRenderedPageBreak/>
        <w:t xml:space="preserve">for Applied Special Technology (CAST) and using negative renditions of Edyburn’s (2010) </w:t>
      </w:r>
      <w:r w:rsidR="00EE3D7F" w:rsidRPr="00C347AD">
        <w:t>10</w:t>
      </w:r>
      <w:r w:rsidR="00F96384" w:rsidRPr="00C347AD">
        <w:t xml:space="preserve"> propositions to form boundaries for what is not UDL. </w:t>
      </w:r>
    </w:p>
    <w:p w14:paraId="02803DB1" w14:textId="32064879" w:rsidR="00F96384" w:rsidRPr="00C347AD" w:rsidRDefault="008E32A8" w:rsidP="00B47BBB">
      <w:r w:rsidRPr="00C347AD">
        <w:t>I</w:t>
      </w:r>
      <w:r w:rsidR="00F96384" w:rsidRPr="00C347AD">
        <w:t xml:space="preserve"> also conducted a review of the literature regarding the independent variable of faculty modeling. </w:t>
      </w:r>
      <w:r w:rsidR="004360A7" w:rsidRPr="00C347AD">
        <w:t xml:space="preserve">While faculty modeling is stressed in position papers and qualitative reports, there is little by way of empirical studies that support the effect of such modeling. However, the literature base has well prepared </w:t>
      </w:r>
      <w:r w:rsidR="00AF39F8" w:rsidRPr="00C347AD">
        <w:t xml:space="preserve">for </w:t>
      </w:r>
      <w:r w:rsidR="004360A7" w:rsidRPr="00C347AD">
        <w:t xml:space="preserve">new lines of research in this domain by clearly articulating and parsing what faculty modeling is and different forms it may take </w:t>
      </w:r>
      <w:r w:rsidR="004360A7" w:rsidRPr="00C347AD">
        <w:fldChar w:fldCharType="begin"/>
      </w:r>
      <w:r w:rsidR="00F7126F" w:rsidRPr="00C347AD">
        <w:instrText xml:space="preserve"> ADDIN ZOTERO_ITEM CSL_CITATION {"citationID":"7rg01jk71","properties":{"formattedCitation":"(Korthagen et al., 2006; Loughran &amp; Berry, 2005)","plainCitation":"(Korthagen et al., 2006; Loughran &amp; Berry, 2005)"},"citationItems":[{"id":374,"uris":["http://zotero.org/users/2098925/items/BZ598N29"],"uri":["http://zotero.org/users/2098925/items/BZ598N29"],"itemData":{"id":374,"type":"article-journal","title":"Developing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schema":"https://github.com/citation-style-language/schema/raw/master/csl-citation.json"} </w:instrText>
      </w:r>
      <w:r w:rsidR="004360A7" w:rsidRPr="00C347AD">
        <w:fldChar w:fldCharType="separate"/>
      </w:r>
      <w:r w:rsidR="003B3723" w:rsidRPr="00C347AD">
        <w:t>(Korthagen et al., 2006; Loughran &amp; Berry, 2005)</w:t>
      </w:r>
      <w:r w:rsidR="004360A7" w:rsidRPr="00C347AD">
        <w:fldChar w:fldCharType="end"/>
      </w:r>
      <w:r w:rsidR="003B3723" w:rsidRPr="00C347AD">
        <w:t xml:space="preserve">, which is useful for this present study, </w:t>
      </w:r>
      <w:r w:rsidR="001A645B" w:rsidRPr="00C347AD">
        <w:t>in that it</w:t>
      </w:r>
      <w:r w:rsidR="003B3723" w:rsidRPr="00C347AD">
        <w:t xml:space="preserve"> is intended to contribute toward providing empirical evidence for the practice of faculty modeling for the development of preservice teachers’ capacity to utilize complex frameworks in their early careers. </w:t>
      </w:r>
    </w:p>
    <w:p w14:paraId="0C44977C" w14:textId="70C6E70E" w:rsidR="002F1D11" w:rsidRPr="00C347AD" w:rsidRDefault="002F1D11" w:rsidP="00B47BBB">
      <w:r w:rsidRPr="00C347AD">
        <w:t xml:space="preserve">Next, the literature review turned to the dependent variables examined in this study: (preservice) teacher knowledge, intention to include, </w:t>
      </w:r>
      <w:r w:rsidR="00AD234E" w:rsidRPr="00C347AD">
        <w:t>efficacy, and attitudes regarding inclusion. In terms of teacher knowledge, particular emphasis was given to general pedagogical</w:t>
      </w:r>
      <w:r w:rsidR="00A8105A" w:rsidRPr="00C347AD">
        <w:t xml:space="preserve"> knowledge (GPK; </w:t>
      </w:r>
      <w:r w:rsidR="00F0125B" w:rsidRPr="00C347AD">
        <w:fldChar w:fldCharType="begin"/>
      </w:r>
      <w:r w:rsidR="00F7126F" w:rsidRPr="00C347AD">
        <w:instrText xml:space="preserve"> ADDIN ZOTERO_ITEM CSL_CITATION {"citationID":"2h46h0bpf9","properties":{"formattedCitation":"{\\rtf (K\\uc0\\u246{}nig et al., 2011)}","plainCitation":"(König et al., 2011)","dontUpdate":true},"citationItems":[{"id":60,"uris":["http://zotero.org/users/2098925/items/3HJA39FH"],"uri":["http://zotero.org/users/2098925/items/3HJA39FH"],"itemData":{"id":60,"type":"article-journal","title":"General Pedagogical Knowledge of Future Middle School Teachers: On the Complex Ecology of Teacher Education in the United States, Germany, and Taiwan","container-title":"Journal of Teacher Education","page":"188-201","volume":"62","issue":"2","source":"jte.sagepub.com.proxy.lib.utk.edu:90","abstract":"For more than two decades, three components of teacher knowledge have been discussed, namely, content knowledge (CK), pedagogical content knowledge (PCK), and general pedagogical knowledge (GPK). Although there is a growing body of analytic clarification and empirical testing with regard to CK and PCK, especially with a focus on mathematics teachers, hardly any attempt has been made to learn more about teachers’ GPK. In the context of the Teacher Education and Development Study in Mathematics (TEDS-M), Germany, Taiwan, and the United States worked on closing this research gap by conceptualizing a theoretical framework and developing a standardized test of GPK, which was taken by representative samples of future middle school teachers in these countries. Four task-based subdimensions of GPK and three cognitive subdimensions of GPK were distinguished in this test. TEDS-M data are used (a) to test the hypothesis that GPK is not homogenous but multidimensional and (b) to compare the achievement of U.S. future middle school teachers with future middle school teachers from Germany and Taiwan. The data revealed that U.S. future teachers were outperformed by both the other groups. They showed a relative strength in one of the cognitive subdimensions, generating strategies to perform in the classroom, indicating that in particular they had acquired procedural GPK during teacher education.","DOI":"10.1177/0022487110388664","ISSN":"0022-4871, 1552-7816","shortTitle":"General Pedagogical Knowledge of Future Middle School Teachers","journalAbbreviation":"Journal of Teacher Education","language":"en","author":[{"family":"König","given":"Johannes"},{"family":"Blömeke","given":"Sigrid"},{"family":"Paine","given":"Lynn"},{"family":"Schmidt","given":"William H."},{"family":"Hsieh","given":"Feng-Jui"}],"issued":{"date-parts":[["2011",3,1]]}}}],"schema":"https://github.com/citation-style-language/schema/raw/master/csl-citation.json"} </w:instrText>
      </w:r>
      <w:r w:rsidR="00F0125B" w:rsidRPr="00C347AD">
        <w:fldChar w:fldCharType="separate"/>
      </w:r>
      <w:r w:rsidR="00C37ECD" w:rsidRPr="00C347AD">
        <w:t>König et al., 2011; Shulman, 1986)</w:t>
      </w:r>
      <w:r w:rsidR="00F0125B" w:rsidRPr="00C347AD">
        <w:fldChar w:fldCharType="end"/>
      </w:r>
      <w:r w:rsidR="00AD234E" w:rsidRPr="00C347AD">
        <w:t xml:space="preserve">, which is the most relevant manifestation of teacher knowledge for broad frameworks such as UDL. </w:t>
      </w:r>
      <w:r w:rsidR="00C37ECD" w:rsidRPr="00C347AD">
        <w:t xml:space="preserve">König et al. (2011) also parsed </w:t>
      </w:r>
      <w:r w:rsidR="00AD234E" w:rsidRPr="00C347AD">
        <w:t xml:space="preserve">GPK itself </w:t>
      </w:r>
      <w:r w:rsidR="00C37ECD" w:rsidRPr="00C347AD">
        <w:t xml:space="preserve">into a 12-cell matrix (see </w:t>
      </w:r>
      <w:r w:rsidR="00255A1E" w:rsidRPr="00C347AD">
        <w:t>Table</w:t>
      </w:r>
      <w:r w:rsidR="00C37ECD" w:rsidRPr="00C347AD">
        <w:t xml:space="preserve"> </w:t>
      </w:r>
      <w:r w:rsidR="00255A1E" w:rsidRPr="00C347AD">
        <w:t>5</w:t>
      </w:r>
      <w:r w:rsidR="00C37ECD" w:rsidRPr="00C347AD">
        <w:t xml:space="preserve">), which allows for heightened sensitivity regarding different types </w:t>
      </w:r>
      <w:r w:rsidR="00AE6155" w:rsidRPr="00C347AD">
        <w:t xml:space="preserve">and levels </w:t>
      </w:r>
      <w:r w:rsidR="00C37ECD" w:rsidRPr="00C347AD">
        <w:t xml:space="preserve">of </w:t>
      </w:r>
      <w:r w:rsidR="001A645B" w:rsidRPr="00C347AD">
        <w:t xml:space="preserve">pedagogical knowledge and </w:t>
      </w:r>
      <w:r w:rsidR="00AE6155" w:rsidRPr="00C347AD">
        <w:t xml:space="preserve">which is useful for pinpointing different types of GPK growth, rather than seeing it as a monolithic construct. </w:t>
      </w:r>
    </w:p>
    <w:p w14:paraId="5503DBB9" w14:textId="0AD0AF80" w:rsidR="00AE6155" w:rsidRPr="00C347AD" w:rsidRDefault="00A90B10" w:rsidP="00B47BBB">
      <w:pPr>
        <w:rPr>
          <w:noProof/>
        </w:rPr>
      </w:pPr>
      <w:r w:rsidRPr="00C347AD">
        <w:lastRenderedPageBreak/>
        <w:t>The review of literature related to preservice teacher i</w:t>
      </w:r>
      <w:r w:rsidR="00AE6155" w:rsidRPr="00C347AD">
        <w:t>ntention to include</w:t>
      </w:r>
      <w:r w:rsidRPr="00C347AD">
        <w:t xml:space="preserve"> diverse students borrowed significantly from the </w:t>
      </w:r>
      <w:r w:rsidR="00305B48" w:rsidRPr="00C347AD">
        <w:t>theory of planned behavior</w:t>
      </w:r>
      <w:r w:rsidR="00AE6155" w:rsidRPr="00C347AD">
        <w:t xml:space="preserve"> </w:t>
      </w:r>
      <w:r w:rsidR="00AE6155" w:rsidRPr="00C347AD">
        <w:fldChar w:fldCharType="begin"/>
      </w:r>
      <w:r w:rsidR="00F7126F" w:rsidRPr="00C347AD">
        <w:instrText xml:space="preserve"> ADDIN ZOTERO_ITEM CSL_CITATION {"citationID":"26690ci5mp","properties":{"formattedCitation":"(Ajzen, 1985, 1991a; Ajzen &amp; Madden, 1986)","plainCitation":"(Ajzen, 1985, 1991a; Ajzen &amp; Madden, 1986)"},"citationItems":[{"id":1078,"uris":["http://zotero.org/users/2098925/items/XX4EGJ73"],"uri":["http://zotero.org/users/2098925/items/XX4EGJ73"],"itemData":{"id":1078,"type":"book","title":"From intentions to actions: A theory of planned behavior","publisher":"Springer","ISBN":"3-642-69748-8","author":[{"family":"Ajzen","given":"Icek"}],"issued":{"date-parts":[["1985"]]}}},{"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id":358,"uris":["http://zotero.org/users/2098925/items/BFS4XF43"],"uri":["http://zotero.org/users/2098925/items/BFS4XF43"],"itemData":{"id":358,"type":"article-journal","title":"Prediction of goal-directed behavior: Attitudes, intentions, and perceived behavioral control","container-title":"Journal of experimental social psychology","page":"453-474","volume":"22","issue":"5","ISSN":"0022-1031","journalAbbreviation":"Journal of experimental social psychology","author":[{"family":"Ajzen","given":"Icek"},{"family":"Madden","given":"Thomas J"}],"issued":{"date-parts":[["1986"]]}}}],"schema":"https://github.com/citation-style-language/schema/raw/master/csl-citation.json"} </w:instrText>
      </w:r>
      <w:r w:rsidR="00AE6155" w:rsidRPr="00C347AD">
        <w:fldChar w:fldCharType="separate"/>
      </w:r>
      <w:r w:rsidRPr="00C347AD">
        <w:rPr>
          <w:noProof/>
        </w:rPr>
        <w:t>(Ajzen, 1985, 1991a; Ajzen &amp; Madden, 1986)</w:t>
      </w:r>
      <w:r w:rsidR="00AE6155" w:rsidRPr="00C347AD">
        <w:fldChar w:fldCharType="end"/>
      </w:r>
      <w:r w:rsidRPr="00C347AD">
        <w:t>. According to t</w:t>
      </w:r>
      <w:r w:rsidR="00E92A0B" w:rsidRPr="00C347AD">
        <w:t xml:space="preserve">his theory, intention </w:t>
      </w:r>
      <w:r w:rsidRPr="00C347AD">
        <w:t>is an immediate proxy to beh</w:t>
      </w:r>
      <w:r w:rsidR="00E92A0B" w:rsidRPr="00C347AD">
        <w:t>avior (</w:t>
      </w:r>
      <w:r w:rsidR="00B323A5" w:rsidRPr="00C347AD">
        <w:t>e.g.,</w:t>
      </w:r>
      <w:r w:rsidR="00E92A0B" w:rsidRPr="00C347AD">
        <w:t xml:space="preserve"> inclusive behavior;</w:t>
      </w:r>
      <w:r w:rsidR="00E92A0B" w:rsidRPr="00C347AD">
        <w:rPr>
          <w:noProof/>
        </w:rPr>
        <w:t xml:space="preserve"> Ajzen, 1991; Armitage &amp; Conner, 2001; MacFarlane &amp; Woolfson, 2013; Pang &amp; Watkins, 2000) and intention itself is predicated by two factors: (1) teacher attitudes and beliefs and (2) perception of behavioral control (cf. self-efficacy, teacher efficacy). </w:t>
      </w:r>
      <w:r w:rsidR="00DE288A" w:rsidRPr="00C347AD">
        <w:rPr>
          <w:noProof/>
        </w:rPr>
        <w:t xml:space="preserve">This literature review also included measures of intention to include, which informed the instrumentation for this present study. </w:t>
      </w:r>
    </w:p>
    <w:p w14:paraId="1526D17F" w14:textId="6B42F672" w:rsidR="00DE288A" w:rsidRPr="00C347AD" w:rsidRDefault="00DE288A" w:rsidP="00B47BBB">
      <w:pPr>
        <w:rPr>
          <w:noProof/>
        </w:rPr>
      </w:pPr>
      <w:r w:rsidRPr="00C347AD">
        <w:rPr>
          <w:noProof/>
        </w:rPr>
        <w:t xml:space="preserve">Teacher efficacy </w:t>
      </w:r>
      <w:r w:rsidR="00E30B81" w:rsidRPr="00C347AD">
        <w:rPr>
          <w:noProof/>
        </w:rPr>
        <w:fldChar w:fldCharType="begin"/>
      </w:r>
      <w:r w:rsidR="00F7126F" w:rsidRPr="00C347AD">
        <w:rPr>
          <w:noProof/>
        </w:rPr>
        <w:instrText xml:space="preserve"> ADDIN ZOTERO_ITEM CSL_CITATION {"citationID":"1q7c9r78ho","properties":{"formattedCitation":"(Gibson &amp; Dembo, 1984)","plainCitation":"(Gibson &amp; Dembo, 1984)"},"citationItems":[{"id":709,"uris":["http://zotero.org/users/2098925/items/KZBVH3C3"],"uri":["http://zotero.org/users/2098925/items/KZBVH3C3"],"itemData":{"id":709,"type":"article-journal","title":"Teacher efficacy: A construct validation.","container-title":"Journal of Educational Psychology","page":"569-582","volume":"76","issue":"4","source":"ProQuest","abstract":"Developed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reserved)","DOI":"http://dx.doi.org.proxy.lib.utk.edu:90/10.1037/0022-0663.76.4.569","ISSN":"0022-0663","shortTitle":"Teacher efficacy","language":"English","author":[{"family":"Gibson","given":"Sherri"},{"family":"Dembo","given":"Myron H."}],"issued":{"date-parts":[["1984",8]]}}}],"schema":"https://github.com/citation-style-language/schema/raw/master/csl-citation.json"} </w:instrText>
      </w:r>
      <w:r w:rsidR="00E30B81" w:rsidRPr="00C347AD">
        <w:rPr>
          <w:noProof/>
        </w:rPr>
        <w:fldChar w:fldCharType="separate"/>
      </w:r>
      <w:r w:rsidR="00E30B81" w:rsidRPr="00C347AD">
        <w:rPr>
          <w:noProof/>
        </w:rPr>
        <w:t>(Gibson &amp; Dembo, 1984)</w:t>
      </w:r>
      <w:r w:rsidR="00E30B81" w:rsidRPr="00C347AD">
        <w:rPr>
          <w:noProof/>
        </w:rPr>
        <w:fldChar w:fldCharType="end"/>
      </w:r>
      <w:r w:rsidR="00E30B81" w:rsidRPr="00C347AD">
        <w:rPr>
          <w:noProof/>
        </w:rPr>
        <w:t xml:space="preserve"> is a </w:t>
      </w:r>
      <w:r w:rsidR="00204D9D" w:rsidRPr="00C347AD">
        <w:rPr>
          <w:noProof/>
        </w:rPr>
        <w:t xml:space="preserve">more specific form </w:t>
      </w:r>
      <w:r w:rsidR="00E30B81" w:rsidRPr="00C347AD">
        <w:rPr>
          <w:noProof/>
        </w:rPr>
        <w:t xml:space="preserve">of Bandura’s </w:t>
      </w:r>
      <w:r w:rsidR="00E30B81" w:rsidRPr="00C347AD">
        <w:rPr>
          <w:noProof/>
        </w:rPr>
        <w:fldChar w:fldCharType="begin"/>
      </w:r>
      <w:r w:rsidR="00F7126F" w:rsidRPr="00C347AD">
        <w:rPr>
          <w:noProof/>
        </w:rPr>
        <w:instrText xml:space="preserve"> ADDIN ZOTERO_ITEM CSL_CITATION {"citationID":"1do7hlrjpi","properties":{"formattedCitation":"(A. Bandura, 1977)","plainCitation":"(A. Bandura, 1977)"},"citationItems":[{"id":93,"uris":["http://zotero.org/users/2098925/items/4BSZJHT6"],"uri":["http://zotero.org/users/2098925/items/4BSZJHT6"],"itemData":{"id":93,"type":"article-journal","title":"Self-efficacy: A motivational paradigm for effective teacher education","container-title":"Psychological Review","page":"191-215","volume":"84","author":[{"family":"Bandura","given":"A."}],"issued":{"date-parts":[["1977"]]}}}],"schema":"https://github.com/citation-style-language/schema/raw/master/csl-citation.json"} </w:instrText>
      </w:r>
      <w:r w:rsidR="00E30B81" w:rsidRPr="00C347AD">
        <w:rPr>
          <w:noProof/>
        </w:rPr>
        <w:fldChar w:fldCharType="separate"/>
      </w:r>
      <w:r w:rsidR="00E30B81" w:rsidRPr="00C347AD">
        <w:rPr>
          <w:noProof/>
        </w:rPr>
        <w:t>(A. Bandura, 1977)</w:t>
      </w:r>
      <w:r w:rsidR="00E30B81" w:rsidRPr="00C347AD">
        <w:rPr>
          <w:noProof/>
        </w:rPr>
        <w:fldChar w:fldCharType="end"/>
      </w:r>
      <w:r w:rsidR="00E30B81" w:rsidRPr="00C347AD">
        <w:rPr>
          <w:noProof/>
        </w:rPr>
        <w:t xml:space="preserve"> construct of self-efficacy, and measures the degree to which teachers believe they have potential to </w:t>
      </w:r>
      <w:r w:rsidR="00204D9D" w:rsidRPr="00C347AD">
        <w:rPr>
          <w:noProof/>
        </w:rPr>
        <w:t xml:space="preserve">positively </w:t>
      </w:r>
      <w:r w:rsidR="00E30B81" w:rsidRPr="00C347AD">
        <w:rPr>
          <w:noProof/>
        </w:rPr>
        <w:t>impact their students above and beyond other factors (</w:t>
      </w:r>
      <w:r w:rsidR="00B323A5" w:rsidRPr="00C347AD">
        <w:rPr>
          <w:noProof/>
        </w:rPr>
        <w:t>e.g.,</w:t>
      </w:r>
      <w:r w:rsidR="00E30B81" w:rsidRPr="00C347AD">
        <w:rPr>
          <w:noProof/>
        </w:rPr>
        <w:t xml:space="preserve"> socio-economics, school policies, homelife). In addition to being a construct related to intention to include, teacher efficacy itself is a variable that has been linked to numerous outcomes in the classroom (</w:t>
      </w:r>
      <w:r w:rsidR="00B323A5" w:rsidRPr="00C347AD">
        <w:rPr>
          <w:noProof/>
        </w:rPr>
        <w:t>e.g.,</w:t>
      </w:r>
      <w:r w:rsidR="00E30B81" w:rsidRPr="00C347AD">
        <w:rPr>
          <w:noProof/>
        </w:rPr>
        <w:t xml:space="preserve"> </w:t>
      </w:r>
      <w:r w:rsidR="00FA2E2B" w:rsidRPr="00C347AD">
        <w:rPr>
          <w:noProof/>
        </w:rPr>
        <w:fldChar w:fldCharType="begin"/>
      </w:r>
      <w:r w:rsidR="00F7126F" w:rsidRPr="00C347AD">
        <w:rPr>
          <w:noProof/>
        </w:rPr>
        <w:instrText xml:space="preserve"> ADDIN ZOTERO_ITEM CSL_CITATION {"citationID":"17v84cgalk","properties":{"formattedCitation":"(Allinder, 1994; Coladarci, 1992; Gibson &amp; Dembo, 1984; Moore &amp; Esselman, 1994)","plainCitation":"(Allinder, 1994; Coladarci, 1992; Gibson &amp; Dembo, 1984; Moore &amp; Esselman, 1994)"},"citationItems":[{"id":377,"uris":["http://zotero.org/users/2098925/items/C33P6QEV"],"uri":["http://zotero.org/users/2098925/items/C33P6QEV"],"itemData":{"id":377,"type":"article-journal","title":"The relationship between efficacy and the instructional practices of special education teachers and consultants","container-title":"Teacher Education and Special Education: The Journal of the Teacher Education Division of the Council for Exceptional Children","page":"86-95","volume":"17","issue":"2","ISSN":"0888-4064","journalAbbreviation":"Teacher Education and Special Education: The Journal of the Teacher Education Division of the Council for Exceptional Children","author":[{"family":"Allinder","given":"Rose M"}],"issued":{"date-parts":[["1994"]]}}},{"id":858,"uris":["http://zotero.org/users/2098925/items/RG3UBDQS"],"uri":["http://zotero.org/users/2098925/items/RG3UBDQS"],"itemData":{"id":858,"type":"article-journal","title":"Teachers' sense of efficacy and commitment to teaching","container-title":"The Journal of experimental education","page":"323-337","volume":"60","issue":"4","ISSN":"0022-0973","journalAbbreviation":"The Journal of experimental education","author":[{"family":"Coladarci","given":"Theodore"}],"issued":{"date-parts":[["1992"]]}}},{"id":709,"uris":["http://zotero.org/users/2098925/items/KZBVH3C3"],"uri":["http://zotero.org/users/2098925/items/KZBVH3C3"],"itemData":{"id":709,"type":"article-journal","title":"Teacher efficacy: A construct validation.","container-title":"Journal of Educational Psychology","page":"569-582","volume":"76","issue":"4","source":"ProQuest","abstract":"Developed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reserved)","DOI":"http://dx.doi.org.proxy.lib.utk.edu:90/10.1037/0022-0663.76.4.569","ISSN":"0022-0663","shortTitle":"Teacher efficacy","language":"English","author":[{"family":"Gibson","given":"Sherri"},{"family":"Dembo","given":"Myron H."}],"issued":{"date-parts":[["1984",8]]}}},{"id":282,"uris":["http://zotero.org/users/2098925/items/96PSF3VN"],"uri":["http://zotero.org/users/2098925/items/96PSF3VN"],"itemData":{"id":282,"type":"article-journal","title":"Exploring the Context of Teacher Efficacy: The Role of Achievement and Climate.","author":[{"family":"Moore","given":"William P"},{"family":"Esselman","given":"Mary E"}],"issued":{"date-parts":[["1994"]]}}}],"schema":"https://github.com/citation-style-language/schema/raw/master/csl-citation.json"} </w:instrText>
      </w:r>
      <w:r w:rsidR="00FA2E2B" w:rsidRPr="00C347AD">
        <w:rPr>
          <w:noProof/>
        </w:rPr>
        <w:fldChar w:fldCharType="separate"/>
      </w:r>
      <w:r w:rsidR="00FA2E2B" w:rsidRPr="00C347AD">
        <w:rPr>
          <w:noProof/>
        </w:rPr>
        <w:t>Allinder, 1994; Colada</w:t>
      </w:r>
      <w:r w:rsidR="009705C5" w:rsidRPr="00C347AD">
        <w:rPr>
          <w:noProof/>
        </w:rPr>
        <w:t>rci, 1992; Gibson &amp; Dembo, 1984</w:t>
      </w:r>
      <w:r w:rsidR="00FA2E2B" w:rsidRPr="00C347AD">
        <w:rPr>
          <w:noProof/>
        </w:rPr>
        <w:t>)</w:t>
      </w:r>
      <w:r w:rsidR="00FA2E2B" w:rsidRPr="00C347AD">
        <w:rPr>
          <w:noProof/>
        </w:rPr>
        <w:fldChar w:fldCharType="end"/>
      </w:r>
      <w:r w:rsidR="00FA2E2B" w:rsidRPr="00C347AD">
        <w:rPr>
          <w:noProof/>
        </w:rPr>
        <w:t>, including student</w:t>
      </w:r>
      <w:r w:rsidR="009705C5" w:rsidRPr="00C347AD">
        <w:rPr>
          <w:noProof/>
        </w:rPr>
        <w:t xml:space="preserve"> academic</w:t>
      </w:r>
      <w:r w:rsidR="00FA2E2B" w:rsidRPr="00C347AD">
        <w:rPr>
          <w:noProof/>
        </w:rPr>
        <w:t xml:space="preserve"> achievement </w:t>
      </w:r>
      <w:r w:rsidR="009705C5" w:rsidRPr="00C347AD">
        <w:rPr>
          <w:noProof/>
        </w:rPr>
        <w:t>(</w:t>
      </w:r>
      <w:r w:rsidR="00B323A5" w:rsidRPr="00C347AD">
        <w:rPr>
          <w:noProof/>
        </w:rPr>
        <w:t>e.g.,</w:t>
      </w:r>
      <w:r w:rsidR="009705C5" w:rsidRPr="00C347AD">
        <w:rPr>
          <w:noProof/>
        </w:rPr>
        <w:t xml:space="preserve"> </w:t>
      </w:r>
      <w:r w:rsidR="009705C5" w:rsidRPr="00C347AD">
        <w:rPr>
          <w:noProof/>
        </w:rPr>
        <w:fldChar w:fldCharType="begin"/>
      </w:r>
      <w:r w:rsidR="00F7126F" w:rsidRPr="00C347AD">
        <w:rPr>
          <w:noProof/>
        </w:rPr>
        <w:instrText xml:space="preserve"> ADDIN ZOTERO_ITEM CSL_CITATION {"citationID":"1tlmuq6qm6","properties":{"formattedCitation":"(Moore &amp; Esselman, 1994; Ross, 1992)","plainCitation":"(Moore &amp; Esselman, 1994; Ross, 1992)"},"citationItems":[{"id":282,"uris":["http://zotero.org/users/2098925/items/96PSF3VN"],"uri":["http://zotero.org/users/2098925/items/96PSF3VN"],"itemData":{"id":282,"type":"article-journal","title":"Exploring the Context of Teacher Efficacy: The Role of Achievement and Climate.","author":[{"family":"Moore","given":"William P"},{"family":"Esselman","given":"Mary E"}],"issued":{"date-parts":[["1994"]]}}},{"id":1000,"uris":["http://zotero.org/users/2098925/items/VINDU8GR"],"uri":["http://zotero.org/users/2098925/items/VINDU8GR"],"itemData":{"id":1000,"type":"article-journal","title":"Teacher efficacy and the effects of coaching on student achievement","container-title":"Canadian Journal of Education/Revue canadienne de l'education","page":"51-65","ISSN":"0380-2361","journalAbbreviation":"Canadian Journal of Education/Revue canadienne de l'education","author":[{"family":"Ross","given":"John A"}],"issued":{"date-parts":[["1992"]]}}}],"schema":"https://github.com/citation-style-language/schema/raw/master/csl-citation.json"} </w:instrText>
      </w:r>
      <w:r w:rsidR="009705C5" w:rsidRPr="00C347AD">
        <w:rPr>
          <w:noProof/>
        </w:rPr>
        <w:fldChar w:fldCharType="separate"/>
      </w:r>
      <w:r w:rsidR="009705C5" w:rsidRPr="00C347AD">
        <w:rPr>
          <w:noProof/>
        </w:rPr>
        <w:t>Moore &amp; Esselman, 1994; Ross, 1992)</w:t>
      </w:r>
      <w:r w:rsidR="009705C5" w:rsidRPr="00C347AD">
        <w:rPr>
          <w:noProof/>
        </w:rPr>
        <w:fldChar w:fldCharType="end"/>
      </w:r>
      <w:r w:rsidR="009705C5" w:rsidRPr="00C347AD">
        <w:rPr>
          <w:noProof/>
        </w:rPr>
        <w:t xml:space="preserve">. </w:t>
      </w:r>
    </w:p>
    <w:p w14:paraId="0CD59EAC" w14:textId="39A3012D" w:rsidR="009705C5" w:rsidRPr="00C347AD" w:rsidRDefault="009705C5" w:rsidP="00B47BBB">
      <w:r w:rsidRPr="00C347AD">
        <w:rPr>
          <w:noProof/>
        </w:rPr>
        <w:t xml:space="preserve">Likewise, teacher attitudes are relevant for supporting intention to include </w:t>
      </w:r>
      <w:r w:rsidRPr="00C347AD">
        <w:rPr>
          <w:noProof/>
        </w:rPr>
        <w:fldChar w:fldCharType="begin"/>
      </w:r>
      <w:r w:rsidR="00F7126F" w:rsidRPr="00C347AD">
        <w:rPr>
          <w:noProof/>
        </w:rPr>
        <w:instrText xml:space="preserve"> ADDIN ZOTERO_ITEM CSL_CITATION {"citationID":"2q9cj9p1dk","properties":{"formattedCitation":"(Ajzen, 1991a)","plainCitation":"(Ajzen, 1991a)"},"citationItems":[{"id":179,"uris":["http://zotero.org/users/2098925/items/6QSAIHR9"],"uri":["http://zotero.org/users/2098925/items/6QSAIHR9"],"itemData":{"id":179,"type":"article-journal","title":"Theories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Processes","author":[{"family":"Ajzen","given":"Icek"}],"issued":{"date-parts":[["1991",12,1]]}}}],"schema":"https://github.com/citation-style-language/schema/raw/master/csl-citation.json"} </w:instrText>
      </w:r>
      <w:r w:rsidRPr="00C347AD">
        <w:rPr>
          <w:noProof/>
        </w:rPr>
        <w:fldChar w:fldCharType="separate"/>
      </w:r>
      <w:r w:rsidRPr="00C347AD">
        <w:rPr>
          <w:noProof/>
        </w:rPr>
        <w:t>(Ajzen, 1991a)</w:t>
      </w:r>
      <w:r w:rsidRPr="00C347AD">
        <w:rPr>
          <w:noProof/>
        </w:rPr>
        <w:fldChar w:fldCharType="end"/>
      </w:r>
      <w:r w:rsidRPr="00C347AD">
        <w:rPr>
          <w:noProof/>
        </w:rPr>
        <w:t xml:space="preserve">, but also relevant </w:t>
      </w:r>
      <w:r w:rsidR="00710CB3" w:rsidRPr="00C347AD">
        <w:rPr>
          <w:noProof/>
        </w:rPr>
        <w:t>in their own right, as attitudes, themselves, have been shown to influence teacher behavior</w:t>
      </w:r>
      <w:r w:rsidR="00DA58D9" w:rsidRPr="00C347AD">
        <w:rPr>
          <w:noProof/>
        </w:rPr>
        <w:t xml:space="preserve"> and pedagogy </w:t>
      </w:r>
      <w:r w:rsidR="00DA58D9" w:rsidRPr="00C347AD">
        <w:rPr>
          <w:noProof/>
        </w:rPr>
        <w:fldChar w:fldCharType="begin"/>
      </w:r>
      <w:r w:rsidR="00F7126F" w:rsidRPr="00C347AD">
        <w:rPr>
          <w:noProof/>
        </w:rPr>
        <w:instrText xml:space="preserve"> ADDIN ZOTERO_ITEM CSL_CITATION {"citationID":"233u62vjlq","properties":{"formattedCitation":"(J. Putnam &amp; Duffy, 1984; Shavelson &amp; Stern, 1981)","plainCitation":"(J. Putnam &amp; Duffy, 1984; Shavelson &amp; Stern, 1981)"},"citationItems":[{"id":965,"uris":["http://zotero.org/users/2098925/items/UG4JKMGD"],"uri":["http://zotero.org/users/2098925/items/UG4JKMGD"],"itemData":{"id":965,"type":"article-journal","title":"A Descriptive Study of the Preactive and Interactive Decision Making of an Expert Classroom Teacher. Research Series No. 148.","author":[{"family":"Putnam","given":"Joyce"},{"family":"Duffy","given":"Gerald G"}],"issued":{"date-parts":[["1984"]]}}},{"id":662,"uris":["http://zotero.org/users/2098925/items/JQWZVX3G"],"uri":["http://zotero.org/users/2098925/items/JQWZVX3G"],"itemData":{"id":662,"type":"article-journal","title":"Research on teachers’ pedagogical thoughts, judgments, decisions, and behavior","container-title":"Review of educational research","page":"455-498","volume":"51","issue":"4","ISSN":"0034-6543","journalAbbreviation":"Review of educational research","author":[{"family":"Shavelson","given":"Richard J"},{"family":"Stern","given":"Paula"}],"issued":{"date-parts":[["1981"]]}}}],"schema":"https://github.com/citation-style-language/schema/raw/master/csl-citation.json"} </w:instrText>
      </w:r>
      <w:r w:rsidR="00DA58D9" w:rsidRPr="00C347AD">
        <w:rPr>
          <w:noProof/>
        </w:rPr>
        <w:fldChar w:fldCharType="separate"/>
      </w:r>
      <w:r w:rsidR="00DA58D9" w:rsidRPr="00C347AD">
        <w:rPr>
          <w:noProof/>
        </w:rPr>
        <w:t>(Putnam &amp; Duffy, 1984; Shavelson &amp; Stern, 1981)</w:t>
      </w:r>
      <w:r w:rsidR="00DA58D9" w:rsidRPr="00C347AD">
        <w:rPr>
          <w:noProof/>
        </w:rPr>
        <w:fldChar w:fldCharType="end"/>
      </w:r>
      <w:r w:rsidR="00DA58D9" w:rsidRPr="00C347AD">
        <w:rPr>
          <w:noProof/>
        </w:rPr>
        <w:t xml:space="preserve">. Though it is difficult to trace attitudes from undergraduate classroom to professional practice, </w:t>
      </w:r>
      <w:r w:rsidR="007F261B" w:rsidRPr="00C347AD">
        <w:rPr>
          <w:noProof/>
        </w:rPr>
        <w:t xml:space="preserve">this draws from literature that has examined attitudinal gains in </w:t>
      </w:r>
      <w:r w:rsidR="007F261B" w:rsidRPr="00C347AD">
        <w:rPr>
          <w:noProof/>
        </w:rPr>
        <w:lastRenderedPageBreak/>
        <w:t xml:space="preserve">short-terms </w:t>
      </w:r>
      <w:r w:rsidR="007F261B" w:rsidRPr="00C347AD">
        <w:t>(</w:t>
      </w:r>
      <w:r w:rsidR="00B323A5" w:rsidRPr="00C347AD">
        <w:t>e.g.,</w:t>
      </w:r>
      <w:r w:rsidR="007F261B" w:rsidRPr="00C347AD">
        <w:t xml:space="preserve"> Anders </w:t>
      </w:r>
      <w:r w:rsidR="001C60AF" w:rsidRPr="00C347AD">
        <w:t>&amp;</w:t>
      </w:r>
      <w:r w:rsidR="007F261B" w:rsidRPr="00C347AD">
        <w:t xml:space="preserve"> Evans, 1994; Clark &amp; Peterson, 1986; Duffy &amp; Anderson, 1984; Eccles &amp; Wigfield, 1985; Fang, 1996; Hollingsworth, 1989), but extends the existing literature by examining this variable in the context of others, likewise, to form a more holistic picture of preservice teacher intention </w:t>
      </w:r>
      <w:r w:rsidR="007F261B" w:rsidRPr="00C347AD">
        <w:fldChar w:fldCharType="begin"/>
      </w:r>
      <w:r w:rsidR="00F7126F" w:rsidRPr="00C347AD">
        <w:instrText xml:space="preserve"> ADDIN ZOTERO_ITEM CSL_CITATION {"citationID":"268tqddcik","properties":{"formattedCitation":"(Ajzen, 1985)","plainCitation":"(Ajzen, 1985)"},"citationItems":[{"id":1078,"uris":["http://zotero.org/users/2098925/items/XX4EGJ73"],"uri":["http://zotero.org/users/2098925/items/XX4EGJ73"],"itemData":{"id":1078,"type":"book","title":"From intentions to actions: A theory of planned behavior","publisher":"Springer","ISBN":"3-642-69748-8","author":[{"family":"Ajzen","given":"Icek"}],"issued":{"date-parts":[["1985"]]}}}],"schema":"https://github.com/citation-style-language/schema/raw/master/csl-citation.json"} </w:instrText>
      </w:r>
      <w:r w:rsidR="007F261B" w:rsidRPr="00C347AD">
        <w:fldChar w:fldCharType="separate"/>
      </w:r>
      <w:r w:rsidR="007F261B" w:rsidRPr="00C347AD">
        <w:rPr>
          <w:noProof/>
        </w:rPr>
        <w:t>(Ajzen, 1985)</w:t>
      </w:r>
      <w:r w:rsidR="007F261B" w:rsidRPr="00C347AD">
        <w:fldChar w:fldCharType="end"/>
      </w:r>
      <w:r w:rsidR="007F261B" w:rsidRPr="00C347AD">
        <w:t xml:space="preserve">. </w:t>
      </w:r>
    </w:p>
    <w:p w14:paraId="21BD28B8" w14:textId="23672EFC" w:rsidR="007F261B" w:rsidRPr="00C347AD" w:rsidRDefault="007F261B" w:rsidP="00B47BBB">
      <w:pPr>
        <w:rPr>
          <w:noProof/>
        </w:rPr>
      </w:pPr>
      <w:r w:rsidRPr="00C347AD">
        <w:t xml:space="preserve">Holistically, this review of the literature thus </w:t>
      </w:r>
      <w:r w:rsidR="009E5CFE" w:rsidRPr="00C347AD">
        <w:t>demonstrates how</w:t>
      </w:r>
      <w:r w:rsidR="00AA4C89" w:rsidRPr="00C347AD">
        <w:t xml:space="preserve"> both independent variables are worth studying because of significant existing holes in the research. Barriers associated with researching each of these variables were noted and addressed except the need to operationalize UDL, which is addressed in </w:t>
      </w:r>
      <w:r w:rsidR="0020476D" w:rsidRPr="00C347AD">
        <w:t>Chapter</w:t>
      </w:r>
      <w:r w:rsidR="00AA4C89" w:rsidRPr="00C347AD">
        <w:t xml:space="preserve"> 3. This review provides a </w:t>
      </w:r>
      <w:r w:rsidRPr="00C347AD">
        <w:t xml:space="preserve">pragmatic </w:t>
      </w:r>
      <w:r w:rsidR="00AA4C89" w:rsidRPr="00C347AD">
        <w:t>foundation</w:t>
      </w:r>
      <w:r w:rsidRPr="00C347AD">
        <w:t xml:space="preserve"> onto which this study can build </w:t>
      </w:r>
      <w:r w:rsidR="00C13582" w:rsidRPr="00C347AD">
        <w:t xml:space="preserve">and </w:t>
      </w:r>
      <w:r w:rsidR="00AA4C89" w:rsidRPr="00C347AD">
        <w:t xml:space="preserve">provides </w:t>
      </w:r>
      <w:r w:rsidR="00C13582" w:rsidRPr="00C347AD">
        <w:t xml:space="preserve">clarity as to how this study may contribute to the current needs and opportunities of our time and field-of-education context. </w:t>
      </w:r>
    </w:p>
    <w:p w14:paraId="6B4A2E68" w14:textId="77777777" w:rsidR="00897D6C" w:rsidRPr="00C347AD" w:rsidRDefault="00897D6C" w:rsidP="00897D6C">
      <w:pPr>
        <w:spacing w:line="240" w:lineRule="auto"/>
        <w:ind w:firstLine="0"/>
        <w:jc w:val="center"/>
        <w:rPr>
          <w:b/>
        </w:rPr>
      </w:pPr>
    </w:p>
    <w:p w14:paraId="17E349D0" w14:textId="77777777" w:rsidR="00897D6C" w:rsidRPr="00C347AD" w:rsidRDefault="00897D6C" w:rsidP="00897D6C">
      <w:pPr>
        <w:spacing w:line="240" w:lineRule="auto"/>
        <w:ind w:firstLine="0"/>
        <w:jc w:val="center"/>
        <w:rPr>
          <w:b/>
        </w:rPr>
      </w:pPr>
    </w:p>
    <w:p w14:paraId="0593781F" w14:textId="77777777" w:rsidR="00897D6C" w:rsidRPr="00C347AD" w:rsidRDefault="00897D6C" w:rsidP="00897D6C">
      <w:pPr>
        <w:spacing w:line="240" w:lineRule="auto"/>
        <w:ind w:firstLine="0"/>
        <w:jc w:val="center"/>
        <w:rPr>
          <w:b/>
        </w:rPr>
      </w:pPr>
    </w:p>
    <w:p w14:paraId="057402A6" w14:textId="77777777" w:rsidR="00897D6C" w:rsidRPr="00C347AD" w:rsidRDefault="00897D6C" w:rsidP="00897D6C">
      <w:pPr>
        <w:spacing w:line="240" w:lineRule="auto"/>
        <w:ind w:firstLine="0"/>
        <w:jc w:val="center"/>
        <w:rPr>
          <w:b/>
        </w:rPr>
      </w:pPr>
    </w:p>
    <w:p w14:paraId="4E96556C" w14:textId="77777777" w:rsidR="00897D6C" w:rsidRPr="00C347AD" w:rsidRDefault="00897D6C" w:rsidP="00897D6C">
      <w:pPr>
        <w:spacing w:line="240" w:lineRule="auto"/>
        <w:ind w:firstLine="0"/>
        <w:jc w:val="center"/>
        <w:rPr>
          <w:b/>
        </w:rPr>
      </w:pPr>
    </w:p>
    <w:p w14:paraId="7857F622" w14:textId="77777777" w:rsidR="00897D6C" w:rsidRPr="00C347AD" w:rsidRDefault="00897D6C" w:rsidP="00897D6C">
      <w:pPr>
        <w:spacing w:line="240" w:lineRule="auto"/>
        <w:ind w:firstLine="0"/>
        <w:jc w:val="center"/>
        <w:rPr>
          <w:b/>
        </w:rPr>
      </w:pPr>
    </w:p>
    <w:p w14:paraId="618A77C0" w14:textId="77777777" w:rsidR="00897D6C" w:rsidRPr="00C347AD" w:rsidRDefault="00897D6C" w:rsidP="00897D6C">
      <w:pPr>
        <w:spacing w:line="240" w:lineRule="auto"/>
        <w:ind w:firstLine="0"/>
        <w:jc w:val="center"/>
        <w:rPr>
          <w:b/>
        </w:rPr>
      </w:pPr>
    </w:p>
    <w:p w14:paraId="1820F544" w14:textId="77777777" w:rsidR="00897D6C" w:rsidRPr="00C347AD" w:rsidRDefault="00897D6C" w:rsidP="00897D6C">
      <w:pPr>
        <w:spacing w:line="240" w:lineRule="auto"/>
        <w:ind w:firstLine="0"/>
        <w:jc w:val="center"/>
        <w:rPr>
          <w:b/>
        </w:rPr>
      </w:pPr>
    </w:p>
    <w:p w14:paraId="436DF67D" w14:textId="77777777" w:rsidR="00897D6C" w:rsidRPr="00C347AD" w:rsidRDefault="00897D6C" w:rsidP="00897D6C">
      <w:pPr>
        <w:spacing w:line="240" w:lineRule="auto"/>
        <w:ind w:firstLine="0"/>
        <w:jc w:val="center"/>
        <w:rPr>
          <w:b/>
        </w:rPr>
      </w:pPr>
    </w:p>
    <w:p w14:paraId="6C95E982" w14:textId="77777777" w:rsidR="00897D6C" w:rsidRPr="00C347AD" w:rsidRDefault="00897D6C" w:rsidP="00897D6C">
      <w:pPr>
        <w:spacing w:line="240" w:lineRule="auto"/>
        <w:ind w:firstLine="0"/>
        <w:jc w:val="center"/>
        <w:rPr>
          <w:b/>
        </w:rPr>
      </w:pPr>
    </w:p>
    <w:p w14:paraId="4E2C00BC" w14:textId="77777777" w:rsidR="00897D6C" w:rsidRPr="00C347AD" w:rsidRDefault="00897D6C" w:rsidP="00897D6C">
      <w:pPr>
        <w:spacing w:line="240" w:lineRule="auto"/>
        <w:ind w:firstLine="0"/>
        <w:jc w:val="center"/>
        <w:rPr>
          <w:b/>
        </w:rPr>
      </w:pPr>
    </w:p>
    <w:p w14:paraId="09250457" w14:textId="77777777" w:rsidR="00897D6C" w:rsidRPr="00C347AD" w:rsidRDefault="00897D6C" w:rsidP="00897D6C">
      <w:pPr>
        <w:spacing w:line="240" w:lineRule="auto"/>
        <w:ind w:firstLine="0"/>
        <w:jc w:val="center"/>
        <w:rPr>
          <w:b/>
        </w:rPr>
      </w:pPr>
    </w:p>
    <w:p w14:paraId="098B160A" w14:textId="09ED84A3" w:rsidR="00EA77CC" w:rsidRPr="00C347AD" w:rsidRDefault="00783B6D" w:rsidP="00B26A26">
      <w:pPr>
        <w:pStyle w:val="Heading1"/>
      </w:pPr>
      <w:r w:rsidRPr="00C347AD">
        <w:br w:type="column"/>
      </w:r>
      <w:bookmarkStart w:id="59" w:name="_Toc470600340"/>
      <w:bookmarkStart w:id="60" w:name="_Toc471890447"/>
      <w:r w:rsidR="00C00529" w:rsidRPr="00C347AD">
        <w:lastRenderedPageBreak/>
        <w:t>Chapter 3</w:t>
      </w:r>
      <w:r w:rsidR="000D4BA8" w:rsidRPr="00C347AD">
        <w:br/>
      </w:r>
      <w:r w:rsidR="00C00529" w:rsidRPr="00C347AD">
        <w:t>Methods</w:t>
      </w:r>
      <w:bookmarkEnd w:id="59"/>
      <w:bookmarkEnd w:id="60"/>
      <w:r w:rsidR="00C00529" w:rsidRPr="00C347AD">
        <w:t xml:space="preserve"> </w:t>
      </w:r>
    </w:p>
    <w:p w14:paraId="2917F5A1" w14:textId="3B1E5F14" w:rsidR="00076129" w:rsidRPr="00C347AD" w:rsidRDefault="006E70A7" w:rsidP="00FE779B">
      <w:pPr>
        <w:pStyle w:val="Heading2"/>
      </w:pPr>
      <w:bookmarkStart w:id="61" w:name="_Toc470600341"/>
      <w:bookmarkStart w:id="62" w:name="_Toc471890448"/>
      <w:r w:rsidRPr="00C347AD">
        <w:t>Introduction</w:t>
      </w:r>
      <w:bookmarkEnd w:id="61"/>
      <w:bookmarkEnd w:id="62"/>
      <w:r w:rsidRPr="00C347AD">
        <w:t xml:space="preserve"> </w:t>
      </w:r>
    </w:p>
    <w:p w14:paraId="79389B7D" w14:textId="21A577B3" w:rsidR="008E4851" w:rsidRPr="00C347AD" w:rsidRDefault="00F86990" w:rsidP="00EA77CC">
      <w:r w:rsidRPr="00C347AD">
        <w:t xml:space="preserve">This chapter is dedicated to presenting the methods and materials used for data collection in this study. </w:t>
      </w:r>
      <w:r w:rsidR="008E4851" w:rsidRPr="00C347AD">
        <w:t>Herein, I will rearticulate the problem that I intend to address in this study</w:t>
      </w:r>
      <w:r w:rsidR="003C7676" w:rsidRPr="00C347AD">
        <w:t xml:space="preserve">, which provides guidance for the research questions and hypothesis. I will then move into an </w:t>
      </w:r>
      <w:r w:rsidR="005E5C6A" w:rsidRPr="00C347AD">
        <w:t>articulation</w:t>
      </w:r>
      <w:r w:rsidR="003C7676" w:rsidRPr="00C347AD">
        <w:t xml:space="preserve"> of the population and sample participants in this study</w:t>
      </w:r>
      <w:r w:rsidR="005E5C6A" w:rsidRPr="00C347AD">
        <w:t xml:space="preserve">, an overview of the experimental design utilized, provide information regarding the instrumentation and measurement employed for data collection, and conclude with an examination of data analysis procedures </w:t>
      </w:r>
      <w:r w:rsidR="00EA77CC" w:rsidRPr="00C347AD">
        <w:t xml:space="preserve">to be </w:t>
      </w:r>
      <w:r w:rsidR="005E5C6A" w:rsidRPr="00C347AD">
        <w:t xml:space="preserve">utilized in this study.   </w:t>
      </w:r>
      <w:r w:rsidR="003C7676" w:rsidRPr="00C347AD">
        <w:t xml:space="preserve"> </w:t>
      </w:r>
    </w:p>
    <w:p w14:paraId="07CC9D95" w14:textId="07F0B70C" w:rsidR="00C02DDF" w:rsidRPr="00C347AD" w:rsidRDefault="007B18D0" w:rsidP="007B18D0">
      <w:pPr>
        <w:rPr>
          <w:b/>
        </w:rPr>
      </w:pPr>
      <w:r w:rsidRPr="00C347AD">
        <w:rPr>
          <w:b/>
        </w:rPr>
        <w:t xml:space="preserve">Problem and purpose review. </w:t>
      </w:r>
      <w:r w:rsidR="00F86990" w:rsidRPr="00C347AD">
        <w:t xml:space="preserve">In prior chapters, I articulated </w:t>
      </w:r>
      <w:r w:rsidR="00C02DDF" w:rsidRPr="00C347AD">
        <w:t>two different, but interrelated problems. First, researchers and practitioners have noted the increased complexity of the contemporary classroom and the demands that this places on high quality teacher preparation (</w:t>
      </w:r>
      <w:r w:rsidR="00B323A5" w:rsidRPr="00C347AD">
        <w:t>e.g.,</w:t>
      </w:r>
      <w:r w:rsidR="00C02DDF" w:rsidRPr="00C347AD">
        <w:t xml:space="preserve"> </w:t>
      </w:r>
      <w:r w:rsidR="00C02DDF" w:rsidRPr="00C347AD">
        <w:fldChar w:fldCharType="begin"/>
      </w:r>
      <w:r w:rsidR="00F7126F" w:rsidRPr="00C347AD">
        <w:instrText xml:space="preserve"> ADDIN ZOTERO_ITEM CSL_CITATION {"citationID":"9ap4T2eh","properties":{"formattedCitation":"(Cochran-Smith &amp; Zeichner, 2005; Darling-Hammond, 2000, 2012; Korthagen, Loughran, &amp; Russell, 2006)","plainCitation":"(Cochran-Smith &amp; Zeichner, 2005; Darling-Hammond, 2000, 2012; Korthagen, Loughran, &amp; Russell, 2006)","dontUpdate":true},"citationItems":[{"id":260,"uris":["http://zotero.org/users/2098925/items/8MZEP338"],"uri":["http://zotero.org/users/2098925/items/8MZEP338"],"itemData":{"id":260,"type":"book","title":"Studying Teacher Education: The Report of the AERA Panel on Research and Teacher Education","publisher":"Lawrence Erlbaum Associates","source":"ERIC","abstract":"This landmark volume presents the work of the American Educational Research Association's Panel on Research and Teacher Education. It represents a systematic effort to apply a common set of scholarly lenses to a range of important topics in teacher education. The Panel's charge was twofold: (1) to create for the larger educational research community a thorough, rigorous, and even-handed analysis of the empirical research evidence relevant to major policies and practices in preservice teacher education in the U.S.; and (2) to propose a research agenda related to teacher education that builds on what is already known and that identifies the research directions that are most promising for the future. Members of the Panel were appointed from various sectors of the educational research community and with different areas of expertise, including teacher education, policy, assessment, research design and methods, liberal arts, multicultural education, and school reform. Building on their diverse perspectives, they ably translated their charge into a series of questions that became the framework for this volume. The questions illuminate many of the issues that have been most contested in past and current discourse about teacher education reform. This book  examines research about the current pool of prospective and entering teachers and about local, institutional, state, and federal preservice teacher education policies and practices. Following a foreword and preface, this book presents the following: (1) Executive Summary: The Report of the AERA Panel on Research and Teacher Education; (2) The AERA Panel on Research and Teacher Education: Context and Goals (M. Cochran-Smith and K. Fries); (3) Researching Teacher Education in Changing Times: Politics and Paradigms (M. Cochran-Smith and K. Fries); (4) Teachers Characteristics: Research on the Demographic Profile (K. Zumwalt and E. Craig); (5) Teachers' Characteristics: Research on the Indicators of Quality (K. Zumwalt and E. Craig); (6) Research on the Effects of Coursework in the Arts and Sciences and in the Foundations of Education (R. Floden and M. Meniketti); (7) Research on Methods Courses and Field Experiences (R. T. Clift and P. Brady); (8) Research on Pedagogical Approaches in Teacher Education (P. Grossman); (9) Research on Preparing Teachers' for Diverse Populations (E. Hollins and M. T. Guzman); (10) Research on Preparing General Education Teachers to Work with Students with Disabilities (M. C. Pugach); (11) Research on Accountability Processes in Teacher Education (S. Wilson and P. Youngs); (12) Teacher Education Programs (K. M. Zeichner and H. G. Conklin); and (13) A Research Agenda for Teacher Education (K. M. Zeichner). The book concludes with: AERA Panel on Research and Teacher Education--Biographies of the Panel Members.","ISBN":"0-8058-5592-0","shortTitle":"Studying Teacher Education","language":"en","author":[{"family":"Cochran-Smith","given":"Marilyn"},{"family":"Zeichner","given":"Kenneth M."}],"issued":{"date-parts":[["2005"]]},"accessed":{"date-parts":[["2015",4,15]]}}},{"id":438,"uris":["http://zotero.org/users/2098925/items/DQKGX7EE"],"uri":["http://zotero.org/users/2098925/items/DQKGX7EE"],"itemData":{"id":438,"type":"article-journal","title":"How Teacher Education Matters","container-title":"Journal of Teacher Education","page":"166-173","volume":"51","issue":"3","source":"jte.sagepub.com","abstract":"Despite longstanding criticisms of teacher education, the weight of substantial evidence indicates that teachers who have had more preparation for teaching are more confident and successful with students than those who have had little or none. Recent evidence also indicates that reforms of teacher education creating more tightly integrated programs with extended clinical preparation interwoven with coursework on learning and teaching produce teachers who are both more effective and more likely to enter and stay in teaching. An important contribution of teacher education is its development of teachers’abilities to examine teaching from the perspective of learners who bring diverse experiences and frames of reference to the classroom.","DOI":"10.1177/0022487100051003002","ISSN":"0022-4871, 1552-7816","journalAbbreviation":"Journal of Teacher Education","language":"en","author":[{"family":"Darling-Hammond","given":"Linda"}],"issued":{"date-parts":[["2000",5,1]]}}},{"id":256,"uris":["http://zotero.org/users/2098925/items/8KAS6N6M"],"uri":["http://zotero.org/users/2098925/items/8KAS6N6M"],"itemData":{"id":256,"type":"book","title":"Powerful Teacher Education: Lessons from Exemplary Programs","publisher":"John Wiley &amp; Sons","number-of-pages":"388","source":"Google Books","abstract":"Powerful Teacher Education describes the strategies, goals, content, and processes of seven highly successful and long-standing teacher education programs - Alverno College, Bank Street College, Trinity University, University of California, Berkeley, University of Southern Maine, University of Virginia, and Wheelock College. All these colleges and universities have succeeded in preparing teachers to teach diverse learners to achieve high levels of performance and understanding. In discussing the common features of these programs, Linda Darling-Hammond shows what outstanding teacher education models do and how they do it, and what their graduates accomplish as a result. Powerful Teacher Education also examines the policies, organizational features, resources, and relationships that have enabled these programs to succeed.","ISBN":"978-1-118-42943-3","shortTitle":"Powerful Teacher Education","language":"en","author":[{"family":"Darling-Hammond","given":"Linda"}],"issued":{"date-parts":[["2012",6,28]]}}},{"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Education","author":[{"family":"Korthagen","given":"Fred"},{"family":"Loughran","given":"John"},{"family":"Russell","given":"Tom"}],"issued":{"date-parts":[["2006",11]]}}}],"schema":"https://github.com/citation-style-language/schema/raw/master/csl-citation.json"} </w:instrText>
      </w:r>
      <w:r w:rsidR="00C02DDF" w:rsidRPr="00C347AD">
        <w:fldChar w:fldCharType="separate"/>
      </w:r>
      <w:r w:rsidR="00C02DDF" w:rsidRPr="00C347AD">
        <w:rPr>
          <w:noProof/>
        </w:rPr>
        <w:t>Cochran-Smith &amp; Zeichner, 2005; Darling-Hammond, 2000</w:t>
      </w:r>
      <w:r w:rsidR="001A2CE9" w:rsidRPr="00C347AD">
        <w:rPr>
          <w:noProof/>
        </w:rPr>
        <w:t>;</w:t>
      </w:r>
      <w:r w:rsidR="00DD1D02" w:rsidRPr="00C347AD">
        <w:rPr>
          <w:noProof/>
        </w:rPr>
        <w:t xml:space="preserve"> </w:t>
      </w:r>
      <w:r w:rsidR="00C02DDF" w:rsidRPr="00C347AD">
        <w:rPr>
          <w:noProof/>
        </w:rPr>
        <w:t>2012)</w:t>
      </w:r>
      <w:r w:rsidR="00C02DDF" w:rsidRPr="00C347AD">
        <w:fldChar w:fldCharType="end"/>
      </w:r>
      <w:r w:rsidR="00C02DDF" w:rsidRPr="00C347AD">
        <w:t>, but there is little consensus as to best practices for preparing teachers to implement quality teaching once they begin</w:t>
      </w:r>
      <w:r w:rsidR="00C02DDF" w:rsidRPr="00C347AD">
        <w:rPr>
          <w:noProof/>
        </w:rPr>
        <w:t xml:space="preserve"> </w:t>
      </w:r>
      <w:r w:rsidR="00C02DDF" w:rsidRPr="00C347AD">
        <w:t xml:space="preserve">their careers </w:t>
      </w:r>
      <w:r w:rsidR="00C02DDF" w:rsidRPr="00C347AD">
        <w:fldChar w:fldCharType="begin"/>
      </w:r>
      <w:r w:rsidR="00F7126F" w:rsidRPr="00C347AD">
        <w:instrText xml:space="preserve"> ADDIN ZOTERO_ITEM CSL_CITATION {"citationID":"bzZsqc1z","properties":{"formattedCitation":"(Korthagen et al., 2006)","plainCitation":"(Korthagen et al., 2006)"},"citationItems":[{"id":374,"uris":["http://zotero.org/users/2098925/items/BZ598N29"],"uri":["http://zotero.org/users/2098925/items/BZ598N29"],"itemData":{"id":374,"type":"article-journal","title":"Developing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Education","author":[{"family":"Korthagen","given":"Fred"},{"family":"Loughran","given":"John"},{"family":"Russell","given":"Tom"}],"issued":{"date-parts":[["2006",11]]}}}],"schema":"https://github.com/citation-style-language/schema/raw/master/csl-citation.json"} </w:instrText>
      </w:r>
      <w:r w:rsidR="00C02DDF" w:rsidRPr="00C347AD">
        <w:fldChar w:fldCharType="separate"/>
      </w:r>
      <w:r w:rsidR="00C02DDF" w:rsidRPr="00C347AD">
        <w:rPr>
          <w:noProof/>
        </w:rPr>
        <w:t>(Korthagen et al., 2006)</w:t>
      </w:r>
      <w:r w:rsidR="00C02DDF" w:rsidRPr="00C347AD">
        <w:fldChar w:fldCharType="end"/>
      </w:r>
      <w:r w:rsidR="00C02DDF" w:rsidRPr="00C347AD">
        <w:t xml:space="preserve">. </w:t>
      </w:r>
      <w:r w:rsidR="006F3167" w:rsidRPr="00C347AD">
        <w:t xml:space="preserve">While faculty modeling has been proposed as a potential best practice </w:t>
      </w:r>
      <w:r w:rsidR="00C02DDF" w:rsidRPr="00C347AD">
        <w:fldChar w:fldCharType="begin"/>
      </w:r>
      <w:r w:rsidR="00F7126F" w:rsidRPr="00C347AD">
        <w:instrText xml:space="preserve"> ADDIN ZOTERO_ITEM CSL_CITATION {"citationID":"UlBxh0rX","properties":{"formattedCitation":"(Vincent1 Aleccia, 2011; Darling-Hammond, 2005; Korthagen et al., 2006; Loughran &amp; Berry, 2005; R. T. Putnam &amp; Borko, 2000)","plainCitation":"(Vincent1 Aleccia, 2011; Darling-Hammond, 2005; Korthagen et al., 2006; Loughran &amp; Berry, 2005; R. T. Putnam &amp; Borko, 2000)"},"citationItems":[{"id":603,"uris":["http://zotero.org/users/2098925/items/I5DNVFNH"],"uri":["http://zotero.org/users/2098925/items/I5DNVFNH"],"itemData":{"id":603,"type":"article-journal","title":"Walking Our Talk: The Imperative of Teacher Educator Modeling","container-title":"Clearing House","page":"87-90","volume":"84","issue":"3","source":"EBSCOhost","abstract":"If teacher educators are to be effective, they must be sure that their own professional house is in order. To that end, effective teacher educators must be absolutely clear about their professional mission. In addition, they must also have the appropriate background and training to be effective in their mission. Further, they must bridge the chasm between theory and practice as they prepare teacher candidates by keeping current in K-12 contemporary classroom practice. Finally, they must model what it means to be an accomplished classroom teacher for their pre-service teachers including the professional option of earning National Board certification. Only when teacher educators meet these four demanding criteria can we feel with reasonable certainty that they are living up to their job.","DOI":"10.1080/00098655.2010.524951","ISSN":"00098655","shortTitle":"Walking Our Talk","journalAbbreviation":"Clearing House","author":[{"family":"Aleccia","given":"Vincent1"}],"issued":{"date-parts":[["2011",5]]}}},{"id":1067,"uris":["http://zotero.org/users/2098925/items/XHZ5CX8F"],"uri":["http://zotero.org/users/2098925/items/XHZ5CX8F"],"itemData":{"id":1067,"type":"article-journal","title":"Educating the New Educator: Teacher Education and the Future of Democracy","container-title":"The New Educator","page":"1-18","volume":"1","issue":"1","source":"Taylor and Francis+NEJM","DOI":"10.1080/15476880490441379","ISSN":"1547-688X","shortTitle":"Educating the New Educator","author":[{"family":"Darling-Hammond","given":"Linda"}],"issued":{"date-parts":[["2005",2,1]]}}},{"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898,"uris":["http://zotero.org/users/2098925/items/STCGTE6P"],"uri":["http://zotero.org/users/2098925/items/STCGTE6P"],"itemData":{"id":898,"type":"article-journal","title":"Modelling by teacher educators.","container-title":"Teaching and Teacher Education","page":"193-203","volume":"21","issue":"2","source":"ProQuest","abstract":"A desirable professional competency of teacher educators is the ability to explicitly model for their students, the thoughts and actions that underpin one's pedagogical approach. However desirable, the articulation of knowledge of practice is a difficult and complex task that demands considerable awareness of oneself, pedagogy and students. This article explores the nature and development of explicit modelling by two teacher educators in the context of a preservice education programme in an Australian University. The article illustrates how through their collaborative self-study, the teacher educator/authors have begun to conceptualise a pedagogy of teacher education that is based on learning from the experience of 'being explicit'. (PsycINFO Database Record (c) 2012 APA, all rights reserved)(journal abstract)","DOI":"http://dx.doi.org.proxy.lib.utk.edu:90/10.1016/j.tate.2004.12.005","ISSN":"0742-051X","language":"English","author":[{"family":"Loughran","given":"John"},{"family":"Berry","given":"Amanda"}],"issued":{"date-parts":[["2005",2]]}}},{"id":856,"uris":["http://zotero.org/users/2098925/items/REXENNVJ"],"uri":["http://zotero.org/users/2098925/items/REXENNVJ"],"itemData":{"id":856,"type":"article-journal","title":"What Do New Views of Knowledge and Thinking Have to Say About Research on Teacher Learning?","container-title":"Educational Researcher","page":"4-15","volume":"29","issue":"1","source":"edr.sagepub.com.proxy.lib.utk.edu:90","DOI":"10.3102/0013189X029001004","ISSN":"0013-189X, 1935-102X","journalAbbreviation":"EDUCATIONAL RESEARCHER","language":"en","author":[{"family":"Putnam","given":"Ralph T."},{"family":"Borko","given":"Hilda"}],"issued":{"date-parts":[["2000",1,1]]}}}],"schema":"https://github.com/citation-style-language/schema/raw/master/csl-citation.json"} </w:instrText>
      </w:r>
      <w:r w:rsidR="00C02DDF" w:rsidRPr="00C347AD">
        <w:fldChar w:fldCharType="separate"/>
      </w:r>
      <w:r w:rsidR="00C02DDF" w:rsidRPr="00C347AD">
        <w:rPr>
          <w:noProof/>
        </w:rPr>
        <w:t>(Aleccia, 2011; Darling-Hammond, 2005; Korthagen et al., 2006; Loughran &amp; Berry, 2005; Putnam &amp; Borko, 2000)</w:t>
      </w:r>
      <w:r w:rsidR="00C02DDF" w:rsidRPr="00C347AD">
        <w:fldChar w:fldCharType="end"/>
      </w:r>
      <w:r w:rsidR="00C02DDF" w:rsidRPr="00C347AD">
        <w:t xml:space="preserve">, </w:t>
      </w:r>
      <w:r w:rsidR="006F3167" w:rsidRPr="00C347AD">
        <w:t>there remains</w:t>
      </w:r>
      <w:r w:rsidR="00C02DDF" w:rsidRPr="00C347AD">
        <w:t xml:space="preserve"> little empirical support </w:t>
      </w:r>
      <w:r w:rsidR="00C02DDF" w:rsidRPr="00C347AD">
        <w:fldChar w:fldCharType="begin"/>
      </w:r>
      <w:r w:rsidR="00F7126F" w:rsidRPr="00C347AD">
        <w:instrText xml:space="preserve"> ADDIN ZOTERO_ITEM CSL_CITATION {"citationID":"Fkpk97Y0","properties":{"formattedCitation":"(Cochran-Smith &amp; Zeichner, 2005a; Korthagen et al., 2006; Merseth, 1996)","plainCitation":"(Cochran-Smith &amp; Zeichner, 2005a; Korthagen et al., 2006; Merseth, 1996)"},"citationItems":[{"id":260,"uris":["http://zotero.org/users/2098925/items/8MZEP338"],"uri":["http://zotero.org/users/2098925/items/8MZEP338"],"itemData":{"id":260,"type":"book","title":"Studying Teacher Education: The Report of the AERA Panel on Research and Teacher Education","publisher":"Lawrence Erlbaum Associates","source":"ERIC","abstract":"This landmark volume presents the work of the American Educational Research Association's Panel on Research and Teacher Education. It represents a systematic effort to apply a common set of scholarly lenses to a range of important topics in teacher education. The Panel's charge was twofold: (1) to create for the larger educational research community a thorough, rigorous, and even-handed analysis of the empirical research evidence relevant to major policies and practices in preservice teacher education in the U.S.; and (2) to propose a research agenda related to teacher education that builds on what is already known and that identifies the research directions that are most promising for the future. Members of the Panel were appointed from various sectors of the educational research community and with different areas of expertise, including teacher education, policy, assessment, research design and methods, liberal arts, multicultural education, and school reform. Building on their diverse perspectives, they ably translated their charge into a series of questions that became the framework for this volume. The questions illuminate many of the issues that have been most contested in past and current discourse about teacher education reform. This book  examines research about the current pool of prospective and entering teachers and about local, institutional, state, and federal preservice teacher education policies and practices. Following a foreword and preface, this book presents the following: (1) Executive Summary: The Report of the AERA Panel on Research and Teacher Education; (2) The AERA Panel on Research and Teacher Education: Context and Goals (M. Cochran-Smith and K. Fries); (3) Researching Teacher Education in Changing Times: Politics and Paradigms (M. Cochran-Smith and K. Fries); (4) Teachers Characteristics: Research on the Demographic Profile (K. Zumwalt and E. Craig); (5) Teachers' Characteristics: Research on the Indicators of Quality (K. Zumwalt and E. Craig); (6) Research on the Effects of Coursework in the Arts and Sciences and in the Foundations of Education (R. Floden and M. Meniketti); (7) Research on Methods Courses and Field Experiences (R. T. Clift and P. Brady); (8) Research on Pedagogical Approaches in Teacher Education (P. Grossman); (9) Research on Preparing Teachers' for Diverse Populations (E. Hollins and M. T. Guzman); (10) Research on Preparing General Education Teachers to Work with Students with Disabilities (M. C. Pugach); (11) Research on Accountability Processes in Teacher Education (S. Wilson and P. Youngs); (12) Teacher Education Programs (K. M. Zeichner and H. G. Conklin); and (13) A Research Agenda for Teacher Education (K. M. Zeichner). The book concludes with: AERA Panel on Research and Teacher Education--Biographies of the Panel Members.","ISBN":"0-8058-5592-0","shortTitle":"Studying Teacher Education","language":"en","author":[{"family":"Cochran-Smith","given":"Marilyn"},{"family":"Zeichner","given":"Kenneth M."}],"issued":{"date-parts":[["2005"]]},"accessed":{"date-parts":[["2015",4,15]]}}},{"id":374,"uris":["http://zotero.org/users/2098925/items/BZ598N29"],"uri":["http://zotero.org/users/2098925/items/BZ598N29"],"itemData":{"id":374,"type":"article-journal","title":"Developing fundamental principles for teacher education programs and practices","container-title":"Teaching and Teacher Education","page":"1020-1041","volume":"22","issue":"8","source":"ScienceDirect","abstract":"Traditional approaches to teacher education are increasingly critiqued for their limited relationship to student teachers’ needs and for their meager impact on practice. Many pleas are heard for a radical new and effective pedagogy of teacher education in which theory and practice are linked effectively. Although various attempts to restructure teacher education have been published, no coherent body of knowledge exists about central principles underlying teacher education programs that are responsive to the expectations, needs and practices of student teachers. By analyzing effective features of programs in Australia, Canada, and the Netherlands, this study contributes an initial framework of seven fundamental principles to guide the development of responsive teacher education programs that make a difference.","DOI":"10.1016/j.tate.2006.04.022","ISSN":"0742-051X","journalAbbreviation":"Teaching and Teacher Education","author":[{"family":"Korthagen","given":"Fred"},{"family":"Loughran","given":"John"},{"family":"Russell","given":"Tom"}],"issued":{"date-parts":[["2006",11]]}}},{"id":310,"uris":["http://zotero.org/users/2098925/items/9XFKGIZX"],"uri":["http://zotero.org/users/2098925/items/9XFKGIZX"],"itemData":{"id":310,"type":"article-journal","title":"Cases and case methods in teacher education","container-title":"Handbook of research on teacher education","page":"722-744","volume":"2","author":[{"family":"Merseth","given":"Katherine K."}],"issued":{"date-parts":[["1996"]]}}}],"schema":"https://github.com/citation-style-language/schema/raw/master/csl-citation.json"} </w:instrText>
      </w:r>
      <w:r w:rsidR="00C02DDF" w:rsidRPr="00C347AD">
        <w:fldChar w:fldCharType="separate"/>
      </w:r>
      <w:r w:rsidR="00C02DDF" w:rsidRPr="00C347AD">
        <w:rPr>
          <w:noProof/>
        </w:rPr>
        <w:t>(Cochran-Smith &amp; Zeichner, 2005a; Korthagen et al., 2006; Merseth, 1996)</w:t>
      </w:r>
      <w:r w:rsidR="00C02DDF" w:rsidRPr="00C347AD">
        <w:fldChar w:fldCharType="end"/>
      </w:r>
      <w:r w:rsidR="00C02DDF" w:rsidRPr="00C347AD">
        <w:t xml:space="preserve">. </w:t>
      </w:r>
      <w:r w:rsidR="00ED3710" w:rsidRPr="00C347AD">
        <w:t>Thus, e</w:t>
      </w:r>
      <w:r w:rsidR="00C02DDF" w:rsidRPr="00C347AD">
        <w:t xml:space="preserve">mpirical research is needed to provide justification for the notion that modeling best practices may actually result in heightened </w:t>
      </w:r>
      <w:r w:rsidR="00C02DDF" w:rsidRPr="00C347AD">
        <w:lastRenderedPageBreak/>
        <w:t>learning and practice among preservice teachers when compared to non-modeled methods (</w:t>
      </w:r>
      <w:r w:rsidR="00B323A5" w:rsidRPr="00C347AD">
        <w:t>e.g.,</w:t>
      </w:r>
      <w:r w:rsidR="00C02DDF" w:rsidRPr="00C347AD">
        <w:t xml:space="preserve"> lecture/textbook reading). </w:t>
      </w:r>
    </w:p>
    <w:p w14:paraId="7CA8B9C7" w14:textId="74917617" w:rsidR="00C02DDF" w:rsidRPr="00C347AD" w:rsidRDefault="00C02DDF" w:rsidP="00096B9D">
      <w:r w:rsidRPr="00C347AD">
        <w:t xml:space="preserve">Second, </w:t>
      </w:r>
      <w:r w:rsidR="006F3167" w:rsidRPr="00C347AD">
        <w:t xml:space="preserve">though </w:t>
      </w:r>
      <w:r w:rsidR="00FA7D0F" w:rsidRPr="00C347AD">
        <w:t xml:space="preserve">UDL </w:t>
      </w:r>
      <w:r w:rsidRPr="00C347AD">
        <w:t xml:space="preserve">has been emphasized in federal policy including </w:t>
      </w:r>
      <w:r w:rsidR="00ED3710" w:rsidRPr="00C347AD">
        <w:t>repeated mentions</w:t>
      </w:r>
      <w:r w:rsidRPr="00C347AD">
        <w:t xml:space="preserve"> in the Every Student Succeeds Act (ESSA), and has appeared as an independent variable in a wealth of contemporary research </w:t>
      </w:r>
      <w:r w:rsidRPr="00C347AD">
        <w:fldChar w:fldCharType="begin"/>
      </w:r>
      <w:r w:rsidR="00F7126F" w:rsidRPr="00C347AD">
        <w:instrText xml:space="preserve"> ADDIN ZOTERO_ITEM CSL_CITATION {"citationID":"u2VPF67i","properties":{"formattedCitation":"(Rao et al., 2014)","plainCitation":"(Rao et al., 2014)"},"citationItems":[{"id":874,"uris":["http://zotero.org/users/2098925/items/RU9VE9CB"],"uri":["http://zotero.org/users/2098925/items/RU9VE9CB"],"itemData":{"id":874,"type":"article-journal","title":"A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Pr="00C347AD">
        <w:fldChar w:fldCharType="separate"/>
      </w:r>
      <w:r w:rsidR="00CE29B7" w:rsidRPr="00C347AD">
        <w:rPr>
          <w:noProof/>
        </w:rPr>
        <w:t>(Rao et al., 2014)</w:t>
      </w:r>
      <w:r w:rsidRPr="00C347AD">
        <w:fldChar w:fldCharType="end"/>
      </w:r>
      <w:r w:rsidRPr="00C347AD">
        <w:t xml:space="preserve">, there remain serious challenges in terms of clearly operationalizing UDL </w:t>
      </w:r>
      <w:r w:rsidRPr="00C347AD">
        <w:fldChar w:fldCharType="begin"/>
      </w:r>
      <w:r w:rsidR="00F7126F" w:rsidRPr="00C347AD">
        <w:instrText xml:space="preserve"> ADDIN ZOTERO_ITEM CSL_CITATION {"citationID":"pWeKnjAG","properties":{"formattedCitation":"(Edyburn, 2010)","plainCitation":"(Edyburn, 2010)"},"citationItems":[{"id":209,"uris":["http://zotero.org/users/2098925/items/7GS75EGJ"],"uri":["http://zotero.org/users/2098925/items/7GS75EGJ"],"itemData":{"id":209,"type":"article-journal","title":"Would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L."}],"issued":{"date-parts":[["2010"]],"season":"Winter"}}}],"schema":"https://github.com/citation-style-language/schema/raw/master/csl-citation.json"} </w:instrText>
      </w:r>
      <w:r w:rsidRPr="00C347AD">
        <w:fldChar w:fldCharType="separate"/>
      </w:r>
      <w:r w:rsidRPr="00C347AD">
        <w:rPr>
          <w:noProof/>
        </w:rPr>
        <w:t>(Edyburn, 2010)</w:t>
      </w:r>
      <w:r w:rsidRPr="00C347AD">
        <w:fldChar w:fldCharType="end"/>
      </w:r>
      <w:r w:rsidRPr="00C347AD">
        <w:t xml:space="preserve">, being consistent in what is meant by UDL in research and practice </w:t>
      </w:r>
      <w:r w:rsidRPr="00C347AD">
        <w:fldChar w:fldCharType="begin"/>
      </w:r>
      <w:r w:rsidR="00F7126F" w:rsidRPr="00C347AD">
        <w:instrText xml:space="preserve"> ADDIN ZOTERO_ITEM CSL_CITATION {"citationID":"SCX9eP22","properties":{"formattedCitation":"(Edyburn, 2010; Rao et al., 2014)","plainCitation":"(Edyburn, 2010; Rao et al., 2014)"},"citationItems":[{"id":209,"uris":["http://zotero.org/users/2098925/items/7GS75EGJ"],"uri":["http://zotero.org/users/2098925/items/7GS75EGJ"],"itemData":{"id":209,"type":"article-journal","title":"Would You Recognize Universal Design for Learning If You Saw It? Ten Propositions for New Directions for the Second Decade of Udl","container-title":"Learning Disability Quarterly","page":"33-41","volume":"33","issue":"1","source":"EBSCOhost","abstract":"As I read the latest issue of the Learning Disability Quarterly, I was appreciative of the essay by King-Sears (2009) highlighting the value of universal design for learning (UDL) to the learning disability community. The allure of UDL has captured the imagination of many educators and policy makers. The recent reauthorization of the Higher Education Opportunity Act of 2008 (Public Law 110-315, Section 202, I, A), for example, requires colleges of education that receive federal funding for teacher quality partnership grants to report on the outcomes of UDL training within their preservice preparation programs. King-Sears' efforts to encourage the learning disability community to dialogue about UDL are noteworthy and timely. Given that the King-Sears piece was featured as a \"Commentary\" article designed to spark conversation about contemporary topics, I would like to take this opportunity to extend the conversation and highlight nuances associated with translating UDL theory into practice. As someone who has been involved in helping individual teachers as well as schools, states, provinces, and policy makers translate UDL theory into practice, I am concerned about the ability of the profession to implement a construct that it cannot define.","ISSN":"07319487","shortTitle":"Would You Recognize Universal Design for Learning If You Saw It?","journalAbbreviation":"Learning Disability Quarterly","author":[{"family":"Edyburn","given":"Dave L."}],"issued":{"date-parts":[["2010"]],"season":"Winter"}}},{"id":874,"uris":["http://zotero.org/users/2098925/items/RU9VE9CB"],"uri":["http://zotero.org/users/2098925/items/RU9VE9CB"],"itemData":{"id":874,"type":"article-journal","title":"A Review of Research on Universal Design Educational Models","container-title":"Remedial and Special Education","page":"153-166","volume":"35","issue":"3","source":"rse.sagepub.com","abstract":"Universal design for learning (UDL) has gained considerable attention in the field of special education, acclaimed for its promise to promote inclusion by supporting access to the general curriculum. In addition to UDL, there are two other universal design (UD) educational models referenced in the literature, universal design of instruction (UDI) and universal instructional design (UID). This descriptive review of 13 research studies conducted in pre-K–12 and post-secondary settings examined how researchers are applying and evaluating UD in educational settings. Results of the review illustrated that studies use a range of research designs to examine student outcomes and participant perceptions of UD-based curriculum and instruction. Researchers report on their application of UD principles in varied ways, with no standard formats for describing how UD is used. Based on results of the review, we provide recommendations to help establish a meaningful research base on the validity of UD in education.","DOI":"10.1177/0741932513518980","ISSN":"0741-9325, 1538-4756","journalAbbreviation":"Remedial and Special Education","language":"en","author":[{"family":"Rao","given":"Kavita"},{"family":"Ok","given":"Min Wook"},{"family":"Bryant","given":"Brian R."}],"issued":{"date-parts":[["2014",5,1]]}}}],"schema":"https://github.com/citation-style-language/schema/raw/master/csl-citation.json"} </w:instrText>
      </w:r>
      <w:r w:rsidRPr="00C347AD">
        <w:fldChar w:fldCharType="separate"/>
      </w:r>
      <w:r w:rsidRPr="00C347AD">
        <w:rPr>
          <w:noProof/>
        </w:rPr>
        <w:t>(Edyburn, 2010; Rao et al., 2014)</w:t>
      </w:r>
      <w:r w:rsidRPr="00C347AD">
        <w:fldChar w:fldCharType="end"/>
      </w:r>
      <w:r w:rsidRPr="00C347AD">
        <w:t xml:space="preserve">, and </w:t>
      </w:r>
      <w:r w:rsidR="001B2993" w:rsidRPr="00C347AD">
        <w:t>related to the</w:t>
      </w:r>
      <w:r w:rsidRPr="00C347AD">
        <w:t xml:space="preserve"> consistency of Education faculty knowledge and dissemination of knowledge related to UDL to preservice teachers </w:t>
      </w:r>
      <w:r w:rsidR="00096B9D" w:rsidRPr="00C347AD">
        <w:t>(</w:t>
      </w:r>
      <w:r w:rsidRPr="00C347AD">
        <w:fldChar w:fldCharType="begin"/>
      </w:r>
      <w:r w:rsidR="00F7126F" w:rsidRPr="00C347AD">
        <w:instrText xml:space="preserve"> ADDIN ZOTERO_ITEM CSL_CITATION {"citationID":"Kq8h3fFW","properties":{"formattedCitation":"(Allday, Neilsen-Gatti, &amp; Hudson, 2013; Berquist, 2013; Cavendish &amp; Espinosa, 2013; Kurtts, 2006; Lang, 2014; McGuire-Schwartz &amp; Arndt, 2007; Vitelli, 2015)","plainCitation":"(Allday, Neilsen-Gatti, &amp; Hudson, 2013; Berquist, 2013; Cavendish &amp; Espinosa, 2013; Kurtts, 2006; Lang, 2014; McGuire-Schwartz &amp; Arndt, 2007; Vitelli, 2015)","dontUpdate":true},"citationItems":[{"id":778,"uris":["http://zotero.org/users/2098925/items/NXQD8MN2"],"uri":["http://zotero.org/users/2098925/items/NXQD8MN2"],"itemData":{"id":778,"type":"article-journal","title":"Preparation for Inclusion in Teacher Education Pre-Service Curricula","container-title":"Teacher Education and Special Education: The Journal of the Teacher Education Division of the Council for Exceptional Children","page":"298-311","volume":"36","issue":"4","source":"tes.sagepub.com.proxy.lib.utk.edu:90","abstract":"Inclusion of students with disabilities has been practiced and advocated for more than two decades in the United States. This practice involves the placement of students with disabilities in a general education classroom for part or all of the day, and the primary instructor is a general education teacher in collaboration with a special education teacher. The authors reviewed coursework related to inclusion provided to pre-service elementary teachers during their teacher preparation programs. A total of 109 elementary education bachelor’s degree programs were examined to determine the number of course hours devoted to inclusion, instruction, and management of students with disabilities. Results suggest that many teacher preparation programs provide instruction related to characteristics of disabilities and some form of classroom management; however, few programs offer courses specifically related to differentiation of instruction for students with disabilities or collaboration between general and special education teachers.","DOI":"10.1177/0888406413497485","ISSN":"0888-4064, 1944-4931","journalAbbreviation":"Teacher Education and Special Education: The Journal of the Teacher Education Division of the Council for Exceptional Children","language":"en","author":[{"family":"Allday","given":"R. Allan"},{"family":"Neilsen-Gatti","given":"Shelley"},{"family":"Hudson","given":"Tina M."}],"issued":{"date-parts":[["2013",11,1]]}}},{"id":104,"uris":["http://zotero.org/users/2098925/items/4JZG3ZJ8"],"uri":["http://zotero.org/users/2098925/items/4JZG3ZJ8"],"itemData":{"id":104,"type":"article-journal","title":"Universal Design for Learning, conceptual change and teacher education: an exploration of preconceptions and beliefs about practice","container-title":"Towson University Institutional Repository","source":"Google Scholar","URL":"https://mdsoar.org/handle/11603/2042","shortTitle":"Universal Design for Learning, conceptual change and teacher education","author":[{"family":"Berquist","given":"Elizabeth Tessier"}],"issued":{"date-parts":[["2013"]]},"accessed":{"date-parts":[["2016",1,5]]}}},{"id":654,"uris":["http://zotero.org/users/2098925/items/JHKWUVZW"],"uri":["http://zotero.org/users/2098925/items/JHKWUVZW"],"itemData":{"id":654,"type":"chapter","title":"Teacher Preparation for Student Diversity and Disabilities: Changing Roles in Response to Intervention Models","container-title":"Learning Disabilities: Practice Concerns And Students With LD","publisher":"Emerald Group Publishing Limited","page":"189-205","volume":"25","source":"CrossRef","URL":"http://www.emeraldinsight.com/doi/abs/10.1108/S0270-4013%282013%290000025013","ISBN":"978-1-78190-427-5","shortTitle":"Teacher Preparation for Student Diversity and Disabilities","language":"en","editor":[{"family":"Bakken","given":"Jeffrey P."},{"family":"Obiakor","given":"Festus E."},{"family":"Rotatori","given":"Anthony F."}],"author":[{"family":"Cavendish","given":"Wendy"},{"family":"Espinosa","given":"Anabel"}],"issued":{"date-parts":[["2013",1]]},"accessed":{"date-parts":[["2016",1,5]]}}},{"id":882,"uris":["http://zotero.org/users/2098925/items/S9PZ5PCT"],"uri":["http://zotero.org/users/2098925/items/S9PZ5PCT"],"itemData":{"id":882,"type":"article-journal","title":"Universal Design for Learning in Inclusive Classrooms","container-title":"Electronic Journal for Inclusive Education 1 (10)","source":"Google Scholar","URL":"http://corescholar.libraries.wright.edu/ejie/vol1/iss10/7/","author":[{"family":"Kurtts","given":"Stephanie A."}],"issued":{"date-parts":[["2006"]]},"accessed":{"date-parts":[["2016",1,5]]}}},{"id":604,"uris":["http://zotero.org/users/2098925/items/I5KZDXEC"],"uri":["http://zotero.org/users/2098925/items/I5KZDXEC"],"itemData":{"id":604,"type":"article-journal","title":"Preparing Preservice Teachers for Inclusive Classrooms: A State-Wide Survey of Teacher Education Faculty","author":[{"family":"Lang","given":"Lucinda Anne Ellenburg"}],"issued":{"date-parts":[["2014"]]}}},{"id":1013,"uris":["http://zotero.org/users/2098925/items/VWIQWCWZ"],"uri":["http://zotero.org/users/2098925/items/VWIQWCWZ"],"itemData":{"id":1013,"type":"article-journal","title":"Transforming Universal Design for Learning in Early Childhood Teacher Education from College Classroom to Early Childhood Classroom","container-title":"Journal of Early Childhood Teacher Education","page":"127-139","volume":"28","issue":"2","source":"EBSCOhost","abstract":"This article focuses on the application of Universal Design for Learning from theory to practice from the college classroom to the practicum experiences of preservice teacher candidates. It combines description of two research projects that explored and documented how participants understand and use Universal Design for Learning in lesson planning. Universal Design for Learning holds promise in training early childhood teacher educators to work with diverse populations and to provide access to learning for all students, including children with special needs. In Study One, 36 teacher candidates used action research to implement a Universal Design for Learning strategy, collect and analyze data, and become researchers. In Study Two, five teacher candidates were introduced to the principles of Universal Design for Learning and designed lesson plans for their practica. These qualitative research studies explored and documented how teacher candidates understand, introduce, and integrate the principles and practices of Universal Design for Learning. An overview of principles and practices of Universal Design for Learning, its use in the college classroom, its application in lesson planning and teaching, and the use of action research to determine its impact on the learning of all students in public school classrooms are presented.","DOI":"10.1080/10901020701366707","ISSN":"10901027","journalAbbreviation":"Journal of Early Childhood Teacher Education","author":[{"family":"McGuire-Schwartz","given":"Mary Ellen1","dropping-particle":"mmcguire@ric.edu","suffix":""},{"family":"Arndt","given":"Janet S.2"}],"issued":{"date-parts":[["2007",4]]}}},{"id":135,"uris":["http://zotero.org/users/2098925/items/5HPEQ33J"],"uri":["http://zotero.org/users/2098925/items/5HPEQ33J"],"itemData":{"id":135,"type":"article-journal","title":"Universal Design for Learning Are We Teaching It to Preservice General Education Teachers?","container-title":"Journal of Special Education Technology","page":"166-178","volume":"30","issue":"3","author":[{"family":"Vitelli","given":"Edward M."}],"issued":{"date-parts":[["2015"]]}}}],"schema":"https://github.com/citation-style-language/schema/raw/master/csl-citation.json"} </w:instrText>
      </w:r>
      <w:r w:rsidRPr="00C347AD">
        <w:fldChar w:fldCharType="separate"/>
      </w:r>
      <w:r w:rsidR="00B323A5" w:rsidRPr="00C347AD">
        <w:t>e.g.,</w:t>
      </w:r>
      <w:r w:rsidR="00350B17" w:rsidRPr="00C347AD">
        <w:t xml:space="preserve"> </w:t>
      </w:r>
      <w:r w:rsidRPr="00C347AD">
        <w:t>Allday, Neilsen-Gatti, &amp; Hudson, 2013; Berquist, 2013; Cavendish &amp; Espinosa, 2013; Kurtts, 2006; Lang, 2014; McGuire-Schwartz &amp; Arndt, 2007</w:t>
      </w:r>
      <w:r w:rsidR="00096B9D" w:rsidRPr="00C347AD">
        <w:t>; Vitelli, 2015</w:t>
      </w:r>
      <w:r w:rsidRPr="00C347AD">
        <w:t>)</w:t>
      </w:r>
      <w:r w:rsidRPr="00C347AD">
        <w:fldChar w:fldCharType="end"/>
      </w:r>
      <w:r w:rsidR="00350B17" w:rsidRPr="00C347AD">
        <w:t>.</w:t>
      </w:r>
    </w:p>
    <w:p w14:paraId="2D451DC3" w14:textId="39C761AA" w:rsidR="00096B9D" w:rsidRPr="00C347AD" w:rsidRDefault="00096B9D" w:rsidP="00096B9D">
      <w:r w:rsidRPr="00C347AD">
        <w:t>These two under-researche</w:t>
      </w:r>
      <w:r w:rsidR="001A2CE9" w:rsidRPr="00C347AD">
        <w:t>d</w:t>
      </w:r>
      <w:r w:rsidRPr="00C347AD">
        <w:t xml:space="preserve"> areas lend themselves to a joint study in that faculty modeling </w:t>
      </w:r>
      <w:r w:rsidR="00F979C1" w:rsidRPr="00C347AD">
        <w:t xml:space="preserve">has a theoretical basis for being a useful means of teaching complex and dynamic frameworks such as UDL </w:t>
      </w:r>
      <w:r w:rsidR="005162A2" w:rsidRPr="00C347AD">
        <w:fldChar w:fldCharType="begin"/>
      </w:r>
      <w:r w:rsidR="00F7126F" w:rsidRPr="00C347AD">
        <w:instrText xml:space="preserve"> ADDIN ZOTERO_ITEM CSL_CITATION {"citationID":"1rm3p3tv3o","properties":{"formattedCitation":"(Ajzen, 1991a; Albert Bandura, 1986)","plainCitation":"(Ajzen, 1991a; Albert Bandura, 1986)"},"citationItems":[{"id":179,"uris":["http://zotero.org/users/2098925/items/6QSAIHR9"],"uri":["http://zotero.org/users/2098925/items/6QSAIHR9"],"itemData":{"id":179,"type":"article-journal","title":"Theories of Cognitive Self-RegulationThe theory of planned behavior","container-title":"Organizational Behavior and Human Decision Processes","page":"179-211","volume":"50","issue":"2","source":"ScienceDirect","abstract":"Research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Processes","author":[{"family":"Ajzen","given":"Icek"}],"issued":{"date-parts":[["1991",12,1]]}}},{"id":534,"uris":["http://zotero.org/users/2098925/items/G7PAN43E"],"uri":["http://zotero.org/users/2098925/items/G7PAN43E"],"itemData":{"id":534,"type":"book","title":"Social foundations of thought and action: a social cognitive theory","publisher":"Prentice-Hall","number-of-pages":"642","source":"Google Books","abstract":"Presents a comprehensive theory of human motivation and action from a social-cognitive perspective. This insightful text addresses the prominent roles played by cognitive, vicarious, self-regulatory, and self-reflective processes in psychosocial functioning; emphasizes reciprocal causation through the interplay of cognitive, behavioral, and environmental factors; and systematically applies the basic principles of this theory to personal and social change.","shortTitle":"Social foundations of thought and action","language":"en","author":[{"family":"Bandura","given":"Albert"}],"issued":{"date-parts":[["1986"]]}}}],"schema":"https://github.com/citation-style-language/schema/raw/master/csl-citation.json"} </w:instrText>
      </w:r>
      <w:r w:rsidR="005162A2" w:rsidRPr="00C347AD">
        <w:fldChar w:fldCharType="separate"/>
      </w:r>
      <w:r w:rsidR="00FA7D0F" w:rsidRPr="00C347AD">
        <w:rPr>
          <w:noProof/>
        </w:rPr>
        <w:t>(Ajzen, 1991a; Bandura, 1986)</w:t>
      </w:r>
      <w:r w:rsidR="005162A2" w:rsidRPr="00C347AD">
        <w:fldChar w:fldCharType="end"/>
      </w:r>
      <w:r w:rsidR="00FA7D0F" w:rsidRPr="00C347AD">
        <w:t xml:space="preserve">. As such, this study may be able to contribute both empirical evidence for the benefit of faculty modeling and also provide evidence as to an effective solution for preparing preservice teachers to implement UDL in their future classrooms. </w:t>
      </w:r>
    </w:p>
    <w:p w14:paraId="09A86E3E" w14:textId="49EB5CA2" w:rsidR="00FD0511" w:rsidRPr="00C347AD" w:rsidRDefault="007B18D0" w:rsidP="004642C9">
      <w:pPr>
        <w:pStyle w:val="Caption"/>
        <w:ind w:firstLine="720"/>
        <w:rPr>
          <w:b/>
          <w:i/>
        </w:rPr>
      </w:pPr>
      <w:r w:rsidRPr="00C347AD">
        <w:rPr>
          <w:b/>
        </w:rPr>
        <w:t>Research q</w:t>
      </w:r>
      <w:r w:rsidR="00197EA4" w:rsidRPr="00C347AD">
        <w:rPr>
          <w:b/>
        </w:rPr>
        <w:t>uestion</w:t>
      </w:r>
      <w:r w:rsidRPr="00C347AD">
        <w:rPr>
          <w:b/>
        </w:rPr>
        <w:t>.</w:t>
      </w:r>
      <w:r w:rsidRPr="00C347AD">
        <w:t xml:space="preserve"> </w:t>
      </w:r>
      <w:r w:rsidR="00D02740" w:rsidRPr="00C347AD">
        <w:t>Does modeling of UDL principles and practice compared to traditional instruction (e.g., lect</w:t>
      </w:r>
      <w:r w:rsidR="00E1628D" w:rsidRPr="00C347AD">
        <w:t xml:space="preserve">ure and textbook reading) </w:t>
      </w:r>
      <w:r w:rsidR="00D02740" w:rsidRPr="00C347AD">
        <w:t>result in greater development for preservice teachers in terms of their (1) knowledge, (2) sense of efficacy</w:t>
      </w:r>
      <w:r w:rsidR="00EF04A2" w:rsidRPr="00C347AD">
        <w:t>, and (3</w:t>
      </w:r>
      <w:r w:rsidR="00D02740" w:rsidRPr="00C347AD">
        <w:t xml:space="preserve">) attitudes regarding inclusion of diverse students, including those with disabilities, in the </w:t>
      </w:r>
      <w:r w:rsidR="00D02740" w:rsidRPr="00C347AD">
        <w:lastRenderedPageBreak/>
        <w:t>same period of time?</w:t>
      </w:r>
      <w:r w:rsidR="000E79AA" w:rsidRPr="00C347AD">
        <w:t xml:space="preserve"> </w:t>
      </w:r>
      <w:r w:rsidR="00901E11" w:rsidRPr="00C347AD">
        <w:t>To measure these questions, each dependent variable is matched with a single i</w:t>
      </w:r>
      <w:r w:rsidR="001C60AF" w:rsidRPr="00C347AD">
        <w:t>nstrument as depicted in T</w:t>
      </w:r>
      <w:r w:rsidR="00255A1E" w:rsidRPr="00C347AD">
        <w:t>able 2</w:t>
      </w:r>
      <w:r w:rsidR="00F84347" w:rsidRPr="00C347AD">
        <w:t>.</w:t>
      </w:r>
    </w:p>
    <w:p w14:paraId="450F1A9B" w14:textId="46226998" w:rsidR="00197EA4" w:rsidRPr="00C347AD" w:rsidRDefault="00A5594B" w:rsidP="00B879C2">
      <w:pPr>
        <w:pStyle w:val="Caption"/>
        <w:ind w:firstLine="720"/>
      </w:pPr>
      <w:r w:rsidRPr="00C347AD">
        <w:rPr>
          <w:b/>
        </w:rPr>
        <w:t>H</w:t>
      </w:r>
      <w:r w:rsidR="00197EA4" w:rsidRPr="00C347AD">
        <w:rPr>
          <w:b/>
        </w:rPr>
        <w:t>ypotheses</w:t>
      </w:r>
      <w:r w:rsidR="007B18D0" w:rsidRPr="00C347AD">
        <w:rPr>
          <w:b/>
        </w:rPr>
        <w:t>.</w:t>
      </w:r>
      <w:r w:rsidR="007B18D0" w:rsidRPr="00C347AD">
        <w:rPr>
          <w:b/>
          <w:i/>
        </w:rPr>
        <w:t xml:space="preserve"> </w:t>
      </w:r>
      <w:r w:rsidR="00803DEB" w:rsidRPr="00C347AD">
        <w:t xml:space="preserve">There will be a statistically significant </w:t>
      </w:r>
      <w:r w:rsidR="009A00F3" w:rsidRPr="00C347AD">
        <w:t>(</w:t>
      </w:r>
      <w:r w:rsidR="009A00F3" w:rsidRPr="00C347AD">
        <w:rPr>
          <w:i/>
        </w:rPr>
        <w:t xml:space="preserve">p &lt; </w:t>
      </w:r>
      <w:r w:rsidR="009A00F3" w:rsidRPr="00C347AD">
        <w:t xml:space="preserve">.05) </w:t>
      </w:r>
      <w:r w:rsidR="00803DEB" w:rsidRPr="00C347AD">
        <w:t xml:space="preserve">difference </w:t>
      </w:r>
      <w:r w:rsidR="009A00F3" w:rsidRPr="00C347AD">
        <w:t xml:space="preserve">between the two groups (i.e., those who are taught using explicit modeling </w:t>
      </w:r>
      <w:r w:rsidR="009A00F3" w:rsidRPr="00C347AD">
        <w:fldChar w:fldCharType="begin"/>
      </w:r>
      <w:r w:rsidR="00F7126F" w:rsidRPr="00C347AD">
        <w:instrText xml:space="preserve"> ADDIN ZOTERO_ITEM CSL_CITATION {"citationID":"QOwihfPT","properties":{"formattedCitation":"(Lunenberg et al., 2007)","plainCitation":"(Lunenberg et al., 2007)"},"citationItems":[{"id":669,"uris":["http://zotero.org/users/2098925/items/JZ76C86M"],"uri":["http://zotero.org/users/2098925/items/JZ76C86M"],"itemData":{"id":669,"type":"article-journal","title":"The teacher educator as a role model","container-title":"Teaching and Teacher Education","page":"586-601","volume":"23","issue":"5","source":"ScienceDirect","abstract":"New visions of learning have entered education. This article discusses the consequences for teacher education, and examines modelling by teacher educators as a means of changing the views and practices of future teachers. The results of a literature search and a multiple case study on modelling are discussed. Both the literature search and the case study approach led to the conclusion that we have discovered what is almost a blank spot in both the body of knowledge on teacher education and the actual practices of many teacher educators. The article concludes with a discussion of ways to improve this situation.","DOI":"10.1016/j.tate.2006.11.001","ISSN":"0742-051X","journalAbbreviation":"Teaching and Teacher Education","author":[{"family":"Lunenberg","given":"Mieke"},{"family":"Korthagen","given":"Fred"},{"family":"Swennen","given":"Anja"}],"issued":{"date-parts":[["2007",7]]}}}],"schema":"https://github.com/citation-style-language/schema/raw/master/csl-citation.json"} </w:instrText>
      </w:r>
      <w:r w:rsidR="009A00F3" w:rsidRPr="00C347AD">
        <w:fldChar w:fldCharType="separate"/>
      </w:r>
      <w:r w:rsidR="009A00F3" w:rsidRPr="00C347AD">
        <w:rPr>
          <w:noProof/>
        </w:rPr>
        <w:t>(Lunenberg et al., 2007)</w:t>
      </w:r>
      <w:r w:rsidR="009A00F3" w:rsidRPr="00C347AD">
        <w:fldChar w:fldCharType="end"/>
      </w:r>
      <w:r w:rsidR="009A00F3" w:rsidRPr="00C347AD">
        <w:t xml:space="preserve"> of UDL and those who are taught using textbook and lecture format only) in terms of </w:t>
      </w:r>
      <w:r w:rsidR="00197EA4" w:rsidRPr="00C347AD">
        <w:t xml:space="preserve">knowledge of UDL, </w:t>
      </w:r>
      <w:r w:rsidR="001A2CE9" w:rsidRPr="00C347AD">
        <w:t xml:space="preserve">sense of </w:t>
      </w:r>
      <w:r w:rsidR="00197EA4" w:rsidRPr="00C347AD">
        <w:t xml:space="preserve">efficacy in utilizing UDL, </w:t>
      </w:r>
      <w:r w:rsidR="006B0B91" w:rsidRPr="00C347AD">
        <w:t>and attitudes regarding inclusion of diverse students</w:t>
      </w:r>
      <w:r w:rsidR="00197EA4" w:rsidRPr="00C347AD">
        <w:t xml:space="preserve"> </w:t>
      </w:r>
      <w:r w:rsidR="00861326" w:rsidRPr="00C347AD">
        <w:t>and students with disabilities</w:t>
      </w:r>
      <w:r w:rsidR="009F6A4E" w:rsidRPr="00C347AD">
        <w:t xml:space="preserve">. </w:t>
      </w:r>
    </w:p>
    <w:p w14:paraId="1AEF0977" w14:textId="2A1E6F86" w:rsidR="006E70A7" w:rsidRPr="00C347AD" w:rsidRDefault="00426078" w:rsidP="00FE779B">
      <w:pPr>
        <w:pStyle w:val="Heading2"/>
      </w:pPr>
      <w:bookmarkStart w:id="63" w:name="_Toc470600342"/>
      <w:bookmarkStart w:id="64" w:name="_Toc471890449"/>
      <w:r w:rsidRPr="00C347AD">
        <w:t>Participants</w:t>
      </w:r>
      <w:r w:rsidR="00363F54" w:rsidRPr="00C347AD">
        <w:t xml:space="preserve"> and </w:t>
      </w:r>
      <w:r w:rsidRPr="00C347AD">
        <w:t>Setting</w:t>
      </w:r>
      <w:bookmarkEnd w:id="63"/>
      <w:bookmarkEnd w:id="64"/>
      <w:r w:rsidR="00363F54" w:rsidRPr="00C347AD">
        <w:t xml:space="preserve"> </w:t>
      </w:r>
    </w:p>
    <w:p w14:paraId="7D90875E" w14:textId="219D5F5E" w:rsidR="009F23C3" w:rsidRPr="00C347AD" w:rsidRDefault="008857FD" w:rsidP="006E70A7">
      <w:pPr>
        <w:ind w:firstLine="0"/>
      </w:pPr>
      <w:r w:rsidRPr="00C347AD">
        <w:tab/>
      </w:r>
      <w:r w:rsidR="001A2CE9" w:rsidRPr="00C347AD">
        <w:t>P</w:t>
      </w:r>
      <w:r w:rsidRPr="00C347AD">
        <w:t xml:space="preserve">articipants are a sample of preservice teachers attending </w:t>
      </w:r>
      <w:r w:rsidR="003953AC" w:rsidRPr="00C347AD">
        <w:t>a large</w:t>
      </w:r>
      <w:r w:rsidR="00650E14" w:rsidRPr="00C347AD">
        <w:t xml:space="preserve"> </w:t>
      </w:r>
      <w:r w:rsidR="003977D8" w:rsidRPr="00C347AD">
        <w:t xml:space="preserve">traditional </w:t>
      </w:r>
      <w:r w:rsidR="003953AC" w:rsidRPr="00C347AD">
        <w:t xml:space="preserve"> university</w:t>
      </w:r>
      <w:r w:rsidR="001A2CE9" w:rsidRPr="00C347AD">
        <w:t xml:space="preserve"> in the Southeast United States</w:t>
      </w:r>
      <w:r w:rsidR="00A37D94" w:rsidRPr="00C347AD">
        <w:t xml:space="preserve">. </w:t>
      </w:r>
      <w:r w:rsidR="00552458" w:rsidRPr="00C347AD">
        <w:rPr>
          <w:highlight w:val="yellow"/>
        </w:rPr>
        <w:t>[</w:t>
      </w:r>
      <w:r w:rsidR="006F536F" w:rsidRPr="00C347AD">
        <w:rPr>
          <w:highlight w:val="yellow"/>
        </w:rPr>
        <w:t>X (about 50) p</w:t>
      </w:r>
      <w:r w:rsidR="005F0315" w:rsidRPr="00C347AD">
        <w:rPr>
          <w:highlight w:val="yellow"/>
        </w:rPr>
        <w:t>articipants</w:t>
      </w:r>
      <w:r w:rsidR="006F536F" w:rsidRPr="00C347AD">
        <w:rPr>
          <w:highlight w:val="yellow"/>
        </w:rPr>
        <w:t xml:space="preserve"> were involved in t</w:t>
      </w:r>
      <w:r w:rsidR="00A14306" w:rsidRPr="00C347AD">
        <w:rPr>
          <w:highlight w:val="yellow"/>
        </w:rPr>
        <w:t>his study with groups being X=25 and X=23 respectively</w:t>
      </w:r>
      <w:r w:rsidR="00A14306" w:rsidRPr="00C347AD">
        <w:t xml:space="preserve">. This </w:t>
      </w:r>
      <w:r w:rsidR="00B33460" w:rsidRPr="00C347AD">
        <w:t xml:space="preserve">number of participants is considered adequate for experimental research </w:t>
      </w:r>
      <w:r w:rsidR="00B33460" w:rsidRPr="00C347AD">
        <w:fldChar w:fldCharType="begin"/>
      </w:r>
      <w:r w:rsidR="00F7126F" w:rsidRPr="00C347AD">
        <w:instrText xml:space="preserve"> ADDIN ZOTERO_ITEM CSL_CITATION {"citationID":"1lk64iq6ha","properties":{"formattedCitation":"(Gall, Gall, &amp; Borg, 2007)","plainCitation":"(Gall, Gall, &amp; Borg, 2007)"},"citationItems":[{"id":829,"uris":["http://zotero.org/users/2098925/items/QP6N32N8"],"uri":["http://zotero.org/users/2098925/items/QP6N32N8"],"itemData":{"id":829,"type":"book","title":"Educational Research: An Introduction","publisher":"Pearson/Allyn &amp; Bacon","number-of-pages":"672","source":"Google Books","abstract":"Educational Research: An Introduction, Eighth Edition, is the most comprehensive and widely respected text for scholars and for the preparation of graduate-level students who need to understand educational research in depth and conduct original research for a dissertation or thesis.  A comprehensive introduction to the major research methods and types of data analysis used today, this text provides in-depth coverage of all facets of research, from the epistemology of quantitative and qualitative scientific inquiry to the design, data collection, analysis, and reporting of a completed study.","ISBN":"978-0-205-48849-0","shortTitle":"Educational Research","language":"en","author":[{"family":"Gall","given":"Meredith D."},{"family":"Gall","given":"Joyce P."},{"family":"Borg","given":"Walter R."}],"issued":{"date-parts":[["2007"]]}}}],"schema":"https://github.com/citation-style-language/schema/raw/master/csl-citation.json"} </w:instrText>
      </w:r>
      <w:r w:rsidR="00B33460" w:rsidRPr="00C347AD">
        <w:fldChar w:fldCharType="separate"/>
      </w:r>
      <w:r w:rsidR="00B33460" w:rsidRPr="00C347AD">
        <w:rPr>
          <w:noProof/>
        </w:rPr>
        <w:t>(Gall, Gall, &amp; Borg, 2007)</w:t>
      </w:r>
      <w:r w:rsidR="00B33460" w:rsidRPr="00C347AD">
        <w:fldChar w:fldCharType="end"/>
      </w:r>
      <w:r w:rsidR="0069416D" w:rsidRPr="00C347AD">
        <w:t xml:space="preserve"> </w:t>
      </w:r>
      <w:r w:rsidR="0069416D" w:rsidRPr="00C347AD">
        <w:rPr>
          <w:highlight w:val="yellow"/>
        </w:rPr>
        <w:t>and is above the 18 per group recommended</w:t>
      </w:r>
      <w:r w:rsidR="0069416D" w:rsidRPr="00C347AD">
        <w:t xml:space="preserve"> by G*Power power analysis software </w:t>
      </w:r>
      <w:r w:rsidR="0069416D" w:rsidRPr="00C347AD">
        <w:fldChar w:fldCharType="begin"/>
      </w:r>
      <w:r w:rsidR="00F7126F" w:rsidRPr="00C347AD">
        <w:instrText xml:space="preserve"> ADDIN ZOTERO_ITEM CSL_CITATION {"citationID":"1r97oc9acd","properties":{"formattedCitation":"(Faul, Erdfelder, Lang, &amp; Buchner, 2007)","plainCitation":"(Faul, Erdfelder, Lang, &amp; Buchner, 2007)"},"citationItems":[{"id":165,"uris":["http://zotero.org/users/2098925/items/6AMJBVBH"],"uri":["http://zotero.org/users/2098925/items/6AMJBVBH"],"itemData":{"id":165,"type":"article-journal","title":"G* Power 3: A flexible statistical power analysis program for the social, behavioral, and biomedical sciences","container-title":"Behavior research methods","page":"175-191","volume":"39","issue":"2","ISSN":"1554-351X","journalAbbreviation":"Behavior research methods","author":[{"family":"Faul","given":"Franz"},{"family":"Erdfelder","given":"Edgar"},{"family":"Lang","given":"Albert-Georg"},{"family":"Buchner","given":"Axel"}],"issued":{"date-parts":[["2007"]]}}}],"schema":"https://github.com/citation-style-language/schema/raw/master/csl-citation.json"} </w:instrText>
      </w:r>
      <w:r w:rsidR="0069416D" w:rsidRPr="00C347AD">
        <w:fldChar w:fldCharType="separate"/>
      </w:r>
      <w:r w:rsidR="009F23C3" w:rsidRPr="00C347AD">
        <w:rPr>
          <w:noProof/>
        </w:rPr>
        <w:t>(Faul, Erdfelder, Lang, &amp; Buchner, 2007)</w:t>
      </w:r>
      <w:r w:rsidR="0069416D" w:rsidRPr="00C347AD">
        <w:fldChar w:fldCharType="end"/>
      </w:r>
      <w:r w:rsidR="00B33460" w:rsidRPr="00C347AD">
        <w:t xml:space="preserve">. </w:t>
      </w:r>
      <w:r w:rsidR="00E1628D" w:rsidRPr="00C347AD">
        <w:rPr>
          <w:highlight w:val="yellow"/>
        </w:rPr>
        <w:t>COMMENT ABOUT ATTRITION.</w:t>
      </w:r>
    </w:p>
    <w:p w14:paraId="1D09894F" w14:textId="5D5981F0" w:rsidR="00552458" w:rsidRPr="00C347AD" w:rsidRDefault="00B33460" w:rsidP="009F23C3">
      <w:r w:rsidRPr="00C347AD">
        <w:rPr>
          <w:highlight w:val="yellow"/>
        </w:rPr>
        <w:t>Collectively, the participants</w:t>
      </w:r>
      <w:r w:rsidR="006F536F" w:rsidRPr="00C347AD">
        <w:rPr>
          <w:highlight w:val="yellow"/>
        </w:rPr>
        <w:t xml:space="preserve"> </w:t>
      </w:r>
      <w:r w:rsidR="005F0315" w:rsidRPr="00C347AD">
        <w:rPr>
          <w:highlight w:val="yellow"/>
        </w:rPr>
        <w:t>represented early childhood</w:t>
      </w:r>
      <w:r w:rsidR="001A2CE9" w:rsidRPr="00C347AD">
        <w:rPr>
          <w:highlight w:val="yellow"/>
        </w:rPr>
        <w:t xml:space="preserve"> (</w:t>
      </w:r>
      <w:r w:rsidR="001A2CE9" w:rsidRPr="00C347AD">
        <w:rPr>
          <w:i/>
          <w:highlight w:val="yellow"/>
        </w:rPr>
        <w:t>n</w:t>
      </w:r>
      <w:r w:rsidR="001A2CE9" w:rsidRPr="00C347AD">
        <w:rPr>
          <w:highlight w:val="yellow"/>
        </w:rPr>
        <w:t xml:space="preserve"> = X)</w:t>
      </w:r>
      <w:r w:rsidR="006F536F" w:rsidRPr="00C347AD">
        <w:rPr>
          <w:highlight w:val="yellow"/>
        </w:rPr>
        <w:t xml:space="preserve"> elementary (</w:t>
      </w:r>
      <w:r w:rsidR="006F536F" w:rsidRPr="00C347AD">
        <w:rPr>
          <w:i/>
          <w:highlight w:val="yellow"/>
        </w:rPr>
        <w:t>n</w:t>
      </w:r>
      <w:r w:rsidRPr="00C347AD">
        <w:rPr>
          <w:highlight w:val="yellow"/>
        </w:rPr>
        <w:t xml:space="preserve"> = X)</w:t>
      </w:r>
      <w:r w:rsidR="001A2CE9" w:rsidRPr="00C347AD">
        <w:rPr>
          <w:highlight w:val="yellow"/>
        </w:rPr>
        <w:t>; middle grades (</w:t>
      </w:r>
      <w:r w:rsidR="001A2CE9" w:rsidRPr="00C347AD">
        <w:rPr>
          <w:i/>
          <w:highlight w:val="yellow"/>
        </w:rPr>
        <w:t>n</w:t>
      </w:r>
      <w:r w:rsidR="001A2CE9" w:rsidRPr="00C347AD">
        <w:rPr>
          <w:highlight w:val="yellow"/>
        </w:rPr>
        <w:t xml:space="preserve"> = X); </w:t>
      </w:r>
      <w:r w:rsidR="005F0315" w:rsidRPr="00C347AD">
        <w:rPr>
          <w:highlight w:val="yellow"/>
        </w:rPr>
        <w:t>se</w:t>
      </w:r>
      <w:r w:rsidR="003D4C21" w:rsidRPr="00C347AD">
        <w:rPr>
          <w:highlight w:val="yellow"/>
        </w:rPr>
        <w:t xml:space="preserve">condary education </w:t>
      </w:r>
      <w:r w:rsidR="006F536F" w:rsidRPr="00C347AD">
        <w:rPr>
          <w:highlight w:val="yellow"/>
        </w:rPr>
        <w:t>(</w:t>
      </w:r>
      <w:r w:rsidR="006F536F" w:rsidRPr="00C347AD">
        <w:rPr>
          <w:i/>
          <w:highlight w:val="yellow"/>
        </w:rPr>
        <w:t>n</w:t>
      </w:r>
      <w:r w:rsidR="006F536F" w:rsidRPr="00C347AD">
        <w:rPr>
          <w:highlight w:val="yellow"/>
        </w:rPr>
        <w:t xml:space="preserve"> = X)</w:t>
      </w:r>
      <w:r w:rsidR="001A2CE9" w:rsidRPr="00C347AD">
        <w:rPr>
          <w:highlight w:val="yellow"/>
        </w:rPr>
        <w:t xml:space="preserve"> and K-12 programs (</w:t>
      </w:r>
      <w:r w:rsidR="001A2CE9" w:rsidRPr="00C347AD">
        <w:rPr>
          <w:i/>
          <w:highlight w:val="yellow"/>
        </w:rPr>
        <w:t>n</w:t>
      </w:r>
      <w:r w:rsidR="001A2CE9" w:rsidRPr="00C347AD">
        <w:rPr>
          <w:highlight w:val="yellow"/>
        </w:rPr>
        <w:t xml:space="preserve"> = X). Participants</w:t>
      </w:r>
      <w:r w:rsidR="003D4C21" w:rsidRPr="00C347AD">
        <w:rPr>
          <w:highlight w:val="yellow"/>
        </w:rPr>
        <w:t xml:space="preserve"> focused on </w:t>
      </w:r>
      <w:r w:rsidR="001A2CE9" w:rsidRPr="00C347AD">
        <w:rPr>
          <w:highlight w:val="yellow"/>
        </w:rPr>
        <w:t xml:space="preserve">middle and </w:t>
      </w:r>
      <w:r w:rsidR="003D4C21" w:rsidRPr="00C347AD">
        <w:rPr>
          <w:highlight w:val="yellow"/>
        </w:rPr>
        <w:t xml:space="preserve">secondary education </w:t>
      </w:r>
      <w:r w:rsidR="001A2CE9" w:rsidRPr="00C347AD">
        <w:rPr>
          <w:highlight w:val="yellow"/>
        </w:rPr>
        <w:t xml:space="preserve">were preparing to teach in the various subject areas: </w:t>
      </w:r>
      <w:r w:rsidR="003D4C21" w:rsidRPr="00C347AD">
        <w:rPr>
          <w:highlight w:val="yellow"/>
        </w:rPr>
        <w:t>English</w:t>
      </w:r>
      <w:r w:rsidR="006F536F" w:rsidRPr="00C347AD">
        <w:rPr>
          <w:highlight w:val="yellow"/>
        </w:rPr>
        <w:t xml:space="preserve"> (</w:t>
      </w:r>
      <w:r w:rsidR="006F536F" w:rsidRPr="00C347AD">
        <w:rPr>
          <w:i/>
          <w:highlight w:val="yellow"/>
        </w:rPr>
        <w:t>n</w:t>
      </w:r>
      <w:r w:rsidR="00A635BB" w:rsidRPr="00C347AD">
        <w:rPr>
          <w:highlight w:val="yellow"/>
        </w:rPr>
        <w:t xml:space="preserve"> = X)</w:t>
      </w:r>
      <w:r w:rsidRPr="00C347AD">
        <w:rPr>
          <w:highlight w:val="yellow"/>
        </w:rPr>
        <w:t xml:space="preserve">, </w:t>
      </w:r>
      <w:r w:rsidR="001A2CE9" w:rsidRPr="00C347AD">
        <w:rPr>
          <w:highlight w:val="yellow"/>
        </w:rPr>
        <w:t xml:space="preserve">social sciences </w:t>
      </w:r>
      <w:r w:rsidR="00A635BB" w:rsidRPr="00C347AD">
        <w:rPr>
          <w:highlight w:val="yellow"/>
        </w:rPr>
        <w:t xml:space="preserve"> (</w:t>
      </w:r>
      <w:r w:rsidR="00A635BB" w:rsidRPr="00C347AD">
        <w:rPr>
          <w:i/>
          <w:highlight w:val="yellow"/>
        </w:rPr>
        <w:t>n</w:t>
      </w:r>
      <w:r w:rsidR="00A635BB" w:rsidRPr="00C347AD">
        <w:rPr>
          <w:highlight w:val="yellow"/>
        </w:rPr>
        <w:t xml:space="preserve"> = X), science (</w:t>
      </w:r>
      <w:r w:rsidR="00A635BB" w:rsidRPr="00C347AD">
        <w:rPr>
          <w:i/>
          <w:highlight w:val="yellow"/>
        </w:rPr>
        <w:t>n</w:t>
      </w:r>
      <w:r w:rsidR="00A635BB" w:rsidRPr="00C347AD">
        <w:rPr>
          <w:highlight w:val="yellow"/>
        </w:rPr>
        <w:t xml:space="preserve"> = X), </w:t>
      </w:r>
      <w:r w:rsidR="003D4C21" w:rsidRPr="00C347AD">
        <w:rPr>
          <w:highlight w:val="yellow"/>
        </w:rPr>
        <w:t>and math</w:t>
      </w:r>
      <w:r w:rsidR="00A635BB" w:rsidRPr="00C347AD">
        <w:rPr>
          <w:highlight w:val="yellow"/>
        </w:rPr>
        <w:t xml:space="preserve"> (</w:t>
      </w:r>
      <w:r w:rsidR="00A635BB" w:rsidRPr="00C347AD">
        <w:rPr>
          <w:i/>
          <w:highlight w:val="yellow"/>
        </w:rPr>
        <w:t>n</w:t>
      </w:r>
      <w:r w:rsidR="00A635BB" w:rsidRPr="00C347AD">
        <w:rPr>
          <w:highlight w:val="yellow"/>
        </w:rPr>
        <w:t xml:space="preserve"> = X)</w:t>
      </w:r>
      <w:r w:rsidR="001A2CE9" w:rsidRPr="00C347AD">
        <w:rPr>
          <w:highlight w:val="yellow"/>
        </w:rPr>
        <w:t>.</w:t>
      </w:r>
      <w:r w:rsidR="003D4C21" w:rsidRPr="00C347AD">
        <w:rPr>
          <w:highlight w:val="yellow"/>
        </w:rPr>
        <w:t xml:space="preserve"> </w:t>
      </w:r>
      <w:r w:rsidR="001A2CE9" w:rsidRPr="00C347AD">
        <w:rPr>
          <w:highlight w:val="yellow"/>
        </w:rPr>
        <w:t xml:space="preserve">Those preparing to teach in K-12 fields included: special </w:t>
      </w:r>
      <w:r w:rsidR="00DD1D02" w:rsidRPr="00C347AD">
        <w:rPr>
          <w:highlight w:val="yellow"/>
        </w:rPr>
        <w:t>education</w:t>
      </w:r>
      <w:r w:rsidR="001A2CE9" w:rsidRPr="00C347AD">
        <w:rPr>
          <w:highlight w:val="yellow"/>
        </w:rPr>
        <w:t>: (</w:t>
      </w:r>
      <w:r w:rsidR="001A2CE9" w:rsidRPr="00C347AD">
        <w:rPr>
          <w:i/>
          <w:highlight w:val="yellow"/>
        </w:rPr>
        <w:t xml:space="preserve">n </w:t>
      </w:r>
      <w:r w:rsidR="001A2CE9" w:rsidRPr="00C347AD">
        <w:rPr>
          <w:highlight w:val="yellow"/>
        </w:rPr>
        <w:t>= X); deaf education (</w:t>
      </w:r>
      <w:r w:rsidR="001A2CE9" w:rsidRPr="00C347AD">
        <w:rPr>
          <w:i/>
          <w:highlight w:val="yellow"/>
        </w:rPr>
        <w:t>n</w:t>
      </w:r>
      <w:r w:rsidR="00BE414D" w:rsidRPr="00C347AD">
        <w:rPr>
          <w:highlight w:val="yellow"/>
        </w:rPr>
        <w:t xml:space="preserve"> = X); ESL education </w:t>
      </w:r>
      <w:r w:rsidR="001A2CE9" w:rsidRPr="00C347AD">
        <w:rPr>
          <w:highlight w:val="yellow"/>
        </w:rPr>
        <w:t>(</w:t>
      </w:r>
      <w:r w:rsidR="001A2CE9" w:rsidRPr="00C347AD">
        <w:rPr>
          <w:i/>
          <w:highlight w:val="yellow"/>
        </w:rPr>
        <w:t>n</w:t>
      </w:r>
      <w:r w:rsidR="001A2CE9" w:rsidRPr="00C347AD">
        <w:rPr>
          <w:highlight w:val="yellow"/>
        </w:rPr>
        <w:t xml:space="preserve"> =X); world languages (</w:t>
      </w:r>
      <w:r w:rsidR="001A2CE9" w:rsidRPr="00C347AD">
        <w:rPr>
          <w:i/>
          <w:highlight w:val="yellow"/>
        </w:rPr>
        <w:t>n</w:t>
      </w:r>
      <w:r w:rsidR="00BE414D" w:rsidRPr="00C347AD">
        <w:rPr>
          <w:highlight w:val="yellow"/>
        </w:rPr>
        <w:t xml:space="preserve">=X), art </w:t>
      </w:r>
      <w:r w:rsidR="001A2CE9" w:rsidRPr="00C347AD">
        <w:rPr>
          <w:highlight w:val="yellow"/>
        </w:rPr>
        <w:t>(</w:t>
      </w:r>
      <w:r w:rsidR="001A2CE9" w:rsidRPr="00C347AD">
        <w:rPr>
          <w:i/>
          <w:highlight w:val="yellow"/>
        </w:rPr>
        <w:t>n</w:t>
      </w:r>
      <w:r w:rsidR="001A2CE9" w:rsidRPr="00C347AD">
        <w:rPr>
          <w:highlight w:val="yellow"/>
        </w:rPr>
        <w:t xml:space="preserve"> = X); and music (</w:t>
      </w:r>
      <w:r w:rsidR="001A2CE9" w:rsidRPr="00C347AD">
        <w:rPr>
          <w:i/>
          <w:highlight w:val="yellow"/>
        </w:rPr>
        <w:t>n</w:t>
      </w:r>
      <w:r w:rsidR="001A2CE9" w:rsidRPr="00C347AD">
        <w:rPr>
          <w:highlight w:val="yellow"/>
        </w:rPr>
        <w:t xml:space="preserve"> = X). </w:t>
      </w:r>
      <w:r w:rsidR="00DB2730" w:rsidRPr="00C347AD">
        <w:rPr>
          <w:highlight w:val="yellow"/>
        </w:rPr>
        <w:t>All participants were aged 20-24, with X females, and Y males</w:t>
      </w:r>
      <w:r w:rsidR="00C7255F" w:rsidRPr="00C347AD">
        <w:rPr>
          <w:highlight w:val="yellow"/>
        </w:rPr>
        <w:t>.</w:t>
      </w:r>
      <w:r w:rsidR="00C7255F" w:rsidRPr="00C347AD">
        <w:t xml:space="preserve"> </w:t>
      </w:r>
      <w:r w:rsidR="00A635BB" w:rsidRPr="00C347AD">
        <w:rPr>
          <w:highlight w:val="yellow"/>
        </w:rPr>
        <w:lastRenderedPageBreak/>
        <w:t>P</w:t>
      </w:r>
      <w:r w:rsidR="00C7255F" w:rsidRPr="00C347AD">
        <w:rPr>
          <w:highlight w:val="yellow"/>
        </w:rPr>
        <w:t>articipants identified themselves as Caucasian</w:t>
      </w:r>
      <w:r w:rsidR="00A635BB" w:rsidRPr="00C347AD">
        <w:rPr>
          <w:highlight w:val="yellow"/>
        </w:rPr>
        <w:t xml:space="preserve"> (</w:t>
      </w:r>
      <w:r w:rsidR="00A635BB" w:rsidRPr="00C347AD">
        <w:rPr>
          <w:i/>
          <w:highlight w:val="yellow"/>
        </w:rPr>
        <w:t>n</w:t>
      </w:r>
      <w:r w:rsidR="00A635BB" w:rsidRPr="00C347AD">
        <w:rPr>
          <w:highlight w:val="yellow"/>
        </w:rPr>
        <w:t xml:space="preserve"> = X), </w:t>
      </w:r>
      <w:r w:rsidR="00C7255F" w:rsidRPr="00C347AD">
        <w:rPr>
          <w:highlight w:val="yellow"/>
        </w:rPr>
        <w:t>African American</w:t>
      </w:r>
      <w:r w:rsidR="00A635BB" w:rsidRPr="00C347AD">
        <w:rPr>
          <w:highlight w:val="yellow"/>
        </w:rPr>
        <w:t xml:space="preserve"> (</w:t>
      </w:r>
      <w:r w:rsidR="00A635BB" w:rsidRPr="00C347AD">
        <w:rPr>
          <w:i/>
          <w:highlight w:val="yellow"/>
        </w:rPr>
        <w:t>n</w:t>
      </w:r>
      <w:r w:rsidR="00A635BB" w:rsidRPr="00C347AD">
        <w:rPr>
          <w:highlight w:val="yellow"/>
        </w:rPr>
        <w:t xml:space="preserve"> = X),</w:t>
      </w:r>
      <w:r w:rsidR="004B3BC2" w:rsidRPr="00C347AD">
        <w:rPr>
          <w:highlight w:val="yellow"/>
        </w:rPr>
        <w:t xml:space="preserve"> </w:t>
      </w:r>
      <w:r w:rsidRPr="00C347AD">
        <w:rPr>
          <w:highlight w:val="yellow"/>
        </w:rPr>
        <w:t>Asian American</w:t>
      </w:r>
      <w:r w:rsidR="004B3BC2" w:rsidRPr="00C347AD">
        <w:rPr>
          <w:highlight w:val="yellow"/>
        </w:rPr>
        <w:t xml:space="preserve"> (</w:t>
      </w:r>
      <w:r w:rsidR="004B3BC2" w:rsidRPr="00C347AD">
        <w:rPr>
          <w:i/>
          <w:highlight w:val="yellow"/>
        </w:rPr>
        <w:t>n</w:t>
      </w:r>
      <w:r w:rsidR="004B3BC2" w:rsidRPr="00C347AD">
        <w:rPr>
          <w:highlight w:val="yellow"/>
        </w:rPr>
        <w:t xml:space="preserve"> = X), </w:t>
      </w:r>
      <w:r w:rsidR="00C7255F" w:rsidRPr="00C347AD">
        <w:rPr>
          <w:highlight w:val="yellow"/>
        </w:rPr>
        <w:t>and…</w:t>
      </w:r>
      <w:r w:rsidR="00552458" w:rsidRPr="00C347AD">
        <w:rPr>
          <w:highlight w:val="yellow"/>
        </w:rPr>
        <w:t>].</w:t>
      </w:r>
      <w:r w:rsidR="00552458" w:rsidRPr="00C347AD">
        <w:t xml:space="preserve"> </w:t>
      </w:r>
      <w:r w:rsidR="00552458" w:rsidRPr="00C347AD">
        <w:tab/>
      </w:r>
      <w:r w:rsidR="0080095C" w:rsidRPr="00C347AD">
        <w:t xml:space="preserve"> </w:t>
      </w:r>
    </w:p>
    <w:p w14:paraId="65F6D7C9" w14:textId="4FB013DB" w:rsidR="004B3BC2" w:rsidRPr="00C347AD" w:rsidRDefault="004B3BC2" w:rsidP="006E70A7">
      <w:pPr>
        <w:ind w:firstLine="0"/>
      </w:pPr>
      <w:r w:rsidRPr="00C347AD">
        <w:tab/>
        <w:t xml:space="preserve">All participants were enrolled in the </w:t>
      </w:r>
      <w:r w:rsidR="003953AC" w:rsidRPr="00C347AD">
        <w:t>university’s</w:t>
      </w:r>
      <w:r w:rsidRPr="00C347AD">
        <w:t xml:space="preserve"> </w:t>
      </w:r>
      <w:r w:rsidR="00BE414D" w:rsidRPr="00C347AD">
        <w:t>teacher education prog</w:t>
      </w:r>
      <w:r w:rsidR="00E674B2" w:rsidRPr="00C347AD">
        <w:t>r</w:t>
      </w:r>
      <w:r w:rsidR="00BE414D" w:rsidRPr="00C347AD">
        <w:t xml:space="preserve">am, </w:t>
      </w:r>
      <w:r w:rsidR="003953AC" w:rsidRPr="00C347AD">
        <w:t xml:space="preserve">which requires having accrued </w:t>
      </w:r>
      <w:r w:rsidR="00BE414D" w:rsidRPr="00C347AD">
        <w:t xml:space="preserve">a minimum of </w:t>
      </w:r>
      <w:r w:rsidR="00CB2B0A" w:rsidRPr="00C347AD">
        <w:t>45 - 75</w:t>
      </w:r>
      <w:r w:rsidR="003953AC" w:rsidRPr="00C347AD">
        <w:t xml:space="preserve"> </w:t>
      </w:r>
      <w:r w:rsidR="00BE414D" w:rsidRPr="00C347AD">
        <w:t xml:space="preserve">semester </w:t>
      </w:r>
      <w:r w:rsidR="003953AC" w:rsidRPr="00C347AD">
        <w:t>credits</w:t>
      </w:r>
      <w:r w:rsidR="00CB2B0A" w:rsidRPr="00C347AD">
        <w:t xml:space="preserve"> (depending on major area within Education)</w:t>
      </w:r>
      <w:r w:rsidR="003953AC" w:rsidRPr="00C347AD">
        <w:t xml:space="preserve"> and having maintained a GPA above 2.</w:t>
      </w:r>
      <w:r w:rsidR="00BE414D" w:rsidRPr="00C347AD">
        <w:t>7</w:t>
      </w:r>
      <w:r w:rsidR="003953AC" w:rsidRPr="00C347AD">
        <w:t>.</w:t>
      </w:r>
      <w:r w:rsidRPr="00C347AD">
        <w:t xml:space="preserve"> </w:t>
      </w:r>
      <w:r w:rsidR="00097648" w:rsidRPr="00C347AD">
        <w:t xml:space="preserve">Further, all participants were enrolled in the course in which this study was conducted, which itself is a mandatory course for all education majors, and focuses on preparing general and special education teachers with the requisite knowledge for </w:t>
      </w:r>
      <w:r w:rsidR="003F053C" w:rsidRPr="00C347AD">
        <w:t>teaching students with disabilities</w:t>
      </w:r>
      <w:r w:rsidR="00BE414D" w:rsidRPr="00C347AD">
        <w:t xml:space="preserve"> and diverse learners</w:t>
      </w:r>
      <w:r w:rsidR="003F053C" w:rsidRPr="00C347AD">
        <w:t xml:space="preserve">. </w:t>
      </w:r>
    </w:p>
    <w:p w14:paraId="3368B649" w14:textId="641D5423" w:rsidR="00076129" w:rsidRPr="00C347AD" w:rsidRDefault="002D232C" w:rsidP="00B91B3D">
      <w:pPr>
        <w:ind w:firstLine="0"/>
      </w:pPr>
      <w:r w:rsidRPr="00C347AD">
        <w:tab/>
      </w:r>
      <w:r w:rsidRPr="00C347AD">
        <w:rPr>
          <w:highlight w:val="yellow"/>
        </w:rPr>
        <w:t>This sample may be considered a convenience sample</w:t>
      </w:r>
      <w:r w:rsidRPr="00C347AD">
        <w:rPr>
          <w:highlight w:val="yellow"/>
        </w:rPr>
        <w:fldChar w:fldCharType="begin"/>
      </w:r>
      <w:r w:rsidR="00F7126F" w:rsidRPr="00C347AD">
        <w:rPr>
          <w:highlight w:val="yellow"/>
        </w:rPr>
        <w:instrText xml:space="preserve"> ADDIN ZOTERO_ITEM CSL_CITATION {"citationID":"175llm0m2f","properties":{"formattedCitation":"(Gall, Gall, &amp; Borg, 2007)","plainCitation":"(Gall, Gall, &amp; Borg, 2007)","dontUpdate":true},"citationItems":[{"id":829,"uris":["http://zotero.org/users/2098925/items/QP6N32N8"],"uri":["http://zotero.org/users/2098925/items/QP6N32N8"],"itemData":{"id":829,"type":"book","title":"Educational Research: An Introduction","publisher":"Pearson/Allyn &amp; Bacon","number-of-pages":"672","source":"Google Books","abstract":"Educational Research: An Introduction, Eighth Edition, is the most comprehensive and widely respected text for scholars and for the preparation of graduate-level students who need to understand educational research in depth and conduct original research for a dissertation or thesis.  A comprehensive introduction to the major research methods and types of data analysis used today, this text provides in-depth coverage of all facets of research, from the epistemology of quantitative and qualitative scientific inquiry to the design, data collection, analysis, and reporting of a completed study.","ISBN":"978-0-205-48849-0","shortTitle":"Educational Research","language":"en","author":[{"family":"Gall","given":"Meredith D."},{"family":"Gall","given":"Joyce P."},{"family":"Borg","given":"Walter R."}],"issued":{"date-parts":[["2007"]]}}}],"schema":"https://github.com/citation-style-language/schema/raw/master/csl-citation.json"} </w:instrText>
      </w:r>
      <w:r w:rsidRPr="00C347AD">
        <w:rPr>
          <w:highlight w:val="yellow"/>
        </w:rPr>
        <w:fldChar w:fldCharType="separate"/>
      </w:r>
      <w:r w:rsidRPr="00C347AD">
        <w:rPr>
          <w:highlight w:val="yellow"/>
        </w:rPr>
        <w:t xml:space="preserve"> </w:t>
      </w:r>
      <w:r w:rsidRPr="00C347AD">
        <w:rPr>
          <w:noProof/>
          <w:highlight w:val="yellow"/>
        </w:rPr>
        <w:t>(Gall, Gall, &amp; Borg, 2007)</w:t>
      </w:r>
      <w:r w:rsidRPr="00C347AD">
        <w:rPr>
          <w:highlight w:val="yellow"/>
        </w:rPr>
        <w:fldChar w:fldCharType="end"/>
      </w:r>
      <w:r w:rsidRPr="00C347AD">
        <w:rPr>
          <w:highlight w:val="yellow"/>
        </w:rPr>
        <w:t xml:space="preserve">, but it nevertheless </w:t>
      </w:r>
      <w:r w:rsidR="003F053C" w:rsidRPr="00C347AD">
        <w:rPr>
          <w:highlight w:val="yellow"/>
        </w:rPr>
        <w:t xml:space="preserve">reflects similar dispersion </w:t>
      </w:r>
      <w:r w:rsidR="00BE414D" w:rsidRPr="00C347AD">
        <w:rPr>
          <w:highlight w:val="yellow"/>
        </w:rPr>
        <w:t xml:space="preserve">of </w:t>
      </w:r>
      <w:r w:rsidR="003F053C" w:rsidRPr="00C347AD">
        <w:rPr>
          <w:highlight w:val="yellow"/>
        </w:rPr>
        <w:t>gender and race compared to national trends in education</w:t>
      </w:r>
      <w:r w:rsidR="003F053C" w:rsidRPr="00C347AD">
        <w:t xml:space="preserve"> </w:t>
      </w:r>
      <w:r w:rsidR="003F053C" w:rsidRPr="00C347AD">
        <w:rPr>
          <w:highlight w:val="yellow"/>
        </w:rPr>
        <w:fldChar w:fldCharType="begin"/>
      </w:r>
      <w:r w:rsidR="00F7126F" w:rsidRPr="00C347AD">
        <w:rPr>
          <w:highlight w:val="yellow"/>
        </w:rPr>
        <w:instrText xml:space="preserve"> ADDIN ZOTERO_ITEM CSL_CITATION {"citationID":"2ni3u5pf9n","properties":{"formattedCitation":"{\\rtf (\\uc0\\u8220{}Digest of Education Statistics, 2013,\\uc0\\u8221{} n.d.)}","plainCitation":"(“Digest of Education Statistics, 2013,” n.d.)"},"citationItems":[{"id":843,"uris":["http://zotero.org/users/2098925/items/R3V57TPP"],"uri":["http://zotero.org/users/2098925/items/R3V57TPP"],"itemData":{"id":843,"type":"webpage","title":"Digest of Education Statistics, 2013","abstract":"The primary purpose of the Digest of Education Statistics is to provide a compilation of statistical information covering the broad field of American education from prekindergarten through graduate school. The Digest includes a selection of data from many sources, both government and private, and draws especially on the results of surveys and activities carried out by the National Center for Education Statistics (NCES).","URL":"https://nces.ed.gov/programs/digest/d13/tables/dt13_209.10.asp","language":"EN","accessed":{"date-parts":[["2016",6,9]]}}}],"schema":"https://github.com/citation-style-language/schema/raw/master/csl-citation.json"} </w:instrText>
      </w:r>
      <w:r w:rsidR="003F053C" w:rsidRPr="00C347AD">
        <w:rPr>
          <w:highlight w:val="yellow"/>
        </w:rPr>
        <w:fldChar w:fldCharType="separate"/>
      </w:r>
      <w:r w:rsidR="003F053C" w:rsidRPr="00C347AD">
        <w:rPr>
          <w:highlight w:val="yellow"/>
        </w:rPr>
        <w:t>(NCES, 2013)</w:t>
      </w:r>
      <w:r w:rsidR="003F053C" w:rsidRPr="00C347AD">
        <w:rPr>
          <w:highlight w:val="yellow"/>
        </w:rPr>
        <w:fldChar w:fldCharType="end"/>
      </w:r>
      <w:r w:rsidR="003F053C" w:rsidRPr="00C347AD">
        <w:rPr>
          <w:highlight w:val="yellow"/>
        </w:rPr>
        <w:t>,</w:t>
      </w:r>
      <w:r w:rsidR="003F053C" w:rsidRPr="00C347AD">
        <w:t xml:space="preserve"> and typical age range for undergraduate attendance </w:t>
      </w:r>
      <w:r w:rsidR="003F053C" w:rsidRPr="00C347AD">
        <w:rPr>
          <w:highlight w:val="yellow"/>
        </w:rPr>
        <w:t>(</w:t>
      </w:r>
      <w:r w:rsidR="003F053C" w:rsidRPr="00C347AD">
        <w:rPr>
          <w:highlight w:val="yellow"/>
        </w:rPr>
        <w:fldChar w:fldCharType="begin"/>
      </w:r>
      <w:r w:rsidR="00F7126F" w:rsidRPr="00C347AD">
        <w:rPr>
          <w:highlight w:val="yellow"/>
        </w:rPr>
        <w:instrText xml:space="preserve"> ADDIN ZOTERO_ITEM CSL_CITATION {"citationID":"xe04MhTz","properties":{"formattedCitation":"{\\rtf (\\uc0\\u8220{}Digest of Education Statistics, 2013,\\uc0\\u8221{} n.d.)}","plainCitation":"(“Digest of Education Statistics, 2013,” n.d.)"},"citationItems":[{"id":843,"uris":["http://zotero.org/users/2098925/items/R3V57TPP"],"uri":["http://zotero.org/users/2098925/items/R3V57TPP"],"itemData":{"id":843,"type":"webpage","title":"Digest of Education Statistics, 2013","abstract":"The primary purpose of the Digest of Education Statistics is to provide a compilation of statistical information covering the broad field of American education from prekindergarten through graduate school. The Digest includes a selection of data from many sources, both government and private, and draws especially on the results of surveys and activities carried out by the National Center for Education Statistics (NCES).","URL":"https://nces.ed.gov/programs/digest/d13/tables/dt13_209.10.asp","language":"EN","accessed":{"date-parts":[["2016",6,9]]}}}],"schema":"https://github.com/citation-style-language/schema/raw/master/csl-citation.json"} </w:instrText>
      </w:r>
      <w:r w:rsidR="003F053C" w:rsidRPr="00C347AD">
        <w:rPr>
          <w:highlight w:val="yellow"/>
        </w:rPr>
        <w:fldChar w:fldCharType="separate"/>
      </w:r>
      <w:r w:rsidR="003F053C" w:rsidRPr="00C347AD">
        <w:rPr>
          <w:highlight w:val="yellow"/>
        </w:rPr>
        <w:t>NCES</w:t>
      </w:r>
      <w:r w:rsidR="003F053C" w:rsidRPr="00C347AD">
        <w:rPr>
          <w:highlight w:val="yellow"/>
        </w:rPr>
        <w:fldChar w:fldCharType="end"/>
      </w:r>
      <w:r w:rsidR="003F053C" w:rsidRPr="00C347AD">
        <w:rPr>
          <w:highlight w:val="yellow"/>
        </w:rPr>
        <w:t>, 2016).</w:t>
      </w:r>
      <w:r w:rsidR="003F053C" w:rsidRPr="00C347AD">
        <w:t xml:space="preserve"> In this sense, though this sample is a convenience sample it may be </w:t>
      </w:r>
      <w:r w:rsidR="00A14306" w:rsidRPr="00C347AD">
        <w:t xml:space="preserve">reasonable </w:t>
      </w:r>
      <w:r w:rsidR="003F053C" w:rsidRPr="00C347AD">
        <w:t>to</w:t>
      </w:r>
      <w:r w:rsidR="00A14306" w:rsidRPr="00C347AD">
        <w:t xml:space="preserve"> cautiously</w:t>
      </w:r>
      <w:r w:rsidR="003F053C" w:rsidRPr="00C347AD">
        <w:t xml:space="preserve"> generalize the results of this study to other </w:t>
      </w:r>
      <w:r w:rsidR="003977D8" w:rsidRPr="00C347AD">
        <w:t xml:space="preserve">traditional </w:t>
      </w:r>
      <w:r w:rsidR="003F053C" w:rsidRPr="00C347AD">
        <w:t xml:space="preserve"> university-based teacher preparation programs nationally. </w:t>
      </w:r>
    </w:p>
    <w:p w14:paraId="3089FC5D" w14:textId="39A4C1A5" w:rsidR="00897D6C" w:rsidRPr="00C347AD" w:rsidRDefault="00C00529" w:rsidP="00FE779B">
      <w:pPr>
        <w:pStyle w:val="Heading2"/>
      </w:pPr>
      <w:bookmarkStart w:id="65" w:name="_Toc466104363"/>
      <w:bookmarkStart w:id="66" w:name="_Toc470600343"/>
      <w:bookmarkStart w:id="67" w:name="_Toc471890450"/>
      <w:r w:rsidRPr="00C347AD">
        <w:t>Design</w:t>
      </w:r>
      <w:bookmarkEnd w:id="65"/>
      <w:bookmarkEnd w:id="66"/>
      <w:bookmarkEnd w:id="67"/>
    </w:p>
    <w:p w14:paraId="38A34A16" w14:textId="5FC80F8B" w:rsidR="00897D6C" w:rsidRPr="00C347AD" w:rsidRDefault="00897D6C" w:rsidP="00897D6C">
      <w:r w:rsidRPr="00C347AD">
        <w:t xml:space="preserve">This study </w:t>
      </w:r>
      <w:r w:rsidR="00BE414D" w:rsidRPr="00C347AD">
        <w:t xml:space="preserve">was </w:t>
      </w:r>
      <w:r w:rsidRPr="00C347AD">
        <w:t xml:space="preserve">conducted with a within-subject with repeated measures design </w:t>
      </w:r>
      <w:r w:rsidRPr="00C347AD">
        <w:fldChar w:fldCharType="begin"/>
      </w:r>
      <w:r w:rsidR="00F7126F" w:rsidRPr="00C347AD">
        <w:instrText xml:space="preserve"> ADDIN ZOTERO_ITEM CSL_CITATION {"citationID":"1j5ej3ei3h","properties":{"formattedCitation":"(Campbell &amp; Stanley, 2015; Charness, Gneezy, &amp; Kuhn, 2012)","plainCitation":"(Campbell &amp; Stanley, 2015; Charness, Gneezy, &amp; Kuhn, 2012)"},"citationItems":[{"id":1011,"uris":["http://zotero.org/users/2098925/items/VVQMDRW9"],"uri":["http://zotero.org/users/2098925/items/VVQMDRW9"],"itemData":{"id":1011,"type":"book","title":"Experimental and Quasi-Experimental Designs for Research","publisher":"Ravenio Books","number-of-pages":"92","source":"Google Books","abstract":"We shall examine the validity of 16 experimental designs against 12 common threats to valid inference. By experiment we refer to that portion of research in which variables are manipulated and their effects upon other variables observed. It is well to distinguish the particular role of this chapter. It is not a chapter on experimental design in the Fisher (1925, 1935) tradition, in which an experimenter having complete mastery can schedule treatments and measurements for optimal statistical efficiency, with complexity of design emerging only from that goal of efficiency. Insofar as the designs discussed in the present chapter become complex, it is because of the intransigency of the environment: because, that is, of the experimenter’s lack of complete control.","language":"en","author":[{"family":"Campbell","given":"Donald T."},{"family":"Stanley","given":"Julian C."}],"issued":{"date-parts":[["2015",9,3]]}},"label":"page"},{"id":641,"uris":["http://zotero.org/users/2098925/items/J7ZNQ9SX"],"uri":["http://zotero.org/users/2098925/items/J7ZNQ9SX"],"itemData":{"id":641,"type":"article-journal","title":"Experimental methods: Between-subject and within-subject design","container-title":"Journal of Economic Behavior &amp; Organization","page":"1-8","volume":"81","issue":"1","source":"ScienceDirect","abstract":"In this article we explore the issues that surround within-subject and between-subject designs. We describe experiments in economics and in psychology that make comparisons using either of these designs (or both) that sometimes yield the same results and sometimes do not. The overall goal is to establish a framework for understanding which critical questions need to be asked about such experimental studies, what authors of such studies can do to ameliorate fears of confoundedness, and which scenarios are particularly susceptible to divergent results from the two approaches. Overall, we find that both designs have their merits, and the choice of designs should be carefully considered in the context of the question being studied and in terms of the practical implementation of the research study.","DOI":"10.1016/j.jebo.2011.08.009","ISSN":"0167-2681","shortTitle":"Experimental methods","journalAbbreviation":"Journal of Economic Behavior &amp; Organization","author":[{"family":"Charness","given":"Gary"},{"family":"Gneezy","given":"Uri"},{"family":"Kuhn","given":"Michael A."}],"issued":{"date-parts":[["2012",1]]}},"label":"page"}],"schema":"https://github.com/citation-style-language/schema/raw/master/csl-citation.json"} </w:instrText>
      </w:r>
      <w:r w:rsidRPr="00C347AD">
        <w:fldChar w:fldCharType="separate"/>
      </w:r>
      <w:r w:rsidRPr="00C347AD">
        <w:rPr>
          <w:noProof/>
        </w:rPr>
        <w:t>(Charness, Gneezy, &amp; Kuhn, 2012)</w:t>
      </w:r>
      <w:r w:rsidRPr="00C347AD">
        <w:fldChar w:fldCharType="end"/>
      </w:r>
      <w:r w:rsidRPr="00C347AD">
        <w:t xml:space="preserve">. This design is a modified version of the time series design </w:t>
      </w:r>
      <w:r w:rsidRPr="00C347AD">
        <w:fldChar w:fldCharType="begin"/>
      </w:r>
      <w:r w:rsidR="00F7126F" w:rsidRPr="00C347AD">
        <w:instrText xml:space="preserve"> ADDIN ZOTERO_ITEM CSL_CITATION {"citationID":"2m7c9qkkbq","properties":{"formattedCitation":"(Campbell &amp; Stanley, 2015; Ostrom, 1990)","plainCitation":"(Campbell &amp; Stanley, 2015; Ostrom, 1990)"},"citationItems":[{"id":1011,"uris":["http://zotero.org/users/2098925/items/VVQMDRW9"],"uri":["http://zotero.org/users/2098925/items/VVQMDRW9"],"itemData":{"id":1011,"type":"book","title":"Experimental and Quasi-Experimental Designs for Research","publisher":"Ravenio Books","number-of-pages":"92","source":"Google Books","abstract":"We shall examine the validity of 16 experimental designs against 12 common threats to valid inference. By experiment we refer to that portion of research in which variables are manipulated and their effects upon other variables observed. It is well to distinguish the particular role of this chapter. It is not a chapter on experimental design in the Fisher (1925, 1935) tradition, in which an experimenter having complete mastery can schedule treatments and measurements for optimal statistical efficiency, with complexity of design emerging only from that goal of efficiency. Insofar as the designs discussed in the present chapter become complex, it is because of the intransigency of the environment: because, that is, of the experimenter’s lack of complete control.","language":"en","author":[{"family":"Campbell","given":"Donald T."},{"family":"Stanley","given":"Julian C."}],"issued":{"date-parts":[["2015",9,3]]}},"label":"page"},{"id":420,"uris":["http://zotero.org/users/2098925/items/DBMJPUB9"],"uri":["http://zotero.org/users/2098925/items/DBMJPUB9"],"itemData":{"id":420,"type":"book","title":"Time Series Analysis: Regression Techniques","publisher":"SAGE","number-of-pages":"100","source":"Google Books","abstract":"The great advantage of time series regression analysis is that it can both explain the past and predict the future behavior of variables. This volume explores the regression (or structural equation) approach to the analysis of time series data. It also introduces the Box-Jenkins time series method in an attempt to bridge partially the gap between the two approaches.","ISBN":"978-0-8039-3135-0","shortTitle":"Time Series Analysis","language":"en","author":[{"family":"Ostrom","given":"Charles W."}],"issued":{"date-parts":[["1990",1]]}},"label":"page"}],"schema":"https://github.com/citation-style-language/schema/raw/master/csl-citation.json"} </w:instrText>
      </w:r>
      <w:r w:rsidRPr="00C347AD">
        <w:fldChar w:fldCharType="separate"/>
      </w:r>
      <w:r w:rsidRPr="00C347AD">
        <w:rPr>
          <w:noProof/>
        </w:rPr>
        <w:t>(Campbell &amp; Stanley, 2015; Ostrom, 1990)</w:t>
      </w:r>
      <w:r w:rsidRPr="00C347AD">
        <w:fldChar w:fldCharType="end"/>
      </w:r>
      <w:r w:rsidRPr="00C347AD">
        <w:t xml:space="preserve">, which is described as involving “a single group of research participants… measured at periodic intervals, with the experimental treatment administered between two of these intervals” (Gall, Gall, &amp; Borg, </w:t>
      </w:r>
      <w:r w:rsidRPr="00C347AD">
        <w:lastRenderedPageBreak/>
        <w:t>2007, p. 404). The within-subject time series design is frequently used successfully for research related to behavior changes (Gall et al.), and has been adapted to examine the effects of intervention on student behavior in education (</w:t>
      </w:r>
      <w:r w:rsidR="00B323A5" w:rsidRPr="00C347AD">
        <w:t>e.g.,</w:t>
      </w:r>
      <w:r w:rsidRPr="00C347AD">
        <w:t xml:space="preserve"> </w:t>
      </w:r>
      <w:r w:rsidRPr="00C347AD">
        <w:fldChar w:fldCharType="begin"/>
      </w:r>
      <w:r w:rsidR="00F7126F" w:rsidRPr="00C347AD">
        <w:instrText xml:space="preserve"> ADDIN ZOTERO_ITEM CSL_CITATION {"citationID":"vhUsK7Kf","properties":{"formattedCitation":"(Duda, Dunlap, Fox, Lentini, &amp; Clarke, 2004; Patrick, Hisley, Kempler, &amp; College, 2000)","plainCitation":"(Duda, Dunlap, Fox, Lentini, &amp; Clarke, 2004; Patrick, Hisley, Kempler, &amp; College, 2000)"},"citationItems":[{"id":156,"uris":["http://zotero.org/users/2098925/items/66KH5GK3"],"uri":["http://zotero.org/users/2098925/items/66KH5GK3"],"itemData":{"id":156,"type":"article-journal","title":"An Experimental Evaluation of Positive Behavior Support in a Community Preschool Program","container-title":"Topics in Early Childhood Special Education","page":"143-155","volume":"24","issue":"3","source":"EBSCOhost","abstract":"Although positive behavior support (PBS) has been established as an effective approach for resolving the challenging behaviors of many populations, little research has evaluated PBS with children under the age of 4 years. In addition, few studies have considered the effectiveness of PBS delivered via consultation in typical childcare and preschool settings. This study was conducted to examine the effects of PBS implemented by typical classroom staff for two 3-year-old girls in a community-based preschool accredited by the National Association for the Education of Young Children. Within the context of A-B-A-B designs, the data indicated reductions in challenging behaviors and increases in engagement for both girls in two separate group contexts. Fidelity data indicated that some components of the PBS plans were implemented but others were not. The findings support the efficacy of PBS with young children in natural settings while raising questions for future research regarding the utilization and efficiency of PBS support plans.","ISSN":"02711214","journalAbbreviation":"Topics in Early Childhood Special Education","author":[{"family":"Duda","given":"Michelle A."},{"family":"Dunlap","given":"Glen"},{"family":"Fox","given":"Lise"},{"family":"Lentini","given":"Rochelle"},{"family":"Clarke","given":"Shelley"}],"issued":{"date-parts":[["2004"]],"season":"Fall"}}},{"id":242,"uris":["http://zotero.org/users/2098925/items/89QQK3N7"],"uri":["http://zotero.org/users/2098925/items/89QQK3N7"],"itemData":{"id":242,"type":"article-journal","title":"`What's Everybody So Excited About?': The Effects of Teacher Enthusiasm on Student Intrinsic Motivation and Vitality","container-title":"Journal of Experimental Education","page":"217","volume":"68","issue":"3","source":"EBSCOhost","abstract":"ABSTRACT. Research on teacher behaviors that actively promote student intrinsic motivation to learn has been relatively scarce. In this article, 2 studies exploring the effects of teacher enthusiasm on both students' intrinsic motivation to learn and their pychological vitality are presented (Ryan &amp; Frederick, 1997). In Study 1, a questionnaire including measures of intrinsic motivation, vitality, teacher enthusiasm, and numerous other positive teacher behaviors was administered to 93 college students. Among the teacher variables, enthusiasm was the most powerful unique predictor of students' intrinsic motivation and vitality. In Study 2, level of teacher enthusiasm (high vs. low) was manipulated in an experimental design with 60 college students. The students who received an enthusiastically delivered lecture subsequently reported greater intrinsic motivation regarding the lecture material and experienced higher levels of vitality. The authors speculate about possible mechanisms for and limitations to the positive motivational effects of teacher enthusiasm.","ISSN":"00220973","shortTitle":"`What's Everybody So Excited About?","journalAbbreviation":"Journal of Experimental Education","author":[{"family":"Patrick","given":"Brian C."},{"family":"Hisley","given":"Jennifer"},{"family":"Kempler","given":"Toni"},{"family":"College","given":"Goucher"}],"issued":{"date-parts":[["2000"]],"season":"Spring"}}}],"schema":"https://github.com/citation-style-language/schema/raw/master/csl-citation.json"} </w:instrText>
      </w:r>
      <w:r w:rsidRPr="00C347AD">
        <w:fldChar w:fldCharType="separate"/>
      </w:r>
      <w:r w:rsidRPr="00C347AD">
        <w:rPr>
          <w:noProof/>
        </w:rPr>
        <w:t>Duda, Dunlap, Fox, Lentini, &amp; Clarke, 2004; Patrick, Hisley, Kempler, &amp; College, 2000)</w:t>
      </w:r>
      <w:r w:rsidRPr="00C347AD">
        <w:fldChar w:fldCharType="end"/>
      </w:r>
      <w:r w:rsidRPr="00C347AD">
        <w:t xml:space="preserve">. In this modified version of the time series design, </w:t>
      </w:r>
      <w:r w:rsidR="00BE414D" w:rsidRPr="00C347AD">
        <w:t xml:space="preserve">participants in </w:t>
      </w:r>
      <w:r w:rsidRPr="00C347AD">
        <w:t>two groups under</w:t>
      </w:r>
      <w:r w:rsidR="00BE414D" w:rsidRPr="00C347AD">
        <w:t>went</w:t>
      </w:r>
      <w:r w:rsidRPr="00C347AD">
        <w:t xml:space="preserve"> the time series alternating intervention an</w:t>
      </w:r>
      <w:r w:rsidR="00255A1E" w:rsidRPr="00C347AD">
        <w:t>d control settings (see Figure 4</w:t>
      </w:r>
      <w:r w:rsidRPr="00C347AD">
        <w:t xml:space="preserve">); </w:t>
      </w:r>
      <w:r w:rsidR="00016DEB" w:rsidRPr="00C347AD">
        <w:t xml:space="preserve">this </w:t>
      </w:r>
      <w:r w:rsidRPr="00C347AD">
        <w:t>approach allows for the within-subject design to be combined with a between-subject design</w:t>
      </w:r>
      <w:r w:rsidR="00016DEB" w:rsidRPr="00C347AD">
        <w:t>. Such a combination of within and between</w:t>
      </w:r>
      <w:r w:rsidRPr="00C347AD">
        <w:t xml:space="preserve"> subject designs has been recognized as a way to utilize the advantages and mitigate the drawbacks of </w:t>
      </w:r>
      <w:r w:rsidR="00016DEB" w:rsidRPr="00C347AD">
        <w:t>each design type</w:t>
      </w:r>
      <w:r w:rsidRPr="00C347AD">
        <w:t xml:space="preserve"> while also increasing the amount of data collected from a set of participants (</w:t>
      </w:r>
      <w:r w:rsidRPr="00C347AD">
        <w:fldChar w:fldCharType="begin"/>
      </w:r>
      <w:r w:rsidR="00F7126F" w:rsidRPr="00C347AD">
        <w:instrText xml:space="preserve"> ADDIN ZOTERO_ITEM CSL_CITATION {"citationID":"QsTTazUB","properties":{"formattedCitation":"(Campbell &amp; Stanley, 2015; Charness, Gneezy, &amp; Kuhn, 2012)","plainCitation":"(Campbell &amp; Stanley, 2015; Charness, Gneezy, &amp; Kuhn, 2012)","dontUpdate":true},"citationItems":[{"id":1011,"uris":["http://zotero.org/users/2098925/items/VVQMDRW9"],"uri":["http://zotero.org/users/2098925/items/VVQMDRW9"],"itemData":{"id":1011,"type":"book","title":"Experimental and Quasi-Experimental Designs for Research","publisher":"Ravenio Books","number-of-pages":"92","source":"Google Books","abstract":"We shall examine the validity of 16 experimental designs against 12 common threats to valid inference. By experiment we refer to that portion of research in which variables are manipulated and their effects upon other variables observed. It is well to distinguish the particular role of this chapter. It is not a chapter on experimental design in the Fisher (1925, 1935) tradition, in which an experimenter having complete mastery can schedule treatments and measurements for optimal statistical efficiency, with complexity of design emerging only from that goal of efficiency. Insofar as the designs discussed in the present chapter become complex, it is because of the intransigency of the environment: because, that is, of the experimenter’s lack of complete control.","language":"en","author":[{"family":"Campbell","given":"Donald T."},{"family":"Stanley","given":"Julian C."}],"issued":{"date-parts":[["2015",9,3]]}},"label":"page"},{"id":641,"uris":["http://zotero.org/users/2098925/items/J7ZNQ9SX"],"uri":["http://zotero.org/users/2098925/items/J7ZNQ9SX"],"itemData":{"id":641,"type":"article-journal","title":"Experimental methods: Between-subject and within-subject design","container-title":"Journal of Economic Behavior &amp; Organization","page":"1-8","volume":"81","issue":"1","source":"ScienceDirect","abstract":"In this article we explore the issues that surround within-subject and between-subject designs. We describe experiments in economics and in psychology that make comparisons using either of these designs (or both) that sometimes yield the same results and sometimes do not. The overall goal is to establish a framework for understanding which critical questions need to be asked about such experimental studies, what authors of such studies can do to ameliorate fears of confoundedness, and which scenarios are particularly susceptible to divergent results from the two approaches. Overall, we find that both designs have their merits, and the choice of designs should be carefully considered in the context of the question being studied and in terms of the practical implementation of the research study.","DOI":"10.1016/j.jebo.2011.08.009","ISSN":"0167-2681","shortTitle":"Experimental methods","journalAbbreviation":"Journal of Economic Behavior &amp; Organization","author":[{"family":"Charness","given":"Gary"},{"family":"Gneezy","given":"Uri"},{"family":"Kuhn","given":"Michael A."}],"issued":{"date-parts":[["2012",1]]}},"label":"page"}],"schema":"https://github.com/citation-style-language/schema/raw/master/csl-citation.json"} </w:instrText>
      </w:r>
      <w:r w:rsidRPr="00C347AD">
        <w:fldChar w:fldCharType="separate"/>
      </w:r>
      <w:r w:rsidRPr="00C347AD">
        <w:rPr>
          <w:noProof/>
        </w:rPr>
        <w:t xml:space="preserve">Charness, </w:t>
      </w:r>
      <w:r w:rsidR="00BE414D" w:rsidRPr="00C347AD">
        <w:rPr>
          <w:noProof/>
        </w:rPr>
        <w:t>et al.)</w:t>
      </w:r>
      <w:r w:rsidRPr="00C347AD">
        <w:fldChar w:fldCharType="end"/>
      </w:r>
      <w:r w:rsidR="00E674B2" w:rsidRPr="00C347AD">
        <w:t>.</w:t>
      </w:r>
      <w:r w:rsidRPr="00C347AD">
        <w:t xml:space="preserve"> </w:t>
      </w:r>
    </w:p>
    <w:p w14:paraId="6B5E00B6" w14:textId="7C279C03" w:rsidR="00897D6C" w:rsidRPr="00C347AD" w:rsidRDefault="00BE414D" w:rsidP="00897D6C">
      <w:r w:rsidRPr="00C347AD">
        <w:t>D</w:t>
      </w:r>
      <w:r w:rsidR="00897D6C" w:rsidRPr="00C347AD">
        <w:t xml:space="preserve">ata </w:t>
      </w:r>
      <w:r w:rsidR="00C05C60" w:rsidRPr="00C347AD">
        <w:t>collection occurred</w:t>
      </w:r>
      <w:r w:rsidR="00897D6C" w:rsidRPr="00C347AD">
        <w:t xml:space="preserve"> three times in</w:t>
      </w:r>
      <w:r w:rsidR="00B43088" w:rsidRPr="00C347AD">
        <w:t xml:space="preserve"> the form of pretest, posttest 1</w:t>
      </w:r>
      <w:r w:rsidR="00897D6C" w:rsidRPr="00C347AD">
        <w:t xml:space="preserve"> (at th</w:t>
      </w:r>
      <w:r w:rsidR="00B43088" w:rsidRPr="00C347AD">
        <w:t>e halfway point), and posttest 2</w:t>
      </w:r>
      <w:r w:rsidR="00897D6C" w:rsidRPr="00C347AD">
        <w:t xml:space="preserve"> at the conclusion of t</w:t>
      </w:r>
      <w:r w:rsidR="00255A1E" w:rsidRPr="00C347AD">
        <w:t>he intervention study. Figure 4</w:t>
      </w:r>
      <w:r w:rsidR="00897D6C" w:rsidRPr="00C347AD">
        <w:t xml:space="preserve"> presents the proposed study design wherein </w:t>
      </w:r>
      <w:r w:rsidR="00172D1B" w:rsidRPr="00C347AD">
        <w:t>group 1</w:t>
      </w:r>
      <w:r w:rsidR="00897D6C" w:rsidRPr="00C347AD">
        <w:t xml:space="preserve"> and </w:t>
      </w:r>
      <w:r w:rsidR="00172D1B" w:rsidRPr="00C347AD">
        <w:t>group 2</w:t>
      </w:r>
      <w:r w:rsidR="00897D6C" w:rsidRPr="00C347AD">
        <w:t xml:space="preserve"> refer to two sections of </w:t>
      </w:r>
      <w:r w:rsidR="00016DEB" w:rsidRPr="00C347AD">
        <w:t xml:space="preserve">the course in which this study is being conducted. </w:t>
      </w:r>
      <w:r w:rsidR="002261C7" w:rsidRPr="00C347AD">
        <w:t>“Lecture” refers to the</w:t>
      </w:r>
      <w:r w:rsidR="00016DEB" w:rsidRPr="00C347AD">
        <w:t xml:space="preserve"> control groups </w:t>
      </w:r>
      <w:r w:rsidR="002261C7" w:rsidRPr="00C347AD">
        <w:t>wherein there will be business as usual; that is,</w:t>
      </w:r>
      <w:r w:rsidR="00897D6C" w:rsidRPr="00C347AD">
        <w:t xml:space="preserve"> </w:t>
      </w:r>
      <w:r w:rsidR="00602C96" w:rsidRPr="00C347AD">
        <w:t>the instructor will lecture and assign textbook reading related to the topic being studied.</w:t>
      </w:r>
      <w:r w:rsidR="00897D6C" w:rsidRPr="00C347AD">
        <w:t xml:space="preserve"> “Model” refers to</w:t>
      </w:r>
      <w:r w:rsidR="00941588" w:rsidRPr="00C347AD">
        <w:t xml:space="preserve"> the experimental group wherein there will be</w:t>
      </w:r>
      <w:r w:rsidR="00897D6C" w:rsidRPr="00C347AD">
        <w:t xml:space="preserve"> </w:t>
      </w:r>
      <w:r w:rsidR="00941588" w:rsidRPr="00C347AD">
        <w:t>active</w:t>
      </w:r>
      <w:r w:rsidR="00897D6C" w:rsidRPr="00C347AD">
        <w:t xml:space="preserve"> modeling</w:t>
      </w:r>
      <w:r w:rsidR="00941588" w:rsidRPr="00C347AD">
        <w:t xml:space="preserve"> of</w:t>
      </w:r>
      <w:r w:rsidR="00897D6C" w:rsidRPr="00C347AD">
        <w:t xml:space="preserve"> the principles of UDL under the guidelines articulated in </w:t>
      </w:r>
      <w:r w:rsidR="00941588" w:rsidRPr="00C347AD">
        <w:t>Chapter 2</w:t>
      </w:r>
      <w:r w:rsidR="00897D6C" w:rsidRPr="00C347AD">
        <w:t xml:space="preserve">. The same content will be being taught during the same </w:t>
      </w:r>
      <w:r w:rsidR="001767E8" w:rsidRPr="00C347AD">
        <w:t>types of teaching</w:t>
      </w:r>
      <w:r w:rsidR="00897D6C" w:rsidRPr="00C347AD">
        <w:t xml:space="preserve"> (</w:t>
      </w:r>
      <w:r w:rsidRPr="00C347AD">
        <w:t>i.e.,</w:t>
      </w:r>
      <w:r w:rsidR="00897D6C" w:rsidRPr="00C347AD">
        <w:t xml:space="preserve"> </w:t>
      </w:r>
      <w:r w:rsidR="00981C26" w:rsidRPr="00C347AD">
        <w:t>participants in group 1</w:t>
      </w:r>
      <w:r w:rsidR="00897D6C" w:rsidRPr="00C347AD">
        <w:t xml:space="preserve"> and group 2 will be learning the same course material</w:t>
      </w:r>
      <w:r w:rsidR="001767E8" w:rsidRPr="00C347AD">
        <w:t xml:space="preserve"> while in lecture phase and model phase, respectively; however, they will learn such content i</w:t>
      </w:r>
      <w:r w:rsidR="00774E8D" w:rsidRPr="00C347AD">
        <w:t xml:space="preserve">n opposite </w:t>
      </w:r>
      <w:r w:rsidR="00255A1E" w:rsidRPr="00C347AD">
        <w:t>chronological order; see Table 1</w:t>
      </w:r>
      <w:r w:rsidR="00774E8D" w:rsidRPr="00C347AD">
        <w:t>)</w:t>
      </w:r>
      <w:r w:rsidR="00897D6C" w:rsidRPr="00C347AD">
        <w:t xml:space="preserve">. </w:t>
      </w:r>
      <w:r w:rsidR="008B2074" w:rsidRPr="00C347AD">
        <w:t xml:space="preserve">Projected learning that </w:t>
      </w:r>
      <w:r w:rsidR="008B2074" w:rsidRPr="00C347AD">
        <w:lastRenderedPageBreak/>
        <w:t xml:space="preserve">occurs between the pretest and posttest </w:t>
      </w:r>
      <w:r w:rsidRPr="00C347AD">
        <w:t>1</w:t>
      </w:r>
      <w:r w:rsidR="008B2074" w:rsidRPr="00C347AD">
        <w:t xml:space="preserve"> and between pretest </w:t>
      </w:r>
      <w:r w:rsidRPr="00C347AD">
        <w:t>1</w:t>
      </w:r>
      <w:r w:rsidR="008B2074" w:rsidRPr="00C347AD">
        <w:t xml:space="preserve"> and pretest </w:t>
      </w:r>
      <w:r w:rsidRPr="00C347AD">
        <w:t xml:space="preserve">2 </w:t>
      </w:r>
      <w:r w:rsidR="008B2074" w:rsidRPr="00C347AD">
        <w:t xml:space="preserve">are labeled as “gains” </w:t>
      </w:r>
      <w:r w:rsidR="002653B0" w:rsidRPr="00C347AD">
        <w:t xml:space="preserve">for groups 1 and 2 respectively. By parsing these out, it allows for comparison of gain both between the groups and across time. </w:t>
      </w:r>
    </w:p>
    <w:p w14:paraId="5133D79C" w14:textId="77777777" w:rsidR="00654236" w:rsidRPr="00C347AD" w:rsidRDefault="00654236" w:rsidP="00897D6C"/>
    <w:p w14:paraId="01479892" w14:textId="77777777" w:rsidR="00255A1E" w:rsidRPr="00C347AD" w:rsidRDefault="00255A1E" w:rsidP="00897D6C"/>
    <w:p w14:paraId="104E3457" w14:textId="77777777" w:rsidR="00897D6C" w:rsidRPr="00C347AD" w:rsidRDefault="00897D6C" w:rsidP="00897D6C">
      <w:pPr>
        <w:ind w:firstLine="0"/>
      </w:pPr>
      <w:r w:rsidRPr="00C347AD">
        <w:rPr>
          <w:noProof/>
        </w:rPr>
        <w:drawing>
          <wp:inline distT="0" distB="0" distL="0" distR="0" wp14:anchorId="75D0AC93" wp14:editId="61798028">
            <wp:extent cx="5257800" cy="20848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png"/>
                    <pic:cNvPicPr/>
                  </pic:nvPicPr>
                  <pic:blipFill>
                    <a:blip r:embed="rId19">
                      <a:extLst>
                        <a:ext uri="{28A0092B-C50C-407E-A947-70E740481C1C}">
                          <a14:useLocalDpi xmlns:a14="http://schemas.microsoft.com/office/drawing/2010/main" val="0"/>
                        </a:ext>
                      </a:extLst>
                    </a:blip>
                    <a:stretch>
                      <a:fillRect/>
                    </a:stretch>
                  </pic:blipFill>
                  <pic:spPr>
                    <a:xfrm>
                      <a:off x="0" y="0"/>
                      <a:ext cx="5257800" cy="2084864"/>
                    </a:xfrm>
                    <a:prstGeom prst="rect">
                      <a:avLst/>
                    </a:prstGeom>
                  </pic:spPr>
                </pic:pic>
              </a:graphicData>
            </a:graphic>
          </wp:inline>
        </w:drawing>
      </w:r>
    </w:p>
    <w:p w14:paraId="32B4C147" w14:textId="629F2846" w:rsidR="00255A1E" w:rsidRPr="00C347AD" w:rsidRDefault="00255A1E" w:rsidP="00C16A07">
      <w:pPr>
        <w:spacing w:line="240" w:lineRule="auto"/>
        <w:ind w:firstLine="0"/>
      </w:pPr>
      <w:r w:rsidRPr="00C347AD">
        <w:rPr>
          <w:i/>
        </w:rPr>
        <w:t>Figure 4</w:t>
      </w:r>
      <w:r w:rsidR="00897D6C" w:rsidRPr="00C347AD">
        <w:rPr>
          <w:i/>
        </w:rPr>
        <w:t xml:space="preserve">. </w:t>
      </w:r>
      <w:r w:rsidR="00941588" w:rsidRPr="00C347AD">
        <w:t>A q</w:t>
      </w:r>
      <w:r w:rsidR="00897D6C" w:rsidRPr="00C347AD">
        <w:t>uasi-</w:t>
      </w:r>
      <w:r w:rsidR="00941588" w:rsidRPr="00C347AD">
        <w:t xml:space="preserve">experimental, repeated measures time series </w:t>
      </w:r>
      <w:r w:rsidR="00897D6C" w:rsidRPr="00C347AD">
        <w:t xml:space="preserve">design </w:t>
      </w:r>
      <w:r w:rsidR="00941588" w:rsidRPr="00C347AD">
        <w:t xml:space="preserve">whereby two groups are measured three times, and each experience the control condition or experimental condition once. </w:t>
      </w:r>
    </w:p>
    <w:p w14:paraId="2E00946B" w14:textId="77777777" w:rsidR="00255A1E" w:rsidRPr="00C347AD" w:rsidRDefault="00255A1E" w:rsidP="00C16A07">
      <w:pPr>
        <w:spacing w:line="240" w:lineRule="auto"/>
        <w:ind w:firstLine="0"/>
      </w:pPr>
    </w:p>
    <w:p w14:paraId="65F2AF6B" w14:textId="5B678906" w:rsidR="00C16A07" w:rsidRPr="00C347AD" w:rsidRDefault="00C16A07" w:rsidP="00C16A07">
      <w:pPr>
        <w:spacing w:line="240" w:lineRule="auto"/>
        <w:ind w:firstLine="0"/>
      </w:pPr>
      <w:r w:rsidRPr="00C347AD">
        <w:br/>
      </w:r>
    </w:p>
    <w:p w14:paraId="034F7022" w14:textId="77777777" w:rsidR="004642C9" w:rsidRPr="00C347AD" w:rsidRDefault="004642C9" w:rsidP="004642C9">
      <w:pPr>
        <w:spacing w:line="240" w:lineRule="auto"/>
        <w:ind w:firstLine="360"/>
      </w:pPr>
      <w:r w:rsidRPr="00C347AD">
        <w:t xml:space="preserve">The null hypotheses for this design are: </w:t>
      </w:r>
    </w:p>
    <w:p w14:paraId="198D7E7D" w14:textId="77777777" w:rsidR="004642C9" w:rsidRPr="00C347AD" w:rsidRDefault="004642C9" w:rsidP="004642C9">
      <w:pPr>
        <w:pStyle w:val="ListParagraph"/>
        <w:numPr>
          <w:ilvl w:val="0"/>
          <w:numId w:val="11"/>
        </w:numPr>
        <w:spacing w:beforeAutospacing="1" w:afterAutospacing="1" w:line="240" w:lineRule="auto"/>
      </w:pPr>
      <w:r w:rsidRPr="00C347AD">
        <w:t>H</w:t>
      </w:r>
      <w:r w:rsidRPr="00C347AD">
        <w:rPr>
          <w:vertAlign w:val="subscript"/>
        </w:rPr>
        <w:t>ø1</w:t>
      </w:r>
      <w:r w:rsidRPr="00C347AD">
        <w:t xml:space="preserve">: Gain 1.1 ≥ Gain 1.2 </w:t>
      </w:r>
    </w:p>
    <w:p w14:paraId="643A5119" w14:textId="77777777" w:rsidR="004642C9" w:rsidRPr="00C347AD" w:rsidRDefault="004642C9" w:rsidP="004642C9">
      <w:pPr>
        <w:pStyle w:val="ListParagraph"/>
        <w:numPr>
          <w:ilvl w:val="0"/>
          <w:numId w:val="11"/>
        </w:numPr>
        <w:spacing w:beforeAutospacing="1" w:afterAutospacing="1" w:line="240" w:lineRule="auto"/>
      </w:pPr>
      <w:r w:rsidRPr="00C347AD">
        <w:t>H</w:t>
      </w:r>
      <w:r w:rsidRPr="00C347AD">
        <w:rPr>
          <w:vertAlign w:val="subscript"/>
        </w:rPr>
        <w:t>ø2</w:t>
      </w:r>
      <w:r w:rsidRPr="00C347AD">
        <w:t>: Gain 2.1 ≤ Gain 2.2</w:t>
      </w:r>
    </w:p>
    <w:p w14:paraId="2C461073" w14:textId="77777777" w:rsidR="004642C9" w:rsidRPr="00C347AD" w:rsidRDefault="004642C9" w:rsidP="004642C9">
      <w:pPr>
        <w:pStyle w:val="ListParagraph"/>
        <w:numPr>
          <w:ilvl w:val="0"/>
          <w:numId w:val="11"/>
        </w:numPr>
        <w:spacing w:beforeAutospacing="1" w:afterAutospacing="1" w:line="240" w:lineRule="auto"/>
      </w:pPr>
      <w:r w:rsidRPr="00C347AD">
        <w:t>H</w:t>
      </w:r>
      <w:r w:rsidRPr="00C347AD">
        <w:rPr>
          <w:vertAlign w:val="subscript"/>
        </w:rPr>
        <w:t>ø3</w:t>
      </w:r>
      <w:r w:rsidRPr="00C347AD">
        <w:t xml:space="preserve">: Gain 1.1 ≥ Gain 2.1 </w:t>
      </w:r>
    </w:p>
    <w:p w14:paraId="16F1DE34" w14:textId="77777777" w:rsidR="004642C9" w:rsidRPr="00C347AD" w:rsidRDefault="004642C9" w:rsidP="004642C9">
      <w:pPr>
        <w:pStyle w:val="ListParagraph"/>
        <w:numPr>
          <w:ilvl w:val="0"/>
          <w:numId w:val="11"/>
        </w:numPr>
        <w:spacing w:beforeAutospacing="1" w:afterAutospacing="1" w:line="240" w:lineRule="auto"/>
      </w:pPr>
      <w:r w:rsidRPr="00C347AD">
        <w:t>H</w:t>
      </w:r>
      <w:r w:rsidRPr="00C347AD">
        <w:rPr>
          <w:vertAlign w:val="subscript"/>
        </w:rPr>
        <w:t>ø4</w:t>
      </w:r>
      <w:r w:rsidRPr="00C347AD">
        <w:t>: Gain 1.2 ≤ Gain 2.2</w:t>
      </w:r>
    </w:p>
    <w:p w14:paraId="64A23115" w14:textId="0544D366" w:rsidR="004642C9" w:rsidRPr="00C347AD" w:rsidRDefault="004642C9" w:rsidP="00255A1E">
      <w:pPr>
        <w:pStyle w:val="ListParagraph"/>
        <w:numPr>
          <w:ilvl w:val="0"/>
          <w:numId w:val="11"/>
        </w:numPr>
        <w:spacing w:beforeAutospacing="1" w:afterAutospacing="1" w:line="240" w:lineRule="auto"/>
      </w:pPr>
      <w:r w:rsidRPr="00C347AD">
        <w:t>H</w:t>
      </w:r>
      <w:r w:rsidRPr="00C347AD">
        <w:rPr>
          <w:vertAlign w:val="subscript"/>
        </w:rPr>
        <w:t>ø5</w:t>
      </w:r>
      <w:r w:rsidRPr="00C347AD">
        <w:t xml:space="preserve">: Gain 1.1 + Gain 1.2 ≠ Gain 2.1 + 2.2 </w:t>
      </w:r>
    </w:p>
    <w:p w14:paraId="688CE925" w14:textId="284A924A" w:rsidR="00C16A07" w:rsidRPr="00C347AD" w:rsidRDefault="00C16A07" w:rsidP="00B70B3A">
      <w:pPr>
        <w:ind w:firstLine="360"/>
      </w:pPr>
      <w:r w:rsidRPr="00C347AD">
        <w:t xml:space="preserve">Each teaching period, whether lecture or model, will last three weeks during which three discreet topics will be taught using the respective method based on whether a class is in test or control condition. Thus, the entirety of the study involves six weeks of </w:t>
      </w:r>
      <w:r w:rsidRPr="00C347AD">
        <w:lastRenderedPageBreak/>
        <w:t>instruction covering six topics of study</w:t>
      </w:r>
      <w:r w:rsidR="00B43088" w:rsidRPr="00C347AD">
        <w:t>; none of these topics deals explicitly with Universal Design for Learning</w:t>
      </w:r>
      <w:r w:rsidRPr="00C347AD">
        <w:t>. The intention of presenting three discreet topics of study during each teaching period is to reduce the likelihood that a given topic is over- or under-stimulating to students compared to those taught in the other setting (i.e., control or test).  The topics of study assigned to modeling and lecturing respectively in the first gain period remain for the second; that is, the topics taught to the test group in gain period 2.1 will be taught to the test group likew</w:t>
      </w:r>
      <w:r w:rsidR="00255A1E" w:rsidRPr="00C347AD">
        <w:t>ise in gain period 1.2. See T</w:t>
      </w:r>
      <w:r w:rsidRPr="00C347AD">
        <w:t xml:space="preserve">able </w:t>
      </w:r>
      <w:r w:rsidR="000F4D0C" w:rsidRPr="00C347AD">
        <w:t>2</w:t>
      </w:r>
      <w:r w:rsidRPr="00C347AD">
        <w:t xml:space="preserve"> for a tabular summary of these aspects of the design. </w:t>
      </w:r>
    </w:p>
    <w:p w14:paraId="674A97F2" w14:textId="77777777" w:rsidR="00255A1E" w:rsidRPr="00C347AD" w:rsidRDefault="00255A1E" w:rsidP="00B70B3A">
      <w:pPr>
        <w:ind w:firstLine="360"/>
      </w:pPr>
    </w:p>
    <w:p w14:paraId="4CE35C2E" w14:textId="77777777" w:rsidR="00654236" w:rsidRPr="00C347AD" w:rsidRDefault="00654236" w:rsidP="00B70B3A">
      <w:pPr>
        <w:ind w:firstLine="360"/>
      </w:pP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0"/>
        <w:gridCol w:w="2060"/>
        <w:gridCol w:w="5310"/>
      </w:tblGrid>
      <w:tr w:rsidR="00B70B3A" w:rsidRPr="00C347AD" w14:paraId="12FD5059" w14:textId="77777777" w:rsidTr="00B70B3A">
        <w:tc>
          <w:tcPr>
            <w:tcW w:w="8460" w:type="dxa"/>
            <w:gridSpan w:val="3"/>
            <w:shd w:val="clear" w:color="auto" w:fill="auto"/>
          </w:tcPr>
          <w:p w14:paraId="30F3C5F0" w14:textId="4E371799" w:rsidR="00B70B3A" w:rsidRPr="00C347AD" w:rsidRDefault="000F4D0C" w:rsidP="00C16A07">
            <w:pPr>
              <w:spacing w:line="240" w:lineRule="auto"/>
              <w:ind w:firstLine="0"/>
              <w:rPr>
                <w:rFonts w:ascii="Times New Roman" w:hAnsi="Times New Roman" w:cs="Times New Roman"/>
              </w:rPr>
            </w:pPr>
            <w:r w:rsidRPr="00C347AD">
              <w:rPr>
                <w:rFonts w:ascii="Times New Roman" w:hAnsi="Times New Roman" w:cs="Times New Roman"/>
              </w:rPr>
              <w:t>Table 2</w:t>
            </w:r>
            <w:r w:rsidR="00B70B3A" w:rsidRPr="00C347AD">
              <w:rPr>
                <w:rFonts w:ascii="Times New Roman" w:hAnsi="Times New Roman" w:cs="Times New Roman"/>
              </w:rPr>
              <w:t xml:space="preserve">. </w:t>
            </w:r>
          </w:p>
        </w:tc>
      </w:tr>
      <w:tr w:rsidR="00B70B3A" w:rsidRPr="00C347AD" w14:paraId="3E84BF5F" w14:textId="77777777" w:rsidTr="00B70B3A">
        <w:tc>
          <w:tcPr>
            <w:tcW w:w="8460" w:type="dxa"/>
            <w:gridSpan w:val="3"/>
            <w:tcBorders>
              <w:bottom w:val="single" w:sz="4" w:space="0" w:color="auto"/>
            </w:tcBorders>
            <w:shd w:val="clear" w:color="auto" w:fill="auto"/>
          </w:tcPr>
          <w:p w14:paraId="3A969952" w14:textId="5E7CF626" w:rsidR="00B70B3A" w:rsidRPr="00C347AD" w:rsidRDefault="00B70B3A" w:rsidP="00C16A07">
            <w:pPr>
              <w:spacing w:line="240" w:lineRule="auto"/>
              <w:ind w:firstLine="0"/>
              <w:rPr>
                <w:rFonts w:ascii="Times New Roman" w:hAnsi="Times New Roman" w:cs="Times New Roman"/>
              </w:rPr>
            </w:pPr>
            <w:r w:rsidRPr="00C347AD">
              <w:rPr>
                <w:rFonts w:ascii="Times New Roman" w:hAnsi="Times New Roman" w:cs="Times New Roman"/>
                <w:i/>
              </w:rPr>
              <w:t>Overview of Content Taught by Group and Condition</w:t>
            </w:r>
          </w:p>
        </w:tc>
      </w:tr>
      <w:tr w:rsidR="00C16A07" w:rsidRPr="00C347AD" w14:paraId="4F0E9445" w14:textId="77777777" w:rsidTr="008D5FF0">
        <w:tc>
          <w:tcPr>
            <w:tcW w:w="1090" w:type="dxa"/>
            <w:tcBorders>
              <w:top w:val="single" w:sz="4" w:space="0" w:color="auto"/>
              <w:bottom w:val="single" w:sz="4" w:space="0" w:color="auto"/>
            </w:tcBorders>
            <w:shd w:val="clear" w:color="auto" w:fill="auto"/>
          </w:tcPr>
          <w:p w14:paraId="00D91DFE" w14:textId="77777777" w:rsidR="00C16A07" w:rsidRPr="00C347AD" w:rsidRDefault="00C16A07" w:rsidP="00C16A07">
            <w:pPr>
              <w:spacing w:line="240" w:lineRule="auto"/>
              <w:ind w:firstLine="0"/>
              <w:rPr>
                <w:rFonts w:ascii="Times New Roman" w:hAnsi="Times New Roman" w:cs="Times New Roman"/>
              </w:rPr>
            </w:pPr>
          </w:p>
          <w:p w14:paraId="24603BD1"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Group</w:t>
            </w:r>
          </w:p>
        </w:tc>
        <w:tc>
          <w:tcPr>
            <w:tcW w:w="2060" w:type="dxa"/>
            <w:tcBorders>
              <w:top w:val="single" w:sz="4" w:space="0" w:color="auto"/>
              <w:bottom w:val="single" w:sz="4" w:space="0" w:color="auto"/>
            </w:tcBorders>
            <w:shd w:val="clear" w:color="auto" w:fill="auto"/>
          </w:tcPr>
          <w:p w14:paraId="1AE390A7"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Learning Period/Condition</w:t>
            </w:r>
          </w:p>
        </w:tc>
        <w:tc>
          <w:tcPr>
            <w:tcW w:w="5310" w:type="dxa"/>
            <w:tcBorders>
              <w:top w:val="single" w:sz="4" w:space="0" w:color="auto"/>
              <w:bottom w:val="single" w:sz="4" w:space="0" w:color="auto"/>
            </w:tcBorders>
            <w:shd w:val="clear" w:color="auto" w:fill="auto"/>
          </w:tcPr>
          <w:p w14:paraId="27311FD6" w14:textId="77777777" w:rsidR="00C16A07" w:rsidRPr="00C347AD" w:rsidRDefault="00C16A07" w:rsidP="00C16A07">
            <w:pPr>
              <w:spacing w:line="240" w:lineRule="auto"/>
              <w:ind w:firstLine="0"/>
              <w:rPr>
                <w:rFonts w:ascii="Times New Roman" w:hAnsi="Times New Roman" w:cs="Times New Roman"/>
              </w:rPr>
            </w:pPr>
          </w:p>
          <w:p w14:paraId="229F29AD"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Topics Covered</w:t>
            </w:r>
          </w:p>
        </w:tc>
      </w:tr>
      <w:tr w:rsidR="00C16A07" w:rsidRPr="00C347AD" w14:paraId="12CE552C" w14:textId="77777777" w:rsidTr="008D5FF0">
        <w:tc>
          <w:tcPr>
            <w:tcW w:w="1090" w:type="dxa"/>
            <w:vMerge w:val="restart"/>
            <w:tcBorders>
              <w:top w:val="single" w:sz="4" w:space="0" w:color="auto"/>
            </w:tcBorders>
            <w:shd w:val="clear" w:color="auto" w:fill="auto"/>
          </w:tcPr>
          <w:p w14:paraId="7D5B0905" w14:textId="77777777" w:rsidR="00C16A07" w:rsidRPr="00C347AD" w:rsidRDefault="00C16A07" w:rsidP="00C16A07">
            <w:pPr>
              <w:spacing w:line="240" w:lineRule="auto"/>
              <w:ind w:firstLine="0"/>
              <w:rPr>
                <w:rFonts w:ascii="Times New Roman" w:hAnsi="Times New Roman" w:cs="Times New Roman"/>
              </w:rPr>
            </w:pPr>
          </w:p>
          <w:p w14:paraId="28760732"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Group 1</w:t>
            </w:r>
          </w:p>
        </w:tc>
        <w:tc>
          <w:tcPr>
            <w:tcW w:w="2060" w:type="dxa"/>
            <w:tcBorders>
              <w:top w:val="single" w:sz="4" w:space="0" w:color="auto"/>
            </w:tcBorders>
            <w:shd w:val="clear" w:color="auto" w:fill="auto"/>
          </w:tcPr>
          <w:p w14:paraId="52FEBEBD" w14:textId="77777777" w:rsidR="00C16A07" w:rsidRPr="00C347AD" w:rsidRDefault="00C16A07" w:rsidP="00C16A07">
            <w:pPr>
              <w:spacing w:line="240" w:lineRule="auto"/>
              <w:ind w:firstLine="0"/>
              <w:rPr>
                <w:rFonts w:ascii="Times New Roman" w:hAnsi="Times New Roman" w:cs="Times New Roman"/>
              </w:rPr>
            </w:pPr>
          </w:p>
          <w:p w14:paraId="11E82DA2"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1.1 (Lecture)</w:t>
            </w:r>
          </w:p>
        </w:tc>
        <w:tc>
          <w:tcPr>
            <w:tcW w:w="5310" w:type="dxa"/>
            <w:tcBorders>
              <w:top w:val="single" w:sz="4" w:space="0" w:color="auto"/>
            </w:tcBorders>
            <w:shd w:val="clear" w:color="auto" w:fill="auto"/>
          </w:tcPr>
          <w:p w14:paraId="132B5295" w14:textId="77777777" w:rsidR="00C16A07" w:rsidRPr="00C347AD" w:rsidRDefault="00C16A07" w:rsidP="00C16A07">
            <w:pPr>
              <w:spacing w:line="240" w:lineRule="auto"/>
              <w:ind w:firstLine="0"/>
              <w:rPr>
                <w:rFonts w:ascii="Times New Roman" w:hAnsi="Times New Roman" w:cs="Times New Roman"/>
              </w:rPr>
            </w:pPr>
          </w:p>
          <w:p w14:paraId="000BD07C"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1. Special Education Procedures </w:t>
            </w:r>
          </w:p>
          <w:p w14:paraId="6049DAEB"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2. Building partnerships through collaboration </w:t>
            </w:r>
          </w:p>
          <w:p w14:paraId="0C605A38"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3. Assessing Students with Special Needs</w:t>
            </w:r>
          </w:p>
          <w:p w14:paraId="6771C639" w14:textId="77777777" w:rsidR="00C16A07" w:rsidRPr="00C347AD" w:rsidRDefault="00C16A07" w:rsidP="00C16A07">
            <w:pPr>
              <w:spacing w:line="240" w:lineRule="auto"/>
              <w:ind w:firstLine="0"/>
              <w:rPr>
                <w:rFonts w:ascii="Times New Roman" w:hAnsi="Times New Roman" w:cs="Times New Roman"/>
              </w:rPr>
            </w:pPr>
          </w:p>
        </w:tc>
      </w:tr>
      <w:tr w:rsidR="00C16A07" w:rsidRPr="00C347AD" w14:paraId="62079EFA" w14:textId="77777777" w:rsidTr="008D5FF0">
        <w:tc>
          <w:tcPr>
            <w:tcW w:w="1090" w:type="dxa"/>
            <w:vMerge/>
            <w:shd w:val="clear" w:color="auto" w:fill="auto"/>
            <w:vAlign w:val="center"/>
          </w:tcPr>
          <w:p w14:paraId="10A63202" w14:textId="77777777" w:rsidR="00C16A07" w:rsidRPr="00C347AD" w:rsidRDefault="00C16A07" w:rsidP="00C16A07">
            <w:pPr>
              <w:spacing w:line="240" w:lineRule="auto"/>
              <w:ind w:firstLine="0"/>
              <w:rPr>
                <w:rFonts w:ascii="Times New Roman" w:hAnsi="Times New Roman" w:cs="Times New Roman"/>
              </w:rPr>
            </w:pPr>
          </w:p>
        </w:tc>
        <w:tc>
          <w:tcPr>
            <w:tcW w:w="2060" w:type="dxa"/>
            <w:shd w:val="clear" w:color="auto" w:fill="auto"/>
          </w:tcPr>
          <w:p w14:paraId="52D932F8"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1.2 (Model)</w:t>
            </w:r>
          </w:p>
        </w:tc>
        <w:tc>
          <w:tcPr>
            <w:tcW w:w="5310" w:type="dxa"/>
            <w:shd w:val="clear" w:color="auto" w:fill="auto"/>
          </w:tcPr>
          <w:p w14:paraId="71852F6E"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1. Students with low incidence disabilities</w:t>
            </w:r>
          </w:p>
          <w:p w14:paraId="1D7978E9"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2. Students with high incidence disabilities </w:t>
            </w:r>
          </w:p>
          <w:p w14:paraId="5820567D"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3. Students with special needs other than disabilities </w:t>
            </w:r>
          </w:p>
          <w:p w14:paraId="6BA2DD10" w14:textId="77777777" w:rsidR="00C16A07" w:rsidRPr="00C347AD" w:rsidRDefault="00C16A07" w:rsidP="00C16A07">
            <w:pPr>
              <w:spacing w:line="240" w:lineRule="auto"/>
              <w:ind w:firstLine="0"/>
              <w:rPr>
                <w:rFonts w:ascii="Times New Roman" w:hAnsi="Times New Roman" w:cs="Times New Roman"/>
              </w:rPr>
            </w:pPr>
          </w:p>
        </w:tc>
      </w:tr>
      <w:tr w:rsidR="00C16A07" w:rsidRPr="00C347AD" w14:paraId="28E0074A" w14:textId="77777777" w:rsidTr="008D5FF0">
        <w:tc>
          <w:tcPr>
            <w:tcW w:w="1090" w:type="dxa"/>
            <w:vMerge w:val="restart"/>
            <w:shd w:val="clear" w:color="auto" w:fill="auto"/>
          </w:tcPr>
          <w:p w14:paraId="596AD9E0"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Group 2</w:t>
            </w:r>
          </w:p>
        </w:tc>
        <w:tc>
          <w:tcPr>
            <w:tcW w:w="2060" w:type="dxa"/>
            <w:shd w:val="clear" w:color="auto" w:fill="auto"/>
          </w:tcPr>
          <w:p w14:paraId="73354648"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2.1 (Model)</w:t>
            </w:r>
          </w:p>
        </w:tc>
        <w:tc>
          <w:tcPr>
            <w:tcW w:w="5310" w:type="dxa"/>
            <w:shd w:val="clear" w:color="auto" w:fill="auto"/>
          </w:tcPr>
          <w:p w14:paraId="5DD6252D"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1. Students with low incidence disabilities</w:t>
            </w:r>
          </w:p>
          <w:p w14:paraId="7B5D1446"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2. Students with high incidence disabilities </w:t>
            </w:r>
          </w:p>
          <w:p w14:paraId="3CDFB4F8"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3. Students with special needs other than disabilities</w:t>
            </w:r>
          </w:p>
          <w:p w14:paraId="6D2E6B87" w14:textId="77777777" w:rsidR="00C16A07" w:rsidRPr="00C347AD" w:rsidRDefault="00C16A07" w:rsidP="00C16A07">
            <w:pPr>
              <w:spacing w:line="240" w:lineRule="auto"/>
              <w:ind w:firstLine="0"/>
              <w:rPr>
                <w:rFonts w:ascii="Times New Roman" w:hAnsi="Times New Roman" w:cs="Times New Roman"/>
              </w:rPr>
            </w:pPr>
          </w:p>
        </w:tc>
      </w:tr>
      <w:tr w:rsidR="00C16A07" w:rsidRPr="00C347AD" w14:paraId="030E6736" w14:textId="77777777" w:rsidTr="008D5FF0">
        <w:trPr>
          <w:trHeight w:val="801"/>
        </w:trPr>
        <w:tc>
          <w:tcPr>
            <w:tcW w:w="1090" w:type="dxa"/>
            <w:vMerge/>
            <w:tcBorders>
              <w:bottom w:val="single" w:sz="4" w:space="0" w:color="auto"/>
            </w:tcBorders>
            <w:shd w:val="clear" w:color="auto" w:fill="auto"/>
            <w:vAlign w:val="center"/>
          </w:tcPr>
          <w:p w14:paraId="3584756E" w14:textId="77777777" w:rsidR="00C16A07" w:rsidRPr="00C347AD" w:rsidRDefault="00C16A07" w:rsidP="00C16A07">
            <w:pPr>
              <w:spacing w:line="240" w:lineRule="auto"/>
              <w:ind w:firstLine="0"/>
              <w:rPr>
                <w:rFonts w:ascii="Times New Roman" w:hAnsi="Times New Roman" w:cs="Times New Roman"/>
              </w:rPr>
            </w:pPr>
          </w:p>
        </w:tc>
        <w:tc>
          <w:tcPr>
            <w:tcW w:w="2060" w:type="dxa"/>
            <w:tcBorders>
              <w:bottom w:val="single" w:sz="4" w:space="0" w:color="auto"/>
            </w:tcBorders>
            <w:shd w:val="clear" w:color="auto" w:fill="auto"/>
          </w:tcPr>
          <w:p w14:paraId="3599C4BE"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2.2 (Lecture)</w:t>
            </w:r>
          </w:p>
        </w:tc>
        <w:tc>
          <w:tcPr>
            <w:tcW w:w="5310" w:type="dxa"/>
            <w:tcBorders>
              <w:bottom w:val="single" w:sz="4" w:space="0" w:color="auto"/>
            </w:tcBorders>
            <w:shd w:val="clear" w:color="auto" w:fill="auto"/>
          </w:tcPr>
          <w:p w14:paraId="671D874F"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1. Special Education Procedures </w:t>
            </w:r>
          </w:p>
          <w:p w14:paraId="72DCDD2E"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 xml:space="preserve">2. Building partnerships through collaboration </w:t>
            </w:r>
          </w:p>
          <w:p w14:paraId="1E1E14BD" w14:textId="77777777" w:rsidR="00C16A07" w:rsidRPr="00C347AD" w:rsidRDefault="00C16A07" w:rsidP="00C16A07">
            <w:pPr>
              <w:spacing w:line="240" w:lineRule="auto"/>
              <w:ind w:firstLine="0"/>
              <w:rPr>
                <w:rFonts w:ascii="Times New Roman" w:hAnsi="Times New Roman" w:cs="Times New Roman"/>
              </w:rPr>
            </w:pPr>
            <w:r w:rsidRPr="00C347AD">
              <w:rPr>
                <w:rFonts w:ascii="Times New Roman" w:hAnsi="Times New Roman" w:cs="Times New Roman"/>
              </w:rPr>
              <w:t>3. Assessing Students with Special Needs</w:t>
            </w:r>
          </w:p>
        </w:tc>
      </w:tr>
    </w:tbl>
    <w:p w14:paraId="33B41F44" w14:textId="77777777" w:rsidR="00255A1E" w:rsidRPr="00C347AD" w:rsidRDefault="00255A1E" w:rsidP="00B43088">
      <w:pPr>
        <w:ind w:firstLine="0"/>
      </w:pPr>
    </w:p>
    <w:p w14:paraId="2A3A6797" w14:textId="77777777" w:rsidR="00DA1735" w:rsidRPr="00C347AD" w:rsidRDefault="00DA1735" w:rsidP="00127547">
      <w:r w:rsidRPr="00C347AD">
        <w:lastRenderedPageBreak/>
        <w:t xml:space="preserve">There is no way to randomize the participants in the two groups, and thus this research will be quasi-experimental in nature. However, the collection of descriptive data </w:t>
      </w:r>
    </w:p>
    <w:p w14:paraId="7A1B1C10" w14:textId="7CF96B3E" w:rsidR="00127547" w:rsidRPr="00C347AD" w:rsidRDefault="00DA1735" w:rsidP="00127547">
      <w:pPr>
        <w:ind w:firstLine="0"/>
      </w:pPr>
      <w:r w:rsidRPr="00C347AD">
        <w:t xml:space="preserve">and the use of a pretest will help account for differences that may exist in relation to the dependent variables at the outset of research intervention. </w:t>
      </w:r>
      <w:r w:rsidR="00F13DC2" w:rsidRPr="00C347AD">
        <w:rPr>
          <w:highlight w:val="cyan"/>
        </w:rPr>
        <w:t xml:space="preserve">The use of the hybrid within– and between– subject repeated measures design allows for greater validity in these conditions  </w:t>
      </w:r>
      <w:r w:rsidR="00F13DC2" w:rsidRPr="00C347AD">
        <w:rPr>
          <w:highlight w:val="cyan"/>
        </w:rPr>
        <w:fldChar w:fldCharType="begin"/>
      </w:r>
      <w:r w:rsidR="00F7126F" w:rsidRPr="00C347AD">
        <w:rPr>
          <w:highlight w:val="cyan"/>
        </w:rPr>
        <w:instrText xml:space="preserve"> ADDIN ZOTERO_ITEM CSL_CITATION {"citationID":"2ihvfeivjg","properties":{"formattedCitation":"(Campbell &amp; Stanley, 2015; Charness et al., 2012; Cook &amp; Campbell, 1979)","plainCitation":"(Campbell &amp; Stanley, 2015; Charness et al., 2012; Cook &amp; Campbell, 1979)"},"citationItems":[{"id":1011,"uris":["http://zotero.org/users/2098925/items/VVQMDRW9"],"uri":["http://zotero.org/users/2098925/items/VVQMDRW9"],"itemData":{"id":1011,"type":"book","title":"Experimental and Quasi-Experimental Designs for Research","publisher":"Ravenio Books","number-of-pages":"92","source":"Google Books","abstract":"We shall examine the validity of 16 experimental designs against 12 common threats to valid inference. By experiment we refer to that portion of research in which variables are manipulated and their effects upon other variables observed. It is well to distinguish the particular role of this chapter. It is not a chapter on experimental design in the Fisher (1925, 1935) tradition, in which an experimenter having complete mastery can schedule treatments and measurements for optimal statistical efficiency, with complexity of design emerging only from that goal of efficiency. Insofar as the designs discussed in the present chapter become complex, it is because of the intransigency of the environment: because, that is, of the experimenter’s lack of complete control.","language":"en","author":[{"family":"Campbell","given":"Donald T."},{"family":"Stanley","given":"Julian C."}],"issued":{"date-parts":[["2015",9,3]]}}},{"id":641,"uris":["http://zotero.org/users/2098925/items/J7ZNQ9SX"],"uri":["http://zotero.org/users/2098925/items/J7ZNQ9SX"],"itemData":{"id":641,"type":"article-journal","title":"Experimental methods: Between-subject and within-subject design","container-title":"Journal of Economic Behavior &amp; Organization","page":"1-8","volume":"81","issue":"1","source":"ScienceDirect","abstract":"In this article we explore the issues that surround within-subject and between-subject designs. We describe experiments in economics and in psychology that make comparisons using either of these designs (or both) that sometimes yield the same results and sometimes do not. The overall goal is to establish a framework for understanding which critical questions need to be asked about such experimental studies, what authors of such studies can do to ameliorate fears of confoundedness, and which scenarios are particularly susceptible to divergent results from the two approaches. Overall, we find that both designs have their merits, and the choice of designs should be carefully considered in the context of the question being studied and in terms of the practical implementation of the research study.","DOI":"10.1016/j.jebo.2011.08.009","ISSN":"0167-2681","shortTitle":"Experimental methods","journalAbbreviation":"Journal of Economic Behavior &amp; Organization","author":[{"family":"Charness","given":"Gary"},{"family":"Gneezy","given":"Uri"},{"family":"Kuhn","given":"Michael A."}],"issued":{"date-parts":[["2012",1]]}}},{"id":1088,"uris":["http://zotero.org/users/2098925/items/Z7MZ2U4V"],"uri":["http://zotero.org/users/2098925/items/Z7MZ2U4V"],"itemData":{"id":1088,"type":"book","title":"Quasi-experimentation: Design &amp; Analysis Issues for Field Settings","publisher":"Houghton Mifflin","number-of-pages":"424","source":"Google Books","ISBN":"978-0-395-30790-8","shortTitle":"Quasi-experimentation","language":"en","author":[{"family":"Cook","given":"Thomas D."},{"family":"Campbell","given":"Donald Thomas"}],"issued":{"date-parts":[["1979"]]}}}],"schema":"https://github.com/citation-style-language/schema/raw/master/csl-citation.json"} </w:instrText>
      </w:r>
      <w:r w:rsidR="00F13DC2" w:rsidRPr="00C347AD">
        <w:rPr>
          <w:highlight w:val="cyan"/>
        </w:rPr>
        <w:fldChar w:fldCharType="separate"/>
      </w:r>
      <w:r w:rsidR="00127547" w:rsidRPr="00C347AD">
        <w:rPr>
          <w:noProof/>
          <w:highlight w:val="cyan"/>
        </w:rPr>
        <w:t>(Campbell &amp; Stanley, 2015; Charness et al., 2012; Cook &amp; Campbell, 1979)</w:t>
      </w:r>
      <w:r w:rsidR="00F13DC2" w:rsidRPr="00C347AD">
        <w:rPr>
          <w:highlight w:val="cyan"/>
        </w:rPr>
        <w:fldChar w:fldCharType="end"/>
      </w:r>
      <w:r w:rsidR="00127547" w:rsidRPr="00C347AD">
        <w:rPr>
          <w:highlight w:val="cyan"/>
        </w:rPr>
        <w:t>.</w:t>
      </w:r>
      <w:r w:rsidR="00127547" w:rsidRPr="00C347AD">
        <w:t xml:space="preserve"> </w:t>
      </w:r>
    </w:p>
    <w:p w14:paraId="6D5C2042" w14:textId="2714A617" w:rsidR="008E1A3E" w:rsidRPr="00C347AD" w:rsidRDefault="008E1A3E" w:rsidP="00FE779B">
      <w:pPr>
        <w:pStyle w:val="Heading2"/>
      </w:pPr>
      <w:bookmarkStart w:id="68" w:name="_Toc466104364"/>
      <w:bookmarkStart w:id="69" w:name="_Toc470600344"/>
      <w:bookmarkStart w:id="70" w:name="_Toc471890451"/>
      <w:r w:rsidRPr="00C347AD">
        <w:t>Operationalizing UDL</w:t>
      </w:r>
      <w:bookmarkEnd w:id="68"/>
      <w:bookmarkEnd w:id="69"/>
      <w:bookmarkEnd w:id="70"/>
      <w:r w:rsidRPr="00C347AD">
        <w:t xml:space="preserve"> </w:t>
      </w:r>
    </w:p>
    <w:p w14:paraId="2CCE37C1" w14:textId="09250D21" w:rsidR="008E1A3E" w:rsidRPr="00C347AD" w:rsidRDefault="006E3241" w:rsidP="0004376B">
      <w:r w:rsidRPr="00C347AD">
        <w:t>I include this section to</w:t>
      </w:r>
      <w:r w:rsidR="008E1A3E" w:rsidRPr="00C347AD">
        <w:t xml:space="preserve"> provide clarity as to how UDL is being operationalized in this study. Given Edyburn’s (2010) call</w:t>
      </w:r>
      <w:r w:rsidR="00B43088" w:rsidRPr="00C347AD">
        <w:t xml:space="preserve"> for UDL operationalization</w:t>
      </w:r>
      <w:r w:rsidR="008E1A3E" w:rsidRPr="00C347AD">
        <w:t xml:space="preserve"> and Rao et al.’s (2014) related literature review, it is clear that a concise, objective definition of what constitutes UDL is not yet available and agreed upon. Any attempt at operationalizing UDL ought to take into account both the holistic aspects (</w:t>
      </w:r>
      <w:r w:rsidR="00B323A5" w:rsidRPr="00C347AD">
        <w:t>e.g.,</w:t>
      </w:r>
      <w:r w:rsidR="008E1A3E" w:rsidRPr="00C347AD">
        <w:t xml:space="preserve"> design, barrier removal, flexibility, </w:t>
      </w:r>
      <w:r w:rsidR="00867D1D" w:rsidRPr="00C347AD">
        <w:t>goal setting</w:t>
      </w:r>
      <w:r w:rsidR="008E1A3E" w:rsidRPr="00C347AD">
        <w:t xml:space="preserve">; </w:t>
      </w:r>
      <w:r w:rsidR="008E1A3E" w:rsidRPr="00C347AD">
        <w:fldChar w:fldCharType="begin"/>
      </w:r>
      <w:r w:rsidR="00F7126F" w:rsidRPr="00C347AD">
        <w:instrText xml:space="preserve"> ADDIN ZOTERO_ITEM CSL_CITATION {"citationID":"1600s8qcfu","properties":{"formattedCitation":"(Meyer et al., 2014)","plainCitation":"(Meyer et al., 2014)"},"citationItems":[{"id":548,"uris":["http://zotero.org/users/2098925/items/GNXI6MGX"],"uri":["http://zotero.org/users/2098925/items/GNXI6MGX"],"itemData":{"id":548,"type":"book","title":"Universal Design for Learning: Theory and Practice","publisher":"CAST Inc.","number-of-pages":"238","source":"Google Books","ISBN":"978-0-9898674-0-5","shortTitle":"Universal Design for Learning","language":"en","author":[{"family":"Meyer","given":"Anne"},{"family":"Rose","given":"David"},{"family":"Gordon","given":"David"}],"issued":{"date-parts":[["2014"]]}}}],"schema":"https://github.com/citation-style-language/schema/raw/master/csl-citation.json"} </w:instrText>
      </w:r>
      <w:r w:rsidR="008E1A3E" w:rsidRPr="00C347AD">
        <w:fldChar w:fldCharType="separate"/>
      </w:r>
      <w:r w:rsidR="008E1A3E" w:rsidRPr="00C347AD">
        <w:rPr>
          <w:noProof/>
        </w:rPr>
        <w:t>Meyer et al., 2014)</w:t>
      </w:r>
      <w:r w:rsidR="008E1A3E" w:rsidRPr="00C347AD">
        <w:fldChar w:fldCharType="end"/>
      </w:r>
      <w:r w:rsidR="008E1A3E" w:rsidRPr="00C347AD">
        <w:t xml:space="preserve"> and the details (</w:t>
      </w:r>
      <w:r w:rsidR="00B323A5" w:rsidRPr="00C347AD">
        <w:t>e.g.,</w:t>
      </w:r>
      <w:r w:rsidR="008E1A3E" w:rsidRPr="00C347AD">
        <w:t xml:space="preserve"> principles, guidelines, and checkpoints) that guide the practice of UDL. </w:t>
      </w:r>
      <w:r w:rsidR="0004376B" w:rsidRPr="00C347AD">
        <w:t xml:space="preserve">To assess this, the procedures for the experimental condition of this study call for </w:t>
      </w:r>
      <w:r w:rsidR="00867D1D" w:rsidRPr="00C347AD">
        <w:t>using intentional design, barrier removal, and clear goal setting for each lesson as well as identifying specific principles, guidelines, and checkpoints to use to address the said barriers and support students in accomplishing the articulated goal(s). The specific checkpoints utilized will vary by lesson; as a result, more emphasis is placed on the framework itself than any specific checkpoint</w:t>
      </w:r>
      <w:r w:rsidR="00CE26A8" w:rsidRPr="00C347AD">
        <w:t xml:space="preserve"> or combination of checkpoints (please s</w:t>
      </w:r>
      <w:r w:rsidR="00867D1D" w:rsidRPr="00C347AD">
        <w:t>ee the proce</w:t>
      </w:r>
      <w:r w:rsidR="00CE26A8" w:rsidRPr="00C347AD">
        <w:t>dures section for more details).</w:t>
      </w:r>
    </w:p>
    <w:p w14:paraId="7E3DA347" w14:textId="4754FE16" w:rsidR="008E1A3E" w:rsidRPr="00C347AD" w:rsidRDefault="008E1A3E" w:rsidP="008E1A3E">
      <w:r w:rsidRPr="00C347AD">
        <w:lastRenderedPageBreak/>
        <w:t xml:space="preserve">One broad concept guiding UDL in practice has been underscored by </w:t>
      </w:r>
      <w:r w:rsidRPr="00C347AD">
        <w:fldChar w:fldCharType="begin"/>
      </w:r>
      <w:r w:rsidR="00F7126F" w:rsidRPr="00C347AD">
        <w:instrText xml:space="preserve"> ADDIN ZOTERO_ITEM CSL_CITATION {"citationID":"aj6lil5l6","properties":{"formattedCitation":"(Israel, Ribuffo, &amp; Smith, 2014)","plainCitation":"(Israel, Ribuffo, &amp; Smith, 2014)","dontUpdate":true},"citationItems":[{"id":368,"uris":["http://zotero.org/users/2098925/items/BTUH4B6P"],"uri":["http://zotero.org/users/2098925/items/BTUH4B6P"],"itemData":{"id":368,"type":"article-journal","title":"Universal design for learning innovation configuration: Recommendations for preservice teacher preparation and inservice professional development.","source":"Google Scholar","URL":"https://kuscholarworks.ku.edu/handle/1808/18509","shortTitle":"Universal design for learning innovation configuration","author":[{"family":"Israel","given":"Maya"},{"family":"Ribuffo","given":"Cecelia"},{"family":"Smith","given":"Sean Joseph"}],"issued":{"date-parts":[["2014"]]},"accessed":{"date-parts":[["2016",1,8]]}}}],"schema":"https://github.com/citation-style-language/schema/raw/master/csl-citation.json"} </w:instrText>
      </w:r>
      <w:r w:rsidRPr="00C347AD">
        <w:fldChar w:fldCharType="separate"/>
      </w:r>
      <w:r w:rsidRPr="00C347AD">
        <w:rPr>
          <w:noProof/>
        </w:rPr>
        <w:t>Israel, Ribuffo, and Smith (2014)</w:t>
      </w:r>
      <w:r w:rsidRPr="00C347AD">
        <w:fldChar w:fldCharType="end"/>
      </w:r>
      <w:r w:rsidRPr="00C347AD">
        <w:t xml:space="preserve"> who argue that for a lesson to be considered in alignment with UDL, it must go beyond providing physical or even content-based access to </w:t>
      </w:r>
      <w:r w:rsidR="00CE26A8" w:rsidRPr="00C347AD">
        <w:t>students</w:t>
      </w:r>
      <w:r w:rsidRPr="00C347AD">
        <w:t xml:space="preserve">. Israel </w:t>
      </w:r>
      <w:r w:rsidR="00CE26A8" w:rsidRPr="00C347AD">
        <w:t>and others</w:t>
      </w:r>
      <w:r w:rsidRPr="00C347AD">
        <w:t xml:space="preserve"> </w:t>
      </w:r>
      <w:r w:rsidR="00BB39AD" w:rsidRPr="00C347AD">
        <w:t>express the significance of this point</w:t>
      </w:r>
      <w:r w:rsidRPr="00C347AD">
        <w:t>,</w:t>
      </w:r>
      <w:r w:rsidR="00BB39AD" w:rsidRPr="00C347AD">
        <w:t xml:space="preserve"> saying</w:t>
      </w:r>
      <w:r w:rsidRPr="00C347AD">
        <w:t xml:space="preserve"> “the traditional classroom accessibility efforts via automatic doors, automatic classroom lights, and wider entryways to accommodate wheelchairs; these solutions offer entry into the classroom but do not alter the content or instruction once students are there” (p. 24). In this sense, developing and executing a UDL lesson must involve the </w:t>
      </w:r>
      <w:r w:rsidRPr="00C347AD">
        <w:rPr>
          <w:i/>
        </w:rPr>
        <w:t>intentional dissolution of barriers</w:t>
      </w:r>
      <w:r w:rsidRPr="00C347AD">
        <w:t xml:space="preserve"> such that a student may access the room, the content, and the learning. This exceedingly broad </w:t>
      </w:r>
      <w:r w:rsidR="00BB39AD" w:rsidRPr="00C347AD">
        <w:t>conceptualization</w:t>
      </w:r>
      <w:r w:rsidRPr="00C347AD">
        <w:t xml:space="preserve"> is insufficient as an operationalization of UDL, but nevertheless begins to hack away at what UDL is not (but is often confused to be; Edyburn, 2010). </w:t>
      </w:r>
    </w:p>
    <w:p w14:paraId="1DADD587" w14:textId="7603EDFB" w:rsidR="008E1A3E" w:rsidRPr="00C347AD" w:rsidRDefault="008E1A3E" w:rsidP="008E1A3E">
      <w:r w:rsidRPr="00C347AD">
        <w:t>A second broad concept worth articulating may be to suggest that how we operationalize UDL is inherently connected to how we believe UDL ought to be taught to (preservice) teachers, and—by extension</w:t>
      </w:r>
      <w:r w:rsidRPr="00C347AD">
        <w:softHyphen/>
        <w:t>—how UDL ought to be used in P-12 and higher education classrooms.  For example, if we believe that for UDL to be used to teach ninth graders about World War II must draw from all three principles (</w:t>
      </w:r>
      <w:r w:rsidR="004F52F4" w:rsidRPr="00C347AD">
        <w:t>i.e.,</w:t>
      </w:r>
      <w:r w:rsidRPr="00C347AD">
        <w:t xml:space="preserve"> multiple means of representation, action and expression, and engagement), then operationalizing UDL as a constructed framework in general or in application to developing preservice teache</w:t>
      </w:r>
      <w:r w:rsidR="00BB39AD" w:rsidRPr="00C347AD">
        <w:t>r</w:t>
      </w:r>
      <w:r w:rsidRPr="00C347AD">
        <w:t xml:space="preserve">s must also insist on drawing from all three. Conversely, if researchers recognize that arbitrary rules such as “one must use at least two checkpoints from at least three guidelines in at each principle” is too rigid and impractical for dynamic classroom </w:t>
      </w:r>
      <w:r w:rsidRPr="00C347AD">
        <w:lastRenderedPageBreak/>
        <w:t xml:space="preserve">application, then UDL ought not to be so sharply operationalized at the conceptual level for research. </w:t>
      </w:r>
      <w:bookmarkStart w:id="71" w:name="OLE_LINK1"/>
      <w:bookmarkStart w:id="72" w:name="OLE_LINK2"/>
    </w:p>
    <w:p w14:paraId="30E563E7" w14:textId="0BB6700D" w:rsidR="008E1A3E" w:rsidRPr="00C347AD" w:rsidRDefault="008E1A3E" w:rsidP="008E1A3E">
      <w:r w:rsidRPr="00C347AD">
        <w:t>Further, operationalizing UDL</w:t>
      </w:r>
      <w:r w:rsidR="001D1527" w:rsidRPr="00C347AD">
        <w:t xml:space="preserve"> </w:t>
      </w:r>
      <w:r w:rsidRPr="00C347AD">
        <w:t xml:space="preserve">requires a subjectivity that is reflective of the fact that UDL is a framework, not a method. Any attempt to operationalize must recognize that the application of UDL is a complex, skill-based, subjective, decision-oriented form of pedagogy, the guiding principles for which will manifest uniquely depending on the context in which it is utilized. Seeking to objectively operationalize UDL would thus be limiting for practice and arbitrary for research. What we need in research is </w:t>
      </w:r>
      <w:r w:rsidR="00C2532E" w:rsidRPr="00C347AD">
        <w:rPr>
          <w:highlight w:val="cyan"/>
        </w:rPr>
        <w:t xml:space="preserve">a </w:t>
      </w:r>
      <w:r w:rsidRPr="00C347AD">
        <w:rPr>
          <w:highlight w:val="cyan"/>
        </w:rPr>
        <w:t>qualitative description of the design process that teachers, researchers, or instructional designers used to implement the UDL framework in the specific context in which it was done; such description must be rich enough to demonstrate the core aspect of UDL: design</w:t>
      </w:r>
      <w:r w:rsidRPr="00C347AD">
        <w:t xml:space="preserve"> (</w:t>
      </w:r>
      <w:r w:rsidRPr="00C347AD">
        <w:fldChar w:fldCharType="begin"/>
      </w:r>
      <w:r w:rsidR="00F7126F" w:rsidRPr="00C347AD">
        <w:instrText xml:space="preserve"> ADDIN ZOTERO_ITEM CSL_CITATION {"citationID":"YObEWu8V","properties":{"formattedCitation":"(Israel, Ribuffo, &amp; Smith, 2014)","plainCitation":"(Israel, Ribuffo, &amp; Smith, 2014)","dontUpdate":true},"citationItems":[{"id":368,"uris":["http://zotero.org/users/2098925/items/BTUH4B6P"],"uri":["http://zotero.org/users/2098925/items/BTUH4B6P"],"itemData":{"id":368,"type":"article-journal","title":"Universal design for learning innovation configuration: Recommendations for preservice teacher preparation and inservice professional development.","source":"Google Scholar","URL":"https://kuscholarworks.ku.edu/handle/1808/18509","shortTitle":"Universal design for learning innovation configuration","author":[{"family":"Israel","given":"Maya"},{"family":"Ribuffo","given":"Cecelia"},{"family":"Smith","given":"Sean Joseph"}],"issued":{"date-parts":[["2014"]]},"accessed":{"date-parts":[["2016",1,8]]}}}],"schema":"https://github.com/citation-style-language/schema/raw/master/csl-citation.json"} </w:instrText>
      </w:r>
      <w:r w:rsidRPr="00C347AD">
        <w:fldChar w:fldCharType="separate"/>
      </w:r>
      <w:r w:rsidRPr="00C347AD">
        <w:rPr>
          <w:noProof/>
        </w:rPr>
        <w:t>Israel, Ribuffo, &amp; Smith 2014)</w:t>
      </w:r>
      <w:r w:rsidRPr="00C347AD">
        <w:fldChar w:fldCharType="end"/>
      </w:r>
      <w:r w:rsidRPr="00C347AD">
        <w:t>.</w:t>
      </w:r>
    </w:p>
    <w:p w14:paraId="6B364FCF" w14:textId="62EEB94B" w:rsidR="008E1A3E" w:rsidRPr="00C347AD" w:rsidRDefault="008E1A3E" w:rsidP="008E1A3E">
      <w:r w:rsidRPr="00C347AD">
        <w:t xml:space="preserve">Edyburn’s (2010) commentary entitled “Would You Recognize Universal Design for Learning if you Saw It?” provides </w:t>
      </w:r>
      <w:r w:rsidR="00C2532E" w:rsidRPr="00C347AD">
        <w:t>10</w:t>
      </w:r>
      <w:r w:rsidRPr="00C347AD">
        <w:t xml:space="preserve"> propositions </w:t>
      </w:r>
      <w:r w:rsidR="00BB39AD" w:rsidRPr="00C347AD">
        <w:t>regarding</w:t>
      </w:r>
      <w:r w:rsidRPr="00C347AD">
        <w:t xml:space="preserve"> what UDL is and is not, argues that “without an adequate base of primary research, an analysis of research evidence establishing UDL as a scientifically validated intervention is not possible” (p. 34). In title and content, this groundbreaking commentary expresses Edyburn’s concern that the profession cannot “implement a construct that it cannot define” (p. 33). Rao et al. (2010) echo this call for operationalization, arguing that a “clear definition” (p. 154) of UDL is needed, where currently there is divergence. </w:t>
      </w:r>
    </w:p>
    <w:p w14:paraId="1DA0AF90" w14:textId="57624403" w:rsidR="008E1A3E" w:rsidRPr="00C347AD" w:rsidRDefault="008E1A3E" w:rsidP="008E1A3E">
      <w:r w:rsidRPr="00C347AD">
        <w:lastRenderedPageBreak/>
        <w:t xml:space="preserve">Edyburn’s call for “scientific validation” is one that begs objective operationalization of the construct of UDL. Likewise, the fact that Rao, et al. call for a “clear definition” in spite of very official and widely disseminated definitions that exist, indicates a that ‘clear’ here may be seen as synonymous to ‘objective,’ which the </w:t>
      </w:r>
      <w:r w:rsidR="00BB39AD" w:rsidRPr="00C347AD">
        <w:t xml:space="preserve">official </w:t>
      </w:r>
      <w:r w:rsidRPr="00C347AD">
        <w:t>definition of UDL</w:t>
      </w:r>
      <w:r w:rsidR="00BB39AD" w:rsidRPr="00C347AD">
        <w:t xml:space="preserve"> (</w:t>
      </w:r>
      <w:r w:rsidR="006E3241" w:rsidRPr="00C347AD">
        <w:t xml:space="preserve">i.e., </w:t>
      </w:r>
      <w:r w:rsidR="00BB39AD" w:rsidRPr="00C347AD">
        <w:t xml:space="preserve">that published by the Center for Applied Special Technology) is not. </w:t>
      </w:r>
      <w:r w:rsidRPr="00C347AD">
        <w:t>In both cases, this desire to structure UDL as an objective intervention reflect</w:t>
      </w:r>
      <w:r w:rsidR="00C2532E" w:rsidRPr="00C347AD">
        <w:t>s</w:t>
      </w:r>
      <w:r w:rsidRPr="00C347AD">
        <w:t xml:space="preserve"> a modernist, positivist perspective that </w:t>
      </w:r>
      <w:r w:rsidR="00C2532E" w:rsidRPr="00C347AD">
        <w:t>may be</w:t>
      </w:r>
      <w:r w:rsidRPr="00C347AD">
        <w:t xml:space="preserve"> at odds with the dynamic nature of UDL. The issue may not </w:t>
      </w:r>
      <w:r w:rsidR="00C2532E" w:rsidRPr="00C347AD">
        <w:t xml:space="preserve">be </w:t>
      </w:r>
      <w:r w:rsidRPr="00C347AD">
        <w:t xml:space="preserve">that UDL has not been well constructed and defined, but rather that we have not sufficiently undergone the necessary paradigm shift, as a field, to embrace the implications of researching a dynamic framework that calls for perpetual innovation rather than </w:t>
      </w:r>
      <w:r w:rsidR="00BB39AD" w:rsidRPr="00C347AD">
        <w:t xml:space="preserve">what we are long accustomed to: </w:t>
      </w:r>
      <w:r w:rsidRPr="00C347AD">
        <w:t xml:space="preserve">methods that can be learned and applied with a degree of </w:t>
      </w:r>
      <w:r w:rsidR="00BB39AD" w:rsidRPr="00C347AD">
        <w:t>operationalized</w:t>
      </w:r>
      <w:r w:rsidRPr="00C347AD">
        <w:t xml:space="preserve"> objectivity. </w:t>
      </w:r>
    </w:p>
    <w:p w14:paraId="387BE86D" w14:textId="4D3878B7" w:rsidR="008E1A3E" w:rsidRPr="00C347AD" w:rsidRDefault="008E1A3E" w:rsidP="008E1A3E">
      <w:r w:rsidRPr="00C347AD">
        <w:t>Our pining for such objectivity is not surprising given that the academic field of Education has grown up and gained what significance it has in the context of empiricism. It is our heritage to resemble the so-called hard sciences as closely as possible. However, in this period</w:t>
      </w:r>
      <w:r w:rsidR="00BB39AD" w:rsidRPr="00C347AD">
        <w:t xml:space="preserve"> of</w:t>
      </w:r>
      <w:r w:rsidRPr="00C347AD">
        <w:t xml:space="preserve"> innovation, clear top-down objectivity and structure must give way to bott</w:t>
      </w:r>
      <w:r w:rsidR="00BB39AD" w:rsidRPr="00C347AD">
        <w:t>om-up, post-positivist and post</w:t>
      </w:r>
      <w:r w:rsidRPr="00C347AD">
        <w:t>modernist constructs. What is UDL and what is not must be shaped by qualitative, intentional, creative, and contextual adherence to the framework. Unlike the field that is striving to study it, UDL’s heritage is in</w:t>
      </w:r>
      <w:r w:rsidR="00BB39AD" w:rsidRPr="00C347AD">
        <w:t xml:space="preserve"> the recognition and celebration of</w:t>
      </w:r>
      <w:r w:rsidRPr="00C347AD">
        <w:t xml:space="preserve"> subjectivity. Just as UDL calls for us to recognize that it is not a student who is disabled, but a learning environment that is disabling, so we must </w:t>
      </w:r>
      <w:r w:rsidRPr="00C347AD">
        <w:lastRenderedPageBreak/>
        <w:t>recognize that the definition of UDL is not limited, but rather it is our attempt to define UDL in conventional means that is limiting its potential.</w:t>
      </w:r>
    </w:p>
    <w:p w14:paraId="04907185" w14:textId="67EF24FB" w:rsidR="008E1A3E" w:rsidRPr="00C347AD" w:rsidRDefault="008E1A3E" w:rsidP="008E1A3E">
      <w:r w:rsidRPr="00C347AD">
        <w:t xml:space="preserve"> In this light, Edyburn’s </w:t>
      </w:r>
      <w:r w:rsidR="00605D61" w:rsidRPr="00C347AD">
        <w:t>10</w:t>
      </w:r>
      <w:r w:rsidRPr="00C347AD">
        <w:t xml:space="preserve"> propositions are exactly what we need: broad exploration of where the tentative boundary lines are for implementing the</w:t>
      </w:r>
      <w:r w:rsidR="00BB39AD" w:rsidRPr="00C347AD">
        <w:t xml:space="preserve"> UDL</w:t>
      </w:r>
      <w:r w:rsidRPr="00C347AD">
        <w:t xml:space="preserve"> framework; however, I would suggest that this is not “definitional” in the traditional sense. Explicitly or implicitly, the majority of Edyburn’s propositions state what UDL is </w:t>
      </w:r>
      <w:r w:rsidRPr="00C347AD">
        <w:rPr>
          <w:i/>
        </w:rPr>
        <w:t>not</w:t>
      </w:r>
      <w:r w:rsidRPr="00C347AD">
        <w:t xml:space="preserve">. Here is a paraphrase of </w:t>
      </w:r>
      <w:r w:rsidR="00605D61" w:rsidRPr="00C347AD">
        <w:t xml:space="preserve">7 </w:t>
      </w:r>
      <w:r w:rsidRPr="00C347AD">
        <w:t xml:space="preserve">of the </w:t>
      </w:r>
      <w:r w:rsidR="00605D61" w:rsidRPr="00C347AD">
        <w:t>10</w:t>
      </w:r>
      <w:r w:rsidRPr="00C347AD">
        <w:t xml:space="preserve">: It is </w:t>
      </w:r>
      <w:r w:rsidRPr="00C347AD">
        <w:rPr>
          <w:i/>
        </w:rPr>
        <w:t>not</w:t>
      </w:r>
      <w:r w:rsidRPr="00C347AD">
        <w:t xml:space="preserve"> really parallel to UD architecture (proposition #1); it is </w:t>
      </w:r>
      <w:r w:rsidRPr="00C347AD">
        <w:rPr>
          <w:i/>
        </w:rPr>
        <w:t>not</w:t>
      </w:r>
      <w:r w:rsidRPr="00C347AD">
        <w:rPr>
          <w:b/>
        </w:rPr>
        <w:t xml:space="preserve"> </w:t>
      </w:r>
      <w:r w:rsidRPr="00C347AD">
        <w:t xml:space="preserve">just good teaching or what we have always done, but rather about dynamic design (proposition #4); it is </w:t>
      </w:r>
      <w:r w:rsidRPr="00C347AD">
        <w:rPr>
          <w:i/>
        </w:rPr>
        <w:t>not</w:t>
      </w:r>
      <w:r w:rsidRPr="00C347AD">
        <w:t xml:space="preserve"> “natural” (proposition #5); it is </w:t>
      </w:r>
      <w:r w:rsidRPr="00C347AD">
        <w:rPr>
          <w:i/>
        </w:rPr>
        <w:t>not</w:t>
      </w:r>
      <w:r w:rsidRPr="00C347AD">
        <w:rPr>
          <w:b/>
        </w:rPr>
        <w:t xml:space="preserve"> </w:t>
      </w:r>
      <w:r w:rsidRPr="00C347AD">
        <w:t xml:space="preserve">low tech/no tech (proposition #6); it is </w:t>
      </w:r>
      <w:r w:rsidRPr="00C347AD">
        <w:rPr>
          <w:i/>
        </w:rPr>
        <w:t>not</w:t>
      </w:r>
      <w:r w:rsidRPr="00C347AD">
        <w:rPr>
          <w:b/>
        </w:rPr>
        <w:t xml:space="preserve"> </w:t>
      </w:r>
      <w:r w:rsidRPr="00C347AD">
        <w:t xml:space="preserve">assistive technology (proposition #7); it is </w:t>
      </w:r>
      <w:r w:rsidRPr="00C347AD">
        <w:rPr>
          <w:i/>
        </w:rPr>
        <w:t>not</w:t>
      </w:r>
      <w:r w:rsidRPr="00C347AD">
        <w:t xml:space="preserve"> simply about primary impact/primary target (proposition #8); it is </w:t>
      </w:r>
      <w:r w:rsidRPr="00C347AD">
        <w:rPr>
          <w:i/>
        </w:rPr>
        <w:t>not</w:t>
      </w:r>
      <w:r w:rsidRPr="00C347AD">
        <w:rPr>
          <w:b/>
        </w:rPr>
        <w:t xml:space="preserve"> </w:t>
      </w:r>
      <w:r w:rsidRPr="00C347AD">
        <w:t>simple (proposition #10). The remaining three, affirmative-natured propositions are either intentionally broad in concept (</w:t>
      </w:r>
      <w:r w:rsidR="004F52F4" w:rsidRPr="00C347AD">
        <w:t>i.e.,</w:t>
      </w:r>
      <w:r w:rsidRPr="00C347AD">
        <w:t xml:space="preserve"> proposition #2: “UDL is fundamentally about proactively valuing diversity”; proposition #3: “UDL is ultimately about design”) or about evaluation of the construct, which is not definitional (</w:t>
      </w:r>
      <w:r w:rsidR="004F52F4" w:rsidRPr="00C347AD">
        <w:t>i.e.,</w:t>
      </w:r>
      <w:r w:rsidRPr="00C347AD">
        <w:t xml:space="preserve"> proposition #9: “Claims of UDL must be evaluated on the basis of enhanced student performance.”). Focusing on what UDL is </w:t>
      </w:r>
      <w:r w:rsidRPr="00C347AD">
        <w:rPr>
          <w:i/>
        </w:rPr>
        <w:t>not</w:t>
      </w:r>
      <w:r w:rsidR="00BB39AD" w:rsidRPr="00C347AD">
        <w:t xml:space="preserve"> may be the correct idea. D</w:t>
      </w:r>
      <w:r w:rsidRPr="00C347AD">
        <w:t>oing so does not lead to a de</w:t>
      </w:r>
      <w:r w:rsidR="00E14400" w:rsidRPr="00C347AD">
        <w:t>finition, but a territory (see F</w:t>
      </w:r>
      <w:r w:rsidRPr="00C347AD">
        <w:t xml:space="preserve">igure </w:t>
      </w:r>
      <w:r w:rsidR="00E14400" w:rsidRPr="00C347AD">
        <w:t>9</w:t>
      </w:r>
      <w:r w:rsidR="00783B6D" w:rsidRPr="00C347AD">
        <w:t>, Appendix A</w:t>
      </w:r>
      <w:r w:rsidRPr="00C347AD">
        <w:t xml:space="preserve">) in which UDL and its practice may </w:t>
      </w:r>
      <w:r w:rsidR="00E14400" w:rsidRPr="00C347AD">
        <w:t>move</w:t>
      </w:r>
      <w:r w:rsidRPr="00C347AD">
        <w:t xml:space="preserve"> and grow in relation to the complex task that it seeks to achieve. In this study, UDL is operationalized according to this territorial </w:t>
      </w:r>
      <w:r w:rsidR="00BE60D9" w:rsidRPr="00C347AD">
        <w:t xml:space="preserve">operationalization, with specific articulation as to which principles and </w:t>
      </w:r>
      <w:r w:rsidR="00BE60D9" w:rsidRPr="00C347AD">
        <w:lastRenderedPageBreak/>
        <w:t xml:space="preserve">checkpoints were utilized in lessons, and some qualitative explanation provided so as to demonstrate the design elements of these choices in context. </w:t>
      </w:r>
    </w:p>
    <w:p w14:paraId="070300B8" w14:textId="3C6E91C6" w:rsidR="000B3B0C" w:rsidRPr="00C347AD" w:rsidRDefault="00E43876" w:rsidP="00FE779B">
      <w:pPr>
        <w:pStyle w:val="Heading2"/>
      </w:pPr>
      <w:bookmarkStart w:id="73" w:name="_Toc470600345"/>
      <w:bookmarkStart w:id="74" w:name="_Toc471890452"/>
      <w:bookmarkEnd w:id="71"/>
      <w:bookmarkEnd w:id="72"/>
      <w:r w:rsidRPr="00C347AD">
        <w:t>Procedure</w:t>
      </w:r>
      <w:bookmarkEnd w:id="73"/>
      <w:bookmarkEnd w:id="74"/>
    </w:p>
    <w:p w14:paraId="6CD5137F" w14:textId="4646BCF4" w:rsidR="004E4813" w:rsidRPr="00C347AD" w:rsidRDefault="00BA37D9" w:rsidP="004E4813">
      <w:r w:rsidRPr="00C347AD">
        <w:t xml:space="preserve">Each condition (treatment and control) will follow a procedural process. </w:t>
      </w:r>
      <w:r w:rsidR="004E4813" w:rsidRPr="00C347AD">
        <w:t xml:space="preserve">In both conditions, students will be assigned text-reading assignments to complete outside of class. No procedural difference will separate the two conditions outside of class. In class, however, the conditions will be distinct as demonstrated in the following procedures. </w:t>
      </w:r>
      <w:r w:rsidR="00A7244D" w:rsidRPr="00C347AD">
        <w:t>A summary comparing the two conditi</w:t>
      </w:r>
      <w:r w:rsidR="00774E8D" w:rsidRPr="00C347AD">
        <w:t>ons is also presented in T</w:t>
      </w:r>
      <w:r w:rsidR="00255A1E" w:rsidRPr="00C347AD">
        <w:t>able 7</w:t>
      </w:r>
      <w:r w:rsidR="00EF4E42" w:rsidRPr="00C347AD">
        <w:t xml:space="preserve"> (Appendix A)</w:t>
      </w:r>
      <w:r w:rsidR="00A7244D" w:rsidRPr="00C347AD">
        <w:t xml:space="preserve">. </w:t>
      </w:r>
    </w:p>
    <w:p w14:paraId="777FB43B" w14:textId="77777777" w:rsidR="005F45DA" w:rsidRPr="00C347AD" w:rsidRDefault="005F45DA" w:rsidP="009D63D0">
      <w:pPr>
        <w:shd w:val="clear" w:color="auto" w:fill="FFFFFF"/>
        <w:rPr>
          <w:color w:val="444444"/>
        </w:rPr>
      </w:pPr>
      <w:r w:rsidRPr="00C347AD">
        <w:rPr>
          <w:b/>
          <w:bCs/>
          <w:iCs/>
          <w:color w:val="444444"/>
        </w:rPr>
        <w:t>Treatment condition</w:t>
      </w:r>
      <w:r w:rsidRPr="00C347AD">
        <w:rPr>
          <w:iCs/>
          <w:color w:val="444444"/>
        </w:rPr>
        <w:t>.</w:t>
      </w:r>
      <w:r w:rsidRPr="00C347AD">
        <w:rPr>
          <w:rStyle w:val="apple-converted-space"/>
          <w:iCs/>
          <w:color w:val="444444"/>
        </w:rPr>
        <w:t> </w:t>
      </w:r>
      <w:r w:rsidRPr="00C347AD">
        <w:rPr>
          <w:color w:val="444444"/>
        </w:rPr>
        <w:t>Within the treatment condition, the following steps will be undertaken for each class taught:</w:t>
      </w:r>
    </w:p>
    <w:p w14:paraId="3D1EB6C2" w14:textId="6828C883" w:rsidR="001D7F4A" w:rsidRPr="00C347AD" w:rsidRDefault="005F45DA" w:rsidP="009D63D0">
      <w:pPr>
        <w:pStyle w:val="NormalWeb"/>
        <w:numPr>
          <w:ilvl w:val="0"/>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Prior to instruction, the instructor will create a brief UDL using the lesson plan (</w:t>
      </w:r>
      <w:r w:rsidR="00B50223" w:rsidRPr="00C347AD">
        <w:rPr>
          <w:rFonts w:ascii="Times New Roman" w:hAnsi="Times New Roman"/>
          <w:color w:val="444444"/>
          <w:sz w:val="24"/>
          <w:szCs w:val="24"/>
        </w:rPr>
        <w:t xml:space="preserve">see template in Appendix B) </w:t>
      </w:r>
      <w:r w:rsidRPr="00C347AD">
        <w:rPr>
          <w:rFonts w:ascii="Times New Roman" w:hAnsi="Times New Roman"/>
          <w:color w:val="444444"/>
          <w:sz w:val="24"/>
          <w:szCs w:val="24"/>
        </w:rPr>
        <w:t>for each lesson to be taught in the treatment condition. This plan will identify (a) goals, (b) likely barriers, and (c) checkpoints from the UDL Framework that may be appropriate for mitigating or removing these barriers.</w:t>
      </w:r>
    </w:p>
    <w:p w14:paraId="4C134690" w14:textId="77777777" w:rsidR="001D7F4A" w:rsidRPr="00C347AD" w:rsidRDefault="001D7F4A" w:rsidP="009D63D0">
      <w:pPr>
        <w:pStyle w:val="NormalWeb"/>
        <w:numPr>
          <w:ilvl w:val="0"/>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 xml:space="preserve"> </w:t>
      </w:r>
      <w:r w:rsidR="005F45DA" w:rsidRPr="00C347AD">
        <w:rPr>
          <w:rFonts w:ascii="Times New Roman" w:hAnsi="Times New Roman"/>
          <w:color w:val="444444"/>
          <w:sz w:val="24"/>
          <w:szCs w:val="24"/>
        </w:rPr>
        <w:t>During each UDL-modeled class, the instructor will</w:t>
      </w:r>
      <w:r w:rsidRPr="00C347AD">
        <w:rPr>
          <w:rFonts w:ascii="Times New Roman" w:hAnsi="Times New Roman"/>
          <w:color w:val="444444"/>
          <w:sz w:val="24"/>
          <w:szCs w:val="24"/>
        </w:rPr>
        <w:t>:</w:t>
      </w:r>
    </w:p>
    <w:p w14:paraId="08AFFBBE" w14:textId="77777777" w:rsidR="001D7F4A" w:rsidRPr="00C347AD" w:rsidRDefault="005F45DA" w:rsidP="009D63D0">
      <w:pPr>
        <w:pStyle w:val="NormalWeb"/>
        <w:numPr>
          <w:ilvl w:val="1"/>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Distribute a hard copy of the lesson plan (in “1” above) to the students, which includes the goals, barriers, and checkpoints for the lesson</w:t>
      </w:r>
    </w:p>
    <w:p w14:paraId="3C72A0AD" w14:textId="77777777" w:rsidR="001D7F4A" w:rsidRPr="00C347AD" w:rsidRDefault="005F45DA" w:rsidP="009D63D0">
      <w:pPr>
        <w:pStyle w:val="NormalWeb"/>
        <w:numPr>
          <w:ilvl w:val="1"/>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Verbally express justification for the checkpoints selected for the present lesson (thinking out loud).</w:t>
      </w:r>
    </w:p>
    <w:p w14:paraId="6E4B646D" w14:textId="77777777" w:rsidR="001D7F4A" w:rsidRPr="00C347AD" w:rsidRDefault="005F45DA" w:rsidP="009D63D0">
      <w:pPr>
        <w:pStyle w:val="NormalWeb"/>
        <w:numPr>
          <w:ilvl w:val="1"/>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lastRenderedPageBreak/>
        <w:t>Verbally encourage students to take notes, stating “please remember that you are always encouraged to take notes by hand or using your laptop or tablet during class. You may also feel free to audio record the lesson.”</w:t>
      </w:r>
    </w:p>
    <w:p w14:paraId="7852CD26" w14:textId="5ADD4B29" w:rsidR="001D7F4A" w:rsidRPr="00C347AD" w:rsidRDefault="005F45DA" w:rsidP="009D63D0">
      <w:pPr>
        <w:pStyle w:val="NormalWeb"/>
        <w:numPr>
          <w:ilvl w:val="1"/>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Pause to explicitly state (verbally) when a prescribed checkpoint was used. Do this for each checkpoint prescribed in the lesson plan. (For example, after introducing relevant new terminology for the lesson, the instructor will pause and explicitly reflect</w:t>
      </w:r>
      <w:r w:rsidR="00A43411" w:rsidRPr="00C347AD">
        <w:rPr>
          <w:rFonts w:ascii="Times New Roman" w:hAnsi="Times New Roman"/>
          <w:color w:val="444444"/>
          <w:sz w:val="24"/>
          <w:szCs w:val="24"/>
        </w:rPr>
        <w:t xml:space="preserve"> </w:t>
      </w:r>
      <w:r w:rsidRPr="00C347AD">
        <w:rPr>
          <w:rFonts w:ascii="Times New Roman" w:hAnsi="Times New Roman"/>
          <w:color w:val="444444"/>
          <w:sz w:val="24"/>
          <w:szCs w:val="24"/>
        </w:rPr>
        <w:t>“Please note that I just took a minute to clarify some new vocabulary. This reflects checkpoint 2.1 in the UDL framework, which I had prescribed to address the barrier that I predicted whereby some students may not have had requisite vocabulary for the lesson.”)</w:t>
      </w:r>
    </w:p>
    <w:p w14:paraId="77FDCEE3" w14:textId="77777777" w:rsidR="001D7F4A" w:rsidRPr="00C347AD" w:rsidRDefault="001D7F4A" w:rsidP="009D63D0">
      <w:pPr>
        <w:pStyle w:val="NormalWeb"/>
        <w:numPr>
          <w:ilvl w:val="1"/>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 xml:space="preserve"> </w:t>
      </w:r>
      <w:r w:rsidR="005F45DA" w:rsidRPr="00C347AD">
        <w:rPr>
          <w:rFonts w:ascii="Times New Roman" w:hAnsi="Times New Roman"/>
          <w:color w:val="444444"/>
          <w:sz w:val="24"/>
          <w:szCs w:val="24"/>
        </w:rPr>
        <w:t>For each explicitly stated checkpoint (as in “d”, above), ask students to reflect on whether the use of this checkpoint was effective in addressing the predicted barrier and how they may use the method in their own future classes. (For example, following the scenario in “d” above, the instructor will ask, “did the explicit instruction of new vocabulary for this lesson ensure common understanding of key terms?” Allow student response, then inquire, “how might this be useful in your own practice?”)</w:t>
      </w:r>
    </w:p>
    <w:p w14:paraId="38BCFCF6" w14:textId="3C97A1AB" w:rsidR="005F45DA" w:rsidRPr="00C347AD" w:rsidRDefault="005F45DA" w:rsidP="009D63D0">
      <w:pPr>
        <w:pStyle w:val="NormalWeb"/>
        <w:numPr>
          <w:ilvl w:val="1"/>
          <w:numId w:val="26"/>
        </w:numPr>
        <w:shd w:val="clear" w:color="auto" w:fill="FFFFFF"/>
        <w:spacing w:line="480" w:lineRule="auto"/>
        <w:rPr>
          <w:rFonts w:ascii="Times New Roman" w:hAnsi="Times New Roman"/>
          <w:color w:val="444444"/>
          <w:sz w:val="24"/>
          <w:szCs w:val="24"/>
        </w:rPr>
      </w:pPr>
      <w:r w:rsidRPr="00C347AD">
        <w:rPr>
          <w:rFonts w:ascii="Times New Roman" w:hAnsi="Times New Roman"/>
          <w:color w:val="444444"/>
          <w:sz w:val="24"/>
          <w:szCs w:val="24"/>
        </w:rPr>
        <w:t>Verbally prompt students to ask any questions or offer any comments that they have at appropriate intervals during the lesson (at least two times per lesson).</w:t>
      </w:r>
    </w:p>
    <w:p w14:paraId="31954B11" w14:textId="77777777" w:rsidR="001D7F4A" w:rsidRPr="00C347AD" w:rsidRDefault="005F45DA" w:rsidP="005F300C">
      <w:pPr>
        <w:shd w:val="clear" w:color="auto" w:fill="FFFFFF"/>
        <w:rPr>
          <w:color w:val="444444"/>
        </w:rPr>
      </w:pPr>
      <w:r w:rsidRPr="00C347AD">
        <w:rPr>
          <w:b/>
          <w:bCs/>
          <w:iCs/>
          <w:color w:val="444444"/>
        </w:rPr>
        <w:lastRenderedPageBreak/>
        <w:t>Control condition</w:t>
      </w:r>
      <w:r w:rsidRPr="00C347AD">
        <w:rPr>
          <w:iCs/>
          <w:color w:val="444444"/>
        </w:rPr>
        <w:t>.</w:t>
      </w:r>
      <w:r w:rsidRPr="00C347AD">
        <w:rPr>
          <w:rStyle w:val="apple-converted-space"/>
          <w:iCs/>
          <w:color w:val="444444"/>
        </w:rPr>
        <w:t> </w:t>
      </w:r>
      <w:r w:rsidRPr="00C347AD">
        <w:rPr>
          <w:color w:val="444444"/>
        </w:rPr>
        <w:t>Within the control condition, class will be taught according to a “business as usual” model. In this condition, procedures will be as follow. During each control-group lesson, the instructor will:</w:t>
      </w:r>
    </w:p>
    <w:p w14:paraId="5F5F8D0A" w14:textId="77777777" w:rsidR="001D7F4A" w:rsidRPr="00C347AD" w:rsidRDefault="005F45DA" w:rsidP="005F300C">
      <w:pPr>
        <w:pStyle w:val="ListParagraph"/>
        <w:numPr>
          <w:ilvl w:val="0"/>
          <w:numId w:val="27"/>
        </w:numPr>
        <w:shd w:val="clear" w:color="auto" w:fill="FFFFFF"/>
        <w:rPr>
          <w:color w:val="444444"/>
        </w:rPr>
      </w:pPr>
      <w:r w:rsidRPr="00C347AD">
        <w:rPr>
          <w:color w:val="444444"/>
        </w:rPr>
        <w:t>Textually and orally share the learning objective(s) for the lesson with the students on the second slide of a PowerPoint presentation (the first slide will be lesson title).</w:t>
      </w:r>
    </w:p>
    <w:p w14:paraId="3EA73D20" w14:textId="77777777" w:rsidR="001D7F4A" w:rsidRPr="00C347AD" w:rsidRDefault="001D7F4A" w:rsidP="005F300C">
      <w:pPr>
        <w:pStyle w:val="ListParagraph"/>
        <w:numPr>
          <w:ilvl w:val="0"/>
          <w:numId w:val="27"/>
        </w:numPr>
        <w:shd w:val="clear" w:color="auto" w:fill="FFFFFF"/>
        <w:rPr>
          <w:color w:val="444444"/>
        </w:rPr>
      </w:pPr>
      <w:r w:rsidRPr="00C347AD">
        <w:rPr>
          <w:color w:val="444444"/>
        </w:rPr>
        <w:t xml:space="preserve"> </w:t>
      </w:r>
      <w:r w:rsidR="005F45DA" w:rsidRPr="00C347AD">
        <w:rPr>
          <w:color w:val="444444"/>
        </w:rPr>
        <w:t>Verbally encourage students to take notes, stating “please remember that you are always encouraged to take notes by hand or using your laptop or tablet during class. You may also feel free to audio record the lesson.”</w:t>
      </w:r>
    </w:p>
    <w:p w14:paraId="2806B3D1" w14:textId="77777777" w:rsidR="001D7F4A" w:rsidRPr="00C347AD" w:rsidRDefault="001D7F4A" w:rsidP="005F300C">
      <w:pPr>
        <w:pStyle w:val="ListParagraph"/>
        <w:numPr>
          <w:ilvl w:val="0"/>
          <w:numId w:val="27"/>
        </w:numPr>
        <w:shd w:val="clear" w:color="auto" w:fill="FFFFFF"/>
        <w:rPr>
          <w:color w:val="444444"/>
        </w:rPr>
      </w:pPr>
      <w:r w:rsidRPr="00C347AD">
        <w:rPr>
          <w:color w:val="444444"/>
        </w:rPr>
        <w:t xml:space="preserve"> </w:t>
      </w:r>
      <w:r w:rsidR="005F45DA" w:rsidRPr="00C347AD">
        <w:rPr>
          <w:color w:val="444444"/>
        </w:rPr>
        <w:t>Orally lecture and display PowerPoint slides using the PowerPoints created by Pearson (the textbook publishers).</w:t>
      </w:r>
    </w:p>
    <w:p w14:paraId="497CAE54" w14:textId="77777777" w:rsidR="005F300C" w:rsidRPr="00C347AD" w:rsidRDefault="001D7F4A" w:rsidP="005F300C">
      <w:pPr>
        <w:pStyle w:val="ListParagraph"/>
        <w:numPr>
          <w:ilvl w:val="0"/>
          <w:numId w:val="27"/>
        </w:numPr>
        <w:shd w:val="clear" w:color="auto" w:fill="FFFFFF"/>
        <w:rPr>
          <w:color w:val="444444"/>
        </w:rPr>
      </w:pPr>
      <w:r w:rsidRPr="00C347AD">
        <w:rPr>
          <w:color w:val="444444"/>
        </w:rPr>
        <w:t xml:space="preserve"> </w:t>
      </w:r>
      <w:r w:rsidR="005F45DA" w:rsidRPr="00C347AD">
        <w:rPr>
          <w:color w:val="444444"/>
        </w:rPr>
        <w:t xml:space="preserve">Verbally prompt students to ask any questions or offer any comments that they have at appropriate intervals during the lesson (at least two times per </w:t>
      </w:r>
      <w:r w:rsidR="004926E3" w:rsidRPr="00C347AD">
        <w:rPr>
          <w:color w:val="444444"/>
        </w:rPr>
        <w:t>hour per lesson</w:t>
      </w:r>
      <w:r w:rsidR="005F45DA" w:rsidRPr="00C347AD">
        <w:rPr>
          <w:color w:val="444444"/>
        </w:rPr>
        <w:t>).</w:t>
      </w:r>
      <w:r w:rsidR="005F300C" w:rsidRPr="00C347AD">
        <w:rPr>
          <w:color w:val="444444"/>
        </w:rPr>
        <w:t xml:space="preserve"> </w:t>
      </w:r>
    </w:p>
    <w:p w14:paraId="51CD8572" w14:textId="4F38B185" w:rsidR="005F300C" w:rsidRPr="00C347AD" w:rsidRDefault="001D7F4A" w:rsidP="005F300C">
      <w:pPr>
        <w:pStyle w:val="ListParagraph"/>
        <w:numPr>
          <w:ilvl w:val="0"/>
          <w:numId w:val="27"/>
        </w:numPr>
        <w:shd w:val="clear" w:color="auto" w:fill="FFFFFF"/>
        <w:rPr>
          <w:color w:val="444444"/>
        </w:rPr>
      </w:pPr>
      <w:r w:rsidRPr="00C347AD">
        <w:rPr>
          <w:color w:val="444444"/>
        </w:rPr>
        <w:t>Verbally</w:t>
      </w:r>
      <w:r w:rsidR="005F45DA" w:rsidRPr="00C347AD">
        <w:rPr>
          <w:color w:val="444444"/>
        </w:rPr>
        <w:t xml:space="preserve"> summarize the lesson during the last 5 minutes of the class. </w:t>
      </w:r>
    </w:p>
    <w:p w14:paraId="1A34EA4D" w14:textId="0AA06E2D" w:rsidR="005F300C" w:rsidRPr="00C347AD" w:rsidRDefault="005F300C" w:rsidP="005F300C">
      <w:pPr>
        <w:pStyle w:val="ListParagraph"/>
        <w:numPr>
          <w:ilvl w:val="0"/>
          <w:numId w:val="27"/>
        </w:numPr>
      </w:pPr>
      <w:r w:rsidRPr="00C347AD">
        <w:t>Provide students with the opportunity to ask questions or comment at appropriate intervals, defined as: at least 2x per</w:t>
      </w:r>
      <w:r w:rsidR="008C7F5E" w:rsidRPr="00C347AD">
        <w:t xml:space="preserve"> hour per lesson?</w:t>
      </w:r>
    </w:p>
    <w:p w14:paraId="2851204D" w14:textId="47AF583D" w:rsidR="00CE0515" w:rsidRPr="00C347AD" w:rsidRDefault="003E3607" w:rsidP="00255A1E">
      <w:bookmarkStart w:id="75" w:name="_Toc466104365"/>
      <w:bookmarkStart w:id="76" w:name="_Toc470600346"/>
      <w:r w:rsidRPr="00C347AD">
        <w:rPr>
          <w:i/>
        </w:rPr>
        <w:t>Procedural fidelity</w:t>
      </w:r>
      <w:r w:rsidRPr="00C347AD">
        <w:t>.</w:t>
      </w:r>
      <w:r w:rsidR="00255A1E" w:rsidRPr="00C347AD">
        <w:t xml:space="preserve"> </w:t>
      </w:r>
      <w:r w:rsidRPr="00C347AD">
        <w:t xml:space="preserve">Procedural fidelity </w:t>
      </w:r>
      <w:r w:rsidR="005236A0" w:rsidRPr="00C347AD">
        <w:t>was</w:t>
      </w:r>
      <w:r w:rsidRPr="00C347AD">
        <w:t xml:space="preserve"> based on third party observation of the </w:t>
      </w:r>
      <w:r w:rsidRPr="00C347AD">
        <w:rPr>
          <w:highlight w:val="yellow"/>
        </w:rPr>
        <w:t xml:space="preserve">class in at least 20% of all lessons. </w:t>
      </w:r>
      <w:r w:rsidR="00CE0515" w:rsidRPr="00C347AD">
        <w:rPr>
          <w:highlight w:val="yellow"/>
        </w:rPr>
        <w:t xml:space="preserve">Based on </w:t>
      </w:r>
      <w:r w:rsidR="00A07AC3" w:rsidRPr="00C347AD">
        <w:rPr>
          <w:highlight w:val="yellow"/>
        </w:rPr>
        <w:t>the above procedures and my proposed</w:t>
      </w:r>
      <w:r w:rsidR="00CE0515" w:rsidRPr="00C347AD">
        <w:rPr>
          <w:highlight w:val="yellow"/>
        </w:rPr>
        <w:t xml:space="preserve"> territorial operationalization of UDL, procedural fidelity in modeling UDL for this study </w:t>
      </w:r>
      <w:r w:rsidR="005236A0" w:rsidRPr="00C347AD">
        <w:rPr>
          <w:highlight w:val="yellow"/>
        </w:rPr>
        <w:t>was</w:t>
      </w:r>
      <w:r w:rsidR="00CE0515" w:rsidRPr="00C347AD">
        <w:rPr>
          <w:highlight w:val="yellow"/>
        </w:rPr>
        <w:t xml:space="preserve"> </w:t>
      </w:r>
      <w:r w:rsidR="00A07AC3" w:rsidRPr="00C347AD">
        <w:rPr>
          <w:highlight w:val="yellow"/>
        </w:rPr>
        <w:t>evaluated based on a procedural</w:t>
      </w:r>
      <w:r w:rsidR="00772778" w:rsidRPr="00C347AD">
        <w:rPr>
          <w:highlight w:val="yellow"/>
        </w:rPr>
        <w:t xml:space="preserve"> checklist</w:t>
      </w:r>
      <w:r w:rsidR="00D20A8D" w:rsidRPr="00C347AD">
        <w:t xml:space="preserve"> </w:t>
      </w:r>
      <w:r w:rsidR="00B50223" w:rsidRPr="00C347AD">
        <w:t>(see Appendix C</w:t>
      </w:r>
      <w:r w:rsidR="00D20A8D" w:rsidRPr="00C347AD">
        <w:t>)</w:t>
      </w:r>
      <w:r w:rsidR="00A07AC3" w:rsidRPr="00C347AD">
        <w:t>.</w:t>
      </w:r>
      <w:bookmarkEnd w:id="75"/>
      <w:bookmarkEnd w:id="76"/>
      <w:r w:rsidR="00A07AC3" w:rsidRPr="00C347AD">
        <w:t xml:space="preserve"> </w:t>
      </w:r>
    </w:p>
    <w:p w14:paraId="322A1B45" w14:textId="56F814EC" w:rsidR="00C12F6C" w:rsidRPr="00C347AD" w:rsidRDefault="00C12F6C" w:rsidP="00FE779B">
      <w:pPr>
        <w:pStyle w:val="Heading2"/>
      </w:pPr>
      <w:bookmarkStart w:id="77" w:name="_Toc466104366"/>
      <w:bookmarkStart w:id="78" w:name="_Toc470600347"/>
      <w:bookmarkStart w:id="79" w:name="_Toc471890453"/>
      <w:r w:rsidRPr="00C347AD">
        <w:lastRenderedPageBreak/>
        <w:t>Instruments</w:t>
      </w:r>
      <w:bookmarkEnd w:id="77"/>
      <w:bookmarkEnd w:id="78"/>
      <w:bookmarkEnd w:id="79"/>
    </w:p>
    <w:p w14:paraId="5C82AFFB" w14:textId="1A6ACF49" w:rsidR="00BD30B0" w:rsidRPr="00C347AD" w:rsidRDefault="00D555AB" w:rsidP="00B70B3A">
      <w:r w:rsidRPr="00C347AD">
        <w:t xml:space="preserve">Given the dependent variables in this study of preservice teacher (1) knowledge, (2) sense of efficacy related to </w:t>
      </w:r>
      <w:r w:rsidR="00EF04A2" w:rsidRPr="00C347AD">
        <w:t xml:space="preserve">practicing </w:t>
      </w:r>
      <w:r w:rsidRPr="00C347AD">
        <w:t xml:space="preserve">UDL, </w:t>
      </w:r>
      <w:r w:rsidR="00EF04A2" w:rsidRPr="00C347AD">
        <w:t>and (3</w:t>
      </w:r>
      <w:r w:rsidRPr="00C347AD">
        <w:t>) attitudes regarding inclusion of diverse students, including those with disabilities</w:t>
      </w:r>
      <w:r w:rsidR="000D6E8B" w:rsidRPr="00C347AD">
        <w:t xml:space="preserve">, </w:t>
      </w:r>
      <w:r w:rsidR="008C7F5E" w:rsidRPr="00C347AD">
        <w:t>three</w:t>
      </w:r>
      <w:r w:rsidR="000D6E8B" w:rsidRPr="00C347AD">
        <w:t xml:space="preserve"> instruments were chosen (one each) to measure progress in these variables</w:t>
      </w:r>
      <w:r w:rsidR="00255A1E" w:rsidRPr="00C347AD">
        <w:t xml:space="preserve"> (see table 2</w:t>
      </w:r>
      <w:r w:rsidR="00FC0BD8" w:rsidRPr="00C347AD">
        <w:t xml:space="preserve">). </w:t>
      </w:r>
      <w:r w:rsidR="00416C4E" w:rsidRPr="00C347AD">
        <w:t>Respectively, these are the UDL Knowledge and Application Inventory (UDL-KAI), the Teacher’s Sense of Effic</w:t>
      </w:r>
      <w:r w:rsidR="00EF04A2" w:rsidRPr="00C347AD">
        <w:t>acy using UDL Scale (TSE-UDLS)</w:t>
      </w:r>
      <w:r w:rsidR="00CD6697" w:rsidRPr="00C347AD">
        <w:t xml:space="preserve">, and the Multidimensional Attitudes toward Inclusive Education Scale (MATIES). </w:t>
      </w:r>
      <w:r w:rsidR="000D6E8B" w:rsidRPr="00C347AD">
        <w:t xml:space="preserve">I include </w:t>
      </w:r>
      <w:r w:rsidR="008E39B2" w:rsidRPr="00C347AD">
        <w:t xml:space="preserve">details and psychometric qualities for each. </w:t>
      </w:r>
      <w:r w:rsidR="00FC0BD8" w:rsidRPr="00C347AD">
        <w:t>The i</w:t>
      </w:r>
      <w:r w:rsidR="008E39B2" w:rsidRPr="00C347AD">
        <w:t xml:space="preserve">nstruments in entirety may be found in </w:t>
      </w:r>
      <w:r w:rsidR="00B50223" w:rsidRPr="00C347AD">
        <w:rPr>
          <w:highlight w:val="yellow"/>
        </w:rPr>
        <w:t>Appendix D</w:t>
      </w:r>
      <w:r w:rsidR="008E39B2" w:rsidRPr="00C347AD">
        <w:t xml:space="preserve">. </w:t>
      </w:r>
      <w:r w:rsidR="00BD30B0" w:rsidRPr="00C347AD">
        <w:t>Each instrument is designed to match a respective depende</w:t>
      </w:r>
      <w:r w:rsidR="00B70B3A" w:rsidRPr="00C347AD">
        <w:t>nt variable as shown in T</w:t>
      </w:r>
      <w:r w:rsidR="000F4D0C" w:rsidRPr="00C347AD">
        <w:t>able 3</w:t>
      </w:r>
      <w:r w:rsidR="00B70B3A" w:rsidRPr="00C347AD">
        <w:t xml:space="preserve">. </w:t>
      </w:r>
    </w:p>
    <w:p w14:paraId="7624F2DD" w14:textId="77777777" w:rsidR="00255A1E" w:rsidRPr="00C347AD" w:rsidRDefault="00255A1E" w:rsidP="00B70B3A"/>
    <w:p w14:paraId="0E9EF08D" w14:textId="77777777" w:rsidR="008C7F5E" w:rsidRPr="00C347AD" w:rsidDel="00D02740" w:rsidRDefault="008C7F5E" w:rsidP="00B70B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B70B3A" w:rsidRPr="00C347AD" w14:paraId="50F13467" w14:textId="77777777" w:rsidTr="00B70B3A">
        <w:tc>
          <w:tcPr>
            <w:tcW w:w="8856" w:type="dxa"/>
            <w:gridSpan w:val="2"/>
          </w:tcPr>
          <w:p w14:paraId="29C3A081" w14:textId="74733A79" w:rsidR="00B70B3A" w:rsidRPr="00C347AD" w:rsidRDefault="000F4D0C" w:rsidP="00B70B3A">
            <w:pPr>
              <w:spacing w:line="240" w:lineRule="auto"/>
              <w:ind w:firstLine="0"/>
              <w:rPr>
                <w:rFonts w:ascii="Times New Roman" w:hAnsi="Times New Roman" w:cs="Times New Roman"/>
              </w:rPr>
            </w:pPr>
            <w:r w:rsidRPr="00C347AD">
              <w:rPr>
                <w:rFonts w:ascii="Times New Roman" w:hAnsi="Times New Roman" w:cs="Times New Roman"/>
              </w:rPr>
              <w:t>Table 3</w:t>
            </w:r>
            <w:r w:rsidR="00B70B3A" w:rsidRPr="00C347AD">
              <w:rPr>
                <w:rFonts w:ascii="Times New Roman" w:hAnsi="Times New Roman" w:cs="Times New Roman"/>
              </w:rPr>
              <w:t>.</w:t>
            </w:r>
          </w:p>
        </w:tc>
      </w:tr>
      <w:tr w:rsidR="000C24DB" w:rsidRPr="00C347AD" w14:paraId="23478A3C" w14:textId="77777777" w:rsidTr="00B70B3A">
        <w:tc>
          <w:tcPr>
            <w:tcW w:w="8856" w:type="dxa"/>
            <w:gridSpan w:val="2"/>
            <w:tcBorders>
              <w:bottom w:val="single" w:sz="4" w:space="0" w:color="auto"/>
            </w:tcBorders>
          </w:tcPr>
          <w:p w14:paraId="3A59D4DA" w14:textId="545CAD58" w:rsidR="000C24DB" w:rsidRPr="00C347AD" w:rsidRDefault="000C24DB" w:rsidP="00B70B3A">
            <w:pPr>
              <w:spacing w:line="240" w:lineRule="auto"/>
              <w:ind w:firstLine="0"/>
              <w:rPr>
                <w:rFonts w:ascii="Times New Roman" w:hAnsi="Times New Roman" w:cs="Times New Roman"/>
              </w:rPr>
            </w:pPr>
            <w:r w:rsidRPr="00C347AD">
              <w:rPr>
                <w:rFonts w:ascii="Times New Roman" w:hAnsi="Times New Roman" w:cs="Times New Roman"/>
                <w:i/>
              </w:rPr>
              <w:t>Dependent Variables and Respective Measures</w:t>
            </w:r>
          </w:p>
        </w:tc>
      </w:tr>
      <w:tr w:rsidR="00BD30B0" w:rsidRPr="00C347AD" w14:paraId="54DEFED5" w14:textId="77777777" w:rsidTr="00BD30B0">
        <w:tc>
          <w:tcPr>
            <w:tcW w:w="4428" w:type="dxa"/>
            <w:tcBorders>
              <w:bottom w:val="single" w:sz="4" w:space="0" w:color="auto"/>
            </w:tcBorders>
          </w:tcPr>
          <w:p w14:paraId="1CA6066E" w14:textId="77777777" w:rsidR="00BD30B0" w:rsidRPr="00C347AD" w:rsidRDefault="00BD30B0" w:rsidP="00BD30B0">
            <w:pPr>
              <w:spacing w:line="240" w:lineRule="auto"/>
              <w:rPr>
                <w:rFonts w:ascii="Times New Roman" w:hAnsi="Times New Roman" w:cs="Times New Roman"/>
              </w:rPr>
            </w:pPr>
            <w:r w:rsidRPr="00C347AD">
              <w:rPr>
                <w:rFonts w:ascii="Times New Roman" w:hAnsi="Times New Roman" w:cs="Times New Roman"/>
              </w:rPr>
              <w:t xml:space="preserve">Dependent Variable </w:t>
            </w:r>
          </w:p>
        </w:tc>
        <w:tc>
          <w:tcPr>
            <w:tcW w:w="4428" w:type="dxa"/>
            <w:tcBorders>
              <w:bottom w:val="single" w:sz="4" w:space="0" w:color="auto"/>
            </w:tcBorders>
          </w:tcPr>
          <w:p w14:paraId="28516010" w14:textId="55E42AF6" w:rsidR="00BD30B0" w:rsidRPr="00C347AD" w:rsidRDefault="005236A0" w:rsidP="00BD30B0">
            <w:pPr>
              <w:spacing w:line="240" w:lineRule="auto"/>
              <w:rPr>
                <w:rFonts w:ascii="Times New Roman" w:hAnsi="Times New Roman" w:cs="Times New Roman"/>
              </w:rPr>
            </w:pPr>
            <w:r w:rsidRPr="00C347AD">
              <w:rPr>
                <w:rFonts w:ascii="Times New Roman" w:hAnsi="Times New Roman" w:cs="Times New Roman"/>
              </w:rPr>
              <w:t>Measure/I</w:t>
            </w:r>
            <w:r w:rsidR="00BD30B0" w:rsidRPr="00C347AD">
              <w:rPr>
                <w:rFonts w:ascii="Times New Roman" w:hAnsi="Times New Roman" w:cs="Times New Roman"/>
              </w:rPr>
              <w:t xml:space="preserve">nstrument </w:t>
            </w:r>
          </w:p>
        </w:tc>
      </w:tr>
      <w:tr w:rsidR="00BD30B0" w:rsidRPr="00C347AD" w14:paraId="2F970BE7" w14:textId="77777777" w:rsidTr="00BD30B0">
        <w:tc>
          <w:tcPr>
            <w:tcW w:w="4428" w:type="dxa"/>
            <w:tcBorders>
              <w:top w:val="single" w:sz="4" w:space="0" w:color="auto"/>
            </w:tcBorders>
          </w:tcPr>
          <w:p w14:paraId="09E313FD" w14:textId="77777777" w:rsidR="00BD30B0" w:rsidRPr="00C347AD" w:rsidRDefault="00BD30B0" w:rsidP="00BD30B0">
            <w:pPr>
              <w:spacing w:line="240" w:lineRule="auto"/>
              <w:ind w:firstLine="0"/>
              <w:rPr>
                <w:rFonts w:ascii="Times New Roman" w:hAnsi="Times New Roman" w:cs="Times New Roman"/>
              </w:rPr>
            </w:pPr>
          </w:p>
          <w:p w14:paraId="678285E2" w14:textId="77777777" w:rsidR="00BD30B0" w:rsidRPr="00C347AD" w:rsidRDefault="00BD30B0" w:rsidP="00BD30B0">
            <w:pPr>
              <w:spacing w:line="240" w:lineRule="auto"/>
              <w:ind w:firstLine="0"/>
              <w:rPr>
                <w:rFonts w:ascii="Times New Roman" w:hAnsi="Times New Roman" w:cs="Times New Roman"/>
              </w:rPr>
            </w:pPr>
            <w:r w:rsidRPr="00C347AD">
              <w:rPr>
                <w:rFonts w:ascii="Times New Roman" w:hAnsi="Times New Roman" w:cs="Times New Roman"/>
              </w:rPr>
              <w:t xml:space="preserve">Preservice </w:t>
            </w:r>
            <w:r w:rsidRPr="00C347AD">
              <w:rPr>
                <w:rFonts w:ascii="Times New Roman" w:hAnsi="Times New Roman" w:cs="Times New Roman"/>
                <w:i/>
              </w:rPr>
              <w:t>teacher</w:t>
            </w:r>
            <w:r w:rsidRPr="00C347AD">
              <w:rPr>
                <w:rFonts w:ascii="Times New Roman" w:hAnsi="Times New Roman" w:cs="Times New Roman"/>
              </w:rPr>
              <w:t xml:space="preserve"> </w:t>
            </w:r>
            <w:r w:rsidRPr="00C347AD">
              <w:rPr>
                <w:rFonts w:ascii="Times New Roman" w:hAnsi="Times New Roman" w:cs="Times New Roman"/>
                <w:i/>
              </w:rPr>
              <w:t>knowledge</w:t>
            </w:r>
            <w:r w:rsidRPr="00C347AD">
              <w:rPr>
                <w:rFonts w:ascii="Times New Roman" w:hAnsi="Times New Roman" w:cs="Times New Roman"/>
              </w:rPr>
              <w:t xml:space="preserve"> regarding structures and applied principles of UDL </w:t>
            </w:r>
          </w:p>
          <w:p w14:paraId="1557190E" w14:textId="77777777" w:rsidR="00BD30B0" w:rsidRPr="00C347AD" w:rsidRDefault="00BD30B0" w:rsidP="00BD30B0">
            <w:pPr>
              <w:spacing w:line="240" w:lineRule="auto"/>
              <w:ind w:firstLine="0"/>
              <w:rPr>
                <w:rFonts w:ascii="Times New Roman" w:hAnsi="Times New Roman" w:cs="Times New Roman"/>
              </w:rPr>
            </w:pPr>
          </w:p>
        </w:tc>
        <w:tc>
          <w:tcPr>
            <w:tcW w:w="4428" w:type="dxa"/>
            <w:tcBorders>
              <w:top w:val="single" w:sz="4" w:space="0" w:color="auto"/>
            </w:tcBorders>
          </w:tcPr>
          <w:p w14:paraId="4968DB6B" w14:textId="77777777" w:rsidR="00BD30B0" w:rsidRPr="00C347AD" w:rsidRDefault="00BD30B0" w:rsidP="00BD30B0">
            <w:pPr>
              <w:spacing w:line="240" w:lineRule="auto"/>
              <w:rPr>
                <w:rFonts w:ascii="Times New Roman" w:hAnsi="Times New Roman" w:cs="Times New Roman"/>
              </w:rPr>
            </w:pPr>
          </w:p>
          <w:p w14:paraId="56B66D97" w14:textId="77777777" w:rsidR="00BD30B0" w:rsidRPr="00C347AD" w:rsidRDefault="00BD30B0" w:rsidP="00BD30B0">
            <w:pPr>
              <w:spacing w:line="240" w:lineRule="auto"/>
              <w:ind w:firstLine="0"/>
              <w:rPr>
                <w:rFonts w:ascii="Times New Roman" w:hAnsi="Times New Roman" w:cs="Times New Roman"/>
              </w:rPr>
            </w:pPr>
            <w:r w:rsidRPr="00C347AD">
              <w:rPr>
                <w:rFonts w:ascii="Times New Roman" w:hAnsi="Times New Roman" w:cs="Times New Roman"/>
              </w:rPr>
              <w:t>UDL Knowledge and Application Inventory (UDL-KAI)</w:t>
            </w:r>
          </w:p>
        </w:tc>
      </w:tr>
      <w:tr w:rsidR="00BD30B0" w:rsidRPr="00C347AD" w14:paraId="118082A5" w14:textId="77777777" w:rsidTr="00B70B3A">
        <w:tc>
          <w:tcPr>
            <w:tcW w:w="4428" w:type="dxa"/>
          </w:tcPr>
          <w:p w14:paraId="50B072C9" w14:textId="77777777" w:rsidR="00BD30B0" w:rsidRPr="00C347AD" w:rsidRDefault="00BD30B0" w:rsidP="00BD30B0">
            <w:pPr>
              <w:spacing w:line="240" w:lineRule="auto"/>
              <w:ind w:firstLine="0"/>
              <w:rPr>
                <w:rFonts w:ascii="Times New Roman" w:hAnsi="Times New Roman" w:cs="Times New Roman"/>
              </w:rPr>
            </w:pPr>
            <w:r w:rsidRPr="00C347AD">
              <w:rPr>
                <w:rFonts w:ascii="Times New Roman" w:hAnsi="Times New Roman" w:cs="Times New Roman"/>
              </w:rPr>
              <w:t xml:space="preserve">Preservice teacher sense of efficacy in using UDL to teach students with disabilities and other diversities </w:t>
            </w:r>
          </w:p>
          <w:p w14:paraId="1C306901" w14:textId="77777777" w:rsidR="00BD30B0" w:rsidRPr="00C347AD" w:rsidRDefault="00BD30B0" w:rsidP="00BD30B0">
            <w:pPr>
              <w:spacing w:line="240" w:lineRule="auto"/>
              <w:ind w:firstLine="0"/>
              <w:rPr>
                <w:rFonts w:ascii="Times New Roman" w:hAnsi="Times New Roman" w:cs="Times New Roman"/>
              </w:rPr>
            </w:pPr>
          </w:p>
        </w:tc>
        <w:tc>
          <w:tcPr>
            <w:tcW w:w="4428" w:type="dxa"/>
          </w:tcPr>
          <w:p w14:paraId="083918FE" w14:textId="77777777" w:rsidR="00BD30B0" w:rsidRPr="00C347AD" w:rsidRDefault="00BD30B0" w:rsidP="00BD30B0">
            <w:pPr>
              <w:spacing w:line="240" w:lineRule="auto"/>
              <w:ind w:firstLine="0"/>
              <w:rPr>
                <w:rFonts w:ascii="Times New Roman" w:hAnsi="Times New Roman" w:cs="Times New Roman"/>
              </w:rPr>
            </w:pPr>
            <w:r w:rsidRPr="00C347AD">
              <w:rPr>
                <w:rFonts w:ascii="Times New Roman" w:hAnsi="Times New Roman" w:cs="Times New Roman"/>
              </w:rPr>
              <w:t>Teachers Sense of Efficacy Using UDL Scale (TSE-UDLS)</w:t>
            </w:r>
          </w:p>
        </w:tc>
      </w:tr>
      <w:tr w:rsidR="00BD30B0" w:rsidRPr="00C347AD" w14:paraId="3D0A7901" w14:textId="77777777" w:rsidTr="00B70B3A">
        <w:trPr>
          <w:trHeight w:val="1125"/>
        </w:trPr>
        <w:tc>
          <w:tcPr>
            <w:tcW w:w="4428" w:type="dxa"/>
            <w:tcBorders>
              <w:bottom w:val="single" w:sz="4" w:space="0" w:color="auto"/>
            </w:tcBorders>
          </w:tcPr>
          <w:p w14:paraId="0A20BA87" w14:textId="77777777" w:rsidR="00BD30B0" w:rsidRPr="00C347AD" w:rsidRDefault="00BD30B0" w:rsidP="00BD30B0">
            <w:pPr>
              <w:spacing w:line="240" w:lineRule="auto"/>
              <w:ind w:firstLine="0"/>
              <w:rPr>
                <w:rFonts w:ascii="Times New Roman" w:hAnsi="Times New Roman" w:cs="Times New Roman"/>
              </w:rPr>
            </w:pPr>
            <w:r w:rsidRPr="00C347AD">
              <w:rPr>
                <w:rFonts w:ascii="Times New Roman" w:hAnsi="Times New Roman" w:cs="Times New Roman"/>
              </w:rPr>
              <w:t>Preservice teacher attitudes regarding inclusion of students with disabilities in the general classroom</w:t>
            </w:r>
          </w:p>
        </w:tc>
        <w:tc>
          <w:tcPr>
            <w:tcW w:w="4428" w:type="dxa"/>
            <w:tcBorders>
              <w:bottom w:val="single" w:sz="4" w:space="0" w:color="auto"/>
            </w:tcBorders>
          </w:tcPr>
          <w:p w14:paraId="24A08491" w14:textId="77777777" w:rsidR="00BD30B0" w:rsidRPr="00C347AD" w:rsidRDefault="00BD30B0" w:rsidP="00BD30B0">
            <w:pPr>
              <w:spacing w:line="240" w:lineRule="auto"/>
              <w:ind w:firstLine="0"/>
              <w:rPr>
                <w:rFonts w:ascii="Times New Roman" w:hAnsi="Times New Roman" w:cs="Times New Roman"/>
              </w:rPr>
            </w:pPr>
            <w:r w:rsidRPr="00C347AD">
              <w:rPr>
                <w:rFonts w:ascii="Times New Roman" w:hAnsi="Times New Roman" w:cs="Times New Roman"/>
              </w:rPr>
              <w:t>Multidimensional Attitudes toward Inclusive Education Scale (MATIES)</w:t>
            </w:r>
          </w:p>
        </w:tc>
      </w:tr>
    </w:tbl>
    <w:p w14:paraId="57A20EB8" w14:textId="77777777" w:rsidR="00BD30B0" w:rsidRPr="00C347AD" w:rsidRDefault="00BD30B0" w:rsidP="00CD6697"/>
    <w:p w14:paraId="0285F490" w14:textId="77777777" w:rsidR="00255A1E" w:rsidRPr="00C347AD" w:rsidRDefault="00255A1E" w:rsidP="00CD6697"/>
    <w:p w14:paraId="35611B8F" w14:textId="26D2C0A4" w:rsidR="00E90223" w:rsidRPr="00C347AD" w:rsidRDefault="00E90223" w:rsidP="00E90223">
      <w:pPr>
        <w:pStyle w:val="Heading3"/>
        <w:rPr>
          <w:b w:val="0"/>
        </w:rPr>
      </w:pPr>
      <w:r w:rsidRPr="00C347AD">
        <w:lastRenderedPageBreak/>
        <w:t xml:space="preserve">Reliability. </w:t>
      </w:r>
      <w:r w:rsidRPr="00C347AD">
        <w:rPr>
          <w:b w:val="0"/>
        </w:rPr>
        <w:t xml:space="preserve">The most common measure of instrument reliability is that of Chronbach’s alpha (Gall et al., 2007). Basically, Chronbach’s alpha is used to measure how well a set of items measures a single, unidimensional latent aspect of participants. Indeed, that the instrument being measured for Chronbach’s alpha measures a unidimensional construct is an assumption of the tool, however one that is often arbitrarily overlooked </w:t>
      </w:r>
      <w:r w:rsidRPr="00C347AD">
        <w:rPr>
          <w:b w:val="0"/>
        </w:rPr>
        <w:fldChar w:fldCharType="begin"/>
      </w:r>
      <w:r w:rsidRPr="00C347AD">
        <w:rPr>
          <w:b w:val="0"/>
        </w:rPr>
        <w:instrText xml:space="preserve"> ADDIN ZOTERO_ITEM CSL_CITATION {"citationID":"BXzJdE4S","properties":{"formattedCitation":"(Armor, 1973; Gerbing &amp; Anderson, 1988; Widhiarso &amp; Ravand, 2014)","plainCitation":"(Armor, 1973; Gerbing &amp; Anderson, 1988; Widhiarso &amp; Ravand, 2014)"},"citationItems":[{"id":2353,"uris":["http://zotero.org/users/2098925/items/XBXC6HA7"],"uri":["http://zotero.org/users/2098925/items/XBXC6HA7"],"itemData":{"id":2353,"type":"article-journal","title":"Theta Reliability and Factor Scaling","container-title":"Sociological Methodology","page":"17-50","volume":"5","source":"JSTOR","DOI":"10.2307/270831","ISSN":"0081-1750","journalAbbreviation":"Sociological Methodology","author":[{"family":"Armor","given":"David J."}],"issued":{"date-parts":[["1973"]]}},"label":"page"},{"id":2362,"uris":["http://zotero.org/users/2098925/items/FRWEQ5WA"],"uri":["http://zotero.org/users/2098925/items/FRWEQ5WA"],"itemData":{"id":2362,"type":"article-journal","title":"An Updated Paradigm for Scale Development Incorporating Unidimensionality and Its Assessment","container-title":"Journal of Marketing Research","page":"186-192","volume":"25","issue":"2","source":"JSTOR","abstract":"The authors outline an updated paradigm for scale development that incorporates confirmatory factor analysis for the assessment of unidimensionality. Under this paradigm, item-total correlations and exploratory factor analysis are used to provide preliminary scales. The unidimensionality of each scale then is assessed simultaneously with confirmatory factor analysis. After unidimensional measurement has been acceptably achieved, the reliability of each scale is assessed. Additional evidence for construct validity beyond the establishment of unidimensionality then can be provided by embedding the unidimensional sets of indicators within a nomological network defined by the complete structural model.","DOI":"10.2307/3172650","ISSN":"0022-2437","journalAbbreviation":"Journal of Marketing Research","author":[{"family":"Gerbing","given":"David W."},{"family":"Anderson","given":"James C."}],"issued":{"date-parts":[["1988"]]}},"label":"page"},{"id":2350,"uris":["http://zotero.org/users/2098925/items/J8VSD9VR"],"uri":["http://zotero.org/users/2098925/items/J8VSD9VR"],"itemData":{"id":2350,"type":"article-journal","title":"Estimating reliability coefficient for multidimensional measures: A pedagogical illustration","container-title":"Review of Psychology","page":"111–121","volume":"21","issue":"2","source":"Google Scholar","shortTitle":"Estimating reliability coefficient for multidimensional measures","author":[{"family":"Widhiarso","given":"Wahyu"},{"family":"Ravand","given":"Hamdollah"}],"issued":{"date-parts":[["2014"]]}},"label":"page"}],"schema":"https://github.com/citation-style-language/schema/raw/master/csl-citation.json"} </w:instrText>
      </w:r>
      <w:r w:rsidRPr="00C347AD">
        <w:rPr>
          <w:b w:val="0"/>
        </w:rPr>
        <w:fldChar w:fldCharType="separate"/>
      </w:r>
      <w:r w:rsidRPr="00C347AD">
        <w:rPr>
          <w:b w:val="0"/>
          <w:noProof/>
        </w:rPr>
        <w:t>(Armor, 1973; Gerbing &amp; Anderson, 1988; Widhiarso &amp; Ravand, 2014)</w:t>
      </w:r>
      <w:r w:rsidRPr="00C347AD">
        <w:rPr>
          <w:b w:val="0"/>
        </w:rPr>
        <w:fldChar w:fldCharType="end"/>
      </w:r>
      <w:r w:rsidRPr="00C347AD">
        <w:rPr>
          <w:b w:val="0"/>
        </w:rPr>
        <w:t xml:space="preserve">. </w:t>
      </w:r>
      <w:r w:rsidRPr="00C347AD">
        <w:rPr>
          <w:b w:val="0"/>
        </w:rPr>
        <w:fldChar w:fldCharType="begin"/>
      </w:r>
      <w:r w:rsidRPr="00C347AD">
        <w:rPr>
          <w:b w:val="0"/>
        </w:rPr>
        <w:instrText xml:space="preserve"> ADDIN ZOTERO_ITEM CSL_CITATION {"citationID":"lZWEnXVW","properties":{"formattedCitation":"(Drolet &amp; Morrison, 2001)","plainCitation":"(Drolet &amp; Morrison, 2001)"},"citationItems":[{"id":2360,"uris":["http://zotero.org/users/2098925/items/Q9QE8CZN"],"uri":["http://zotero.org/users/2098925/items/Q9QE8CZN"],"itemData":{"id":2360,"type":"article-journal","title":"Do We Really Need Multiple-Item Measures in Service Research?","container-title":"Journal of Service Research","page":"196-204","volume":"3","issue":"3","source":"SAGE Journals","abstract":"Increasingly, marketing academics advocate the use of multiple-item measures. However, use of multiple-item measures is costly, especially for service researchers. This article investigates the incremental information of each additional item in a multiple-item scale. By applying a framework derived from the forecasting literature on correlated experts, the authors show that, even with very modest error term correlations between items, the incremental information from each additional item is extremely small. This study’s “information” (as opposed to “reliability”) approach indicates that even the second or third item contributes little to the information obtained from the first item. Furthermore, the authors present evidence that added items actually aggravate respondent behavior, inflating across-item error term correlation and undermining respondent reliability. Researchers may want to consider the issue of item information in addition to reliability. This article discusses ways in which researchers can construct scales that maximize the amount of information scale items offer without compromising measurement reliability.","DOI":"10.1177/109467050133001","ISSN":"1094-6705","journalAbbreviation":"Journal of Service Research","language":"en","author":[{"family":"Drolet","given":"Aimee L."},{"family":"Morrison","given":"Donald G."}],"issued":{"date-parts":[["2001",2,1]]}}}],"schema":"https://github.com/citation-style-language/schema/raw/master/csl-citation.json"} </w:instrText>
      </w:r>
      <w:r w:rsidRPr="00C347AD">
        <w:rPr>
          <w:b w:val="0"/>
        </w:rPr>
        <w:fldChar w:fldCharType="separate"/>
      </w:r>
      <w:r w:rsidRPr="00C347AD">
        <w:rPr>
          <w:b w:val="0"/>
          <w:noProof/>
        </w:rPr>
        <w:t>Drolet and Morrison (2001)</w:t>
      </w:r>
      <w:r w:rsidRPr="00C347AD">
        <w:rPr>
          <w:b w:val="0"/>
        </w:rPr>
        <w:fldChar w:fldCharType="end"/>
      </w:r>
      <w:r w:rsidRPr="00C347AD">
        <w:rPr>
          <w:b w:val="0"/>
        </w:rPr>
        <w:t xml:space="preserve"> suggest that many psychological measures examine constructs that are multidimensional in nature. For example, the construct of intelligence (and measures thereof) would be difficult to justify as being unidimensional. The literature has shown that using Chronbach’s alpha to estimate reliability of multidimensional instruments generally underestimates reliability and introduces bias </w:t>
      </w:r>
      <w:r w:rsidRPr="00C347AD">
        <w:rPr>
          <w:b w:val="0"/>
        </w:rPr>
        <w:fldChar w:fldCharType="begin"/>
      </w:r>
      <w:r w:rsidRPr="00C347AD">
        <w:rPr>
          <w:b w:val="0"/>
        </w:rPr>
        <w:instrText xml:space="preserve"> ADDIN ZOTERO_ITEM CSL_CITATION {"citationID":"TaDHy23I","properties":{"formattedCitation":"(Gerbing &amp; Anderson, 1988)","plainCitation":"(Gerbing &amp; Anderson, 1988)"},"citationItems":[{"id":2362,"uris":["http://zotero.org/users/2098925/items/FRWEQ5WA"],"uri":["http://zotero.org/users/2098925/items/FRWEQ5WA"],"itemData":{"id":2362,"type":"article-journal","title":"An Updated Paradigm for Scale Development Incorporating Unidimensionality and Its Assessment","container-title":"Journal of Marketing Research","page":"186-192","volume":"25","issue":"2","source":"JSTOR","abstract":"The authors outline an updated paradigm for scale development that incorporates confirmatory factor analysis for the assessment of unidimensionality. Under this paradigm, item-total correlations and exploratory factor analysis are used to provide preliminary scales. The unidimensionality of each scale then is assessed simultaneously with confirmatory factor analysis. After unidimensional measurement has been acceptably achieved, the reliability of each scale is assessed. Additional evidence for construct validity beyond the establishment of unidimensionality then can be provided by embedding the unidimensional sets of indicators within a nomological network defined by the complete structural model.","DOI":"10.2307/3172650","ISSN":"0022-2437","journalAbbreviation":"Journal of Marketing Research","author":[{"family":"Gerbing","given":"David W."},{"family":"Anderson","given":"James C."}],"issued":{"date-parts":[["1988"]]}}}],"schema":"https://github.com/citation-style-language/schema/raw/master/csl-citation.json"} </w:instrText>
      </w:r>
      <w:r w:rsidRPr="00C347AD">
        <w:rPr>
          <w:b w:val="0"/>
        </w:rPr>
        <w:fldChar w:fldCharType="separate"/>
      </w:r>
      <w:r w:rsidRPr="00C347AD">
        <w:rPr>
          <w:b w:val="0"/>
          <w:noProof/>
        </w:rPr>
        <w:t>(Gerbing &amp; Anderson, 1988)</w:t>
      </w:r>
      <w:r w:rsidRPr="00C347AD">
        <w:rPr>
          <w:b w:val="0"/>
        </w:rPr>
        <w:fldChar w:fldCharType="end"/>
      </w:r>
      <w:r w:rsidRPr="00C347AD">
        <w:rPr>
          <w:b w:val="0"/>
        </w:rPr>
        <w:t xml:space="preserve">. Conceptually, this makes good sense; if Chronbach’s alpha determines the degree to items holistically measure a construct, then the extent to which the construct is not monolithic will likely proportionally and negatively affect alpha scores. </w:t>
      </w:r>
    </w:p>
    <w:p w14:paraId="696B0A46" w14:textId="77777777" w:rsidR="00E90223" w:rsidRPr="00C347AD" w:rsidRDefault="00E90223" w:rsidP="00E90223">
      <w:r w:rsidRPr="00C347AD">
        <w:t xml:space="preserve">For this reason, several alternative measures for estimating reliability of multidimensional measures have been developed. For example, the stratified alpha coefficient </w:t>
      </w:r>
      <w:r w:rsidRPr="00C347AD">
        <w:fldChar w:fldCharType="begin"/>
      </w:r>
      <w:r w:rsidRPr="00C347AD">
        <w:instrText xml:space="preserve"> ADDIN ZOTERO_ITEM CSL_CITATION {"citationID":"gxWRa1wo","properties":{"formattedCitation":"{\\rtf (Cronbach, Sch\\uc0\\u246{}nemann, &amp; McKie, 1965)}","plainCitation":"(Cronbach, Schönemann, &amp; McKie, 1965)"},"citationItems":[{"id":2364,"uris":["http://zotero.org/users/2098925/items/ISJI4PB8"],"uri":["http://zotero.org/users/2098925/items/ISJI4PB8"],"itemData":{"id":2364,"type":"article-journal","title":"Alpha coefficients for Stratified-Parallel Tests","container-title":"Educational and Psychological Measurement","page":"291-312","volume":"25","issue":"2","source":"APA PsycNET","abstract":"The properties of various internal-consistency formulas have been examined with hypothetic stratified-parallel tests constructed by sampling items from universes with specified characteristics. \"When a test is constructed by stratifying on content and difficulty, one may properly estimate its coefficient of generalizability by αCD or αC… . Stratifying on content is clearly more important than stratification on difficulty, both in test construction and test analysis.\"","DOI":"10.1177/001316446502500201","ISSN":"1552-3888 0013-1644","language":"English","author":[{"family":"Cronbach","given":"Lee J."},{"family":"Schönemann","given":"Peter"},{"family":"McKie","given":"Douglas"}],"issued":{"date-parts":[["1965"]]}}}],"schema":"https://github.com/citation-style-language/schema/raw/master/csl-citation.json"} </w:instrText>
      </w:r>
      <w:r w:rsidRPr="00C347AD">
        <w:fldChar w:fldCharType="separate"/>
      </w:r>
      <w:r w:rsidRPr="00C347AD">
        <w:t>(Cronbach, Schönemann, &amp; McKie, 1965)</w:t>
      </w:r>
      <w:r w:rsidRPr="00C347AD">
        <w:fldChar w:fldCharType="end"/>
      </w:r>
      <w:r w:rsidRPr="00C347AD">
        <w:t xml:space="preserve">, Mosier’s coefficient </w:t>
      </w:r>
      <w:r w:rsidRPr="00C347AD">
        <w:fldChar w:fldCharType="begin"/>
      </w:r>
      <w:r w:rsidRPr="00C347AD">
        <w:instrText xml:space="preserve"> ADDIN ZOTERO_ITEM CSL_CITATION {"citationID":"dRVezKmC","properties":{"formattedCitation":"(Mosier, 1943)","plainCitation":"(Mosier, 1943)"},"citationItems":[{"id":2366,"uris":["http://zotero.org/users/2098925/items/U9TAV7ZP"],"uri":["http://zotero.org/users/2098925/items/U9TAV7ZP"],"itemData":{"id":2366,"type":"article-journal","title":"On the reliability of a weighted composite","container-title":"Psychometrika","page":"161-168","volume":"8","issue":"3","source":"link.springer.com","abstract":"A general formula for the reliability of a weighted composite has been derived by which that reliability can be estimated from a knowledge of the weights whatever their source, reliabilities, dispersions, and intercorrelations of the components. The Spearman-Brown formula has been shown to be a special case of the general statement. The effect of the internal consistency or intercorrelation of the components has been investigated and the conditions defining the set of weights yielding maximum reliability shown to be that the weight of a component is proportional to the sum of its intercorrelations with the remaining components and inversely proportional to its error variance.","DOI":"10.1007/BF02288700","ISSN":"0033-3123, 1860-0980","journalAbbreviation":"Psychometrika","language":"en","author":[{"family":"Mosier","given":"Charles I."}],"issued":{"date-parts":[["1943",9,1]]}}}],"schema":"https://github.com/citation-style-language/schema/raw/master/csl-citation.json"} </w:instrText>
      </w:r>
      <w:r w:rsidRPr="00C347AD">
        <w:fldChar w:fldCharType="separate"/>
      </w:r>
      <w:r w:rsidRPr="00C347AD">
        <w:rPr>
          <w:noProof/>
        </w:rPr>
        <w:t>(Mosier, 1943)</w:t>
      </w:r>
      <w:r w:rsidRPr="00C347AD">
        <w:fldChar w:fldCharType="end"/>
      </w:r>
      <w:r w:rsidRPr="00C347AD">
        <w:t xml:space="preserve"> and the Omega coefficient </w:t>
      </w:r>
      <w:r w:rsidRPr="00C347AD">
        <w:fldChar w:fldCharType="begin"/>
      </w:r>
      <w:r w:rsidRPr="00C347AD">
        <w:instrText xml:space="preserve"> ADDIN ZOTERO_ITEM CSL_CITATION {"citationID":"j68IDKlE","properties":{"formattedCitation":"(McDonald, 1999)","plainCitation":"(McDonald, 1999)"},"citationItems":[{"id":2369,"uris":["http://zotero.org/users/2098925/items/D6UV32AD"],"uri":["http://zotero.org/users/2098925/items/D6UV32AD"],"itemData":{"id":2369,"type":"book","title":"Test Theory: A Unified Treatment","publisher":"Taylor &amp; Francis","number-of-pages":"495","source":"Google Books","abstract":"This book introduces the reader to the main quantitative concepts, methods, and computational techniques needed for the development, evaluation, and application of tests in the behavioral/social sciences, including educational tests. Two empirical examples are carried throughout to illustrate alternative methods. Other data sets are used for special illustrations. Self-contained programs for confirmatory and exploratory factor analysis are available on the Web. Intended for students of psychology, particularly educational psychology, as well as social science students interested in how tests are constructed and used, prerequisites include a course on statistics. The programs and data files for this book can be downloaded from www.psypress.com/test-theory/","ISBN":"978-1-4106-0108-7","note":"Google-Books-ID: acww1KB6BdEC","shortTitle":"Test Theory","language":"en","author":[{"family":"McDonald","given":"Roderick P."}],"issued":{"date-parts":[["1999",7,1]]}}}],"schema":"https://github.com/citation-style-language/schema/raw/master/csl-citation.json"} </w:instrText>
      </w:r>
      <w:r w:rsidRPr="00C347AD">
        <w:fldChar w:fldCharType="separate"/>
      </w:r>
      <w:r w:rsidRPr="00C347AD">
        <w:rPr>
          <w:noProof/>
        </w:rPr>
        <w:t>(McDonald, 1999)</w:t>
      </w:r>
      <w:r w:rsidRPr="00C347AD">
        <w:fldChar w:fldCharType="end"/>
      </w:r>
      <w:r w:rsidRPr="00C347AD">
        <w:t xml:space="preserve"> each use different conditional approaches to more accurately estimate reliability of multidimensional measures. </w:t>
      </w:r>
    </w:p>
    <w:p w14:paraId="7F54191D" w14:textId="01752A3D" w:rsidR="00782E88" w:rsidRPr="00C347AD" w:rsidRDefault="00E90223" w:rsidP="00782E88">
      <w:r w:rsidRPr="00C347AD">
        <w:lastRenderedPageBreak/>
        <w:t xml:space="preserve">Of the three instruments utilized in this study, two (the UDL-KAI and the MATIES) are explicitly multidimensional. The UDL-KAI, for example, explicitly measures both knowledge and application </w:t>
      </w:r>
      <w:r w:rsidR="00C32C89" w:rsidRPr="00C347AD">
        <w:t xml:space="preserve">and </w:t>
      </w:r>
      <w:r w:rsidR="00782E88" w:rsidRPr="00C347AD">
        <w:t>reflects different dimensions of UDL knowledge and application (</w:t>
      </w:r>
      <w:r w:rsidR="006E3241" w:rsidRPr="00C347AD">
        <w:t>e.g.,</w:t>
      </w:r>
      <w:r w:rsidR="00782E88" w:rsidRPr="00C347AD">
        <w:t xml:space="preserve">different principles and concepts of UDL practice) that cannot be teased out without a factor analysis. The Multidimensional Attitudes toward Inclusive Education Scale (MATIES) is, as the name suggests, explicitly multidimensional. In Mahat’s (2008) original reliability measures, therefore, Mahat correctly used stratified alpha scores to measure the reliability of each factor previously identified through factor analysis. It is entirely possible and reasonable that the TSE-UDLS measures multiple dimensions of teacher efficacy; however, this measure </w:t>
      </w:r>
      <w:r w:rsidR="00782E88" w:rsidRPr="00C347AD">
        <w:softHyphen/>
        <w:t xml:space="preserve">– more than the other two – is conceptually unidimensional. Therefore, the need for factor analysis and multidimensional reliability analysis may be justifiably reduced. </w:t>
      </w:r>
    </w:p>
    <w:p w14:paraId="629626F3" w14:textId="5065B111" w:rsidR="00E90223" w:rsidRPr="00C347AD" w:rsidRDefault="00782E88" w:rsidP="00782E88">
      <w:r w:rsidRPr="00C347AD">
        <w:t xml:space="preserve">In this study, there were not enough participants to reach reasonable thresholds for conducting factor analyses of the instruments </w:t>
      </w:r>
      <w:r w:rsidRPr="00C347AD">
        <w:fldChar w:fldCharType="begin"/>
      </w:r>
      <w:r w:rsidR="00401AF0" w:rsidRPr="00C347AD">
        <w:instrText xml:space="preserve"> ADDIN ZOTERO_ITEM CSL_CITATION {"citationID":"6uFuGLGx","properties":{"formattedCitation":"(Tabachnick &amp; Fidell, 2013)","plainCitation":"(Tabachnick &amp; Fidell, 2013)"},"citationItems":[{"id":2347,"uris":["http://zotero.org/users/2098925/items/77DGSR5F"],"uri":["http://zotero.org/users/2098925/items/77DGSR5F"],"itemData":{"id":2347,"type":"book","title":"Using Multivariate Statistics","publisher":"Pearson Education","number-of-pages":"983","source":"Google Books","abstract":"A Practical Approach to using Multivariate AnalysesUsing Multivariate Statistics, 6th edition provides advanced undergraduate as well as graduate students with a timely and comprehensive introduction to today's most commonly encountered statistical and multivariate techniques, while assuming only a limited knowledge of higher-level mathematics. This text's practical approach focuses on the benefits and limitations of applications of a technique to a data set — when, why, and how to do it.Learning Goals Upon completing this book, readers should be able to: Learn to conduct numerous types of multivariate statistical analyses Find the best technique to use Understand Limitations to applications Learn how to use SPSS and SAS syntax and output Note: MySearchLab with eText does not come automatically packaged with this text. To purchase MySearchLab with eText, please visitwww.mysearchlab.com or you can purchase a ValuePack of the text + MySearchLab with eText (at no additional cost). ValuePack ISBN-10: 0205885667 / ValuePack ISBN-13: 9780205885664","ISBN":"978-0-205-84957-4","note":"Google-Books-ID: ucj1ygAACAAJ","language":"en","author":[{"family":"Tabachnick","given":"Barbara G."},{"family":"Fidell","given":"Linda S."}],"issued":{"date-parts":[["2013"]]}}}],"schema":"https://github.com/citation-style-language/schema/raw/master/csl-citation.json"} </w:instrText>
      </w:r>
      <w:r w:rsidRPr="00C347AD">
        <w:fldChar w:fldCharType="separate"/>
      </w:r>
      <w:r w:rsidR="00401AF0" w:rsidRPr="00C347AD">
        <w:rPr>
          <w:noProof/>
        </w:rPr>
        <w:t>(Tabachnick &amp; Fidell, 2013)</w:t>
      </w:r>
      <w:r w:rsidRPr="00C347AD">
        <w:fldChar w:fldCharType="end"/>
      </w:r>
      <w:r w:rsidRPr="00C347AD">
        <w:t xml:space="preserve">. As such, </w:t>
      </w:r>
      <w:r w:rsidR="002C4672" w:rsidRPr="00C347AD">
        <w:t xml:space="preserve">the only way to </w:t>
      </w:r>
      <w:r w:rsidRPr="00C347AD">
        <w:t>conduct</w:t>
      </w:r>
      <w:r w:rsidR="00401AF0" w:rsidRPr="00C347AD">
        <w:t xml:space="preserve"> </w:t>
      </w:r>
      <w:r w:rsidRPr="00C347AD">
        <w:t>multidimensional measures of reliability</w:t>
      </w:r>
      <w:r w:rsidR="002C4672" w:rsidRPr="00C347AD">
        <w:t xml:space="preserve"> was to utilize the broadest known conceptual subdomains for the UDL-KAI (</w:t>
      </w:r>
      <w:r w:rsidR="006E3241" w:rsidRPr="00C347AD">
        <w:t xml:space="preserve">i.e., </w:t>
      </w:r>
      <w:r w:rsidR="002C4672" w:rsidRPr="00C347AD">
        <w:t xml:space="preserve">“knowledge” and “application” as subdomains) and the original, published subdomains for the MATIES. </w:t>
      </w:r>
    </w:p>
    <w:p w14:paraId="7DD5DDE9" w14:textId="32E1EC77" w:rsidR="002C59E8" w:rsidRPr="00C347AD" w:rsidRDefault="009B4541" w:rsidP="002C59E8">
      <w:r w:rsidRPr="00C347AD">
        <w:rPr>
          <w:b/>
        </w:rPr>
        <w:t>UDL Knowledge and Application Inventory</w:t>
      </w:r>
      <w:r w:rsidR="00CD6697" w:rsidRPr="00C347AD">
        <w:rPr>
          <w:b/>
        </w:rPr>
        <w:t>.</w:t>
      </w:r>
      <w:r w:rsidR="008D666C" w:rsidRPr="00C347AD">
        <w:rPr>
          <w:b/>
          <w:i/>
        </w:rPr>
        <w:t xml:space="preserve"> </w:t>
      </w:r>
      <w:r w:rsidR="002C59E8" w:rsidRPr="00C347AD">
        <w:t>Teacher knowledge (TK) has been measured using concept maps (</w:t>
      </w:r>
      <w:r w:rsidR="002C59E8" w:rsidRPr="00C347AD">
        <w:fldChar w:fldCharType="begin"/>
      </w:r>
      <w:r w:rsidR="00F7126F" w:rsidRPr="00C347AD">
        <w:instrText xml:space="preserve"> ADDIN ZOTERO_ITEM CSL_CITATION {"citationID":"16t4uk68ur","properties":{"formattedCitation":"(Morine-Dershimer, 1989)","plainCitation":"(Morine-Dershimer, 1989)"},"citationItems":[{"id":569,"uris":["http://zotero.org/users/2098925/items/H57VTRGZ"],"uri":["http://zotero.org/users/2098925/items/H57VTRGZ"],"itemData":{"id":569,"type":"article-journal","title":"Preservice Teachers' Conceptions of Content and Pedagogy: Measuring Growth in Reflective, Pedagogical Decision-Making","container-title":"Journal of Teacher Education","page":"46-52","volume":"40","issue":"5","source":"jte.sagepub.com.proxy.lib.utk.edu:90","abstract":"Morine-Dershimer examines the de velopment of knowledge about teaching associated with a generic methods course engaging students in reflective peer teaching. Preconcept and postcon cept maps were used to measure change in conceptions of teacher plan ning and of subject matter content taught in the peer teaching units.","DOI":"10.1177/002248718904000507","ISSN":"0022-4871, 1552-7816","shortTitle":"Preservice Teachers' Conceptions of Content and Pedagogy","journalAbbreviation":"Journal of Teacher Education","language":"en","author":[{"family":"Morine-Dershimer","given":"Greta"}],"issued":{"date-parts":[["1989",9,1]]}}}],"schema":"https://github.com/citation-style-language/schema/raw/master/csl-citation.json"} </w:instrText>
      </w:r>
      <w:r w:rsidR="002C59E8" w:rsidRPr="00C347AD">
        <w:fldChar w:fldCharType="separate"/>
      </w:r>
      <w:r w:rsidR="00B323A5" w:rsidRPr="00C347AD">
        <w:rPr>
          <w:noProof/>
        </w:rPr>
        <w:t>e.g.,</w:t>
      </w:r>
      <w:r w:rsidR="002C59E8" w:rsidRPr="00C347AD">
        <w:rPr>
          <w:noProof/>
        </w:rPr>
        <w:t xml:space="preserve"> Morine-Dershimer, 1989)</w:t>
      </w:r>
      <w:r w:rsidR="002C59E8" w:rsidRPr="00C347AD">
        <w:fldChar w:fldCharType="end"/>
      </w:r>
      <w:r w:rsidR="002C59E8" w:rsidRPr="00C347AD">
        <w:t>, multiple choice inventories (</w:t>
      </w:r>
      <w:r w:rsidR="00B323A5" w:rsidRPr="00C347AD">
        <w:t>e.g.,</w:t>
      </w:r>
      <w:r w:rsidR="002C59E8" w:rsidRPr="00C347AD">
        <w:t xml:space="preserve"> </w:t>
      </w:r>
      <w:r w:rsidR="002C59E8" w:rsidRPr="00C347AD">
        <w:fldChar w:fldCharType="begin"/>
      </w:r>
      <w:r w:rsidR="00F7126F" w:rsidRPr="00C347AD">
        <w:instrText xml:space="preserve"> ADDIN ZOTERO_ITEM CSL_CITATION {"citationID":"f0s6jy2J","properties":{"formattedCitation":"(Artley &amp; Hardin, n.d.; Kromrey &amp; Renfrow, 1991)","plainCitation":"(Artley &amp; Hardin, n.d.; Kromrey &amp; Renfrow, 1991)"},"citationItems":[{"id":148,"uris":["http://zotero.org/users/2098925/items/5XKM97PW"],"uri":["http://zotero.org/users/2098925/items/5XKM97PW"],"itemData":{"id":148,"type":"article-journal","title":"Inventory of Teacher Knowledge of Reading, Revised Edition","source":"Mental Measurements","call-number":"8:781","author":[{"family":"Artley","given":"A. Sterl"},{"family":"Hardin","given":"Veralee B."}]}},{"id":773,"uris":["http://zotero.org/users/2098925/items/NUECZMHN"],"uri":["http://zotero.org/users/2098925/items/NUECZMHN"],"itemData":{"id":773,"type":"article-journal","title":"Using Multiple Choice Examination Items To Measure Teachers' Content-Specific Pedagogical Knowledge.","source":"Google Scholar","URL":"http://eric.ed.gov/?id=ED329594","author":[{"family":"Kromrey","given":"Jeffrey D."},{"family":"Renfrow","given":"Donata D."}],"issued":{"date-parts":[["1991"]]},"accessed":{"date-parts":[["2016",1,24]]}}}],"schema":"https://github.com/citation-style-language/schema/raw/master/csl-citation.json"} </w:instrText>
      </w:r>
      <w:r w:rsidR="002C59E8" w:rsidRPr="00C347AD">
        <w:fldChar w:fldCharType="separate"/>
      </w:r>
      <w:r w:rsidR="002C59E8" w:rsidRPr="00C347AD">
        <w:rPr>
          <w:noProof/>
        </w:rPr>
        <w:t>Artley &amp; Hardin, n.d.; Kromrey &amp; Renfrow, 1991)</w:t>
      </w:r>
      <w:r w:rsidR="002C59E8" w:rsidRPr="00C347AD">
        <w:fldChar w:fldCharType="end"/>
      </w:r>
      <w:r w:rsidR="002C59E8" w:rsidRPr="00C347AD">
        <w:t xml:space="preserve"> and survey</w:t>
      </w:r>
      <w:r w:rsidR="00605D61" w:rsidRPr="00C347AD">
        <w:t>s</w:t>
      </w:r>
      <w:r w:rsidR="002C59E8" w:rsidRPr="00C347AD">
        <w:t xml:space="preserve"> (</w:t>
      </w:r>
      <w:r w:rsidR="00B323A5" w:rsidRPr="00C347AD">
        <w:t>e.g.,</w:t>
      </w:r>
      <w:r w:rsidR="002C59E8" w:rsidRPr="00C347AD">
        <w:t xml:space="preserve"> </w:t>
      </w:r>
      <w:r w:rsidR="002C59E8" w:rsidRPr="00C347AD">
        <w:fldChar w:fldCharType="begin"/>
      </w:r>
      <w:r w:rsidR="00F7126F" w:rsidRPr="00C347AD">
        <w:instrText xml:space="preserve"> ADDIN ZOTERO_ITEM CSL_CITATION {"citationID":"2mrrtut6nj","properties":{"formattedCitation":"(Rowan et al., 2001)","plainCitation":"(Rowan et al., 2001)"},"citationItems":[{"id":891,"uris":["http://zotero.org/users/2098925/items/SFISKD58"],"uri":["http://zotero.org/users/2098925/items/SFISKD58"],"itemData":{"id":891,"type":"article-journal","title":"Measuring teachers’ pedagogical content knowledge in surveys: An exploratory study","container-title":"Ann Arbor: Consortium for Policy Research in Education, University of Pennsylvania","source":"Google Scholar","URL":"http://www.sii.soe.umich.edu/newsite_temp/documents/pck%20final%20report%20revised%20BR100901.pdf","shortTitle":"Measuring teachers’ pedagogical content knowledge in surveys","author":[{"family":"Rowan","given":"Brian"},{"family":"Schilling","given":"Steven G."},{"family":"Ball","given":"Deborah L."},{"family":"Miller","given":"Robert"},{"family":"Atkins-Burnett","given":"Sally"},{"family":"Camburn","given":"Eric"},{"literal":"others"}],"issued":{"date-parts":[["2001"]]},"accessed":{"date-parts":[["2016",1,24]]}}}],"schema":"https://github.com/citation-style-language/schema/raw/master/csl-citation.json"} </w:instrText>
      </w:r>
      <w:r w:rsidR="002C59E8" w:rsidRPr="00C347AD">
        <w:fldChar w:fldCharType="separate"/>
      </w:r>
      <w:r w:rsidR="002C59E8" w:rsidRPr="00C347AD">
        <w:rPr>
          <w:noProof/>
        </w:rPr>
        <w:t>Rowan et al., 2001)</w:t>
      </w:r>
      <w:r w:rsidR="002C59E8" w:rsidRPr="00C347AD">
        <w:fldChar w:fldCharType="end"/>
      </w:r>
      <w:r w:rsidR="002C59E8" w:rsidRPr="00C347AD">
        <w:t xml:space="preserve">. However, given that I am focused on a specific domain of general </w:t>
      </w:r>
      <w:r w:rsidR="002C59E8" w:rsidRPr="00C347AD">
        <w:lastRenderedPageBreak/>
        <w:t xml:space="preserve">pedagogical knowledge related to </w:t>
      </w:r>
      <w:r w:rsidR="001D1527" w:rsidRPr="00C347AD">
        <w:t>UDL</w:t>
      </w:r>
      <w:r w:rsidR="002C59E8" w:rsidRPr="00C347AD">
        <w:t>, none of these pre-constructed measures aligns closely enough with my research purposes.</w:t>
      </w:r>
      <w:r w:rsidR="002C59E8" w:rsidRPr="00C347AD">
        <w:rPr>
          <w:b/>
          <w:i/>
        </w:rPr>
        <w:t xml:space="preserve"> </w:t>
      </w:r>
      <w:r w:rsidR="002C59E8" w:rsidRPr="00C347AD">
        <w:t xml:space="preserve">After a thorough search, I found only one instrument available to directly assess preservice teacher knowledge of UDL, which was an assessment at the end of an IRIS Center </w:t>
      </w:r>
      <w:r w:rsidR="002C59E8" w:rsidRPr="00C347AD">
        <w:rPr>
          <w:highlight w:val="yellow"/>
        </w:rPr>
        <w:t>module (</w:t>
      </w:r>
      <w:hyperlink r:id="rId20" w:anchor="content" w:history="1">
        <w:r w:rsidR="002C59E8" w:rsidRPr="00C347AD">
          <w:rPr>
            <w:rStyle w:val="Hyperlink"/>
            <w:highlight w:val="yellow"/>
          </w:rPr>
          <w:t>http://iris.peabody.vanderbilt.edu/</w:t>
        </w:r>
      </w:hyperlink>
      <w:r w:rsidR="002C59E8" w:rsidRPr="00C347AD">
        <w:rPr>
          <w:highlight w:val="yellow"/>
        </w:rPr>
        <w:t>).</w:t>
      </w:r>
      <w:r w:rsidR="002C59E8" w:rsidRPr="00C347AD">
        <w:t xml:space="preserve"> However, this assessment includes questions that are specific to the content delivered in the module, and is designed to measure knowledge immediately after completing the IRIS module, which is a different independent variable than that which I am using.  As such, I developed my own instrument, the UDL Knowledge and Application Inventory.</w:t>
      </w:r>
    </w:p>
    <w:p w14:paraId="4CA48E70" w14:textId="5DED9377" w:rsidR="000E7426" w:rsidRPr="00C347AD" w:rsidRDefault="00E65BAF" w:rsidP="009B4541">
      <w:r w:rsidRPr="00C347AD">
        <w:t xml:space="preserve">The UDL Knowledge and Application Inventory </w:t>
      </w:r>
      <w:r w:rsidR="00F54DB3" w:rsidRPr="00C347AD">
        <w:t>is a multiple-</w:t>
      </w:r>
      <w:r w:rsidR="008D666C" w:rsidRPr="00C347AD">
        <w:t>choice inventory</w:t>
      </w:r>
      <w:r w:rsidR="00F54DB3" w:rsidRPr="00C347AD">
        <w:t xml:space="preserve"> with item characteristics </w:t>
      </w:r>
      <w:r w:rsidR="00F54DB3" w:rsidRPr="00C347AD">
        <w:fldChar w:fldCharType="begin"/>
      </w:r>
      <w:r w:rsidR="00F7126F" w:rsidRPr="00C347AD">
        <w:instrText xml:space="preserve"> ADDIN ZOTERO_ITEM CSL_CITATION {"citationID":"8eg1kj0ks","properties":{"formattedCitation":"(Nunnally, 1975)","plainCitation":"(Nunnally, 1975)"},"citationItems":[{"id":851,"uris":["http://zotero.org/users/2098925/items/RA4JAC6W"],"uri":["http://zotero.org/users/2098925/items/RA4JAC6W"],"itemData":{"id":851,"type":"article-journal","title":"Psychometric Theory. 25 Years Ago and Now","container-title":"Educational Researcher","page":"7","volume":"4","issue":"10","source":"CrossRef","DOI":"10.2307/1175619","ISSN":"0013189X","author":[{"family":"Nunnally","given":"Jum C."}],"issued":{"date-parts":[["1975",11]]}}}],"schema":"https://github.com/citation-style-language/schema/raw/master/csl-citation.json"} </w:instrText>
      </w:r>
      <w:r w:rsidR="00F54DB3" w:rsidRPr="00C347AD">
        <w:fldChar w:fldCharType="separate"/>
      </w:r>
      <w:r w:rsidR="00DD4A29" w:rsidRPr="00C347AD">
        <w:rPr>
          <w:noProof/>
        </w:rPr>
        <w:t>(Nunnally, 1975)</w:t>
      </w:r>
      <w:r w:rsidR="00F54DB3" w:rsidRPr="00C347AD">
        <w:fldChar w:fldCharType="end"/>
      </w:r>
      <w:r w:rsidR="00895E94" w:rsidRPr="00C347AD">
        <w:t xml:space="preserve"> designed to assay an individual’s basic</w:t>
      </w:r>
      <w:r w:rsidR="00DD4A29" w:rsidRPr="00C347AD">
        <w:t xml:space="preserve"> and intermediate</w:t>
      </w:r>
      <w:r w:rsidR="00895E94" w:rsidRPr="00C347AD">
        <w:t xml:space="preserve"> knowledge </w:t>
      </w:r>
      <w:r w:rsidR="00DD4A29" w:rsidRPr="00C347AD">
        <w:t xml:space="preserve">regarding </w:t>
      </w:r>
      <w:r w:rsidR="00895E94" w:rsidRPr="00C347AD">
        <w:t>UDL</w:t>
      </w:r>
      <w:r w:rsidR="00E414BF" w:rsidRPr="00C347AD">
        <w:t xml:space="preserve"> (</w:t>
      </w:r>
      <w:r w:rsidR="00605D61" w:rsidRPr="00C347AD">
        <w:t>10</w:t>
      </w:r>
      <w:r w:rsidR="00487C27" w:rsidRPr="00C347AD">
        <w:t xml:space="preserve"> </w:t>
      </w:r>
      <w:r w:rsidR="00E414BF" w:rsidRPr="00C347AD">
        <w:t xml:space="preserve">items) </w:t>
      </w:r>
      <w:r w:rsidR="00895E94" w:rsidRPr="00C347AD">
        <w:t xml:space="preserve">and to measure </w:t>
      </w:r>
      <w:r w:rsidR="00DD4A29" w:rsidRPr="00C347AD">
        <w:t>his or her</w:t>
      </w:r>
      <w:r w:rsidR="00895E94" w:rsidRPr="00C347AD">
        <w:t xml:space="preserve"> ability to apply such knowledge to particular vignettes in application</w:t>
      </w:r>
      <w:r w:rsidR="00E414BF" w:rsidRPr="00C347AD">
        <w:t xml:space="preserve"> (six items)</w:t>
      </w:r>
      <w:r w:rsidR="00895E94" w:rsidRPr="00C347AD">
        <w:t xml:space="preserve">. </w:t>
      </w:r>
      <w:r w:rsidR="00C272CD" w:rsidRPr="00C347AD">
        <w:t xml:space="preserve">Delivered through </w:t>
      </w:r>
      <w:r w:rsidR="00C272CD" w:rsidRPr="00C347AD">
        <w:rPr>
          <w:highlight w:val="yellow"/>
        </w:rPr>
        <w:t>Qualtrics for safety and rapid data analysis, t</w:t>
      </w:r>
      <w:r w:rsidR="00DD4A29" w:rsidRPr="00C347AD">
        <w:rPr>
          <w:highlight w:val="yellow"/>
        </w:rPr>
        <w:t xml:space="preserve">he assessment </w:t>
      </w:r>
      <w:r w:rsidR="008C7F5E" w:rsidRPr="00C347AD">
        <w:rPr>
          <w:highlight w:val="yellow"/>
        </w:rPr>
        <w:t>could</w:t>
      </w:r>
      <w:r w:rsidR="00DD4A29" w:rsidRPr="00C347AD">
        <w:rPr>
          <w:highlight w:val="yellow"/>
        </w:rPr>
        <w:t xml:space="preserve"> be scored holistically and</w:t>
      </w:r>
      <w:r w:rsidR="008C7F5E" w:rsidRPr="00C347AD">
        <w:rPr>
          <w:highlight w:val="yellow"/>
        </w:rPr>
        <w:t xml:space="preserve"> could be</w:t>
      </w:r>
      <w:r w:rsidR="00DD4A29" w:rsidRPr="00C347AD">
        <w:rPr>
          <w:highlight w:val="yellow"/>
        </w:rPr>
        <w:t xml:space="preserve"> parsed into knowledge question</w:t>
      </w:r>
      <w:r w:rsidR="008C7F5E" w:rsidRPr="00C347AD">
        <w:rPr>
          <w:highlight w:val="yellow"/>
        </w:rPr>
        <w:t xml:space="preserve">s and application questions while </w:t>
      </w:r>
      <w:r w:rsidR="00DD4A29" w:rsidRPr="00C347AD">
        <w:rPr>
          <w:highlight w:val="yellow"/>
        </w:rPr>
        <w:t xml:space="preserve">knowledge questions </w:t>
      </w:r>
      <w:r w:rsidR="008C7F5E" w:rsidRPr="00C347AD">
        <w:rPr>
          <w:highlight w:val="yellow"/>
        </w:rPr>
        <w:t>could</w:t>
      </w:r>
      <w:r w:rsidR="00DD4A29" w:rsidRPr="00C347AD">
        <w:rPr>
          <w:highlight w:val="yellow"/>
        </w:rPr>
        <w:t xml:space="preserve"> be further subdivided into basic and intermediate knowledge questions. This parsing </w:t>
      </w:r>
      <w:r w:rsidR="008C7F5E" w:rsidRPr="00C347AD">
        <w:rPr>
          <w:highlight w:val="yellow"/>
        </w:rPr>
        <w:t>could</w:t>
      </w:r>
      <w:r w:rsidR="00DD4A29" w:rsidRPr="00C347AD">
        <w:rPr>
          <w:highlight w:val="yellow"/>
        </w:rPr>
        <w:t xml:space="preserve"> help identify trends that are not apparent or clear in </w:t>
      </w:r>
      <w:r w:rsidR="00AB751E" w:rsidRPr="00C347AD">
        <w:rPr>
          <w:highlight w:val="yellow"/>
        </w:rPr>
        <w:t>holistic</w:t>
      </w:r>
      <w:r w:rsidR="00DD4A29" w:rsidRPr="00C347AD">
        <w:rPr>
          <w:highlight w:val="yellow"/>
        </w:rPr>
        <w:t xml:space="preserve"> measures</w:t>
      </w:r>
      <w:r w:rsidR="00AB751E" w:rsidRPr="00C347AD">
        <w:rPr>
          <w:highlight w:val="yellow"/>
        </w:rPr>
        <w:t>. For example, if a group makes gains in knowledge but stagnates in application and another group does the opposite, a holistic score may not reveal this pattern, whereas an item-analysis score would.</w:t>
      </w:r>
      <w:r w:rsidR="00AB751E" w:rsidRPr="00C347AD">
        <w:t xml:space="preserve"> </w:t>
      </w:r>
    </w:p>
    <w:p w14:paraId="70518648" w14:textId="5DCB6FA9" w:rsidR="00401AF0" w:rsidRPr="00C347AD" w:rsidRDefault="004D353C" w:rsidP="00401AF0">
      <w:r w:rsidRPr="00C347AD">
        <w:rPr>
          <w:i/>
        </w:rPr>
        <w:t xml:space="preserve">Content validity. </w:t>
      </w:r>
      <w:r w:rsidR="00E65BAF" w:rsidRPr="00C347AD">
        <w:t xml:space="preserve">The UDL Knowledge and Application Inventory </w:t>
      </w:r>
      <w:r w:rsidR="00AB751E" w:rsidRPr="00C347AD">
        <w:t xml:space="preserve">has been </w:t>
      </w:r>
      <w:r w:rsidR="00F13D68" w:rsidRPr="00C347AD">
        <w:t>content</w:t>
      </w:r>
      <w:r w:rsidR="00AB751E" w:rsidRPr="00C347AD">
        <w:t xml:space="preserve">-validated </w:t>
      </w:r>
      <w:r w:rsidR="000E7426" w:rsidRPr="00C347AD">
        <w:fldChar w:fldCharType="begin"/>
      </w:r>
      <w:r w:rsidR="00F7126F" w:rsidRPr="00C347AD">
        <w:instrText xml:space="preserve"> ADDIN ZOTERO_ITEM CSL_CITATION {"citationID":"kfr06u286","properties":{"formattedCitation":"(Benson &amp; Clark, 1982; Nevo, 1985)","plainCitation":"(Benson &amp; Clark, 1982; Nevo, 1985)"},"citationItems":[{"id":1025,"uris":["http://zotero.org/users/2098925/items/WDDGN7ZG"],"uri":["http://zotero.org/users/2098925/items/WDDGN7ZG"],"itemData":{"id":1025,"type":"article-journal","title":"A Guide for Instrument Development and Validation...[corrected] [published erratum appears in AM J OCCUP THER 2013; 37(2):119]","container-title":"American Journal of Occupational Therapy","page":"789-800 12p","volume":"36","issue":"12","source":"EBSCOhost","ISSN":"0272-9490","shortTitle":"A Guide for Instrument Development and Validation...[corrected] [published erratum appears in AM J OCCUP THER 2013; 37(2)","journalAbbreviation":"American Journal of Occupational Therapy","author":[{"family":"Benson","given":"Jeri"},{"family":"Clark","given":"Florence"}],"issued":{"date-parts":[["1982",12]]}}},{"id":86,"uris":["http://zotero.org/users/2098925/items/46DBBGPH"],"uri":["http://zotero.org/users/2098925/items/46DBBGPH"],"itemData":{"id":86,"type":"article-journal","title":"Face Validity Revisited","container-title":"Journal of Educational Measurement","page":"287-293","volume":"22","issue":"4","source":"JSTOR","abstract":"The literature of the concept of face validity is surveyed. A definition of face validity involving four facets is proposed. Empirical data suggesting that face validity is a characteristic of tests that can be validly and reliably measured are presented. Implications for research and for practical use are discussed.","ISSN":"0022-0655","journalAbbreviation":"Journal of Educational Measurement","author":[{"family":"Nevo","given":"Baruch"}],"issued":{"date-parts":[["1985"]]}}}],"schema":"https://github.com/citation-style-language/schema/raw/master/csl-citation.json"} </w:instrText>
      </w:r>
      <w:r w:rsidR="000E7426" w:rsidRPr="00C347AD">
        <w:fldChar w:fldCharType="separate"/>
      </w:r>
      <w:r w:rsidR="00A6683F" w:rsidRPr="00C347AD">
        <w:rPr>
          <w:noProof/>
        </w:rPr>
        <w:t>(Benson &amp; Clark, 1982; Nevo, 1985)</w:t>
      </w:r>
      <w:r w:rsidR="000E7426" w:rsidRPr="00C347AD">
        <w:fldChar w:fldCharType="end"/>
      </w:r>
      <w:r w:rsidR="000E7426" w:rsidRPr="00C347AD">
        <w:t xml:space="preserve"> by eight researchers and </w:t>
      </w:r>
      <w:r w:rsidR="000E7426" w:rsidRPr="00C347AD">
        <w:lastRenderedPageBreak/>
        <w:t>education consultants who specialize in UDL</w:t>
      </w:r>
      <w:r w:rsidR="000C0A07" w:rsidRPr="00C347AD">
        <w:t>; each responded to a survey assessing their evaluation of the instrument</w:t>
      </w:r>
      <w:r w:rsidR="00B66CC4" w:rsidRPr="00C347AD">
        <w:t xml:space="preserve"> </w:t>
      </w:r>
      <w:r w:rsidR="000C0A07" w:rsidRPr="00C347AD">
        <w:t xml:space="preserve">. </w:t>
      </w:r>
      <w:r w:rsidR="001F17D2" w:rsidRPr="00C347AD">
        <w:t>The scale questions</w:t>
      </w:r>
      <w:r w:rsidR="000C0A07" w:rsidRPr="00C347AD">
        <w:t xml:space="preserve"> provided</w:t>
      </w:r>
      <w:r w:rsidR="001F17D2" w:rsidRPr="00C347AD">
        <w:t xml:space="preserve"> were 1-5 Likert style questions ranging from “strongly</w:t>
      </w:r>
      <w:r w:rsidR="00D76FC2" w:rsidRPr="00C347AD">
        <w:t xml:space="preserve"> disagree” to “strongly agree”; </w:t>
      </w:r>
      <w:r w:rsidR="001F17D2" w:rsidRPr="00C347AD">
        <w:t>each scale question was followed by a prompt for qualitative commentary</w:t>
      </w:r>
      <w:r w:rsidR="00B66CC4" w:rsidRPr="00C347AD">
        <w:t xml:space="preserve"> (See Table 4)</w:t>
      </w:r>
      <w:r w:rsidR="001F17D2" w:rsidRPr="00C347AD">
        <w:t xml:space="preserve">. For example, one Likert-style question was: “The questions included in this inventory are appropriate for determining basic and general preservice teacher knowledge related to the principles and practice of Universal Design for Learning.” This was followed by the qualitative prompt: </w:t>
      </w:r>
      <w:r w:rsidR="00E87F92" w:rsidRPr="00C347AD">
        <w:t>“Regarding your answ</w:t>
      </w:r>
      <w:r w:rsidR="00D76FC2" w:rsidRPr="00C347AD">
        <w:t>er to the preceding question, p</w:t>
      </w:r>
      <w:r w:rsidR="00E87F92" w:rsidRPr="00C347AD">
        <w:t>lease offer any general commentary regarding which question(s) could be improved and how, if any. You may also suggest areas that may be overlooked in this version of the inventory.”</w:t>
      </w:r>
    </w:p>
    <w:p w14:paraId="60877FEF" w14:textId="77777777" w:rsidR="00401AF0" w:rsidRPr="00C347AD" w:rsidRDefault="00401AF0" w:rsidP="00401AF0"/>
    <w:p w14:paraId="7B7D5341" w14:textId="77777777" w:rsidR="00401AF0" w:rsidRPr="00C347AD" w:rsidRDefault="00401AF0" w:rsidP="00B6528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4293"/>
        <w:gridCol w:w="2565"/>
      </w:tblGrid>
      <w:tr w:rsidR="00401AF0" w:rsidRPr="00C347AD" w14:paraId="62368A2A" w14:textId="77777777" w:rsidTr="006E3241">
        <w:tc>
          <w:tcPr>
            <w:tcW w:w="5000" w:type="pct"/>
            <w:gridSpan w:val="3"/>
          </w:tcPr>
          <w:p w14:paraId="38E271DA"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Table 4. </w:t>
            </w:r>
          </w:p>
        </w:tc>
      </w:tr>
      <w:tr w:rsidR="00401AF0" w:rsidRPr="00C347AD" w14:paraId="23536C6C" w14:textId="77777777" w:rsidTr="006E3241">
        <w:tc>
          <w:tcPr>
            <w:tcW w:w="5000" w:type="pct"/>
            <w:gridSpan w:val="3"/>
            <w:tcBorders>
              <w:bottom w:val="single" w:sz="4" w:space="0" w:color="auto"/>
            </w:tcBorders>
          </w:tcPr>
          <w:p w14:paraId="615F6285" w14:textId="1B627B12" w:rsidR="00401AF0" w:rsidRPr="00C347AD" w:rsidRDefault="00401AF0" w:rsidP="00D65032">
            <w:pPr>
              <w:spacing w:line="240" w:lineRule="auto"/>
              <w:ind w:firstLine="0"/>
              <w:rPr>
                <w:rFonts w:ascii="Times New Roman" w:hAnsi="Times New Roman" w:cs="Times New Roman"/>
              </w:rPr>
            </w:pPr>
            <w:r w:rsidRPr="00C347AD">
              <w:rPr>
                <w:rFonts w:ascii="Times New Roman" w:hAnsi="Times New Roman" w:cs="Times New Roman"/>
                <w:i/>
              </w:rPr>
              <w:t xml:space="preserve">Panel Scores for </w:t>
            </w:r>
            <w:r w:rsidR="00D65032" w:rsidRPr="00C347AD">
              <w:rPr>
                <w:rFonts w:ascii="Times New Roman" w:hAnsi="Times New Roman" w:cs="Times New Roman"/>
                <w:i/>
              </w:rPr>
              <w:t xml:space="preserve">Universal Design for Learning - </w:t>
            </w:r>
            <w:r w:rsidRPr="00C347AD">
              <w:rPr>
                <w:rFonts w:ascii="Times New Roman" w:hAnsi="Times New Roman" w:cs="Times New Roman"/>
                <w:i/>
              </w:rPr>
              <w:t xml:space="preserve"> Knowledge and Application Inventory</w:t>
            </w:r>
          </w:p>
        </w:tc>
      </w:tr>
      <w:tr w:rsidR="00401AF0" w:rsidRPr="00C347AD" w14:paraId="28F8CAE9" w14:textId="77777777" w:rsidTr="006E3241">
        <w:tc>
          <w:tcPr>
            <w:tcW w:w="1128" w:type="pct"/>
            <w:tcBorders>
              <w:bottom w:val="single" w:sz="4" w:space="0" w:color="auto"/>
            </w:tcBorders>
          </w:tcPr>
          <w:p w14:paraId="5273387C"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Question Number</w:t>
            </w:r>
          </w:p>
        </w:tc>
        <w:tc>
          <w:tcPr>
            <w:tcW w:w="2424" w:type="pct"/>
            <w:tcBorders>
              <w:bottom w:val="single" w:sz="4" w:space="0" w:color="auto"/>
            </w:tcBorders>
          </w:tcPr>
          <w:p w14:paraId="294AD14D"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Focus</w:t>
            </w:r>
          </w:p>
        </w:tc>
        <w:tc>
          <w:tcPr>
            <w:tcW w:w="1448" w:type="pct"/>
            <w:tcBorders>
              <w:bottom w:val="single" w:sz="4" w:space="0" w:color="auto"/>
            </w:tcBorders>
          </w:tcPr>
          <w:p w14:paraId="364C5229"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Panel Avg. (/5)</w:t>
            </w:r>
          </w:p>
        </w:tc>
      </w:tr>
      <w:tr w:rsidR="00401AF0" w:rsidRPr="00C347AD" w14:paraId="3B02431F" w14:textId="77777777" w:rsidTr="006E3241">
        <w:tc>
          <w:tcPr>
            <w:tcW w:w="1128" w:type="pct"/>
            <w:tcBorders>
              <w:top w:val="single" w:sz="4" w:space="0" w:color="auto"/>
            </w:tcBorders>
          </w:tcPr>
          <w:p w14:paraId="6B8D0237"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1</w:t>
            </w:r>
          </w:p>
        </w:tc>
        <w:tc>
          <w:tcPr>
            <w:tcW w:w="2424" w:type="pct"/>
            <w:tcBorders>
              <w:top w:val="single" w:sz="4" w:space="0" w:color="auto"/>
            </w:tcBorders>
          </w:tcPr>
          <w:p w14:paraId="1B9AF351"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Appropriateness of included questions for preservice teacher knowledge </w:t>
            </w:r>
          </w:p>
          <w:p w14:paraId="22751D4E" w14:textId="77777777" w:rsidR="00401AF0" w:rsidRPr="00C347AD" w:rsidRDefault="00401AF0" w:rsidP="006E3241">
            <w:pPr>
              <w:spacing w:line="240" w:lineRule="auto"/>
              <w:ind w:firstLine="0"/>
              <w:rPr>
                <w:rFonts w:ascii="Times New Roman" w:hAnsi="Times New Roman" w:cs="Times New Roman"/>
              </w:rPr>
            </w:pPr>
          </w:p>
        </w:tc>
        <w:tc>
          <w:tcPr>
            <w:tcW w:w="1448" w:type="pct"/>
            <w:tcBorders>
              <w:top w:val="single" w:sz="4" w:space="0" w:color="auto"/>
            </w:tcBorders>
          </w:tcPr>
          <w:p w14:paraId="01F1F9A1"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5.0 </w:t>
            </w:r>
          </w:p>
        </w:tc>
      </w:tr>
      <w:tr w:rsidR="00401AF0" w:rsidRPr="00C347AD" w14:paraId="604CB138" w14:textId="77777777" w:rsidTr="006E3241">
        <w:tc>
          <w:tcPr>
            <w:tcW w:w="1128" w:type="pct"/>
          </w:tcPr>
          <w:p w14:paraId="60D5C77E"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2</w:t>
            </w:r>
          </w:p>
        </w:tc>
        <w:tc>
          <w:tcPr>
            <w:tcW w:w="2424" w:type="pct"/>
          </w:tcPr>
          <w:p w14:paraId="04530558"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Significance/importance for those wishing to practice UDL</w:t>
            </w:r>
          </w:p>
          <w:p w14:paraId="0000A8E9" w14:textId="77777777" w:rsidR="00401AF0" w:rsidRPr="00C347AD" w:rsidRDefault="00401AF0" w:rsidP="006E3241">
            <w:pPr>
              <w:spacing w:line="240" w:lineRule="auto"/>
              <w:ind w:firstLine="0"/>
              <w:rPr>
                <w:rFonts w:ascii="Times New Roman" w:hAnsi="Times New Roman" w:cs="Times New Roman"/>
              </w:rPr>
            </w:pPr>
          </w:p>
        </w:tc>
        <w:tc>
          <w:tcPr>
            <w:tcW w:w="1448" w:type="pct"/>
          </w:tcPr>
          <w:p w14:paraId="345C9F01"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5.0 </w:t>
            </w:r>
          </w:p>
        </w:tc>
      </w:tr>
      <w:tr w:rsidR="00401AF0" w:rsidRPr="00C347AD" w14:paraId="17215863" w14:textId="77777777" w:rsidTr="006E3241">
        <w:tc>
          <w:tcPr>
            <w:tcW w:w="1128" w:type="pct"/>
          </w:tcPr>
          <w:p w14:paraId="7937A062"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3</w:t>
            </w:r>
          </w:p>
        </w:tc>
        <w:tc>
          <w:tcPr>
            <w:tcW w:w="2424" w:type="pct"/>
          </w:tcPr>
          <w:p w14:paraId="6610D725"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Appropriateness of difficulty in context. </w:t>
            </w:r>
          </w:p>
          <w:p w14:paraId="2F1A96E9" w14:textId="77777777" w:rsidR="00401AF0" w:rsidRPr="00C347AD" w:rsidRDefault="00401AF0" w:rsidP="006E3241">
            <w:pPr>
              <w:spacing w:line="240" w:lineRule="auto"/>
              <w:ind w:firstLine="0"/>
              <w:rPr>
                <w:rFonts w:ascii="Times New Roman" w:hAnsi="Times New Roman" w:cs="Times New Roman"/>
              </w:rPr>
            </w:pPr>
          </w:p>
        </w:tc>
        <w:tc>
          <w:tcPr>
            <w:tcW w:w="1448" w:type="pct"/>
          </w:tcPr>
          <w:p w14:paraId="2A1C34C6"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5.0</w:t>
            </w:r>
          </w:p>
        </w:tc>
      </w:tr>
      <w:tr w:rsidR="00401AF0" w:rsidRPr="00C347AD" w14:paraId="0B7A33DB" w14:textId="77777777" w:rsidTr="006E3241">
        <w:tc>
          <w:tcPr>
            <w:tcW w:w="1128" w:type="pct"/>
          </w:tcPr>
          <w:p w14:paraId="75489A3D"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4</w:t>
            </w:r>
          </w:p>
        </w:tc>
        <w:tc>
          <w:tcPr>
            <w:tcW w:w="2424" w:type="pct"/>
          </w:tcPr>
          <w:p w14:paraId="7D5212EA"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Only one correct answer in context. </w:t>
            </w:r>
          </w:p>
          <w:p w14:paraId="50AC857B" w14:textId="77777777" w:rsidR="00401AF0" w:rsidRPr="00C347AD" w:rsidRDefault="00401AF0" w:rsidP="006E3241">
            <w:pPr>
              <w:spacing w:line="240" w:lineRule="auto"/>
              <w:ind w:firstLine="0"/>
              <w:rPr>
                <w:rFonts w:ascii="Times New Roman" w:hAnsi="Times New Roman" w:cs="Times New Roman"/>
              </w:rPr>
            </w:pPr>
          </w:p>
        </w:tc>
        <w:tc>
          <w:tcPr>
            <w:tcW w:w="1448" w:type="pct"/>
          </w:tcPr>
          <w:p w14:paraId="05899DDF"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3.75</w:t>
            </w:r>
          </w:p>
        </w:tc>
      </w:tr>
      <w:tr w:rsidR="00401AF0" w:rsidRPr="00C347AD" w14:paraId="50BCA6A2" w14:textId="77777777" w:rsidTr="006E3241">
        <w:tc>
          <w:tcPr>
            <w:tcW w:w="1128" w:type="pct"/>
            <w:tcBorders>
              <w:bottom w:val="single" w:sz="4" w:space="0" w:color="auto"/>
            </w:tcBorders>
          </w:tcPr>
          <w:p w14:paraId="6A2402BE"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5</w:t>
            </w:r>
          </w:p>
        </w:tc>
        <w:tc>
          <w:tcPr>
            <w:tcW w:w="2424" w:type="pct"/>
            <w:tcBorders>
              <w:bottom w:val="single" w:sz="4" w:space="0" w:color="auto"/>
            </w:tcBorders>
          </w:tcPr>
          <w:p w14:paraId="028A16FB"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 xml:space="preserve">Panel participant agrees with my answers. </w:t>
            </w:r>
          </w:p>
        </w:tc>
        <w:tc>
          <w:tcPr>
            <w:tcW w:w="1448" w:type="pct"/>
            <w:tcBorders>
              <w:bottom w:val="single" w:sz="4" w:space="0" w:color="auto"/>
            </w:tcBorders>
          </w:tcPr>
          <w:p w14:paraId="06A05A80" w14:textId="77777777" w:rsidR="00401AF0" w:rsidRPr="00C347AD" w:rsidRDefault="00401AF0" w:rsidP="006E3241">
            <w:pPr>
              <w:spacing w:line="240" w:lineRule="auto"/>
              <w:ind w:firstLine="0"/>
              <w:rPr>
                <w:rFonts w:ascii="Times New Roman" w:hAnsi="Times New Roman" w:cs="Times New Roman"/>
              </w:rPr>
            </w:pPr>
            <w:r w:rsidRPr="00C347AD">
              <w:rPr>
                <w:rFonts w:ascii="Times New Roman" w:hAnsi="Times New Roman" w:cs="Times New Roman"/>
              </w:rPr>
              <w:t>4.37</w:t>
            </w:r>
          </w:p>
        </w:tc>
      </w:tr>
    </w:tbl>
    <w:p w14:paraId="40EF571D" w14:textId="1CF196ED" w:rsidR="00902435" w:rsidRPr="00C347AD" w:rsidRDefault="00D76FC2" w:rsidP="00401AF0">
      <w:r w:rsidRPr="00C347AD">
        <w:t>Based on early feedback from different sources, the inventory was revised three times prior to being submitted to the full expert panel. The results from the full p</w:t>
      </w:r>
      <w:r w:rsidR="00902435" w:rsidRPr="00C347AD">
        <w:t xml:space="preserve">anel </w:t>
      </w:r>
      <w:r w:rsidR="00902435" w:rsidRPr="00C347AD">
        <w:lastRenderedPageBreak/>
        <w:t xml:space="preserve">were consistently positive (see </w:t>
      </w:r>
      <w:r w:rsidR="00265A58" w:rsidRPr="00C347AD">
        <w:t xml:space="preserve">Table </w:t>
      </w:r>
      <w:r w:rsidR="000F4D0C" w:rsidRPr="00C347AD">
        <w:t>4</w:t>
      </w:r>
      <w:r w:rsidR="00902435" w:rsidRPr="00C347AD">
        <w:t xml:space="preserve">). </w:t>
      </w:r>
      <w:r w:rsidR="00B37850" w:rsidRPr="00C347AD">
        <w:t>Where there was disagreement (</w:t>
      </w:r>
      <w:r w:rsidR="00B323A5" w:rsidRPr="00C347AD">
        <w:t>e.g.,</w:t>
      </w:r>
      <w:r w:rsidR="00B37850" w:rsidRPr="00C347AD">
        <w:t xml:space="preserve"> in items 4 and 5), the disagreement focused on the same questions, and these questions were modified based on the qualitative feedback </w:t>
      </w:r>
      <w:r w:rsidR="00AD5196" w:rsidRPr="00C347AD">
        <w:t xml:space="preserve">accrued from the participants. </w:t>
      </w:r>
      <w:r w:rsidR="008C7F5E" w:rsidRPr="00C347AD">
        <w:t xml:space="preserve">The resulting product was reviewed with agreement from the same expert panel. </w:t>
      </w:r>
    </w:p>
    <w:p w14:paraId="6975BC55" w14:textId="2B884DAF" w:rsidR="00401AF0" w:rsidRPr="00C347AD" w:rsidRDefault="00401AF0" w:rsidP="00401AF0">
      <w:r w:rsidRPr="00C347AD">
        <w:rPr>
          <w:i/>
        </w:rPr>
        <w:t xml:space="preserve">Reliability. </w:t>
      </w:r>
      <w:r w:rsidRPr="00C347AD">
        <w:t>As aforementioned, reliability for the UDL-KAI was determined using Chronbach’s alpha coefficient despite the limitations and probability for underestimating the reliability of the measure that Chronbach’s poses (</w:t>
      </w:r>
      <w:r w:rsidR="006E3241" w:rsidRPr="00C347AD">
        <w:t>e.g.,</w:t>
      </w:r>
      <w:r w:rsidRPr="00C347AD">
        <w:fldChar w:fldCharType="begin"/>
      </w:r>
      <w:r w:rsidRPr="00C347AD">
        <w:instrText xml:space="preserve"> ADDIN ZOTERO_ITEM CSL_CITATION {"citationID":"THvxt2Tc","properties":{"formattedCitation":"(Widhiarso &amp; Ravand, 2014)","plainCitation":"(Widhiarso &amp; Ravand, 2014)"},"citationItems":[{"id":2350,"uris":["http://zotero.org/users/2098925/items/J8VSD9VR"],"uri":["http://zotero.org/users/2098925/items/J8VSD9VR"],"itemData":{"id":2350,"type":"article-journal","title":"Estimating reliability coefficient for multidimensional measures: A pedagogical illustration","container-title":"Review of Psychology","page":"111–121","volume":"21","issue":"2","source":"Google Scholar","shortTitle":"Estimating reliability coefficient for multidimensional measures","author":[{"family":"Widhiarso","given":"Wahyu"},{"family":"Ravand","given":"Hamdollah"}],"issued":{"date-parts":[["2014"]]}}}],"schema":"https://github.com/citation-style-language/schema/raw/master/csl-citation.json"} </w:instrText>
      </w:r>
      <w:r w:rsidRPr="00C347AD">
        <w:fldChar w:fldCharType="separate"/>
      </w:r>
      <w:r w:rsidRPr="00C347AD">
        <w:rPr>
          <w:noProof/>
        </w:rPr>
        <w:t>Widhiarso &amp; Ravand, 2014)</w:t>
      </w:r>
      <w:r w:rsidRPr="00C347AD">
        <w:fldChar w:fldCharType="end"/>
      </w:r>
      <w:r w:rsidRPr="00C347AD">
        <w:t xml:space="preserve">. In an attempt to maximize the validity of this measure, however, several steps were taken. The results of these analyses are presented in Table X. </w:t>
      </w:r>
    </w:p>
    <w:p w14:paraId="13F42302" w14:textId="575CEF7A" w:rsidR="00401AF0" w:rsidRPr="00C347AD" w:rsidRDefault="00401AF0" w:rsidP="00401AF0">
      <w:pPr>
        <w:pStyle w:val="ListParagraph"/>
        <w:numPr>
          <w:ilvl w:val="0"/>
          <w:numId w:val="30"/>
        </w:numPr>
      </w:pPr>
      <w:r w:rsidRPr="00C347AD">
        <w:t xml:space="preserve">Binary “score” </w:t>
      </w:r>
      <w:r w:rsidRPr="00C347AD">
        <w:sym w:font="Wingdings" w:char="F0E0"/>
      </w:r>
      <w:r w:rsidRPr="00C347AD">
        <w:t xml:space="preserve"> Steps taken to address</w:t>
      </w:r>
    </w:p>
    <w:p w14:paraId="7C04988A" w14:textId="198E3AEE" w:rsidR="00401AF0" w:rsidRPr="00C347AD" w:rsidRDefault="00401AF0" w:rsidP="00401AF0">
      <w:pPr>
        <w:pStyle w:val="ListParagraph"/>
        <w:numPr>
          <w:ilvl w:val="0"/>
          <w:numId w:val="30"/>
        </w:numPr>
      </w:pPr>
      <w:r w:rsidRPr="00C347AD">
        <w:t xml:space="preserve">Examination of overall and time-by-time </w:t>
      </w:r>
    </w:p>
    <w:p w14:paraId="50AA2782" w14:textId="74578D0F" w:rsidR="00B1236C" w:rsidRPr="00C347AD" w:rsidRDefault="00401AF0" w:rsidP="00401AF0">
      <w:pPr>
        <w:pStyle w:val="ListParagraph"/>
        <w:numPr>
          <w:ilvl w:val="0"/>
          <w:numId w:val="30"/>
        </w:numPr>
      </w:pPr>
      <w:r w:rsidRPr="00C347AD">
        <w:t>Dealing with missing data</w:t>
      </w:r>
    </w:p>
    <w:p w14:paraId="58831226" w14:textId="7FF54B79" w:rsidR="00BB3494" w:rsidRPr="00C347AD" w:rsidRDefault="009B4541" w:rsidP="00BB3494">
      <w:r w:rsidRPr="00C347AD">
        <w:rPr>
          <w:b/>
        </w:rPr>
        <w:t>Teacher Se</w:t>
      </w:r>
      <w:r w:rsidR="00CD6697" w:rsidRPr="00C347AD">
        <w:rPr>
          <w:b/>
        </w:rPr>
        <w:t>nse of Efficacy using UDL Scale.</w:t>
      </w:r>
      <w:r w:rsidR="00CD6697" w:rsidRPr="00C347AD">
        <w:rPr>
          <w:b/>
          <w:i/>
        </w:rPr>
        <w:t xml:space="preserve"> </w:t>
      </w:r>
      <w:r w:rsidR="000436D8" w:rsidRPr="00C347AD">
        <w:t xml:space="preserve">This </w:t>
      </w:r>
      <w:r w:rsidR="00DA7D6D" w:rsidRPr="00C347AD">
        <w:t>scale is a modification of the Teacher Sense of Efficacy Scale</w:t>
      </w:r>
      <w:r w:rsidR="008B5A5E" w:rsidRPr="00C347AD">
        <w:t xml:space="preserve"> </w:t>
      </w:r>
      <w:r w:rsidR="008B5A5E" w:rsidRPr="00C347AD">
        <w:fldChar w:fldCharType="begin"/>
      </w:r>
      <w:r w:rsidR="00F7126F" w:rsidRPr="00C347AD">
        <w:instrText xml:space="preserve"> ADDIN ZOTERO_ITEM CSL_CITATION {"citationID":"25nmtai7rt","properties":{"formattedCitation":"(Tschannen-Moran &amp; Hoy, 2001)","plainCitation":"(Tschannen-Moran &amp; Hoy, 2001)"},"citationItems":[{"id":63,"uris":["http://zotero.org/users/2098925/items/3M4EISG3"],"uri":["http://zotero.org/users/2098925/items/3M4EISG3"],"itemData":{"id":63,"type":"article-journal","title":"Teacher efficacy: capturing an elusive construct","container-title":"Teaching and Teacher Education","page":"783-805","volume":"17","issue":"7","source":"ScienceDirect","abstract":"Teacher efficacy has proved to be powerfully related to many meaningful educational outcomes such as teachers’ persistence, enthusiasm, commitment and instructional behavior, as well as student outcomes such as achievement, motivation, and self-efficacy beliefs. However, persistent measurement problems have plagued those who have sought to study teacher efficacy. We review many of the major measures that have been used to capture the construct, noting problems that have arisen with each. We then propose a promising new measure of teacher efficacy along with validity and reliability data from three separate studies. Finally, new directions for research made possible by this instrument are explored.","DOI":"10.1016/S0742-051X(01)00036-1","ISSN":"0742-051X","shortTitle":"Teacher efficacy","journalAbbreviation":"Teaching and Teacher Education","author":[{"family":"Tschannen-Moran","given":"Megan"},{"family":"Hoy","given":"Anita Woolfolk"}],"issued":{"date-parts":[["2001",10]]}}}],"schema":"https://github.com/citation-style-language/schema/raw/master/csl-citation.json"} </w:instrText>
      </w:r>
      <w:r w:rsidR="008B5A5E" w:rsidRPr="00C347AD">
        <w:fldChar w:fldCharType="separate"/>
      </w:r>
      <w:r w:rsidR="008B5A5E" w:rsidRPr="00C347AD">
        <w:rPr>
          <w:noProof/>
        </w:rPr>
        <w:t>(</w:t>
      </w:r>
      <w:r w:rsidR="006D184D" w:rsidRPr="00C347AD">
        <w:rPr>
          <w:noProof/>
        </w:rPr>
        <w:t xml:space="preserve">TSES; </w:t>
      </w:r>
      <w:r w:rsidR="008B5A5E" w:rsidRPr="00C347AD">
        <w:rPr>
          <w:noProof/>
        </w:rPr>
        <w:t>Tschannen-Moran &amp; Hoy, 2001)</w:t>
      </w:r>
      <w:r w:rsidR="008B5A5E" w:rsidRPr="00C347AD">
        <w:fldChar w:fldCharType="end"/>
      </w:r>
      <w:r w:rsidR="008B5A5E" w:rsidRPr="00C347AD">
        <w:t>, which is a well</w:t>
      </w:r>
      <w:r w:rsidR="00605D61" w:rsidRPr="00C347AD">
        <w:t>-</w:t>
      </w:r>
      <w:r w:rsidR="008B5A5E" w:rsidRPr="00C347AD">
        <w:t>e</w:t>
      </w:r>
      <w:r w:rsidR="00571EAC" w:rsidRPr="00C347AD">
        <w:t>stablished, validated and field-</w:t>
      </w:r>
      <w:r w:rsidR="008B5A5E" w:rsidRPr="00C347AD">
        <w:t xml:space="preserve">tested instrument to measure teacher efficacy. </w:t>
      </w:r>
      <w:r w:rsidR="007B09D0" w:rsidRPr="00C347AD">
        <w:t xml:space="preserve">After obtaining permission from the authors to modify their instrument, I carefully reviewed the original instrument and made revisions in order to heighten the salience of the modified instrument to measure not just teacher efficacy, but particularly efficacy as it relates to utilizing UDL in the classroom. To do so, I carefully examined each item in the original </w:t>
      </w:r>
      <w:r w:rsidR="006D184D" w:rsidRPr="00C347AD">
        <w:t>TSES and selected those to keep, modify (extending the core concept of the original question), or remove, and then added several questions of my own.</w:t>
      </w:r>
      <w:r w:rsidR="00785EE2" w:rsidRPr="00C347AD">
        <w:t xml:space="preserve"> All additions </w:t>
      </w:r>
      <w:r w:rsidR="00785EE2" w:rsidRPr="00C347AD">
        <w:lastRenderedPageBreak/>
        <w:t xml:space="preserve">were reworded phrases from </w:t>
      </w:r>
      <w:r w:rsidR="002C59E8" w:rsidRPr="00C347AD">
        <w:t xml:space="preserve">Meyer, Rose and Gordon’s (2014) </w:t>
      </w:r>
      <w:r w:rsidR="002C59E8" w:rsidRPr="00C347AD">
        <w:rPr>
          <w:i/>
        </w:rPr>
        <w:t>UDL Theory and Practice</w:t>
      </w:r>
      <w:r w:rsidR="002C59E8" w:rsidRPr="00C347AD">
        <w:t xml:space="preserve"> textbook, which was used after obtaining written permission. </w:t>
      </w:r>
      <w:r w:rsidR="002C59E8" w:rsidRPr="00C347AD">
        <w:rPr>
          <w:highlight w:val="yellow"/>
        </w:rPr>
        <w:t xml:space="preserve">A </w:t>
      </w:r>
      <w:r w:rsidR="006D184D" w:rsidRPr="00C347AD">
        <w:rPr>
          <w:highlight w:val="yellow"/>
        </w:rPr>
        <w:t>full overview of the process I underwent is in Appendix Y.</w:t>
      </w:r>
      <w:r w:rsidR="006D184D" w:rsidRPr="00C347AD">
        <w:t xml:space="preserve">  </w:t>
      </w:r>
    </w:p>
    <w:p w14:paraId="5F957038" w14:textId="6EB5BBA1" w:rsidR="004512D4" w:rsidRPr="00C347AD" w:rsidRDefault="00CA0FBA" w:rsidP="004512D4">
      <w:pPr>
        <w:rPr>
          <w:bCs/>
        </w:rPr>
      </w:pPr>
      <w:r w:rsidRPr="00C347AD">
        <w:t>Questions that were maintained</w:t>
      </w:r>
      <w:r w:rsidR="008C2F5B" w:rsidRPr="00C347AD">
        <w:rPr>
          <w:bCs/>
        </w:rPr>
        <w:t xml:space="preserve"> were kept because </w:t>
      </w:r>
      <w:r w:rsidRPr="00C347AD">
        <w:rPr>
          <w:bCs/>
        </w:rPr>
        <w:t xml:space="preserve">they relate to UDL concepts and/or relate to including diverse students. For example, </w:t>
      </w:r>
      <w:r w:rsidRPr="00C347AD">
        <w:t>“</w:t>
      </w:r>
      <w:r w:rsidRPr="00C347AD">
        <w:rPr>
          <w:bCs/>
        </w:rPr>
        <w:t>How much can you do to motivate students who show low interest in school work?” was ma</w:t>
      </w:r>
      <w:r w:rsidR="002F1A53" w:rsidRPr="00C347AD">
        <w:rPr>
          <w:bCs/>
        </w:rPr>
        <w:t xml:space="preserve">intained, because diversity in </w:t>
      </w:r>
      <w:r w:rsidRPr="00C347AD">
        <w:rPr>
          <w:bCs/>
        </w:rPr>
        <w:t xml:space="preserve">how students are engaged is addressed by the UDL principle “provide multiple means of engagement.” Questions that were modified were modified </w:t>
      </w:r>
      <w:r w:rsidR="00C43C9C" w:rsidRPr="00C347AD">
        <w:t>because a core component was still useful, but the question needed to be re-tasked to fit well with the purpose of the new instrument. For example, “How much can you do to improve the understanding of a student who is failing?” was modified to read, “</w:t>
      </w:r>
      <w:r w:rsidR="00C43C9C" w:rsidRPr="00C347AD">
        <w:rPr>
          <w:bCs/>
        </w:rPr>
        <w:t xml:space="preserve">How much can you do to design lessons that prevent diverse students from failing?” This latter construction reflects the </w:t>
      </w:r>
      <w:r w:rsidR="005760E7" w:rsidRPr="00C347AD">
        <w:rPr>
          <w:bCs/>
        </w:rPr>
        <w:t>importance</w:t>
      </w:r>
      <w:r w:rsidR="00C43C9C" w:rsidRPr="00C347AD">
        <w:rPr>
          <w:bCs/>
        </w:rPr>
        <w:t xml:space="preserve"> of lesson design in UDL </w:t>
      </w:r>
      <w:r w:rsidR="005760E7" w:rsidRPr="00C347AD">
        <w:rPr>
          <w:bCs/>
        </w:rPr>
        <w:t>and shifts from reactivity (“a student who is failing”) to proactivity (“</w:t>
      </w:r>
      <w:r w:rsidR="005760E7" w:rsidRPr="00C347AD">
        <w:rPr>
          <w:bCs/>
          <w:i/>
        </w:rPr>
        <w:t>prevent</w:t>
      </w:r>
      <w:r w:rsidR="005760E7" w:rsidRPr="00C347AD">
        <w:rPr>
          <w:bCs/>
        </w:rPr>
        <w:t xml:space="preserve"> diverse students from failing”), which is also important for UDL implementation. Questions such as “How much can you do to get children to follow classroom rules?” which didn’t have immediate relation to learning were removed. Finally, </w:t>
      </w:r>
      <w:r w:rsidR="004512D4" w:rsidRPr="00C347AD">
        <w:rPr>
          <w:bCs/>
        </w:rPr>
        <w:t xml:space="preserve">new additions such as “To what extent can you design learning activities that provide options for all learners to physically respond?” are re-worded UDL principles or guidelines framed as questions that reflect the nature of TSES questions. The full instrument is presented in </w:t>
      </w:r>
      <w:r w:rsidR="004512D4" w:rsidRPr="00C347AD">
        <w:rPr>
          <w:bCs/>
          <w:highlight w:val="yellow"/>
        </w:rPr>
        <w:t>Appendix Y.</w:t>
      </w:r>
    </w:p>
    <w:p w14:paraId="3AA3B3F1" w14:textId="020059AB" w:rsidR="00DE6A3D" w:rsidRPr="00C347AD" w:rsidRDefault="00326A6E" w:rsidP="00326A6E">
      <w:pPr>
        <w:rPr>
          <w:color w:val="000000" w:themeColor="text1"/>
        </w:rPr>
      </w:pPr>
      <w:r w:rsidRPr="00C347AD">
        <w:rPr>
          <w:i/>
        </w:rPr>
        <w:lastRenderedPageBreak/>
        <w:t xml:space="preserve">Psychometrics. </w:t>
      </w:r>
      <w:r w:rsidRPr="00C347AD">
        <w:t xml:space="preserve">Original </w:t>
      </w:r>
      <w:r w:rsidR="00DE6A3D" w:rsidRPr="00C347AD">
        <w:t>construct</w:t>
      </w:r>
      <w:r w:rsidRPr="00C347AD">
        <w:t xml:space="preserve"> validity for the TSES (</w:t>
      </w:r>
      <w:r w:rsidRPr="00C347AD">
        <w:rPr>
          <w:noProof/>
        </w:rPr>
        <w:t xml:space="preserve">Tschannen-Moran &amp; Hoy, 2001) </w:t>
      </w:r>
      <w:r w:rsidRPr="00C347AD">
        <w:rPr>
          <w:color w:val="000000" w:themeColor="text1"/>
        </w:rPr>
        <w:t xml:space="preserve">was established </w:t>
      </w:r>
      <w:r w:rsidR="00DE6A3D" w:rsidRPr="00C347AD">
        <w:rPr>
          <w:color w:val="000000" w:themeColor="text1"/>
        </w:rPr>
        <w:t>by conducting correlation analysis with previously existing measures (</w:t>
      </w:r>
      <w:r w:rsidR="006E3241" w:rsidRPr="00C347AD">
        <w:rPr>
          <w:color w:val="000000" w:themeColor="text1"/>
        </w:rPr>
        <w:t>e.g.,</w:t>
      </w:r>
      <w:r w:rsidR="00DE6A3D" w:rsidRPr="00C347AD">
        <w:rPr>
          <w:color w:val="000000" w:themeColor="text1"/>
        </w:rPr>
        <w:t xml:space="preserve">the RAND items, the Teacher Efficacy Scale, the General Teacher Efficacy scale). Correlations were significant at the p&lt;.001 level for all measure comparisons.  Additional factor analysis was conducted to refine the construct. The final instrument was narrowed from 24 to 18 items as a result of this factor analysis; there were strong facot loadings (from .61 to .83) for each item.  </w:t>
      </w:r>
    </w:p>
    <w:p w14:paraId="785B4570" w14:textId="6A7735CD" w:rsidR="00326A6E" w:rsidRPr="00C347AD" w:rsidRDefault="00326A6E" w:rsidP="00326A6E">
      <w:pPr>
        <w:rPr>
          <w:color w:val="000000" w:themeColor="text1"/>
        </w:rPr>
      </w:pPr>
      <w:r w:rsidRPr="00C347AD">
        <w:rPr>
          <w:color w:val="000000" w:themeColor="text1"/>
        </w:rPr>
        <w:t xml:space="preserve">Consistent with my analysis regarding reliability measures for multidimensional measures, the original reliability scores are presented in terms of stratified alpha coefficients; that is, Cronbach’s alpha scores provided separately for each of the three subscales: </w:t>
      </w:r>
      <w:r w:rsidR="00DE6A3D" w:rsidRPr="00C347AD">
        <w:rPr>
          <w:color w:val="000000" w:themeColor="text1"/>
        </w:rPr>
        <w:t>engagement</w:t>
      </w:r>
      <w:r w:rsidRPr="00C347AD">
        <w:rPr>
          <w:color w:val="000000" w:themeColor="text1"/>
        </w:rPr>
        <w:t xml:space="preserve">, </w:t>
      </w:r>
      <w:r w:rsidR="00DE6A3D" w:rsidRPr="00C347AD">
        <w:rPr>
          <w:color w:val="000000" w:themeColor="text1"/>
        </w:rPr>
        <w:t>instruction</w:t>
      </w:r>
      <w:r w:rsidRPr="00C347AD">
        <w:rPr>
          <w:color w:val="000000" w:themeColor="text1"/>
        </w:rPr>
        <w:t xml:space="preserve">, </w:t>
      </w:r>
      <w:r w:rsidR="00DE6A3D" w:rsidRPr="00C347AD">
        <w:rPr>
          <w:color w:val="000000" w:themeColor="text1"/>
        </w:rPr>
        <w:t>and management</w:t>
      </w:r>
      <w:r w:rsidRPr="00C347AD">
        <w:rPr>
          <w:color w:val="000000" w:themeColor="text1"/>
        </w:rPr>
        <w:t xml:space="preserve">. These scores were reported as being between </w:t>
      </w:r>
      <w:r w:rsidRPr="00C347AD">
        <w:rPr>
          <w:color w:val="000000" w:themeColor="text1"/>
        </w:rPr>
        <w:sym w:font="Symbol" w:char="F061"/>
      </w:r>
      <w:r w:rsidRPr="00C347AD">
        <w:rPr>
          <w:color w:val="000000" w:themeColor="text1"/>
        </w:rPr>
        <w:t xml:space="preserve"> = </w:t>
      </w:r>
      <w:r w:rsidR="00DE6A3D" w:rsidRPr="00C347AD">
        <w:rPr>
          <w:color w:val="000000" w:themeColor="text1"/>
        </w:rPr>
        <w:t>0.72 and 0.82</w:t>
      </w:r>
      <w:r w:rsidRPr="00C347AD">
        <w:rPr>
          <w:color w:val="000000" w:themeColor="text1"/>
        </w:rPr>
        <w:t xml:space="preserve"> (see Table X).</w:t>
      </w:r>
      <w:r w:rsidR="00DE6A3D" w:rsidRPr="00C347AD">
        <w:rPr>
          <w:color w:val="000000" w:themeColor="text1"/>
        </w:rPr>
        <w:t xml:space="preserve">  These scores qualitatively range from acceptable to good </w:t>
      </w:r>
      <w:r w:rsidR="00DE6A3D" w:rsidRPr="00C347AD">
        <w:rPr>
          <w:color w:val="000000" w:themeColor="text1"/>
        </w:rPr>
        <w:fldChar w:fldCharType="begin"/>
      </w:r>
      <w:r w:rsidR="00DE6A3D" w:rsidRPr="00C347AD">
        <w:rPr>
          <w:color w:val="000000" w:themeColor="text1"/>
        </w:rPr>
        <w:instrText xml:space="preserve"> ADDIN ZOTERO_ITEM CSL_CITATION {"citationID":"1qv2081r0a","properties":{"formattedCitation":"(George &amp; Mallery, 2006)","plainCitation":"(George &amp; Mallery, 2006)"},"citationItems":[{"id":939,"uris":["http://zotero.org/users/2098925/items/TQVPEFCU"],"uri":["http://zotero.org/users/2098925/items/TQVPEFCU"],"itemData":{"id":939,"type":"book","title":"SPSS for Windows Step by Step: A Simple Guide and Reference, 13.0 Update","publisher":"Pearson A and B","number-of-pages":"412","source":"Google Books","abstract":"This text covers all major SPSS procedures for version 11.0 and earlier versions. Each analysis chapter is organized according to a structured, identical format, with step-by-step instructions.","ISBN":"978-0-205-48071-5","shortTitle":"SPSS for Windows Step by Step","language":"en","author":[{"family":"George","given":"Darren"},{"family":"Mallery","given":"Paul"}],"issued":{"date-parts":[["2006"]]}}}],"schema":"https://github.com/citation-style-language/schema/raw/master/csl-citation.json"} </w:instrText>
      </w:r>
      <w:r w:rsidR="00DE6A3D" w:rsidRPr="00C347AD">
        <w:rPr>
          <w:color w:val="000000" w:themeColor="text1"/>
        </w:rPr>
        <w:fldChar w:fldCharType="separate"/>
      </w:r>
      <w:r w:rsidR="00DE6A3D" w:rsidRPr="00C347AD">
        <w:rPr>
          <w:noProof/>
          <w:color w:val="000000" w:themeColor="text1"/>
        </w:rPr>
        <w:t>(George &amp; Mallery, 2006)</w:t>
      </w:r>
      <w:r w:rsidR="00DE6A3D" w:rsidRPr="00C347AD">
        <w:rPr>
          <w:color w:val="000000" w:themeColor="text1"/>
        </w:rPr>
        <w:fldChar w:fldCharType="end"/>
      </w:r>
      <w:r w:rsidR="00DE6A3D" w:rsidRPr="00C347AD">
        <w:rPr>
          <w:color w:val="000000" w:themeColor="text1"/>
        </w:rPr>
        <w:t xml:space="preserve">. </w:t>
      </w:r>
    </w:p>
    <w:p w14:paraId="6083E3A1" w14:textId="58255E73" w:rsidR="00326A6E" w:rsidRPr="00C347AD" w:rsidRDefault="00326A6E" w:rsidP="00AC64C1">
      <w:pPr>
        <w:rPr>
          <w:color w:val="8064A2" w:themeColor="accent4"/>
        </w:rPr>
      </w:pPr>
      <w:r w:rsidRPr="00C347AD">
        <w:rPr>
          <w:color w:val="000000" w:themeColor="text1"/>
        </w:rPr>
        <w:t>For the current study,</w:t>
      </w:r>
      <w:r w:rsidR="00DE6A3D" w:rsidRPr="00C347AD">
        <w:rPr>
          <w:color w:val="000000" w:themeColor="text1"/>
        </w:rPr>
        <w:t xml:space="preserve"> I focused only on the holisitic alpha score because I made significant modifications to the instrument and thus felt that the factor analysis utilized for the initial study could not transfer and, as aforementioned, I did not have enough participants to conduct a new factor analysis. However, to increase sensitivity and detail in reliability</w:t>
      </w:r>
      <w:r w:rsidR="00AC64C1" w:rsidRPr="00C347AD">
        <w:rPr>
          <w:color w:val="000000" w:themeColor="text1"/>
        </w:rPr>
        <w:t xml:space="preserve"> reporting,</w:t>
      </w:r>
      <w:r w:rsidRPr="00C347AD">
        <w:rPr>
          <w:color w:val="000000" w:themeColor="text1"/>
        </w:rPr>
        <w:t xml:space="preserve"> I collected alpha scores for each data time data were collected (pretest, posttest 1, posttest 2). These scores are reported in Table X. </w:t>
      </w:r>
      <w:r w:rsidR="00AC64C1" w:rsidRPr="00C347AD">
        <w:rPr>
          <w:color w:val="000000" w:themeColor="text1"/>
        </w:rPr>
        <w:t>Overall and each time-based r</w:t>
      </w:r>
      <w:r w:rsidRPr="00C347AD">
        <w:rPr>
          <w:color w:val="000000" w:themeColor="text1"/>
        </w:rPr>
        <w:t xml:space="preserve">eliability </w:t>
      </w:r>
      <w:r w:rsidR="00AC64C1" w:rsidRPr="00C347AD">
        <w:rPr>
          <w:color w:val="000000" w:themeColor="text1"/>
        </w:rPr>
        <w:t xml:space="preserve">score for the TSE-UDLS can be considered excellent </w:t>
      </w:r>
      <w:r w:rsidRPr="00C347AD">
        <w:rPr>
          <w:color w:val="000000" w:themeColor="text1"/>
        </w:rPr>
        <w:t xml:space="preserve"> </w:t>
      </w:r>
      <w:r w:rsidRPr="00C347AD">
        <w:rPr>
          <w:color w:val="000000" w:themeColor="text1"/>
        </w:rPr>
        <w:fldChar w:fldCharType="begin"/>
      </w:r>
      <w:r w:rsidRPr="00C347AD">
        <w:rPr>
          <w:color w:val="000000" w:themeColor="text1"/>
        </w:rPr>
        <w:instrText xml:space="preserve"> ADDIN ZOTERO_ITEM CSL_CITATION {"citationID":"mCjUod2W","properties":{"formattedCitation":"(George &amp; Mallery, 2006)","plainCitation":"(George &amp; Mallery, 2006)"},"citationItems":[{"id":939,"uris":["http://zotero.org/users/2098925/items/TQVPEFCU"],"uri":["http://zotero.org/users/2098925/items/TQVPEFCU"],"itemData":{"id":939,"type":"book","title":"SPSS for Windows Step by Step: A Simple Guide and Reference, 13.0 Update","publisher":"Pearson A and B","number-of-pages":"412","source":"Google Books","abstract":"This text covers all major SPSS procedures for version 11.0 and earlier versions. Each analysis chapter is organized according to a structured, identical format, with step-by-step instructions.","ISBN":"978-0-205-48071-5","shortTitle":"SPSS for Windows Step by Step","language":"en","author":[{"family":"George","given":"Darren"},{"family":"Mallery","given":"Paul"}],"issued":{"date-parts":[["2006"]]}}}],"schema":"https://github.com/citation-style-language/schema/raw/master/csl-citation.json"} </w:instrText>
      </w:r>
      <w:r w:rsidRPr="00C347AD">
        <w:rPr>
          <w:color w:val="000000" w:themeColor="text1"/>
        </w:rPr>
        <w:fldChar w:fldCharType="separate"/>
      </w:r>
      <w:r w:rsidRPr="00C347AD">
        <w:rPr>
          <w:noProof/>
          <w:color w:val="000000" w:themeColor="text1"/>
        </w:rPr>
        <w:t xml:space="preserve">(George &amp; </w:t>
      </w:r>
      <w:r w:rsidRPr="00C347AD">
        <w:rPr>
          <w:noProof/>
          <w:color w:val="000000" w:themeColor="text1"/>
        </w:rPr>
        <w:lastRenderedPageBreak/>
        <w:t>Mallery</w:t>
      </w:r>
      <w:r w:rsidR="00AC64C1" w:rsidRPr="00C347AD">
        <w:rPr>
          <w:noProof/>
          <w:color w:val="000000" w:themeColor="text1"/>
        </w:rPr>
        <w:t>, 2011</w:t>
      </w:r>
      <w:r w:rsidRPr="00C347AD">
        <w:rPr>
          <w:noProof/>
          <w:color w:val="000000" w:themeColor="text1"/>
        </w:rPr>
        <w:t>)</w:t>
      </w:r>
      <w:r w:rsidRPr="00C347AD">
        <w:rPr>
          <w:color w:val="000000" w:themeColor="text1"/>
        </w:rPr>
        <w:fldChar w:fldCharType="end"/>
      </w:r>
      <w:r w:rsidRPr="00C347AD">
        <w:rPr>
          <w:color w:val="000000" w:themeColor="text1"/>
        </w:rPr>
        <w:t xml:space="preserve">. </w:t>
      </w:r>
      <w:r w:rsidRPr="00C347AD">
        <w:rPr>
          <w:color w:val="8064A2" w:themeColor="accent4"/>
        </w:rP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2253"/>
        <w:gridCol w:w="2253"/>
        <w:gridCol w:w="2248"/>
      </w:tblGrid>
      <w:tr w:rsidR="002157FF" w:rsidRPr="00C347AD" w14:paraId="681D9C15" w14:textId="7AF7B6BE" w:rsidTr="002157FF">
        <w:tc>
          <w:tcPr>
            <w:tcW w:w="1187" w:type="pct"/>
          </w:tcPr>
          <w:p w14:paraId="3EC080C3" w14:textId="77777777"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 xml:space="preserve">Table X. </w:t>
            </w:r>
          </w:p>
        </w:tc>
        <w:tc>
          <w:tcPr>
            <w:tcW w:w="1272" w:type="pct"/>
          </w:tcPr>
          <w:p w14:paraId="3960ACD3" w14:textId="77777777" w:rsidR="002157FF" w:rsidRPr="00C347AD" w:rsidRDefault="002157FF" w:rsidP="006E3241">
            <w:pPr>
              <w:spacing w:line="240" w:lineRule="auto"/>
              <w:ind w:firstLine="0"/>
              <w:rPr>
                <w:rFonts w:ascii="Times New Roman" w:hAnsi="Times New Roman" w:cs="Times New Roman"/>
              </w:rPr>
            </w:pPr>
          </w:p>
        </w:tc>
        <w:tc>
          <w:tcPr>
            <w:tcW w:w="1272" w:type="pct"/>
          </w:tcPr>
          <w:p w14:paraId="7A189A8B" w14:textId="420E4B04" w:rsidR="002157FF" w:rsidRPr="00C347AD" w:rsidRDefault="002157FF" w:rsidP="006E3241">
            <w:pPr>
              <w:spacing w:line="240" w:lineRule="auto"/>
              <w:ind w:firstLine="0"/>
              <w:rPr>
                <w:rFonts w:ascii="Times New Roman" w:hAnsi="Times New Roman" w:cs="Times New Roman"/>
              </w:rPr>
            </w:pPr>
          </w:p>
        </w:tc>
        <w:tc>
          <w:tcPr>
            <w:tcW w:w="1269" w:type="pct"/>
          </w:tcPr>
          <w:p w14:paraId="0C2AA205" w14:textId="77777777" w:rsidR="002157FF" w:rsidRPr="00C347AD" w:rsidRDefault="002157FF" w:rsidP="006E3241">
            <w:pPr>
              <w:spacing w:line="240" w:lineRule="auto"/>
              <w:ind w:firstLine="0"/>
              <w:rPr>
                <w:rFonts w:ascii="Times New Roman" w:hAnsi="Times New Roman" w:cs="Times New Roman"/>
              </w:rPr>
            </w:pPr>
          </w:p>
        </w:tc>
      </w:tr>
      <w:tr w:rsidR="002157FF" w:rsidRPr="00C347AD" w14:paraId="3F8E4EAA" w14:textId="5A964B31" w:rsidTr="002157FF">
        <w:tc>
          <w:tcPr>
            <w:tcW w:w="5000" w:type="pct"/>
            <w:gridSpan w:val="4"/>
            <w:tcBorders>
              <w:bottom w:val="single" w:sz="4" w:space="0" w:color="auto"/>
            </w:tcBorders>
          </w:tcPr>
          <w:p w14:paraId="52CF8B8A" w14:textId="38F92943" w:rsidR="002157FF" w:rsidRPr="00C347AD" w:rsidRDefault="00D65032" w:rsidP="00D65032">
            <w:pPr>
              <w:spacing w:line="240" w:lineRule="auto"/>
              <w:ind w:firstLine="0"/>
              <w:rPr>
                <w:rFonts w:ascii="Times New Roman" w:hAnsi="Times New Roman" w:cs="Times New Roman"/>
                <w:i/>
              </w:rPr>
            </w:pPr>
            <w:r w:rsidRPr="00C347AD">
              <w:rPr>
                <w:rFonts w:ascii="Times New Roman" w:hAnsi="Times New Roman" w:cs="Times New Roman"/>
                <w:i/>
              </w:rPr>
              <w:t>Teacher Sense of Efficacy Scale</w:t>
            </w:r>
            <w:r w:rsidR="002157FF" w:rsidRPr="00C347AD">
              <w:rPr>
                <w:rFonts w:ascii="Times New Roman" w:hAnsi="Times New Roman" w:cs="Times New Roman"/>
                <w:i/>
              </w:rPr>
              <w:t xml:space="preserve"> and </w:t>
            </w:r>
            <w:r w:rsidRPr="00C347AD">
              <w:rPr>
                <w:rFonts w:ascii="Times New Roman" w:hAnsi="Times New Roman" w:cs="Times New Roman"/>
                <w:i/>
              </w:rPr>
              <w:t>Teacher Sense of Efficacy in Universal Design for Learning Scale</w:t>
            </w:r>
            <w:r w:rsidR="002157FF" w:rsidRPr="00C347AD">
              <w:rPr>
                <w:rFonts w:ascii="Times New Roman" w:hAnsi="Times New Roman" w:cs="Times New Roman"/>
                <w:i/>
              </w:rPr>
              <w:t xml:space="preserve"> overall Cronbach alpha reliabilit</w:t>
            </w:r>
            <w:r w:rsidRPr="00C347AD">
              <w:rPr>
                <w:rFonts w:ascii="Times New Roman" w:hAnsi="Times New Roman" w:cs="Times New Roman"/>
                <w:i/>
              </w:rPr>
              <w:t>y</w:t>
            </w:r>
          </w:p>
        </w:tc>
      </w:tr>
      <w:tr w:rsidR="002157FF" w:rsidRPr="00C347AD" w14:paraId="47A96BDF" w14:textId="77777777" w:rsidTr="002157FF">
        <w:tc>
          <w:tcPr>
            <w:tcW w:w="5000" w:type="pct"/>
            <w:gridSpan w:val="4"/>
            <w:tcBorders>
              <w:top w:val="single" w:sz="4" w:space="0" w:color="auto"/>
            </w:tcBorders>
          </w:tcPr>
          <w:p w14:paraId="11E98BEB" w14:textId="77777777" w:rsidR="002157FF" w:rsidRPr="00C347AD" w:rsidRDefault="002157FF" w:rsidP="0031545C">
            <w:pPr>
              <w:spacing w:line="240" w:lineRule="auto"/>
              <w:ind w:firstLine="0"/>
              <w:rPr>
                <w:rFonts w:ascii="Times New Roman" w:hAnsi="Times New Roman" w:cs="Times New Roman"/>
                <w:i/>
              </w:rPr>
            </w:pPr>
          </w:p>
        </w:tc>
      </w:tr>
      <w:tr w:rsidR="002157FF" w:rsidRPr="00C347AD" w14:paraId="7CEED4ED" w14:textId="7F2906D2" w:rsidTr="002157FF">
        <w:tc>
          <w:tcPr>
            <w:tcW w:w="2459" w:type="pct"/>
            <w:gridSpan w:val="2"/>
          </w:tcPr>
          <w:p w14:paraId="7304A0FD" w14:textId="7CCF5A81" w:rsidR="002157FF" w:rsidRPr="00C347AD" w:rsidRDefault="002157FF" w:rsidP="002157FF">
            <w:pPr>
              <w:spacing w:line="240" w:lineRule="auto"/>
              <w:ind w:firstLine="0"/>
              <w:rPr>
                <w:rFonts w:ascii="Times New Roman" w:hAnsi="Times New Roman" w:cs="Times New Roman"/>
                <w:u w:val="single"/>
              </w:rPr>
            </w:pPr>
            <w:r w:rsidRPr="00C347AD">
              <w:rPr>
                <w:rFonts w:ascii="Times New Roman" w:hAnsi="Times New Roman" w:cs="Times New Roman"/>
              </w:rPr>
              <w:t xml:space="preserve">                     </w:t>
            </w:r>
            <w:r w:rsidRPr="00C347AD">
              <w:rPr>
                <w:rFonts w:ascii="Times New Roman" w:hAnsi="Times New Roman" w:cs="Times New Roman"/>
                <w:u w:val="single"/>
              </w:rPr>
              <w:t>TSES</w:t>
            </w:r>
          </w:p>
        </w:tc>
        <w:tc>
          <w:tcPr>
            <w:tcW w:w="2541" w:type="pct"/>
            <w:gridSpan w:val="2"/>
          </w:tcPr>
          <w:p w14:paraId="63F79063" w14:textId="7E8073EA" w:rsidR="002157FF" w:rsidRPr="00C347AD" w:rsidRDefault="002157FF" w:rsidP="002157FF">
            <w:pPr>
              <w:spacing w:line="240" w:lineRule="auto"/>
              <w:ind w:firstLine="0"/>
              <w:rPr>
                <w:rFonts w:ascii="Times New Roman" w:hAnsi="Times New Roman" w:cs="Times New Roman"/>
                <w:u w:val="single"/>
              </w:rPr>
            </w:pPr>
            <w:r w:rsidRPr="00C347AD">
              <w:rPr>
                <w:rFonts w:ascii="Times New Roman" w:hAnsi="Times New Roman" w:cs="Times New Roman"/>
              </w:rPr>
              <w:t xml:space="preserve">                 </w:t>
            </w:r>
            <w:r w:rsidRPr="00C347AD">
              <w:rPr>
                <w:rFonts w:ascii="Times New Roman" w:hAnsi="Times New Roman" w:cs="Times New Roman"/>
                <w:u w:val="single"/>
              </w:rPr>
              <w:t>TSE-UDLS</w:t>
            </w:r>
          </w:p>
        </w:tc>
      </w:tr>
      <w:tr w:rsidR="002157FF" w:rsidRPr="00C347AD" w14:paraId="5C6436E4" w14:textId="2B6B0799" w:rsidTr="002157FF">
        <w:trPr>
          <w:trHeight w:val="359"/>
        </w:trPr>
        <w:tc>
          <w:tcPr>
            <w:tcW w:w="1187" w:type="pct"/>
            <w:tcBorders>
              <w:bottom w:val="single" w:sz="4" w:space="0" w:color="auto"/>
            </w:tcBorders>
          </w:tcPr>
          <w:p w14:paraId="41FC38A6" w14:textId="5206124F"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 xml:space="preserve">Overall </w:t>
            </w:r>
            <w:r w:rsidRPr="00C347AD">
              <w:rPr>
                <w:rFonts w:ascii="Times New Roman" w:hAnsi="Times New Roman" w:cs="Times New Roman"/>
              </w:rPr>
              <w:sym w:font="Symbol" w:char="F061"/>
            </w:r>
          </w:p>
        </w:tc>
        <w:tc>
          <w:tcPr>
            <w:tcW w:w="1272" w:type="pct"/>
            <w:tcBorders>
              <w:bottom w:val="single" w:sz="4" w:space="0" w:color="auto"/>
            </w:tcBorders>
          </w:tcPr>
          <w:p w14:paraId="232D965F" w14:textId="4DF94840"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Number of items</w:t>
            </w:r>
          </w:p>
        </w:tc>
        <w:tc>
          <w:tcPr>
            <w:tcW w:w="1272" w:type="pct"/>
            <w:tcBorders>
              <w:bottom w:val="single" w:sz="4" w:space="0" w:color="auto"/>
            </w:tcBorders>
          </w:tcPr>
          <w:p w14:paraId="04160902" w14:textId="5811EB90"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 xml:space="preserve">Overall </w:t>
            </w:r>
            <w:r w:rsidRPr="00C347AD">
              <w:rPr>
                <w:rFonts w:ascii="Times New Roman" w:hAnsi="Times New Roman" w:cs="Times New Roman"/>
              </w:rPr>
              <w:sym w:font="Symbol" w:char="F061"/>
            </w:r>
          </w:p>
        </w:tc>
        <w:tc>
          <w:tcPr>
            <w:tcW w:w="1269" w:type="pct"/>
            <w:tcBorders>
              <w:bottom w:val="single" w:sz="4" w:space="0" w:color="auto"/>
            </w:tcBorders>
          </w:tcPr>
          <w:p w14:paraId="440F460F" w14:textId="4286C85C"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Number of items</w:t>
            </w:r>
          </w:p>
        </w:tc>
      </w:tr>
      <w:tr w:rsidR="002157FF" w:rsidRPr="00C347AD" w14:paraId="645680C6" w14:textId="18FF803F" w:rsidTr="002157FF">
        <w:tc>
          <w:tcPr>
            <w:tcW w:w="1187" w:type="pct"/>
            <w:tcBorders>
              <w:top w:val="single" w:sz="4" w:space="0" w:color="auto"/>
            </w:tcBorders>
          </w:tcPr>
          <w:p w14:paraId="716B8E37" w14:textId="0AEDD628"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0.95</w:t>
            </w:r>
          </w:p>
        </w:tc>
        <w:tc>
          <w:tcPr>
            <w:tcW w:w="1272" w:type="pct"/>
            <w:tcBorders>
              <w:top w:val="single" w:sz="4" w:space="0" w:color="auto"/>
            </w:tcBorders>
          </w:tcPr>
          <w:p w14:paraId="2726103E" w14:textId="2B06E61D"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18</w:t>
            </w:r>
          </w:p>
        </w:tc>
        <w:tc>
          <w:tcPr>
            <w:tcW w:w="1272" w:type="pct"/>
            <w:tcBorders>
              <w:top w:val="single" w:sz="4" w:space="0" w:color="auto"/>
            </w:tcBorders>
          </w:tcPr>
          <w:p w14:paraId="463BD994" w14:textId="42B6A3D4"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0.97</w:t>
            </w:r>
          </w:p>
        </w:tc>
        <w:tc>
          <w:tcPr>
            <w:tcW w:w="1269" w:type="pct"/>
            <w:tcBorders>
              <w:top w:val="single" w:sz="4" w:space="0" w:color="auto"/>
            </w:tcBorders>
          </w:tcPr>
          <w:p w14:paraId="1CE7BFB7" w14:textId="73B7C5D1" w:rsidR="002157FF" w:rsidRPr="00C347AD" w:rsidRDefault="002157FF" w:rsidP="002157FF">
            <w:pPr>
              <w:spacing w:line="240" w:lineRule="auto"/>
              <w:ind w:firstLine="0"/>
              <w:rPr>
                <w:rFonts w:ascii="Times New Roman" w:hAnsi="Times New Roman" w:cs="Times New Roman"/>
              </w:rPr>
            </w:pPr>
            <w:r w:rsidRPr="00C347AD">
              <w:rPr>
                <w:rFonts w:ascii="Times New Roman" w:hAnsi="Times New Roman" w:cs="Times New Roman"/>
              </w:rPr>
              <w:t>28</w:t>
            </w:r>
          </w:p>
        </w:tc>
      </w:tr>
    </w:tbl>
    <w:p w14:paraId="3E2D9C3A" w14:textId="77777777" w:rsidR="00326A6E" w:rsidRPr="00C347AD" w:rsidRDefault="00326A6E" w:rsidP="00326A6E">
      <w:pPr>
        <w:ind w:firstLine="0"/>
      </w:pPr>
    </w:p>
    <w:p w14:paraId="76CF443E" w14:textId="77777777" w:rsidR="00326A6E" w:rsidRPr="00C347AD" w:rsidRDefault="00326A6E" w:rsidP="00326A6E">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2983"/>
        <w:gridCol w:w="3087"/>
      </w:tblGrid>
      <w:tr w:rsidR="002157FF" w:rsidRPr="00C347AD" w14:paraId="59FD6C0F" w14:textId="77777777" w:rsidTr="002157FF">
        <w:tc>
          <w:tcPr>
            <w:tcW w:w="1573" w:type="pct"/>
          </w:tcPr>
          <w:p w14:paraId="087A034D" w14:textId="77777777"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 xml:space="preserve">Table X. </w:t>
            </w:r>
          </w:p>
        </w:tc>
        <w:tc>
          <w:tcPr>
            <w:tcW w:w="1684" w:type="pct"/>
          </w:tcPr>
          <w:p w14:paraId="4BDD4F5A" w14:textId="77777777" w:rsidR="002157FF" w:rsidRPr="00C347AD" w:rsidRDefault="002157FF" w:rsidP="006E3241">
            <w:pPr>
              <w:spacing w:line="240" w:lineRule="auto"/>
              <w:ind w:firstLine="0"/>
              <w:rPr>
                <w:rFonts w:ascii="Times New Roman" w:hAnsi="Times New Roman" w:cs="Times New Roman"/>
              </w:rPr>
            </w:pPr>
          </w:p>
        </w:tc>
        <w:tc>
          <w:tcPr>
            <w:tcW w:w="1743" w:type="pct"/>
          </w:tcPr>
          <w:p w14:paraId="043A1A3F" w14:textId="77777777" w:rsidR="002157FF" w:rsidRPr="00C347AD" w:rsidRDefault="002157FF" w:rsidP="006E3241">
            <w:pPr>
              <w:spacing w:line="240" w:lineRule="auto"/>
              <w:ind w:firstLine="0"/>
              <w:rPr>
                <w:rFonts w:ascii="Times New Roman" w:hAnsi="Times New Roman" w:cs="Times New Roman"/>
              </w:rPr>
            </w:pPr>
          </w:p>
        </w:tc>
      </w:tr>
      <w:tr w:rsidR="002157FF" w:rsidRPr="00C347AD" w14:paraId="3B49ACF9" w14:textId="77777777" w:rsidTr="002157FF">
        <w:trPr>
          <w:trHeight w:val="324"/>
        </w:trPr>
        <w:tc>
          <w:tcPr>
            <w:tcW w:w="5000" w:type="pct"/>
            <w:gridSpan w:val="3"/>
            <w:tcBorders>
              <w:bottom w:val="single" w:sz="4" w:space="0" w:color="auto"/>
            </w:tcBorders>
          </w:tcPr>
          <w:p w14:paraId="6A27507E" w14:textId="492661EC" w:rsidR="002157FF" w:rsidRPr="00C347AD" w:rsidRDefault="00D65032" w:rsidP="00D65032">
            <w:pPr>
              <w:spacing w:line="240" w:lineRule="auto"/>
              <w:ind w:firstLine="0"/>
              <w:rPr>
                <w:rFonts w:ascii="Times New Roman" w:hAnsi="Times New Roman" w:cs="Times New Roman"/>
              </w:rPr>
            </w:pPr>
            <w:r w:rsidRPr="00C347AD">
              <w:rPr>
                <w:rFonts w:ascii="Times New Roman" w:hAnsi="Times New Roman" w:cs="Times New Roman"/>
                <w:i/>
              </w:rPr>
              <w:t xml:space="preserve">Teacher Sense of Efficacy in Universal Design for Learning Scale </w:t>
            </w:r>
            <w:r w:rsidR="002157FF" w:rsidRPr="00C347AD">
              <w:rPr>
                <w:rFonts w:ascii="Times New Roman" w:hAnsi="Times New Roman" w:cs="Times New Roman"/>
                <w:i/>
              </w:rPr>
              <w:t>reliability by time</w:t>
            </w:r>
          </w:p>
        </w:tc>
      </w:tr>
      <w:tr w:rsidR="002157FF" w:rsidRPr="00C347AD" w14:paraId="662CB66B" w14:textId="77777777" w:rsidTr="002157FF">
        <w:tc>
          <w:tcPr>
            <w:tcW w:w="1573" w:type="pct"/>
            <w:tcBorders>
              <w:bottom w:val="single" w:sz="4" w:space="0" w:color="auto"/>
            </w:tcBorders>
          </w:tcPr>
          <w:p w14:paraId="147DA913" w14:textId="67B91AF9"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Pretest</w:t>
            </w:r>
          </w:p>
        </w:tc>
        <w:tc>
          <w:tcPr>
            <w:tcW w:w="1684" w:type="pct"/>
            <w:tcBorders>
              <w:bottom w:val="single" w:sz="4" w:space="0" w:color="auto"/>
            </w:tcBorders>
          </w:tcPr>
          <w:p w14:paraId="33CBE9F6" w14:textId="6D627DC9"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Posttest 1</w:t>
            </w:r>
          </w:p>
        </w:tc>
        <w:tc>
          <w:tcPr>
            <w:tcW w:w="1743" w:type="pct"/>
            <w:tcBorders>
              <w:bottom w:val="single" w:sz="4" w:space="0" w:color="auto"/>
            </w:tcBorders>
          </w:tcPr>
          <w:p w14:paraId="30DB54B7" w14:textId="3C781E8F"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Posttest 2</w:t>
            </w:r>
          </w:p>
        </w:tc>
      </w:tr>
      <w:tr w:rsidR="002157FF" w:rsidRPr="00C347AD" w14:paraId="52C38C71" w14:textId="77777777" w:rsidTr="002157FF">
        <w:trPr>
          <w:trHeight w:val="242"/>
        </w:trPr>
        <w:tc>
          <w:tcPr>
            <w:tcW w:w="1573" w:type="pct"/>
            <w:tcBorders>
              <w:top w:val="single" w:sz="4" w:space="0" w:color="auto"/>
            </w:tcBorders>
          </w:tcPr>
          <w:p w14:paraId="5C5F1C5B" w14:textId="05167C1B"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0.9</w:t>
            </w:r>
            <w:r w:rsidR="00AC64C1" w:rsidRPr="00C347AD">
              <w:rPr>
                <w:rFonts w:ascii="Times New Roman" w:hAnsi="Times New Roman" w:cs="Times New Roman"/>
              </w:rPr>
              <w:t>6</w:t>
            </w:r>
          </w:p>
        </w:tc>
        <w:tc>
          <w:tcPr>
            <w:tcW w:w="1684" w:type="pct"/>
            <w:tcBorders>
              <w:top w:val="single" w:sz="4" w:space="0" w:color="auto"/>
            </w:tcBorders>
          </w:tcPr>
          <w:p w14:paraId="47CFC811" w14:textId="4AA3CCC8"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0.97</w:t>
            </w:r>
          </w:p>
        </w:tc>
        <w:tc>
          <w:tcPr>
            <w:tcW w:w="1743" w:type="pct"/>
            <w:tcBorders>
              <w:top w:val="single" w:sz="4" w:space="0" w:color="auto"/>
            </w:tcBorders>
          </w:tcPr>
          <w:p w14:paraId="093B1B6E" w14:textId="7D528014" w:rsidR="002157FF" w:rsidRPr="00C347AD" w:rsidRDefault="002157FF" w:rsidP="006E3241">
            <w:pPr>
              <w:spacing w:line="240" w:lineRule="auto"/>
              <w:ind w:firstLine="0"/>
              <w:rPr>
                <w:rFonts w:ascii="Times New Roman" w:hAnsi="Times New Roman" w:cs="Times New Roman"/>
              </w:rPr>
            </w:pPr>
            <w:r w:rsidRPr="00C347AD">
              <w:rPr>
                <w:rFonts w:ascii="Times New Roman" w:hAnsi="Times New Roman" w:cs="Times New Roman"/>
              </w:rPr>
              <w:t>0.9</w:t>
            </w:r>
            <w:r w:rsidR="00AC64C1" w:rsidRPr="00C347AD">
              <w:rPr>
                <w:rFonts w:ascii="Times New Roman" w:hAnsi="Times New Roman" w:cs="Times New Roman"/>
              </w:rPr>
              <w:t>8</w:t>
            </w:r>
          </w:p>
        </w:tc>
      </w:tr>
    </w:tbl>
    <w:p w14:paraId="181B9CB2" w14:textId="77777777" w:rsidR="00326A6E" w:rsidRPr="00C347AD" w:rsidRDefault="00326A6E" w:rsidP="00326A6E">
      <w:pPr>
        <w:ind w:firstLine="0"/>
      </w:pPr>
    </w:p>
    <w:p w14:paraId="5372DB7E" w14:textId="77777777" w:rsidR="00326A6E" w:rsidRPr="00C347AD" w:rsidRDefault="00326A6E" w:rsidP="004512D4">
      <w:pPr>
        <w:rPr>
          <w:bCs/>
        </w:rPr>
      </w:pPr>
    </w:p>
    <w:p w14:paraId="35DA3E5A" w14:textId="515C574D" w:rsidR="00605DA0" w:rsidRPr="00C347AD" w:rsidRDefault="00A45597" w:rsidP="00605DA0">
      <w:r w:rsidRPr="00C347AD">
        <w:rPr>
          <w:b/>
        </w:rPr>
        <w:t>Multidimensional Attitudes toward Inclusive Education Scale</w:t>
      </w:r>
      <w:r w:rsidR="00CD6697" w:rsidRPr="00C347AD">
        <w:rPr>
          <w:b/>
        </w:rPr>
        <w:t>.</w:t>
      </w:r>
      <w:r w:rsidR="00605DA0" w:rsidRPr="00C347AD">
        <w:rPr>
          <w:b/>
          <w:i/>
        </w:rPr>
        <w:t xml:space="preserve"> </w:t>
      </w:r>
      <w:r w:rsidR="00605DA0" w:rsidRPr="00C347AD">
        <w:t xml:space="preserve">There are several instruments for measuring the construct of teacher attitudes. A large number of these attitudinal instruments </w:t>
      </w:r>
      <w:r w:rsidR="00605DA0" w:rsidRPr="00C347AD">
        <w:fldChar w:fldCharType="begin"/>
      </w:r>
      <w:r w:rsidR="00F7126F" w:rsidRPr="00C347AD">
        <w:instrText xml:space="preserve"> ADDIN ZOTERO_ITEM CSL_CITATION {"citationID":"1ffool17hi","properties":{"formattedCitation":"(Berryman, Neal Jr, &amp; Robinson, 1980; Larrivee, 1986; Moberg, Zumberg, &amp; Reinmaa, 1997; Reynolds &amp; Greco, 1980; Schmelkin, 1981; Semmel, Abernathy, Butera, &amp; Lesar, 1991; Sideridis &amp; Chandler, 1995; Villa, Thousand, Meyers, &amp; Nevin, 1996; Wilczenski, 1992)","plainCitation":"(Berryman, Neal Jr, &amp; Robinson, 1980; Larrivee, 1986; Moberg, Zumberg, &amp; Reinmaa, 1997; Reynolds &amp; Greco, 1980; Schmelkin, 1981; Semmel, Abernathy, Butera, &amp; Lesar, 1991; Sideridis &amp; Chandler, 1995; Villa, Thousand, Meyers, &amp; Nevin, 1996; Wilczenski, 1992)"},"citationItems":[{"id":91,"uris":["http://zotero.org/users/2098925/items/49S2V2EG"],"uri":["http://zotero.org/users/2098925/items/49S2V2EG"],"itemData":{"id":91,"type":"article-journal","title":"The validation of a scale to measure attitudes toward the classroom integration of disabled students","container-title":"The Journal of Educational Research","page":"199-203","volume":"73","issue":"4","ISSN":"0022-0671","journalAbbreviation":"The Journal of Educational Research","author":[{"family":"Berryman","given":"Joan D"},{"family":"Neal Jr","given":"WR"},{"family":"Robinson","given":"J Elizabeth"}],"issued":{"date-parts":[["1980"]]}}},{"id":366,"uris":["http://zotero.org/users/2098925/items/BSAW7VQZ"],"uri":["http://zotero.org/users/2098925/items/BSAW7VQZ"],"itemData":{"id":366,"type":"article-journal","title":"Effective Teaching for Mainstreamed Students Is Effective Teaching for All Students","container-title":"Teacher Education and Special Education: The Journal of the Teacher Education Division of the Council for Exceptional Children","page":"173-179","volume":"9","issue":"4","source":"tes.sagepub.com","abstract":"This article summarizes the results of a longitudinal study designed to identify teaching practices associated with desired outcomes for mildly handicapped students educated in regular classroom settings. The research represents an attempt to extend process/product research findings to the education of mainstreamed students by providing a research base for identifying the teaching competencies necessary for teaching mainstreamed students. The research design called for development of a comprehensive list of effective teaching behaviors derived from process/product research, selection of teachers effective with mainstreamed students, identification of common teaching practices of the effective teachers, and completion of a correlational study to determine the relationship between the effective teaching behaviors identified and various performance outcomes for mainstreamed students. A descriptive profile of the teacher effective with mainstreamed students is presented which is notably similar to that of the effective teacher in general.","DOI":"10.1177/088840648600900404","ISSN":"0888-4064, 1944-4931","journalAbbreviation":"Teacher Education and Special Education: The Journal of the Teacher Education Division of the Council for Exceptional Children","language":"en","author":[{"family":"Larrivee","given":"Barbara"}],"issued":{"date-parts":[["1986",10,1]]}}},{"id":437,"uris":["http://zotero.org/users/2098925/items/DMK5K87Q"],"uri":["http://zotero.org/users/2098925/items/DMK5K87Q"],"itemData":{"id":437,"type":"article-journal","title":"Inclusive education as perceived by prospective special education teachers in Estonia, Finland, and the United States","container-title":"Research and Practice for Persons with Severe Disabilities","page":"49-55","volume":"22","issue":"1","ISSN":"1540-7969","journalAbbreviation":"Research and Practice for Persons with Severe Disabilities","author":[{"family":"Moberg","given":"Sakari"},{"family":"Zumberg","given":"Marshall"},{"family":"Reinmaa","given":"Ants"}],"issued":{"date-parts":[["1997"]]}}},{"id":575,"uris":["http://zotero.org/users/2098925/items/H9B8K5NX"],"uri":["http://zotero.org/users/2098925/items/H9B8K5NX"],"itemData":{"id":575,"type":"article-journal","title":"The reliability and factorial validity of a scale for measuring teachers' attitudes towards mainstreaming","container-title":"Educational and Psychological Measurement","page":"463-468","volume":"40","issue":"2","ISSN":"0013-1644","journalAbbreviation":"Educational and Psychological Measurement","author":[{"family":"Reynolds","given":"William M"},{"family":"Greco","given":"Victor T"}],"issued":{"date-parts":[["1980"]]}}},{"id":817,"uris":["http://zotero.org/users/2098925/items/QD4HENQH"],"uri":["http://zotero.org/users/2098925/items/QD4HENQH"],"itemData":{"id":817,"type":"article-journal","title":"Teachers' and nonteachers' attitudes toward mainstreaming","container-title":"Exceptional Children","page":"42-47","volume":"48","issue":"1","ISSN":"0014-4029","journalAbbreviation":"Exceptional Children","author":[{"family":"Schmelkin","given":"Liora Pedhazur"}],"issued":{"date-parts":[["1981"]]}}},{"id":645,"uris":["http://zotero.org/users/2098925/items/JBN65SV2"],"uri":["http://zotero.org/users/2098925/items/JBN65SV2"],"itemData":{"id":645,"type":"article-journal","title":"Teacher perceptions of the regular education initiative","container-title":"Exceptional Children","page":"9-24","volume":"58","issue":"1","ISSN":"0014-4029","journalAbbreviation":"Exceptional Children","author":[{"family":"Semmel","given":"Melvyn I"},{"family":"Abernathy","given":"Tammy V"},{"family":"Butera","given":"Gretchen"},{"family":"Lesar","given":"Sharon"}],"issued":{"date-parts":[["1991"]]}}},{"id":133,"uris":["http://zotero.org/users/2098925/items/5FEWSD96"],"uri":["http://zotero.org/users/2098925/items/5FEWSD96"],"itemData":{"id":133,"type":"article-journal","title":"Estimates of reliabilities for the teacher integration attitudes questionnaire","container-title":"Perceptual and motor skills","page":"1214-1214","volume":"80","issue":"3c","ISSN":"0031-5125","journalAbbreviation":"Perceptual and motor skills","author":[{"family":"Sideridis","given":"Georgios D"},{"family":"Chandler","given":"Judy P"}],"issued":{"date-parts":[["1995"]]}}},{"id":61,"uris":["http://zotero.org/users/2098925/items/3IHXAQI7"],"uri":["http://zotero.org/users/2098925/items/3IHXAQI7"],"itemData":{"id":61,"type":"article-journal","title":"Teacher and administrator perceptions of heterogeneous education","container-title":"Exceptional children","page":"29-45","volume":"63","issue":"1","ISSN":"0014-4029","journalAbbreviation":"Exceptional children","author":[{"family":"Villa","given":"Richard A"},{"family":"Thousand","given":"Jacqueline S"},{"family":"Meyers","given":"Herman"},{"family":"Nevin","given":"Ann"}],"issued":{"date-parts":[["1996"]]}}},{"id":504,"uris":["http://zotero.org/users/2098925/items/FGKTMQQS"],"uri":["http://zotero.org/users/2098925/items/FGKTMQQS"],"itemData":{"id":504,"type":"article-journal","title":"Measuring attitudes toward inclusive education.","container-title":"Psychology in the Schools","ISSN":"1520-6807","journalAbbreviation":"Psychology in the Schools","author":[{"family":"Wilczenski","given":"Felicia L"}],"issued":{"date-parts":[["1992"]]}}}],"schema":"https://github.com/citation-style-language/schema/raw/master/csl-citation.json"} </w:instrText>
      </w:r>
      <w:r w:rsidR="00605DA0" w:rsidRPr="00C347AD">
        <w:fldChar w:fldCharType="separate"/>
      </w:r>
      <w:r w:rsidR="00605DA0" w:rsidRPr="00C347AD">
        <w:rPr>
          <w:noProof/>
        </w:rPr>
        <w:t>(</w:t>
      </w:r>
      <w:r w:rsidR="00B323A5" w:rsidRPr="00C347AD">
        <w:rPr>
          <w:noProof/>
        </w:rPr>
        <w:t>e.g.,</w:t>
      </w:r>
      <w:r w:rsidR="00605DA0" w:rsidRPr="00C347AD">
        <w:rPr>
          <w:noProof/>
        </w:rPr>
        <w:t xml:space="preserve"> Berryman &amp; Robinson, 1980; Larrivee, 1986; Moberg, Zumberg, &amp; Reinmaa, 1997; Reynolds &amp; Greco, 1980; Schmelkin, 1981; Semmel, Abernathy, Butera, &amp; Lesar, 1991; Sideridis &amp; Chandler, 1995; Villa, Thousand, Meyers, &amp; Nevin, 1996; Wilczenski, 1992)</w:t>
      </w:r>
      <w:r w:rsidR="00605DA0" w:rsidRPr="00C347AD">
        <w:fldChar w:fldCharType="end"/>
      </w:r>
      <w:r w:rsidR="00605DA0" w:rsidRPr="00C347AD">
        <w:t xml:space="preserve"> focus narrowly on specific dimensions of attitude, such as cognitive aspec</w:t>
      </w:r>
      <w:r w:rsidR="006603BA" w:rsidRPr="00C347AD">
        <w:t>ts,</w:t>
      </w:r>
      <w:r w:rsidR="00605DA0" w:rsidRPr="00C347AD">
        <w:t xml:space="preserve"> and many such instruments are narrowly de</w:t>
      </w:r>
      <w:r w:rsidR="006603BA" w:rsidRPr="00C347AD">
        <w:t>veloped for a particular study and thus</w:t>
      </w:r>
      <w:r w:rsidR="00605DA0" w:rsidRPr="00C347AD">
        <w:t xml:space="preserve"> do not readily lend themselves to more general use (Mahat, 2008).  </w:t>
      </w:r>
    </w:p>
    <w:p w14:paraId="651FB37C" w14:textId="5FAC96DD" w:rsidR="00654236" w:rsidRPr="00C347AD" w:rsidRDefault="00605DA0" w:rsidP="00654236">
      <w:r w:rsidRPr="00C347AD">
        <w:lastRenderedPageBreak/>
        <w:t xml:space="preserve">However, Mahat’s (2008) Multidimensional Attitudes toward Inclusive Education Scale (MATIES) is a measure that is designed for broad use and intended to collect data regarding affective, cognitive </w:t>
      </w:r>
      <w:r w:rsidRPr="00C347AD">
        <w:rPr>
          <w:i/>
        </w:rPr>
        <w:t>and</w:t>
      </w:r>
      <w:r w:rsidRPr="00C347AD">
        <w:t xml:space="preserve"> behavioral aspects of teacher attitudes, as pertain to inclusion of diverse and exceptional students. In addition to the focus specifically on teacher efficacy as it relates to inclusion, the instruments’ multidimensional approach, offering data collection</w:t>
      </w:r>
      <w:r w:rsidR="00610A11" w:rsidRPr="00C347AD">
        <w:t xml:space="preserve"> on</w:t>
      </w:r>
      <w:r w:rsidRPr="00C347AD">
        <w:t xml:space="preserve"> affective, cognitive and behavior domains </w:t>
      </w:r>
      <w:r w:rsidR="006603BA" w:rsidRPr="00C347AD">
        <w:t>parallel</w:t>
      </w:r>
      <w:r w:rsidRPr="00C347AD">
        <w:t xml:space="preserve"> the complex attitudinal and behavioral approach that is being utilized for both intervention and data collection in this study, making it an excellent match.  </w:t>
      </w:r>
    </w:p>
    <w:p w14:paraId="04FC37F0" w14:textId="0C3595F5" w:rsidR="00605DA0" w:rsidRPr="00C347AD" w:rsidRDefault="00605DA0" w:rsidP="00654236">
      <w:r w:rsidRPr="00C347AD">
        <w:t>MATIES (Mahat</w:t>
      </w:r>
      <w:r w:rsidR="00610A11" w:rsidRPr="00C347AD">
        <w:t>, 2008) includes 18 questions: six</w:t>
      </w:r>
      <w:r w:rsidRPr="00C347AD">
        <w:t xml:space="preserve"> questions for each sub-scale: affective, cognitive, and behavioral. Collectively, these questions ask participants to indicate the degree to which they agree or disagree with statements related to interaction and instruction of diverse learners. The instrument uses a nine-point Likert rating scale anchored at five points with: strongly disagree, disagree, neither agree nor disagree, agree</w:t>
      </w:r>
      <w:r w:rsidR="004512D4" w:rsidRPr="00C347AD">
        <w:t>, strongly agree (</w:t>
      </w:r>
      <w:r w:rsidR="004512D4" w:rsidRPr="00C347AD">
        <w:rPr>
          <w:highlight w:val="yellow"/>
        </w:rPr>
        <w:t>see Appendix Y</w:t>
      </w:r>
      <w:r w:rsidRPr="00C347AD">
        <w:rPr>
          <w:highlight w:val="yellow"/>
        </w:rPr>
        <w:t xml:space="preserve"> for the full instrument</w:t>
      </w:r>
      <w:r w:rsidRPr="00C347AD">
        <w:t>).</w:t>
      </w:r>
    </w:p>
    <w:p w14:paraId="553D534F" w14:textId="10084823" w:rsidR="002C4672" w:rsidRPr="00C347AD" w:rsidRDefault="00605DA0" w:rsidP="004512D4">
      <w:r w:rsidRPr="00C347AD">
        <w:rPr>
          <w:i/>
        </w:rPr>
        <w:t>Psychometrics</w:t>
      </w:r>
      <w:r w:rsidRPr="00C347AD">
        <w:rPr>
          <w:b/>
          <w:i/>
        </w:rPr>
        <w:t xml:space="preserve">. </w:t>
      </w:r>
      <w:r w:rsidRPr="00C347AD">
        <w:t xml:space="preserve"> </w:t>
      </w:r>
      <w:r w:rsidR="00923A48" w:rsidRPr="00C347AD">
        <w:t>Original c</w:t>
      </w:r>
      <w:r w:rsidR="00605D61" w:rsidRPr="00C347AD">
        <w:t xml:space="preserve">ontent validity for the </w:t>
      </w:r>
      <w:r w:rsidR="006603BA" w:rsidRPr="00C347AD">
        <w:t>MATIES</w:t>
      </w:r>
      <w:r w:rsidRPr="00C347AD">
        <w:t xml:space="preserve"> (Mahat, 2008) was </w:t>
      </w:r>
      <w:r w:rsidR="00605D61" w:rsidRPr="00C347AD">
        <w:t>established</w:t>
      </w:r>
      <w:r w:rsidRPr="00C347AD">
        <w:t xml:space="preserve"> by a panel of experts during development phase. Construct validity and criterion validity and reliability were also reported as being excellent using measures of item separation </w:t>
      </w:r>
      <w:r w:rsidRPr="00C347AD">
        <w:fldChar w:fldCharType="begin"/>
      </w:r>
      <w:r w:rsidR="00F7126F" w:rsidRPr="00C347AD">
        <w:instrText xml:space="preserve"> ADDIN ZOTERO_ITEM CSL_CITATION {"citationID":"2f5l5744h6","properties":{"formattedCitation":"(Wright &amp; Masters, 1982)","plainCitation":"(Wright &amp; Masters, 1982)"},"citationItems":[{"id":794,"uris":["http://zotero.org/users/2098925/items/PH9DHHZC"],"uri":["http://zotero.org/users/2098925/items/PH9DHHZC"],"itemData":{"id":794,"type":"book","title":"Rating Scale Analysis. Rasch Measurement.","publisher":"ERIC","ISBN":"0-941938-01-8","author":[{"family":"Wright","given":"Benjamin D"},{"family":"Masters","given":"Geofferey N"}],"issued":{"date-parts":[["1982"]]}}}],"schema":"https://github.com/citation-style-language/schema/raw/master/csl-citation.json"} </w:instrText>
      </w:r>
      <w:r w:rsidRPr="00C347AD">
        <w:fldChar w:fldCharType="separate"/>
      </w:r>
      <w:r w:rsidRPr="00C347AD">
        <w:rPr>
          <w:noProof/>
        </w:rPr>
        <w:t>(Wright &amp; Masters, 1982)</w:t>
      </w:r>
      <w:r w:rsidRPr="00C347AD">
        <w:fldChar w:fldCharType="end"/>
      </w:r>
      <w:r w:rsidRPr="00C347AD">
        <w:t xml:space="preserve"> and teacher separation (Mahat, 2008). </w:t>
      </w:r>
      <w:r w:rsidR="00923A48" w:rsidRPr="00C347AD">
        <w:t>Consistent with my analysis regarding reliability measures for multidimensional measures, the original r</w:t>
      </w:r>
      <w:r w:rsidRPr="00C347AD">
        <w:t>eliability scores are presented in terms of</w:t>
      </w:r>
      <w:r w:rsidR="00923A48" w:rsidRPr="00C347AD">
        <w:t xml:space="preserve"> stratified</w:t>
      </w:r>
      <w:r w:rsidRPr="00C347AD">
        <w:t xml:space="preserve"> </w:t>
      </w:r>
      <w:r w:rsidR="00923A48" w:rsidRPr="00C347AD">
        <w:t xml:space="preserve">alpha coefficients; that is, </w:t>
      </w:r>
      <w:r w:rsidR="009E4629" w:rsidRPr="00C347AD">
        <w:t>Cronbach’s</w:t>
      </w:r>
      <w:r w:rsidR="00923A48" w:rsidRPr="00C347AD">
        <w:t xml:space="preserve"> alpha scores provided separately for each of </w:t>
      </w:r>
      <w:r w:rsidRPr="00C347AD">
        <w:t xml:space="preserve">the three </w:t>
      </w:r>
      <w:r w:rsidRPr="00C347AD">
        <w:lastRenderedPageBreak/>
        <w:t>subscales: a</w:t>
      </w:r>
      <w:r w:rsidR="00923A48" w:rsidRPr="00C347AD">
        <w:t xml:space="preserve">ffective, cognitive, behavioral. These scores were </w:t>
      </w:r>
      <w:r w:rsidRPr="00C347AD">
        <w:t xml:space="preserve">reported as being between </w:t>
      </w:r>
      <w:r w:rsidR="009E4629" w:rsidRPr="00C347AD">
        <w:sym w:font="Symbol" w:char="F061"/>
      </w:r>
      <w:r w:rsidR="009E4629" w:rsidRPr="00C347AD">
        <w:t xml:space="preserve"> = </w:t>
      </w:r>
      <w:r w:rsidRPr="00C347AD">
        <w:t>0.77 and 0.91</w:t>
      </w:r>
      <w:r w:rsidR="00923A48" w:rsidRPr="00C347AD">
        <w:t xml:space="preserve"> (see Table X).</w:t>
      </w:r>
      <w:r w:rsidRPr="00C347AD">
        <w:t xml:space="preserve"> </w:t>
      </w:r>
      <w:r w:rsidR="00923A48" w:rsidRPr="00C347AD">
        <w:t>These</w:t>
      </w:r>
      <w:r w:rsidRPr="00C347AD">
        <w:t xml:space="preserve"> </w:t>
      </w:r>
      <w:r w:rsidR="00923A48" w:rsidRPr="00C347AD">
        <w:t xml:space="preserve">scores qualitatively range from </w:t>
      </w:r>
      <w:r w:rsidRPr="00C347AD">
        <w:t xml:space="preserve">acceptable to excellent </w:t>
      </w:r>
      <w:r w:rsidRPr="00C347AD">
        <w:fldChar w:fldCharType="begin"/>
      </w:r>
      <w:r w:rsidR="005D764D" w:rsidRPr="00C347AD">
        <w:instrText xml:space="preserve"> ADDIN ZOTERO_ITEM CSL_CITATION {"citationID":"H0pqtCbm","properties":{"formattedCitation":"(George &amp; Mallery, 2006)","plainCitation":"(George &amp; Mallery, 2006)"},"citationItems":[{"id":939,"uris":["http://zotero.org/users/2098925/items/TQVPEFCU"],"uri":["http://zotero.org/users/2098925/items/TQVPEFCU"],"itemData":{"id":939,"type":"book","title":"SPSS for Windows Step by Step: A Simple Guide and Reference, 13.0 Update","publisher":"Pearson A and B","number-of-pages":"412","source":"Google Books","abstract":"This text covers all major SPSS procedures for version 11.0 and earlier versions. Each analysis chapter is organized according to a structured, identical format, with step-by-step instructions.","ISBN":"978-0-205-48071-5","shortTitle":"SPSS for Windows Step by Step","language":"en","author":[{"family":"George","given":"Darren"},{"family":"Mallery","given":"Paul"}],"issued":{"date-parts":[["2006"]]}}}],"schema":"https://github.com/citation-style-language/schema/raw/master/csl-citation.json"} </w:instrText>
      </w:r>
      <w:r w:rsidRPr="00C347AD">
        <w:fldChar w:fldCharType="separate"/>
      </w:r>
      <w:r w:rsidRPr="00C347AD">
        <w:rPr>
          <w:noProof/>
        </w:rPr>
        <w:t>(George &amp; Mallery, 2006)</w:t>
      </w:r>
      <w:r w:rsidRPr="00C347AD">
        <w:fldChar w:fldCharType="end"/>
      </w:r>
      <w:r w:rsidRPr="00C347AD">
        <w:t xml:space="preserve">. </w:t>
      </w:r>
      <w:r w:rsidR="009E4629" w:rsidRPr="00C347AD">
        <w:t xml:space="preserve">In the current study, alpha scores were calculated as ranging from </w:t>
      </w:r>
      <w:r w:rsidR="009E4629" w:rsidRPr="00C347AD">
        <w:sym w:font="Symbol" w:char="F061"/>
      </w:r>
      <w:r w:rsidR="009E4629" w:rsidRPr="00C347AD">
        <w:t xml:space="preserve"> = 0.65 and 0.82 (see Table X). These scores are considered acceptable </w:t>
      </w:r>
      <w:r w:rsidR="009E4629" w:rsidRPr="00C347AD">
        <w:fldChar w:fldCharType="begin"/>
      </w:r>
      <w:r w:rsidR="0018784E" w:rsidRPr="00C347AD">
        <w:instrText xml:space="preserve"> ADDIN ZOTERO_ITEM CSL_CITATION {"citationID":"ZWIrqSIo","properties":{"formattedCitation":"(George &amp; Mallery, 2006)","plainCitation":"(George &amp; Mallery, 2006)"},"citationItems":[{"id":939,"uris":["http://zotero.org/users/2098925/items/TQVPEFCU"],"uri":["http://zotero.org/users/2098925/items/TQVPEFCU"],"itemData":{"id":939,"type":"book","title":"SPSS for Windows Step by Step: A Simple Guide and Reference, 13.0 Update","publisher":"Pearson A and B","number-of-pages":"412","source":"Google Books","abstract":"This text covers all major SPSS procedures for version 11.0 and earlier versions. Each analysis chapter is organized according to a structured, identical format, with step-by-step instructions.","ISBN":"978-0-205-48071-5","shortTitle":"SPSS for Windows Step by Step","language":"en","author":[{"family":"George","given":"Darren"},{"family":"Mallery","given":"Paul"}],"issued":{"date-parts":[["2006"]]}}}],"schema":"https://github.com/citation-style-language/schema/raw/master/csl-citation.json"} </w:instrText>
      </w:r>
      <w:r w:rsidR="009E4629" w:rsidRPr="00C347AD">
        <w:fldChar w:fldCharType="separate"/>
      </w:r>
      <w:r w:rsidR="009E4629" w:rsidRPr="00C347AD">
        <w:rPr>
          <w:noProof/>
        </w:rPr>
        <w:t>(George &amp; Mallery)</w:t>
      </w:r>
      <w:r w:rsidR="009E4629" w:rsidRPr="00C347AD">
        <w:fldChar w:fldCharType="end"/>
      </w:r>
      <w:r w:rsidR="009E4629" w:rsidRPr="00C347AD">
        <w:t xml:space="preserve">. </w:t>
      </w:r>
    </w:p>
    <w:p w14:paraId="730AF4C6" w14:textId="4D8AA147" w:rsidR="009E4629" w:rsidRPr="00C347AD" w:rsidRDefault="009E4629" w:rsidP="002C4672">
      <w:r w:rsidRPr="00C347AD">
        <w:t>For the current study, I also collected alpha scores for each data time data were collected (pretest, posttest 1, posttest 2). These scores are reported in Table X.</w:t>
      </w:r>
      <w:r w:rsidR="002C4672" w:rsidRPr="00C347AD">
        <w:t xml:space="preserve"> Reliability scores increase in all three subdomains from pretest through posttest 2, possibly indicating an increased cogence in response as participants advanced through the course and/or an accumulation of scores near the top of the measure. With the exception of the cognitive subdomain of the pretest, all scores were considered acceptable or better </w:t>
      </w:r>
      <w:r w:rsidR="002C4672" w:rsidRPr="00C347AD">
        <w:fldChar w:fldCharType="begin"/>
      </w:r>
      <w:r w:rsidR="005D764D" w:rsidRPr="00C347AD">
        <w:instrText xml:space="preserve"> ADDIN ZOTERO_ITEM CSL_CITATION {"citationID":"0ypTbGNO","properties":{"formattedCitation":"(George &amp; Mallery, 2006)","plainCitation":"(George &amp; Mallery, 2006)"},"citationItems":[{"id":939,"uris":["http://zotero.org/users/2098925/items/TQVPEFCU"],"uri":["http://zotero.org/users/2098925/items/TQVPEFCU"],"itemData":{"id":939,"type":"book","title":"SPSS for Windows Step by Step: A Simple Guide and Reference, 13.0 Update","publisher":"Pearson A and B","number-of-pages":"412","source":"Google Books","abstract":"This text covers all major SPSS procedures for version 11.0 and earlier versions. Each analysis chapter is organized according to a structured, identical format, with step-by-step instructions.","ISBN":"978-0-205-48071-5","shortTitle":"SPSS for Windows Step by Step","language":"en","author":[{"family":"George","given":"Darren"},{"family":"Mallery","given":"Paul"}],"issued":{"date-parts":[["2006"]]}}}],"schema":"https://github.com/citation-style-language/schema/raw/master/csl-citation.json"} </w:instrText>
      </w:r>
      <w:r w:rsidR="002C4672" w:rsidRPr="00C347AD">
        <w:fldChar w:fldCharType="separate"/>
      </w:r>
      <w:r w:rsidR="002C4672" w:rsidRPr="00C347AD">
        <w:rPr>
          <w:noProof/>
        </w:rPr>
        <w:t>(George &amp; Mallery)</w:t>
      </w:r>
      <w:r w:rsidR="002C4672" w:rsidRPr="00C347AD">
        <w:fldChar w:fldCharType="end"/>
      </w:r>
      <w:r w:rsidR="002C4672" w:rsidRPr="00C347AD">
        <w:t xml:space="preserve">. Because the cognitive alpha score was acceptable at posttest 1 and 2 and because the overall alpha score was acceptable, I chose to ignore the sub-optimal alpha for the cognitive-pretest cell. </w:t>
      </w:r>
      <w:r w:rsidR="002C4672" w:rsidRPr="00C347AD">
        <w:br/>
      </w:r>
    </w:p>
    <w:p w14:paraId="43B4BD41" w14:textId="77777777" w:rsidR="00CD75E2" w:rsidRPr="00C347AD" w:rsidRDefault="00CD75E2" w:rsidP="002C467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2984"/>
        <w:gridCol w:w="3087"/>
      </w:tblGrid>
      <w:tr w:rsidR="00581C03" w:rsidRPr="00C347AD" w14:paraId="37E3C8FF" w14:textId="12BE2B2A" w:rsidTr="00581C03">
        <w:tc>
          <w:tcPr>
            <w:tcW w:w="1572" w:type="pct"/>
          </w:tcPr>
          <w:p w14:paraId="4FCC9C77" w14:textId="14979B18" w:rsidR="008E0FE4" w:rsidRPr="00C347AD" w:rsidRDefault="008E0FE4" w:rsidP="00923A48">
            <w:pPr>
              <w:spacing w:line="240" w:lineRule="auto"/>
              <w:ind w:firstLine="0"/>
              <w:rPr>
                <w:rFonts w:ascii="Times New Roman" w:hAnsi="Times New Roman" w:cs="Times New Roman"/>
              </w:rPr>
            </w:pPr>
            <w:r w:rsidRPr="00C347AD">
              <w:rPr>
                <w:rFonts w:ascii="Times New Roman" w:hAnsi="Times New Roman" w:cs="Times New Roman"/>
              </w:rPr>
              <w:t xml:space="preserve">Table X. </w:t>
            </w:r>
          </w:p>
        </w:tc>
        <w:tc>
          <w:tcPr>
            <w:tcW w:w="1685" w:type="pct"/>
          </w:tcPr>
          <w:p w14:paraId="1C104996" w14:textId="77777777" w:rsidR="008E0FE4" w:rsidRPr="00C347AD" w:rsidRDefault="008E0FE4" w:rsidP="006E3241">
            <w:pPr>
              <w:spacing w:line="240" w:lineRule="auto"/>
              <w:ind w:firstLine="0"/>
              <w:rPr>
                <w:rFonts w:ascii="Times New Roman" w:hAnsi="Times New Roman" w:cs="Times New Roman"/>
              </w:rPr>
            </w:pPr>
          </w:p>
        </w:tc>
        <w:tc>
          <w:tcPr>
            <w:tcW w:w="1743" w:type="pct"/>
          </w:tcPr>
          <w:p w14:paraId="248AACF2" w14:textId="7DE123D7" w:rsidR="008E0FE4" w:rsidRPr="00C347AD" w:rsidRDefault="002C4672" w:rsidP="006E3241">
            <w:pPr>
              <w:spacing w:line="240" w:lineRule="auto"/>
              <w:ind w:firstLine="0"/>
              <w:rPr>
                <w:rFonts w:ascii="Times New Roman" w:hAnsi="Times New Roman" w:cs="Times New Roman"/>
              </w:rPr>
            </w:pPr>
            <w:r w:rsidRPr="00C347AD">
              <w:rPr>
                <w:rFonts w:ascii="Times New Roman" w:hAnsi="Times New Roman" w:cs="Times New Roman"/>
              </w:rPr>
              <w:t xml:space="preserve"> </w:t>
            </w:r>
          </w:p>
        </w:tc>
      </w:tr>
      <w:tr w:rsidR="00581C03" w:rsidRPr="00C347AD" w14:paraId="69F3FA6A" w14:textId="77198CB6" w:rsidTr="00581C03">
        <w:trPr>
          <w:trHeight w:val="324"/>
        </w:trPr>
        <w:tc>
          <w:tcPr>
            <w:tcW w:w="5000" w:type="pct"/>
            <w:gridSpan w:val="3"/>
            <w:tcBorders>
              <w:bottom w:val="single" w:sz="4" w:space="0" w:color="auto"/>
            </w:tcBorders>
          </w:tcPr>
          <w:p w14:paraId="2A38294A" w14:textId="4915A23F" w:rsidR="00581C03" w:rsidRPr="00C347AD" w:rsidRDefault="00581C03" w:rsidP="00D65032">
            <w:pPr>
              <w:spacing w:line="240" w:lineRule="auto"/>
              <w:ind w:firstLine="0"/>
              <w:rPr>
                <w:rFonts w:ascii="Times New Roman" w:hAnsi="Times New Roman" w:cs="Times New Roman"/>
              </w:rPr>
            </w:pPr>
            <w:r w:rsidRPr="00C347AD">
              <w:rPr>
                <w:rFonts w:ascii="Times New Roman" w:hAnsi="Times New Roman" w:cs="Times New Roman"/>
                <w:i/>
              </w:rPr>
              <w:t xml:space="preserve">Original and current </w:t>
            </w:r>
            <w:r w:rsidR="00D65032" w:rsidRPr="00C347AD">
              <w:rPr>
                <w:rFonts w:ascii="Times New Roman" w:hAnsi="Times New Roman" w:cs="Times New Roman"/>
                <w:i/>
              </w:rPr>
              <w:t>Multidimensional Attitudes Toward Inclusion Scale</w:t>
            </w:r>
            <w:r w:rsidRPr="00C347AD">
              <w:rPr>
                <w:rFonts w:ascii="Times New Roman" w:hAnsi="Times New Roman" w:cs="Times New Roman"/>
                <w:i/>
              </w:rPr>
              <w:t xml:space="preserve"> reliability</w:t>
            </w:r>
          </w:p>
        </w:tc>
      </w:tr>
      <w:tr w:rsidR="00581C03" w:rsidRPr="00C347AD" w14:paraId="1052A9BD" w14:textId="4794C96F" w:rsidTr="00581C03">
        <w:tc>
          <w:tcPr>
            <w:tcW w:w="1572" w:type="pct"/>
            <w:tcBorders>
              <w:bottom w:val="single" w:sz="4" w:space="0" w:color="auto"/>
            </w:tcBorders>
          </w:tcPr>
          <w:p w14:paraId="6CD4AD6F" w14:textId="5AAF27F7" w:rsidR="008E0FE4" w:rsidRPr="00C347AD" w:rsidRDefault="008E0FE4" w:rsidP="00923A48">
            <w:pPr>
              <w:spacing w:line="240" w:lineRule="auto"/>
              <w:ind w:firstLine="0"/>
              <w:rPr>
                <w:rFonts w:ascii="Times New Roman" w:hAnsi="Times New Roman" w:cs="Times New Roman"/>
              </w:rPr>
            </w:pPr>
            <w:r w:rsidRPr="00C347AD">
              <w:rPr>
                <w:rFonts w:ascii="Times New Roman" w:hAnsi="Times New Roman" w:cs="Times New Roman"/>
              </w:rPr>
              <w:t>Subscale</w:t>
            </w:r>
          </w:p>
        </w:tc>
        <w:tc>
          <w:tcPr>
            <w:tcW w:w="1685" w:type="pct"/>
            <w:tcBorders>
              <w:bottom w:val="single" w:sz="4" w:space="0" w:color="auto"/>
            </w:tcBorders>
          </w:tcPr>
          <w:p w14:paraId="627DD49E" w14:textId="4EF68A78" w:rsidR="008E0FE4" w:rsidRPr="00C347AD" w:rsidRDefault="008E0FE4" w:rsidP="008E0FE4">
            <w:pPr>
              <w:spacing w:line="240" w:lineRule="auto"/>
              <w:ind w:firstLine="0"/>
              <w:rPr>
                <w:rFonts w:ascii="Times New Roman" w:hAnsi="Times New Roman" w:cs="Times New Roman"/>
              </w:rPr>
            </w:pPr>
            <w:r w:rsidRPr="00C347AD">
              <w:rPr>
                <w:rFonts w:ascii="Times New Roman" w:hAnsi="Times New Roman" w:cs="Times New Roman"/>
              </w:rPr>
              <w:t xml:space="preserve">Original </w:t>
            </w:r>
            <w:r w:rsidRPr="00C347AD">
              <w:rPr>
                <w:rFonts w:ascii="Times New Roman" w:hAnsi="Times New Roman" w:cs="Times New Roman"/>
              </w:rPr>
              <w:sym w:font="Symbol" w:char="F061"/>
            </w:r>
          </w:p>
        </w:tc>
        <w:tc>
          <w:tcPr>
            <w:tcW w:w="1743" w:type="pct"/>
            <w:tcBorders>
              <w:bottom w:val="single" w:sz="4" w:space="0" w:color="auto"/>
            </w:tcBorders>
          </w:tcPr>
          <w:p w14:paraId="32008117" w14:textId="3F84B37D" w:rsidR="008E0FE4" w:rsidRPr="00C347AD" w:rsidRDefault="008E0FE4" w:rsidP="008E0FE4">
            <w:pPr>
              <w:spacing w:line="240" w:lineRule="auto"/>
              <w:ind w:firstLine="0"/>
              <w:rPr>
                <w:rFonts w:ascii="Times New Roman" w:hAnsi="Times New Roman" w:cs="Times New Roman"/>
              </w:rPr>
            </w:pPr>
            <w:r w:rsidRPr="00C347AD">
              <w:rPr>
                <w:rFonts w:ascii="Times New Roman" w:hAnsi="Times New Roman" w:cs="Times New Roman"/>
              </w:rPr>
              <w:t xml:space="preserve">Current study </w:t>
            </w:r>
            <w:r w:rsidRPr="00C347AD">
              <w:rPr>
                <w:rFonts w:ascii="Times New Roman" w:hAnsi="Times New Roman" w:cs="Times New Roman"/>
              </w:rPr>
              <w:sym w:font="Symbol" w:char="F061"/>
            </w:r>
          </w:p>
        </w:tc>
      </w:tr>
      <w:tr w:rsidR="00581C03" w:rsidRPr="00C347AD" w14:paraId="5314E745" w14:textId="58651A0F" w:rsidTr="00581C03">
        <w:tc>
          <w:tcPr>
            <w:tcW w:w="1572" w:type="pct"/>
            <w:tcBorders>
              <w:top w:val="single" w:sz="4" w:space="0" w:color="auto"/>
            </w:tcBorders>
          </w:tcPr>
          <w:p w14:paraId="4E466032" w14:textId="607CDCF7" w:rsidR="008E0FE4" w:rsidRPr="00C347AD" w:rsidRDefault="008E0FE4" w:rsidP="006E3241">
            <w:pPr>
              <w:spacing w:line="240" w:lineRule="auto"/>
              <w:ind w:firstLine="0"/>
              <w:rPr>
                <w:rFonts w:ascii="Times New Roman" w:hAnsi="Times New Roman" w:cs="Times New Roman"/>
              </w:rPr>
            </w:pPr>
            <w:r w:rsidRPr="00C347AD">
              <w:rPr>
                <w:rFonts w:ascii="Times New Roman" w:hAnsi="Times New Roman" w:cs="Times New Roman"/>
              </w:rPr>
              <w:t>Cognitive</w:t>
            </w:r>
          </w:p>
        </w:tc>
        <w:tc>
          <w:tcPr>
            <w:tcW w:w="1685" w:type="pct"/>
            <w:tcBorders>
              <w:top w:val="single" w:sz="4" w:space="0" w:color="auto"/>
            </w:tcBorders>
          </w:tcPr>
          <w:p w14:paraId="7193EDC1" w14:textId="24B1FD43" w:rsidR="008E0FE4" w:rsidRPr="00C347AD" w:rsidRDefault="008E0FE4" w:rsidP="006E3241">
            <w:pPr>
              <w:spacing w:line="240" w:lineRule="auto"/>
              <w:ind w:firstLine="0"/>
              <w:rPr>
                <w:rFonts w:ascii="Times New Roman" w:hAnsi="Times New Roman" w:cs="Times New Roman"/>
              </w:rPr>
            </w:pPr>
            <w:r w:rsidRPr="00C347AD">
              <w:rPr>
                <w:rFonts w:ascii="Times New Roman" w:hAnsi="Times New Roman" w:cs="Times New Roman"/>
              </w:rPr>
              <w:t>0.77</w:t>
            </w:r>
          </w:p>
        </w:tc>
        <w:tc>
          <w:tcPr>
            <w:tcW w:w="1743" w:type="pct"/>
            <w:tcBorders>
              <w:top w:val="single" w:sz="4" w:space="0" w:color="auto"/>
            </w:tcBorders>
          </w:tcPr>
          <w:p w14:paraId="39A58EF6" w14:textId="66A4EB95" w:rsidR="008E0FE4" w:rsidRPr="00C347AD" w:rsidRDefault="00BB3F3A" w:rsidP="006E3241">
            <w:pPr>
              <w:spacing w:line="240" w:lineRule="auto"/>
              <w:ind w:firstLine="0"/>
              <w:rPr>
                <w:rFonts w:ascii="Times New Roman" w:hAnsi="Times New Roman" w:cs="Times New Roman"/>
              </w:rPr>
            </w:pPr>
            <w:r w:rsidRPr="00C347AD">
              <w:rPr>
                <w:rFonts w:ascii="Times New Roman" w:hAnsi="Times New Roman" w:cs="Times New Roman"/>
              </w:rPr>
              <w:t>0.65</w:t>
            </w:r>
          </w:p>
        </w:tc>
      </w:tr>
      <w:tr w:rsidR="00581C03" w:rsidRPr="00C347AD" w14:paraId="771BAD28" w14:textId="1F6A4138" w:rsidTr="00581C03">
        <w:trPr>
          <w:trHeight w:val="315"/>
        </w:trPr>
        <w:tc>
          <w:tcPr>
            <w:tcW w:w="1572" w:type="pct"/>
          </w:tcPr>
          <w:p w14:paraId="63F93109" w14:textId="7C8D5DA4" w:rsidR="008E0FE4" w:rsidRPr="00C347AD" w:rsidRDefault="008E0FE4" w:rsidP="006E3241">
            <w:pPr>
              <w:spacing w:line="240" w:lineRule="auto"/>
              <w:ind w:firstLine="0"/>
              <w:rPr>
                <w:rFonts w:ascii="Times New Roman" w:hAnsi="Times New Roman" w:cs="Times New Roman"/>
              </w:rPr>
            </w:pPr>
            <w:r w:rsidRPr="00C347AD">
              <w:rPr>
                <w:rFonts w:ascii="Times New Roman" w:hAnsi="Times New Roman" w:cs="Times New Roman"/>
              </w:rPr>
              <w:t>Affective</w:t>
            </w:r>
          </w:p>
        </w:tc>
        <w:tc>
          <w:tcPr>
            <w:tcW w:w="1685" w:type="pct"/>
          </w:tcPr>
          <w:p w14:paraId="6A20604F" w14:textId="573E5420" w:rsidR="008E0FE4" w:rsidRPr="00C347AD" w:rsidRDefault="008E0FE4" w:rsidP="006E3241">
            <w:pPr>
              <w:spacing w:line="240" w:lineRule="auto"/>
              <w:ind w:firstLine="0"/>
              <w:rPr>
                <w:rFonts w:ascii="Times New Roman" w:hAnsi="Times New Roman" w:cs="Times New Roman"/>
              </w:rPr>
            </w:pPr>
            <w:r w:rsidRPr="00C347AD">
              <w:rPr>
                <w:rFonts w:ascii="Times New Roman" w:hAnsi="Times New Roman" w:cs="Times New Roman"/>
              </w:rPr>
              <w:t>0.78</w:t>
            </w:r>
          </w:p>
        </w:tc>
        <w:tc>
          <w:tcPr>
            <w:tcW w:w="1743" w:type="pct"/>
          </w:tcPr>
          <w:p w14:paraId="4A54D09E" w14:textId="5FEE9941" w:rsidR="008E0FE4" w:rsidRPr="00C347AD" w:rsidRDefault="00BB3F3A" w:rsidP="006E3241">
            <w:pPr>
              <w:spacing w:line="240" w:lineRule="auto"/>
              <w:ind w:firstLine="0"/>
              <w:rPr>
                <w:rFonts w:ascii="Times New Roman" w:hAnsi="Times New Roman" w:cs="Times New Roman"/>
              </w:rPr>
            </w:pPr>
            <w:r w:rsidRPr="00C347AD">
              <w:rPr>
                <w:rFonts w:ascii="Times New Roman" w:hAnsi="Times New Roman" w:cs="Times New Roman"/>
              </w:rPr>
              <w:t>0.73</w:t>
            </w:r>
          </w:p>
        </w:tc>
      </w:tr>
      <w:tr w:rsidR="00581C03" w:rsidRPr="00C347AD" w14:paraId="1EB05CEA" w14:textId="32D41DFB" w:rsidTr="00581C03">
        <w:tc>
          <w:tcPr>
            <w:tcW w:w="1572" w:type="pct"/>
            <w:tcBorders>
              <w:bottom w:val="single" w:sz="4" w:space="0" w:color="auto"/>
            </w:tcBorders>
          </w:tcPr>
          <w:p w14:paraId="7BCEDE66" w14:textId="15E2E6A6" w:rsidR="008E0FE4" w:rsidRPr="00C347AD" w:rsidRDefault="008E0FE4" w:rsidP="006E3241">
            <w:pPr>
              <w:spacing w:line="240" w:lineRule="auto"/>
              <w:ind w:firstLine="0"/>
              <w:rPr>
                <w:rFonts w:ascii="Times New Roman" w:hAnsi="Times New Roman" w:cs="Times New Roman"/>
              </w:rPr>
            </w:pPr>
            <w:r w:rsidRPr="00C347AD">
              <w:rPr>
                <w:rFonts w:ascii="Times New Roman" w:hAnsi="Times New Roman" w:cs="Times New Roman"/>
              </w:rPr>
              <w:t>Behavioral</w:t>
            </w:r>
          </w:p>
        </w:tc>
        <w:tc>
          <w:tcPr>
            <w:tcW w:w="1685" w:type="pct"/>
            <w:tcBorders>
              <w:bottom w:val="single" w:sz="4" w:space="0" w:color="auto"/>
            </w:tcBorders>
          </w:tcPr>
          <w:p w14:paraId="1F411431" w14:textId="4A73889F" w:rsidR="008E0FE4" w:rsidRPr="00C347AD" w:rsidRDefault="008E0FE4" w:rsidP="006E3241">
            <w:pPr>
              <w:spacing w:line="240" w:lineRule="auto"/>
              <w:ind w:firstLine="0"/>
              <w:rPr>
                <w:rFonts w:ascii="Times New Roman" w:hAnsi="Times New Roman" w:cs="Times New Roman"/>
              </w:rPr>
            </w:pPr>
            <w:r w:rsidRPr="00C347AD">
              <w:rPr>
                <w:rFonts w:ascii="Times New Roman" w:hAnsi="Times New Roman" w:cs="Times New Roman"/>
              </w:rPr>
              <w:t>0.91</w:t>
            </w:r>
          </w:p>
        </w:tc>
        <w:tc>
          <w:tcPr>
            <w:tcW w:w="1743" w:type="pct"/>
            <w:tcBorders>
              <w:bottom w:val="single" w:sz="4" w:space="0" w:color="auto"/>
            </w:tcBorders>
          </w:tcPr>
          <w:p w14:paraId="0E8F0532" w14:textId="65E7E269" w:rsidR="008E0FE4"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0.82</w:t>
            </w:r>
          </w:p>
        </w:tc>
      </w:tr>
    </w:tbl>
    <w:p w14:paraId="012E1E96" w14:textId="77777777" w:rsidR="00923A48" w:rsidRPr="00C347AD" w:rsidRDefault="00923A48" w:rsidP="00923A48">
      <w:pPr>
        <w:ind w:firstLine="0"/>
      </w:pPr>
    </w:p>
    <w:p w14:paraId="33859D40" w14:textId="77777777" w:rsidR="002C4672" w:rsidRPr="00C347AD" w:rsidRDefault="002C4672" w:rsidP="00923A48">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2212"/>
        <w:gridCol w:w="2290"/>
        <w:gridCol w:w="2288"/>
      </w:tblGrid>
      <w:tr w:rsidR="009E4629" w:rsidRPr="00C347AD" w14:paraId="03564B17" w14:textId="0E74B57D" w:rsidTr="009E4629">
        <w:tc>
          <w:tcPr>
            <w:tcW w:w="1166" w:type="pct"/>
          </w:tcPr>
          <w:p w14:paraId="66DF74B0" w14:textId="77777777"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lastRenderedPageBreak/>
              <w:t xml:space="preserve">Table X. </w:t>
            </w:r>
          </w:p>
        </w:tc>
        <w:tc>
          <w:tcPr>
            <w:tcW w:w="1249" w:type="pct"/>
          </w:tcPr>
          <w:p w14:paraId="258C73BC" w14:textId="77777777" w:rsidR="009E4629" w:rsidRPr="00C347AD" w:rsidRDefault="009E4629" w:rsidP="006E3241">
            <w:pPr>
              <w:spacing w:line="240" w:lineRule="auto"/>
              <w:ind w:firstLine="0"/>
              <w:rPr>
                <w:rFonts w:ascii="Times New Roman" w:hAnsi="Times New Roman" w:cs="Times New Roman"/>
              </w:rPr>
            </w:pPr>
          </w:p>
        </w:tc>
        <w:tc>
          <w:tcPr>
            <w:tcW w:w="1293" w:type="pct"/>
          </w:tcPr>
          <w:p w14:paraId="1840A713" w14:textId="77777777" w:rsidR="009E4629" w:rsidRPr="00C347AD" w:rsidRDefault="009E4629" w:rsidP="006E3241">
            <w:pPr>
              <w:spacing w:line="240" w:lineRule="auto"/>
              <w:ind w:firstLine="0"/>
              <w:rPr>
                <w:rFonts w:ascii="Times New Roman" w:hAnsi="Times New Roman" w:cs="Times New Roman"/>
              </w:rPr>
            </w:pPr>
          </w:p>
        </w:tc>
        <w:tc>
          <w:tcPr>
            <w:tcW w:w="1292" w:type="pct"/>
          </w:tcPr>
          <w:p w14:paraId="2E63246C" w14:textId="77777777" w:rsidR="009E4629" w:rsidRPr="00C347AD" w:rsidRDefault="009E4629" w:rsidP="006E3241">
            <w:pPr>
              <w:spacing w:line="240" w:lineRule="auto"/>
              <w:ind w:firstLine="0"/>
              <w:rPr>
                <w:rFonts w:ascii="Times New Roman" w:hAnsi="Times New Roman" w:cs="Times New Roman"/>
              </w:rPr>
            </w:pPr>
          </w:p>
        </w:tc>
      </w:tr>
      <w:tr w:rsidR="009E4629" w:rsidRPr="00C347AD" w14:paraId="1C1E6E48" w14:textId="2C791CED" w:rsidTr="009E4629">
        <w:trPr>
          <w:trHeight w:val="324"/>
        </w:trPr>
        <w:tc>
          <w:tcPr>
            <w:tcW w:w="3708" w:type="pct"/>
            <w:gridSpan w:val="3"/>
            <w:tcBorders>
              <w:bottom w:val="single" w:sz="4" w:space="0" w:color="auto"/>
            </w:tcBorders>
          </w:tcPr>
          <w:p w14:paraId="208B53E6" w14:textId="66D024EA" w:rsidR="009E4629" w:rsidRPr="00C347AD" w:rsidRDefault="009E4629" w:rsidP="009E4629">
            <w:pPr>
              <w:spacing w:line="240" w:lineRule="auto"/>
              <w:ind w:firstLine="0"/>
              <w:rPr>
                <w:rFonts w:ascii="Times New Roman" w:hAnsi="Times New Roman" w:cs="Times New Roman"/>
              </w:rPr>
            </w:pPr>
            <w:r w:rsidRPr="00C347AD">
              <w:rPr>
                <w:rFonts w:ascii="Times New Roman" w:hAnsi="Times New Roman" w:cs="Times New Roman"/>
                <w:i/>
              </w:rPr>
              <w:t xml:space="preserve">Current MATIES Cronbach alpha reliability by time. </w:t>
            </w:r>
          </w:p>
        </w:tc>
        <w:tc>
          <w:tcPr>
            <w:tcW w:w="1292" w:type="pct"/>
            <w:tcBorders>
              <w:bottom w:val="single" w:sz="4" w:space="0" w:color="auto"/>
            </w:tcBorders>
          </w:tcPr>
          <w:p w14:paraId="3D5773D5" w14:textId="77777777" w:rsidR="009E4629" w:rsidRPr="00C347AD" w:rsidRDefault="009E4629" w:rsidP="009E4629">
            <w:pPr>
              <w:spacing w:line="240" w:lineRule="auto"/>
              <w:ind w:firstLine="0"/>
              <w:rPr>
                <w:rFonts w:ascii="Times New Roman" w:hAnsi="Times New Roman" w:cs="Times New Roman"/>
                <w:i/>
              </w:rPr>
            </w:pPr>
          </w:p>
        </w:tc>
      </w:tr>
      <w:tr w:rsidR="009E4629" w:rsidRPr="00C347AD" w14:paraId="0FF3A958" w14:textId="5F039402" w:rsidTr="009E4629">
        <w:tc>
          <w:tcPr>
            <w:tcW w:w="1166" w:type="pct"/>
            <w:tcBorders>
              <w:bottom w:val="single" w:sz="4" w:space="0" w:color="auto"/>
            </w:tcBorders>
          </w:tcPr>
          <w:p w14:paraId="56797DD2" w14:textId="77777777"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Subscale</w:t>
            </w:r>
          </w:p>
        </w:tc>
        <w:tc>
          <w:tcPr>
            <w:tcW w:w="1249" w:type="pct"/>
            <w:tcBorders>
              <w:bottom w:val="single" w:sz="4" w:space="0" w:color="auto"/>
            </w:tcBorders>
          </w:tcPr>
          <w:p w14:paraId="0DDCCDF0" w14:textId="50C574C5"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Pretest</w:t>
            </w:r>
          </w:p>
        </w:tc>
        <w:tc>
          <w:tcPr>
            <w:tcW w:w="1293" w:type="pct"/>
            <w:tcBorders>
              <w:bottom w:val="single" w:sz="4" w:space="0" w:color="auto"/>
            </w:tcBorders>
          </w:tcPr>
          <w:p w14:paraId="6AD53232" w14:textId="0349874F"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Posttest 1</w:t>
            </w:r>
          </w:p>
        </w:tc>
        <w:tc>
          <w:tcPr>
            <w:tcW w:w="1292" w:type="pct"/>
            <w:tcBorders>
              <w:bottom w:val="single" w:sz="4" w:space="0" w:color="auto"/>
            </w:tcBorders>
          </w:tcPr>
          <w:p w14:paraId="27520491" w14:textId="1F1EA04E"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Posttest 2</w:t>
            </w:r>
          </w:p>
        </w:tc>
      </w:tr>
      <w:tr w:rsidR="009E4629" w:rsidRPr="00C347AD" w14:paraId="0FE9853D" w14:textId="1086017A" w:rsidTr="009E4629">
        <w:tc>
          <w:tcPr>
            <w:tcW w:w="1166" w:type="pct"/>
            <w:tcBorders>
              <w:top w:val="single" w:sz="4" w:space="0" w:color="auto"/>
            </w:tcBorders>
          </w:tcPr>
          <w:p w14:paraId="11B44E24" w14:textId="77777777"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Cognitive</w:t>
            </w:r>
          </w:p>
        </w:tc>
        <w:tc>
          <w:tcPr>
            <w:tcW w:w="1249" w:type="pct"/>
            <w:tcBorders>
              <w:top w:val="single" w:sz="4" w:space="0" w:color="auto"/>
            </w:tcBorders>
          </w:tcPr>
          <w:p w14:paraId="4D268542" w14:textId="5428F336"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D83A28" w:rsidRPr="00C347AD">
              <w:rPr>
                <w:rFonts w:ascii="Times New Roman" w:hAnsi="Times New Roman" w:cs="Times New Roman"/>
              </w:rPr>
              <w:t>.45</w:t>
            </w:r>
          </w:p>
        </w:tc>
        <w:tc>
          <w:tcPr>
            <w:tcW w:w="1293" w:type="pct"/>
            <w:tcBorders>
              <w:top w:val="single" w:sz="4" w:space="0" w:color="auto"/>
            </w:tcBorders>
          </w:tcPr>
          <w:p w14:paraId="59D30812" w14:textId="29A852C5"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287BA7" w:rsidRPr="00C347AD">
              <w:rPr>
                <w:rFonts w:ascii="Times New Roman" w:hAnsi="Times New Roman" w:cs="Times New Roman"/>
              </w:rPr>
              <w:t>66</w:t>
            </w:r>
          </w:p>
        </w:tc>
        <w:tc>
          <w:tcPr>
            <w:tcW w:w="1292" w:type="pct"/>
            <w:tcBorders>
              <w:top w:val="single" w:sz="4" w:space="0" w:color="auto"/>
            </w:tcBorders>
          </w:tcPr>
          <w:p w14:paraId="7FF34DC7" w14:textId="4777E560"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287BA7" w:rsidRPr="00C347AD">
              <w:rPr>
                <w:rFonts w:ascii="Times New Roman" w:hAnsi="Times New Roman" w:cs="Times New Roman"/>
              </w:rPr>
              <w:t>76</w:t>
            </w:r>
          </w:p>
        </w:tc>
      </w:tr>
      <w:tr w:rsidR="009E4629" w:rsidRPr="00C347AD" w14:paraId="33BCA2EA" w14:textId="33FBCECB" w:rsidTr="009E4629">
        <w:trPr>
          <w:trHeight w:val="315"/>
        </w:trPr>
        <w:tc>
          <w:tcPr>
            <w:tcW w:w="1166" w:type="pct"/>
          </w:tcPr>
          <w:p w14:paraId="0CA941D1" w14:textId="77777777"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Affective</w:t>
            </w:r>
          </w:p>
        </w:tc>
        <w:tc>
          <w:tcPr>
            <w:tcW w:w="1249" w:type="pct"/>
          </w:tcPr>
          <w:p w14:paraId="544E9B6F" w14:textId="57C2916E"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041B96" w:rsidRPr="00C347AD">
              <w:rPr>
                <w:rFonts w:ascii="Times New Roman" w:hAnsi="Times New Roman" w:cs="Times New Roman"/>
              </w:rPr>
              <w:t>69</w:t>
            </w:r>
          </w:p>
        </w:tc>
        <w:tc>
          <w:tcPr>
            <w:tcW w:w="1293" w:type="pct"/>
          </w:tcPr>
          <w:p w14:paraId="66ADC71D" w14:textId="5E5212E8"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041B96" w:rsidRPr="00C347AD">
              <w:rPr>
                <w:rFonts w:ascii="Times New Roman" w:hAnsi="Times New Roman" w:cs="Times New Roman"/>
              </w:rPr>
              <w:t>70</w:t>
            </w:r>
          </w:p>
        </w:tc>
        <w:tc>
          <w:tcPr>
            <w:tcW w:w="1292" w:type="pct"/>
          </w:tcPr>
          <w:p w14:paraId="5E391331" w14:textId="5CB987A1"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8B013B" w:rsidRPr="00C347AD">
              <w:rPr>
                <w:rFonts w:ascii="Times New Roman" w:hAnsi="Times New Roman" w:cs="Times New Roman"/>
              </w:rPr>
              <w:t>78</w:t>
            </w:r>
          </w:p>
        </w:tc>
      </w:tr>
      <w:tr w:rsidR="009E4629" w:rsidRPr="00C347AD" w14:paraId="086DC5F2" w14:textId="4EA229A6" w:rsidTr="009E4629">
        <w:tc>
          <w:tcPr>
            <w:tcW w:w="1166" w:type="pct"/>
            <w:tcBorders>
              <w:bottom w:val="single" w:sz="4" w:space="0" w:color="auto"/>
            </w:tcBorders>
          </w:tcPr>
          <w:p w14:paraId="66C2BCC1" w14:textId="77777777"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Behavioral</w:t>
            </w:r>
          </w:p>
        </w:tc>
        <w:tc>
          <w:tcPr>
            <w:tcW w:w="1249" w:type="pct"/>
            <w:tcBorders>
              <w:bottom w:val="single" w:sz="4" w:space="0" w:color="auto"/>
            </w:tcBorders>
          </w:tcPr>
          <w:p w14:paraId="57D01878" w14:textId="649EB71A"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253AD3" w:rsidRPr="00C347AD">
              <w:rPr>
                <w:rFonts w:ascii="Times New Roman" w:hAnsi="Times New Roman" w:cs="Times New Roman"/>
              </w:rPr>
              <w:t>79</w:t>
            </w:r>
          </w:p>
        </w:tc>
        <w:tc>
          <w:tcPr>
            <w:tcW w:w="1293" w:type="pct"/>
            <w:tcBorders>
              <w:bottom w:val="single" w:sz="4" w:space="0" w:color="auto"/>
            </w:tcBorders>
          </w:tcPr>
          <w:p w14:paraId="6547A40F" w14:textId="37272210"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B72DC2" w:rsidRPr="00C347AD">
              <w:rPr>
                <w:rFonts w:ascii="Times New Roman" w:hAnsi="Times New Roman" w:cs="Times New Roman"/>
              </w:rPr>
              <w:t>79</w:t>
            </w:r>
          </w:p>
        </w:tc>
        <w:tc>
          <w:tcPr>
            <w:tcW w:w="1292" w:type="pct"/>
            <w:tcBorders>
              <w:bottom w:val="single" w:sz="4" w:space="0" w:color="auto"/>
            </w:tcBorders>
          </w:tcPr>
          <w:p w14:paraId="3E249FE5" w14:textId="3C20E6A6" w:rsidR="009E4629" w:rsidRPr="00C347AD" w:rsidRDefault="009E4629" w:rsidP="006E3241">
            <w:pPr>
              <w:spacing w:line="240" w:lineRule="auto"/>
              <w:ind w:firstLine="0"/>
              <w:rPr>
                <w:rFonts w:ascii="Times New Roman" w:hAnsi="Times New Roman" w:cs="Times New Roman"/>
              </w:rPr>
            </w:pPr>
            <w:r w:rsidRPr="00C347AD">
              <w:rPr>
                <w:rFonts w:ascii="Times New Roman" w:hAnsi="Times New Roman" w:cs="Times New Roman"/>
              </w:rPr>
              <w:t>0.</w:t>
            </w:r>
            <w:r w:rsidR="002C4672" w:rsidRPr="00C347AD">
              <w:rPr>
                <w:rFonts w:ascii="Times New Roman" w:hAnsi="Times New Roman" w:cs="Times New Roman"/>
              </w:rPr>
              <w:t>90</w:t>
            </w:r>
          </w:p>
        </w:tc>
      </w:tr>
    </w:tbl>
    <w:p w14:paraId="0BD0DDF3" w14:textId="77777777" w:rsidR="009E4629" w:rsidRPr="00C347AD" w:rsidRDefault="009E4629" w:rsidP="00923A48">
      <w:pPr>
        <w:ind w:firstLine="0"/>
      </w:pPr>
    </w:p>
    <w:p w14:paraId="42FACF91" w14:textId="77777777" w:rsidR="009E4629" w:rsidRPr="00C347AD" w:rsidRDefault="009E4629" w:rsidP="00923A48">
      <w:pPr>
        <w:ind w:firstLine="0"/>
      </w:pPr>
    </w:p>
    <w:p w14:paraId="60B7F1D7" w14:textId="571ECC89" w:rsidR="00351CFB" w:rsidRPr="00C347AD" w:rsidRDefault="004512D4" w:rsidP="00FE779B">
      <w:pPr>
        <w:pStyle w:val="Heading2"/>
      </w:pPr>
      <w:bookmarkStart w:id="80" w:name="_Toc470600348"/>
      <w:bookmarkStart w:id="81" w:name="_Toc471890454"/>
      <w:r w:rsidRPr="00C347AD">
        <w:t>Data Analysis</w:t>
      </w:r>
      <w:bookmarkEnd w:id="80"/>
      <w:bookmarkEnd w:id="81"/>
    </w:p>
    <w:p w14:paraId="7A49AC3A" w14:textId="0925597B" w:rsidR="000A3ADD" w:rsidRPr="00C347AD" w:rsidRDefault="003D356C" w:rsidP="000A3ADD">
      <w:r w:rsidRPr="00C347AD">
        <w:t>Given the repeated measures group design of the study</w:t>
      </w:r>
      <w:r w:rsidR="00D171CC" w:rsidRPr="00C347AD">
        <w:t>, a two-way repeated measures ANOVA with one between-groups factor (group belonging) and two within-group factors (the intervention as the focal variable and time as the moderator variable</w:t>
      </w:r>
      <w:r w:rsidR="00E14A8F" w:rsidRPr="00C347AD">
        <w:t>)</w:t>
      </w:r>
      <w:r w:rsidRPr="00C347AD">
        <w:t xml:space="preserve"> is most appropriate</w:t>
      </w:r>
      <w:r w:rsidR="00D171CC" w:rsidRPr="00C347AD">
        <w:t xml:space="preserve"> </w:t>
      </w:r>
      <w:r w:rsidR="00D171CC" w:rsidRPr="00C347AD">
        <w:fldChar w:fldCharType="begin"/>
      </w:r>
      <w:r w:rsidR="00F7126F" w:rsidRPr="00C347AD">
        <w:instrText xml:space="preserve"> ADDIN ZOTERO_ITEM CSL_CITATION {"citationID":"eg5f9qa6a","properties":{"formattedCitation":"(Bowlin, 2012; Gall et al., 2007; Gravetter &amp; Wallnau, 2013)","plainCitation":"(Bowlin, 2012; Gall et al., 2007; Gravetter &amp; Wallnau, 2013)"},"citationItems":[{"id":409,"uris":["http://zotero.org/users/2098925/items/D4U7WWPS"],"uri":["http://zotero.org/users/2098925/items/D4U7WWPS"],"itemData":{"id":409,"type":"article-journal","title":"Inclusion and collaboration: Impact of preservice teachers’ experiences on their knowledge, attitudes and perceived sense of efficacy","author":[{"family":"Bowlin","given":"Tamara McMahan"}],"issued":{"date-parts":[["2012"]]}}},{"id":829,"uris":["http://zotero.org/users/2098925/items/QP6N32N8"],"uri":["http://zotero.org/users/2098925/items/QP6N32N8"],"itemData":{"id":829,"type":"book","title":"Educational Research: An Introduction","publisher":"Pearson/Allyn &amp; Bacon","number-of-pages":"672","source":"Google Books","abstract":"Educational Research: An Introduction, Eighth Edition, is the most comprehensive and widely respected text for scholars and for the preparation of graduate-level students who need to understand educational research in depth and conduct original research for a dissertation or thesis.  A comprehensive introduction to the major research methods and types of data analysis used today, this text provides in-depth coverage of all facets of research, from the epistemology of quantitative and qualitative scientific inquiry to the design, data collection, analysis, and reporting of a completed study.","ISBN":"978-0-205-48849-0","shortTitle":"Educational Research","language":"en","author":[{"family":"Gall","given":"Meredith D."},{"family":"Gall","given":"Joyce P."},{"family":"Borg","given":"Walter R."}],"issued":{"date-parts":[["2007"]]}}},{"id":750,"uris":["http://zotero.org/users/2098925/items/NDBR3I8Q"],"uri":["http://zotero.org/users/2098925/items/NDBR3I8Q"],"itemData":{"id":750,"type":"book","title":"Essentials of Statistics for the Behavioral Sciences","publisher":"Cengage Learning","number-of-pages":"652","source":"Google Books","abstract":"A proven bestseller, ESSENTIALS OF STATISTICS FOR THE BEHAVIORAL SCIENCES, 8e gives you straightforward instruction, unrivaled accuracy, built-in learning aids, and plenty of real-world examples to help you understand statistical concepts. The authors take time to fully explain statistical procedures so that you can go beyond memorizing formulas and begin gaining a conceptual understanding of statistics. They also take care to show you how having an understanding of statistical procedures will help you comprehend published findings--ultimately leading you to become a savvy consumer of information. Available with InfoTrac Student Collections http://gocengage.com/infotrac.Important Notice: Media content referenced within the product description or the product text may not be available in the ebook version.","ISBN":"1-133-95657-2","language":"en","author":[{"family":"Gravetter","given":"Frederick"},{"family":"Wallnau","given":"Larry"}],"issued":{"date-parts":[["2013",1,1]]}}}],"schema":"https://github.com/citation-style-language/schema/raw/master/csl-citation.json"} </w:instrText>
      </w:r>
      <w:r w:rsidR="00D171CC" w:rsidRPr="00C347AD">
        <w:fldChar w:fldCharType="separate"/>
      </w:r>
      <w:r w:rsidRPr="00C347AD">
        <w:rPr>
          <w:noProof/>
        </w:rPr>
        <w:t>(Bowlin, 2012; Gall et al., 2007; Gravetter &amp; Wallnau, 2013)</w:t>
      </w:r>
      <w:r w:rsidR="00D171CC" w:rsidRPr="00C347AD">
        <w:fldChar w:fldCharType="end"/>
      </w:r>
      <w:r w:rsidR="00D171CC" w:rsidRPr="00C347AD">
        <w:t xml:space="preserve">. </w:t>
      </w:r>
    </w:p>
    <w:p w14:paraId="6622EEFA" w14:textId="7C9063A3" w:rsidR="000A3ADD" w:rsidRPr="00C347AD" w:rsidRDefault="000A3ADD" w:rsidP="000A3ADD">
      <w:r w:rsidRPr="00C347AD">
        <w:t xml:space="preserve">It is worth noting that two </w:t>
      </w:r>
      <w:r w:rsidRPr="00C347AD">
        <w:rPr>
          <w:i/>
        </w:rPr>
        <w:t>a priori</w:t>
      </w:r>
      <w:r w:rsidRPr="00C347AD">
        <w:t xml:space="preserve"> assumptions need to be met for the two-way repeated ANOVA to be used: (1) the dependent variable (for each measure) must be continuous (</w:t>
      </w:r>
      <w:r w:rsidR="004F52F4" w:rsidRPr="00C347AD">
        <w:t>i.e.,</w:t>
      </w:r>
      <w:r w:rsidRPr="00C347AD">
        <w:t xml:space="preserve"> interval or ratio scaled, not ordinal or nominal) and (2) there must be </w:t>
      </w:r>
      <w:r w:rsidR="00AC64C1" w:rsidRPr="00C347AD">
        <w:t xml:space="preserve">at least one </w:t>
      </w:r>
      <w:r w:rsidRPr="00C347AD">
        <w:t>within-subject factors measured at two or more categorical levels (Laerd Statistics, 2015). In this study, each of the dependent variables (</w:t>
      </w:r>
      <w:r w:rsidR="00E14A8F" w:rsidRPr="00C347AD">
        <w:t>p</w:t>
      </w:r>
      <w:r w:rsidRPr="00C347AD">
        <w:t>reservice teacher knowledge regarding structures</w:t>
      </w:r>
      <w:r w:rsidR="00D74C28" w:rsidRPr="00C347AD">
        <w:t xml:space="preserve"> and applied principles of UDL</w:t>
      </w:r>
      <w:r w:rsidRPr="00C347AD">
        <w:t xml:space="preserve">, </w:t>
      </w:r>
      <w:r w:rsidR="00E674B2" w:rsidRPr="00C347AD">
        <w:t xml:space="preserve">and </w:t>
      </w:r>
      <w:r w:rsidRPr="00C347AD">
        <w:t xml:space="preserve">attitudes </w:t>
      </w:r>
      <w:r w:rsidR="00E674B2" w:rsidRPr="00C347AD">
        <w:t xml:space="preserve">and teacher efficacy </w:t>
      </w:r>
      <w:r w:rsidRPr="00C347AD">
        <w:t xml:space="preserve">regarding inclusion of students with disabilities) is measured using an instrument that collects interval data. Further, the </w:t>
      </w:r>
      <w:r w:rsidR="00AC64C1" w:rsidRPr="00C347AD">
        <w:t>within-subject factor is</w:t>
      </w:r>
      <w:r w:rsidRPr="00C347AD">
        <w:t xml:space="preserve"> time</w:t>
      </w:r>
      <w:r w:rsidR="00AC64C1" w:rsidRPr="00C347AD">
        <w:t>, measured at three levels</w:t>
      </w:r>
      <w:r w:rsidRPr="00C347AD">
        <w:t xml:space="preserve"> (</w:t>
      </w:r>
      <w:r w:rsidR="004F52F4" w:rsidRPr="00C347AD">
        <w:t>i.e.,</w:t>
      </w:r>
      <w:r w:rsidR="00AC64C1" w:rsidRPr="00C347AD">
        <w:t xml:space="preserve"> pre</w:t>
      </w:r>
      <w:r w:rsidRPr="00C347AD">
        <w:t xml:space="preserve">test to posttest </w:t>
      </w:r>
      <w:r w:rsidR="006603BA" w:rsidRPr="00C347AD">
        <w:t>1</w:t>
      </w:r>
      <w:r w:rsidRPr="00C347AD">
        <w:t xml:space="preserve"> and posttest </w:t>
      </w:r>
      <w:r w:rsidR="006603BA" w:rsidRPr="00C347AD">
        <w:t>1</w:t>
      </w:r>
      <w:r w:rsidRPr="00C347AD">
        <w:t xml:space="preserve"> to posttest </w:t>
      </w:r>
      <w:r w:rsidR="006603BA" w:rsidRPr="00C347AD">
        <w:t>2</w:t>
      </w:r>
      <w:r w:rsidR="00AC64C1" w:rsidRPr="00C347AD">
        <w:t>) which implicitly involves condition, also at three levels (</w:t>
      </w:r>
      <w:r w:rsidR="006E3241" w:rsidRPr="00C347AD">
        <w:t xml:space="preserve">i.e., </w:t>
      </w:r>
      <w:r w:rsidR="00AC64C1" w:rsidRPr="00C347AD">
        <w:t xml:space="preserve">pretest, control, intervention). </w:t>
      </w:r>
    </w:p>
    <w:p w14:paraId="4FC6CF55" w14:textId="3B2FD8B8" w:rsidR="00D171CC" w:rsidRPr="00C347AD" w:rsidRDefault="000A3ADD" w:rsidP="00D171CC">
      <w:r w:rsidRPr="00C347AD">
        <w:rPr>
          <w:i/>
        </w:rPr>
        <w:lastRenderedPageBreak/>
        <w:t xml:space="preserve">Posthoc analysis. </w:t>
      </w:r>
      <w:r w:rsidRPr="00C347AD">
        <w:t>Because t</w:t>
      </w:r>
      <w:r w:rsidR="00D171CC" w:rsidRPr="00C347AD">
        <w:t>his statistical</w:t>
      </w:r>
      <w:r w:rsidRPr="00C347AD">
        <w:t xml:space="preserve"> test is omnibus in nature, </w:t>
      </w:r>
      <w:r w:rsidR="00D171CC" w:rsidRPr="00C347AD">
        <w:t xml:space="preserve">post-hoc analysis </w:t>
      </w:r>
      <w:r w:rsidR="00610A11" w:rsidRPr="00C347AD">
        <w:t>was</w:t>
      </w:r>
      <w:r w:rsidR="00D171CC" w:rsidRPr="00C347AD">
        <w:t xml:space="preserve"> used to identify growth for each variable between each discreet measurement period </w:t>
      </w:r>
      <w:r w:rsidRPr="00C347AD">
        <w:t>(</w:t>
      </w:r>
      <w:r w:rsidR="003D356C" w:rsidRPr="00C347AD">
        <w:rPr>
          <w:noProof/>
        </w:rPr>
        <w:t>Gravetter &amp; Wallnau</w:t>
      </w:r>
      <w:r w:rsidR="003D356C" w:rsidRPr="00C347AD">
        <w:t>)</w:t>
      </w:r>
      <w:r w:rsidR="00D171CC" w:rsidRPr="00C347AD">
        <w:t xml:space="preserve">. </w:t>
      </w:r>
      <w:r w:rsidR="00DA4491" w:rsidRPr="00C347AD">
        <w:rPr>
          <w:highlight w:val="yellow"/>
        </w:rPr>
        <w:t>An a</w:t>
      </w:r>
      <w:r w:rsidRPr="00C347AD">
        <w:rPr>
          <w:highlight w:val="yellow"/>
        </w:rPr>
        <w:t>dditional posthoc analysis include</w:t>
      </w:r>
      <w:r w:rsidR="00610A11" w:rsidRPr="00C347AD">
        <w:rPr>
          <w:highlight w:val="yellow"/>
        </w:rPr>
        <w:t>d</w:t>
      </w:r>
      <w:r w:rsidRPr="00C347AD">
        <w:rPr>
          <w:highlight w:val="yellow"/>
        </w:rPr>
        <w:t xml:space="preserve"> </w:t>
      </w:r>
      <w:r w:rsidR="00DA4491" w:rsidRPr="00C347AD">
        <w:rPr>
          <w:highlight w:val="yellow"/>
        </w:rPr>
        <w:t xml:space="preserve">separating the knowledge items from the application items in the UDL Knowledge and Application inventory for more item-sensitive statistical growth analysis between </w:t>
      </w:r>
      <w:commentRangeStart w:id="82"/>
      <w:r w:rsidR="00DA4491" w:rsidRPr="00C347AD">
        <w:rPr>
          <w:highlight w:val="yellow"/>
        </w:rPr>
        <w:t>groups</w:t>
      </w:r>
      <w:commentRangeEnd w:id="82"/>
      <w:r w:rsidR="006603BA" w:rsidRPr="00C347AD">
        <w:rPr>
          <w:rStyle w:val="CommentReference"/>
        </w:rPr>
        <w:commentReference w:id="82"/>
      </w:r>
      <w:r w:rsidR="00DA4491" w:rsidRPr="00C347AD">
        <w:rPr>
          <w:highlight w:val="yellow"/>
        </w:rPr>
        <w:t>.</w:t>
      </w:r>
      <w:r w:rsidR="00DA4491" w:rsidRPr="00C347AD">
        <w:t xml:space="preserve"> </w:t>
      </w:r>
    </w:p>
    <w:p w14:paraId="348B1D2C" w14:textId="3BC1179A" w:rsidR="00A637A4" w:rsidRPr="00C347AD" w:rsidRDefault="00DA4491" w:rsidP="00FE779B">
      <w:pPr>
        <w:pStyle w:val="Heading2"/>
      </w:pPr>
      <w:bookmarkStart w:id="83" w:name="_Toc470600349"/>
      <w:bookmarkStart w:id="84" w:name="_Toc471890455"/>
      <w:r w:rsidRPr="00C347AD">
        <w:t>Summary</w:t>
      </w:r>
      <w:bookmarkEnd w:id="83"/>
      <w:bookmarkEnd w:id="84"/>
      <w:r w:rsidRPr="00C347AD">
        <w:t xml:space="preserve"> </w:t>
      </w:r>
    </w:p>
    <w:p w14:paraId="2D082A85" w14:textId="0CA1DBEF" w:rsidR="00A637A4" w:rsidRPr="00C347AD" w:rsidRDefault="00A637A4" w:rsidP="00A637A4">
      <w:r w:rsidRPr="00C347AD">
        <w:t>In this chapter, I explicated the participants and sample for this study, the design utilized, how I am operationalizing UDL, the methods of data collection including instrumentation, and how data are to be analyzed. Here I provide a brief summary of these elements.</w:t>
      </w:r>
    </w:p>
    <w:p w14:paraId="5948DC75" w14:textId="49401EE9" w:rsidR="00A637A4" w:rsidRPr="00C347AD" w:rsidRDefault="00A637A4" w:rsidP="00A637A4">
      <w:r w:rsidRPr="00C347AD">
        <w:t xml:space="preserve">The participants involved in this study represent a convenience sample of preservice teachers attending a large southeastern </w:t>
      </w:r>
      <w:r w:rsidR="003977D8" w:rsidRPr="00C347AD">
        <w:t xml:space="preserve">traditional </w:t>
      </w:r>
      <w:r w:rsidRPr="00C347AD">
        <w:t xml:space="preserve"> university. </w:t>
      </w:r>
      <w:r w:rsidR="00244128" w:rsidRPr="00C347AD">
        <w:rPr>
          <w:highlight w:val="yellow"/>
        </w:rPr>
        <w:t>Fifty-one</w:t>
      </w:r>
      <w:r w:rsidRPr="00C347AD">
        <w:rPr>
          <w:highlight w:val="yellow"/>
        </w:rPr>
        <w:t xml:space="preserve"> participants were involved in this study</w:t>
      </w:r>
      <w:r w:rsidR="00244128" w:rsidRPr="00C347AD">
        <w:rPr>
          <w:highlight w:val="yellow"/>
        </w:rPr>
        <w:t xml:space="preserve"> with groups being </w:t>
      </w:r>
      <w:r w:rsidR="00244128" w:rsidRPr="00C347AD">
        <w:rPr>
          <w:i/>
          <w:highlight w:val="yellow"/>
        </w:rPr>
        <w:t>N</w:t>
      </w:r>
      <w:r w:rsidR="00244128" w:rsidRPr="00C347AD">
        <w:rPr>
          <w:highlight w:val="yellow"/>
        </w:rPr>
        <w:t xml:space="preserve">=25 and </w:t>
      </w:r>
      <w:r w:rsidR="00244128" w:rsidRPr="00C347AD">
        <w:rPr>
          <w:i/>
          <w:highlight w:val="yellow"/>
        </w:rPr>
        <w:t>N</w:t>
      </w:r>
      <w:r w:rsidR="00244128" w:rsidRPr="00C347AD">
        <w:rPr>
          <w:highlight w:val="yellow"/>
        </w:rPr>
        <w:t>=26,</w:t>
      </w:r>
      <w:r w:rsidRPr="00C347AD">
        <w:rPr>
          <w:highlight w:val="yellow"/>
        </w:rPr>
        <w:t xml:space="preserve"> respectively.</w:t>
      </w:r>
      <w:r w:rsidRPr="00C347AD">
        <w:t xml:space="preserve"> This sample demonstrated a range of demographic</w:t>
      </w:r>
      <w:r w:rsidR="00E14A8F" w:rsidRPr="00C347AD">
        <w:t xml:space="preserve"> characteristics </w:t>
      </w:r>
      <w:r w:rsidRPr="00C347AD">
        <w:t xml:space="preserve">that parallels national trends in education </w:t>
      </w:r>
      <w:commentRangeStart w:id="85"/>
      <w:r w:rsidRPr="00C347AD">
        <w:t>[data]</w:t>
      </w:r>
      <w:commentRangeEnd w:id="85"/>
      <w:r w:rsidR="00C347AD" w:rsidRPr="00C347AD">
        <w:rPr>
          <w:rStyle w:val="CommentReference"/>
        </w:rPr>
        <w:commentReference w:id="85"/>
      </w:r>
      <w:r w:rsidRPr="00C347AD">
        <w:t xml:space="preserve">. Therefore, though this is a convenience sample, the results may cautiously be generalized to other </w:t>
      </w:r>
      <w:r w:rsidR="003977D8" w:rsidRPr="00C347AD">
        <w:t xml:space="preserve">traditional </w:t>
      </w:r>
      <w:r w:rsidRPr="00C347AD">
        <w:t xml:space="preserve"> U.S. university-based teacher preparation programs. </w:t>
      </w:r>
    </w:p>
    <w:p w14:paraId="4EE0F1A4" w14:textId="3F0B5DDF" w:rsidR="00DA4491" w:rsidRPr="00C347AD" w:rsidRDefault="003977D8" w:rsidP="00A637A4">
      <w:r w:rsidRPr="00C347AD">
        <w:t>In t</w:t>
      </w:r>
      <w:r w:rsidR="00444610" w:rsidRPr="00C347AD">
        <w:t>his study</w:t>
      </w:r>
      <w:r w:rsidRPr="00C347AD">
        <w:t>, I use</w:t>
      </w:r>
      <w:r w:rsidR="00444610" w:rsidRPr="00C347AD">
        <w:t xml:space="preserve"> a within-subject with repeated measures group design </w:t>
      </w:r>
      <w:r w:rsidR="00444610" w:rsidRPr="00C347AD">
        <w:fldChar w:fldCharType="begin"/>
      </w:r>
      <w:r w:rsidR="00F7126F" w:rsidRPr="00C347AD">
        <w:instrText xml:space="preserve"> ADDIN ZOTERO_ITEM CSL_CITATION {"citationID":"YSH8COlB","properties":{"formattedCitation":"(Campbell &amp; Stanley, 2015; Charness, Gneezy, &amp; Kuhn, 2012)","plainCitation":"(Campbell &amp; Stanley, 2015; Charness, Gneezy, &amp; Kuhn, 2012)","dontUpdate":true},"citationItems":[{"id":1011,"uris":["http://zotero.org/users/2098925/items/VVQMDRW9"],"uri":["http://zotero.org/users/2098925/items/VVQMDRW9"],"itemData":{"id":1011,"type":"book","title":"Experimental and Quasi-Experimental Designs for Research","publisher":"Ravenio Books","number-of-pages":"92","source":"Google Books","abstract":"We shall examine the validity of 16 experimental designs against 12 common threats to valid inference. By experiment we refer to that portion of research in which variables are manipulated and their effects upon other variables observed. It is well to distinguish the particular role of this chapter. It is not a chapter on experimental design in the Fisher (1925, 1935) tradition, in which an experimenter having complete mastery can schedule treatments and measurements for optimal statistical efficiency, with complexity of design emerging only from that goal of efficiency. Insofar as the designs discussed in the present chapter become complex, it is because of the intransigency of the environment: because, that is, of the experimenter’s lack of complete control.","language":"en","author":[{"family":"Campbell","given":"Donald T."},{"family":"Stanley","given":"Julian C."}],"issued":{"date-parts":[["2015",9,3]]}},"label":"page"},{"id":641,"uris":["http://zotero.org/users/2098925/items/J7ZNQ9SX"],"uri":["http://zotero.org/users/2098925/items/J7ZNQ9SX"],"itemData":{"id":641,"type":"article-journal","title":"Experimental methods: Between-subject and within-subject design","container-title":"Journal of Economic Behavior &amp; Organization","page":"1-8","volume":"81","issue":"1","source":"ScienceDirect","abstract":"In this article we explore the issues that surround within-subject and between-subject designs. We describe experiments in economics and in psychology that make comparisons using either of these designs (or both) that sometimes yield the same results and sometimes do not. The overall goal is to establish a framework for understanding which critical questions need to be asked about such experimental studies, what authors of such studies can do to ameliorate fears of confoundedness, and which scenarios are particularly susceptible to divergent results from the two approaches. Overall, we find that both designs have their merits, and the choice of designs should be carefully considered in the context of the question being studied and in terms of the practical implementation of the research study.","DOI":"10.1016/j.jebo.2011.08.009","ISSN":"0167-2681","shortTitle":"Experimental methods","journalAbbreviation":"Journal of Economic Behavior &amp; Organization","author":[{"family":"Charness","given":"Gary"},{"family":"Gneezy","given":"Uri"},{"family":"Kuhn","given":"Michael A."}],"issued":{"date-parts":[["2012",1]]}},"label":"page"}],"schema":"https://github.com/citation-style-language/schema/raw/master/csl-citation.json"} </w:instrText>
      </w:r>
      <w:r w:rsidR="00444610" w:rsidRPr="00C347AD">
        <w:fldChar w:fldCharType="separate"/>
      </w:r>
      <w:r w:rsidR="00444610" w:rsidRPr="00C347AD">
        <w:rPr>
          <w:noProof/>
        </w:rPr>
        <w:t>(Charness, Gneezy, &amp; Kuhn, 2012)</w:t>
      </w:r>
      <w:r w:rsidR="00444610" w:rsidRPr="00C347AD">
        <w:fldChar w:fldCharType="end"/>
      </w:r>
      <w:r w:rsidR="00444610" w:rsidRPr="00C347AD">
        <w:t xml:space="preserve">; that is, it utilizes aspects of both within-group repeated measures and between group </w:t>
      </w:r>
      <w:r w:rsidR="00FF76F6" w:rsidRPr="00C347AD">
        <w:t xml:space="preserve">designs in hybrid approach. So doing allows me to draw from the strengths of each of these data collection methods while mitigating related </w:t>
      </w:r>
      <w:r w:rsidR="00FF76F6" w:rsidRPr="00C347AD">
        <w:lastRenderedPageBreak/>
        <w:t xml:space="preserve">limitations of each </w:t>
      </w:r>
      <w:r w:rsidR="00FF76F6" w:rsidRPr="00C347AD">
        <w:fldChar w:fldCharType="begin"/>
      </w:r>
      <w:r w:rsidR="00F7126F" w:rsidRPr="00C347AD">
        <w:instrText xml:space="preserve"> ADDIN ZOTERO_ITEM CSL_CITATION {"citationID":"Up04Kz97","properties":{"formattedCitation":"(Campbell &amp; Stanley, 2015; Charness, Gneezy, &amp; Kuhn, 2012)","plainCitation":"(Campbell &amp; Stanley, 2015; Charness, Gneezy, &amp; Kuhn, 2012)","dontUpdate":true},"citationItems":[{"id":1011,"uris":["http://zotero.org/users/2098925/items/VVQMDRW9"],"uri":["http://zotero.org/users/2098925/items/VVQMDRW9"],"itemData":{"id":1011,"type":"book","title":"Experimental and Quasi-Experimental Designs for Research","publisher":"Ravenio Books","number-of-pages":"92","source":"Google Books","abstract":"We shall examine the validity of 16 experimental designs against 12 common threats to valid inference. By experiment we refer to that portion of research in which variables are manipulated and their effects upon other variables observed. It is well to distinguish the particular role of this chapter. It is not a chapter on experimental design in the Fisher (1925, 1935) tradition, in which an experimenter having complete mastery can schedule treatments and measurements for optimal statistical efficiency, with complexity of design emerging only from that goal of efficiency. Insofar as the designs discussed in the present chapter become complex, it is because of the intransigency of the environment: because, that is, of the experimenter’s lack of complete control.","language":"en","author":[{"family":"Campbell","given":"Donald T."},{"family":"Stanley","given":"Julian C."}],"issued":{"date-parts":[["2015",9,3]]}},"label":"page"},{"id":641,"uris":["http://zotero.org/users/2098925/items/J7ZNQ9SX"],"uri":["http://zotero.org/users/2098925/items/J7ZNQ9SX"],"itemData":{"id":641,"type":"article-journal","title":"Experimental methods: Between-subject and within-subject design","container-title":"Journal of Economic Behavior &amp; Organization","page":"1-8","volume":"81","issue":"1","source":"ScienceDirect","abstract":"In this article we explore the issues that surround within-subject and between-subject designs. We describe experiments in economics and in psychology that make comparisons using either of these designs (or both) that sometimes yield the same results and sometimes do not. The overall goal is to establish a framework for understanding which critical questions need to be asked about such experimental studies, what authors of such studies can do to ameliorate fears of confoundedness, and which scenarios are particularly susceptible to divergent results from the two approaches. Overall, we find that both designs have their merits, and the choice of designs should be carefully considered in the context of the question being studied and in terms of the practical implementation of the research study.","DOI":"10.1016/j.jebo.2011.08.009","ISSN":"0167-2681","shortTitle":"Experimental methods","journalAbbreviation":"Journal of Economic Behavior &amp; Organization","author":[{"family":"Charness","given":"Gary"},{"family":"Gneezy","given":"Uri"},{"family":"Kuhn","given":"Michael A."}],"issued":{"date-parts":[["2012",1]]}},"label":"page"}],"schema":"https://github.com/citation-style-language/schema/raw/master/csl-citation.json"} </w:instrText>
      </w:r>
      <w:r w:rsidR="00FF76F6" w:rsidRPr="00C347AD">
        <w:fldChar w:fldCharType="separate"/>
      </w:r>
      <w:r w:rsidR="00FF76F6" w:rsidRPr="00C347AD">
        <w:rPr>
          <w:noProof/>
        </w:rPr>
        <w:t>(Charness, et al.)</w:t>
      </w:r>
      <w:r w:rsidR="00FF76F6" w:rsidRPr="00C347AD">
        <w:fldChar w:fldCharType="end"/>
      </w:r>
      <w:r w:rsidR="00FF76F6" w:rsidRPr="00C347AD">
        <w:t xml:space="preserve">. This type of design lends itself to a two-way </w:t>
      </w:r>
      <w:r w:rsidR="006603BA" w:rsidRPr="00C347AD">
        <w:t xml:space="preserve">repeated measures </w:t>
      </w:r>
      <w:r w:rsidR="00FF76F6" w:rsidRPr="00C347AD">
        <w:t>ANOVA</w:t>
      </w:r>
      <w:r w:rsidR="006603BA" w:rsidRPr="00C347AD">
        <w:t xml:space="preserve"> </w:t>
      </w:r>
      <w:r w:rsidR="00FF76F6" w:rsidRPr="00C347AD">
        <w:t xml:space="preserve">with posthoc analysis. </w:t>
      </w:r>
    </w:p>
    <w:p w14:paraId="194C6D16" w14:textId="78B23A50" w:rsidR="00244128" w:rsidRPr="00C347AD" w:rsidRDefault="00D74C28" w:rsidP="00AC046D">
      <w:pPr>
        <w:rPr>
          <w:noProof/>
        </w:rPr>
      </w:pPr>
      <w:r w:rsidRPr="00C347AD">
        <w:t>Three</w:t>
      </w:r>
      <w:r w:rsidR="00FF76F6" w:rsidRPr="00C347AD">
        <w:t xml:space="preserve"> instruments are utilized for this study including </w:t>
      </w:r>
      <w:r w:rsidR="0060641A" w:rsidRPr="00C347AD">
        <w:t xml:space="preserve">the </w:t>
      </w:r>
      <w:r w:rsidR="00A34147" w:rsidRPr="00C347AD">
        <w:t>UDL Know</w:t>
      </w:r>
      <w:r w:rsidR="0060641A" w:rsidRPr="00C347AD">
        <w:t>ledge and Application Inventory, the Teachers Sense of Efficacy using UDL Scale (TSE-UDLS)</w:t>
      </w:r>
      <w:r w:rsidR="00A34147" w:rsidRPr="00C347AD">
        <w:t>,</w:t>
      </w:r>
      <w:r w:rsidR="0060641A" w:rsidRPr="00C347AD">
        <w:t xml:space="preserve"> and the Multidimensional Attitudes toward Inclusive Education Scale (MATIES; </w:t>
      </w:r>
      <w:r w:rsidR="0060641A" w:rsidRPr="00C347AD">
        <w:fldChar w:fldCharType="begin"/>
      </w:r>
      <w:r w:rsidR="00F7126F" w:rsidRPr="00C347AD">
        <w:instrText xml:space="preserve"> ADDIN ZOTERO_ITEM CSL_CITATION {"citationID":"trhmpprp6","properties":{"formattedCitation":"(Mahat, 2008)","plainCitation":"(Mahat, 2008)"},"citationItems":[{"id":592,"uris":["http://zotero.org/users/2098925/items/HN9VE7MT"],"uri":["http://zotero.org/users/2098925/items/HN9VE7MT"],"itemData":{"id":592,"type":"article-journal","title":"The Development of a Psychometrically-Sound Instrument to Measure Teachers' Multidimensional Attitudes toward Inclusive Education.","container-title":"International Journal of Special Education","page":"82–92","volume":"23","issue":"1","source":"Google Scholar","author":[{"family":"Mahat","given":"Marian"}],"issued":{"date-parts":[["2008"]]}}}],"schema":"https://github.com/citation-style-language/schema/raw/master/csl-citation.json"} </w:instrText>
      </w:r>
      <w:r w:rsidR="0060641A" w:rsidRPr="00C347AD">
        <w:fldChar w:fldCharType="separate"/>
      </w:r>
      <w:r w:rsidR="0060641A" w:rsidRPr="00C347AD">
        <w:rPr>
          <w:noProof/>
        </w:rPr>
        <w:t>Mahat, 2008)</w:t>
      </w:r>
      <w:r w:rsidR="0060641A" w:rsidRPr="00C347AD">
        <w:fldChar w:fldCharType="end"/>
      </w:r>
      <w:r w:rsidR="0060641A" w:rsidRPr="00C347AD">
        <w:t>. Of these, the UDL Knowledge and Application inventory was developed specifically for use in this study and beyond. I ac</w:t>
      </w:r>
      <w:r w:rsidR="00444D24" w:rsidRPr="00C347AD">
        <w:t xml:space="preserve">crued content validity prior to use in this study with positive results. The TSE-UDLS was developed based on the Teacher’s </w:t>
      </w:r>
      <w:r w:rsidR="00CE2ED9" w:rsidRPr="00C347AD">
        <w:t xml:space="preserve">Sense of Efficacy Scale (TSES; </w:t>
      </w:r>
      <w:r w:rsidR="00444D24" w:rsidRPr="00C347AD">
        <w:rPr>
          <w:noProof/>
        </w:rPr>
        <w:t xml:space="preserve">Tschannen-Moran &amp; Hoy, 2001), extending and modifying the original TSES with an explicit focus on teachers efficacy as relates to practicing UDL. </w:t>
      </w:r>
      <w:r w:rsidR="00CE2ED9" w:rsidRPr="00C347AD">
        <w:rPr>
          <w:noProof/>
        </w:rPr>
        <w:t xml:space="preserve">These </w:t>
      </w:r>
      <w:r w:rsidRPr="00C347AD">
        <w:rPr>
          <w:noProof/>
        </w:rPr>
        <w:t>three</w:t>
      </w:r>
      <w:r w:rsidR="00CE2ED9" w:rsidRPr="00C347AD">
        <w:rPr>
          <w:noProof/>
        </w:rPr>
        <w:t xml:space="preserve"> measures each correspond with one of the </w:t>
      </w:r>
      <w:r w:rsidRPr="00C347AD">
        <w:rPr>
          <w:noProof/>
        </w:rPr>
        <w:t>three</w:t>
      </w:r>
      <w:r w:rsidR="00CE2ED9" w:rsidRPr="00C347AD">
        <w:rPr>
          <w:noProof/>
        </w:rPr>
        <w:t xml:space="preserve"> dependent variables for this study; </w:t>
      </w:r>
      <w:r w:rsidR="00CE2ED9" w:rsidRPr="00C347AD">
        <w:rPr>
          <w:noProof/>
          <w:highlight w:val="cyan"/>
        </w:rPr>
        <w:t xml:space="preserve">two of them (TSE-UDLS and MATIES) combine to inform the construct of “planned behavior” </w:t>
      </w:r>
      <w:r w:rsidR="00AC046D" w:rsidRPr="00C347AD">
        <w:rPr>
          <w:noProof/>
          <w:highlight w:val="cyan"/>
        </w:rPr>
        <w:fldChar w:fldCharType="begin"/>
      </w:r>
      <w:r w:rsidR="00F7126F" w:rsidRPr="00C347AD">
        <w:rPr>
          <w:noProof/>
          <w:highlight w:val="cyan"/>
        </w:rPr>
        <w:instrText xml:space="preserve"> ADDIN ZOTERO_ITEM CSL_CITATION {"citationID":"2nk2kn7omk","properties":{"formattedCitation":"(Ajzen, 1985)","plainCitation":"(Ajzen, 1985)"},"citationItems":[{"id":1078,"uris":["http://zotero.org/users/2098925/items/XX4EGJ73"],"uri":["http://zotero.org/users/2098925/items/XX4EGJ73"],"itemData":{"id":1078,"type":"book","title":"From intentions to actions: A theory of planned behavior","publisher":"Springer","ISBN":"3-642-69748-8","author":[{"family":"Ajzen","given":"Icek"}],"issued":{"date-parts":[["1985"]]}}}],"schema":"https://github.com/citation-style-language/schema/raw/master/csl-citation.json"} </w:instrText>
      </w:r>
      <w:r w:rsidR="00AC046D" w:rsidRPr="00C347AD">
        <w:rPr>
          <w:noProof/>
          <w:highlight w:val="cyan"/>
        </w:rPr>
        <w:fldChar w:fldCharType="separate"/>
      </w:r>
      <w:r w:rsidR="00AC046D" w:rsidRPr="00C347AD">
        <w:rPr>
          <w:noProof/>
          <w:highlight w:val="cyan"/>
        </w:rPr>
        <w:t>(Ajzen, 1985)</w:t>
      </w:r>
      <w:r w:rsidR="00AC046D" w:rsidRPr="00C347AD">
        <w:rPr>
          <w:noProof/>
          <w:highlight w:val="cyan"/>
        </w:rPr>
        <w:fldChar w:fldCharType="end"/>
      </w:r>
      <w:r w:rsidR="00AC046D" w:rsidRPr="00C347AD">
        <w:rPr>
          <w:noProof/>
          <w:highlight w:val="cyan"/>
        </w:rPr>
        <w:t xml:space="preserve"> as articulated in </w:t>
      </w:r>
      <w:r w:rsidR="0020476D" w:rsidRPr="00C347AD">
        <w:rPr>
          <w:noProof/>
          <w:highlight w:val="cyan"/>
        </w:rPr>
        <w:t>Chapter</w:t>
      </w:r>
      <w:r w:rsidR="00AC046D" w:rsidRPr="00C347AD">
        <w:rPr>
          <w:noProof/>
          <w:highlight w:val="cyan"/>
        </w:rPr>
        <w:t xml:space="preserve"> 2.</w:t>
      </w:r>
      <w:r w:rsidR="00AC046D" w:rsidRPr="00C347AD">
        <w:rPr>
          <w:noProof/>
        </w:rPr>
        <w:t xml:space="preserve"> </w:t>
      </w:r>
    </w:p>
    <w:p w14:paraId="53F7C66B" w14:textId="77777777" w:rsidR="00B26A26" w:rsidRDefault="00B26A26">
      <w:pPr>
        <w:spacing w:line="240" w:lineRule="auto"/>
        <w:ind w:firstLine="0"/>
        <w:rPr>
          <w:b/>
          <w:bCs/>
          <w:noProof/>
        </w:rPr>
      </w:pPr>
      <w:bookmarkStart w:id="86" w:name="_Toc471890456"/>
      <w:r>
        <w:rPr>
          <w:noProof/>
        </w:rPr>
        <w:br w:type="page"/>
      </w:r>
    </w:p>
    <w:p w14:paraId="2107BDF5" w14:textId="6383D7C0" w:rsidR="00244128" w:rsidRPr="00C347AD" w:rsidRDefault="00244128" w:rsidP="00B26A26">
      <w:pPr>
        <w:pStyle w:val="Heading1"/>
      </w:pPr>
      <w:bookmarkStart w:id="87" w:name="_GoBack"/>
      <w:bookmarkEnd w:id="87"/>
      <w:r w:rsidRPr="00C347AD">
        <w:t>Chapter</w:t>
      </w:r>
      <w:r w:rsidR="000D4BA8" w:rsidRPr="00C347AD">
        <w:t xml:space="preserve"> 4</w:t>
      </w:r>
      <w:r w:rsidR="000D4BA8" w:rsidRPr="00C347AD">
        <w:br/>
      </w:r>
      <w:r w:rsidRPr="00C347AD">
        <w:t>Results</w:t>
      </w:r>
      <w:bookmarkEnd w:id="86"/>
    </w:p>
    <w:p w14:paraId="5942F5EC" w14:textId="77777777" w:rsidR="00244128" w:rsidRPr="00C347AD" w:rsidRDefault="00244128" w:rsidP="00FE779B">
      <w:pPr>
        <w:pStyle w:val="Heading2"/>
      </w:pPr>
      <w:bookmarkStart w:id="88" w:name="_Toc471890457"/>
      <w:r w:rsidRPr="00C347AD">
        <w:t>Introduction</w:t>
      </w:r>
      <w:bookmarkEnd w:id="88"/>
      <w:r w:rsidRPr="00C347AD">
        <w:t xml:space="preserve"> </w:t>
      </w:r>
    </w:p>
    <w:p w14:paraId="5CB15D14" w14:textId="1898EBDB" w:rsidR="00244128" w:rsidRPr="00C347AD" w:rsidRDefault="00244128" w:rsidP="00244128">
      <w:pPr>
        <w:pStyle w:val="Caption"/>
        <w:ind w:firstLine="720"/>
      </w:pPr>
      <w:r w:rsidRPr="00C347AD">
        <w:t>The purpose of this study was (1) to pilot a new method of operationalizing Universal Design for Learning (UDL; see Chapter 3), (2) to empirically test the effect of modeling UDL on preservice teacher knowledge of UDL, sense of efficacy in practicing UDL</w:t>
      </w:r>
      <w:r w:rsidR="00C23383" w:rsidRPr="00C347AD">
        <w:t>-related teaching/classroom management behaviors</w:t>
      </w:r>
      <w:r w:rsidRPr="00C347AD">
        <w:t xml:space="preserve">, and their intention to include diverse students, including those with disabilities.  </w:t>
      </w:r>
      <w:r w:rsidR="00D47BB4" w:rsidRPr="00C347AD">
        <w:t>To this end the research question I</w:t>
      </w:r>
      <w:r w:rsidRPr="00C347AD">
        <w:t xml:space="preserve"> examined </w:t>
      </w:r>
      <w:r w:rsidR="00D47BB4" w:rsidRPr="00C347AD">
        <w:t>in this study was</w:t>
      </w:r>
      <w:r w:rsidRPr="00C347AD">
        <w:t>: “Does</w:t>
      </w:r>
      <w:r w:rsidR="00C23383" w:rsidRPr="00C347AD">
        <w:t xml:space="preserve"> explicitly</w:t>
      </w:r>
      <w:r w:rsidRPr="00C347AD">
        <w:t xml:space="preserve"> modeling UDL principles and practice compared to traditional instruction (e.g., lecture and textbook reading) while teaching non-UDL-based course content result in greater development for preservice teachers </w:t>
      </w:r>
      <w:r w:rsidR="00C23383" w:rsidRPr="00C347AD">
        <w:t>in terms of their (1) knowledge of– and ability to apply– UDL,</w:t>
      </w:r>
      <w:r w:rsidRPr="00C347AD">
        <w:t xml:space="preserve"> (2) sense of efficacy and (3) attitudes regarding inclusion of diverse students, including those with disabilities, in the same period of time?”</w:t>
      </w:r>
    </w:p>
    <w:p w14:paraId="1EE768EC" w14:textId="06F52E62" w:rsidR="005C60FF" w:rsidRPr="00C347AD" w:rsidRDefault="005C60FF" w:rsidP="005C60FF">
      <w:pPr>
        <w:pStyle w:val="Heading3"/>
        <w:rPr>
          <w:b w:val="0"/>
        </w:rPr>
      </w:pPr>
      <w:r w:rsidRPr="00C347AD">
        <w:t xml:space="preserve">Recruiting and assignment. </w:t>
      </w:r>
      <w:r w:rsidR="00D46B9A" w:rsidRPr="00C347AD">
        <w:rPr>
          <w:b w:val="0"/>
        </w:rPr>
        <w:t xml:space="preserve">Participants were briefly introduced to the study, provided an informed consent and invited to participate in the study. Those who opted in were assigned a random participant ID which they were asked to write down and use for participant identification in each of the instruments used throughout the study. Participants were assigned a group number based on the class section of which they were part. All participants in the class section that met on Monday evenings were thus assigned </w:t>
      </w:r>
      <w:r w:rsidR="00D46B9A" w:rsidRPr="00C347AD">
        <w:rPr>
          <w:b w:val="0"/>
        </w:rPr>
        <w:lastRenderedPageBreak/>
        <w:t xml:space="preserve">to </w:t>
      </w:r>
      <w:r w:rsidR="00981C26" w:rsidRPr="00C347AD">
        <w:rPr>
          <w:b w:val="0"/>
        </w:rPr>
        <w:t>participants in group 1</w:t>
      </w:r>
      <w:r w:rsidR="00D46B9A" w:rsidRPr="00C347AD">
        <w:rPr>
          <w:b w:val="0"/>
        </w:rPr>
        <w:t xml:space="preserve"> while all participants in the section that met on Tuesday and Thur</w:t>
      </w:r>
      <w:r w:rsidR="00981C26" w:rsidRPr="00C347AD">
        <w:rPr>
          <w:b w:val="0"/>
        </w:rPr>
        <w:t xml:space="preserve">sday mornings were assigned to </w:t>
      </w:r>
      <w:r w:rsidR="00D46B9A" w:rsidRPr="00C347AD">
        <w:rPr>
          <w:b w:val="0"/>
        </w:rPr>
        <w:t xml:space="preserve">group </w:t>
      </w:r>
      <w:r w:rsidR="00C23383" w:rsidRPr="00C347AD">
        <w:rPr>
          <w:b w:val="0"/>
        </w:rPr>
        <w:t>2</w:t>
      </w:r>
      <w:r w:rsidR="00981C26" w:rsidRPr="00C347AD">
        <w:rPr>
          <w:b w:val="0"/>
        </w:rPr>
        <w:t>.</w:t>
      </w:r>
    </w:p>
    <w:p w14:paraId="4AABEE2A" w14:textId="2F21A456" w:rsidR="006025C8" w:rsidRPr="00C347AD" w:rsidRDefault="005C60FF" w:rsidP="00244128">
      <w:r w:rsidRPr="00C347AD">
        <w:rPr>
          <w:b/>
        </w:rPr>
        <w:t xml:space="preserve">Data collection. </w:t>
      </w:r>
      <w:r w:rsidR="00244128" w:rsidRPr="00C347AD">
        <w:t xml:space="preserve">Data were collected </w:t>
      </w:r>
      <w:r w:rsidR="00D46B9A" w:rsidRPr="00C347AD">
        <w:t>at three points in time (pretest, time 2, time 3). The pretest occurred in the second</w:t>
      </w:r>
      <w:r w:rsidR="00C23383" w:rsidRPr="00C347AD">
        <w:t xml:space="preserve"> and third</w:t>
      </w:r>
      <w:r w:rsidR="00D46B9A" w:rsidRPr="00C347AD">
        <w:t xml:space="preserve"> class meeting</w:t>
      </w:r>
      <w:r w:rsidR="00C23383" w:rsidRPr="00C347AD">
        <w:t xml:space="preserve"> respectively for the Monday section and the Tuesday/Thursday section</w:t>
      </w:r>
      <w:r w:rsidR="00D46B9A" w:rsidRPr="00C347AD">
        <w:t xml:space="preserve">, prior to any core instruction. The </w:t>
      </w:r>
      <w:r w:rsidR="00172D1B" w:rsidRPr="00C347AD">
        <w:t>time 2</w:t>
      </w:r>
      <w:r w:rsidR="00D46B9A" w:rsidRPr="00C347AD">
        <w:t xml:space="preserve"> data collection occurred after</w:t>
      </w:r>
      <w:r w:rsidR="00172D1B" w:rsidRPr="00C347AD">
        <w:t xml:space="preserve"> participants in</w:t>
      </w:r>
      <w:r w:rsidR="00D46B9A" w:rsidRPr="00C347AD">
        <w:t xml:space="preserve"> group </w:t>
      </w:r>
      <w:r w:rsidR="00C23383" w:rsidRPr="00C347AD">
        <w:t>1</w:t>
      </w:r>
      <w:r w:rsidR="00D46B9A" w:rsidRPr="00C347AD">
        <w:t xml:space="preserve"> experienced the control condition (lecture) and </w:t>
      </w:r>
      <w:r w:rsidR="00172D1B" w:rsidRPr="00C347AD">
        <w:t xml:space="preserve">those in </w:t>
      </w:r>
      <w:r w:rsidR="00D46B9A" w:rsidRPr="00C347AD">
        <w:t xml:space="preserve">group </w:t>
      </w:r>
      <w:r w:rsidR="00C23383" w:rsidRPr="00C347AD">
        <w:t>2</w:t>
      </w:r>
      <w:r w:rsidR="00D46B9A" w:rsidRPr="00C347AD">
        <w:t xml:space="preserve"> experienced the experimental condition (modeling). Between </w:t>
      </w:r>
      <w:r w:rsidR="00172D1B" w:rsidRPr="00C347AD">
        <w:t>time 2 data collection and time 3</w:t>
      </w:r>
      <w:r w:rsidR="00D46B9A" w:rsidRPr="00C347AD">
        <w:t xml:space="preserve"> data collection, the conditions were reversed such that </w:t>
      </w:r>
      <w:r w:rsidR="00172D1B" w:rsidRPr="00C347AD">
        <w:t xml:space="preserve">participants in </w:t>
      </w:r>
      <w:r w:rsidR="00D46B9A" w:rsidRPr="00C347AD">
        <w:t xml:space="preserve">group </w:t>
      </w:r>
      <w:r w:rsidR="00C23383" w:rsidRPr="00C347AD">
        <w:t>1</w:t>
      </w:r>
      <w:r w:rsidR="00D46B9A" w:rsidRPr="00C347AD">
        <w:t xml:space="preserve"> experienced the experimental (modeling) condition and</w:t>
      </w:r>
      <w:r w:rsidR="00172D1B" w:rsidRPr="00C347AD">
        <w:t xml:space="preserve"> those in</w:t>
      </w:r>
      <w:r w:rsidR="00D46B9A" w:rsidRPr="00C347AD">
        <w:t xml:space="preserve"> group </w:t>
      </w:r>
      <w:r w:rsidR="00C23383" w:rsidRPr="00C347AD">
        <w:t>2</w:t>
      </w:r>
      <w:r w:rsidR="00D46B9A" w:rsidRPr="00C347AD">
        <w:t xml:space="preserve"> experienced the control (l</w:t>
      </w:r>
      <w:r w:rsidR="006025C8" w:rsidRPr="00C347AD">
        <w:t>ecture) condition (see Figure 4 on</w:t>
      </w:r>
      <w:r w:rsidR="00D46B9A" w:rsidRPr="00C347AD">
        <w:t xml:space="preserve"> page 76</w:t>
      </w:r>
      <w:r w:rsidR="006025C8" w:rsidRPr="00C347AD">
        <w:t xml:space="preserve"> for further clarification if desired</w:t>
      </w:r>
      <w:r w:rsidR="00D46B9A" w:rsidRPr="00C347AD">
        <w:t xml:space="preserve">). </w:t>
      </w:r>
    </w:p>
    <w:p w14:paraId="3AEF4E62" w14:textId="17A2A586" w:rsidR="005C60FF" w:rsidRPr="00C347AD" w:rsidRDefault="00D46B9A" w:rsidP="005C60FF">
      <w:pPr>
        <w:rPr>
          <w:noProof/>
        </w:rPr>
      </w:pPr>
      <w:r w:rsidRPr="00C347AD">
        <w:t xml:space="preserve">Data were collected </w:t>
      </w:r>
      <w:r w:rsidR="00244128" w:rsidRPr="00C347AD">
        <w:t>in the form of survey response and testing via three instruments: the UDL Knowledge and Application Inventory (UDL-KAI), the Teacher’s Sense of Efficacy using UDL Scale (TSE-UDLS), and the Multidimensional Attitudes toward Inclusive Education Scale (MATIES; Mahat, 2008). The UDL-KAI was designed to measure participant</w:t>
      </w:r>
      <w:r w:rsidR="00172D1B" w:rsidRPr="00C347AD">
        <w:t>s’</w:t>
      </w:r>
      <w:r w:rsidR="00244128" w:rsidRPr="00C347AD">
        <w:t xml:space="preserve"> knowledge regarding the basic </w:t>
      </w:r>
      <w:r w:rsidR="00172D1B" w:rsidRPr="00C347AD">
        <w:t>tenets</w:t>
      </w:r>
      <w:r w:rsidR="00244128" w:rsidRPr="00C347AD">
        <w:t xml:space="preserve"> of UDL and further to determine their ability to apply such concepts to hypothetical scenarios.</w:t>
      </w:r>
      <w:r w:rsidR="006025C8" w:rsidRPr="00C347AD">
        <w:t xml:space="preserve"> Responses to this inventory were scored with scores potentially ranging from zero to</w:t>
      </w:r>
      <w:r w:rsidR="005C60FF" w:rsidRPr="00C347AD">
        <w:t xml:space="preserve"> 15.</w:t>
      </w:r>
      <w:r w:rsidR="006025C8" w:rsidRPr="00C347AD">
        <w:t xml:space="preserve"> </w:t>
      </w:r>
      <w:r w:rsidR="00244128" w:rsidRPr="00C347AD">
        <w:t xml:space="preserve"> The TSE-UDLS was created as an adaptation of the Teacher’s Sense of Efficacy Scale (TSES</w:t>
      </w:r>
      <w:r w:rsidR="00244128" w:rsidRPr="00C347AD">
        <w:rPr>
          <w:noProof/>
        </w:rPr>
        <w:t xml:space="preserve">; Tschannen-Moran &amp; Hoy, 2001). Like the original scale, this measure was </w:t>
      </w:r>
      <w:r w:rsidR="008F30AB" w:rsidRPr="00C347AD">
        <w:rPr>
          <w:noProof/>
        </w:rPr>
        <w:t>designed to examine participant</w:t>
      </w:r>
      <w:r w:rsidR="00244128" w:rsidRPr="00C347AD">
        <w:rPr>
          <w:noProof/>
        </w:rPr>
        <w:t>s</w:t>
      </w:r>
      <w:r w:rsidR="008F30AB" w:rsidRPr="00C347AD">
        <w:rPr>
          <w:noProof/>
        </w:rPr>
        <w:t>’</w:t>
      </w:r>
      <w:r w:rsidR="00244128" w:rsidRPr="00C347AD">
        <w:rPr>
          <w:noProof/>
        </w:rPr>
        <w:t xml:space="preserve"> sense of efficacy in teaching and classroom management related areas, but </w:t>
      </w:r>
      <w:r w:rsidR="00244128" w:rsidRPr="00C347AD">
        <w:rPr>
          <w:noProof/>
        </w:rPr>
        <w:lastRenderedPageBreak/>
        <w:t>the adapted instrument focused specifically on efficicacy in practicing UDL and UDL-related aspects of teaching and classroom management.</w:t>
      </w:r>
      <w:r w:rsidR="005C60FF" w:rsidRPr="00C347AD">
        <w:rPr>
          <w:noProof/>
        </w:rPr>
        <w:t xml:space="preserve"> The TSE-UDLS includes 28 items for which participants scored themselves on a five-point </w:t>
      </w:r>
      <w:r w:rsidR="008F30AB" w:rsidRPr="00C347AD">
        <w:rPr>
          <w:noProof/>
        </w:rPr>
        <w:t>Likert</w:t>
      </w:r>
      <w:r w:rsidR="005C60FF" w:rsidRPr="00C347AD">
        <w:rPr>
          <w:noProof/>
        </w:rPr>
        <w:t xml:space="preserve"> scale; mean scores were calculated for each participant at each time point. </w:t>
      </w:r>
      <w:r w:rsidR="00244128" w:rsidRPr="00C347AD">
        <w:rPr>
          <w:noProof/>
        </w:rPr>
        <w:t>Finally, the MATIES (Mahat, 2008) was designed to measure participant’s attitudes toward including diverse students including those with disabilities in the general classroom.</w:t>
      </w:r>
      <w:r w:rsidR="005C60FF" w:rsidRPr="00C347AD">
        <w:rPr>
          <w:noProof/>
        </w:rPr>
        <w:t xml:space="preserve"> The MATIES includes 18 items for which participants scored themselves on a five-point </w:t>
      </w:r>
      <w:r w:rsidR="008F30AB" w:rsidRPr="00C347AD">
        <w:rPr>
          <w:noProof/>
        </w:rPr>
        <w:t>Likert</w:t>
      </w:r>
      <w:r w:rsidR="005C60FF" w:rsidRPr="00C347AD">
        <w:rPr>
          <w:noProof/>
        </w:rPr>
        <w:t xml:space="preserve"> scale; mean scores were calculated for each participant at each time point.</w:t>
      </w:r>
    </w:p>
    <w:p w14:paraId="165DEC47" w14:textId="76F8C8B2" w:rsidR="00244128" w:rsidRPr="00C347AD" w:rsidRDefault="00244128" w:rsidP="00FE779B">
      <w:pPr>
        <w:pStyle w:val="Heading2"/>
      </w:pPr>
      <w:bookmarkStart w:id="89" w:name="_Toc471890458"/>
      <w:r w:rsidRPr="00C347AD">
        <w:t>Demographic Data</w:t>
      </w:r>
      <w:bookmarkEnd w:id="89"/>
      <w:r w:rsidRPr="00C347AD">
        <w:t xml:space="preserve">  </w:t>
      </w:r>
    </w:p>
    <w:p w14:paraId="67ACD6E4" w14:textId="64BA078B" w:rsidR="00244128" w:rsidRPr="00C347AD" w:rsidRDefault="00244128" w:rsidP="00244128">
      <w:commentRangeStart w:id="90"/>
      <w:r w:rsidRPr="00C347AD">
        <w:rPr>
          <w:highlight w:val="yellow"/>
        </w:rPr>
        <w:t xml:space="preserve">A total of 51 participants were at least partially involved in the study in two groups with </w:t>
      </w:r>
      <w:r w:rsidRPr="00C347AD">
        <w:rPr>
          <w:i/>
          <w:highlight w:val="yellow"/>
        </w:rPr>
        <w:t>N</w:t>
      </w:r>
      <w:r w:rsidRPr="00C347AD">
        <w:rPr>
          <w:highlight w:val="yellow"/>
        </w:rPr>
        <w:t xml:space="preserve">=25 and </w:t>
      </w:r>
      <w:r w:rsidRPr="00C347AD">
        <w:rPr>
          <w:i/>
          <w:highlight w:val="yellow"/>
        </w:rPr>
        <w:t>N</w:t>
      </w:r>
      <w:r w:rsidRPr="00C347AD">
        <w:rPr>
          <w:highlight w:val="yellow"/>
        </w:rPr>
        <w:t>=26 participants, respectively. Of the 51 participants, 13 were third-year undergraduates, 27 were fourth-year undergraduates, seven were fifth-year undergraduates, and four were master’s-level students.</w:t>
      </w:r>
      <w:r w:rsidRPr="00C347AD">
        <w:t xml:space="preserve"> </w:t>
      </w:r>
      <w:commentRangeEnd w:id="90"/>
      <w:r w:rsidR="00C23383" w:rsidRPr="00C347AD">
        <w:rPr>
          <w:rStyle w:val="CommentReference"/>
        </w:rPr>
        <w:commentReference w:id="90"/>
      </w:r>
      <w:r w:rsidRPr="00C347AD">
        <w:t xml:space="preserve">These students also represented both special-education and general education majors with different foci. </w:t>
      </w:r>
      <w:r w:rsidRPr="00C347AD">
        <w:rPr>
          <w:highlight w:val="yellow"/>
        </w:rPr>
        <w:t>Thirty-five participants were seeking an initial teaching license in a field other than special education (</w:t>
      </w:r>
      <w:r w:rsidR="006E3241" w:rsidRPr="00C347AD">
        <w:rPr>
          <w:highlight w:val="yellow"/>
        </w:rPr>
        <w:t>e.g.,</w:t>
      </w:r>
      <w:r w:rsidRPr="00C347AD">
        <w:rPr>
          <w:highlight w:val="yellow"/>
        </w:rPr>
        <w:t xml:space="preserve">music education, English education, agricultural education, etc), 15 were seeking initial licensure in special education, two were taking the class in pursuit of an additional endorsement in special education to supplement existing education </w:t>
      </w:r>
      <w:commentRangeStart w:id="91"/>
      <w:r w:rsidRPr="00C347AD">
        <w:rPr>
          <w:highlight w:val="yellow"/>
        </w:rPr>
        <w:t>licenses</w:t>
      </w:r>
      <w:commentRangeEnd w:id="91"/>
      <w:r w:rsidR="008F30AB" w:rsidRPr="00C347AD">
        <w:rPr>
          <w:rStyle w:val="CommentReference"/>
        </w:rPr>
        <w:commentReference w:id="91"/>
      </w:r>
      <w:r w:rsidRPr="00C347AD">
        <w:rPr>
          <w:highlight w:val="yellow"/>
        </w:rPr>
        <w:t>.</w:t>
      </w:r>
      <w:r w:rsidRPr="00C347AD">
        <w:t xml:space="preserve"> </w:t>
      </w:r>
    </w:p>
    <w:p w14:paraId="21C173AF" w14:textId="1E7521D6" w:rsidR="00172D1B" w:rsidRPr="00C347AD" w:rsidRDefault="00172D1B" w:rsidP="00172D1B">
      <w:bookmarkStart w:id="92" w:name="_Toc471890459"/>
      <w:r w:rsidRPr="00C347AD">
        <w:rPr>
          <w:b/>
        </w:rPr>
        <w:t xml:space="preserve">Partial attrition. </w:t>
      </w:r>
      <w:r w:rsidRPr="00C347AD">
        <w:t xml:space="preserve">In accordance with IRB stipulations, I destroyed identifying documentation that would allow me to connect participants to the random identification numbers they were assigned. Because of this provision, I explicitly requested that the </w:t>
      </w:r>
      <w:r w:rsidRPr="00C347AD">
        <w:lastRenderedPageBreak/>
        <w:t>participants ensure that they write their number down in a safe place at the time it was assigned. However, a number of participants forgot and lost their identification numbers, and thus the number of usable participants for the within-subject aspects of the study is less than the total number of individuals who opted in as participants in the study. Between-group aspects of the study did not require participant IDs, however, and thus all participants were incl</w:t>
      </w:r>
      <w:r w:rsidR="006E3241" w:rsidRPr="00C347AD">
        <w:t xml:space="preserve">uded in between-group analyses. Note that this method did not violate other IRB stipulations as those who did not opt in did not need to complete the surveys or, if they did, did not include a group number. Those without group numbers were excluded from all analyses. </w:t>
      </w:r>
    </w:p>
    <w:p w14:paraId="2B6502F9" w14:textId="0CDB1CE3" w:rsidR="000A22CD" w:rsidRPr="00C347AD" w:rsidRDefault="000A22CD" w:rsidP="000A22CD">
      <w:pPr>
        <w:ind w:firstLine="0"/>
        <w:rPr>
          <w:b/>
        </w:rPr>
      </w:pPr>
      <w:r w:rsidRPr="00C347AD">
        <w:rPr>
          <w:b/>
        </w:rPr>
        <w:t xml:space="preserve">Assumption Testing </w:t>
      </w:r>
    </w:p>
    <w:p w14:paraId="6A896FA0" w14:textId="1C982797" w:rsidR="00B13EA8" w:rsidRPr="00C347AD" w:rsidRDefault="00B13EA8" w:rsidP="000A22CD">
      <w:pPr>
        <w:ind w:firstLine="0"/>
      </w:pPr>
      <w:r w:rsidRPr="00C347AD">
        <w:rPr>
          <w:b/>
        </w:rPr>
        <w:tab/>
      </w:r>
      <w:commentRangeStart w:id="93"/>
      <w:r w:rsidRPr="00C347AD">
        <w:t xml:space="preserve">The </w:t>
      </w:r>
      <w:r w:rsidR="009B6478" w:rsidRPr="00C347AD">
        <w:t>two-w</w:t>
      </w:r>
      <w:r w:rsidR="00576E6E" w:rsidRPr="00C347AD">
        <w:t>ay repeated measures ANOVAs has</w:t>
      </w:r>
      <w:r w:rsidR="009B6478" w:rsidRPr="00C347AD">
        <w:t xml:space="preserve"> three main assumptions: (1) </w:t>
      </w:r>
      <w:r w:rsidR="00875215" w:rsidRPr="00C347AD">
        <w:t>there should be no significant outliers in any cell of the design (</w:t>
      </w:r>
      <w:r w:rsidR="006E3241" w:rsidRPr="00C347AD">
        <w:t>e.g.,</w:t>
      </w:r>
      <w:r w:rsidR="00875215" w:rsidRPr="00C347AD">
        <w:t xml:space="preserve">in time x group cells), (2) the dependent variable should be approximately normally distributed for each cell of the design, and (3) the variance of the differences between levels should be equal. In this section, I will present the results of each assumption test and my related decisions. </w:t>
      </w:r>
      <w:commentRangeEnd w:id="93"/>
      <w:r w:rsidR="00C23383" w:rsidRPr="00C347AD">
        <w:rPr>
          <w:rStyle w:val="CommentReference"/>
        </w:rPr>
        <w:commentReference w:id="93"/>
      </w:r>
    </w:p>
    <w:p w14:paraId="4F36A0E8" w14:textId="16F92DEF" w:rsidR="00875215" w:rsidRPr="00C347AD" w:rsidRDefault="00875215" w:rsidP="00875215">
      <w:r w:rsidRPr="00C347AD">
        <w:rPr>
          <w:b/>
        </w:rPr>
        <w:t>Outliers</w:t>
      </w:r>
      <w:r w:rsidRPr="00C347AD">
        <w:t>. Outliers on any of the instruments could be caused by participants simply “clicking through” with a set level (</w:t>
      </w:r>
      <w:r w:rsidR="006E3241" w:rsidRPr="00C347AD">
        <w:t>e.g.,</w:t>
      </w:r>
      <w:r w:rsidRPr="00C347AD">
        <w:t xml:space="preserve">all fives or all ones) or could indicate a data entry error. Given how small the sample size was for this study, it was important to identify and appropriately deal with outliers, as warranted. </w:t>
      </w:r>
    </w:p>
    <w:p w14:paraId="39B8590B" w14:textId="6E809413" w:rsidR="001A04D1" w:rsidRPr="00C347AD" w:rsidRDefault="002463DD" w:rsidP="001A04D1">
      <w:r w:rsidRPr="00C347AD">
        <w:t>To assess for outliers, I utilized studentized residuals, looking for values greater than ±3</w:t>
      </w:r>
      <w:r w:rsidR="00C857CE" w:rsidRPr="00C347AD">
        <w:t xml:space="preserve"> </w:t>
      </w:r>
      <w:r w:rsidR="00C857CE" w:rsidRPr="00C347AD">
        <w:fldChar w:fldCharType="begin"/>
      </w:r>
      <w:r w:rsidR="00602F44" w:rsidRPr="00C347AD">
        <w:instrText xml:space="preserve"> ADDIN ZOTERO_ITEM CSL_CITATION {"citationID":"KtGdiWeF","properties":{"formattedCitation":"(Osborne, 2012)","plainCitation":"(Osborne, 2012)"},"citationItems":[{"id":2345,"uris":["http://zotero.org/users/2098925/items/DDV6Z8D3"],"uri":["http://zotero.org/users/2098925/items/DDV6Z8D3"],"itemData":{"id":2345,"type":"book","title":"Best Practices in Data Cleaning: A Complete Guide to Everything You Need to Do Before and After Collecting Your Data","publisher":"SAGE","number-of-pages":"297","source":"Google Books","abstract":"Many researchers jump from data collection directly into testing hypothesis without realizing these tests can go profoundly wrong without clean data. This book provides a clear, accessible, step-by-step process of important best practices in preparing for data collection, testing assumptions, and examining and cleaning data in order to decrease error rates and increase both the power and replicability of results.Jason W. Osborne, author of the handbook Best Practices in Quantitative Methods (SAGE, 2008) provides easily-implemented suggestions that are evidence-based and will motivate change in practice by empirically demonstrating—for each topic—the benefits of following best practices and the potential consequences of not following these guidelines.","ISBN":"978-1-4129-8801-8","shortTitle":"Best Practices in Data Cleaning","language":"en","author":[{"family":"Osborne","given":"Jason W."}],"issued":{"date-parts":[["2012",1,10]]}}}],"schema":"https://github.com/citation-style-language/schema/raw/master/csl-citation.json"} </w:instrText>
      </w:r>
      <w:r w:rsidR="00C857CE" w:rsidRPr="00C347AD">
        <w:fldChar w:fldCharType="separate"/>
      </w:r>
      <w:r w:rsidR="00C857CE" w:rsidRPr="00C347AD">
        <w:rPr>
          <w:noProof/>
        </w:rPr>
        <w:t>(Osborne, 2012)</w:t>
      </w:r>
      <w:r w:rsidR="00C857CE" w:rsidRPr="00C347AD">
        <w:fldChar w:fldCharType="end"/>
      </w:r>
      <w:r w:rsidR="00C857CE" w:rsidRPr="00C347AD">
        <w:t>. Residuals (</w:t>
      </w:r>
      <w:r w:rsidR="00C857CE" w:rsidRPr="00C347AD">
        <w:rPr>
          <w:i/>
          <w:iCs/>
        </w:rPr>
        <w:t>e</w:t>
      </w:r>
      <w:r w:rsidR="00C857CE" w:rsidRPr="00C347AD">
        <w:rPr>
          <w:i/>
          <w:iCs/>
          <w:vertAlign w:val="subscript"/>
        </w:rPr>
        <w:t>i</w:t>
      </w:r>
      <w:r w:rsidR="00C857CE" w:rsidRPr="00C347AD">
        <w:rPr>
          <w:i/>
          <w:iCs/>
        </w:rPr>
        <w:t>)</w:t>
      </w:r>
      <w:r w:rsidR="00C857CE" w:rsidRPr="00C347AD">
        <w:t xml:space="preserve"> are calculated as being the difference between </w:t>
      </w:r>
      <w:r w:rsidR="00C857CE" w:rsidRPr="00C347AD">
        <w:lastRenderedPageBreak/>
        <w:t>observed and predicted response (</w:t>
      </w:r>
      <w:r w:rsidR="006E3241" w:rsidRPr="00C347AD">
        <w:t xml:space="preserve">i.e., </w:t>
      </w:r>
      <w:r w:rsidR="00C857CE" w:rsidRPr="00C347AD">
        <w:t xml:space="preserve">distance of any given data point from the expectation line); this can be expressed mathematically as </w:t>
      </w:r>
      <w:r w:rsidR="00C857CE" w:rsidRPr="00C347AD">
        <w:rPr>
          <w:i/>
          <w:iCs/>
        </w:rPr>
        <w:t>e</w:t>
      </w:r>
      <w:r w:rsidR="00C857CE" w:rsidRPr="00C347AD">
        <w:rPr>
          <w:i/>
          <w:iCs/>
          <w:vertAlign w:val="subscript"/>
        </w:rPr>
        <w:t>i</w:t>
      </w:r>
      <w:r w:rsidR="00C857CE" w:rsidRPr="00C347AD">
        <w:rPr>
          <w:vertAlign w:val="subscript"/>
        </w:rPr>
        <w:t xml:space="preserve">  </w:t>
      </w:r>
      <w:r w:rsidR="00C857CE" w:rsidRPr="00C347AD">
        <w:t xml:space="preserve">=  </w:t>
      </w:r>
      <w:r w:rsidR="00C857CE" w:rsidRPr="00C347AD">
        <w:rPr>
          <w:i/>
          <w:iCs/>
        </w:rPr>
        <w:t>y</w:t>
      </w:r>
      <w:r w:rsidR="00C857CE" w:rsidRPr="00C347AD">
        <w:rPr>
          <w:i/>
          <w:iCs/>
          <w:vertAlign w:val="subscript"/>
        </w:rPr>
        <w:t>i</w:t>
      </w:r>
      <w:r w:rsidR="00C857CE" w:rsidRPr="00C347AD">
        <w:t xml:space="preserve"> −</w:t>
      </w:r>
      <w:r w:rsidR="009A07CD" w:rsidRPr="00C347AD">
        <w:t xml:space="preserve"> </w:t>
      </w:r>
      <w:r w:rsidR="00C857CE" w:rsidRPr="00C347AD">
        <w:rPr>
          <w:i/>
          <w:iCs/>
        </w:rPr>
        <w:t>y</w:t>
      </w:r>
      <w:r w:rsidR="00C857CE" w:rsidRPr="00C347AD">
        <w:t>̂</w:t>
      </w:r>
      <w:r w:rsidR="00C857CE" w:rsidRPr="00C347AD">
        <w:rPr>
          <w:i/>
          <w:iCs/>
          <w:vertAlign w:val="subscript"/>
        </w:rPr>
        <w:t>i</w:t>
      </w:r>
      <w:r w:rsidR="009A07CD" w:rsidRPr="00C347AD">
        <w:rPr>
          <w:i/>
          <w:iCs/>
          <w:vertAlign w:val="subscript"/>
        </w:rPr>
        <w:t xml:space="preserve"> </w:t>
      </w:r>
      <w:r w:rsidR="009A07CD" w:rsidRPr="00C347AD">
        <w:rPr>
          <w:i/>
          <w:iCs/>
        </w:rPr>
        <w:t xml:space="preserve"> </w:t>
      </w:r>
      <w:r w:rsidR="009A07CD" w:rsidRPr="00C347AD">
        <w:rPr>
          <w:iCs/>
        </w:rPr>
        <w:t>where “</w:t>
      </w:r>
      <w:r w:rsidR="009A07CD" w:rsidRPr="00C347AD">
        <w:rPr>
          <w:i/>
          <w:iCs/>
        </w:rPr>
        <w:t>y</w:t>
      </w:r>
      <w:r w:rsidR="009A07CD" w:rsidRPr="00C347AD">
        <w:rPr>
          <w:i/>
          <w:iCs/>
          <w:vertAlign w:val="subscript"/>
        </w:rPr>
        <w:t>i</w:t>
      </w:r>
      <w:r w:rsidR="009A07CD" w:rsidRPr="00C347AD">
        <w:rPr>
          <w:iCs/>
        </w:rPr>
        <w:t>” represents a participant’s observed response and “</w:t>
      </w:r>
      <w:r w:rsidR="009A07CD" w:rsidRPr="00C347AD">
        <w:rPr>
          <w:i/>
          <w:iCs/>
        </w:rPr>
        <w:t>y</w:t>
      </w:r>
      <w:r w:rsidR="009A07CD" w:rsidRPr="00C347AD">
        <w:t>̂</w:t>
      </w:r>
      <w:r w:rsidR="009A07CD" w:rsidRPr="00C347AD">
        <w:rPr>
          <w:i/>
          <w:iCs/>
          <w:vertAlign w:val="subscript"/>
        </w:rPr>
        <w:t xml:space="preserve">i </w:t>
      </w:r>
      <w:r w:rsidR="009A07CD" w:rsidRPr="00C347AD">
        <w:rPr>
          <w:iCs/>
        </w:rPr>
        <w:t xml:space="preserve">” represents the expected response. </w:t>
      </w:r>
      <w:r w:rsidR="00C857CE" w:rsidRPr="00C347AD">
        <w:t>Studentized residuals (</w:t>
      </w:r>
      <w:r w:rsidR="00C857CE" w:rsidRPr="00C347AD">
        <w:rPr>
          <w:i/>
          <w:iCs/>
        </w:rPr>
        <w:t>r</w:t>
      </w:r>
      <w:r w:rsidR="00C857CE" w:rsidRPr="00C347AD">
        <w:rPr>
          <w:i/>
          <w:iCs/>
          <w:vertAlign w:val="subscript"/>
        </w:rPr>
        <w:t>i</w:t>
      </w:r>
      <w:r w:rsidR="00C857CE" w:rsidRPr="00C347AD">
        <w:t xml:space="preserve"> ) are calculated by dividing residuals by an estimate of their standard deviations (</w:t>
      </w:r>
      <w:r w:rsidR="006E3241" w:rsidRPr="00C347AD">
        <w:t xml:space="preserve">i.e., </w:t>
      </w:r>
      <w:r w:rsidR="00C857CE" w:rsidRPr="00C347AD">
        <w:t xml:space="preserve"> </w:t>
      </w:r>
      <w:r w:rsidR="00C857CE" w:rsidRPr="00C347AD">
        <w:rPr>
          <w:i/>
        </w:rPr>
        <w:t>r</w:t>
      </w:r>
      <w:r w:rsidR="00C857CE" w:rsidRPr="00C347AD">
        <w:rPr>
          <w:i/>
          <w:vertAlign w:val="subscript"/>
        </w:rPr>
        <w:t>i</w:t>
      </w:r>
      <w:r w:rsidR="00C857CE" w:rsidRPr="00C347AD">
        <w:t xml:space="preserve"> = </w:t>
      </w:r>
      <w:r w:rsidR="00C857CE" w:rsidRPr="00C347AD">
        <w:rPr>
          <w:i/>
        </w:rPr>
        <w:t>e</w:t>
      </w:r>
      <w:r w:rsidR="00C857CE" w:rsidRPr="00C347AD">
        <w:rPr>
          <w:i/>
          <w:vertAlign w:val="subscript"/>
        </w:rPr>
        <w:t>i</w:t>
      </w:r>
      <w:r w:rsidR="00C857CE" w:rsidRPr="00C347AD">
        <w:t xml:space="preserve"> / </w:t>
      </w:r>
      <w:r w:rsidR="009A07CD" w:rsidRPr="00C347AD">
        <w:rPr>
          <w:i/>
        </w:rPr>
        <w:t>S</w:t>
      </w:r>
      <w:r w:rsidR="00C857CE" w:rsidRPr="00C347AD">
        <w:t>(</w:t>
      </w:r>
      <w:r w:rsidR="00C857CE" w:rsidRPr="00C347AD">
        <w:rPr>
          <w:i/>
        </w:rPr>
        <w:t>e</w:t>
      </w:r>
      <w:r w:rsidR="00C857CE" w:rsidRPr="00C347AD">
        <w:rPr>
          <w:i/>
          <w:vertAlign w:val="subscript"/>
        </w:rPr>
        <w:t>i</w:t>
      </w:r>
      <w:r w:rsidR="00C857CE" w:rsidRPr="00C347AD">
        <w:t>)). Studentized residuals are in standardized units, and thus allow for easy identification of outliers</w:t>
      </w:r>
      <w:r w:rsidR="00BF340F" w:rsidRPr="00C347AD">
        <w:t xml:space="preserve"> </w:t>
      </w:r>
      <w:r w:rsidR="00E24278" w:rsidRPr="00C347AD">
        <w:fldChar w:fldCharType="begin"/>
      </w:r>
      <w:r w:rsidR="00E24278" w:rsidRPr="00C347AD">
        <w:instrText xml:space="preserve"> ADDIN ZOTERO_ITEM CSL_CITATION {"citationID":"IdIdcoJH","properties":{"formattedCitation":"(Tabachnick &amp; Fidell, 2013)","plainCitation":"(Tabachnick &amp; Fidell, 2013)"},"citationItems":[{"id":2347,"uris":["http://zotero.org/users/2098925/items/77DGSR5F"],"uri":["http://zotero.org/users/2098925/items/77DGSR5F"],"itemData":{"id":2347,"type":"book","title":"Using Multivariate Statistics","publisher":"Pearson Education","number-of-pages":"983","source":"Google Books","abstract":"A Practical Approach to using Multivariate AnalysesUsing Multivariate Statistics, 6th edition provides advanced undergraduate as well as graduate students with a timely and comprehensive introduction to today's most commonly encountered statistical and multivariate techniques, while assuming only a limited knowledge of higher-level mathematics. This text's practical approach focuses on the benefits and limitations of applications of a technique to a data set — when, why, and how to do it.Learning Goals Upon completing this book, readers should be able to: Learn to conduct numerous types of multivariate statistical analyses Find the best technique to use Understand Limitations to applications Learn how to use SPSS and SAS syntax and output Note: MySearchLab with eText does not come automatically packaged with this text. To purchase MySearchLab with eText, please visitwww.mysearchlab.com or you can purchase a ValuePack of the text + MySearchLab with eText (at no additional cost). ValuePack ISBN-10: 0205885667 / ValuePack ISBN-13: 9780205885664","ISBN":"978-0-205-84957-4","note":"Google-Books-ID: ucj1ygAACAAJ","language":"en","author":[{"family":"Tabachnick","given":"Barbara G."},{"family":"Fidell","given":"Linda S."}],"issued":{"date-parts":[["2013"]]}}}],"schema":"https://github.com/citation-style-language/schema/raw/master/csl-citation.json"} </w:instrText>
      </w:r>
      <w:r w:rsidR="00E24278" w:rsidRPr="00C347AD">
        <w:fldChar w:fldCharType="separate"/>
      </w:r>
      <w:r w:rsidR="00E24278" w:rsidRPr="00C347AD">
        <w:rPr>
          <w:noProof/>
        </w:rPr>
        <w:t>(Tabachnick &amp; Fidell, 2013)</w:t>
      </w:r>
      <w:r w:rsidR="00E24278" w:rsidRPr="00C347AD">
        <w:fldChar w:fldCharType="end"/>
      </w:r>
      <w:r w:rsidR="00C857CE" w:rsidRPr="00C347AD">
        <w:t xml:space="preserve">. </w:t>
      </w:r>
    </w:p>
    <w:p w14:paraId="2A697787" w14:textId="703CD475" w:rsidR="00875215" w:rsidRPr="00C347AD" w:rsidRDefault="001A04D1" w:rsidP="001A04D1">
      <w:pPr>
        <w:rPr>
          <w:sz w:val="31"/>
          <w:szCs w:val="31"/>
        </w:rPr>
      </w:pPr>
      <w:r w:rsidRPr="00C347AD">
        <w:t>There were no outliers for any of the cells in any of the three measures, as assessed by examination of studentized residuals for values greater than ±3.</w:t>
      </w:r>
    </w:p>
    <w:p w14:paraId="64C19173" w14:textId="29DCD138" w:rsidR="007C6F0D" w:rsidRPr="00C347AD" w:rsidRDefault="007C6F0D" w:rsidP="007C6F0D">
      <w:r w:rsidRPr="00C347AD">
        <w:rPr>
          <w:b/>
        </w:rPr>
        <w:t xml:space="preserve">Normality. </w:t>
      </w:r>
      <w:r w:rsidRPr="00C347AD">
        <w:t xml:space="preserve">To test </w:t>
      </w:r>
      <w:r w:rsidR="00576E6E" w:rsidRPr="00C347AD">
        <w:t>for normality</w:t>
      </w:r>
      <w:r w:rsidRPr="00C347AD">
        <w:t>, I utilized a Sharpio-Wilk’s test of normality</w:t>
      </w:r>
      <w:r w:rsidR="00576E6E" w:rsidRPr="00C347AD">
        <w:t xml:space="preserve"> </w:t>
      </w:r>
      <w:r w:rsidR="00602F44" w:rsidRPr="00C347AD">
        <w:fldChar w:fldCharType="begin"/>
      </w:r>
      <w:r w:rsidR="00602F44" w:rsidRPr="00C347AD">
        <w:instrText xml:space="preserve"> ADDIN ZOTERO_ITEM CSL_CITATION {"citationID":"Fxm7CCdm","properties":{"formattedCitation":"(Gall et al., 2007)","plainCitation":"(Gall et al., 2007)"},"citationItems":[{"id":829,"uris":["http://zotero.org/users/2098925/items/QP6N32N8"],"uri":["http://zotero.org/users/2098925/items/QP6N32N8"],"itemData":{"id":829,"type":"book","title":"Educational Research: An Introduction","publisher":"Pearson/Allyn &amp; Bacon","number-of-pages":"672","source":"Google Books","abstract":"Educational Research: An Introduction, Eighth Edition, is the most comprehensive and widely respected text for scholars and for the preparation of graduate-level students who need to understand educational research in depth and conduct original research for a dissertation or thesis.  A comprehensive introduction to the major research methods and types of data analysis used today, this text provides in-depth coverage of all facets of research, from the epistemology of quantitative and qualitative scientific inquiry to the design, data collection, analysis, and reporting of a completed study.","ISBN":"978-0-205-48849-0","shortTitle":"Educational Research","language":"en","author":[{"family":"Gall","given":"Meredith D."},{"family":"Gall","given":"Joyce P."},{"family":"Borg","given":"Walter R."}],"issued":{"date-parts":[["2007"]]}}}],"schema":"https://github.com/citation-style-language/schema/raw/master/csl-citation.json"} </w:instrText>
      </w:r>
      <w:r w:rsidR="00602F44" w:rsidRPr="00C347AD">
        <w:fldChar w:fldCharType="separate"/>
      </w:r>
      <w:r w:rsidR="00602F44" w:rsidRPr="00C347AD">
        <w:rPr>
          <w:noProof/>
        </w:rPr>
        <w:t>(Gall et al., 2007)</w:t>
      </w:r>
      <w:r w:rsidR="00602F44" w:rsidRPr="00C347AD">
        <w:fldChar w:fldCharType="end"/>
      </w:r>
      <w:r w:rsidRPr="00C347AD">
        <w:t>. UDL-KAI data and MATIES data were normally distributed (</w:t>
      </w:r>
      <w:r w:rsidRPr="00C347AD">
        <w:rPr>
          <w:i/>
        </w:rPr>
        <w:t>p</w:t>
      </w:r>
      <w:r w:rsidRPr="00C347AD">
        <w:t xml:space="preserve"> &gt; .05) at all three time periods. The TSE-UDLS was normally distributed (</w:t>
      </w:r>
      <w:r w:rsidRPr="00C347AD">
        <w:rPr>
          <w:i/>
        </w:rPr>
        <w:t>p</w:t>
      </w:r>
      <w:r w:rsidRPr="00C347AD">
        <w:t xml:space="preserve"> &gt; .05) except at </w:t>
      </w:r>
      <w:r w:rsidR="00172D1B" w:rsidRPr="00C347AD">
        <w:t>posttest 2</w:t>
      </w:r>
      <w:r w:rsidRPr="00C347AD">
        <w:t xml:space="preserve"> (</w:t>
      </w:r>
      <w:r w:rsidRPr="00C347AD">
        <w:rPr>
          <w:i/>
        </w:rPr>
        <w:t>p</w:t>
      </w:r>
      <w:r w:rsidRPr="00C347AD">
        <w:t xml:space="preserve"> = .014). However, the non-normality of </w:t>
      </w:r>
      <w:r w:rsidR="001A04D1" w:rsidRPr="00C347AD">
        <w:t xml:space="preserve">the TSE-UDLS </w:t>
      </w:r>
      <w:r w:rsidR="00172D1B" w:rsidRPr="00C347AD">
        <w:t>posttest 2</w:t>
      </w:r>
      <w:r w:rsidR="001A04D1" w:rsidRPr="00C347AD">
        <w:t xml:space="preserve"> data</w:t>
      </w:r>
      <w:r w:rsidRPr="00C347AD">
        <w:t xml:space="preserve"> </w:t>
      </w:r>
      <w:r w:rsidR="001A04D1" w:rsidRPr="00C347AD">
        <w:t>was</w:t>
      </w:r>
      <w:r w:rsidRPr="00C347AD">
        <w:t xml:space="preserve"> a similar negative skew for both groups (skewedness = -.970 and -.1048, respectively). This combined with the robustness of the ANOVA test led me to continue regardless of this </w:t>
      </w:r>
      <w:r w:rsidR="001A04D1" w:rsidRPr="00C347AD">
        <w:t xml:space="preserve">minor </w:t>
      </w:r>
      <w:r w:rsidRPr="00C347AD">
        <w:t>violation (Laerd</w:t>
      </w:r>
      <w:r w:rsidR="007B2C05" w:rsidRPr="00C347AD">
        <w:t xml:space="preserve"> Statistics</w:t>
      </w:r>
      <w:r w:rsidRPr="00C347AD">
        <w:t xml:space="preserve">, 2016).  </w:t>
      </w:r>
    </w:p>
    <w:p w14:paraId="4B21D2A8" w14:textId="40D824A1" w:rsidR="00E2689B" w:rsidRPr="00C347AD" w:rsidRDefault="00E2689B" w:rsidP="007C6F0D">
      <w:r w:rsidRPr="00C347AD">
        <w:rPr>
          <w:b/>
        </w:rPr>
        <w:t xml:space="preserve">Variance of differences between levels. </w:t>
      </w:r>
      <w:r w:rsidR="002A43E8" w:rsidRPr="00C347AD">
        <w:t xml:space="preserve">To test the variance of differences between levels, I used </w:t>
      </w:r>
      <w:r w:rsidR="008F30AB" w:rsidRPr="00C347AD">
        <w:t xml:space="preserve">Mauchly's </w:t>
      </w:r>
      <w:r w:rsidR="002A43E8" w:rsidRPr="00C347AD">
        <w:t xml:space="preserve">test for </w:t>
      </w:r>
      <w:r w:rsidR="00AA40E3" w:rsidRPr="00C347AD">
        <w:t>s</w:t>
      </w:r>
      <w:r w:rsidR="002A43E8" w:rsidRPr="00C347AD">
        <w:t xml:space="preserve">phericity. </w:t>
      </w:r>
      <w:r w:rsidR="000B140A" w:rsidRPr="00C347AD">
        <w:t xml:space="preserve">Mauchly's </w:t>
      </w:r>
      <w:r w:rsidR="002A43E8" w:rsidRPr="00C347AD">
        <w:t xml:space="preserve">tests the null hypothesis that the variances of the differences between the levels of the within-subjects factor are equal </w:t>
      </w:r>
      <w:r w:rsidR="002A43E8" w:rsidRPr="00C347AD">
        <w:fldChar w:fldCharType="begin"/>
      </w:r>
      <w:r w:rsidR="00602F44" w:rsidRPr="00C347AD">
        <w:instrText xml:space="preserve"> ADDIN ZOTERO_ITEM CSL_CITATION {"citationID":"FSWfy23O","properties":{"formattedCitation":"(Tabachnick &amp; Fidell, 2013)","plainCitation":"(Tabachnick &amp; Fidell, 2013)"},"citationItems":[{"id":2347,"uris":["http://zotero.org/users/2098925/items/77DGSR5F"],"uri":["http://zotero.org/users/2098925/items/77DGSR5F"],"itemData":{"id":2347,"type":"book","title":"Using Multivariate Statistics","publisher":"Pearson Education","number-of-pages":"983","source":"Google Books","abstract":"A Practical Approach to using Multivariate AnalysesUsing Multivariate Statistics, 6th edition provides advanced undergraduate as well as graduate students with a timely and comprehensive introduction to today's most commonly encountered statistical and multivariate techniques, while assuming only a limited knowledge of higher-level mathematics. This text's practical approach focuses on the benefits and limitations of applications of a technique to a data set — when, why, and how to do it.Learning Goals Upon completing this book, readers should be able to: Learn to conduct numerous types of multivariate statistical analyses Find the best technique to use Understand Limitations to applications Learn how to use SPSS and SAS syntax and output Note: MySearchLab with eText does not come automatically packaged with this text. To purchase MySearchLab with eText, please visitwww.mysearchlab.com or you can purchase a ValuePack of the text + MySearchLab with eText (at no additional cost). ValuePack ISBN-10: 0205885667 / ValuePack ISBN-13: 9780205885664","ISBN":"978-0-205-84957-4","note":"Google-Books-ID: ucj1ygAACAAJ","language":"en","author":[{"family":"Tabachnick","given":"Barbara G."},{"family":"Fidell","given":"Linda S."}],"issued":{"date-parts":[["2013"]]}}}],"schema":"https://github.com/citation-style-language/schema/raw/master/csl-citation.json"} </w:instrText>
      </w:r>
      <w:r w:rsidR="002A43E8" w:rsidRPr="00C347AD">
        <w:fldChar w:fldCharType="separate"/>
      </w:r>
      <w:r w:rsidR="002A43E8" w:rsidRPr="00C347AD">
        <w:rPr>
          <w:noProof/>
        </w:rPr>
        <w:t>(Tabachnick &amp; Fidell, 2013)</w:t>
      </w:r>
      <w:r w:rsidR="002A43E8" w:rsidRPr="00C347AD">
        <w:fldChar w:fldCharType="end"/>
      </w:r>
      <w:r w:rsidR="002A43E8" w:rsidRPr="00C347AD">
        <w:t xml:space="preserve">. </w:t>
      </w:r>
      <w:r w:rsidR="00AA40E3" w:rsidRPr="00C347AD">
        <w:t xml:space="preserve">Regarding the UDL-KAI, </w:t>
      </w:r>
      <w:r w:rsidR="000B140A" w:rsidRPr="00C347AD">
        <w:t xml:space="preserve">Mauchly's </w:t>
      </w:r>
      <w:r w:rsidR="00AA40E3" w:rsidRPr="00C347AD">
        <w:t xml:space="preserve">test of sphericity indicated that the assumption of sphericity was met for </w:t>
      </w:r>
      <w:r w:rsidR="00AB6DAD" w:rsidRPr="00C347AD">
        <w:t>the three time levels</w:t>
      </w:r>
      <w:r w:rsidR="00AA40E3" w:rsidRPr="00C347AD">
        <w:t>, χ</w:t>
      </w:r>
      <w:r w:rsidR="00AA40E3" w:rsidRPr="00C347AD">
        <w:rPr>
          <w:vertAlign w:val="superscript"/>
        </w:rPr>
        <w:t>2</w:t>
      </w:r>
      <w:r w:rsidR="00AB6DAD" w:rsidRPr="00C347AD">
        <w:t>(2) = 2.00</w:t>
      </w:r>
      <w:r w:rsidR="00AA40E3" w:rsidRPr="00C347AD">
        <w:t xml:space="preserve">, </w:t>
      </w:r>
      <w:r w:rsidR="00AA40E3" w:rsidRPr="00C347AD">
        <w:rPr>
          <w:i/>
          <w:iCs/>
        </w:rPr>
        <w:t>p</w:t>
      </w:r>
      <w:r w:rsidR="00AB6DAD" w:rsidRPr="00C347AD">
        <w:t xml:space="preserve"> = .368</w:t>
      </w:r>
      <w:r w:rsidR="00AA40E3" w:rsidRPr="00C347AD">
        <w:t>.</w:t>
      </w:r>
      <w:r w:rsidR="00AB6DAD" w:rsidRPr="00C347AD">
        <w:t xml:space="preserve"> Regarding the TSE-UDLS, </w:t>
      </w:r>
      <w:r w:rsidR="000B140A" w:rsidRPr="00C347AD">
        <w:t xml:space="preserve">Mauchly's </w:t>
      </w:r>
      <w:r w:rsidR="00975452" w:rsidRPr="00C347AD">
        <w:t xml:space="preserve">test of sphericity indicated that the </w:t>
      </w:r>
      <w:r w:rsidR="00975452" w:rsidRPr="00C347AD">
        <w:lastRenderedPageBreak/>
        <w:t>assumption of sphericity was met for the three time levels, χ</w:t>
      </w:r>
      <w:r w:rsidR="00975452" w:rsidRPr="00C347AD">
        <w:rPr>
          <w:vertAlign w:val="superscript"/>
        </w:rPr>
        <w:t>2</w:t>
      </w:r>
      <w:r w:rsidR="00975452" w:rsidRPr="00C347AD">
        <w:t xml:space="preserve">(2) = 1.35, </w:t>
      </w:r>
      <w:r w:rsidR="00975452" w:rsidRPr="00C347AD">
        <w:rPr>
          <w:i/>
          <w:iCs/>
        </w:rPr>
        <w:t>p</w:t>
      </w:r>
      <w:r w:rsidR="00975452" w:rsidRPr="00C347AD">
        <w:t xml:space="preserve"> = .510. </w:t>
      </w:r>
      <w:r w:rsidR="008F30AB" w:rsidRPr="00C347AD">
        <w:t>Similarly, r</w:t>
      </w:r>
      <w:r w:rsidR="003E7B74" w:rsidRPr="00C347AD">
        <w:t xml:space="preserve">egarding the MATIES, </w:t>
      </w:r>
      <w:r w:rsidR="000B140A" w:rsidRPr="00C347AD">
        <w:t xml:space="preserve">Mauchly's </w:t>
      </w:r>
      <w:r w:rsidR="003E7B74" w:rsidRPr="00C347AD">
        <w:t xml:space="preserve">test of sphericity indicated that the assumption of sphericity was </w:t>
      </w:r>
      <w:r w:rsidR="000B140A" w:rsidRPr="00C347AD">
        <w:t xml:space="preserve">not </w:t>
      </w:r>
      <w:r w:rsidR="003E7B74" w:rsidRPr="00C347AD">
        <w:t>met for the three time levels, χ</w:t>
      </w:r>
      <w:r w:rsidR="003E7B74" w:rsidRPr="00C347AD">
        <w:rPr>
          <w:vertAlign w:val="superscript"/>
        </w:rPr>
        <w:t>2</w:t>
      </w:r>
      <w:r w:rsidR="000B140A" w:rsidRPr="00C347AD">
        <w:t>(2) = 13.561</w:t>
      </w:r>
      <w:r w:rsidR="003E7B74" w:rsidRPr="00C347AD">
        <w:t xml:space="preserve">, </w:t>
      </w:r>
      <w:r w:rsidR="003E7B74" w:rsidRPr="00C347AD">
        <w:rPr>
          <w:i/>
          <w:iCs/>
        </w:rPr>
        <w:t>p</w:t>
      </w:r>
      <w:r w:rsidR="000B140A" w:rsidRPr="00C347AD">
        <w:t xml:space="preserve"> = .001</w:t>
      </w:r>
      <w:r w:rsidR="003E7B74" w:rsidRPr="00C347AD">
        <w:t>.</w:t>
      </w:r>
    </w:p>
    <w:p w14:paraId="1D0A4151" w14:textId="2C13D7E2" w:rsidR="00D77665" w:rsidRPr="00C347AD" w:rsidRDefault="000B140A" w:rsidP="00D77665">
      <w:r w:rsidRPr="00C347AD">
        <w:t xml:space="preserve">Thus, </w:t>
      </w:r>
      <w:r w:rsidR="00576E6E" w:rsidRPr="00C347AD">
        <w:t xml:space="preserve">assumptions were met for the </w:t>
      </w:r>
      <w:r w:rsidR="00D77665" w:rsidRPr="00C347AD">
        <w:t xml:space="preserve">two-way repeated measures ANOVA </w:t>
      </w:r>
      <w:r w:rsidRPr="00C347AD">
        <w:t>for all measures and assumptions except for the test of sphericity for t</w:t>
      </w:r>
      <w:r w:rsidR="007B2C05" w:rsidRPr="00C347AD">
        <w:t>he MATIES. The violation of the sphericity</w:t>
      </w:r>
      <w:r w:rsidRPr="00C347AD">
        <w:t xml:space="preserve"> assumption</w:t>
      </w:r>
      <w:r w:rsidR="007B2C05" w:rsidRPr="00C347AD">
        <w:t xml:space="preserve"> for the MATIES</w:t>
      </w:r>
      <w:r w:rsidRPr="00C347AD">
        <w:t xml:space="preserve"> </w:t>
      </w:r>
      <w:r w:rsidR="007B2C05" w:rsidRPr="00C347AD">
        <w:t xml:space="preserve">means that there is an increased risk of type 1 error when interpreting </w:t>
      </w:r>
      <w:r w:rsidR="007B2C05" w:rsidRPr="00C347AD">
        <w:rPr>
          <w:i/>
        </w:rPr>
        <w:t>F</w:t>
      </w:r>
      <w:r w:rsidR="007B2C05" w:rsidRPr="00C347AD">
        <w:t xml:space="preserve">-ratio scores (Laerd Statistics, 2016). </w:t>
      </w:r>
      <w:r w:rsidR="0018784E" w:rsidRPr="00C347AD">
        <w:t>To address this risk, I calculated epsilon scores using the Greenhouse-Geisser method. This score (</w:t>
      </w:r>
      <w:r w:rsidR="0018784E" w:rsidRPr="00C347AD">
        <w:rPr>
          <w:color w:val="1C1C1C"/>
        </w:rPr>
        <w:t xml:space="preserve">ε = .670) is &lt;.75 and thus Greenhouse-Geisser was the correct interpretation to use to minimize the risk of type 1 error </w:t>
      </w:r>
      <w:r w:rsidR="00326A6E" w:rsidRPr="00C347AD">
        <w:rPr>
          <w:color w:val="1C1C1C"/>
        </w:rPr>
        <w:fldChar w:fldCharType="begin"/>
      </w:r>
      <w:r w:rsidR="00326A6E" w:rsidRPr="00C347AD">
        <w:rPr>
          <w:color w:val="1C1C1C"/>
        </w:rPr>
        <w:instrText xml:space="preserve"> ADDIN ZOTERO_ITEM CSL_CITATION {"citationID":"nl4NKDeF","properties":{"formattedCitation":"(Collier, Baker, Mandeville, &amp; Hayes, 1967)","plainCitation":"(Collier, Baker, Mandeville, &amp; Hayes, 1967)"},"citationItems":[{"id":2371,"uris":["http://zotero.org/users/2098925/items/J7PUZBI9"],"uri":["http://zotero.org/users/2098925/items/J7PUZBI9"],"itemData":{"id":2371,"type":"article-journal","title":"Estimates of test size for several test procedures based on conventional variance ratios in the repeated measures design","container-title":"Psychometrika","page":"339-353","volume":"32","issue":"3","source":"link.springer.com","abstract":"Estimates of test size (probability of Type I error) were obtained for several specific repeated measures designs. Estimates were presented for configurations where the underlying covariance matrices exhibited varying degrees of heterogeneity. Conventional variance ratios were employed as basic statistics in order to produce estimates of size for a conventional test, an ε-adjusted test, and ε-adjusted test and a conservative test. Indices for empirical distributions of two estimators of ε, a measure of covariance heterogeneity, were also provided.","DOI":"10.1007/BF02289596","ISSN":"0033-3123, 1860-0980","journalAbbreviation":"Psychometrika","language":"en","author":[{"family":"Collier","given":"Raymond O."},{"family":"Baker","given":"Frank B."},{"family":"Mandeville","given":"Garrett K."},{"family":"Hayes","given":"Thomas F."}],"issued":{"date-parts":[["1967",9,1]]}}}],"schema":"https://github.com/citation-style-language/schema/raw/master/csl-citation.json"} </w:instrText>
      </w:r>
      <w:r w:rsidR="00326A6E" w:rsidRPr="00C347AD">
        <w:rPr>
          <w:color w:val="1C1C1C"/>
        </w:rPr>
        <w:fldChar w:fldCharType="separate"/>
      </w:r>
      <w:r w:rsidR="00326A6E" w:rsidRPr="00C347AD">
        <w:rPr>
          <w:noProof/>
          <w:color w:val="1C1C1C"/>
        </w:rPr>
        <w:t>(Collier, Baker, Mandeville, &amp; Hayes, 1967)</w:t>
      </w:r>
      <w:r w:rsidR="00326A6E" w:rsidRPr="00C347AD">
        <w:rPr>
          <w:color w:val="1C1C1C"/>
        </w:rPr>
        <w:fldChar w:fldCharType="end"/>
      </w:r>
      <w:r w:rsidR="00326A6E" w:rsidRPr="00C347AD">
        <w:rPr>
          <w:color w:val="1C1C1C"/>
        </w:rPr>
        <w:t xml:space="preserve">. With this provision in place, I was able to continue with the analysis. </w:t>
      </w:r>
    </w:p>
    <w:p w14:paraId="24302F6D" w14:textId="2D7881B1" w:rsidR="00244128" w:rsidRPr="00C347AD" w:rsidRDefault="00244128" w:rsidP="00D77665">
      <w:pPr>
        <w:pStyle w:val="Heading2"/>
      </w:pPr>
      <w:r w:rsidRPr="00C347AD">
        <w:t>Analysis of Research Questions</w:t>
      </w:r>
      <w:bookmarkEnd w:id="92"/>
      <w:r w:rsidRPr="00C347AD">
        <w:t xml:space="preserve"> </w:t>
      </w:r>
    </w:p>
    <w:p w14:paraId="30137C22" w14:textId="7AD78C08" w:rsidR="00244128" w:rsidRPr="00C347AD" w:rsidRDefault="003B1EA2" w:rsidP="005B2AC3">
      <w:r w:rsidRPr="00C347AD">
        <w:t>In this section, I</w:t>
      </w:r>
      <w:r w:rsidR="006E3241" w:rsidRPr="00C347AD">
        <w:t xml:space="preserve"> present</w:t>
      </w:r>
      <w:r w:rsidR="00244128" w:rsidRPr="00C347AD">
        <w:t xml:space="preserve"> the results for the three-part research question addressed in this study. The main research question focuses on the effect of modeling UDL compared to traditional instruction without UDL modeling on the three dependent variables of (1) knowledge and ability to apply concepts of UDL, (2) sense of efficacy related to the practice of UDL and related aspects of teaching and classroom management, and (3) attitudes regarding inclusion of diverse students including those with disabilities. Though this is a single research question, </w:t>
      </w:r>
      <w:r w:rsidR="006E3241" w:rsidRPr="00C347AD">
        <w:t xml:space="preserve">the theory of planned behavior </w:t>
      </w:r>
      <w:r w:rsidR="006E3241" w:rsidRPr="00C347AD">
        <w:fldChar w:fldCharType="begin"/>
      </w:r>
      <w:r w:rsidR="005D764D" w:rsidRPr="00C347AD">
        <w:instrText xml:space="preserve"> ADDIN ZOTERO_ITEM CSL_CITATION {"citationID":"U6huLUcy","properties":{"formattedCitation":"(Ajzen, 1985)","plainCitation":"(Ajzen, 1985)"},"citationItems":[{"id":1078,"uris":["http://zotero.org/users/2098925/items/XX4EGJ73"],"uri":["http://zotero.org/users/2098925/items/XX4EGJ73"],"itemData":{"id":1078,"type":"book","title":"From intentions to actions: A theory of planned behavior","publisher":"Springer","ISBN":"3-642-69748-8","author":[{"family":"Ajzen","given":"Icek"}],"issued":{"date-parts":[["1985"]]}}}],"schema":"https://github.com/citation-style-language/schema/raw/master/csl-citation.json"} </w:instrText>
      </w:r>
      <w:r w:rsidR="006E3241" w:rsidRPr="00C347AD">
        <w:fldChar w:fldCharType="separate"/>
      </w:r>
      <w:r w:rsidR="005D764D" w:rsidRPr="00C347AD">
        <w:rPr>
          <w:noProof/>
        </w:rPr>
        <w:t>(Ajzen, 1985)</w:t>
      </w:r>
      <w:r w:rsidR="006E3241" w:rsidRPr="00C347AD">
        <w:fldChar w:fldCharType="end"/>
      </w:r>
      <w:r w:rsidR="005D764D" w:rsidRPr="00C347AD">
        <w:t xml:space="preserve">, which I have utilized to frame this study, is best harnessed by treating each of </w:t>
      </w:r>
      <w:r w:rsidR="00244128" w:rsidRPr="00C347AD">
        <w:t>the three sub-components individually</w:t>
      </w:r>
      <w:r w:rsidR="005D764D" w:rsidRPr="00C347AD">
        <w:t xml:space="preserve"> in analysis</w:t>
      </w:r>
      <w:r w:rsidR="00244128" w:rsidRPr="00C347AD">
        <w:t xml:space="preserve"> before a holistic analysis can </w:t>
      </w:r>
      <w:r w:rsidR="00244128" w:rsidRPr="00C347AD">
        <w:lastRenderedPageBreak/>
        <w:t xml:space="preserve">be conducted. </w:t>
      </w:r>
      <w:r w:rsidR="005D764D" w:rsidRPr="00C347AD">
        <w:t xml:space="preserve">This allows me to see the individual effects of the intervention on participant attitudes, efficacy, and knowledge/application of UDL prior to assembling the three factors as a whole, constructing the likelihood of increased “intention to perform” the behavior of inclusive teaching practices. </w:t>
      </w:r>
      <w:r w:rsidR="00244128" w:rsidRPr="00C347AD">
        <w:t xml:space="preserve">Analysis was conducted per the procedures described in Chapter Three. Results of the analysis are described below and further discussion of the results are presented in Chapter Five. </w:t>
      </w:r>
    </w:p>
    <w:p w14:paraId="2E15C0B7" w14:textId="69289E4C" w:rsidR="00FE779B" w:rsidRPr="00C347AD" w:rsidRDefault="00FE779B" w:rsidP="00DD30EC">
      <w:pPr>
        <w:pStyle w:val="Heading3"/>
        <w:rPr>
          <w:b w:val="0"/>
        </w:rPr>
      </w:pPr>
      <w:r w:rsidRPr="00C347AD">
        <w:t>Analysis</w:t>
      </w:r>
      <w:r w:rsidR="00DD30EC" w:rsidRPr="00C347AD">
        <w:t xml:space="preserve"> of participant knowledge and a</w:t>
      </w:r>
      <w:r w:rsidR="00244128" w:rsidRPr="00C347AD">
        <w:t>pplication of UDL</w:t>
      </w:r>
      <w:r w:rsidRPr="00C347AD">
        <w:t xml:space="preserve">. </w:t>
      </w:r>
      <w:r w:rsidR="005C60FF" w:rsidRPr="00C347AD">
        <w:rPr>
          <w:b w:val="0"/>
        </w:rPr>
        <w:t>Th</w:t>
      </w:r>
      <w:r w:rsidR="005D764D" w:rsidRPr="00C347AD">
        <w:rPr>
          <w:b w:val="0"/>
        </w:rPr>
        <w:t>e first research question was, D</w:t>
      </w:r>
      <w:r w:rsidR="00244128" w:rsidRPr="00C347AD">
        <w:rPr>
          <w:b w:val="0"/>
        </w:rPr>
        <w:t>oes modeling UDL lead to greater improvement in preservice teacher knowledge and ability to apply UDL when compared with traditional instruction?</w:t>
      </w:r>
      <w:r w:rsidR="005C60FF" w:rsidRPr="00C347AD">
        <w:rPr>
          <w:b w:val="0"/>
        </w:rPr>
        <w:t xml:space="preserve"> </w:t>
      </w:r>
      <w:r w:rsidR="001A39B2" w:rsidRPr="00C347AD">
        <w:rPr>
          <w:b w:val="0"/>
        </w:rPr>
        <w:t xml:space="preserve">To answer this question, data were drawn from the UDL-KAI. </w:t>
      </w:r>
      <w:r w:rsidR="0018674A" w:rsidRPr="00C347AD">
        <w:rPr>
          <w:b w:val="0"/>
        </w:rPr>
        <w:t xml:space="preserve">Descriptive statistics for this instrument are presented in Table X. </w:t>
      </w:r>
    </w:p>
    <w:p w14:paraId="3A6E9F1E" w14:textId="2FF74552" w:rsidR="00DD1633" w:rsidRPr="00C347AD" w:rsidRDefault="005D764D" w:rsidP="00DD1633">
      <w:r w:rsidRPr="00C347AD">
        <w:t xml:space="preserve">A two-way repeated measures ANOVA was conducted to examine both between- and within-group effects of the intervention. </w:t>
      </w:r>
      <w:r w:rsidR="00DD1633" w:rsidRPr="00C347AD">
        <w:t xml:space="preserve">There was no group (condition) by time interaction </w:t>
      </w:r>
      <w:r w:rsidR="00DD1633" w:rsidRPr="00C347AD">
        <w:rPr>
          <w:i/>
        </w:rPr>
        <w:t>F</w:t>
      </w:r>
      <w:r w:rsidR="00DD1633" w:rsidRPr="00C347AD">
        <w:t xml:space="preserve">(2, 44)=.690, </w:t>
      </w:r>
      <w:r w:rsidR="00DD1633" w:rsidRPr="00C347AD">
        <w:rPr>
          <w:i/>
        </w:rPr>
        <w:t>p</w:t>
      </w:r>
      <w:r w:rsidR="00DD1633" w:rsidRPr="00C347AD">
        <w:t xml:space="preserve">=.507, meaning any differences </w:t>
      </w:r>
      <w:r w:rsidRPr="00C347AD">
        <w:t xml:space="preserve">in scores </w:t>
      </w:r>
      <w:r w:rsidR="00DD1633" w:rsidRPr="00C347AD">
        <w:t xml:space="preserve">between </w:t>
      </w:r>
      <w:r w:rsidR="00497900" w:rsidRPr="00C347AD">
        <w:t>groups were</w:t>
      </w:r>
      <w:r w:rsidR="00DD1633" w:rsidRPr="00C347AD">
        <w:t xml:space="preserve"> consistent for all </w:t>
      </w:r>
      <w:r w:rsidR="00497900" w:rsidRPr="00C347AD">
        <w:t>times</w:t>
      </w:r>
      <w:r w:rsidRPr="00C347AD">
        <w:t xml:space="preserve"> (conditions)</w:t>
      </w:r>
      <w:r w:rsidR="00DD1633" w:rsidRPr="00C347AD">
        <w:t xml:space="preserve">. There was, however, a significant time main effect </w:t>
      </w:r>
      <w:r w:rsidR="00DD1633" w:rsidRPr="00C347AD">
        <w:rPr>
          <w:i/>
        </w:rPr>
        <w:t>F</w:t>
      </w:r>
      <w:r w:rsidR="00DD1633" w:rsidRPr="00C347AD">
        <w:t xml:space="preserve">(2, 44)=8.127, </w:t>
      </w:r>
      <w:r w:rsidR="00DD1633" w:rsidRPr="00C347AD">
        <w:rPr>
          <w:i/>
        </w:rPr>
        <w:t>p</w:t>
      </w:r>
      <w:r w:rsidR="00DD1633" w:rsidRPr="00C347AD">
        <w:t>=.001, meaning that there was a significant difference between pretest, posttest 1 and/or posttest 2 (see Table X). Posthoc analysis reveals that there was no statistically significant difference from pretest to posttest 1 (</w:t>
      </w:r>
      <w:r w:rsidR="00DD1633" w:rsidRPr="00C347AD">
        <w:rPr>
          <w:i/>
        </w:rPr>
        <w:t>p</w:t>
      </w:r>
      <w:r w:rsidR="00DD1633" w:rsidRPr="00C347AD">
        <w:t xml:space="preserve"> = 1.000), but there were significant differences from pretest to posttest 2 (</w:t>
      </w:r>
      <w:r w:rsidR="00DD1633" w:rsidRPr="00C347AD">
        <w:rPr>
          <w:i/>
        </w:rPr>
        <w:t>p</w:t>
      </w:r>
      <w:r w:rsidR="00D870C6" w:rsidRPr="00C347AD">
        <w:t xml:space="preserve"> = .004) and</w:t>
      </w:r>
      <w:r w:rsidR="00DD1633" w:rsidRPr="00C347AD">
        <w:t xml:space="preserve"> from posttest 1 to posttest 2 (</w:t>
      </w:r>
      <w:r w:rsidR="00DD1633" w:rsidRPr="00C347AD">
        <w:rPr>
          <w:i/>
        </w:rPr>
        <w:t>p</w:t>
      </w:r>
      <w:r w:rsidR="00D870C6" w:rsidRPr="00C347AD">
        <w:t xml:space="preserve"> = .007), indicating that the most significant growth (holistically) occurred between posttest 1 and posttest 2. </w:t>
      </w:r>
    </w:p>
    <w:p w14:paraId="0BF6901F" w14:textId="77777777" w:rsidR="00DD1633" w:rsidRPr="00C347AD" w:rsidRDefault="00DD1633" w:rsidP="00DD1633">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2717"/>
        <w:gridCol w:w="1624"/>
        <w:gridCol w:w="1624"/>
        <w:gridCol w:w="1624"/>
      </w:tblGrid>
      <w:tr w:rsidR="00DD1633" w:rsidRPr="00C347AD" w14:paraId="332FF7DA" w14:textId="77777777" w:rsidTr="009B5FC1">
        <w:tc>
          <w:tcPr>
            <w:tcW w:w="3166" w:type="pct"/>
            <w:gridSpan w:val="3"/>
          </w:tcPr>
          <w:p w14:paraId="61A39E5D"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highlight w:val="yellow"/>
              </w:rPr>
              <w:t>Table X.</w:t>
            </w:r>
            <w:r w:rsidRPr="00C347AD">
              <w:rPr>
                <w:rFonts w:ascii="Times New Roman" w:hAnsi="Times New Roman" w:cs="Times New Roman"/>
              </w:rPr>
              <w:t xml:space="preserve"> </w:t>
            </w:r>
          </w:p>
        </w:tc>
        <w:tc>
          <w:tcPr>
            <w:tcW w:w="917" w:type="pct"/>
          </w:tcPr>
          <w:p w14:paraId="5CFF3E75" w14:textId="77777777" w:rsidR="00DD1633" w:rsidRPr="00C347AD" w:rsidRDefault="00DD1633" w:rsidP="009B5FC1">
            <w:pPr>
              <w:spacing w:line="240" w:lineRule="auto"/>
              <w:ind w:firstLine="0"/>
              <w:rPr>
                <w:rFonts w:ascii="Times New Roman" w:hAnsi="Times New Roman" w:cs="Times New Roman"/>
              </w:rPr>
            </w:pPr>
          </w:p>
        </w:tc>
        <w:tc>
          <w:tcPr>
            <w:tcW w:w="917" w:type="pct"/>
          </w:tcPr>
          <w:p w14:paraId="470C0531" w14:textId="77777777" w:rsidR="00DD1633" w:rsidRPr="00C347AD" w:rsidRDefault="00DD1633" w:rsidP="009B5FC1">
            <w:pPr>
              <w:spacing w:line="240" w:lineRule="auto"/>
              <w:ind w:firstLine="0"/>
              <w:rPr>
                <w:rFonts w:ascii="Times New Roman" w:hAnsi="Times New Roman" w:cs="Times New Roman"/>
              </w:rPr>
            </w:pPr>
          </w:p>
        </w:tc>
      </w:tr>
      <w:tr w:rsidR="00C347AD" w:rsidRPr="00C347AD" w14:paraId="079D4D75" w14:textId="77777777" w:rsidTr="00C347AD">
        <w:tc>
          <w:tcPr>
            <w:tcW w:w="5000" w:type="pct"/>
            <w:gridSpan w:val="5"/>
            <w:tcBorders>
              <w:bottom w:val="single" w:sz="4" w:space="0" w:color="auto"/>
            </w:tcBorders>
          </w:tcPr>
          <w:p w14:paraId="5A6C4B9B" w14:textId="50E3E121"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 xml:space="preserve">Universal Design for Learning – Knowledge and Application Inventory Descriptive Statistics by Group and Time  </w:t>
            </w:r>
          </w:p>
        </w:tc>
      </w:tr>
      <w:tr w:rsidR="00DD1633" w:rsidRPr="00C347AD" w14:paraId="300BC76F" w14:textId="77777777" w:rsidTr="009B5FC1">
        <w:tc>
          <w:tcPr>
            <w:tcW w:w="715" w:type="pct"/>
            <w:tcBorders>
              <w:bottom w:val="single" w:sz="4" w:space="0" w:color="auto"/>
            </w:tcBorders>
          </w:tcPr>
          <w:p w14:paraId="38B1344E"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Time</w:t>
            </w:r>
          </w:p>
        </w:tc>
        <w:tc>
          <w:tcPr>
            <w:tcW w:w="1534" w:type="pct"/>
            <w:tcBorders>
              <w:bottom w:val="single" w:sz="4" w:space="0" w:color="auto"/>
            </w:tcBorders>
          </w:tcPr>
          <w:p w14:paraId="01307406"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Group ID </w:t>
            </w:r>
          </w:p>
        </w:tc>
        <w:tc>
          <w:tcPr>
            <w:tcW w:w="917" w:type="pct"/>
            <w:tcBorders>
              <w:bottom w:val="single" w:sz="4" w:space="0" w:color="auto"/>
            </w:tcBorders>
          </w:tcPr>
          <w:p w14:paraId="3ADFBBEF" w14:textId="02B3913C" w:rsidR="00DD1633" w:rsidRPr="00C347AD" w:rsidRDefault="00C347AD" w:rsidP="009B5FC1">
            <w:pPr>
              <w:spacing w:line="240" w:lineRule="auto"/>
              <w:ind w:firstLine="0"/>
              <w:rPr>
                <w:rFonts w:ascii="Times New Roman" w:hAnsi="Times New Roman" w:cs="Times New Roman"/>
                <w:i/>
              </w:rPr>
            </w:pPr>
            <w:r>
              <w:rPr>
                <w:rFonts w:ascii="Times New Roman" w:hAnsi="Times New Roman" w:cs="Times New Roman"/>
                <w:i/>
              </w:rPr>
              <w:t>M</w:t>
            </w:r>
          </w:p>
        </w:tc>
        <w:tc>
          <w:tcPr>
            <w:tcW w:w="917" w:type="pct"/>
            <w:tcBorders>
              <w:bottom w:val="single" w:sz="4" w:space="0" w:color="auto"/>
            </w:tcBorders>
          </w:tcPr>
          <w:p w14:paraId="34398AAE" w14:textId="60A3BE83" w:rsidR="00DD1633"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SD</w:t>
            </w:r>
          </w:p>
        </w:tc>
        <w:tc>
          <w:tcPr>
            <w:tcW w:w="917" w:type="pct"/>
            <w:tcBorders>
              <w:bottom w:val="single" w:sz="4" w:space="0" w:color="auto"/>
            </w:tcBorders>
          </w:tcPr>
          <w:p w14:paraId="1E8A05C3" w14:textId="77777777" w:rsidR="00DD1633" w:rsidRPr="00C347AD" w:rsidRDefault="00DD1633" w:rsidP="009B5FC1">
            <w:pPr>
              <w:spacing w:line="240" w:lineRule="auto"/>
              <w:ind w:firstLine="0"/>
              <w:rPr>
                <w:rFonts w:ascii="Times New Roman" w:hAnsi="Times New Roman" w:cs="Times New Roman"/>
                <w:i/>
              </w:rPr>
            </w:pPr>
            <w:r w:rsidRPr="00C347AD">
              <w:rPr>
                <w:rFonts w:ascii="Times New Roman" w:hAnsi="Times New Roman" w:cs="Times New Roman"/>
              </w:rPr>
              <w:t xml:space="preserve">   </w:t>
            </w:r>
            <w:r w:rsidRPr="00C347AD">
              <w:rPr>
                <w:rFonts w:ascii="Times New Roman" w:hAnsi="Times New Roman" w:cs="Times New Roman"/>
                <w:i/>
              </w:rPr>
              <w:t>N</w:t>
            </w:r>
          </w:p>
        </w:tc>
      </w:tr>
      <w:tr w:rsidR="00DD1633" w:rsidRPr="00C347AD" w14:paraId="35D0AA15" w14:textId="77777777" w:rsidTr="009B5FC1">
        <w:trPr>
          <w:trHeight w:val="20"/>
        </w:trPr>
        <w:tc>
          <w:tcPr>
            <w:tcW w:w="715" w:type="pct"/>
            <w:tcBorders>
              <w:top w:val="single" w:sz="4" w:space="0" w:color="auto"/>
            </w:tcBorders>
          </w:tcPr>
          <w:p w14:paraId="4EEEACA3"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Pretest</w:t>
            </w:r>
          </w:p>
        </w:tc>
        <w:tc>
          <w:tcPr>
            <w:tcW w:w="1534" w:type="pct"/>
            <w:tcBorders>
              <w:top w:val="single" w:sz="4" w:space="0" w:color="auto"/>
            </w:tcBorders>
          </w:tcPr>
          <w:p w14:paraId="3561D5B6"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1 </w:t>
            </w:r>
          </w:p>
        </w:tc>
        <w:tc>
          <w:tcPr>
            <w:tcW w:w="917" w:type="pct"/>
            <w:tcBorders>
              <w:top w:val="single" w:sz="4" w:space="0" w:color="auto"/>
            </w:tcBorders>
          </w:tcPr>
          <w:p w14:paraId="0550818F"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7.154</w:t>
            </w:r>
          </w:p>
        </w:tc>
        <w:tc>
          <w:tcPr>
            <w:tcW w:w="917" w:type="pct"/>
            <w:tcBorders>
              <w:top w:val="single" w:sz="4" w:space="0" w:color="auto"/>
            </w:tcBorders>
          </w:tcPr>
          <w:p w14:paraId="7C8707A3"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0.987</w:t>
            </w:r>
          </w:p>
        </w:tc>
        <w:tc>
          <w:tcPr>
            <w:tcW w:w="917" w:type="pct"/>
            <w:tcBorders>
              <w:top w:val="single" w:sz="4" w:space="0" w:color="auto"/>
            </w:tcBorders>
          </w:tcPr>
          <w:p w14:paraId="633CFD5C"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13</w:t>
            </w:r>
          </w:p>
        </w:tc>
      </w:tr>
      <w:tr w:rsidR="00DD1633" w:rsidRPr="00C347AD" w14:paraId="58C5BC0B" w14:textId="77777777" w:rsidTr="009B5FC1">
        <w:trPr>
          <w:trHeight w:val="369"/>
        </w:trPr>
        <w:tc>
          <w:tcPr>
            <w:tcW w:w="715" w:type="pct"/>
          </w:tcPr>
          <w:p w14:paraId="2119C48B" w14:textId="77777777" w:rsidR="00DD1633" w:rsidRPr="00C347AD" w:rsidRDefault="00DD1633" w:rsidP="009B5FC1">
            <w:pPr>
              <w:spacing w:line="240" w:lineRule="auto"/>
              <w:ind w:firstLine="0"/>
              <w:rPr>
                <w:rFonts w:ascii="Times New Roman" w:hAnsi="Times New Roman" w:cs="Times New Roman"/>
              </w:rPr>
            </w:pPr>
          </w:p>
        </w:tc>
        <w:tc>
          <w:tcPr>
            <w:tcW w:w="1534" w:type="pct"/>
          </w:tcPr>
          <w:p w14:paraId="7495C4F6"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17" w:type="pct"/>
          </w:tcPr>
          <w:p w14:paraId="30B2019C"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8.000</w:t>
            </w:r>
          </w:p>
        </w:tc>
        <w:tc>
          <w:tcPr>
            <w:tcW w:w="917" w:type="pct"/>
          </w:tcPr>
          <w:p w14:paraId="37F49B68"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2.898</w:t>
            </w:r>
          </w:p>
        </w:tc>
        <w:tc>
          <w:tcPr>
            <w:tcW w:w="917" w:type="pct"/>
          </w:tcPr>
          <w:p w14:paraId="3DFAC78A"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11</w:t>
            </w:r>
          </w:p>
        </w:tc>
      </w:tr>
      <w:tr w:rsidR="00DD1633" w:rsidRPr="00C347AD" w14:paraId="7B1E434B" w14:textId="77777777" w:rsidTr="009B5FC1">
        <w:trPr>
          <w:trHeight w:val="306"/>
        </w:trPr>
        <w:tc>
          <w:tcPr>
            <w:tcW w:w="715" w:type="pct"/>
          </w:tcPr>
          <w:p w14:paraId="34CBD3B4"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Posttest 1</w:t>
            </w:r>
          </w:p>
        </w:tc>
        <w:tc>
          <w:tcPr>
            <w:tcW w:w="1534" w:type="pct"/>
          </w:tcPr>
          <w:p w14:paraId="0A8574D7"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1 (control) </w:t>
            </w:r>
          </w:p>
        </w:tc>
        <w:tc>
          <w:tcPr>
            <w:tcW w:w="917" w:type="pct"/>
          </w:tcPr>
          <w:p w14:paraId="3CE0046B"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7.846</w:t>
            </w:r>
          </w:p>
        </w:tc>
        <w:tc>
          <w:tcPr>
            <w:tcW w:w="917" w:type="pct"/>
          </w:tcPr>
          <w:p w14:paraId="79164C11"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2.035</w:t>
            </w:r>
          </w:p>
        </w:tc>
        <w:tc>
          <w:tcPr>
            <w:tcW w:w="917" w:type="pct"/>
          </w:tcPr>
          <w:p w14:paraId="67712827"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13</w:t>
            </w:r>
          </w:p>
        </w:tc>
      </w:tr>
      <w:tr w:rsidR="00DD1633" w:rsidRPr="00C347AD" w14:paraId="27411455" w14:textId="77777777" w:rsidTr="009B5FC1">
        <w:trPr>
          <w:trHeight w:val="360"/>
        </w:trPr>
        <w:tc>
          <w:tcPr>
            <w:tcW w:w="715" w:type="pct"/>
          </w:tcPr>
          <w:p w14:paraId="5308A05C" w14:textId="77777777" w:rsidR="00DD1633" w:rsidRPr="00C347AD" w:rsidRDefault="00DD1633" w:rsidP="009B5FC1">
            <w:pPr>
              <w:spacing w:line="240" w:lineRule="auto"/>
              <w:ind w:firstLine="0"/>
              <w:rPr>
                <w:rFonts w:ascii="Times New Roman" w:hAnsi="Times New Roman" w:cs="Times New Roman"/>
              </w:rPr>
            </w:pPr>
          </w:p>
        </w:tc>
        <w:tc>
          <w:tcPr>
            <w:tcW w:w="1534" w:type="pct"/>
          </w:tcPr>
          <w:p w14:paraId="0CFCDD0A"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 (treatment)</w:t>
            </w:r>
          </w:p>
        </w:tc>
        <w:tc>
          <w:tcPr>
            <w:tcW w:w="917" w:type="pct"/>
          </w:tcPr>
          <w:p w14:paraId="5BB88686"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8.182</w:t>
            </w:r>
          </w:p>
        </w:tc>
        <w:tc>
          <w:tcPr>
            <w:tcW w:w="917" w:type="pct"/>
          </w:tcPr>
          <w:p w14:paraId="510D9DDE"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2.892</w:t>
            </w:r>
          </w:p>
        </w:tc>
        <w:tc>
          <w:tcPr>
            <w:tcW w:w="917" w:type="pct"/>
          </w:tcPr>
          <w:p w14:paraId="126E29AA"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r w:rsidR="00DD1633" w:rsidRPr="00C347AD" w14:paraId="1F6F946F" w14:textId="77777777" w:rsidTr="009B5FC1">
        <w:trPr>
          <w:trHeight w:val="297"/>
        </w:trPr>
        <w:tc>
          <w:tcPr>
            <w:tcW w:w="715" w:type="pct"/>
          </w:tcPr>
          <w:p w14:paraId="06B5D5DA"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Posttest 2</w:t>
            </w:r>
          </w:p>
        </w:tc>
        <w:tc>
          <w:tcPr>
            <w:tcW w:w="1534" w:type="pct"/>
          </w:tcPr>
          <w:p w14:paraId="08D9BEED"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 (treatment)</w:t>
            </w:r>
          </w:p>
        </w:tc>
        <w:tc>
          <w:tcPr>
            <w:tcW w:w="917" w:type="pct"/>
          </w:tcPr>
          <w:p w14:paraId="247E3C74"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8.615</w:t>
            </w:r>
          </w:p>
        </w:tc>
        <w:tc>
          <w:tcPr>
            <w:tcW w:w="917" w:type="pct"/>
          </w:tcPr>
          <w:p w14:paraId="19E1E404"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1.557</w:t>
            </w:r>
          </w:p>
        </w:tc>
        <w:tc>
          <w:tcPr>
            <w:tcW w:w="917" w:type="pct"/>
          </w:tcPr>
          <w:p w14:paraId="09F537EF"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13</w:t>
            </w:r>
          </w:p>
        </w:tc>
      </w:tr>
      <w:tr w:rsidR="00DD1633" w:rsidRPr="00C347AD" w14:paraId="6901B252" w14:textId="77777777" w:rsidTr="009B5FC1">
        <w:trPr>
          <w:trHeight w:val="20"/>
        </w:trPr>
        <w:tc>
          <w:tcPr>
            <w:tcW w:w="715" w:type="pct"/>
            <w:tcBorders>
              <w:bottom w:val="single" w:sz="4" w:space="0" w:color="auto"/>
            </w:tcBorders>
          </w:tcPr>
          <w:p w14:paraId="169E1A2D" w14:textId="77777777" w:rsidR="00DD1633" w:rsidRPr="00C347AD" w:rsidRDefault="00DD1633" w:rsidP="009B5FC1">
            <w:pPr>
              <w:spacing w:line="240" w:lineRule="auto"/>
              <w:ind w:firstLine="0"/>
              <w:rPr>
                <w:rFonts w:ascii="Times New Roman" w:hAnsi="Times New Roman" w:cs="Times New Roman"/>
              </w:rPr>
            </w:pPr>
          </w:p>
        </w:tc>
        <w:tc>
          <w:tcPr>
            <w:tcW w:w="1534" w:type="pct"/>
            <w:tcBorders>
              <w:bottom w:val="single" w:sz="4" w:space="0" w:color="auto"/>
            </w:tcBorders>
          </w:tcPr>
          <w:p w14:paraId="4A5EFE7F"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2 (control) </w:t>
            </w:r>
          </w:p>
        </w:tc>
        <w:tc>
          <w:tcPr>
            <w:tcW w:w="917" w:type="pct"/>
            <w:tcBorders>
              <w:bottom w:val="single" w:sz="4" w:space="0" w:color="auto"/>
            </w:tcBorders>
          </w:tcPr>
          <w:p w14:paraId="39563949"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10.000</w:t>
            </w:r>
          </w:p>
        </w:tc>
        <w:tc>
          <w:tcPr>
            <w:tcW w:w="917" w:type="pct"/>
            <w:tcBorders>
              <w:bottom w:val="single" w:sz="4" w:space="0" w:color="auto"/>
            </w:tcBorders>
          </w:tcPr>
          <w:p w14:paraId="3BE0759E"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2.793</w:t>
            </w:r>
          </w:p>
        </w:tc>
        <w:tc>
          <w:tcPr>
            <w:tcW w:w="917" w:type="pct"/>
            <w:tcBorders>
              <w:bottom w:val="single" w:sz="4" w:space="0" w:color="auto"/>
            </w:tcBorders>
          </w:tcPr>
          <w:p w14:paraId="2D0D0EE8"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bl>
    <w:p w14:paraId="0D03B0D5" w14:textId="77777777" w:rsidR="00DD1633" w:rsidRPr="00C347AD" w:rsidRDefault="00DD1633" w:rsidP="00DD1633">
      <w:pPr>
        <w:ind w:firstLine="0"/>
      </w:pPr>
    </w:p>
    <w:p w14:paraId="0122DE0B" w14:textId="77777777" w:rsidR="00DD1633" w:rsidRPr="00C347AD" w:rsidRDefault="00DD1633" w:rsidP="00DD1633">
      <w:pPr>
        <w:ind w:firstLine="0"/>
      </w:pPr>
    </w:p>
    <w:p w14:paraId="2E4BE1A3" w14:textId="4FE1294D" w:rsidR="00DD1633" w:rsidRPr="00C347AD" w:rsidRDefault="00DD1633" w:rsidP="00326A6E">
      <w:r w:rsidRPr="00C347AD">
        <w:t>Lastly, there was no group</w:t>
      </w:r>
      <w:r w:rsidR="005D764D" w:rsidRPr="00C347AD">
        <w:t xml:space="preserve"> </w:t>
      </w:r>
      <w:r w:rsidRPr="00C347AD">
        <w:t xml:space="preserve">main effect </w:t>
      </w:r>
      <w:r w:rsidRPr="00C347AD">
        <w:rPr>
          <w:i/>
        </w:rPr>
        <w:t>F</w:t>
      </w:r>
      <w:r w:rsidRPr="00C347AD">
        <w:t xml:space="preserve">(1, </w:t>
      </w:r>
      <w:r w:rsidR="00D870C6" w:rsidRPr="00C347AD">
        <w:t>22)=1.243, p=.277</w:t>
      </w:r>
      <w:r w:rsidRPr="00C347AD">
        <w:t xml:space="preserve">, indicating that were no overall differences between groups (see Table X). </w:t>
      </w:r>
      <w:r w:rsidR="005D764D" w:rsidRPr="00C347AD">
        <w:t xml:space="preserve">This is an omnibus statistic, but because this statistic would be significant if there were significant differences at any time point, I must conclude that the groups were never significantly different from one another. Most significantly, </w:t>
      </w:r>
      <w:r w:rsidR="00981C26" w:rsidRPr="00C347AD">
        <w:t>participants in group 2</w:t>
      </w:r>
      <w:r w:rsidR="005D764D" w:rsidRPr="00C347AD">
        <w:t xml:space="preserve"> did not score significantly higher at posttest 1</w:t>
      </w:r>
      <w:r w:rsidR="003977D8" w:rsidRPr="00C347AD">
        <w:t xml:space="preserve">, after experiencing the treatment condition, than </w:t>
      </w:r>
      <w:r w:rsidR="00981C26" w:rsidRPr="00C347AD">
        <w:t>participants in group 1</w:t>
      </w:r>
      <w:r w:rsidR="003977D8" w:rsidRPr="00C347AD">
        <w:t>.</w:t>
      </w:r>
      <w:r w:rsidR="005D764D" w:rsidRPr="00C347AD">
        <w:t xml:space="preserve">  </w:t>
      </w:r>
      <w:r w:rsidRPr="00C347AD">
        <w:t xml:space="preserve">To this end, I fail to reject the null hypothesis for this question; the modeling condition did not result in significantly greater growth in participant </w:t>
      </w:r>
      <w:r w:rsidR="00D870C6" w:rsidRPr="00C347AD">
        <w:t>knowledge of– and ability to apply– UDL</w:t>
      </w:r>
      <w:r w:rsidRPr="00C347AD">
        <w:t xml:space="preserve"> compared to the lecture condition. </w:t>
      </w:r>
    </w:p>
    <w:p w14:paraId="093F25ED" w14:textId="77777777" w:rsidR="00326A6E" w:rsidRPr="00C347AD" w:rsidRDefault="00326A6E" w:rsidP="00326A6E"/>
    <w:tbl>
      <w:tblPr>
        <w:tblStyle w:val="TableGrid"/>
        <w:tblpPr w:leftFromText="180" w:rightFromText="180" w:vertAnchor="text" w:horzAnchor="page" w:tblpX="1810" w:tblpY="13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064"/>
        <w:gridCol w:w="1727"/>
        <w:gridCol w:w="1725"/>
      </w:tblGrid>
      <w:tr w:rsidR="00497900" w:rsidRPr="00C347AD" w14:paraId="4218160F" w14:textId="77777777" w:rsidTr="00497900">
        <w:tc>
          <w:tcPr>
            <w:tcW w:w="4026" w:type="pct"/>
            <w:gridSpan w:val="3"/>
          </w:tcPr>
          <w:p w14:paraId="13B64F56"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 xml:space="preserve">Table </w:t>
            </w:r>
            <w:r w:rsidRPr="00C347AD">
              <w:rPr>
                <w:rFonts w:ascii="Times New Roman" w:hAnsi="Times New Roman" w:cs="Times New Roman"/>
                <w:highlight w:val="yellow"/>
              </w:rPr>
              <w:t>X</w:t>
            </w:r>
            <w:r w:rsidRPr="00C347AD">
              <w:rPr>
                <w:rFonts w:ascii="Times New Roman" w:hAnsi="Times New Roman" w:cs="Times New Roman"/>
              </w:rPr>
              <w:t xml:space="preserve">. </w:t>
            </w:r>
          </w:p>
        </w:tc>
        <w:tc>
          <w:tcPr>
            <w:tcW w:w="974" w:type="pct"/>
          </w:tcPr>
          <w:p w14:paraId="540E4273" w14:textId="77777777" w:rsidR="00497900" w:rsidRPr="00C347AD" w:rsidRDefault="00497900" w:rsidP="00497900">
            <w:pPr>
              <w:spacing w:line="240" w:lineRule="auto"/>
              <w:ind w:firstLine="0"/>
              <w:rPr>
                <w:rFonts w:ascii="Times New Roman" w:hAnsi="Times New Roman" w:cs="Times New Roman"/>
              </w:rPr>
            </w:pPr>
          </w:p>
        </w:tc>
      </w:tr>
      <w:tr w:rsidR="00C347AD" w:rsidRPr="00C347AD" w14:paraId="4FB5EB20" w14:textId="77777777" w:rsidTr="00C347AD">
        <w:tc>
          <w:tcPr>
            <w:tcW w:w="5000" w:type="pct"/>
            <w:gridSpan w:val="4"/>
            <w:tcBorders>
              <w:bottom w:val="single" w:sz="4" w:space="0" w:color="auto"/>
            </w:tcBorders>
          </w:tcPr>
          <w:p w14:paraId="46CA0887" w14:textId="6FE9A132" w:rsidR="00C347AD" w:rsidRPr="00C347AD" w:rsidRDefault="00C347AD" w:rsidP="00497900">
            <w:pPr>
              <w:spacing w:line="240" w:lineRule="auto"/>
              <w:ind w:firstLine="0"/>
              <w:rPr>
                <w:rFonts w:ascii="Times New Roman" w:hAnsi="Times New Roman" w:cs="Times New Roman"/>
                <w:i/>
              </w:rPr>
            </w:pPr>
            <w:r w:rsidRPr="00C347AD">
              <w:rPr>
                <w:rFonts w:ascii="Times New Roman" w:hAnsi="Times New Roman" w:cs="Times New Roman"/>
                <w:i/>
              </w:rPr>
              <w:t>Test Within-Group Effects (Universal Design for Learning – Knowledge and Application Inventory)</w:t>
            </w:r>
          </w:p>
        </w:tc>
      </w:tr>
      <w:tr w:rsidR="00497900" w:rsidRPr="00C347AD" w14:paraId="0B7D1969" w14:textId="77777777" w:rsidTr="00497900">
        <w:tc>
          <w:tcPr>
            <w:tcW w:w="1321" w:type="pct"/>
            <w:tcBorders>
              <w:bottom w:val="single" w:sz="4" w:space="0" w:color="auto"/>
            </w:tcBorders>
          </w:tcPr>
          <w:p w14:paraId="1109FA6D"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 xml:space="preserve">Source </w:t>
            </w:r>
          </w:p>
        </w:tc>
        <w:tc>
          <w:tcPr>
            <w:tcW w:w="1730" w:type="pct"/>
            <w:tcBorders>
              <w:bottom w:val="single" w:sz="4" w:space="0" w:color="auto"/>
            </w:tcBorders>
          </w:tcPr>
          <w:p w14:paraId="46D8EC3B" w14:textId="77777777" w:rsidR="00497900" w:rsidRPr="00C347AD" w:rsidRDefault="00497900" w:rsidP="00497900">
            <w:pPr>
              <w:spacing w:line="240" w:lineRule="auto"/>
              <w:ind w:firstLine="0"/>
              <w:rPr>
                <w:rFonts w:ascii="Times New Roman" w:hAnsi="Times New Roman" w:cs="Times New Roman"/>
                <w:i/>
              </w:rPr>
            </w:pPr>
            <w:r w:rsidRPr="00C347AD">
              <w:rPr>
                <w:rFonts w:ascii="Times New Roman" w:hAnsi="Times New Roman" w:cs="Times New Roman"/>
                <w:i/>
              </w:rPr>
              <w:t>df</w:t>
            </w:r>
          </w:p>
        </w:tc>
        <w:tc>
          <w:tcPr>
            <w:tcW w:w="975" w:type="pct"/>
            <w:tcBorders>
              <w:bottom w:val="single" w:sz="4" w:space="0" w:color="auto"/>
            </w:tcBorders>
          </w:tcPr>
          <w:p w14:paraId="0AEB7BF6" w14:textId="77777777" w:rsidR="00497900" w:rsidRPr="00C347AD" w:rsidRDefault="00497900" w:rsidP="00497900">
            <w:pPr>
              <w:spacing w:line="240" w:lineRule="auto"/>
              <w:ind w:firstLine="0"/>
              <w:rPr>
                <w:rFonts w:ascii="Times New Roman" w:hAnsi="Times New Roman" w:cs="Times New Roman"/>
                <w:i/>
              </w:rPr>
            </w:pPr>
            <w:r w:rsidRPr="00C347AD">
              <w:rPr>
                <w:rFonts w:ascii="Times New Roman" w:hAnsi="Times New Roman" w:cs="Times New Roman"/>
                <w:i/>
              </w:rPr>
              <w:t>F</w:t>
            </w:r>
          </w:p>
        </w:tc>
        <w:tc>
          <w:tcPr>
            <w:tcW w:w="974" w:type="pct"/>
            <w:tcBorders>
              <w:bottom w:val="single" w:sz="4" w:space="0" w:color="auto"/>
            </w:tcBorders>
          </w:tcPr>
          <w:p w14:paraId="06FF4EC2"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Sig</w:t>
            </w:r>
          </w:p>
        </w:tc>
      </w:tr>
      <w:tr w:rsidR="00497900" w:rsidRPr="00C347AD" w14:paraId="36F92314" w14:textId="77777777" w:rsidTr="00497900">
        <w:tc>
          <w:tcPr>
            <w:tcW w:w="1321" w:type="pct"/>
            <w:tcBorders>
              <w:top w:val="single" w:sz="4" w:space="0" w:color="auto"/>
            </w:tcBorders>
          </w:tcPr>
          <w:p w14:paraId="594475B5"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 xml:space="preserve">Time </w:t>
            </w:r>
          </w:p>
        </w:tc>
        <w:tc>
          <w:tcPr>
            <w:tcW w:w="1730" w:type="pct"/>
            <w:tcBorders>
              <w:top w:val="single" w:sz="4" w:space="0" w:color="auto"/>
            </w:tcBorders>
          </w:tcPr>
          <w:p w14:paraId="3264932C"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2</w:t>
            </w:r>
          </w:p>
        </w:tc>
        <w:tc>
          <w:tcPr>
            <w:tcW w:w="975" w:type="pct"/>
            <w:tcBorders>
              <w:top w:val="single" w:sz="4" w:space="0" w:color="auto"/>
            </w:tcBorders>
          </w:tcPr>
          <w:p w14:paraId="576EC078"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9.245</w:t>
            </w:r>
          </w:p>
        </w:tc>
        <w:tc>
          <w:tcPr>
            <w:tcW w:w="974" w:type="pct"/>
            <w:tcBorders>
              <w:top w:val="single" w:sz="4" w:space="0" w:color="auto"/>
            </w:tcBorders>
          </w:tcPr>
          <w:p w14:paraId="4EDAB25B"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.001</w:t>
            </w:r>
          </w:p>
        </w:tc>
      </w:tr>
      <w:tr w:rsidR="00497900" w:rsidRPr="00C347AD" w14:paraId="248D6B94" w14:textId="77777777" w:rsidTr="00497900">
        <w:trPr>
          <w:trHeight w:val="279"/>
        </w:trPr>
        <w:tc>
          <w:tcPr>
            <w:tcW w:w="1321" w:type="pct"/>
            <w:tcBorders>
              <w:bottom w:val="single" w:sz="4" w:space="0" w:color="auto"/>
            </w:tcBorders>
          </w:tcPr>
          <w:p w14:paraId="0EC37DD3"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lastRenderedPageBreak/>
              <w:t>Time*Group</w:t>
            </w:r>
          </w:p>
        </w:tc>
        <w:tc>
          <w:tcPr>
            <w:tcW w:w="1730" w:type="pct"/>
            <w:tcBorders>
              <w:bottom w:val="single" w:sz="4" w:space="0" w:color="auto"/>
            </w:tcBorders>
          </w:tcPr>
          <w:p w14:paraId="7CBECD08"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2</w:t>
            </w:r>
          </w:p>
        </w:tc>
        <w:tc>
          <w:tcPr>
            <w:tcW w:w="975" w:type="pct"/>
            <w:tcBorders>
              <w:bottom w:val="single" w:sz="4" w:space="0" w:color="auto"/>
            </w:tcBorders>
          </w:tcPr>
          <w:p w14:paraId="3ECCB3C0"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.029</w:t>
            </w:r>
          </w:p>
        </w:tc>
        <w:tc>
          <w:tcPr>
            <w:tcW w:w="974" w:type="pct"/>
            <w:tcBorders>
              <w:bottom w:val="single" w:sz="4" w:space="0" w:color="auto"/>
            </w:tcBorders>
          </w:tcPr>
          <w:p w14:paraId="4E18B2BA" w14:textId="77777777" w:rsidR="00497900" w:rsidRPr="00C347AD" w:rsidRDefault="00497900" w:rsidP="00497900">
            <w:pPr>
              <w:spacing w:line="240" w:lineRule="auto"/>
              <w:ind w:firstLine="0"/>
              <w:rPr>
                <w:rFonts w:ascii="Times New Roman" w:hAnsi="Times New Roman" w:cs="Times New Roman"/>
              </w:rPr>
            </w:pPr>
            <w:r w:rsidRPr="00C347AD">
              <w:rPr>
                <w:rFonts w:ascii="Times New Roman" w:hAnsi="Times New Roman" w:cs="Times New Roman"/>
              </w:rPr>
              <w:t>.971</w:t>
            </w:r>
          </w:p>
        </w:tc>
      </w:tr>
    </w:tbl>
    <w:p w14:paraId="31D5070C" w14:textId="77777777" w:rsidR="00DD1633" w:rsidRPr="00C347AD" w:rsidRDefault="00DD1633" w:rsidP="00DD1633">
      <w:pPr>
        <w:ind w:firstLine="0"/>
      </w:pPr>
    </w:p>
    <w:p w14:paraId="06B76ABB" w14:textId="77777777" w:rsidR="00DD1633" w:rsidRPr="00C347AD" w:rsidRDefault="00DD1633" w:rsidP="00DD1633">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064"/>
        <w:gridCol w:w="1727"/>
        <w:gridCol w:w="1725"/>
      </w:tblGrid>
      <w:tr w:rsidR="00DD1633" w:rsidRPr="00C347AD" w14:paraId="1F4824AB" w14:textId="77777777" w:rsidTr="009B5FC1">
        <w:tc>
          <w:tcPr>
            <w:tcW w:w="4026" w:type="pct"/>
            <w:gridSpan w:val="3"/>
          </w:tcPr>
          <w:p w14:paraId="45864573"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Table </w:t>
            </w:r>
            <w:r w:rsidRPr="00C347AD">
              <w:rPr>
                <w:rFonts w:ascii="Times New Roman" w:hAnsi="Times New Roman" w:cs="Times New Roman"/>
                <w:highlight w:val="yellow"/>
              </w:rPr>
              <w:t>X</w:t>
            </w:r>
            <w:r w:rsidRPr="00C347AD">
              <w:rPr>
                <w:rFonts w:ascii="Times New Roman" w:hAnsi="Times New Roman" w:cs="Times New Roman"/>
              </w:rPr>
              <w:t xml:space="preserve">. </w:t>
            </w:r>
          </w:p>
        </w:tc>
        <w:tc>
          <w:tcPr>
            <w:tcW w:w="974" w:type="pct"/>
          </w:tcPr>
          <w:p w14:paraId="4B232B7D" w14:textId="77777777" w:rsidR="00DD1633" w:rsidRPr="00C347AD" w:rsidRDefault="00DD1633" w:rsidP="009B5FC1">
            <w:pPr>
              <w:spacing w:line="240" w:lineRule="auto"/>
              <w:ind w:firstLine="0"/>
              <w:rPr>
                <w:rFonts w:ascii="Times New Roman" w:hAnsi="Times New Roman" w:cs="Times New Roman"/>
              </w:rPr>
            </w:pPr>
          </w:p>
        </w:tc>
      </w:tr>
      <w:tr w:rsidR="00C347AD" w:rsidRPr="00C347AD" w14:paraId="3E2716AD" w14:textId="77777777" w:rsidTr="00C347AD">
        <w:tc>
          <w:tcPr>
            <w:tcW w:w="5000" w:type="pct"/>
            <w:gridSpan w:val="4"/>
            <w:tcBorders>
              <w:bottom w:val="single" w:sz="4" w:space="0" w:color="auto"/>
            </w:tcBorders>
          </w:tcPr>
          <w:p w14:paraId="56A2C9DD" w14:textId="6E829F6B"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Test of Between-Group Effects (Universal Design for Learning – Knowledge and Application Inventory)</w:t>
            </w:r>
          </w:p>
        </w:tc>
      </w:tr>
      <w:tr w:rsidR="00DD1633" w:rsidRPr="00C347AD" w14:paraId="01DBBE83" w14:textId="77777777" w:rsidTr="009B5FC1">
        <w:tc>
          <w:tcPr>
            <w:tcW w:w="1321" w:type="pct"/>
            <w:tcBorders>
              <w:bottom w:val="single" w:sz="4" w:space="0" w:color="auto"/>
            </w:tcBorders>
          </w:tcPr>
          <w:p w14:paraId="7C9DBA31"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Source </w:t>
            </w:r>
          </w:p>
        </w:tc>
        <w:tc>
          <w:tcPr>
            <w:tcW w:w="1730" w:type="pct"/>
            <w:tcBorders>
              <w:bottom w:val="single" w:sz="4" w:space="0" w:color="auto"/>
            </w:tcBorders>
          </w:tcPr>
          <w:p w14:paraId="49FCF7B7" w14:textId="77777777" w:rsidR="00DD1633" w:rsidRPr="00C347AD" w:rsidRDefault="00DD1633" w:rsidP="009B5FC1">
            <w:pPr>
              <w:spacing w:line="240" w:lineRule="auto"/>
              <w:ind w:firstLine="0"/>
              <w:rPr>
                <w:rFonts w:ascii="Times New Roman" w:hAnsi="Times New Roman" w:cs="Times New Roman"/>
                <w:i/>
              </w:rPr>
            </w:pPr>
            <w:r w:rsidRPr="00C347AD">
              <w:rPr>
                <w:rFonts w:ascii="Times New Roman" w:hAnsi="Times New Roman" w:cs="Times New Roman"/>
                <w:i/>
              </w:rPr>
              <w:t>df</w:t>
            </w:r>
          </w:p>
        </w:tc>
        <w:tc>
          <w:tcPr>
            <w:tcW w:w="975" w:type="pct"/>
            <w:tcBorders>
              <w:bottom w:val="single" w:sz="4" w:space="0" w:color="auto"/>
            </w:tcBorders>
          </w:tcPr>
          <w:p w14:paraId="08B80286" w14:textId="77777777" w:rsidR="00DD1633" w:rsidRPr="00C347AD" w:rsidRDefault="00DD1633" w:rsidP="009B5FC1">
            <w:pPr>
              <w:spacing w:line="240" w:lineRule="auto"/>
              <w:ind w:firstLine="0"/>
              <w:rPr>
                <w:rFonts w:ascii="Times New Roman" w:hAnsi="Times New Roman" w:cs="Times New Roman"/>
                <w:i/>
              </w:rPr>
            </w:pPr>
            <w:r w:rsidRPr="00C347AD">
              <w:rPr>
                <w:rFonts w:ascii="Times New Roman" w:hAnsi="Times New Roman" w:cs="Times New Roman"/>
                <w:i/>
              </w:rPr>
              <w:t>F</w:t>
            </w:r>
          </w:p>
        </w:tc>
        <w:tc>
          <w:tcPr>
            <w:tcW w:w="974" w:type="pct"/>
            <w:tcBorders>
              <w:bottom w:val="single" w:sz="4" w:space="0" w:color="auto"/>
            </w:tcBorders>
          </w:tcPr>
          <w:p w14:paraId="16457665"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Sig</w:t>
            </w:r>
          </w:p>
        </w:tc>
      </w:tr>
      <w:tr w:rsidR="00DD1633" w:rsidRPr="00C347AD" w14:paraId="13DC6257" w14:textId="77777777" w:rsidTr="009B5FC1">
        <w:trPr>
          <w:trHeight w:val="242"/>
        </w:trPr>
        <w:tc>
          <w:tcPr>
            <w:tcW w:w="1321" w:type="pct"/>
            <w:tcBorders>
              <w:bottom w:val="single" w:sz="4" w:space="0" w:color="auto"/>
            </w:tcBorders>
          </w:tcPr>
          <w:p w14:paraId="66285572"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 xml:space="preserve">Group </w:t>
            </w:r>
          </w:p>
        </w:tc>
        <w:tc>
          <w:tcPr>
            <w:tcW w:w="1730" w:type="pct"/>
            <w:tcBorders>
              <w:bottom w:val="single" w:sz="4" w:space="0" w:color="auto"/>
            </w:tcBorders>
          </w:tcPr>
          <w:p w14:paraId="3462D68D"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1</w:t>
            </w:r>
          </w:p>
        </w:tc>
        <w:tc>
          <w:tcPr>
            <w:tcW w:w="975" w:type="pct"/>
            <w:tcBorders>
              <w:bottom w:val="single" w:sz="4" w:space="0" w:color="auto"/>
            </w:tcBorders>
          </w:tcPr>
          <w:p w14:paraId="4ECDAB6D" w14:textId="0D6E5AC6" w:rsidR="00DD1633"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1.243</w:t>
            </w:r>
          </w:p>
        </w:tc>
        <w:tc>
          <w:tcPr>
            <w:tcW w:w="974" w:type="pct"/>
            <w:tcBorders>
              <w:bottom w:val="single" w:sz="4" w:space="0" w:color="auto"/>
            </w:tcBorders>
          </w:tcPr>
          <w:p w14:paraId="43364406" w14:textId="37AA4D16"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w:t>
            </w:r>
            <w:r w:rsidR="00D870C6" w:rsidRPr="00C347AD">
              <w:rPr>
                <w:rFonts w:ascii="Times New Roman" w:hAnsi="Times New Roman" w:cs="Times New Roman"/>
              </w:rPr>
              <w:t>277</w:t>
            </w:r>
          </w:p>
        </w:tc>
      </w:tr>
    </w:tbl>
    <w:p w14:paraId="6BAEED19" w14:textId="77777777" w:rsidR="005B2AC3" w:rsidRPr="00C347AD" w:rsidRDefault="005B2AC3" w:rsidP="00D870C6">
      <w:pPr>
        <w:ind w:firstLine="0"/>
      </w:pPr>
    </w:p>
    <w:p w14:paraId="102C5FB7" w14:textId="77777777" w:rsidR="005B2AC3" w:rsidRPr="00C347AD" w:rsidRDefault="005B2AC3" w:rsidP="005B2AC3"/>
    <w:p w14:paraId="0A0B2704" w14:textId="7AAF7BB0" w:rsidR="00B66290" w:rsidRPr="00C347AD" w:rsidRDefault="00B66290" w:rsidP="00B66290">
      <w:pPr>
        <w:pStyle w:val="Heading3"/>
        <w:rPr>
          <w:b w:val="0"/>
        </w:rPr>
      </w:pPr>
      <w:r w:rsidRPr="00C347AD">
        <w:t xml:space="preserve">Analysis of participant teacher efficacy. </w:t>
      </w:r>
      <w:r w:rsidRPr="00C347AD">
        <w:rPr>
          <w:b w:val="0"/>
        </w:rPr>
        <w:t xml:space="preserve">The second research question was, “does modeling UDL lead to greater improvement in teacher efficacy regarding inclusion of diverse students, including those with disabilities, when compared with traditional instruction?” To answer this question, data were drawn from the TSE-UDLS. Descriptive statistics for this instrument are presented in Table X. </w:t>
      </w:r>
    </w:p>
    <w:p w14:paraId="1E2932EC" w14:textId="77777777" w:rsidR="00326A6E" w:rsidRPr="00C347AD" w:rsidRDefault="00326A6E" w:rsidP="003977D8">
      <w:pPr>
        <w:ind w:firstLine="0"/>
      </w:pPr>
    </w:p>
    <w:p w14:paraId="5FF0E008" w14:textId="77777777" w:rsidR="009D288F" w:rsidRPr="00C347AD" w:rsidRDefault="009D288F" w:rsidP="009D288F">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2717"/>
        <w:gridCol w:w="1624"/>
        <w:gridCol w:w="1624"/>
        <w:gridCol w:w="1624"/>
      </w:tblGrid>
      <w:tr w:rsidR="009D288F" w:rsidRPr="00C347AD" w14:paraId="3671B40B" w14:textId="77777777" w:rsidTr="00C347AD">
        <w:trPr>
          <w:trHeight w:val="333"/>
        </w:trPr>
        <w:tc>
          <w:tcPr>
            <w:tcW w:w="3166" w:type="pct"/>
            <w:gridSpan w:val="3"/>
          </w:tcPr>
          <w:p w14:paraId="5274000D"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highlight w:val="yellow"/>
              </w:rPr>
              <w:t>Table X.</w:t>
            </w:r>
            <w:r w:rsidRPr="00C347AD">
              <w:rPr>
                <w:rFonts w:ascii="Times New Roman" w:hAnsi="Times New Roman" w:cs="Times New Roman"/>
              </w:rPr>
              <w:t xml:space="preserve"> </w:t>
            </w:r>
          </w:p>
        </w:tc>
        <w:tc>
          <w:tcPr>
            <w:tcW w:w="917" w:type="pct"/>
          </w:tcPr>
          <w:p w14:paraId="4732E3CA" w14:textId="77777777" w:rsidR="009D288F" w:rsidRPr="00C347AD" w:rsidRDefault="009D288F" w:rsidP="009B5FC1">
            <w:pPr>
              <w:spacing w:line="240" w:lineRule="auto"/>
              <w:ind w:firstLine="0"/>
              <w:rPr>
                <w:rFonts w:ascii="Times New Roman" w:hAnsi="Times New Roman" w:cs="Times New Roman"/>
              </w:rPr>
            </w:pPr>
          </w:p>
        </w:tc>
        <w:tc>
          <w:tcPr>
            <w:tcW w:w="917" w:type="pct"/>
          </w:tcPr>
          <w:p w14:paraId="065999E6" w14:textId="77777777" w:rsidR="009D288F" w:rsidRPr="00C347AD" w:rsidRDefault="009D288F" w:rsidP="009B5FC1">
            <w:pPr>
              <w:spacing w:line="240" w:lineRule="auto"/>
              <w:ind w:firstLine="0"/>
              <w:rPr>
                <w:rFonts w:ascii="Times New Roman" w:hAnsi="Times New Roman" w:cs="Times New Roman"/>
              </w:rPr>
            </w:pPr>
          </w:p>
        </w:tc>
      </w:tr>
      <w:tr w:rsidR="00C347AD" w:rsidRPr="00C347AD" w14:paraId="77EEB230" w14:textId="77777777" w:rsidTr="00C347AD">
        <w:tc>
          <w:tcPr>
            <w:tcW w:w="5000" w:type="pct"/>
            <w:gridSpan w:val="5"/>
            <w:tcBorders>
              <w:bottom w:val="single" w:sz="4" w:space="0" w:color="auto"/>
            </w:tcBorders>
          </w:tcPr>
          <w:p w14:paraId="5B521B50" w14:textId="6747486E"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 xml:space="preserve">Descriptive Statistics by Group and Time (Teacher Sense of Efficacy in Universal Design for Learning Scale) </w:t>
            </w:r>
          </w:p>
        </w:tc>
      </w:tr>
      <w:tr w:rsidR="009D288F" w:rsidRPr="00C347AD" w14:paraId="747CB3DF" w14:textId="77777777" w:rsidTr="009B5FC1">
        <w:tc>
          <w:tcPr>
            <w:tcW w:w="715" w:type="pct"/>
            <w:tcBorders>
              <w:bottom w:val="single" w:sz="4" w:space="0" w:color="auto"/>
            </w:tcBorders>
          </w:tcPr>
          <w:p w14:paraId="1B36CB62"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Time</w:t>
            </w:r>
          </w:p>
        </w:tc>
        <w:tc>
          <w:tcPr>
            <w:tcW w:w="1534" w:type="pct"/>
            <w:tcBorders>
              <w:bottom w:val="single" w:sz="4" w:space="0" w:color="auto"/>
            </w:tcBorders>
          </w:tcPr>
          <w:p w14:paraId="20253077"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Group ID </w:t>
            </w:r>
          </w:p>
        </w:tc>
        <w:tc>
          <w:tcPr>
            <w:tcW w:w="917" w:type="pct"/>
            <w:tcBorders>
              <w:bottom w:val="single" w:sz="4" w:space="0" w:color="auto"/>
            </w:tcBorders>
          </w:tcPr>
          <w:p w14:paraId="4DC1121B" w14:textId="089C2861" w:rsidR="009D288F"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M</w:t>
            </w:r>
          </w:p>
        </w:tc>
        <w:tc>
          <w:tcPr>
            <w:tcW w:w="917" w:type="pct"/>
            <w:tcBorders>
              <w:bottom w:val="single" w:sz="4" w:space="0" w:color="auto"/>
            </w:tcBorders>
          </w:tcPr>
          <w:p w14:paraId="02E07D97" w14:textId="52AB14F6" w:rsidR="009D288F" w:rsidRPr="00C347AD" w:rsidRDefault="00C347AD" w:rsidP="009B5FC1">
            <w:pPr>
              <w:spacing w:line="240" w:lineRule="auto"/>
              <w:ind w:firstLine="0"/>
              <w:rPr>
                <w:rFonts w:ascii="Times New Roman" w:hAnsi="Times New Roman" w:cs="Times New Roman"/>
                <w:i/>
              </w:rPr>
            </w:pPr>
            <w:r>
              <w:rPr>
                <w:rFonts w:ascii="Times New Roman" w:hAnsi="Times New Roman" w:cs="Times New Roman"/>
                <w:i/>
              </w:rPr>
              <w:t>SD</w:t>
            </w:r>
          </w:p>
        </w:tc>
        <w:tc>
          <w:tcPr>
            <w:tcW w:w="917" w:type="pct"/>
            <w:tcBorders>
              <w:bottom w:val="single" w:sz="4" w:space="0" w:color="auto"/>
            </w:tcBorders>
          </w:tcPr>
          <w:p w14:paraId="793EACEB"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rPr>
              <w:t xml:space="preserve">   </w:t>
            </w:r>
            <w:r w:rsidRPr="00C347AD">
              <w:rPr>
                <w:rFonts w:ascii="Times New Roman" w:hAnsi="Times New Roman" w:cs="Times New Roman"/>
                <w:i/>
              </w:rPr>
              <w:t>N</w:t>
            </w:r>
          </w:p>
        </w:tc>
      </w:tr>
      <w:tr w:rsidR="009D288F" w:rsidRPr="00C347AD" w14:paraId="046FCFF6" w14:textId="77777777" w:rsidTr="009B5FC1">
        <w:trPr>
          <w:trHeight w:val="20"/>
        </w:trPr>
        <w:tc>
          <w:tcPr>
            <w:tcW w:w="715" w:type="pct"/>
            <w:tcBorders>
              <w:top w:val="single" w:sz="4" w:space="0" w:color="auto"/>
            </w:tcBorders>
          </w:tcPr>
          <w:p w14:paraId="6F0D768F"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Pretest</w:t>
            </w:r>
          </w:p>
        </w:tc>
        <w:tc>
          <w:tcPr>
            <w:tcW w:w="1534" w:type="pct"/>
            <w:tcBorders>
              <w:top w:val="single" w:sz="4" w:space="0" w:color="auto"/>
            </w:tcBorders>
          </w:tcPr>
          <w:p w14:paraId="728A3239"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1 </w:t>
            </w:r>
          </w:p>
        </w:tc>
        <w:tc>
          <w:tcPr>
            <w:tcW w:w="917" w:type="pct"/>
            <w:tcBorders>
              <w:top w:val="single" w:sz="4" w:space="0" w:color="auto"/>
            </w:tcBorders>
          </w:tcPr>
          <w:p w14:paraId="3AB5B2AA" w14:textId="337A55E9"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3.925</w:t>
            </w:r>
          </w:p>
        </w:tc>
        <w:tc>
          <w:tcPr>
            <w:tcW w:w="917" w:type="pct"/>
            <w:tcBorders>
              <w:top w:val="single" w:sz="4" w:space="0" w:color="auto"/>
            </w:tcBorders>
          </w:tcPr>
          <w:p w14:paraId="6793E445" w14:textId="791A313B"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0.724</w:t>
            </w:r>
          </w:p>
        </w:tc>
        <w:tc>
          <w:tcPr>
            <w:tcW w:w="917" w:type="pct"/>
            <w:tcBorders>
              <w:top w:val="single" w:sz="4" w:space="0" w:color="auto"/>
            </w:tcBorders>
          </w:tcPr>
          <w:p w14:paraId="2FA913F8" w14:textId="29D5DD4F"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12</w:t>
            </w:r>
          </w:p>
        </w:tc>
      </w:tr>
      <w:tr w:rsidR="009D288F" w:rsidRPr="00C347AD" w14:paraId="769FF1FA" w14:textId="77777777" w:rsidTr="009B5FC1">
        <w:trPr>
          <w:trHeight w:val="369"/>
        </w:trPr>
        <w:tc>
          <w:tcPr>
            <w:tcW w:w="715" w:type="pct"/>
          </w:tcPr>
          <w:p w14:paraId="5089D30D" w14:textId="77777777" w:rsidR="009D288F" w:rsidRPr="00C347AD" w:rsidRDefault="009D288F" w:rsidP="009B5FC1">
            <w:pPr>
              <w:spacing w:line="240" w:lineRule="auto"/>
              <w:ind w:firstLine="0"/>
              <w:rPr>
                <w:rFonts w:ascii="Times New Roman" w:hAnsi="Times New Roman" w:cs="Times New Roman"/>
              </w:rPr>
            </w:pPr>
          </w:p>
        </w:tc>
        <w:tc>
          <w:tcPr>
            <w:tcW w:w="1534" w:type="pct"/>
          </w:tcPr>
          <w:p w14:paraId="52728CE3"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17" w:type="pct"/>
          </w:tcPr>
          <w:p w14:paraId="0F93C147" w14:textId="5BE34415"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4.034</w:t>
            </w:r>
          </w:p>
        </w:tc>
        <w:tc>
          <w:tcPr>
            <w:tcW w:w="917" w:type="pct"/>
          </w:tcPr>
          <w:p w14:paraId="326A67FB" w14:textId="4ED1E8C2"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0.407</w:t>
            </w:r>
          </w:p>
        </w:tc>
        <w:tc>
          <w:tcPr>
            <w:tcW w:w="917" w:type="pct"/>
          </w:tcPr>
          <w:p w14:paraId="3723E1F3"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r w:rsidR="009D288F" w:rsidRPr="00C347AD" w14:paraId="2750AD7A" w14:textId="77777777" w:rsidTr="009B5FC1">
        <w:trPr>
          <w:trHeight w:val="306"/>
        </w:trPr>
        <w:tc>
          <w:tcPr>
            <w:tcW w:w="715" w:type="pct"/>
          </w:tcPr>
          <w:p w14:paraId="711307B1"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Posttest 1</w:t>
            </w:r>
          </w:p>
        </w:tc>
        <w:tc>
          <w:tcPr>
            <w:tcW w:w="1534" w:type="pct"/>
          </w:tcPr>
          <w:p w14:paraId="021B0585"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1 (control) </w:t>
            </w:r>
          </w:p>
        </w:tc>
        <w:tc>
          <w:tcPr>
            <w:tcW w:w="917" w:type="pct"/>
          </w:tcPr>
          <w:p w14:paraId="61AF684D" w14:textId="4CD0D684"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4.223</w:t>
            </w:r>
          </w:p>
        </w:tc>
        <w:tc>
          <w:tcPr>
            <w:tcW w:w="917" w:type="pct"/>
          </w:tcPr>
          <w:p w14:paraId="21413987" w14:textId="3A6D19D9"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0.624</w:t>
            </w:r>
          </w:p>
        </w:tc>
        <w:tc>
          <w:tcPr>
            <w:tcW w:w="917" w:type="pct"/>
          </w:tcPr>
          <w:p w14:paraId="5E48BB92" w14:textId="3BF40453"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12</w:t>
            </w:r>
          </w:p>
        </w:tc>
      </w:tr>
      <w:tr w:rsidR="009D288F" w:rsidRPr="00C347AD" w14:paraId="2E8376A2" w14:textId="77777777" w:rsidTr="009B5FC1">
        <w:trPr>
          <w:trHeight w:val="360"/>
        </w:trPr>
        <w:tc>
          <w:tcPr>
            <w:tcW w:w="715" w:type="pct"/>
          </w:tcPr>
          <w:p w14:paraId="5D1BE833" w14:textId="77777777" w:rsidR="009D288F" w:rsidRPr="00C347AD" w:rsidRDefault="009D288F" w:rsidP="009B5FC1">
            <w:pPr>
              <w:spacing w:line="240" w:lineRule="auto"/>
              <w:ind w:firstLine="0"/>
              <w:rPr>
                <w:rFonts w:ascii="Times New Roman" w:hAnsi="Times New Roman" w:cs="Times New Roman"/>
              </w:rPr>
            </w:pPr>
          </w:p>
        </w:tc>
        <w:tc>
          <w:tcPr>
            <w:tcW w:w="1534" w:type="pct"/>
          </w:tcPr>
          <w:p w14:paraId="12A7E64A"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2 (treatment)</w:t>
            </w:r>
          </w:p>
        </w:tc>
        <w:tc>
          <w:tcPr>
            <w:tcW w:w="917" w:type="pct"/>
          </w:tcPr>
          <w:p w14:paraId="4E3A5EBA" w14:textId="51B39ED8"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4.293</w:t>
            </w:r>
          </w:p>
        </w:tc>
        <w:tc>
          <w:tcPr>
            <w:tcW w:w="917" w:type="pct"/>
          </w:tcPr>
          <w:p w14:paraId="3050E81A" w14:textId="488DBE7F"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0.630</w:t>
            </w:r>
          </w:p>
        </w:tc>
        <w:tc>
          <w:tcPr>
            <w:tcW w:w="917" w:type="pct"/>
          </w:tcPr>
          <w:p w14:paraId="2AE501D1"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r w:rsidR="009D288F" w:rsidRPr="00C347AD" w14:paraId="7A00FE01" w14:textId="77777777" w:rsidTr="009B5FC1">
        <w:trPr>
          <w:trHeight w:val="297"/>
        </w:trPr>
        <w:tc>
          <w:tcPr>
            <w:tcW w:w="715" w:type="pct"/>
          </w:tcPr>
          <w:p w14:paraId="046AF82D"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Posttest 2</w:t>
            </w:r>
          </w:p>
        </w:tc>
        <w:tc>
          <w:tcPr>
            <w:tcW w:w="1534" w:type="pct"/>
          </w:tcPr>
          <w:p w14:paraId="16BF893A"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 (treatment)</w:t>
            </w:r>
          </w:p>
        </w:tc>
        <w:tc>
          <w:tcPr>
            <w:tcW w:w="917" w:type="pct"/>
          </w:tcPr>
          <w:p w14:paraId="4D00365C" w14:textId="4CEA0ED6"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4.378</w:t>
            </w:r>
          </w:p>
        </w:tc>
        <w:tc>
          <w:tcPr>
            <w:tcW w:w="917" w:type="pct"/>
          </w:tcPr>
          <w:p w14:paraId="1C323B6B" w14:textId="1BC61CDB"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0.673</w:t>
            </w:r>
          </w:p>
        </w:tc>
        <w:tc>
          <w:tcPr>
            <w:tcW w:w="917" w:type="pct"/>
          </w:tcPr>
          <w:p w14:paraId="4E1E4319" w14:textId="691152F6"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12</w:t>
            </w:r>
          </w:p>
        </w:tc>
      </w:tr>
      <w:tr w:rsidR="009D288F" w:rsidRPr="00C347AD" w14:paraId="7EF50211" w14:textId="77777777" w:rsidTr="009B5FC1">
        <w:trPr>
          <w:trHeight w:val="20"/>
        </w:trPr>
        <w:tc>
          <w:tcPr>
            <w:tcW w:w="715" w:type="pct"/>
            <w:tcBorders>
              <w:bottom w:val="single" w:sz="4" w:space="0" w:color="auto"/>
            </w:tcBorders>
          </w:tcPr>
          <w:p w14:paraId="131D6A19" w14:textId="77777777" w:rsidR="009D288F" w:rsidRPr="00C347AD" w:rsidRDefault="009D288F" w:rsidP="009B5FC1">
            <w:pPr>
              <w:spacing w:line="240" w:lineRule="auto"/>
              <w:ind w:firstLine="0"/>
              <w:rPr>
                <w:rFonts w:ascii="Times New Roman" w:hAnsi="Times New Roman" w:cs="Times New Roman"/>
              </w:rPr>
            </w:pPr>
          </w:p>
        </w:tc>
        <w:tc>
          <w:tcPr>
            <w:tcW w:w="1534" w:type="pct"/>
            <w:tcBorders>
              <w:bottom w:val="single" w:sz="4" w:space="0" w:color="auto"/>
            </w:tcBorders>
          </w:tcPr>
          <w:p w14:paraId="6A7BECC3"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2 (control) </w:t>
            </w:r>
          </w:p>
        </w:tc>
        <w:tc>
          <w:tcPr>
            <w:tcW w:w="917" w:type="pct"/>
            <w:tcBorders>
              <w:bottom w:val="single" w:sz="4" w:space="0" w:color="auto"/>
            </w:tcBorders>
          </w:tcPr>
          <w:p w14:paraId="2F36F113" w14:textId="1330A47C"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4.441</w:t>
            </w:r>
          </w:p>
        </w:tc>
        <w:tc>
          <w:tcPr>
            <w:tcW w:w="917" w:type="pct"/>
            <w:tcBorders>
              <w:bottom w:val="single" w:sz="4" w:space="0" w:color="auto"/>
            </w:tcBorders>
          </w:tcPr>
          <w:p w14:paraId="69CB1F85" w14:textId="216F4A84"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0.549</w:t>
            </w:r>
          </w:p>
        </w:tc>
        <w:tc>
          <w:tcPr>
            <w:tcW w:w="917" w:type="pct"/>
            <w:tcBorders>
              <w:bottom w:val="single" w:sz="4" w:space="0" w:color="auto"/>
            </w:tcBorders>
          </w:tcPr>
          <w:p w14:paraId="3085254F"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bl>
    <w:p w14:paraId="185D3320" w14:textId="77777777" w:rsidR="009D288F" w:rsidRPr="00C347AD" w:rsidRDefault="009D288F" w:rsidP="009D288F">
      <w:pPr>
        <w:ind w:firstLine="0"/>
      </w:pPr>
    </w:p>
    <w:p w14:paraId="2D935A62" w14:textId="77777777" w:rsidR="00326A6E" w:rsidRPr="00C347AD" w:rsidRDefault="00326A6E" w:rsidP="009D288F">
      <w:pPr>
        <w:ind w:firstLine="0"/>
      </w:pPr>
    </w:p>
    <w:p w14:paraId="39FC2FA8" w14:textId="2833815B" w:rsidR="00DD1633" w:rsidRPr="00C347AD" w:rsidRDefault="003B1EA2" w:rsidP="009D288F">
      <w:r w:rsidRPr="00C347AD">
        <w:lastRenderedPageBreak/>
        <w:t xml:space="preserve">A two-way repeated measures ANOVA was conducted to examine both between- and within-group effects of the intervention. </w:t>
      </w:r>
      <w:r w:rsidR="009D288F" w:rsidRPr="00C347AD">
        <w:t xml:space="preserve">There was no group (condition) by time interaction </w:t>
      </w:r>
      <w:r w:rsidR="009D288F" w:rsidRPr="00C347AD">
        <w:rPr>
          <w:i/>
        </w:rPr>
        <w:t>F</w:t>
      </w:r>
      <w:r w:rsidR="009D288F" w:rsidRPr="00C347AD">
        <w:t xml:space="preserve">(2, 40)=.029, </w:t>
      </w:r>
      <w:r w:rsidR="009D288F" w:rsidRPr="00C347AD">
        <w:rPr>
          <w:i/>
        </w:rPr>
        <w:t>p</w:t>
      </w:r>
      <w:r w:rsidR="009D288F" w:rsidRPr="00C347AD">
        <w:t xml:space="preserve">=.971, meaning any differences between conditions is consistent for all groups. There was, however, a significant time main effect </w:t>
      </w:r>
      <w:r w:rsidR="009D288F" w:rsidRPr="00C347AD">
        <w:rPr>
          <w:i/>
        </w:rPr>
        <w:t>F</w:t>
      </w:r>
      <w:r w:rsidR="009D288F" w:rsidRPr="00C347AD">
        <w:t>(2, 40)=9.245</w:t>
      </w:r>
      <w:r w:rsidR="00DD1633" w:rsidRPr="00C347AD">
        <w:t xml:space="preserve">, </w:t>
      </w:r>
      <w:r w:rsidR="00DD1633" w:rsidRPr="00C347AD">
        <w:rPr>
          <w:i/>
        </w:rPr>
        <w:t>p</w:t>
      </w:r>
      <w:r w:rsidR="009D288F" w:rsidRPr="00C347AD">
        <w:t xml:space="preserve">=.001, meaning that there were was a significant difference between pretest, posttest 1 and/or posttest 2 (see Table X). Posthoc </w:t>
      </w:r>
      <w:r w:rsidR="00DD1633" w:rsidRPr="00C347AD">
        <w:t>analysis reveals that there was statistically significant difference from pretest to posttest 1 (</w:t>
      </w:r>
      <w:r w:rsidR="00DD1633" w:rsidRPr="00C347AD">
        <w:rPr>
          <w:i/>
        </w:rPr>
        <w:t>p</w:t>
      </w:r>
      <w:r w:rsidR="00DD1633" w:rsidRPr="00C347AD">
        <w:t xml:space="preserve"> = .015) and from pretest to posttest 2 (</w:t>
      </w:r>
      <w:r w:rsidR="00DD1633" w:rsidRPr="00C347AD">
        <w:rPr>
          <w:i/>
        </w:rPr>
        <w:t>p</w:t>
      </w:r>
      <w:r w:rsidR="00DD1633" w:rsidRPr="00C347AD">
        <w:t xml:space="preserve"> = .001), but no significant change from posttest 1 to posttest 2 (</w:t>
      </w:r>
      <w:r w:rsidR="00DD1633" w:rsidRPr="00C347AD">
        <w:rPr>
          <w:i/>
        </w:rPr>
        <w:t>p</w:t>
      </w:r>
      <w:r w:rsidR="00DD1633" w:rsidRPr="00C347AD">
        <w:t xml:space="preserve"> = .570). </w:t>
      </w:r>
      <w:r w:rsidR="009D288F" w:rsidRPr="00C347AD">
        <w:t xml:space="preserve"> </w:t>
      </w:r>
    </w:p>
    <w:p w14:paraId="55CE5286" w14:textId="1A8633B9" w:rsidR="009D288F" w:rsidRPr="00C347AD" w:rsidRDefault="009D288F" w:rsidP="009D288F">
      <w:r w:rsidRPr="00C347AD">
        <w:t xml:space="preserve">Lastly, there was no group main effect </w:t>
      </w:r>
      <w:r w:rsidRPr="00C347AD">
        <w:rPr>
          <w:i/>
        </w:rPr>
        <w:t>F</w:t>
      </w:r>
      <w:r w:rsidRPr="00C347AD">
        <w:t xml:space="preserve">(1, </w:t>
      </w:r>
      <w:r w:rsidR="00DD1633" w:rsidRPr="00C347AD">
        <w:t>20</w:t>
      </w:r>
      <w:r w:rsidRPr="00C347AD">
        <w:t>)=.</w:t>
      </w:r>
      <w:r w:rsidR="00DD1633" w:rsidRPr="00C347AD">
        <w:t>116, p=.737</w:t>
      </w:r>
      <w:r w:rsidRPr="00C347AD">
        <w:t>, indicating that were no overall differences between groups</w:t>
      </w:r>
      <w:r w:rsidR="00497900" w:rsidRPr="00C347AD">
        <w:t xml:space="preserve"> (conditions; </w:t>
      </w:r>
      <w:r w:rsidRPr="00C347AD">
        <w:t xml:space="preserve">see Table X). </w:t>
      </w:r>
      <w:r w:rsidR="003977D8" w:rsidRPr="00C347AD">
        <w:t xml:space="preserve">This is an omnibus statistic, but because this statistic would be significant if there were significant differences at any time point, I must conclude that the groups were never significantly different from one another. Most significantly, </w:t>
      </w:r>
      <w:r w:rsidR="00981C26" w:rsidRPr="00C347AD">
        <w:t>participants in group 2</w:t>
      </w:r>
      <w:r w:rsidR="003977D8" w:rsidRPr="00C347AD">
        <w:t xml:space="preserve"> did not score significantly higher at posttest 1, after experiencing the treatment condition, than </w:t>
      </w:r>
      <w:r w:rsidR="00981C26" w:rsidRPr="00C347AD">
        <w:t>participants in group 1</w:t>
      </w:r>
      <w:r w:rsidR="003977D8" w:rsidRPr="00C347AD">
        <w:t xml:space="preserve">. </w:t>
      </w:r>
      <w:r w:rsidRPr="00C347AD">
        <w:t>To this end, I fail to reject the null hypothesis for this question; the modeling condition did not result in significantly</w:t>
      </w:r>
      <w:r w:rsidR="00DD1633" w:rsidRPr="00C347AD">
        <w:t xml:space="preserve"> greater growth in participant sense of teacher efficacy</w:t>
      </w:r>
      <w:r w:rsidRPr="00C347AD">
        <w:t xml:space="preserve"> compared to the lecture condition. </w:t>
      </w:r>
    </w:p>
    <w:p w14:paraId="6740B1FF" w14:textId="77777777" w:rsidR="009D288F" w:rsidRPr="00C347AD" w:rsidRDefault="009D288F" w:rsidP="009D288F">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064"/>
        <w:gridCol w:w="1727"/>
        <w:gridCol w:w="1725"/>
      </w:tblGrid>
      <w:tr w:rsidR="009D288F" w:rsidRPr="00C347AD" w14:paraId="1D487C8F" w14:textId="77777777" w:rsidTr="009B5FC1">
        <w:tc>
          <w:tcPr>
            <w:tcW w:w="4026" w:type="pct"/>
            <w:gridSpan w:val="3"/>
          </w:tcPr>
          <w:p w14:paraId="37F9833E"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Table </w:t>
            </w:r>
            <w:r w:rsidRPr="00C347AD">
              <w:rPr>
                <w:rFonts w:ascii="Times New Roman" w:hAnsi="Times New Roman" w:cs="Times New Roman"/>
                <w:highlight w:val="yellow"/>
              </w:rPr>
              <w:t>X</w:t>
            </w:r>
            <w:r w:rsidRPr="00C347AD">
              <w:rPr>
                <w:rFonts w:ascii="Times New Roman" w:hAnsi="Times New Roman" w:cs="Times New Roman"/>
              </w:rPr>
              <w:t xml:space="preserve">. </w:t>
            </w:r>
          </w:p>
        </w:tc>
        <w:tc>
          <w:tcPr>
            <w:tcW w:w="974" w:type="pct"/>
          </w:tcPr>
          <w:p w14:paraId="7A2CA1CF" w14:textId="77777777" w:rsidR="009D288F" w:rsidRPr="00C347AD" w:rsidRDefault="009D288F" w:rsidP="009B5FC1">
            <w:pPr>
              <w:spacing w:line="240" w:lineRule="auto"/>
              <w:ind w:firstLine="0"/>
              <w:rPr>
                <w:rFonts w:ascii="Times New Roman" w:hAnsi="Times New Roman" w:cs="Times New Roman"/>
              </w:rPr>
            </w:pPr>
          </w:p>
        </w:tc>
      </w:tr>
      <w:tr w:rsidR="00C347AD" w:rsidRPr="00C347AD" w14:paraId="4A6339B0" w14:textId="77777777" w:rsidTr="00C347AD">
        <w:tc>
          <w:tcPr>
            <w:tcW w:w="5000" w:type="pct"/>
            <w:gridSpan w:val="4"/>
            <w:tcBorders>
              <w:bottom w:val="single" w:sz="4" w:space="0" w:color="auto"/>
            </w:tcBorders>
          </w:tcPr>
          <w:p w14:paraId="10709726" w14:textId="0DD4CEF7"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Test Within-Group Effects (Teacher Sense of Efficacy in Universal Design for Learning Scale)</w:t>
            </w:r>
          </w:p>
        </w:tc>
      </w:tr>
      <w:tr w:rsidR="009D288F" w:rsidRPr="00C347AD" w14:paraId="6C0A32CD" w14:textId="77777777" w:rsidTr="009B5FC1">
        <w:tc>
          <w:tcPr>
            <w:tcW w:w="1321" w:type="pct"/>
            <w:tcBorders>
              <w:bottom w:val="single" w:sz="4" w:space="0" w:color="auto"/>
            </w:tcBorders>
          </w:tcPr>
          <w:p w14:paraId="5BA8F2B5"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Source </w:t>
            </w:r>
          </w:p>
        </w:tc>
        <w:tc>
          <w:tcPr>
            <w:tcW w:w="1730" w:type="pct"/>
            <w:tcBorders>
              <w:bottom w:val="single" w:sz="4" w:space="0" w:color="auto"/>
            </w:tcBorders>
          </w:tcPr>
          <w:p w14:paraId="7B740322"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i/>
              </w:rPr>
              <w:t>df</w:t>
            </w:r>
          </w:p>
        </w:tc>
        <w:tc>
          <w:tcPr>
            <w:tcW w:w="975" w:type="pct"/>
            <w:tcBorders>
              <w:bottom w:val="single" w:sz="4" w:space="0" w:color="auto"/>
            </w:tcBorders>
          </w:tcPr>
          <w:p w14:paraId="2CA93972"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i/>
              </w:rPr>
              <w:t>F</w:t>
            </w:r>
          </w:p>
        </w:tc>
        <w:tc>
          <w:tcPr>
            <w:tcW w:w="974" w:type="pct"/>
            <w:tcBorders>
              <w:bottom w:val="single" w:sz="4" w:space="0" w:color="auto"/>
            </w:tcBorders>
          </w:tcPr>
          <w:p w14:paraId="730D9B42"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Sig</w:t>
            </w:r>
          </w:p>
        </w:tc>
      </w:tr>
      <w:tr w:rsidR="009D288F" w:rsidRPr="00C347AD" w14:paraId="7E35CEFF" w14:textId="77777777" w:rsidTr="009B5FC1">
        <w:tc>
          <w:tcPr>
            <w:tcW w:w="1321" w:type="pct"/>
            <w:tcBorders>
              <w:top w:val="single" w:sz="4" w:space="0" w:color="auto"/>
            </w:tcBorders>
          </w:tcPr>
          <w:p w14:paraId="5E4BDE2E"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Time </w:t>
            </w:r>
          </w:p>
        </w:tc>
        <w:tc>
          <w:tcPr>
            <w:tcW w:w="1730" w:type="pct"/>
            <w:tcBorders>
              <w:top w:val="single" w:sz="4" w:space="0" w:color="auto"/>
            </w:tcBorders>
          </w:tcPr>
          <w:p w14:paraId="1F97605B"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75" w:type="pct"/>
            <w:tcBorders>
              <w:top w:val="single" w:sz="4" w:space="0" w:color="auto"/>
            </w:tcBorders>
          </w:tcPr>
          <w:p w14:paraId="0D584E24" w14:textId="594153A4" w:rsidR="009D288F"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9.245</w:t>
            </w:r>
          </w:p>
        </w:tc>
        <w:tc>
          <w:tcPr>
            <w:tcW w:w="974" w:type="pct"/>
            <w:tcBorders>
              <w:top w:val="single" w:sz="4" w:space="0" w:color="auto"/>
            </w:tcBorders>
          </w:tcPr>
          <w:p w14:paraId="0FBA6EB5" w14:textId="06A61D34"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w:t>
            </w:r>
            <w:r w:rsidR="00DD1633" w:rsidRPr="00C347AD">
              <w:rPr>
                <w:rFonts w:ascii="Times New Roman" w:hAnsi="Times New Roman" w:cs="Times New Roman"/>
              </w:rPr>
              <w:t>001</w:t>
            </w:r>
          </w:p>
        </w:tc>
      </w:tr>
      <w:tr w:rsidR="00DD1633" w:rsidRPr="00C347AD" w14:paraId="2E5D6EAB" w14:textId="77777777" w:rsidTr="009B5FC1">
        <w:trPr>
          <w:trHeight w:val="279"/>
        </w:trPr>
        <w:tc>
          <w:tcPr>
            <w:tcW w:w="1321" w:type="pct"/>
            <w:tcBorders>
              <w:bottom w:val="single" w:sz="4" w:space="0" w:color="auto"/>
            </w:tcBorders>
          </w:tcPr>
          <w:p w14:paraId="71530425"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Time*Group</w:t>
            </w:r>
          </w:p>
        </w:tc>
        <w:tc>
          <w:tcPr>
            <w:tcW w:w="1730" w:type="pct"/>
            <w:tcBorders>
              <w:bottom w:val="single" w:sz="4" w:space="0" w:color="auto"/>
            </w:tcBorders>
          </w:tcPr>
          <w:p w14:paraId="18D2F4DB" w14:textId="77777777"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75" w:type="pct"/>
            <w:tcBorders>
              <w:bottom w:val="single" w:sz="4" w:space="0" w:color="auto"/>
            </w:tcBorders>
          </w:tcPr>
          <w:p w14:paraId="7008414F" w14:textId="7D700962"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.029</w:t>
            </w:r>
          </w:p>
        </w:tc>
        <w:tc>
          <w:tcPr>
            <w:tcW w:w="974" w:type="pct"/>
            <w:tcBorders>
              <w:bottom w:val="single" w:sz="4" w:space="0" w:color="auto"/>
            </w:tcBorders>
          </w:tcPr>
          <w:p w14:paraId="07BE660B" w14:textId="7BB36A70" w:rsidR="00DD1633" w:rsidRPr="00C347AD" w:rsidRDefault="00DD1633" w:rsidP="009B5FC1">
            <w:pPr>
              <w:spacing w:line="240" w:lineRule="auto"/>
              <w:ind w:firstLine="0"/>
              <w:rPr>
                <w:rFonts w:ascii="Times New Roman" w:hAnsi="Times New Roman" w:cs="Times New Roman"/>
              </w:rPr>
            </w:pPr>
            <w:r w:rsidRPr="00C347AD">
              <w:rPr>
                <w:rFonts w:ascii="Times New Roman" w:hAnsi="Times New Roman" w:cs="Times New Roman"/>
              </w:rPr>
              <w:t>.971</w:t>
            </w:r>
          </w:p>
        </w:tc>
      </w:tr>
    </w:tbl>
    <w:p w14:paraId="516B5236" w14:textId="77777777" w:rsidR="009D288F" w:rsidRPr="00C347AD" w:rsidRDefault="009D288F" w:rsidP="009D288F">
      <w:pPr>
        <w:ind w:firstLine="0"/>
      </w:pPr>
    </w:p>
    <w:p w14:paraId="1D3DD562" w14:textId="77777777" w:rsidR="009D288F" w:rsidRPr="00C347AD" w:rsidRDefault="009D288F" w:rsidP="009D288F">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064"/>
        <w:gridCol w:w="1727"/>
        <w:gridCol w:w="1725"/>
      </w:tblGrid>
      <w:tr w:rsidR="009D288F" w:rsidRPr="00C347AD" w14:paraId="1568B30C" w14:textId="77777777" w:rsidTr="009B5FC1">
        <w:tc>
          <w:tcPr>
            <w:tcW w:w="4026" w:type="pct"/>
            <w:gridSpan w:val="3"/>
          </w:tcPr>
          <w:p w14:paraId="682FDC6D"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Table </w:t>
            </w:r>
            <w:r w:rsidRPr="00C347AD">
              <w:rPr>
                <w:rFonts w:ascii="Times New Roman" w:hAnsi="Times New Roman" w:cs="Times New Roman"/>
                <w:highlight w:val="yellow"/>
              </w:rPr>
              <w:t>X</w:t>
            </w:r>
            <w:r w:rsidRPr="00C347AD">
              <w:rPr>
                <w:rFonts w:ascii="Times New Roman" w:hAnsi="Times New Roman" w:cs="Times New Roman"/>
              </w:rPr>
              <w:t xml:space="preserve">. </w:t>
            </w:r>
          </w:p>
        </w:tc>
        <w:tc>
          <w:tcPr>
            <w:tcW w:w="974" w:type="pct"/>
          </w:tcPr>
          <w:p w14:paraId="0F283AE9" w14:textId="77777777" w:rsidR="009D288F" w:rsidRPr="00C347AD" w:rsidRDefault="009D288F" w:rsidP="009B5FC1">
            <w:pPr>
              <w:spacing w:line="240" w:lineRule="auto"/>
              <w:ind w:firstLine="0"/>
              <w:rPr>
                <w:rFonts w:ascii="Times New Roman" w:hAnsi="Times New Roman" w:cs="Times New Roman"/>
              </w:rPr>
            </w:pPr>
          </w:p>
        </w:tc>
      </w:tr>
      <w:tr w:rsidR="00C347AD" w:rsidRPr="00C347AD" w14:paraId="28FE1C1D" w14:textId="77777777" w:rsidTr="00C347AD">
        <w:tc>
          <w:tcPr>
            <w:tcW w:w="5000" w:type="pct"/>
            <w:gridSpan w:val="4"/>
            <w:tcBorders>
              <w:bottom w:val="single" w:sz="4" w:space="0" w:color="auto"/>
            </w:tcBorders>
          </w:tcPr>
          <w:p w14:paraId="3DE8D9F3" w14:textId="6CBDF20D"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Test of Between-Group Effects (Teacher Sense of Efficacy in Universal Design for Learning Scale)</w:t>
            </w:r>
          </w:p>
        </w:tc>
      </w:tr>
      <w:tr w:rsidR="009D288F" w:rsidRPr="00C347AD" w14:paraId="6B69B209" w14:textId="77777777" w:rsidTr="009B5FC1">
        <w:tc>
          <w:tcPr>
            <w:tcW w:w="1321" w:type="pct"/>
            <w:tcBorders>
              <w:bottom w:val="single" w:sz="4" w:space="0" w:color="auto"/>
            </w:tcBorders>
          </w:tcPr>
          <w:p w14:paraId="37896066"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Source </w:t>
            </w:r>
          </w:p>
        </w:tc>
        <w:tc>
          <w:tcPr>
            <w:tcW w:w="1730" w:type="pct"/>
            <w:tcBorders>
              <w:bottom w:val="single" w:sz="4" w:space="0" w:color="auto"/>
            </w:tcBorders>
          </w:tcPr>
          <w:p w14:paraId="2C43F70E"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i/>
              </w:rPr>
              <w:t>df</w:t>
            </w:r>
          </w:p>
        </w:tc>
        <w:tc>
          <w:tcPr>
            <w:tcW w:w="975" w:type="pct"/>
            <w:tcBorders>
              <w:bottom w:val="single" w:sz="4" w:space="0" w:color="auto"/>
            </w:tcBorders>
          </w:tcPr>
          <w:p w14:paraId="4669B14C"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i/>
              </w:rPr>
              <w:t>F</w:t>
            </w:r>
          </w:p>
        </w:tc>
        <w:tc>
          <w:tcPr>
            <w:tcW w:w="974" w:type="pct"/>
            <w:tcBorders>
              <w:bottom w:val="single" w:sz="4" w:space="0" w:color="auto"/>
            </w:tcBorders>
          </w:tcPr>
          <w:p w14:paraId="5FC388F3"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Sig</w:t>
            </w:r>
          </w:p>
        </w:tc>
      </w:tr>
      <w:tr w:rsidR="009D288F" w:rsidRPr="00C347AD" w14:paraId="5DD54A97" w14:textId="77777777" w:rsidTr="009B5FC1">
        <w:trPr>
          <w:trHeight w:val="242"/>
        </w:trPr>
        <w:tc>
          <w:tcPr>
            <w:tcW w:w="1321" w:type="pct"/>
            <w:tcBorders>
              <w:bottom w:val="single" w:sz="4" w:space="0" w:color="auto"/>
            </w:tcBorders>
          </w:tcPr>
          <w:p w14:paraId="50DFE25A"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Group </w:t>
            </w:r>
          </w:p>
        </w:tc>
        <w:tc>
          <w:tcPr>
            <w:tcW w:w="1730" w:type="pct"/>
            <w:tcBorders>
              <w:bottom w:val="single" w:sz="4" w:space="0" w:color="auto"/>
            </w:tcBorders>
          </w:tcPr>
          <w:p w14:paraId="37FB83DE"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w:t>
            </w:r>
          </w:p>
        </w:tc>
        <w:tc>
          <w:tcPr>
            <w:tcW w:w="975" w:type="pct"/>
            <w:tcBorders>
              <w:bottom w:val="single" w:sz="4" w:space="0" w:color="auto"/>
            </w:tcBorders>
          </w:tcPr>
          <w:p w14:paraId="46FEA813" w14:textId="0DF874FF"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w:t>
            </w:r>
            <w:r w:rsidR="00DD1633" w:rsidRPr="00C347AD">
              <w:rPr>
                <w:rFonts w:ascii="Times New Roman" w:hAnsi="Times New Roman" w:cs="Times New Roman"/>
              </w:rPr>
              <w:t>116</w:t>
            </w:r>
          </w:p>
        </w:tc>
        <w:tc>
          <w:tcPr>
            <w:tcW w:w="974" w:type="pct"/>
            <w:tcBorders>
              <w:bottom w:val="single" w:sz="4" w:space="0" w:color="auto"/>
            </w:tcBorders>
          </w:tcPr>
          <w:p w14:paraId="3282C53C" w14:textId="11A53E64"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w:t>
            </w:r>
            <w:r w:rsidR="00DD1633" w:rsidRPr="00C347AD">
              <w:rPr>
                <w:rFonts w:ascii="Times New Roman" w:hAnsi="Times New Roman" w:cs="Times New Roman"/>
              </w:rPr>
              <w:t>737</w:t>
            </w:r>
          </w:p>
        </w:tc>
      </w:tr>
    </w:tbl>
    <w:p w14:paraId="034F0BA2" w14:textId="77777777" w:rsidR="00DD1633" w:rsidRPr="00C347AD" w:rsidRDefault="00DD1633" w:rsidP="00B66290">
      <w:pPr>
        <w:pStyle w:val="Heading3"/>
      </w:pPr>
    </w:p>
    <w:p w14:paraId="0A7DF0F0" w14:textId="77777777" w:rsidR="00DD1633" w:rsidRPr="00C347AD" w:rsidRDefault="00DD1633" w:rsidP="00B66290">
      <w:pPr>
        <w:pStyle w:val="Heading3"/>
      </w:pPr>
    </w:p>
    <w:p w14:paraId="1A4D8F4A" w14:textId="6CFEF581" w:rsidR="00B66290" w:rsidRPr="00C347AD" w:rsidRDefault="00B66290" w:rsidP="00B66290">
      <w:pPr>
        <w:pStyle w:val="Heading3"/>
        <w:rPr>
          <w:b w:val="0"/>
        </w:rPr>
      </w:pPr>
      <w:r w:rsidRPr="00C347AD">
        <w:t xml:space="preserve">Analysis of participant attitudes toward inclusion. </w:t>
      </w:r>
      <w:r w:rsidRPr="00C347AD">
        <w:rPr>
          <w:b w:val="0"/>
        </w:rPr>
        <w:t>The third research question was, “</w:t>
      </w:r>
      <w:r w:rsidR="003B096B" w:rsidRPr="00C347AD">
        <w:rPr>
          <w:b w:val="0"/>
        </w:rPr>
        <w:t>does modeling UDL lead to greater improvement in attitudes regarding inclusion of diverse students, including those with disabilities, when compared with traditional instruction?</w:t>
      </w:r>
      <w:r w:rsidRPr="00C347AD">
        <w:rPr>
          <w:b w:val="0"/>
        </w:rPr>
        <w:t xml:space="preserve">” To answer this question, data were drawn from the </w:t>
      </w:r>
      <w:r w:rsidR="003B096B" w:rsidRPr="00C347AD">
        <w:rPr>
          <w:b w:val="0"/>
        </w:rPr>
        <w:t>MATIES</w:t>
      </w:r>
      <w:r w:rsidRPr="00C347AD">
        <w:rPr>
          <w:b w:val="0"/>
        </w:rPr>
        <w:t xml:space="preserve">. Descriptive statistics for this instrument are presented in Table X. </w:t>
      </w:r>
    </w:p>
    <w:p w14:paraId="506493E6" w14:textId="77777777" w:rsidR="000B140A" w:rsidRPr="00C347AD" w:rsidRDefault="000B140A" w:rsidP="000B140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2717"/>
        <w:gridCol w:w="1624"/>
        <w:gridCol w:w="1624"/>
        <w:gridCol w:w="1624"/>
      </w:tblGrid>
      <w:tr w:rsidR="00D870C6" w:rsidRPr="00C347AD" w14:paraId="023B8DD7" w14:textId="77777777" w:rsidTr="00C347AD">
        <w:trPr>
          <w:trHeight w:val="333"/>
        </w:trPr>
        <w:tc>
          <w:tcPr>
            <w:tcW w:w="3166" w:type="pct"/>
            <w:gridSpan w:val="3"/>
          </w:tcPr>
          <w:p w14:paraId="0BD1E6BF"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highlight w:val="yellow"/>
              </w:rPr>
              <w:t>Table X.</w:t>
            </w:r>
            <w:r w:rsidRPr="00C347AD">
              <w:rPr>
                <w:rFonts w:ascii="Times New Roman" w:hAnsi="Times New Roman" w:cs="Times New Roman"/>
              </w:rPr>
              <w:t xml:space="preserve"> </w:t>
            </w:r>
          </w:p>
        </w:tc>
        <w:tc>
          <w:tcPr>
            <w:tcW w:w="917" w:type="pct"/>
          </w:tcPr>
          <w:p w14:paraId="0E8DEA28" w14:textId="77777777" w:rsidR="00D870C6" w:rsidRPr="00C347AD" w:rsidRDefault="00D870C6" w:rsidP="009B5FC1">
            <w:pPr>
              <w:spacing w:line="240" w:lineRule="auto"/>
              <w:ind w:firstLine="0"/>
              <w:rPr>
                <w:rFonts w:ascii="Times New Roman" w:hAnsi="Times New Roman" w:cs="Times New Roman"/>
              </w:rPr>
            </w:pPr>
          </w:p>
        </w:tc>
        <w:tc>
          <w:tcPr>
            <w:tcW w:w="917" w:type="pct"/>
          </w:tcPr>
          <w:p w14:paraId="755CBFEB" w14:textId="77777777" w:rsidR="00D870C6" w:rsidRPr="00C347AD" w:rsidRDefault="00D870C6" w:rsidP="009B5FC1">
            <w:pPr>
              <w:spacing w:line="240" w:lineRule="auto"/>
              <w:ind w:firstLine="0"/>
              <w:rPr>
                <w:rFonts w:ascii="Times New Roman" w:hAnsi="Times New Roman" w:cs="Times New Roman"/>
              </w:rPr>
            </w:pPr>
          </w:p>
        </w:tc>
      </w:tr>
      <w:tr w:rsidR="00C347AD" w:rsidRPr="00C347AD" w14:paraId="71FE697A" w14:textId="77777777" w:rsidTr="00C347AD">
        <w:tc>
          <w:tcPr>
            <w:tcW w:w="5000" w:type="pct"/>
            <w:gridSpan w:val="5"/>
            <w:tcBorders>
              <w:bottom w:val="single" w:sz="4" w:space="0" w:color="auto"/>
            </w:tcBorders>
          </w:tcPr>
          <w:p w14:paraId="7ADC56E4" w14:textId="4716AB5C"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Descriptive Statistics by Group and Time  (Multidimensional Attitudes Toward Inclusion Scale)</w:t>
            </w:r>
          </w:p>
        </w:tc>
      </w:tr>
      <w:tr w:rsidR="00D870C6" w:rsidRPr="00C347AD" w14:paraId="25AD653B" w14:textId="77777777" w:rsidTr="008F30AB">
        <w:trPr>
          <w:trHeight w:val="341"/>
        </w:trPr>
        <w:tc>
          <w:tcPr>
            <w:tcW w:w="715" w:type="pct"/>
            <w:tcBorders>
              <w:bottom w:val="single" w:sz="4" w:space="0" w:color="auto"/>
            </w:tcBorders>
          </w:tcPr>
          <w:p w14:paraId="482168E0"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Time</w:t>
            </w:r>
          </w:p>
        </w:tc>
        <w:tc>
          <w:tcPr>
            <w:tcW w:w="1534" w:type="pct"/>
            <w:tcBorders>
              <w:bottom w:val="single" w:sz="4" w:space="0" w:color="auto"/>
            </w:tcBorders>
          </w:tcPr>
          <w:p w14:paraId="44C14772"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 xml:space="preserve">Group ID </w:t>
            </w:r>
          </w:p>
        </w:tc>
        <w:tc>
          <w:tcPr>
            <w:tcW w:w="917" w:type="pct"/>
            <w:tcBorders>
              <w:bottom w:val="single" w:sz="4" w:space="0" w:color="auto"/>
            </w:tcBorders>
          </w:tcPr>
          <w:p w14:paraId="45DEB3BC" w14:textId="60C28D0D" w:rsidR="00D870C6" w:rsidRPr="00C347AD" w:rsidRDefault="00C347AD" w:rsidP="009B5FC1">
            <w:pPr>
              <w:spacing w:line="240" w:lineRule="auto"/>
              <w:ind w:firstLine="0"/>
              <w:rPr>
                <w:rFonts w:ascii="Times New Roman" w:hAnsi="Times New Roman" w:cs="Times New Roman"/>
                <w:i/>
              </w:rPr>
            </w:pPr>
            <w:r>
              <w:rPr>
                <w:rFonts w:ascii="Times New Roman" w:hAnsi="Times New Roman" w:cs="Times New Roman"/>
                <w:i/>
              </w:rPr>
              <w:t>M</w:t>
            </w:r>
          </w:p>
        </w:tc>
        <w:tc>
          <w:tcPr>
            <w:tcW w:w="917" w:type="pct"/>
            <w:tcBorders>
              <w:bottom w:val="single" w:sz="4" w:space="0" w:color="auto"/>
            </w:tcBorders>
          </w:tcPr>
          <w:p w14:paraId="0BA20C8A" w14:textId="01BDB6E7" w:rsidR="00D870C6" w:rsidRPr="00C347AD" w:rsidRDefault="00C347AD" w:rsidP="009B5FC1">
            <w:pPr>
              <w:spacing w:line="240" w:lineRule="auto"/>
              <w:ind w:firstLine="0"/>
              <w:rPr>
                <w:rFonts w:ascii="Times New Roman" w:hAnsi="Times New Roman" w:cs="Times New Roman"/>
                <w:i/>
              </w:rPr>
            </w:pPr>
            <w:r>
              <w:rPr>
                <w:rFonts w:ascii="Times New Roman" w:hAnsi="Times New Roman" w:cs="Times New Roman"/>
                <w:i/>
              </w:rPr>
              <w:t>SD</w:t>
            </w:r>
          </w:p>
        </w:tc>
        <w:tc>
          <w:tcPr>
            <w:tcW w:w="917" w:type="pct"/>
            <w:tcBorders>
              <w:bottom w:val="single" w:sz="4" w:space="0" w:color="auto"/>
            </w:tcBorders>
          </w:tcPr>
          <w:p w14:paraId="62C7CA6B" w14:textId="77777777" w:rsidR="00D870C6" w:rsidRPr="00C347AD" w:rsidRDefault="00D870C6" w:rsidP="009B5FC1">
            <w:pPr>
              <w:spacing w:line="240" w:lineRule="auto"/>
              <w:ind w:firstLine="0"/>
              <w:rPr>
                <w:rFonts w:ascii="Times New Roman" w:hAnsi="Times New Roman" w:cs="Times New Roman"/>
                <w:i/>
              </w:rPr>
            </w:pPr>
            <w:r w:rsidRPr="00C347AD">
              <w:rPr>
                <w:rFonts w:ascii="Times New Roman" w:hAnsi="Times New Roman" w:cs="Times New Roman"/>
              </w:rPr>
              <w:t xml:space="preserve">   </w:t>
            </w:r>
            <w:r w:rsidRPr="00C347AD">
              <w:rPr>
                <w:rFonts w:ascii="Times New Roman" w:hAnsi="Times New Roman" w:cs="Times New Roman"/>
                <w:i/>
              </w:rPr>
              <w:t>N</w:t>
            </w:r>
          </w:p>
        </w:tc>
      </w:tr>
      <w:tr w:rsidR="00D870C6" w:rsidRPr="00C347AD" w14:paraId="054E610F" w14:textId="77777777" w:rsidTr="009B5FC1">
        <w:trPr>
          <w:trHeight w:val="20"/>
        </w:trPr>
        <w:tc>
          <w:tcPr>
            <w:tcW w:w="715" w:type="pct"/>
            <w:tcBorders>
              <w:top w:val="single" w:sz="4" w:space="0" w:color="auto"/>
            </w:tcBorders>
          </w:tcPr>
          <w:p w14:paraId="081153AA"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Pretest</w:t>
            </w:r>
          </w:p>
        </w:tc>
        <w:tc>
          <w:tcPr>
            <w:tcW w:w="1534" w:type="pct"/>
            <w:tcBorders>
              <w:top w:val="single" w:sz="4" w:space="0" w:color="auto"/>
            </w:tcBorders>
          </w:tcPr>
          <w:p w14:paraId="1BC36253"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 xml:space="preserve">1 </w:t>
            </w:r>
          </w:p>
        </w:tc>
        <w:tc>
          <w:tcPr>
            <w:tcW w:w="917" w:type="pct"/>
            <w:tcBorders>
              <w:top w:val="single" w:sz="4" w:space="0" w:color="auto"/>
            </w:tcBorders>
          </w:tcPr>
          <w:p w14:paraId="319FBB28" w14:textId="2E9EB652"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5.13</w:t>
            </w:r>
          </w:p>
        </w:tc>
        <w:tc>
          <w:tcPr>
            <w:tcW w:w="917" w:type="pct"/>
            <w:tcBorders>
              <w:top w:val="single" w:sz="4" w:space="0" w:color="auto"/>
            </w:tcBorders>
          </w:tcPr>
          <w:p w14:paraId="57DBBF6D" w14:textId="21F11CBE"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0.</w:t>
            </w:r>
            <w:r w:rsidR="000B140A" w:rsidRPr="00C347AD">
              <w:rPr>
                <w:rFonts w:ascii="Times New Roman" w:hAnsi="Times New Roman" w:cs="Times New Roman"/>
              </w:rPr>
              <w:t>502</w:t>
            </w:r>
          </w:p>
        </w:tc>
        <w:tc>
          <w:tcPr>
            <w:tcW w:w="917" w:type="pct"/>
            <w:tcBorders>
              <w:top w:val="single" w:sz="4" w:space="0" w:color="auto"/>
            </w:tcBorders>
          </w:tcPr>
          <w:p w14:paraId="244BA6E5"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13</w:t>
            </w:r>
          </w:p>
        </w:tc>
      </w:tr>
      <w:tr w:rsidR="00D870C6" w:rsidRPr="00C347AD" w14:paraId="5A0B2899" w14:textId="77777777" w:rsidTr="009B5FC1">
        <w:trPr>
          <w:trHeight w:val="369"/>
        </w:trPr>
        <w:tc>
          <w:tcPr>
            <w:tcW w:w="715" w:type="pct"/>
          </w:tcPr>
          <w:p w14:paraId="2AEE22F7" w14:textId="77777777" w:rsidR="00D870C6" w:rsidRPr="00C347AD" w:rsidRDefault="00D870C6" w:rsidP="009B5FC1">
            <w:pPr>
              <w:spacing w:line="240" w:lineRule="auto"/>
              <w:ind w:firstLine="0"/>
              <w:rPr>
                <w:rFonts w:ascii="Times New Roman" w:hAnsi="Times New Roman" w:cs="Times New Roman"/>
              </w:rPr>
            </w:pPr>
          </w:p>
        </w:tc>
        <w:tc>
          <w:tcPr>
            <w:tcW w:w="1534" w:type="pct"/>
          </w:tcPr>
          <w:p w14:paraId="0CC01F25"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17" w:type="pct"/>
          </w:tcPr>
          <w:p w14:paraId="417797DF" w14:textId="795562EB"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5.13</w:t>
            </w:r>
          </w:p>
        </w:tc>
        <w:tc>
          <w:tcPr>
            <w:tcW w:w="917" w:type="pct"/>
          </w:tcPr>
          <w:p w14:paraId="240A2027" w14:textId="685DE4E3"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0.497</w:t>
            </w:r>
          </w:p>
        </w:tc>
        <w:tc>
          <w:tcPr>
            <w:tcW w:w="917" w:type="pct"/>
          </w:tcPr>
          <w:p w14:paraId="33803F5A"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r w:rsidR="00D870C6" w:rsidRPr="00C347AD" w14:paraId="00D2A3ED" w14:textId="77777777" w:rsidTr="009B5FC1">
        <w:trPr>
          <w:trHeight w:val="306"/>
        </w:trPr>
        <w:tc>
          <w:tcPr>
            <w:tcW w:w="715" w:type="pct"/>
          </w:tcPr>
          <w:p w14:paraId="79216BAA"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Posttest 1</w:t>
            </w:r>
          </w:p>
        </w:tc>
        <w:tc>
          <w:tcPr>
            <w:tcW w:w="1534" w:type="pct"/>
          </w:tcPr>
          <w:p w14:paraId="122C6327"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 xml:space="preserve">1 (control) </w:t>
            </w:r>
          </w:p>
        </w:tc>
        <w:tc>
          <w:tcPr>
            <w:tcW w:w="917" w:type="pct"/>
          </w:tcPr>
          <w:p w14:paraId="4BE49586" w14:textId="0CAED08B"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5.08</w:t>
            </w:r>
          </w:p>
        </w:tc>
        <w:tc>
          <w:tcPr>
            <w:tcW w:w="917" w:type="pct"/>
          </w:tcPr>
          <w:p w14:paraId="1B492507" w14:textId="4774E4C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0.</w:t>
            </w:r>
            <w:r w:rsidR="000B140A" w:rsidRPr="00C347AD">
              <w:rPr>
                <w:rFonts w:ascii="Times New Roman" w:hAnsi="Times New Roman" w:cs="Times New Roman"/>
              </w:rPr>
              <w:t>636</w:t>
            </w:r>
          </w:p>
        </w:tc>
        <w:tc>
          <w:tcPr>
            <w:tcW w:w="917" w:type="pct"/>
          </w:tcPr>
          <w:p w14:paraId="601E2DDF"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13</w:t>
            </w:r>
          </w:p>
        </w:tc>
      </w:tr>
      <w:tr w:rsidR="00D870C6" w:rsidRPr="00C347AD" w14:paraId="7DDDAB1D" w14:textId="77777777" w:rsidTr="009B5FC1">
        <w:trPr>
          <w:trHeight w:val="360"/>
        </w:trPr>
        <w:tc>
          <w:tcPr>
            <w:tcW w:w="715" w:type="pct"/>
          </w:tcPr>
          <w:p w14:paraId="2BE75B65" w14:textId="77777777" w:rsidR="00D870C6" w:rsidRPr="00C347AD" w:rsidRDefault="00D870C6" w:rsidP="009B5FC1">
            <w:pPr>
              <w:spacing w:line="240" w:lineRule="auto"/>
              <w:ind w:firstLine="0"/>
              <w:rPr>
                <w:rFonts w:ascii="Times New Roman" w:hAnsi="Times New Roman" w:cs="Times New Roman"/>
              </w:rPr>
            </w:pPr>
          </w:p>
        </w:tc>
        <w:tc>
          <w:tcPr>
            <w:tcW w:w="1534" w:type="pct"/>
          </w:tcPr>
          <w:p w14:paraId="65A9F02E"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2 (treatment)</w:t>
            </w:r>
          </w:p>
        </w:tc>
        <w:tc>
          <w:tcPr>
            <w:tcW w:w="917" w:type="pct"/>
          </w:tcPr>
          <w:p w14:paraId="43700CC9" w14:textId="703C906A"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5.11</w:t>
            </w:r>
          </w:p>
        </w:tc>
        <w:tc>
          <w:tcPr>
            <w:tcW w:w="917" w:type="pct"/>
          </w:tcPr>
          <w:p w14:paraId="3CA744C0" w14:textId="0B4D842D"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0.484</w:t>
            </w:r>
          </w:p>
        </w:tc>
        <w:tc>
          <w:tcPr>
            <w:tcW w:w="917" w:type="pct"/>
          </w:tcPr>
          <w:p w14:paraId="78054965"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r w:rsidR="00D870C6" w:rsidRPr="00C347AD" w14:paraId="08C8014F" w14:textId="77777777" w:rsidTr="009B5FC1">
        <w:trPr>
          <w:trHeight w:val="297"/>
        </w:trPr>
        <w:tc>
          <w:tcPr>
            <w:tcW w:w="715" w:type="pct"/>
          </w:tcPr>
          <w:p w14:paraId="3BFA6874"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Posttest 2</w:t>
            </w:r>
          </w:p>
        </w:tc>
        <w:tc>
          <w:tcPr>
            <w:tcW w:w="1534" w:type="pct"/>
          </w:tcPr>
          <w:p w14:paraId="1085F9CB"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 (treatment)</w:t>
            </w:r>
          </w:p>
        </w:tc>
        <w:tc>
          <w:tcPr>
            <w:tcW w:w="917" w:type="pct"/>
          </w:tcPr>
          <w:p w14:paraId="7ECC9771" w14:textId="72F83BD1"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4.97</w:t>
            </w:r>
          </w:p>
        </w:tc>
        <w:tc>
          <w:tcPr>
            <w:tcW w:w="917" w:type="pct"/>
          </w:tcPr>
          <w:p w14:paraId="09DABAD2" w14:textId="54918C8F"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0.</w:t>
            </w:r>
            <w:r w:rsidR="000B140A" w:rsidRPr="00C347AD">
              <w:rPr>
                <w:rFonts w:ascii="Times New Roman" w:hAnsi="Times New Roman" w:cs="Times New Roman"/>
              </w:rPr>
              <w:t>704</w:t>
            </w:r>
          </w:p>
        </w:tc>
        <w:tc>
          <w:tcPr>
            <w:tcW w:w="917" w:type="pct"/>
          </w:tcPr>
          <w:p w14:paraId="273DCC01"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13</w:t>
            </w:r>
          </w:p>
        </w:tc>
      </w:tr>
      <w:tr w:rsidR="00D870C6" w:rsidRPr="00C347AD" w14:paraId="21CB3248" w14:textId="77777777" w:rsidTr="009B5FC1">
        <w:trPr>
          <w:trHeight w:val="20"/>
        </w:trPr>
        <w:tc>
          <w:tcPr>
            <w:tcW w:w="715" w:type="pct"/>
            <w:tcBorders>
              <w:bottom w:val="single" w:sz="4" w:space="0" w:color="auto"/>
            </w:tcBorders>
          </w:tcPr>
          <w:p w14:paraId="7BE6D6FD" w14:textId="77777777" w:rsidR="00D870C6" w:rsidRPr="00C347AD" w:rsidRDefault="00D870C6" w:rsidP="009B5FC1">
            <w:pPr>
              <w:spacing w:line="240" w:lineRule="auto"/>
              <w:ind w:firstLine="0"/>
              <w:rPr>
                <w:rFonts w:ascii="Times New Roman" w:hAnsi="Times New Roman" w:cs="Times New Roman"/>
              </w:rPr>
            </w:pPr>
          </w:p>
        </w:tc>
        <w:tc>
          <w:tcPr>
            <w:tcW w:w="1534" w:type="pct"/>
            <w:tcBorders>
              <w:bottom w:val="single" w:sz="4" w:space="0" w:color="auto"/>
            </w:tcBorders>
          </w:tcPr>
          <w:p w14:paraId="61D296F4"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 xml:space="preserve">2 (control) </w:t>
            </w:r>
          </w:p>
        </w:tc>
        <w:tc>
          <w:tcPr>
            <w:tcW w:w="917" w:type="pct"/>
            <w:tcBorders>
              <w:bottom w:val="single" w:sz="4" w:space="0" w:color="auto"/>
            </w:tcBorders>
          </w:tcPr>
          <w:p w14:paraId="66F5EFF8" w14:textId="3873576A" w:rsidR="00D870C6" w:rsidRPr="00C347AD" w:rsidRDefault="000B140A" w:rsidP="009B5FC1">
            <w:pPr>
              <w:spacing w:line="240" w:lineRule="auto"/>
              <w:ind w:firstLine="0"/>
              <w:rPr>
                <w:rFonts w:ascii="Times New Roman" w:hAnsi="Times New Roman" w:cs="Times New Roman"/>
              </w:rPr>
            </w:pPr>
            <w:r w:rsidRPr="00C347AD">
              <w:rPr>
                <w:rFonts w:ascii="Times New Roman" w:hAnsi="Times New Roman" w:cs="Times New Roman"/>
              </w:rPr>
              <w:t>5.27</w:t>
            </w:r>
          </w:p>
        </w:tc>
        <w:tc>
          <w:tcPr>
            <w:tcW w:w="917" w:type="pct"/>
            <w:tcBorders>
              <w:bottom w:val="single" w:sz="4" w:space="0" w:color="auto"/>
            </w:tcBorders>
          </w:tcPr>
          <w:p w14:paraId="0403FB6D" w14:textId="2C944D41"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0.</w:t>
            </w:r>
            <w:r w:rsidR="000B140A" w:rsidRPr="00C347AD">
              <w:rPr>
                <w:rFonts w:ascii="Times New Roman" w:hAnsi="Times New Roman" w:cs="Times New Roman"/>
              </w:rPr>
              <w:t>520</w:t>
            </w:r>
          </w:p>
        </w:tc>
        <w:tc>
          <w:tcPr>
            <w:tcW w:w="917" w:type="pct"/>
            <w:tcBorders>
              <w:bottom w:val="single" w:sz="4" w:space="0" w:color="auto"/>
            </w:tcBorders>
          </w:tcPr>
          <w:p w14:paraId="27D14184" w14:textId="77777777" w:rsidR="00D870C6" w:rsidRPr="00C347AD" w:rsidRDefault="00D870C6" w:rsidP="009B5FC1">
            <w:pPr>
              <w:spacing w:line="240" w:lineRule="auto"/>
              <w:ind w:firstLine="0"/>
              <w:rPr>
                <w:rFonts w:ascii="Times New Roman" w:hAnsi="Times New Roman" w:cs="Times New Roman"/>
              </w:rPr>
            </w:pPr>
            <w:r w:rsidRPr="00C347AD">
              <w:rPr>
                <w:rFonts w:ascii="Times New Roman" w:hAnsi="Times New Roman" w:cs="Times New Roman"/>
              </w:rPr>
              <w:t>10</w:t>
            </w:r>
          </w:p>
        </w:tc>
      </w:tr>
    </w:tbl>
    <w:p w14:paraId="77762E0F" w14:textId="77777777" w:rsidR="00D870C6" w:rsidRPr="00C347AD" w:rsidRDefault="00D870C6" w:rsidP="00D870C6"/>
    <w:p w14:paraId="0B54B905" w14:textId="77777777" w:rsidR="00D870C6" w:rsidRPr="00C347AD" w:rsidRDefault="00D870C6" w:rsidP="00D870C6"/>
    <w:p w14:paraId="1FE5628A" w14:textId="6D0010F3" w:rsidR="00C217E8" w:rsidRPr="00C347AD" w:rsidRDefault="003B1EA2" w:rsidP="00D870C6">
      <w:r w:rsidRPr="00C347AD">
        <w:lastRenderedPageBreak/>
        <w:t xml:space="preserve">A two-way repeated measures ANOVA was conducted to examine both between- and within-group effects of the intervention. </w:t>
      </w:r>
      <w:r w:rsidR="00C217E8" w:rsidRPr="00C347AD">
        <w:t xml:space="preserve">There was no group (condition) by time </w:t>
      </w:r>
      <w:commentRangeStart w:id="94"/>
      <w:r w:rsidR="00C217E8" w:rsidRPr="00C347AD">
        <w:t xml:space="preserve">interaction </w:t>
      </w:r>
      <w:r w:rsidR="00C217E8" w:rsidRPr="00C347AD">
        <w:rPr>
          <w:i/>
        </w:rPr>
        <w:t>F</w:t>
      </w:r>
      <w:r w:rsidR="00C217E8" w:rsidRPr="00C347AD">
        <w:t xml:space="preserve">(2,42)=.565, p=.573, meaning any differences between conditions is consistent for all groups. There is also not a significant time main effect </w:t>
      </w:r>
      <w:r w:rsidR="00C217E8" w:rsidRPr="00C347AD">
        <w:rPr>
          <w:i/>
        </w:rPr>
        <w:t>F</w:t>
      </w:r>
      <w:r w:rsidR="00C217E8" w:rsidRPr="00C347AD">
        <w:t>(2,42)=.474, p=.626, meaning that there were no</w:t>
      </w:r>
      <w:r w:rsidRPr="00C347AD">
        <w:t xml:space="preserve"> </w:t>
      </w:r>
      <w:r w:rsidR="00C217E8" w:rsidRPr="00C347AD">
        <w:t>significant differences between pretest, posttest 1 and/or posttest 2</w:t>
      </w:r>
      <w:r w:rsidR="009D288F" w:rsidRPr="00C347AD">
        <w:t xml:space="preserve"> (see Table X)</w:t>
      </w:r>
      <w:r w:rsidR="00C217E8" w:rsidRPr="00C347AD">
        <w:t xml:space="preserve">. Lastly, there was no group main effect </w:t>
      </w:r>
      <w:r w:rsidR="00C217E8" w:rsidRPr="00C347AD">
        <w:rPr>
          <w:i/>
        </w:rPr>
        <w:t>F</w:t>
      </w:r>
      <w:r w:rsidR="00C217E8" w:rsidRPr="00C347AD">
        <w:t xml:space="preserve">(1, </w:t>
      </w:r>
      <w:r w:rsidR="009D288F" w:rsidRPr="00C347AD">
        <w:t>21)=.</w:t>
      </w:r>
      <w:r w:rsidR="00C217E8" w:rsidRPr="00C347AD">
        <w:t>307, p=.586, indicating that were no overall di</w:t>
      </w:r>
      <w:r w:rsidR="009D288F" w:rsidRPr="00C347AD">
        <w:t>fferences between groups (see Table X).</w:t>
      </w:r>
      <w:r w:rsidR="00C217E8" w:rsidRPr="00C347AD">
        <w:t xml:space="preserve"> </w:t>
      </w:r>
      <w:r w:rsidR="003977D8" w:rsidRPr="00C347AD">
        <w:t xml:space="preserve">This is an omnibus statistic, but because this statistic would be significant if there were significant differences at any time point, I must conclude that the groups were never significantly different from one another. Most significantly, </w:t>
      </w:r>
      <w:r w:rsidR="00981C26" w:rsidRPr="00C347AD">
        <w:t>participants in group 2</w:t>
      </w:r>
      <w:r w:rsidR="003977D8" w:rsidRPr="00C347AD">
        <w:t xml:space="preserve"> did not score significantly higher at posttest 1, after experiencing the treatment condition, than </w:t>
      </w:r>
      <w:r w:rsidR="00981C26" w:rsidRPr="00C347AD">
        <w:t>participants in group 1</w:t>
      </w:r>
      <w:r w:rsidR="003977D8" w:rsidRPr="00C347AD">
        <w:t xml:space="preserve">. </w:t>
      </w:r>
      <w:r w:rsidR="00C217E8" w:rsidRPr="00C347AD">
        <w:t xml:space="preserve">To this end, I fail to reject the null hypothesis for this question; the modeling condition did not result in significantly greater growth in teacher attitudes toward inclusion compared to the lecture condition. </w:t>
      </w:r>
      <w:commentRangeEnd w:id="94"/>
      <w:r w:rsidRPr="00C347AD">
        <w:rPr>
          <w:rStyle w:val="CommentReference"/>
        </w:rPr>
        <w:commentReference w:id="94"/>
      </w:r>
    </w:p>
    <w:p w14:paraId="2E167C5B" w14:textId="77777777" w:rsidR="009D288F" w:rsidRPr="00C347AD" w:rsidRDefault="009D288F" w:rsidP="00C217E8">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064"/>
        <w:gridCol w:w="1727"/>
        <w:gridCol w:w="1725"/>
      </w:tblGrid>
      <w:tr w:rsidR="009D288F" w:rsidRPr="00C347AD" w14:paraId="0BE302EF" w14:textId="77777777" w:rsidTr="009B5FC1">
        <w:tc>
          <w:tcPr>
            <w:tcW w:w="4026" w:type="pct"/>
            <w:gridSpan w:val="3"/>
          </w:tcPr>
          <w:p w14:paraId="2AB2678C"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Table </w:t>
            </w:r>
            <w:r w:rsidRPr="00C347AD">
              <w:rPr>
                <w:rFonts w:ascii="Times New Roman" w:hAnsi="Times New Roman" w:cs="Times New Roman"/>
                <w:highlight w:val="yellow"/>
              </w:rPr>
              <w:t>X</w:t>
            </w:r>
            <w:r w:rsidRPr="00C347AD">
              <w:rPr>
                <w:rFonts w:ascii="Times New Roman" w:hAnsi="Times New Roman" w:cs="Times New Roman"/>
              </w:rPr>
              <w:t xml:space="preserve">. </w:t>
            </w:r>
          </w:p>
        </w:tc>
        <w:tc>
          <w:tcPr>
            <w:tcW w:w="974" w:type="pct"/>
          </w:tcPr>
          <w:p w14:paraId="193B1D62" w14:textId="77777777" w:rsidR="009D288F" w:rsidRPr="00C347AD" w:rsidRDefault="009D288F" w:rsidP="009B5FC1">
            <w:pPr>
              <w:spacing w:line="240" w:lineRule="auto"/>
              <w:ind w:firstLine="0"/>
              <w:rPr>
                <w:rFonts w:ascii="Times New Roman" w:hAnsi="Times New Roman" w:cs="Times New Roman"/>
              </w:rPr>
            </w:pPr>
          </w:p>
        </w:tc>
      </w:tr>
      <w:tr w:rsidR="00C347AD" w:rsidRPr="00C347AD" w14:paraId="4C7305D6" w14:textId="77777777" w:rsidTr="00C347AD">
        <w:tc>
          <w:tcPr>
            <w:tcW w:w="5000" w:type="pct"/>
            <w:gridSpan w:val="4"/>
            <w:tcBorders>
              <w:bottom w:val="single" w:sz="4" w:space="0" w:color="auto"/>
            </w:tcBorders>
          </w:tcPr>
          <w:p w14:paraId="1C1AD53B" w14:textId="1EBA68C7"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t>Test Within-Group Effects (Multidimensional Attitudes Toward Inclusion Scale)</w:t>
            </w:r>
          </w:p>
        </w:tc>
      </w:tr>
      <w:tr w:rsidR="009D288F" w:rsidRPr="00C347AD" w14:paraId="52DA4F61" w14:textId="77777777" w:rsidTr="009D288F">
        <w:tc>
          <w:tcPr>
            <w:tcW w:w="1321" w:type="pct"/>
            <w:tcBorders>
              <w:bottom w:val="single" w:sz="4" w:space="0" w:color="auto"/>
            </w:tcBorders>
          </w:tcPr>
          <w:p w14:paraId="73B3AE91"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Source </w:t>
            </w:r>
          </w:p>
        </w:tc>
        <w:tc>
          <w:tcPr>
            <w:tcW w:w="1730" w:type="pct"/>
            <w:tcBorders>
              <w:bottom w:val="single" w:sz="4" w:space="0" w:color="auto"/>
            </w:tcBorders>
          </w:tcPr>
          <w:p w14:paraId="4F3CE9FC"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i/>
              </w:rPr>
              <w:t>df</w:t>
            </w:r>
          </w:p>
        </w:tc>
        <w:tc>
          <w:tcPr>
            <w:tcW w:w="975" w:type="pct"/>
            <w:tcBorders>
              <w:bottom w:val="single" w:sz="4" w:space="0" w:color="auto"/>
            </w:tcBorders>
          </w:tcPr>
          <w:p w14:paraId="6EE94561" w14:textId="77777777" w:rsidR="009D288F" w:rsidRPr="00C347AD" w:rsidRDefault="009D288F" w:rsidP="009B5FC1">
            <w:pPr>
              <w:spacing w:line="240" w:lineRule="auto"/>
              <w:ind w:firstLine="0"/>
              <w:rPr>
                <w:rFonts w:ascii="Times New Roman" w:hAnsi="Times New Roman" w:cs="Times New Roman"/>
                <w:i/>
              </w:rPr>
            </w:pPr>
            <w:r w:rsidRPr="00C347AD">
              <w:rPr>
                <w:rFonts w:ascii="Times New Roman" w:hAnsi="Times New Roman" w:cs="Times New Roman"/>
                <w:i/>
              </w:rPr>
              <w:t>F</w:t>
            </w:r>
          </w:p>
        </w:tc>
        <w:tc>
          <w:tcPr>
            <w:tcW w:w="974" w:type="pct"/>
            <w:tcBorders>
              <w:bottom w:val="single" w:sz="4" w:space="0" w:color="auto"/>
            </w:tcBorders>
          </w:tcPr>
          <w:p w14:paraId="06179C78"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Sig</w:t>
            </w:r>
          </w:p>
        </w:tc>
      </w:tr>
      <w:tr w:rsidR="009D288F" w:rsidRPr="00C347AD" w14:paraId="464EB757" w14:textId="77777777" w:rsidTr="009D288F">
        <w:tc>
          <w:tcPr>
            <w:tcW w:w="1321" w:type="pct"/>
            <w:tcBorders>
              <w:top w:val="single" w:sz="4" w:space="0" w:color="auto"/>
            </w:tcBorders>
          </w:tcPr>
          <w:p w14:paraId="1C242763" w14:textId="5762F2A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 xml:space="preserve">Time </w:t>
            </w:r>
          </w:p>
        </w:tc>
        <w:tc>
          <w:tcPr>
            <w:tcW w:w="1730" w:type="pct"/>
            <w:tcBorders>
              <w:top w:val="single" w:sz="4" w:space="0" w:color="auto"/>
            </w:tcBorders>
          </w:tcPr>
          <w:p w14:paraId="3207D110" w14:textId="50A1F11A"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75" w:type="pct"/>
            <w:tcBorders>
              <w:top w:val="single" w:sz="4" w:space="0" w:color="auto"/>
            </w:tcBorders>
          </w:tcPr>
          <w:p w14:paraId="70EC3351" w14:textId="6FAB4A55"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.474</w:t>
            </w:r>
          </w:p>
        </w:tc>
        <w:tc>
          <w:tcPr>
            <w:tcW w:w="974" w:type="pct"/>
            <w:tcBorders>
              <w:top w:val="single" w:sz="4" w:space="0" w:color="auto"/>
            </w:tcBorders>
          </w:tcPr>
          <w:p w14:paraId="3079A8D5" w14:textId="194FA18E"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.626</w:t>
            </w:r>
          </w:p>
        </w:tc>
      </w:tr>
      <w:tr w:rsidR="009D288F" w:rsidRPr="00C347AD" w14:paraId="7270C12A" w14:textId="77777777" w:rsidTr="009D288F">
        <w:trPr>
          <w:trHeight w:val="279"/>
        </w:trPr>
        <w:tc>
          <w:tcPr>
            <w:tcW w:w="1321" w:type="pct"/>
            <w:tcBorders>
              <w:bottom w:val="single" w:sz="4" w:space="0" w:color="auto"/>
            </w:tcBorders>
          </w:tcPr>
          <w:p w14:paraId="54DC54C7" w14:textId="7D23DC75"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Time*Group</w:t>
            </w:r>
          </w:p>
        </w:tc>
        <w:tc>
          <w:tcPr>
            <w:tcW w:w="1730" w:type="pct"/>
            <w:tcBorders>
              <w:bottom w:val="single" w:sz="4" w:space="0" w:color="auto"/>
            </w:tcBorders>
          </w:tcPr>
          <w:p w14:paraId="23AD3DC5" w14:textId="77777777"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2</w:t>
            </w:r>
          </w:p>
        </w:tc>
        <w:tc>
          <w:tcPr>
            <w:tcW w:w="975" w:type="pct"/>
            <w:tcBorders>
              <w:bottom w:val="single" w:sz="4" w:space="0" w:color="auto"/>
            </w:tcBorders>
          </w:tcPr>
          <w:p w14:paraId="4827827C" w14:textId="13326506"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.565</w:t>
            </w:r>
          </w:p>
        </w:tc>
        <w:tc>
          <w:tcPr>
            <w:tcW w:w="974" w:type="pct"/>
            <w:tcBorders>
              <w:bottom w:val="single" w:sz="4" w:space="0" w:color="auto"/>
            </w:tcBorders>
          </w:tcPr>
          <w:p w14:paraId="2EC5B9AC" w14:textId="1414FF98" w:rsidR="009D288F"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.560</w:t>
            </w:r>
          </w:p>
        </w:tc>
      </w:tr>
    </w:tbl>
    <w:p w14:paraId="2FAD696E" w14:textId="77777777" w:rsidR="009D288F" w:rsidRPr="00C347AD" w:rsidRDefault="009D288F" w:rsidP="00C217E8">
      <w:pPr>
        <w:ind w:firstLine="0"/>
      </w:pPr>
    </w:p>
    <w:p w14:paraId="2C7EC3CE" w14:textId="2C411F25" w:rsidR="00B66290" w:rsidRPr="00C347AD" w:rsidRDefault="00B66290" w:rsidP="00C217E8">
      <w:pPr>
        <w:ind w:firstLine="0"/>
      </w:pPr>
    </w:p>
    <w:p w14:paraId="4C4AA585" w14:textId="77777777" w:rsidR="00D870C6" w:rsidRPr="00C347AD" w:rsidRDefault="00D870C6" w:rsidP="00C217E8">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064"/>
        <w:gridCol w:w="1727"/>
        <w:gridCol w:w="1725"/>
      </w:tblGrid>
      <w:tr w:rsidR="005B2AC3" w:rsidRPr="00C347AD" w14:paraId="18FB5938" w14:textId="77777777" w:rsidTr="009B5FC1">
        <w:tc>
          <w:tcPr>
            <w:tcW w:w="4026" w:type="pct"/>
            <w:gridSpan w:val="3"/>
          </w:tcPr>
          <w:p w14:paraId="6B6FAB80" w14:textId="2A5C0C9F" w:rsidR="005B2AC3" w:rsidRPr="00C347AD" w:rsidRDefault="005B2AC3" w:rsidP="009B5FC1">
            <w:pPr>
              <w:spacing w:line="240" w:lineRule="auto"/>
              <w:ind w:firstLine="0"/>
              <w:rPr>
                <w:rFonts w:ascii="Times New Roman" w:hAnsi="Times New Roman" w:cs="Times New Roman"/>
              </w:rPr>
            </w:pPr>
            <w:r w:rsidRPr="00C347AD">
              <w:rPr>
                <w:rFonts w:ascii="Times New Roman" w:hAnsi="Times New Roman" w:cs="Times New Roman"/>
              </w:rPr>
              <w:t xml:space="preserve">Table </w:t>
            </w:r>
            <w:r w:rsidRPr="00C347AD">
              <w:rPr>
                <w:rFonts w:ascii="Times New Roman" w:hAnsi="Times New Roman" w:cs="Times New Roman"/>
                <w:highlight w:val="yellow"/>
              </w:rPr>
              <w:t>X</w:t>
            </w:r>
            <w:r w:rsidRPr="00C347AD">
              <w:rPr>
                <w:rFonts w:ascii="Times New Roman" w:hAnsi="Times New Roman" w:cs="Times New Roman"/>
              </w:rPr>
              <w:t xml:space="preserve">. </w:t>
            </w:r>
          </w:p>
        </w:tc>
        <w:tc>
          <w:tcPr>
            <w:tcW w:w="974" w:type="pct"/>
          </w:tcPr>
          <w:p w14:paraId="36132EE8" w14:textId="77777777" w:rsidR="005B2AC3" w:rsidRPr="00C347AD" w:rsidRDefault="005B2AC3" w:rsidP="009B5FC1">
            <w:pPr>
              <w:spacing w:line="240" w:lineRule="auto"/>
              <w:ind w:firstLine="0"/>
              <w:rPr>
                <w:rFonts w:ascii="Times New Roman" w:hAnsi="Times New Roman" w:cs="Times New Roman"/>
              </w:rPr>
            </w:pPr>
          </w:p>
        </w:tc>
      </w:tr>
      <w:tr w:rsidR="00C347AD" w:rsidRPr="00C347AD" w14:paraId="56A06611" w14:textId="77777777" w:rsidTr="00C347AD">
        <w:tc>
          <w:tcPr>
            <w:tcW w:w="5000" w:type="pct"/>
            <w:gridSpan w:val="4"/>
            <w:tcBorders>
              <w:bottom w:val="single" w:sz="4" w:space="0" w:color="auto"/>
            </w:tcBorders>
          </w:tcPr>
          <w:p w14:paraId="29199CC8" w14:textId="6E1E9EB1" w:rsidR="00C347AD" w:rsidRPr="00C347AD" w:rsidRDefault="00C347AD" w:rsidP="009B5FC1">
            <w:pPr>
              <w:spacing w:line="240" w:lineRule="auto"/>
              <w:ind w:firstLine="0"/>
              <w:rPr>
                <w:rFonts w:ascii="Times New Roman" w:hAnsi="Times New Roman" w:cs="Times New Roman"/>
                <w:i/>
              </w:rPr>
            </w:pPr>
            <w:r w:rsidRPr="00C347AD">
              <w:rPr>
                <w:rFonts w:ascii="Times New Roman" w:hAnsi="Times New Roman" w:cs="Times New Roman"/>
                <w:i/>
              </w:rPr>
              <w:lastRenderedPageBreak/>
              <w:t>Test of Between-Group Effects (Multidimensional Attitudes Toward Inclusion Scale)</w:t>
            </w:r>
          </w:p>
        </w:tc>
      </w:tr>
      <w:tr w:rsidR="005B2AC3" w:rsidRPr="00C347AD" w14:paraId="73EF2127" w14:textId="77777777" w:rsidTr="009B5FC1">
        <w:tc>
          <w:tcPr>
            <w:tcW w:w="1321" w:type="pct"/>
            <w:tcBorders>
              <w:bottom w:val="single" w:sz="4" w:space="0" w:color="auto"/>
            </w:tcBorders>
          </w:tcPr>
          <w:p w14:paraId="627889F8" w14:textId="77777777" w:rsidR="005B2AC3" w:rsidRPr="00C347AD" w:rsidRDefault="005B2AC3" w:rsidP="009B5FC1">
            <w:pPr>
              <w:spacing w:line="240" w:lineRule="auto"/>
              <w:ind w:firstLine="0"/>
              <w:rPr>
                <w:rFonts w:ascii="Times New Roman" w:hAnsi="Times New Roman" w:cs="Times New Roman"/>
              </w:rPr>
            </w:pPr>
            <w:r w:rsidRPr="00C347AD">
              <w:rPr>
                <w:rFonts w:ascii="Times New Roman" w:hAnsi="Times New Roman" w:cs="Times New Roman"/>
              </w:rPr>
              <w:t xml:space="preserve">Source </w:t>
            </w:r>
          </w:p>
        </w:tc>
        <w:tc>
          <w:tcPr>
            <w:tcW w:w="1730" w:type="pct"/>
            <w:tcBorders>
              <w:bottom w:val="single" w:sz="4" w:space="0" w:color="auto"/>
            </w:tcBorders>
          </w:tcPr>
          <w:p w14:paraId="4551C93C" w14:textId="77777777" w:rsidR="005B2AC3" w:rsidRPr="00C347AD" w:rsidRDefault="005B2AC3" w:rsidP="009B5FC1">
            <w:pPr>
              <w:spacing w:line="240" w:lineRule="auto"/>
              <w:ind w:firstLine="0"/>
              <w:rPr>
                <w:rFonts w:ascii="Times New Roman" w:hAnsi="Times New Roman" w:cs="Times New Roman"/>
                <w:i/>
              </w:rPr>
            </w:pPr>
            <w:r w:rsidRPr="00C347AD">
              <w:rPr>
                <w:rFonts w:ascii="Times New Roman" w:hAnsi="Times New Roman" w:cs="Times New Roman"/>
                <w:i/>
              </w:rPr>
              <w:t>df</w:t>
            </w:r>
          </w:p>
        </w:tc>
        <w:tc>
          <w:tcPr>
            <w:tcW w:w="975" w:type="pct"/>
            <w:tcBorders>
              <w:bottom w:val="single" w:sz="4" w:space="0" w:color="auto"/>
            </w:tcBorders>
          </w:tcPr>
          <w:p w14:paraId="6DA1C9FA" w14:textId="77777777" w:rsidR="005B2AC3" w:rsidRPr="00C347AD" w:rsidRDefault="005B2AC3" w:rsidP="009B5FC1">
            <w:pPr>
              <w:spacing w:line="240" w:lineRule="auto"/>
              <w:ind w:firstLine="0"/>
              <w:rPr>
                <w:rFonts w:ascii="Times New Roman" w:hAnsi="Times New Roman" w:cs="Times New Roman"/>
                <w:i/>
              </w:rPr>
            </w:pPr>
            <w:r w:rsidRPr="00C347AD">
              <w:rPr>
                <w:rFonts w:ascii="Times New Roman" w:hAnsi="Times New Roman" w:cs="Times New Roman"/>
                <w:i/>
              </w:rPr>
              <w:t>F</w:t>
            </w:r>
          </w:p>
        </w:tc>
        <w:tc>
          <w:tcPr>
            <w:tcW w:w="974" w:type="pct"/>
            <w:tcBorders>
              <w:bottom w:val="single" w:sz="4" w:space="0" w:color="auto"/>
            </w:tcBorders>
          </w:tcPr>
          <w:p w14:paraId="72CE6B16" w14:textId="77777777" w:rsidR="005B2AC3" w:rsidRPr="00C347AD" w:rsidRDefault="005B2AC3" w:rsidP="009B5FC1">
            <w:pPr>
              <w:spacing w:line="240" w:lineRule="auto"/>
              <w:ind w:firstLine="0"/>
              <w:rPr>
                <w:rFonts w:ascii="Times New Roman" w:hAnsi="Times New Roman" w:cs="Times New Roman"/>
              </w:rPr>
            </w:pPr>
            <w:r w:rsidRPr="00C347AD">
              <w:rPr>
                <w:rFonts w:ascii="Times New Roman" w:hAnsi="Times New Roman" w:cs="Times New Roman"/>
              </w:rPr>
              <w:t>Sig</w:t>
            </w:r>
          </w:p>
        </w:tc>
      </w:tr>
      <w:tr w:rsidR="005B2AC3" w:rsidRPr="00C347AD" w14:paraId="07E1CC68" w14:textId="77777777" w:rsidTr="00B92957">
        <w:trPr>
          <w:trHeight w:val="242"/>
        </w:trPr>
        <w:tc>
          <w:tcPr>
            <w:tcW w:w="1321" w:type="pct"/>
            <w:tcBorders>
              <w:bottom w:val="single" w:sz="4" w:space="0" w:color="auto"/>
            </w:tcBorders>
          </w:tcPr>
          <w:p w14:paraId="37D7C03E" w14:textId="143EDC72" w:rsidR="005B2AC3"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Group</w:t>
            </w:r>
            <w:r w:rsidR="00B92957" w:rsidRPr="00C347AD">
              <w:rPr>
                <w:rFonts w:ascii="Times New Roman" w:hAnsi="Times New Roman" w:cs="Times New Roman"/>
              </w:rPr>
              <w:t xml:space="preserve"> </w:t>
            </w:r>
          </w:p>
        </w:tc>
        <w:tc>
          <w:tcPr>
            <w:tcW w:w="1730" w:type="pct"/>
            <w:tcBorders>
              <w:bottom w:val="single" w:sz="4" w:space="0" w:color="auto"/>
            </w:tcBorders>
          </w:tcPr>
          <w:p w14:paraId="6AF6D3BA" w14:textId="652BBB5A" w:rsidR="005B2AC3" w:rsidRPr="00C347AD" w:rsidRDefault="009D288F" w:rsidP="009B5FC1">
            <w:pPr>
              <w:spacing w:line="240" w:lineRule="auto"/>
              <w:ind w:firstLine="0"/>
              <w:rPr>
                <w:rFonts w:ascii="Times New Roman" w:hAnsi="Times New Roman" w:cs="Times New Roman"/>
              </w:rPr>
            </w:pPr>
            <w:r w:rsidRPr="00C347AD">
              <w:rPr>
                <w:rFonts w:ascii="Times New Roman" w:hAnsi="Times New Roman" w:cs="Times New Roman"/>
              </w:rPr>
              <w:t>1</w:t>
            </w:r>
          </w:p>
        </w:tc>
        <w:tc>
          <w:tcPr>
            <w:tcW w:w="975" w:type="pct"/>
            <w:tcBorders>
              <w:bottom w:val="single" w:sz="4" w:space="0" w:color="auto"/>
            </w:tcBorders>
          </w:tcPr>
          <w:p w14:paraId="1A25722C" w14:textId="4975AEBE" w:rsidR="005B2AC3" w:rsidRPr="00C347AD" w:rsidRDefault="00B92957" w:rsidP="009B5FC1">
            <w:pPr>
              <w:spacing w:line="240" w:lineRule="auto"/>
              <w:ind w:firstLine="0"/>
              <w:rPr>
                <w:rFonts w:ascii="Times New Roman" w:hAnsi="Times New Roman" w:cs="Times New Roman"/>
              </w:rPr>
            </w:pPr>
            <w:r w:rsidRPr="00C347AD">
              <w:rPr>
                <w:rFonts w:ascii="Times New Roman" w:hAnsi="Times New Roman" w:cs="Times New Roman"/>
              </w:rPr>
              <w:t>.</w:t>
            </w:r>
            <w:r w:rsidR="009D288F" w:rsidRPr="00C347AD">
              <w:rPr>
                <w:rFonts w:ascii="Times New Roman" w:hAnsi="Times New Roman" w:cs="Times New Roman"/>
              </w:rPr>
              <w:t>307</w:t>
            </w:r>
          </w:p>
        </w:tc>
        <w:tc>
          <w:tcPr>
            <w:tcW w:w="974" w:type="pct"/>
            <w:tcBorders>
              <w:bottom w:val="single" w:sz="4" w:space="0" w:color="auto"/>
            </w:tcBorders>
          </w:tcPr>
          <w:p w14:paraId="2999AF2B" w14:textId="38C095BA" w:rsidR="005B2AC3" w:rsidRPr="00C347AD" w:rsidRDefault="00B92957" w:rsidP="009B5FC1">
            <w:pPr>
              <w:spacing w:line="240" w:lineRule="auto"/>
              <w:ind w:firstLine="0"/>
              <w:rPr>
                <w:rFonts w:ascii="Times New Roman" w:hAnsi="Times New Roman" w:cs="Times New Roman"/>
              </w:rPr>
            </w:pPr>
            <w:r w:rsidRPr="00C347AD">
              <w:rPr>
                <w:rFonts w:ascii="Times New Roman" w:hAnsi="Times New Roman" w:cs="Times New Roman"/>
              </w:rPr>
              <w:t>.</w:t>
            </w:r>
            <w:r w:rsidR="009D288F" w:rsidRPr="00C347AD">
              <w:rPr>
                <w:rFonts w:ascii="Times New Roman" w:hAnsi="Times New Roman" w:cs="Times New Roman"/>
              </w:rPr>
              <w:t>586</w:t>
            </w:r>
          </w:p>
        </w:tc>
      </w:tr>
    </w:tbl>
    <w:p w14:paraId="7C6B65B4" w14:textId="77777777" w:rsidR="005B2AC3" w:rsidRPr="00C347AD" w:rsidRDefault="005B2AC3" w:rsidP="005B2AC3"/>
    <w:p w14:paraId="26822FC7" w14:textId="77777777" w:rsidR="005B2AC3" w:rsidRPr="00C347AD" w:rsidRDefault="005B2AC3" w:rsidP="00B92957">
      <w:pPr>
        <w:ind w:firstLine="0"/>
      </w:pPr>
    </w:p>
    <w:p w14:paraId="0BB52E1C" w14:textId="0299BEB1" w:rsidR="001A39B2" w:rsidRPr="00C347AD" w:rsidRDefault="00D870C6" w:rsidP="00D870C6">
      <w:pPr>
        <w:pStyle w:val="Heading2"/>
      </w:pPr>
      <w:r w:rsidRPr="00C347AD">
        <w:t>Summary</w:t>
      </w:r>
    </w:p>
    <w:p w14:paraId="7F448470" w14:textId="3992C4D2" w:rsidR="00D870C6" w:rsidRPr="00C347AD" w:rsidRDefault="00D870C6" w:rsidP="00D870C6">
      <w:r w:rsidRPr="00C347AD">
        <w:t xml:space="preserve">In this chapter, I reported the findings from the data collection in </w:t>
      </w:r>
      <w:r w:rsidR="00D65032" w:rsidRPr="00C347AD">
        <w:t>relation</w:t>
      </w:r>
      <w:r w:rsidRPr="00C347AD">
        <w:t xml:space="preserve"> to the research questions and hypotheses. None of the main three null hypotheses could be rejected. The modeling condition did not have significant effect on participant knowledge of– and ability to apply– UDL, sense of teacher efficacy, or attitudes regarding inclusion of diverse students. However, significant growth in knowledge of– and ability to apply– UDL and sense of teacher efficacy was noted </w:t>
      </w:r>
      <w:r w:rsidR="00D65032" w:rsidRPr="00C347AD">
        <w:t>across</w:t>
      </w:r>
      <w:r w:rsidRPr="00C347AD">
        <w:t xml:space="preserve"> the duration of the investigation, regardless of group belonging/condition. Participant attitudes toward inclusion did not significantly change during the investigation. In chapter five, I will provide further conceptual analysis and discuss the implications of these findings. </w:t>
      </w:r>
    </w:p>
    <w:p w14:paraId="35E41FEB" w14:textId="77777777" w:rsidR="005B2AC3" w:rsidRPr="00C347AD" w:rsidRDefault="005B2AC3" w:rsidP="005B2AC3">
      <w:pPr>
        <w:rPr>
          <w:b/>
          <w:bCs/>
          <w:iCs/>
          <w:noProof/>
        </w:rPr>
      </w:pPr>
    </w:p>
    <w:p w14:paraId="0BA93F02" w14:textId="77777777" w:rsidR="005B2AC3" w:rsidRPr="00C347AD" w:rsidRDefault="005B2AC3" w:rsidP="005B2AC3"/>
    <w:p w14:paraId="60EF6782" w14:textId="77777777" w:rsidR="003013CF" w:rsidRPr="00C347AD" w:rsidRDefault="003013CF" w:rsidP="003013CF"/>
    <w:p w14:paraId="77693298" w14:textId="0AF662EA" w:rsidR="003013CF" w:rsidRPr="00C347AD" w:rsidRDefault="003013CF" w:rsidP="003013CF"/>
    <w:p w14:paraId="31CE6857" w14:textId="77777777" w:rsidR="003013CF" w:rsidRPr="00C347AD" w:rsidRDefault="003013CF" w:rsidP="003013CF"/>
    <w:p w14:paraId="61A2A7B9" w14:textId="2ED9204C" w:rsidR="0018674A" w:rsidRPr="00C347AD" w:rsidRDefault="0018674A" w:rsidP="0018674A"/>
    <w:p w14:paraId="62594298" w14:textId="7887729A" w:rsidR="00244128" w:rsidRPr="00C347AD" w:rsidRDefault="00244128" w:rsidP="00D870C6">
      <w:pPr>
        <w:spacing w:line="240" w:lineRule="auto"/>
        <w:ind w:firstLine="0"/>
      </w:pPr>
    </w:p>
    <w:p w14:paraId="0650092B" w14:textId="77777777" w:rsidR="00244128" w:rsidRPr="00C347AD" w:rsidRDefault="00244128" w:rsidP="00244128">
      <w:pPr>
        <w:spacing w:before="100" w:beforeAutospacing="1" w:after="100" w:afterAutospacing="1" w:line="240" w:lineRule="auto"/>
        <w:ind w:firstLine="0"/>
      </w:pPr>
      <w:r w:rsidRPr="00C347AD">
        <w:rPr>
          <w:sz w:val="20"/>
          <w:szCs w:val="20"/>
        </w:rPr>
        <w:t>Summary</w:t>
      </w:r>
      <w:r w:rsidRPr="00C347AD">
        <w:rPr>
          <w:sz w:val="20"/>
          <w:szCs w:val="20"/>
        </w:rPr>
        <w:br/>
        <w:t xml:space="preserve">A summary paragraph should present a brief review of the chapter. A sentence should also introduce </w:t>
      </w:r>
    </w:p>
    <w:p w14:paraId="477C6E98" w14:textId="77777777" w:rsidR="00244128" w:rsidRPr="00C347AD" w:rsidRDefault="00244128" w:rsidP="00244128">
      <w:pPr>
        <w:spacing w:before="100" w:beforeAutospacing="1" w:after="100" w:afterAutospacing="1" w:line="240" w:lineRule="auto"/>
        <w:ind w:firstLine="0"/>
      </w:pPr>
      <w:r w:rsidRPr="00C347AD">
        <w:rPr>
          <w:sz w:val="20"/>
          <w:szCs w:val="20"/>
        </w:rPr>
        <w:lastRenderedPageBreak/>
        <w:t xml:space="preserve">the final chapter. </w:t>
      </w:r>
    </w:p>
    <w:p w14:paraId="0BAB8AFF" w14:textId="77777777" w:rsidR="00244128" w:rsidRPr="00C347AD" w:rsidRDefault="00244128" w:rsidP="00244128">
      <w:pPr>
        <w:spacing w:before="100" w:beforeAutospacing="1" w:after="100" w:afterAutospacing="1" w:line="240" w:lineRule="auto"/>
        <w:ind w:firstLine="0"/>
      </w:pPr>
      <w:r w:rsidRPr="00C347AD">
        <w:rPr>
          <w:sz w:val="20"/>
          <w:szCs w:val="20"/>
        </w:rPr>
        <w:t></w:t>
      </w:r>
      <w:r w:rsidRPr="00C347AD">
        <w:rPr>
          <w:sz w:val="20"/>
          <w:szCs w:val="20"/>
        </w:rPr>
        <w:t xml:space="preserve">Remember this chapter is a presentation of the data. No conclusions or implications should appear in this chapter. </w:t>
      </w:r>
    </w:p>
    <w:p w14:paraId="20693514" w14:textId="77777777" w:rsidR="00B91B3D" w:rsidRPr="00C347AD" w:rsidRDefault="00B91B3D" w:rsidP="00AC046D"/>
    <w:p w14:paraId="1D097243" w14:textId="77777777" w:rsidR="00B91B3D" w:rsidRPr="00C347AD" w:rsidRDefault="00B91B3D" w:rsidP="00897D6C">
      <w:pPr>
        <w:rPr>
          <w:noProof/>
        </w:rPr>
      </w:pPr>
    </w:p>
    <w:p w14:paraId="248B154E" w14:textId="7EBABB7B" w:rsidR="00897D6C" w:rsidRPr="00C347AD" w:rsidRDefault="00897D6C" w:rsidP="00C12F6C">
      <w:pPr>
        <w:ind w:firstLine="0"/>
        <w:rPr>
          <w:b/>
        </w:rPr>
      </w:pPr>
      <w:r w:rsidRPr="00C347AD">
        <w:tab/>
        <w:t xml:space="preserve"> </w:t>
      </w:r>
    </w:p>
    <w:p w14:paraId="681F4CFD" w14:textId="77777777" w:rsidR="00CD6697" w:rsidRPr="00C347AD" w:rsidRDefault="00CD6697" w:rsidP="00897D6C">
      <w:pPr>
        <w:ind w:firstLine="0"/>
        <w:jc w:val="center"/>
      </w:pPr>
    </w:p>
    <w:p w14:paraId="18E7D572" w14:textId="76D666B3" w:rsidR="00CD6697" w:rsidRPr="00C347AD" w:rsidRDefault="00CD6697" w:rsidP="00861326">
      <w:pPr>
        <w:pStyle w:val="ListParagraph"/>
        <w:spacing w:before="100" w:beforeAutospacing="1" w:after="100" w:afterAutospacing="1"/>
        <w:ind w:left="1440" w:firstLine="0"/>
      </w:pPr>
    </w:p>
    <w:p w14:paraId="679C9DBE" w14:textId="351E7CCF" w:rsidR="00770B32" w:rsidRPr="00C347AD" w:rsidRDefault="00770B32" w:rsidP="00C12F6C">
      <w:pPr>
        <w:ind w:firstLine="0"/>
        <w:jc w:val="center"/>
      </w:pPr>
    </w:p>
    <w:p w14:paraId="509D0333" w14:textId="77777777" w:rsidR="00CB665F" w:rsidRPr="00C347AD" w:rsidRDefault="00CB665F" w:rsidP="00FA24B4"/>
    <w:p w14:paraId="0AD3B9DA" w14:textId="77777777" w:rsidR="005E372A" w:rsidRPr="00C347AD" w:rsidRDefault="005E372A" w:rsidP="00FA24B4"/>
    <w:p w14:paraId="6B90C552" w14:textId="77777777" w:rsidR="007F261B" w:rsidRPr="00C347AD" w:rsidRDefault="007F261B" w:rsidP="00FA24B4"/>
    <w:p w14:paraId="2BEED3BA" w14:textId="77777777" w:rsidR="007F261B" w:rsidRPr="00C347AD" w:rsidRDefault="007F261B" w:rsidP="00FA24B4"/>
    <w:p w14:paraId="3CE5A4A7" w14:textId="02499628" w:rsidR="007F261B" w:rsidRPr="00C347AD" w:rsidRDefault="00487C27" w:rsidP="00B26A26">
      <w:pPr>
        <w:pStyle w:val="Heading1"/>
      </w:pPr>
      <w:r w:rsidRPr="00C347AD">
        <w:br w:type="column"/>
      </w:r>
      <w:bookmarkStart w:id="95" w:name="_Toc470600350"/>
      <w:bookmarkStart w:id="96" w:name="_Toc471890460"/>
      <w:r w:rsidRPr="00C347AD">
        <w:lastRenderedPageBreak/>
        <w:t>References</w:t>
      </w:r>
      <w:bookmarkEnd w:id="95"/>
      <w:bookmarkEnd w:id="96"/>
    </w:p>
    <w:p w14:paraId="35ACC0DE" w14:textId="77777777" w:rsidR="00BF4C77" w:rsidRPr="00C347AD" w:rsidRDefault="00BF4C77">
      <w:pPr>
        <w:spacing w:line="240" w:lineRule="auto"/>
        <w:ind w:firstLine="0"/>
      </w:pPr>
      <w:r w:rsidRPr="00C347AD">
        <w:br w:type="page"/>
      </w:r>
    </w:p>
    <w:p w14:paraId="33B696A6" w14:textId="7D0E5075" w:rsidR="00A81896" w:rsidRPr="00C347AD" w:rsidRDefault="00A81896" w:rsidP="001A2C66">
      <w:pPr>
        <w:spacing w:line="240" w:lineRule="auto"/>
        <w:ind w:firstLine="0"/>
      </w:pPr>
      <w:r w:rsidRPr="00C347AD">
        <w:lastRenderedPageBreak/>
        <w:br/>
      </w:r>
    </w:p>
    <w:p w14:paraId="5EDE70AD" w14:textId="77777777" w:rsidR="009733D6" w:rsidRPr="00C347AD" w:rsidRDefault="009733D6" w:rsidP="009733D6">
      <w:pPr>
        <w:spacing w:line="240" w:lineRule="auto"/>
        <w:ind w:firstLine="0"/>
        <w:rPr>
          <w:b/>
        </w:rPr>
      </w:pPr>
      <w:r w:rsidRPr="00C347AD">
        <w:rPr>
          <w:b/>
        </w:rPr>
        <w:br/>
      </w:r>
    </w:p>
    <w:p w14:paraId="03805B5E" w14:textId="77777777" w:rsidR="009733D6" w:rsidRPr="00C347AD" w:rsidRDefault="009733D6">
      <w:pPr>
        <w:spacing w:line="240" w:lineRule="auto"/>
        <w:ind w:firstLine="0"/>
        <w:rPr>
          <w:b/>
        </w:rPr>
      </w:pPr>
      <w:r w:rsidRPr="00C347AD">
        <w:rPr>
          <w:b/>
        </w:rPr>
        <w:br w:type="page"/>
      </w:r>
    </w:p>
    <w:p w14:paraId="55006481" w14:textId="2E02D008" w:rsidR="00706A1F" w:rsidRPr="00C347AD" w:rsidRDefault="00706A1F" w:rsidP="00B26A26">
      <w:pPr>
        <w:pStyle w:val="Heading1"/>
      </w:pPr>
      <w:bookmarkStart w:id="97" w:name="_Toc470600351"/>
      <w:bookmarkStart w:id="98" w:name="_Toc471890461"/>
      <w:r w:rsidRPr="00C347AD">
        <w:lastRenderedPageBreak/>
        <w:t>Appendices</w:t>
      </w:r>
      <w:bookmarkEnd w:id="97"/>
      <w:bookmarkEnd w:id="98"/>
    </w:p>
    <w:p w14:paraId="59C1BE39" w14:textId="77777777" w:rsidR="00706A1F" w:rsidRPr="00C347AD" w:rsidRDefault="00706A1F">
      <w:pPr>
        <w:spacing w:line="240" w:lineRule="auto"/>
        <w:ind w:firstLine="0"/>
        <w:rPr>
          <w:b/>
        </w:rPr>
      </w:pPr>
    </w:p>
    <w:p w14:paraId="2D6DD222" w14:textId="77777777" w:rsidR="00706A1F" w:rsidRPr="00C347AD" w:rsidRDefault="00706A1F">
      <w:pPr>
        <w:spacing w:line="240" w:lineRule="auto"/>
        <w:ind w:firstLine="0"/>
        <w:rPr>
          <w:b/>
        </w:rPr>
      </w:pPr>
      <w:r w:rsidRPr="00C347AD">
        <w:rPr>
          <w:b/>
        </w:rPr>
        <w:br w:type="page"/>
      </w:r>
    </w:p>
    <w:p w14:paraId="5A96B608" w14:textId="36EF0E55" w:rsidR="00654236" w:rsidRPr="00C347AD" w:rsidRDefault="00D6306B" w:rsidP="00654236">
      <w:pPr>
        <w:pStyle w:val="Heading2"/>
      </w:pPr>
      <w:bookmarkStart w:id="99" w:name="_Toc470600352"/>
      <w:bookmarkStart w:id="100" w:name="_Toc471890462"/>
      <w:r w:rsidRPr="00C347AD">
        <w:lastRenderedPageBreak/>
        <w:t>Appendix A</w:t>
      </w:r>
      <w:r w:rsidR="00706A1F" w:rsidRPr="00C347AD">
        <w:t xml:space="preserve">: </w:t>
      </w:r>
      <w:r w:rsidR="006514FA" w:rsidRPr="00C347AD">
        <w:t>Tables and Figures</w:t>
      </w:r>
      <w:bookmarkEnd w:id="99"/>
      <w:bookmarkEnd w:id="100"/>
    </w:p>
    <w:p w14:paraId="3779E6C4" w14:textId="62D24006" w:rsidR="00654236" w:rsidRPr="00C347AD" w:rsidRDefault="00706A1F" w:rsidP="00654236">
      <w:pPr>
        <w:pStyle w:val="Heading3"/>
        <w:ind w:firstLine="0"/>
      </w:pPr>
      <w:r w:rsidRPr="00C347AD">
        <w:t>Tables.</w:t>
      </w:r>
    </w:p>
    <w:p w14:paraId="29F51202" w14:textId="77777777" w:rsidR="00654236" w:rsidRPr="00C347AD" w:rsidRDefault="00654236" w:rsidP="00654236"/>
    <w:p w14:paraId="0C0598CA" w14:textId="77777777" w:rsidR="00654236" w:rsidRPr="00C347AD" w:rsidRDefault="00654236" w:rsidP="00654236"/>
    <w:tbl>
      <w:tblPr>
        <w:tblStyle w:val="TableGrid"/>
        <w:tblW w:w="8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3307"/>
        <w:gridCol w:w="3228"/>
      </w:tblGrid>
      <w:tr w:rsidR="001E2093" w:rsidRPr="00C347AD" w14:paraId="041D6F3C" w14:textId="77777777" w:rsidTr="00A2379C">
        <w:trPr>
          <w:trHeight w:val="378"/>
        </w:trPr>
        <w:tc>
          <w:tcPr>
            <w:tcW w:w="8572" w:type="dxa"/>
            <w:gridSpan w:val="3"/>
            <w:shd w:val="clear" w:color="auto" w:fill="auto"/>
          </w:tcPr>
          <w:p w14:paraId="3F38E106" w14:textId="6565D125" w:rsidR="001E2093" w:rsidRPr="00C347AD" w:rsidRDefault="00255A1E" w:rsidP="00044DC3">
            <w:pPr>
              <w:spacing w:line="240" w:lineRule="auto"/>
              <w:ind w:firstLine="0"/>
              <w:rPr>
                <w:rFonts w:ascii="Times New Roman" w:hAnsi="Times New Roman" w:cs="Times New Roman"/>
              </w:rPr>
            </w:pPr>
            <w:r w:rsidRPr="00C347AD">
              <w:rPr>
                <w:rFonts w:ascii="Times New Roman" w:hAnsi="Times New Roman" w:cs="Times New Roman"/>
              </w:rPr>
              <w:t>T</w:t>
            </w:r>
            <w:r w:rsidR="000F4D0C" w:rsidRPr="00C347AD">
              <w:rPr>
                <w:rFonts w:ascii="Times New Roman" w:hAnsi="Times New Roman" w:cs="Times New Roman"/>
              </w:rPr>
              <w:t>able 8</w:t>
            </w:r>
            <w:r w:rsidR="001E2093" w:rsidRPr="00C347AD">
              <w:rPr>
                <w:rFonts w:ascii="Times New Roman" w:hAnsi="Times New Roman" w:cs="Times New Roman"/>
              </w:rPr>
              <w:t xml:space="preserve">. </w:t>
            </w:r>
          </w:p>
        </w:tc>
      </w:tr>
      <w:tr w:rsidR="007764EE" w:rsidRPr="00C347AD" w14:paraId="79D0CD6A" w14:textId="77777777" w:rsidTr="00A2379C">
        <w:trPr>
          <w:trHeight w:val="378"/>
        </w:trPr>
        <w:tc>
          <w:tcPr>
            <w:tcW w:w="8572" w:type="dxa"/>
            <w:gridSpan w:val="3"/>
            <w:tcBorders>
              <w:bottom w:val="single" w:sz="4" w:space="0" w:color="auto"/>
            </w:tcBorders>
            <w:shd w:val="clear" w:color="auto" w:fill="auto"/>
          </w:tcPr>
          <w:p w14:paraId="0AE477B3" w14:textId="56D0152D" w:rsidR="007764EE" w:rsidRPr="00C347AD" w:rsidRDefault="007764EE" w:rsidP="00044DC3">
            <w:pPr>
              <w:spacing w:line="240" w:lineRule="auto"/>
              <w:ind w:firstLine="0"/>
              <w:rPr>
                <w:rFonts w:ascii="Times New Roman" w:hAnsi="Times New Roman" w:cs="Times New Roman"/>
              </w:rPr>
            </w:pPr>
            <w:r w:rsidRPr="00C347AD">
              <w:rPr>
                <w:rFonts w:ascii="Times New Roman" w:hAnsi="Times New Roman" w:cs="Times New Roman"/>
                <w:i/>
              </w:rPr>
              <w:t>(Re)authorizations of Public Law 94-142</w:t>
            </w:r>
          </w:p>
        </w:tc>
      </w:tr>
      <w:tr w:rsidR="006514FA" w:rsidRPr="00C347AD" w14:paraId="5FED76C7" w14:textId="77777777" w:rsidTr="00A2379C">
        <w:trPr>
          <w:trHeight w:val="378"/>
        </w:trPr>
        <w:tc>
          <w:tcPr>
            <w:tcW w:w="2037" w:type="dxa"/>
            <w:tcBorders>
              <w:top w:val="single" w:sz="4" w:space="0" w:color="auto"/>
              <w:bottom w:val="single" w:sz="4" w:space="0" w:color="auto"/>
            </w:tcBorders>
            <w:shd w:val="clear" w:color="auto" w:fill="auto"/>
          </w:tcPr>
          <w:p w14:paraId="6556E295"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Date</w:t>
            </w:r>
          </w:p>
        </w:tc>
        <w:tc>
          <w:tcPr>
            <w:tcW w:w="3307" w:type="dxa"/>
            <w:tcBorders>
              <w:top w:val="single" w:sz="4" w:space="0" w:color="auto"/>
              <w:bottom w:val="single" w:sz="4" w:space="0" w:color="auto"/>
            </w:tcBorders>
            <w:shd w:val="clear" w:color="auto" w:fill="auto"/>
          </w:tcPr>
          <w:p w14:paraId="513F675D"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(Re)authorizations</w:t>
            </w:r>
          </w:p>
        </w:tc>
        <w:tc>
          <w:tcPr>
            <w:tcW w:w="3228" w:type="dxa"/>
            <w:tcBorders>
              <w:top w:val="single" w:sz="4" w:space="0" w:color="auto"/>
              <w:bottom w:val="single" w:sz="4" w:space="0" w:color="auto"/>
            </w:tcBorders>
            <w:shd w:val="clear" w:color="auto" w:fill="auto"/>
          </w:tcPr>
          <w:p w14:paraId="086D3095"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Key changes</w:t>
            </w:r>
          </w:p>
        </w:tc>
      </w:tr>
      <w:tr w:rsidR="006514FA" w:rsidRPr="00C347AD" w14:paraId="1A01837A" w14:textId="77777777" w:rsidTr="00A2379C">
        <w:trPr>
          <w:trHeight w:val="1597"/>
        </w:trPr>
        <w:tc>
          <w:tcPr>
            <w:tcW w:w="2037" w:type="dxa"/>
            <w:tcBorders>
              <w:top w:val="single" w:sz="4" w:space="0" w:color="auto"/>
            </w:tcBorders>
            <w:shd w:val="clear" w:color="auto" w:fill="auto"/>
            <w:vAlign w:val="center"/>
          </w:tcPr>
          <w:p w14:paraId="33F2A867"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1975</w:t>
            </w:r>
          </w:p>
        </w:tc>
        <w:tc>
          <w:tcPr>
            <w:tcW w:w="3307" w:type="dxa"/>
            <w:tcBorders>
              <w:top w:val="single" w:sz="4" w:space="0" w:color="auto"/>
            </w:tcBorders>
            <w:shd w:val="clear" w:color="auto" w:fill="auto"/>
            <w:vAlign w:val="center"/>
          </w:tcPr>
          <w:p w14:paraId="7F3357C6"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 xml:space="preserve">The Education for All Handicapped Children Act </w:t>
            </w:r>
            <w:r w:rsidRPr="00C347AD">
              <w:rPr>
                <w:rFonts w:ascii="Times New Roman" w:hAnsi="Times New Roman" w:cs="Times New Roman"/>
              </w:rPr>
              <w:br/>
              <w:t>(PL 94-142)</w:t>
            </w:r>
          </w:p>
        </w:tc>
        <w:tc>
          <w:tcPr>
            <w:tcW w:w="3228" w:type="dxa"/>
            <w:tcBorders>
              <w:top w:val="single" w:sz="4" w:space="0" w:color="auto"/>
            </w:tcBorders>
            <w:shd w:val="clear" w:color="auto" w:fill="auto"/>
            <w:vAlign w:val="center"/>
          </w:tcPr>
          <w:p w14:paraId="6FBB3765"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For children and youths with disabilities: Free and public education, individualized programming, parental involvement in decision-making, fair evaluation, least restrictive environment, due process.</w:t>
            </w:r>
          </w:p>
          <w:p w14:paraId="7C491041" w14:textId="77777777" w:rsidR="006514FA" w:rsidRPr="00C347AD" w:rsidRDefault="006514FA" w:rsidP="00044DC3">
            <w:pPr>
              <w:spacing w:line="240" w:lineRule="auto"/>
              <w:ind w:firstLine="0"/>
              <w:rPr>
                <w:rFonts w:ascii="Times New Roman" w:hAnsi="Times New Roman" w:cs="Times New Roman"/>
              </w:rPr>
            </w:pPr>
          </w:p>
        </w:tc>
      </w:tr>
      <w:tr w:rsidR="006514FA" w:rsidRPr="00C347AD" w14:paraId="098081C7" w14:textId="77777777" w:rsidTr="00A2379C">
        <w:trPr>
          <w:trHeight w:val="638"/>
        </w:trPr>
        <w:tc>
          <w:tcPr>
            <w:tcW w:w="2037" w:type="dxa"/>
            <w:shd w:val="clear" w:color="auto" w:fill="auto"/>
            <w:vAlign w:val="center"/>
          </w:tcPr>
          <w:p w14:paraId="471DAE85"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1997</w:t>
            </w:r>
          </w:p>
        </w:tc>
        <w:tc>
          <w:tcPr>
            <w:tcW w:w="3307" w:type="dxa"/>
            <w:shd w:val="clear" w:color="auto" w:fill="auto"/>
            <w:vAlign w:val="center"/>
          </w:tcPr>
          <w:p w14:paraId="58BCFDEE"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Individuals with Disabilities Education Act (IDEA ‘97)</w:t>
            </w:r>
          </w:p>
        </w:tc>
        <w:tc>
          <w:tcPr>
            <w:tcW w:w="3228" w:type="dxa"/>
            <w:shd w:val="clear" w:color="auto" w:fill="auto"/>
            <w:vAlign w:val="center"/>
          </w:tcPr>
          <w:p w14:paraId="65667697"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Greater access to the curriculum for individuals with disabilities</w:t>
            </w:r>
          </w:p>
          <w:p w14:paraId="26E0649C" w14:textId="77777777" w:rsidR="006514FA" w:rsidRPr="00C347AD" w:rsidRDefault="006514FA" w:rsidP="00044DC3">
            <w:pPr>
              <w:spacing w:line="240" w:lineRule="auto"/>
              <w:ind w:firstLine="0"/>
              <w:rPr>
                <w:rFonts w:ascii="Times New Roman" w:hAnsi="Times New Roman" w:cs="Times New Roman"/>
              </w:rPr>
            </w:pPr>
          </w:p>
        </w:tc>
      </w:tr>
      <w:tr w:rsidR="006514FA" w:rsidRPr="00C347AD" w14:paraId="0EB057EC" w14:textId="77777777" w:rsidTr="00A2379C">
        <w:trPr>
          <w:trHeight w:val="959"/>
        </w:trPr>
        <w:tc>
          <w:tcPr>
            <w:tcW w:w="2037" w:type="dxa"/>
            <w:tcBorders>
              <w:bottom w:val="single" w:sz="4" w:space="0" w:color="auto"/>
            </w:tcBorders>
            <w:shd w:val="clear" w:color="auto" w:fill="auto"/>
            <w:vAlign w:val="center"/>
          </w:tcPr>
          <w:p w14:paraId="21FF5F40"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2004</w:t>
            </w:r>
          </w:p>
        </w:tc>
        <w:tc>
          <w:tcPr>
            <w:tcW w:w="3307" w:type="dxa"/>
            <w:tcBorders>
              <w:bottom w:val="single" w:sz="4" w:space="0" w:color="auto"/>
            </w:tcBorders>
            <w:shd w:val="clear" w:color="auto" w:fill="auto"/>
            <w:vAlign w:val="center"/>
          </w:tcPr>
          <w:p w14:paraId="5CF5D751"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Individuals with Disabilities Education Improvement Act (IDEIA ‘04)</w:t>
            </w:r>
          </w:p>
        </w:tc>
        <w:tc>
          <w:tcPr>
            <w:tcW w:w="3228" w:type="dxa"/>
            <w:tcBorders>
              <w:bottom w:val="single" w:sz="4" w:space="0" w:color="auto"/>
            </w:tcBorders>
            <w:shd w:val="clear" w:color="auto" w:fill="auto"/>
            <w:vAlign w:val="center"/>
          </w:tcPr>
          <w:p w14:paraId="5E5219B0" w14:textId="77777777" w:rsidR="006514FA" w:rsidRPr="00C347AD" w:rsidRDefault="006514FA" w:rsidP="00044DC3">
            <w:pPr>
              <w:spacing w:line="240" w:lineRule="auto"/>
              <w:ind w:firstLine="0"/>
              <w:rPr>
                <w:rFonts w:ascii="Times New Roman" w:hAnsi="Times New Roman" w:cs="Times New Roman"/>
              </w:rPr>
            </w:pPr>
            <w:r w:rsidRPr="00C347AD">
              <w:rPr>
                <w:rFonts w:ascii="Times New Roman" w:hAnsi="Times New Roman" w:cs="Times New Roman"/>
              </w:rPr>
              <w:t>More explicit language requiring students with disabilities to be educated in the general classroom as much as possible. Emphasizes use of scientifically based instruction prior to identifying specific learning disabilities.</w:t>
            </w:r>
          </w:p>
        </w:tc>
      </w:tr>
    </w:tbl>
    <w:p w14:paraId="1057BEFD" w14:textId="20998CDE" w:rsidR="00A2379C" w:rsidRPr="00C347AD" w:rsidRDefault="00A2379C"/>
    <w:p w14:paraId="3DBDF492" w14:textId="77777777" w:rsidR="00A2379C" w:rsidRPr="00C347AD" w:rsidRDefault="00A2379C">
      <w:pPr>
        <w:spacing w:line="240" w:lineRule="auto"/>
        <w:ind w:firstLine="0"/>
      </w:pPr>
      <w:r w:rsidRPr="00C347AD">
        <w:br w:type="page"/>
      </w:r>
    </w:p>
    <w:tbl>
      <w:tblPr>
        <w:tblStyle w:val="TableGrid"/>
        <w:tblpPr w:leftFromText="180" w:rightFromText="180" w:vertAnchor="text" w:horzAnchor="page" w:tblpX="1930" w:tblpY="-31"/>
        <w:tblW w:w="8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800"/>
        <w:gridCol w:w="4770"/>
      </w:tblGrid>
      <w:tr w:rsidR="00A2379C" w:rsidRPr="00C347AD" w14:paraId="0D3DDFC2" w14:textId="77777777" w:rsidTr="00A2379C">
        <w:tc>
          <w:tcPr>
            <w:tcW w:w="1998" w:type="dxa"/>
            <w:shd w:val="clear" w:color="auto" w:fill="auto"/>
            <w:vAlign w:val="center"/>
          </w:tcPr>
          <w:p w14:paraId="57512810" w14:textId="66D699BA" w:rsidR="00A2379C" w:rsidRPr="00C347AD" w:rsidRDefault="000F4D0C" w:rsidP="00A2379C">
            <w:pPr>
              <w:spacing w:line="240" w:lineRule="auto"/>
              <w:ind w:firstLine="0"/>
              <w:rPr>
                <w:rFonts w:ascii="Times New Roman" w:hAnsi="Times New Roman" w:cs="Times New Roman"/>
              </w:rPr>
            </w:pPr>
            <w:r w:rsidRPr="00C347AD">
              <w:rPr>
                <w:rFonts w:ascii="Times New Roman" w:hAnsi="Times New Roman" w:cs="Times New Roman"/>
              </w:rPr>
              <w:lastRenderedPageBreak/>
              <w:t>Table 9</w:t>
            </w:r>
            <w:r w:rsidR="00A2379C" w:rsidRPr="00C347AD">
              <w:rPr>
                <w:rFonts w:ascii="Times New Roman" w:hAnsi="Times New Roman" w:cs="Times New Roman"/>
              </w:rPr>
              <w:t xml:space="preserve">. </w:t>
            </w:r>
          </w:p>
        </w:tc>
        <w:tc>
          <w:tcPr>
            <w:tcW w:w="1800" w:type="dxa"/>
            <w:shd w:val="clear" w:color="auto" w:fill="auto"/>
            <w:vAlign w:val="center"/>
          </w:tcPr>
          <w:p w14:paraId="5F7AD9A2" w14:textId="77777777" w:rsidR="00A2379C" w:rsidRPr="00C347AD" w:rsidRDefault="00A2379C" w:rsidP="00A2379C">
            <w:pPr>
              <w:spacing w:line="240" w:lineRule="auto"/>
              <w:ind w:firstLine="0"/>
              <w:jc w:val="center"/>
              <w:rPr>
                <w:rFonts w:ascii="Times New Roman" w:hAnsi="Times New Roman" w:cs="Times New Roman"/>
              </w:rPr>
            </w:pPr>
          </w:p>
        </w:tc>
        <w:tc>
          <w:tcPr>
            <w:tcW w:w="4770" w:type="dxa"/>
            <w:shd w:val="clear" w:color="auto" w:fill="auto"/>
            <w:vAlign w:val="center"/>
          </w:tcPr>
          <w:p w14:paraId="06FC044E" w14:textId="77777777" w:rsidR="00A2379C" w:rsidRPr="00C347AD" w:rsidRDefault="00A2379C" w:rsidP="00A2379C">
            <w:pPr>
              <w:spacing w:line="240" w:lineRule="auto"/>
              <w:ind w:firstLine="0"/>
              <w:jc w:val="center"/>
              <w:rPr>
                <w:rFonts w:ascii="Times New Roman" w:hAnsi="Times New Roman" w:cs="Times New Roman"/>
              </w:rPr>
            </w:pPr>
          </w:p>
        </w:tc>
      </w:tr>
      <w:tr w:rsidR="00A2379C" w:rsidRPr="00C347AD" w14:paraId="210F6799" w14:textId="77777777" w:rsidTr="00A2379C">
        <w:tc>
          <w:tcPr>
            <w:tcW w:w="8568" w:type="dxa"/>
            <w:gridSpan w:val="3"/>
            <w:tcBorders>
              <w:bottom w:val="single" w:sz="4" w:space="0" w:color="auto"/>
            </w:tcBorders>
            <w:shd w:val="clear" w:color="auto" w:fill="auto"/>
            <w:vAlign w:val="center"/>
          </w:tcPr>
          <w:p w14:paraId="19BDCA87" w14:textId="77777777" w:rsidR="00A2379C" w:rsidRPr="00C347AD" w:rsidRDefault="00A2379C" w:rsidP="00A2379C">
            <w:pPr>
              <w:spacing w:line="240" w:lineRule="auto"/>
              <w:ind w:firstLine="0"/>
              <w:rPr>
                <w:rFonts w:ascii="Times New Roman" w:hAnsi="Times New Roman" w:cs="Times New Roman"/>
              </w:rPr>
            </w:pPr>
            <w:r w:rsidRPr="00C347AD">
              <w:rPr>
                <w:rFonts w:ascii="Times New Roman" w:hAnsi="Times New Roman" w:cs="Times New Roman"/>
                <w:i/>
              </w:rPr>
              <w:t>Key Reauthorizations of the Elementary and Secondary Schools Act (1965)</w:t>
            </w:r>
          </w:p>
        </w:tc>
      </w:tr>
      <w:tr w:rsidR="00A2379C" w:rsidRPr="00C347AD" w14:paraId="0BDDABEF" w14:textId="77777777" w:rsidTr="00A2379C">
        <w:tc>
          <w:tcPr>
            <w:tcW w:w="1998" w:type="dxa"/>
            <w:tcBorders>
              <w:top w:val="single" w:sz="4" w:space="0" w:color="auto"/>
              <w:bottom w:val="single" w:sz="4" w:space="0" w:color="auto"/>
            </w:tcBorders>
            <w:shd w:val="clear" w:color="auto" w:fill="auto"/>
            <w:vAlign w:val="center"/>
          </w:tcPr>
          <w:p w14:paraId="67062827"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Key Reauthorizations</w:t>
            </w:r>
          </w:p>
        </w:tc>
        <w:tc>
          <w:tcPr>
            <w:tcW w:w="1800" w:type="dxa"/>
            <w:tcBorders>
              <w:top w:val="single" w:sz="4" w:space="0" w:color="auto"/>
              <w:bottom w:val="single" w:sz="4" w:space="0" w:color="auto"/>
            </w:tcBorders>
            <w:shd w:val="clear" w:color="auto" w:fill="auto"/>
            <w:vAlign w:val="center"/>
          </w:tcPr>
          <w:p w14:paraId="723F5C9F"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Date</w:t>
            </w:r>
          </w:p>
        </w:tc>
        <w:tc>
          <w:tcPr>
            <w:tcW w:w="4770" w:type="dxa"/>
            <w:tcBorders>
              <w:top w:val="single" w:sz="4" w:space="0" w:color="auto"/>
              <w:bottom w:val="single" w:sz="4" w:space="0" w:color="auto"/>
            </w:tcBorders>
            <w:shd w:val="clear" w:color="auto" w:fill="auto"/>
            <w:vAlign w:val="center"/>
          </w:tcPr>
          <w:p w14:paraId="03D134A7"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Key changes</w:t>
            </w:r>
          </w:p>
        </w:tc>
      </w:tr>
      <w:tr w:rsidR="00A2379C" w:rsidRPr="00C347AD" w14:paraId="0550A00C" w14:textId="77777777" w:rsidTr="00A2379C">
        <w:tc>
          <w:tcPr>
            <w:tcW w:w="1998" w:type="dxa"/>
            <w:tcBorders>
              <w:top w:val="single" w:sz="4" w:space="0" w:color="auto"/>
            </w:tcBorders>
            <w:shd w:val="clear" w:color="auto" w:fill="auto"/>
            <w:vAlign w:val="center"/>
          </w:tcPr>
          <w:p w14:paraId="5219AB51"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Improving America’s Schools Act (IASA)</w:t>
            </w:r>
          </w:p>
        </w:tc>
        <w:tc>
          <w:tcPr>
            <w:tcW w:w="1800" w:type="dxa"/>
            <w:tcBorders>
              <w:top w:val="single" w:sz="4" w:space="0" w:color="auto"/>
            </w:tcBorders>
            <w:shd w:val="clear" w:color="auto" w:fill="auto"/>
            <w:vAlign w:val="center"/>
          </w:tcPr>
          <w:p w14:paraId="3DCE24CF"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1994</w:t>
            </w:r>
          </w:p>
        </w:tc>
        <w:tc>
          <w:tcPr>
            <w:tcW w:w="4770" w:type="dxa"/>
            <w:tcBorders>
              <w:top w:val="single" w:sz="4" w:space="0" w:color="auto"/>
            </w:tcBorders>
            <w:shd w:val="clear" w:color="auto" w:fill="auto"/>
            <w:vAlign w:val="center"/>
          </w:tcPr>
          <w:p w14:paraId="2866DFA2"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Title 1 support, reforms for charter schools, increase to bilingual and immigrant education funding, support for educational technology</w:t>
            </w:r>
          </w:p>
          <w:p w14:paraId="0118A648" w14:textId="77777777" w:rsidR="00A2379C" w:rsidRPr="00C347AD" w:rsidRDefault="00A2379C" w:rsidP="00A2379C">
            <w:pPr>
              <w:spacing w:line="240" w:lineRule="auto"/>
              <w:ind w:firstLine="0"/>
              <w:rPr>
                <w:rFonts w:ascii="Times New Roman" w:hAnsi="Times New Roman" w:cs="Times New Roman"/>
              </w:rPr>
            </w:pPr>
          </w:p>
          <w:p w14:paraId="0D9E19CE" w14:textId="77777777" w:rsidR="00A2379C" w:rsidRPr="00C347AD" w:rsidRDefault="00A2379C" w:rsidP="00A2379C">
            <w:pPr>
              <w:spacing w:line="240" w:lineRule="auto"/>
              <w:ind w:firstLine="0"/>
              <w:jc w:val="center"/>
              <w:rPr>
                <w:rFonts w:ascii="Times New Roman" w:hAnsi="Times New Roman" w:cs="Times New Roman"/>
              </w:rPr>
            </w:pPr>
          </w:p>
        </w:tc>
      </w:tr>
      <w:tr w:rsidR="00A2379C" w:rsidRPr="00C347AD" w14:paraId="2A576663" w14:textId="77777777" w:rsidTr="00A2379C">
        <w:tc>
          <w:tcPr>
            <w:tcW w:w="1998" w:type="dxa"/>
            <w:shd w:val="clear" w:color="auto" w:fill="auto"/>
            <w:vAlign w:val="center"/>
          </w:tcPr>
          <w:p w14:paraId="1F3F7C41" w14:textId="042254FF"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No Child Left Behind Act (NCLB)</w:t>
            </w:r>
          </w:p>
        </w:tc>
        <w:tc>
          <w:tcPr>
            <w:tcW w:w="1800" w:type="dxa"/>
            <w:shd w:val="clear" w:color="auto" w:fill="auto"/>
            <w:vAlign w:val="center"/>
          </w:tcPr>
          <w:p w14:paraId="618E9E5B" w14:textId="34237CCD"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2001</w:t>
            </w:r>
          </w:p>
        </w:tc>
        <w:tc>
          <w:tcPr>
            <w:tcW w:w="4770" w:type="dxa"/>
            <w:shd w:val="clear" w:color="auto" w:fill="auto"/>
            <w:vAlign w:val="center"/>
          </w:tcPr>
          <w:p w14:paraId="507786DC" w14:textId="7777777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Greater accountability measures (e.g., construct of “annual yearly progress” for Title 1 schools), increase in standardized test scores, provision of school choice to parents, teacher certification standards.</w:t>
            </w:r>
          </w:p>
          <w:p w14:paraId="375DF39C" w14:textId="77777777" w:rsidR="00A2379C" w:rsidRPr="00C347AD" w:rsidRDefault="00A2379C" w:rsidP="00A2379C">
            <w:pPr>
              <w:spacing w:line="240" w:lineRule="auto"/>
              <w:ind w:firstLine="0"/>
              <w:jc w:val="center"/>
              <w:rPr>
                <w:rFonts w:ascii="Times New Roman" w:hAnsi="Times New Roman" w:cs="Times New Roman"/>
              </w:rPr>
            </w:pPr>
          </w:p>
        </w:tc>
      </w:tr>
      <w:tr w:rsidR="00A2379C" w:rsidRPr="00C347AD" w14:paraId="7657DB8F" w14:textId="77777777" w:rsidTr="00A2379C">
        <w:tc>
          <w:tcPr>
            <w:tcW w:w="1998" w:type="dxa"/>
            <w:tcBorders>
              <w:bottom w:val="single" w:sz="4" w:space="0" w:color="auto"/>
            </w:tcBorders>
            <w:shd w:val="clear" w:color="auto" w:fill="auto"/>
            <w:vAlign w:val="center"/>
          </w:tcPr>
          <w:p w14:paraId="41531404" w14:textId="147D7D37"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 xml:space="preserve">Every Student Succeeds Act </w:t>
            </w:r>
            <w:r w:rsidRPr="00C347AD">
              <w:rPr>
                <w:rFonts w:ascii="Times New Roman" w:hAnsi="Times New Roman" w:cs="Times New Roman"/>
              </w:rPr>
              <w:br/>
              <w:t>(ESSA)</w:t>
            </w:r>
          </w:p>
        </w:tc>
        <w:tc>
          <w:tcPr>
            <w:tcW w:w="1800" w:type="dxa"/>
            <w:tcBorders>
              <w:bottom w:val="single" w:sz="4" w:space="0" w:color="auto"/>
            </w:tcBorders>
            <w:shd w:val="clear" w:color="auto" w:fill="auto"/>
            <w:vAlign w:val="center"/>
          </w:tcPr>
          <w:p w14:paraId="2B33BCEA" w14:textId="2D3971E9"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2015</w:t>
            </w:r>
          </w:p>
        </w:tc>
        <w:tc>
          <w:tcPr>
            <w:tcW w:w="4770" w:type="dxa"/>
            <w:tcBorders>
              <w:bottom w:val="single" w:sz="4" w:space="0" w:color="auto"/>
            </w:tcBorders>
            <w:shd w:val="clear" w:color="auto" w:fill="auto"/>
            <w:vAlign w:val="center"/>
          </w:tcPr>
          <w:p w14:paraId="7AE32037" w14:textId="0FD3C3B3" w:rsidR="00A2379C" w:rsidRPr="00C347AD" w:rsidRDefault="00A2379C" w:rsidP="00A2379C">
            <w:pPr>
              <w:spacing w:line="240" w:lineRule="auto"/>
              <w:ind w:firstLine="0"/>
              <w:jc w:val="center"/>
              <w:rPr>
                <w:rFonts w:ascii="Times New Roman" w:hAnsi="Times New Roman" w:cs="Times New Roman"/>
              </w:rPr>
            </w:pPr>
            <w:r w:rsidRPr="00C347AD">
              <w:rPr>
                <w:rFonts w:ascii="Times New Roman" w:hAnsi="Times New Roman" w:cs="Times New Roman"/>
              </w:rPr>
              <w:t xml:space="preserve">Significant transfer of responsibility and authority to States; Provision of “college and career” standards; innovation incentives; extends to include Pre-K. </w:t>
            </w:r>
          </w:p>
        </w:tc>
      </w:tr>
    </w:tbl>
    <w:p w14:paraId="03459CB5" w14:textId="6E209E1C" w:rsidR="00A2379C" w:rsidRPr="00C347AD" w:rsidRDefault="00A2379C"/>
    <w:p w14:paraId="745E8D6F" w14:textId="77777777" w:rsidR="00A2379C" w:rsidRPr="00C347AD" w:rsidRDefault="00A2379C">
      <w:pPr>
        <w:spacing w:line="240" w:lineRule="auto"/>
        <w:ind w:firstLine="0"/>
      </w:pPr>
      <w:r w:rsidRPr="00C347AD">
        <w:br w:type="page"/>
      </w:r>
    </w:p>
    <w:tbl>
      <w:tblPr>
        <w:tblStyle w:val="TableGrid"/>
        <w:tblpPr w:leftFromText="180" w:rightFromText="180" w:vertAnchor="text" w:horzAnchor="page" w:tblpXSpec="center" w:tblpY="2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4430"/>
      </w:tblGrid>
      <w:tr w:rsidR="00654236" w:rsidRPr="00C347AD" w14:paraId="45CEDBCA" w14:textId="77777777" w:rsidTr="00654236">
        <w:tc>
          <w:tcPr>
            <w:tcW w:w="8856" w:type="dxa"/>
            <w:gridSpan w:val="2"/>
            <w:shd w:val="clear" w:color="auto" w:fill="auto"/>
            <w:vAlign w:val="center"/>
          </w:tcPr>
          <w:p w14:paraId="46A868F2" w14:textId="5ADEEC26" w:rsidR="00654236" w:rsidRPr="00C347AD" w:rsidRDefault="000F4D0C" w:rsidP="00654236">
            <w:pPr>
              <w:spacing w:line="240" w:lineRule="auto"/>
              <w:ind w:firstLine="0"/>
              <w:rPr>
                <w:rFonts w:ascii="Times New Roman" w:hAnsi="Times New Roman" w:cs="Times New Roman"/>
              </w:rPr>
            </w:pPr>
            <w:r w:rsidRPr="00C347AD">
              <w:rPr>
                <w:rFonts w:ascii="Times New Roman" w:hAnsi="Times New Roman" w:cs="Times New Roman"/>
              </w:rPr>
              <w:lastRenderedPageBreak/>
              <w:t>Table 10</w:t>
            </w:r>
            <w:r w:rsidR="00654236" w:rsidRPr="00C347AD">
              <w:rPr>
                <w:rFonts w:ascii="Times New Roman" w:hAnsi="Times New Roman" w:cs="Times New Roman"/>
              </w:rPr>
              <w:t xml:space="preserve">. </w:t>
            </w:r>
          </w:p>
        </w:tc>
      </w:tr>
      <w:tr w:rsidR="00654236" w:rsidRPr="00C347AD" w14:paraId="4A506AF3" w14:textId="77777777" w:rsidTr="00654236">
        <w:tc>
          <w:tcPr>
            <w:tcW w:w="8856" w:type="dxa"/>
            <w:gridSpan w:val="2"/>
            <w:tcBorders>
              <w:bottom w:val="single" w:sz="4" w:space="0" w:color="auto"/>
            </w:tcBorders>
            <w:shd w:val="clear" w:color="auto" w:fill="auto"/>
            <w:vAlign w:val="center"/>
          </w:tcPr>
          <w:p w14:paraId="2BD29FFD" w14:textId="284DE000"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i/>
              </w:rPr>
              <w:t xml:space="preserve">Principles of Universal Design </w:t>
            </w:r>
          </w:p>
        </w:tc>
      </w:tr>
      <w:tr w:rsidR="00654236" w:rsidRPr="00C347AD" w14:paraId="7BADA21F" w14:textId="77777777" w:rsidTr="00654236">
        <w:trPr>
          <w:trHeight w:val="314"/>
        </w:trPr>
        <w:tc>
          <w:tcPr>
            <w:tcW w:w="4426" w:type="dxa"/>
            <w:tcBorders>
              <w:bottom w:val="single" w:sz="4" w:space="0" w:color="auto"/>
            </w:tcBorders>
            <w:shd w:val="clear" w:color="auto" w:fill="auto"/>
            <w:vAlign w:val="center"/>
          </w:tcPr>
          <w:p w14:paraId="0A23D568" w14:textId="77777777" w:rsidR="00654236" w:rsidRPr="00C347AD" w:rsidRDefault="00654236" w:rsidP="00654236">
            <w:pPr>
              <w:spacing w:line="240" w:lineRule="auto"/>
              <w:rPr>
                <w:rFonts w:ascii="Times New Roman" w:hAnsi="Times New Roman" w:cs="Times New Roman"/>
              </w:rPr>
            </w:pPr>
            <w:r w:rsidRPr="00C347AD">
              <w:rPr>
                <w:rFonts w:ascii="Times New Roman" w:hAnsi="Times New Roman" w:cs="Times New Roman"/>
              </w:rPr>
              <w:t>Principle</w:t>
            </w:r>
          </w:p>
        </w:tc>
        <w:tc>
          <w:tcPr>
            <w:tcW w:w="4430" w:type="dxa"/>
            <w:tcBorders>
              <w:bottom w:val="single" w:sz="4" w:space="0" w:color="auto"/>
            </w:tcBorders>
            <w:shd w:val="clear" w:color="auto" w:fill="auto"/>
            <w:vAlign w:val="center"/>
          </w:tcPr>
          <w:p w14:paraId="1BBEA431" w14:textId="77777777" w:rsidR="00654236" w:rsidRPr="00C347AD" w:rsidRDefault="00654236" w:rsidP="00654236">
            <w:pPr>
              <w:spacing w:line="240" w:lineRule="auto"/>
              <w:rPr>
                <w:rFonts w:ascii="Times New Roman" w:hAnsi="Times New Roman" w:cs="Times New Roman"/>
              </w:rPr>
            </w:pPr>
            <w:r w:rsidRPr="00C347AD">
              <w:rPr>
                <w:rFonts w:ascii="Times New Roman" w:hAnsi="Times New Roman" w:cs="Times New Roman"/>
              </w:rPr>
              <w:t>Brief Description</w:t>
            </w:r>
          </w:p>
        </w:tc>
      </w:tr>
      <w:tr w:rsidR="00654236" w:rsidRPr="00C347AD" w14:paraId="2468E0B0" w14:textId="77777777" w:rsidTr="00654236">
        <w:tc>
          <w:tcPr>
            <w:tcW w:w="4426" w:type="dxa"/>
            <w:tcBorders>
              <w:top w:val="single" w:sz="4" w:space="0" w:color="auto"/>
            </w:tcBorders>
            <w:shd w:val="clear" w:color="auto" w:fill="auto"/>
            <w:vAlign w:val="center"/>
          </w:tcPr>
          <w:p w14:paraId="4F31738D"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Equitable Use</w:t>
            </w:r>
          </w:p>
        </w:tc>
        <w:tc>
          <w:tcPr>
            <w:tcW w:w="4430" w:type="dxa"/>
            <w:tcBorders>
              <w:top w:val="single" w:sz="4" w:space="0" w:color="auto"/>
            </w:tcBorders>
            <w:shd w:val="clear" w:color="auto" w:fill="auto"/>
            <w:vAlign w:val="center"/>
          </w:tcPr>
          <w:p w14:paraId="372ABE77" w14:textId="77777777" w:rsidR="00654236" w:rsidRPr="00C347AD" w:rsidRDefault="00654236" w:rsidP="00654236">
            <w:pPr>
              <w:spacing w:line="240" w:lineRule="auto"/>
              <w:ind w:firstLine="0"/>
              <w:rPr>
                <w:rFonts w:ascii="Times New Roman" w:hAnsi="Times New Roman" w:cs="Times New Roman"/>
              </w:rPr>
            </w:pPr>
          </w:p>
          <w:p w14:paraId="7DD9B7B0" w14:textId="77777777" w:rsidR="00654236" w:rsidRPr="00C347AD" w:rsidRDefault="00654236" w:rsidP="00654236">
            <w:pPr>
              <w:spacing w:line="240" w:lineRule="auto"/>
              <w:ind w:firstLine="0"/>
              <w:rPr>
                <w:rFonts w:ascii="Times New Roman" w:eastAsia="MS Mincho" w:hAnsi="Times New Roman" w:cs="Times New Roman"/>
              </w:rPr>
            </w:pPr>
            <w:r w:rsidRPr="00C347AD">
              <w:rPr>
                <w:rFonts w:ascii="Times New Roman" w:hAnsi="Times New Roman" w:cs="Times New Roman"/>
              </w:rPr>
              <w:t>The design is useful to people with a wide variety of abilities; it awvoids segregating or stigmatizing users.</w:t>
            </w:r>
            <w:r w:rsidRPr="00C347AD">
              <w:rPr>
                <w:rFonts w:ascii="MS Mincho" w:eastAsia="MS Mincho" w:hAnsi="MS Mincho" w:cs="MS Mincho"/>
              </w:rPr>
              <w:t> </w:t>
            </w:r>
          </w:p>
        </w:tc>
      </w:tr>
      <w:tr w:rsidR="00654236" w:rsidRPr="00C347AD" w14:paraId="4E654499" w14:textId="77777777" w:rsidTr="00654236">
        <w:tc>
          <w:tcPr>
            <w:tcW w:w="4426" w:type="dxa"/>
            <w:shd w:val="clear" w:color="auto" w:fill="auto"/>
            <w:vAlign w:val="center"/>
          </w:tcPr>
          <w:p w14:paraId="66807C41"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Flexible Use</w:t>
            </w:r>
          </w:p>
        </w:tc>
        <w:tc>
          <w:tcPr>
            <w:tcW w:w="4430" w:type="dxa"/>
            <w:shd w:val="clear" w:color="auto" w:fill="auto"/>
            <w:vAlign w:val="center"/>
          </w:tcPr>
          <w:p w14:paraId="6A2BABEB" w14:textId="77777777" w:rsidR="00654236" w:rsidRPr="00C347AD" w:rsidRDefault="00654236" w:rsidP="00654236">
            <w:pPr>
              <w:spacing w:line="240" w:lineRule="auto"/>
              <w:ind w:firstLine="0"/>
              <w:rPr>
                <w:rFonts w:ascii="Times New Roman" w:hAnsi="Times New Roman" w:cs="Times New Roman"/>
              </w:rPr>
            </w:pPr>
          </w:p>
          <w:p w14:paraId="286F3C33"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The design accommodates a wide range of preferences and abilities; it provides choice in methods of use.</w:t>
            </w:r>
          </w:p>
        </w:tc>
      </w:tr>
      <w:tr w:rsidR="00654236" w:rsidRPr="00C347AD" w14:paraId="2E511007" w14:textId="77777777" w:rsidTr="00654236">
        <w:tc>
          <w:tcPr>
            <w:tcW w:w="4426" w:type="dxa"/>
            <w:shd w:val="clear" w:color="auto" w:fill="auto"/>
            <w:vAlign w:val="center"/>
          </w:tcPr>
          <w:p w14:paraId="1E0573C8"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Simple and Intuitive Use</w:t>
            </w:r>
          </w:p>
        </w:tc>
        <w:tc>
          <w:tcPr>
            <w:tcW w:w="4430" w:type="dxa"/>
            <w:shd w:val="clear" w:color="auto" w:fill="auto"/>
            <w:vAlign w:val="center"/>
          </w:tcPr>
          <w:p w14:paraId="52377D19" w14:textId="77777777" w:rsidR="00654236" w:rsidRPr="00C347AD" w:rsidRDefault="00654236" w:rsidP="00654236">
            <w:pPr>
              <w:spacing w:line="240" w:lineRule="auto"/>
              <w:ind w:firstLine="0"/>
              <w:rPr>
                <w:rFonts w:ascii="Times New Roman" w:hAnsi="Times New Roman" w:cs="Times New Roman"/>
              </w:rPr>
            </w:pPr>
          </w:p>
          <w:p w14:paraId="35C6FFD3" w14:textId="77777777" w:rsidR="00654236" w:rsidRPr="00C347AD" w:rsidRDefault="00654236" w:rsidP="00654236">
            <w:pPr>
              <w:spacing w:line="240" w:lineRule="auto"/>
              <w:ind w:firstLine="0"/>
              <w:rPr>
                <w:rFonts w:ascii="Times New Roman" w:eastAsia="MS Mincho" w:hAnsi="Times New Roman" w:cs="Times New Roman"/>
              </w:rPr>
            </w:pPr>
            <w:r w:rsidRPr="00C347AD">
              <w:rPr>
                <w:rFonts w:ascii="Times New Roman" w:hAnsi="Times New Roman" w:cs="Times New Roman"/>
              </w:rPr>
              <w:t>Use of the design is easy to understand; it eliminates unnecessary complexity.</w:t>
            </w:r>
            <w:r w:rsidRPr="00C347AD">
              <w:rPr>
                <w:rFonts w:ascii="MS Mincho" w:eastAsia="MS Mincho" w:hAnsi="MS Mincho" w:cs="MS Mincho"/>
              </w:rPr>
              <w:t> </w:t>
            </w:r>
          </w:p>
        </w:tc>
      </w:tr>
      <w:tr w:rsidR="00654236" w:rsidRPr="00C347AD" w14:paraId="39243FEB" w14:textId="77777777" w:rsidTr="00654236">
        <w:tc>
          <w:tcPr>
            <w:tcW w:w="4426" w:type="dxa"/>
            <w:shd w:val="clear" w:color="auto" w:fill="auto"/>
            <w:vAlign w:val="center"/>
          </w:tcPr>
          <w:p w14:paraId="76E0B63B" w14:textId="77777777" w:rsidR="00654236" w:rsidRPr="00C347AD" w:rsidRDefault="00654236" w:rsidP="00654236">
            <w:pPr>
              <w:spacing w:line="240" w:lineRule="auto"/>
              <w:ind w:firstLine="0"/>
              <w:rPr>
                <w:rFonts w:ascii="Times New Roman" w:hAnsi="Times New Roman" w:cs="Times New Roman"/>
              </w:rPr>
            </w:pPr>
          </w:p>
          <w:p w14:paraId="25BBDF89"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Perceptible Information</w:t>
            </w:r>
          </w:p>
        </w:tc>
        <w:tc>
          <w:tcPr>
            <w:tcW w:w="4430" w:type="dxa"/>
            <w:shd w:val="clear" w:color="auto" w:fill="auto"/>
            <w:vAlign w:val="center"/>
          </w:tcPr>
          <w:p w14:paraId="337B460A" w14:textId="77777777" w:rsidR="00654236" w:rsidRPr="00C347AD" w:rsidRDefault="00654236" w:rsidP="00654236">
            <w:pPr>
              <w:spacing w:line="240" w:lineRule="auto"/>
              <w:ind w:firstLine="0"/>
              <w:rPr>
                <w:rFonts w:ascii="Times New Roman" w:hAnsi="Times New Roman" w:cs="Times New Roman"/>
              </w:rPr>
            </w:pPr>
          </w:p>
          <w:p w14:paraId="1B3ABB1C"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The design communicates necessary information effectively; it uses different modes of presentation.</w:t>
            </w:r>
          </w:p>
          <w:p w14:paraId="3728F3F8" w14:textId="77777777" w:rsidR="00654236" w:rsidRPr="00C347AD" w:rsidRDefault="00654236" w:rsidP="00654236">
            <w:pPr>
              <w:spacing w:line="240" w:lineRule="auto"/>
              <w:ind w:firstLine="0"/>
              <w:rPr>
                <w:rFonts w:ascii="Times New Roman" w:hAnsi="Times New Roman" w:cs="Times New Roman"/>
              </w:rPr>
            </w:pPr>
          </w:p>
        </w:tc>
      </w:tr>
      <w:tr w:rsidR="00654236" w:rsidRPr="00C347AD" w14:paraId="501FF993" w14:textId="77777777" w:rsidTr="00654236">
        <w:tc>
          <w:tcPr>
            <w:tcW w:w="4426" w:type="dxa"/>
            <w:shd w:val="clear" w:color="auto" w:fill="auto"/>
            <w:vAlign w:val="center"/>
          </w:tcPr>
          <w:p w14:paraId="3EB4F782"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Tolerance for Error</w:t>
            </w:r>
          </w:p>
        </w:tc>
        <w:tc>
          <w:tcPr>
            <w:tcW w:w="4430" w:type="dxa"/>
            <w:shd w:val="clear" w:color="auto" w:fill="auto"/>
            <w:vAlign w:val="center"/>
          </w:tcPr>
          <w:p w14:paraId="3F880799"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The design minimizes hazards and adverse consequences of unintended actions; it provides failsafe features.</w:t>
            </w:r>
          </w:p>
          <w:p w14:paraId="60985C76" w14:textId="77777777" w:rsidR="00654236" w:rsidRPr="00C347AD" w:rsidRDefault="00654236" w:rsidP="00654236">
            <w:pPr>
              <w:spacing w:line="240" w:lineRule="auto"/>
              <w:ind w:firstLine="0"/>
              <w:rPr>
                <w:rFonts w:ascii="Times New Roman" w:hAnsi="Times New Roman" w:cs="Times New Roman"/>
              </w:rPr>
            </w:pPr>
          </w:p>
        </w:tc>
      </w:tr>
      <w:tr w:rsidR="00654236" w:rsidRPr="00C347AD" w14:paraId="7DDC5844" w14:textId="77777777" w:rsidTr="00654236">
        <w:tc>
          <w:tcPr>
            <w:tcW w:w="4426" w:type="dxa"/>
            <w:shd w:val="clear" w:color="auto" w:fill="auto"/>
            <w:vAlign w:val="center"/>
          </w:tcPr>
          <w:p w14:paraId="75B66D04"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Low Physical Effort</w:t>
            </w:r>
          </w:p>
        </w:tc>
        <w:tc>
          <w:tcPr>
            <w:tcW w:w="4430" w:type="dxa"/>
            <w:shd w:val="clear" w:color="auto" w:fill="auto"/>
            <w:vAlign w:val="center"/>
          </w:tcPr>
          <w:p w14:paraId="728132E1"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The design can be used efficiently and comfortably and with a minimum of fatigue; it minimizes physical effort.</w:t>
            </w:r>
          </w:p>
          <w:p w14:paraId="6189C877" w14:textId="77777777" w:rsidR="00654236" w:rsidRPr="00C347AD" w:rsidRDefault="00654236" w:rsidP="00654236">
            <w:pPr>
              <w:spacing w:line="240" w:lineRule="auto"/>
              <w:ind w:firstLine="0"/>
              <w:rPr>
                <w:rFonts w:ascii="Times New Roman" w:hAnsi="Times New Roman" w:cs="Times New Roman"/>
              </w:rPr>
            </w:pPr>
          </w:p>
        </w:tc>
      </w:tr>
      <w:tr w:rsidR="00654236" w:rsidRPr="00C347AD" w14:paraId="6A19EC13" w14:textId="77777777" w:rsidTr="00654236">
        <w:tc>
          <w:tcPr>
            <w:tcW w:w="4426" w:type="dxa"/>
            <w:tcBorders>
              <w:bottom w:val="single" w:sz="4" w:space="0" w:color="auto"/>
            </w:tcBorders>
            <w:shd w:val="clear" w:color="auto" w:fill="auto"/>
            <w:vAlign w:val="center"/>
          </w:tcPr>
          <w:p w14:paraId="09331D25"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Size and Space for Approach and Use</w:t>
            </w:r>
          </w:p>
        </w:tc>
        <w:tc>
          <w:tcPr>
            <w:tcW w:w="4430" w:type="dxa"/>
            <w:tcBorders>
              <w:bottom w:val="single" w:sz="4" w:space="0" w:color="auto"/>
            </w:tcBorders>
            <w:shd w:val="clear" w:color="auto" w:fill="auto"/>
            <w:vAlign w:val="center"/>
          </w:tcPr>
          <w:p w14:paraId="08F1D269"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Appropriate size and space are provided; it makes reach to all components comfortable for any user.</w:t>
            </w:r>
          </w:p>
          <w:p w14:paraId="4021C1F0" w14:textId="77777777" w:rsidR="00654236" w:rsidRPr="00C347AD" w:rsidRDefault="00654236" w:rsidP="00654236">
            <w:pPr>
              <w:spacing w:line="240" w:lineRule="auto"/>
              <w:ind w:firstLine="0"/>
              <w:rPr>
                <w:rFonts w:ascii="Times New Roman" w:hAnsi="Times New Roman" w:cs="Times New Roman"/>
              </w:rPr>
            </w:pPr>
          </w:p>
        </w:tc>
      </w:tr>
    </w:tbl>
    <w:p w14:paraId="30D17274" w14:textId="77777777" w:rsidR="00727B14" w:rsidRPr="00C347AD" w:rsidRDefault="00727B14"/>
    <w:p w14:paraId="03959835" w14:textId="77777777" w:rsidR="00727B14" w:rsidRPr="00C347AD" w:rsidRDefault="00727B14"/>
    <w:p w14:paraId="1F23DF72" w14:textId="77777777" w:rsidR="004A065B" w:rsidRPr="00C347AD" w:rsidRDefault="004A065B" w:rsidP="00727B14">
      <w:pPr>
        <w:ind w:firstLine="0"/>
      </w:pPr>
    </w:p>
    <w:p w14:paraId="3E3FDDF3" w14:textId="7F829793" w:rsidR="00654236" w:rsidRPr="00C347AD" w:rsidRDefault="00654236">
      <w:pPr>
        <w:spacing w:line="240" w:lineRule="auto"/>
        <w:ind w:firstLine="0"/>
      </w:pPr>
      <w:r w:rsidRPr="00C347AD">
        <w:br w:type="page"/>
      </w:r>
    </w:p>
    <w:tbl>
      <w:tblPr>
        <w:tblStyle w:val="TableGrid"/>
        <w:tblpPr w:leftFromText="180" w:rightFromText="180" w:vertAnchor="text" w:horzAnchor="page" w:tblpX="1810"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41"/>
      </w:tblGrid>
      <w:tr w:rsidR="00654236" w:rsidRPr="00C347AD" w14:paraId="2831F810" w14:textId="77777777" w:rsidTr="00654236">
        <w:trPr>
          <w:trHeight w:val="153"/>
        </w:trPr>
        <w:tc>
          <w:tcPr>
            <w:tcW w:w="8856" w:type="dxa"/>
            <w:gridSpan w:val="2"/>
            <w:shd w:val="clear" w:color="auto" w:fill="auto"/>
          </w:tcPr>
          <w:p w14:paraId="68A1F49C" w14:textId="34AD20C2" w:rsidR="00654236" w:rsidRPr="00C347AD" w:rsidRDefault="000F4D0C" w:rsidP="00654236">
            <w:pPr>
              <w:spacing w:line="240" w:lineRule="auto"/>
              <w:ind w:firstLine="0"/>
              <w:rPr>
                <w:rFonts w:ascii="Times New Roman" w:hAnsi="Times New Roman" w:cs="Times New Roman"/>
              </w:rPr>
            </w:pPr>
            <w:r w:rsidRPr="00C347AD">
              <w:rPr>
                <w:rFonts w:ascii="Times New Roman" w:hAnsi="Times New Roman" w:cs="Times New Roman"/>
              </w:rPr>
              <w:lastRenderedPageBreak/>
              <w:t>Table 11</w:t>
            </w:r>
            <w:r w:rsidR="00654236" w:rsidRPr="00C347AD">
              <w:rPr>
                <w:rFonts w:ascii="Times New Roman" w:hAnsi="Times New Roman" w:cs="Times New Roman"/>
              </w:rPr>
              <w:t xml:space="preserve">. </w:t>
            </w:r>
          </w:p>
        </w:tc>
      </w:tr>
      <w:tr w:rsidR="00654236" w:rsidRPr="00C347AD" w14:paraId="2CCB0572" w14:textId="77777777" w:rsidTr="00654236">
        <w:trPr>
          <w:trHeight w:val="300"/>
        </w:trPr>
        <w:tc>
          <w:tcPr>
            <w:tcW w:w="8856" w:type="dxa"/>
            <w:gridSpan w:val="2"/>
            <w:tcBorders>
              <w:bottom w:val="single" w:sz="4" w:space="0" w:color="auto"/>
            </w:tcBorders>
            <w:shd w:val="clear" w:color="auto" w:fill="auto"/>
          </w:tcPr>
          <w:p w14:paraId="20064D2A" w14:textId="417B798E"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i/>
              </w:rPr>
              <w:t xml:space="preserve">Principles Associated with Universal Design Models (Adapted from </w:t>
            </w:r>
          </w:p>
        </w:tc>
      </w:tr>
      <w:tr w:rsidR="00654236" w:rsidRPr="00C347AD" w14:paraId="23304761" w14:textId="77777777" w:rsidTr="00654236">
        <w:trPr>
          <w:trHeight w:val="153"/>
        </w:trPr>
        <w:tc>
          <w:tcPr>
            <w:tcW w:w="4415" w:type="dxa"/>
            <w:tcBorders>
              <w:bottom w:val="single" w:sz="4" w:space="0" w:color="auto"/>
            </w:tcBorders>
            <w:shd w:val="clear" w:color="auto" w:fill="auto"/>
          </w:tcPr>
          <w:p w14:paraId="039CC14E" w14:textId="77777777"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Model</w:t>
            </w:r>
          </w:p>
        </w:tc>
        <w:tc>
          <w:tcPr>
            <w:tcW w:w="4441" w:type="dxa"/>
            <w:tcBorders>
              <w:bottom w:val="single" w:sz="4" w:space="0" w:color="auto"/>
            </w:tcBorders>
            <w:shd w:val="clear" w:color="auto" w:fill="auto"/>
          </w:tcPr>
          <w:p w14:paraId="2FB08D7A" w14:textId="77777777"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Principles/guidelines</w:t>
            </w:r>
          </w:p>
        </w:tc>
      </w:tr>
      <w:tr w:rsidR="00654236" w:rsidRPr="00C347AD" w14:paraId="297B76BD" w14:textId="77777777" w:rsidTr="00654236">
        <w:trPr>
          <w:trHeight w:val="1160"/>
        </w:trPr>
        <w:tc>
          <w:tcPr>
            <w:tcW w:w="4415" w:type="dxa"/>
            <w:tcBorders>
              <w:top w:val="single" w:sz="4" w:space="0" w:color="auto"/>
            </w:tcBorders>
            <w:shd w:val="clear" w:color="auto" w:fill="auto"/>
          </w:tcPr>
          <w:p w14:paraId="0E2F27B6"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Universal Design for Learning (CAST)</w:t>
            </w:r>
          </w:p>
        </w:tc>
        <w:tc>
          <w:tcPr>
            <w:tcW w:w="4441" w:type="dxa"/>
            <w:tcBorders>
              <w:top w:val="single" w:sz="4" w:space="0" w:color="auto"/>
            </w:tcBorders>
            <w:shd w:val="clear" w:color="auto" w:fill="auto"/>
          </w:tcPr>
          <w:p w14:paraId="421331EE" w14:textId="77777777" w:rsidR="00654236" w:rsidRPr="00C347AD" w:rsidRDefault="00654236" w:rsidP="00654236">
            <w:pPr>
              <w:pStyle w:val="ListParagraph"/>
              <w:numPr>
                <w:ilvl w:val="0"/>
                <w:numId w:val="4"/>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Multiple means of representation </w:t>
            </w:r>
          </w:p>
          <w:p w14:paraId="756F55DE" w14:textId="77777777" w:rsidR="00654236" w:rsidRPr="00C347AD" w:rsidRDefault="00654236" w:rsidP="00654236">
            <w:pPr>
              <w:pStyle w:val="ListParagraph"/>
              <w:numPr>
                <w:ilvl w:val="0"/>
                <w:numId w:val="4"/>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Multiple means of action and expression</w:t>
            </w:r>
          </w:p>
          <w:p w14:paraId="4B3E20C1" w14:textId="77777777" w:rsidR="00654236" w:rsidRPr="00C347AD" w:rsidRDefault="00654236" w:rsidP="00654236">
            <w:pPr>
              <w:pStyle w:val="ListParagraph"/>
              <w:numPr>
                <w:ilvl w:val="0"/>
                <w:numId w:val="4"/>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Multiple means of engagement</w:t>
            </w:r>
          </w:p>
        </w:tc>
      </w:tr>
      <w:tr w:rsidR="00654236" w:rsidRPr="00C347AD" w14:paraId="67EF4CDD" w14:textId="77777777" w:rsidTr="00654236">
        <w:tc>
          <w:tcPr>
            <w:tcW w:w="4415" w:type="dxa"/>
            <w:shd w:val="clear" w:color="auto" w:fill="auto"/>
          </w:tcPr>
          <w:p w14:paraId="0086F659"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UD in education (NCITE)</w:t>
            </w:r>
          </w:p>
        </w:tc>
        <w:tc>
          <w:tcPr>
            <w:tcW w:w="4441" w:type="dxa"/>
            <w:shd w:val="clear" w:color="auto" w:fill="auto"/>
          </w:tcPr>
          <w:p w14:paraId="54A564F6" w14:textId="77777777" w:rsidR="00654236" w:rsidRPr="00C347AD" w:rsidRDefault="00654236" w:rsidP="00654236">
            <w:pPr>
              <w:pStyle w:val="ListParagraph"/>
              <w:numPr>
                <w:ilvl w:val="0"/>
                <w:numId w:val="5"/>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Big ideas</w:t>
            </w:r>
          </w:p>
          <w:p w14:paraId="681F06C9" w14:textId="77777777" w:rsidR="00654236" w:rsidRPr="00C347AD" w:rsidRDefault="00654236" w:rsidP="00654236">
            <w:pPr>
              <w:pStyle w:val="ListParagraph"/>
              <w:numPr>
                <w:ilvl w:val="0"/>
                <w:numId w:val="5"/>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Conspicuous strategies </w:t>
            </w:r>
          </w:p>
          <w:p w14:paraId="09543506" w14:textId="77777777" w:rsidR="00654236" w:rsidRPr="00C347AD" w:rsidRDefault="00654236" w:rsidP="00654236">
            <w:pPr>
              <w:pStyle w:val="ListParagraph"/>
              <w:numPr>
                <w:ilvl w:val="0"/>
                <w:numId w:val="5"/>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Mediated scaffolding </w:t>
            </w:r>
          </w:p>
          <w:p w14:paraId="7E82DF26" w14:textId="77777777" w:rsidR="00654236" w:rsidRPr="00C347AD" w:rsidRDefault="00654236" w:rsidP="00654236">
            <w:pPr>
              <w:pStyle w:val="ListParagraph"/>
              <w:numPr>
                <w:ilvl w:val="0"/>
                <w:numId w:val="5"/>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Strategic integration </w:t>
            </w:r>
          </w:p>
          <w:p w14:paraId="7DB7A8F1" w14:textId="77777777" w:rsidR="00654236" w:rsidRPr="00C347AD" w:rsidRDefault="00654236" w:rsidP="00654236">
            <w:pPr>
              <w:pStyle w:val="ListParagraph"/>
              <w:numPr>
                <w:ilvl w:val="0"/>
                <w:numId w:val="5"/>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Judicious review </w:t>
            </w:r>
          </w:p>
          <w:p w14:paraId="09D91460" w14:textId="77777777" w:rsidR="00654236" w:rsidRPr="00C347AD" w:rsidRDefault="00654236" w:rsidP="00654236">
            <w:pPr>
              <w:pStyle w:val="ListParagraph"/>
              <w:numPr>
                <w:ilvl w:val="0"/>
                <w:numId w:val="5"/>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Primed background knowledge</w:t>
            </w:r>
          </w:p>
        </w:tc>
      </w:tr>
      <w:tr w:rsidR="00654236" w:rsidRPr="00C347AD" w14:paraId="1BE832CC" w14:textId="77777777" w:rsidTr="00654236">
        <w:tc>
          <w:tcPr>
            <w:tcW w:w="4415" w:type="dxa"/>
            <w:shd w:val="clear" w:color="auto" w:fill="auto"/>
          </w:tcPr>
          <w:p w14:paraId="626497A5" w14:textId="77777777" w:rsidR="00654236" w:rsidRPr="00C347AD" w:rsidRDefault="00654236" w:rsidP="00654236">
            <w:pPr>
              <w:spacing w:line="240" w:lineRule="auto"/>
              <w:ind w:firstLine="0"/>
              <w:rPr>
                <w:rFonts w:ascii="Times New Roman" w:hAnsi="Times New Roman" w:cs="Times New Roman"/>
              </w:rPr>
            </w:pPr>
            <w:r w:rsidRPr="00C347AD">
              <w:rPr>
                <w:rFonts w:ascii="Times New Roman" w:hAnsi="Times New Roman" w:cs="Times New Roman"/>
              </w:rPr>
              <w:t>Universal Instructional Design (UMN)</w:t>
            </w:r>
          </w:p>
        </w:tc>
        <w:tc>
          <w:tcPr>
            <w:tcW w:w="4441" w:type="dxa"/>
            <w:shd w:val="clear" w:color="auto" w:fill="auto"/>
          </w:tcPr>
          <w:p w14:paraId="481A7B38"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Create welcoming classrooms </w:t>
            </w:r>
          </w:p>
          <w:p w14:paraId="3AF5EADC"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Determining course components </w:t>
            </w:r>
          </w:p>
          <w:p w14:paraId="073FD9C2"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Communicating clear expectations </w:t>
            </w:r>
          </w:p>
          <w:p w14:paraId="3791A72B"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Providing timely and constructive feedback </w:t>
            </w:r>
          </w:p>
          <w:p w14:paraId="69C6DF3B"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Exploring use of natural supports for learning including technology</w:t>
            </w:r>
          </w:p>
          <w:p w14:paraId="0D6EC6A2"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Designing methods that consider diverse learning styles, abilities, ways of knowing, experience and background knowledge</w:t>
            </w:r>
          </w:p>
          <w:p w14:paraId="6DC6F36A"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Creating multiple ways for students to demonstrate their knowledge</w:t>
            </w:r>
          </w:p>
          <w:p w14:paraId="04751D0D"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Promoting interaction among and between faculty and students</w:t>
            </w:r>
          </w:p>
        </w:tc>
      </w:tr>
      <w:tr w:rsidR="00654236" w:rsidRPr="00C347AD" w14:paraId="0894C00E" w14:textId="77777777" w:rsidTr="00654236">
        <w:tc>
          <w:tcPr>
            <w:tcW w:w="4415" w:type="dxa"/>
            <w:tcBorders>
              <w:bottom w:val="single" w:sz="4" w:space="0" w:color="auto"/>
            </w:tcBorders>
            <w:shd w:val="clear" w:color="auto" w:fill="auto"/>
          </w:tcPr>
          <w:p w14:paraId="35F182FE" w14:textId="77777777"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Universal Design for Instruction (UW)</w:t>
            </w:r>
          </w:p>
        </w:tc>
        <w:tc>
          <w:tcPr>
            <w:tcW w:w="4441" w:type="dxa"/>
            <w:tcBorders>
              <w:bottom w:val="single" w:sz="4" w:space="0" w:color="auto"/>
            </w:tcBorders>
            <w:shd w:val="clear" w:color="auto" w:fill="auto"/>
          </w:tcPr>
          <w:p w14:paraId="0D3B1DAC"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Class climate</w:t>
            </w:r>
          </w:p>
          <w:p w14:paraId="2FEE0955"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Interaction</w:t>
            </w:r>
          </w:p>
          <w:p w14:paraId="59E8BE0C"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Physical environments and products</w:t>
            </w:r>
          </w:p>
          <w:p w14:paraId="50CFA6BA"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Delivery methods</w:t>
            </w:r>
          </w:p>
          <w:p w14:paraId="493C1BA4"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Resources and technology</w:t>
            </w:r>
          </w:p>
          <w:p w14:paraId="21FD35E7"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Feedback </w:t>
            </w:r>
          </w:p>
          <w:p w14:paraId="0A0991CC" w14:textId="77777777" w:rsidR="00654236" w:rsidRPr="00C347AD" w:rsidRDefault="00654236" w:rsidP="00654236">
            <w:pPr>
              <w:pStyle w:val="ListParagraph"/>
              <w:numPr>
                <w:ilvl w:val="0"/>
                <w:numId w:val="7"/>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 xml:space="preserve">Assessment </w:t>
            </w:r>
          </w:p>
          <w:p w14:paraId="2C2AFF66" w14:textId="77777777" w:rsidR="00654236" w:rsidRPr="00C347AD" w:rsidRDefault="00654236" w:rsidP="00654236">
            <w:pPr>
              <w:pStyle w:val="ListParagraph"/>
              <w:numPr>
                <w:ilvl w:val="0"/>
                <w:numId w:val="6"/>
              </w:numPr>
              <w:spacing w:before="100" w:beforeAutospacing="1" w:after="100" w:afterAutospacing="1" w:line="240" w:lineRule="auto"/>
              <w:rPr>
                <w:rFonts w:ascii="Times New Roman" w:hAnsi="Times New Roman" w:cs="Times New Roman"/>
              </w:rPr>
            </w:pPr>
            <w:r w:rsidRPr="00C347AD">
              <w:rPr>
                <w:rFonts w:ascii="Times New Roman" w:hAnsi="Times New Roman" w:cs="Times New Roman"/>
              </w:rPr>
              <w:t>Accommodation</w:t>
            </w:r>
          </w:p>
        </w:tc>
      </w:tr>
    </w:tbl>
    <w:p w14:paraId="6F6C1F1E" w14:textId="0281A07D" w:rsidR="00654236" w:rsidRPr="00C347AD" w:rsidRDefault="0065423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1350"/>
        <w:gridCol w:w="1278"/>
      </w:tblGrid>
      <w:tr w:rsidR="00654236" w:rsidRPr="00C347AD" w14:paraId="5ABBA7EF" w14:textId="77777777" w:rsidTr="00654236">
        <w:trPr>
          <w:jc w:val="center"/>
        </w:trPr>
        <w:tc>
          <w:tcPr>
            <w:tcW w:w="6228" w:type="dxa"/>
            <w:vAlign w:val="center"/>
          </w:tcPr>
          <w:p w14:paraId="2FDB5931" w14:textId="3DF57C17" w:rsidR="00654236" w:rsidRPr="00C347AD" w:rsidRDefault="000F4D0C" w:rsidP="00D46B9A">
            <w:pPr>
              <w:spacing w:line="240" w:lineRule="auto"/>
              <w:ind w:firstLine="0"/>
              <w:rPr>
                <w:rFonts w:ascii="Times New Roman" w:hAnsi="Times New Roman" w:cs="Times New Roman"/>
              </w:rPr>
            </w:pPr>
            <w:r w:rsidRPr="00C347AD">
              <w:rPr>
                <w:rFonts w:ascii="Times New Roman" w:hAnsi="Times New Roman" w:cs="Times New Roman"/>
              </w:rPr>
              <w:lastRenderedPageBreak/>
              <w:t>Table 12</w:t>
            </w:r>
            <w:r w:rsidR="00654236" w:rsidRPr="00C347AD">
              <w:rPr>
                <w:rFonts w:ascii="Times New Roman" w:hAnsi="Times New Roman" w:cs="Times New Roman"/>
              </w:rPr>
              <w:t xml:space="preserve">. </w:t>
            </w:r>
          </w:p>
        </w:tc>
        <w:tc>
          <w:tcPr>
            <w:tcW w:w="1350" w:type="dxa"/>
            <w:vAlign w:val="center"/>
          </w:tcPr>
          <w:p w14:paraId="0CF98512" w14:textId="77777777" w:rsidR="00654236" w:rsidRPr="00C347AD" w:rsidRDefault="00654236" w:rsidP="00D46B9A">
            <w:pPr>
              <w:spacing w:line="240" w:lineRule="auto"/>
              <w:ind w:firstLine="0"/>
              <w:jc w:val="center"/>
              <w:rPr>
                <w:rFonts w:ascii="Times New Roman" w:hAnsi="Times New Roman" w:cs="Times New Roman"/>
              </w:rPr>
            </w:pPr>
          </w:p>
        </w:tc>
        <w:tc>
          <w:tcPr>
            <w:tcW w:w="1278" w:type="dxa"/>
            <w:vAlign w:val="center"/>
          </w:tcPr>
          <w:p w14:paraId="5B72B5F7" w14:textId="77777777" w:rsidR="00654236" w:rsidRPr="00C347AD" w:rsidRDefault="00654236" w:rsidP="00D46B9A">
            <w:pPr>
              <w:spacing w:line="240" w:lineRule="auto"/>
              <w:ind w:firstLine="0"/>
              <w:jc w:val="center"/>
              <w:rPr>
                <w:rFonts w:ascii="Times New Roman" w:hAnsi="Times New Roman" w:cs="Times New Roman"/>
              </w:rPr>
            </w:pPr>
          </w:p>
        </w:tc>
      </w:tr>
      <w:tr w:rsidR="00654236" w:rsidRPr="00C347AD" w14:paraId="18858BD8" w14:textId="77777777" w:rsidTr="00654236">
        <w:trPr>
          <w:jc w:val="center"/>
        </w:trPr>
        <w:tc>
          <w:tcPr>
            <w:tcW w:w="8856" w:type="dxa"/>
            <w:gridSpan w:val="3"/>
            <w:tcBorders>
              <w:bottom w:val="single" w:sz="4" w:space="0" w:color="auto"/>
            </w:tcBorders>
            <w:vAlign w:val="center"/>
          </w:tcPr>
          <w:p w14:paraId="6C26688B" w14:textId="77777777" w:rsidR="00654236" w:rsidRPr="00C347AD" w:rsidRDefault="00654236" w:rsidP="00D46B9A">
            <w:pPr>
              <w:spacing w:line="240" w:lineRule="auto"/>
              <w:ind w:firstLine="0"/>
              <w:rPr>
                <w:rFonts w:ascii="Times New Roman" w:hAnsi="Times New Roman" w:cs="Times New Roman"/>
              </w:rPr>
            </w:pPr>
            <w:r w:rsidRPr="00C347AD">
              <w:rPr>
                <w:rFonts w:ascii="Times New Roman" w:hAnsi="Times New Roman" w:cs="Times New Roman"/>
                <w:i/>
              </w:rPr>
              <w:t>Comparison of Activities/Aspects in Treatment and Control Conditions</w:t>
            </w:r>
          </w:p>
        </w:tc>
      </w:tr>
      <w:tr w:rsidR="00654236" w:rsidRPr="00C347AD" w14:paraId="52909837" w14:textId="77777777" w:rsidTr="00654236">
        <w:trPr>
          <w:jc w:val="center"/>
        </w:trPr>
        <w:tc>
          <w:tcPr>
            <w:tcW w:w="6228" w:type="dxa"/>
            <w:tcBorders>
              <w:bottom w:val="single" w:sz="4" w:space="0" w:color="auto"/>
            </w:tcBorders>
            <w:vAlign w:val="center"/>
          </w:tcPr>
          <w:p w14:paraId="56528DF2"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Activity/Aspect</w:t>
            </w:r>
          </w:p>
        </w:tc>
        <w:tc>
          <w:tcPr>
            <w:tcW w:w="1350" w:type="dxa"/>
            <w:tcBorders>
              <w:bottom w:val="single" w:sz="4" w:space="0" w:color="auto"/>
            </w:tcBorders>
            <w:vAlign w:val="center"/>
          </w:tcPr>
          <w:p w14:paraId="381C6AC2"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Treatment</w:t>
            </w:r>
          </w:p>
        </w:tc>
        <w:tc>
          <w:tcPr>
            <w:tcW w:w="1278" w:type="dxa"/>
            <w:tcBorders>
              <w:bottom w:val="single" w:sz="4" w:space="0" w:color="auto"/>
            </w:tcBorders>
            <w:vAlign w:val="center"/>
          </w:tcPr>
          <w:p w14:paraId="35387942"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Control</w:t>
            </w:r>
          </w:p>
        </w:tc>
      </w:tr>
      <w:tr w:rsidR="00654236" w:rsidRPr="00C347AD" w14:paraId="45E234B5" w14:textId="77777777" w:rsidTr="00654236">
        <w:trPr>
          <w:jc w:val="center"/>
        </w:trPr>
        <w:tc>
          <w:tcPr>
            <w:tcW w:w="6228" w:type="dxa"/>
            <w:tcBorders>
              <w:top w:val="single" w:sz="4" w:space="0" w:color="auto"/>
            </w:tcBorders>
            <w:vAlign w:val="center"/>
          </w:tcPr>
          <w:p w14:paraId="102C5B83" w14:textId="77777777" w:rsidR="00654236" w:rsidRPr="00C347AD" w:rsidRDefault="00654236" w:rsidP="00D46B9A">
            <w:pPr>
              <w:spacing w:line="240" w:lineRule="auto"/>
              <w:ind w:firstLine="0"/>
              <w:jc w:val="center"/>
              <w:rPr>
                <w:rFonts w:ascii="Times New Roman" w:hAnsi="Times New Roman" w:cs="Times New Roman"/>
              </w:rPr>
            </w:pPr>
          </w:p>
          <w:p w14:paraId="10BF68CA"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Textbook reading prior to class</w:t>
            </w:r>
          </w:p>
        </w:tc>
        <w:tc>
          <w:tcPr>
            <w:tcW w:w="1350" w:type="dxa"/>
            <w:tcBorders>
              <w:top w:val="single" w:sz="4" w:space="0" w:color="auto"/>
            </w:tcBorders>
            <w:vAlign w:val="center"/>
          </w:tcPr>
          <w:p w14:paraId="1A23C9B4"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tcBorders>
              <w:top w:val="single" w:sz="4" w:space="0" w:color="auto"/>
            </w:tcBorders>
            <w:vAlign w:val="center"/>
          </w:tcPr>
          <w:p w14:paraId="69FDBA55"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748E9AED" w14:textId="77777777" w:rsidTr="00654236">
        <w:trPr>
          <w:jc w:val="center"/>
        </w:trPr>
        <w:tc>
          <w:tcPr>
            <w:tcW w:w="6228" w:type="dxa"/>
            <w:vAlign w:val="center"/>
          </w:tcPr>
          <w:p w14:paraId="120CD7D4" w14:textId="77777777" w:rsidR="00654236" w:rsidRPr="00C347AD" w:rsidRDefault="00654236" w:rsidP="00D46B9A">
            <w:pPr>
              <w:spacing w:line="240" w:lineRule="auto"/>
              <w:ind w:firstLine="0"/>
              <w:jc w:val="center"/>
              <w:rPr>
                <w:rFonts w:ascii="Times New Roman" w:hAnsi="Times New Roman" w:cs="Times New Roman"/>
              </w:rPr>
            </w:pPr>
          </w:p>
          <w:p w14:paraId="11C08BDA"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Identification of learning goal</w:t>
            </w:r>
          </w:p>
          <w:p w14:paraId="22C1E7A3"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vAlign w:val="center"/>
          </w:tcPr>
          <w:p w14:paraId="03E02FF6"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4A9C9861"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6A0FB0B5" w14:textId="77777777" w:rsidTr="00654236">
        <w:trPr>
          <w:jc w:val="center"/>
        </w:trPr>
        <w:tc>
          <w:tcPr>
            <w:tcW w:w="6228" w:type="dxa"/>
            <w:vAlign w:val="center"/>
          </w:tcPr>
          <w:p w14:paraId="1DDA6033"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Sharing of learning goals w/ students</w:t>
            </w:r>
          </w:p>
          <w:p w14:paraId="5DA93FCB"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vAlign w:val="center"/>
          </w:tcPr>
          <w:p w14:paraId="41014296"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68644749"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765B03CE" w14:textId="77777777" w:rsidTr="00654236">
        <w:trPr>
          <w:jc w:val="center"/>
        </w:trPr>
        <w:tc>
          <w:tcPr>
            <w:tcW w:w="6228" w:type="dxa"/>
            <w:vAlign w:val="center"/>
          </w:tcPr>
          <w:p w14:paraId="76FAECE3"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Teaching toward learning goal with lecture and PowerPoint presentation</w:t>
            </w:r>
          </w:p>
          <w:p w14:paraId="135EB834"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vAlign w:val="center"/>
          </w:tcPr>
          <w:p w14:paraId="33CD608F"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68FE143B"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14C322A9" w14:textId="77777777" w:rsidTr="00654236">
        <w:trPr>
          <w:jc w:val="center"/>
        </w:trPr>
        <w:tc>
          <w:tcPr>
            <w:tcW w:w="6228" w:type="dxa"/>
            <w:vAlign w:val="center"/>
          </w:tcPr>
          <w:p w14:paraId="1CADF704"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 xml:space="preserve">Encourage students to take notes </w:t>
            </w:r>
          </w:p>
          <w:p w14:paraId="58EA0D9F"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vAlign w:val="center"/>
          </w:tcPr>
          <w:p w14:paraId="26197D4E"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3AE8EC6F"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1F3CC9BE" w14:textId="77777777" w:rsidTr="00654236">
        <w:trPr>
          <w:jc w:val="center"/>
        </w:trPr>
        <w:tc>
          <w:tcPr>
            <w:tcW w:w="6228" w:type="dxa"/>
          </w:tcPr>
          <w:p w14:paraId="1D157A0C"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 xml:space="preserve">Provide students with the opportunity to ask questions or comment at appropriate intervals </w:t>
            </w:r>
          </w:p>
          <w:p w14:paraId="5BF7F13B"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vAlign w:val="center"/>
          </w:tcPr>
          <w:p w14:paraId="51EE3A3A"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3B3C9C16"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09ADB311" w14:textId="77777777" w:rsidTr="00654236">
        <w:trPr>
          <w:jc w:val="center"/>
        </w:trPr>
        <w:tc>
          <w:tcPr>
            <w:tcW w:w="6228" w:type="dxa"/>
            <w:vAlign w:val="center"/>
          </w:tcPr>
          <w:p w14:paraId="7A143804"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 xml:space="preserve">Provide summary of the learning </w:t>
            </w:r>
          </w:p>
          <w:p w14:paraId="74B5E1EB"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vAlign w:val="center"/>
          </w:tcPr>
          <w:p w14:paraId="00A8E6F1"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6AB054AF"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r>
      <w:tr w:rsidR="00654236" w:rsidRPr="00C347AD" w14:paraId="73D62211" w14:textId="77777777" w:rsidTr="00654236">
        <w:trPr>
          <w:trHeight w:val="603"/>
          <w:jc w:val="center"/>
        </w:trPr>
        <w:tc>
          <w:tcPr>
            <w:tcW w:w="6228" w:type="dxa"/>
            <w:vAlign w:val="center"/>
          </w:tcPr>
          <w:p w14:paraId="67BB4AEC"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Identification of likely barriers</w:t>
            </w:r>
          </w:p>
          <w:p w14:paraId="17361EF9" w14:textId="77777777" w:rsidR="00654236" w:rsidRPr="00C347AD" w:rsidRDefault="00654236" w:rsidP="00D46B9A">
            <w:pPr>
              <w:spacing w:line="240" w:lineRule="auto"/>
              <w:ind w:firstLine="0"/>
              <w:jc w:val="center"/>
              <w:rPr>
                <w:rFonts w:ascii="Times New Roman" w:hAnsi="Times New Roman" w:cs="Times New Roman"/>
              </w:rPr>
            </w:pPr>
          </w:p>
        </w:tc>
        <w:tc>
          <w:tcPr>
            <w:tcW w:w="1350" w:type="dxa"/>
          </w:tcPr>
          <w:p w14:paraId="124EE4C4" w14:textId="77777777" w:rsidR="00654236" w:rsidRPr="00C347AD" w:rsidRDefault="00654236" w:rsidP="00D46B9A">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tcPr>
          <w:p w14:paraId="77AAF06B" w14:textId="77777777" w:rsidR="00654236" w:rsidRPr="00C347AD" w:rsidRDefault="00654236" w:rsidP="00D46B9A">
            <w:pPr>
              <w:spacing w:line="240" w:lineRule="auto"/>
              <w:ind w:firstLine="0"/>
              <w:jc w:val="center"/>
              <w:rPr>
                <w:rFonts w:ascii="Times New Roman" w:hAnsi="Times New Roman" w:cs="Times New Roman"/>
              </w:rPr>
            </w:pPr>
          </w:p>
        </w:tc>
      </w:tr>
      <w:tr w:rsidR="00654236" w:rsidRPr="00C347AD" w14:paraId="42E65002" w14:textId="77777777" w:rsidTr="00D46B9A">
        <w:trPr>
          <w:trHeight w:val="179"/>
          <w:jc w:val="center"/>
        </w:trPr>
        <w:tc>
          <w:tcPr>
            <w:tcW w:w="6228" w:type="dxa"/>
            <w:vAlign w:val="center"/>
          </w:tcPr>
          <w:p w14:paraId="620C18C4" w14:textId="77777777"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 xml:space="preserve">Teaching toward learning goal with intentionally diversified representation, engagement, and student action </w:t>
            </w:r>
          </w:p>
          <w:p w14:paraId="62E5984F" w14:textId="77777777" w:rsidR="00654236" w:rsidRPr="00C347AD" w:rsidRDefault="00654236" w:rsidP="00654236">
            <w:pPr>
              <w:spacing w:line="240" w:lineRule="auto"/>
              <w:ind w:firstLine="0"/>
              <w:jc w:val="center"/>
              <w:rPr>
                <w:rFonts w:ascii="Times New Roman" w:hAnsi="Times New Roman" w:cs="Times New Roman"/>
              </w:rPr>
            </w:pPr>
          </w:p>
        </w:tc>
        <w:tc>
          <w:tcPr>
            <w:tcW w:w="1350" w:type="dxa"/>
            <w:vAlign w:val="center"/>
          </w:tcPr>
          <w:p w14:paraId="1D10ED7C" w14:textId="051F0B6C"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2D737F45" w14:textId="77777777" w:rsidR="00654236" w:rsidRPr="00C347AD" w:rsidRDefault="00654236" w:rsidP="00654236">
            <w:pPr>
              <w:spacing w:line="240" w:lineRule="auto"/>
              <w:ind w:firstLine="0"/>
              <w:jc w:val="center"/>
              <w:rPr>
                <w:rFonts w:ascii="Times New Roman" w:hAnsi="Times New Roman" w:cs="Times New Roman"/>
              </w:rPr>
            </w:pPr>
          </w:p>
        </w:tc>
      </w:tr>
      <w:tr w:rsidR="00654236" w:rsidRPr="00C347AD" w14:paraId="35D0F154" w14:textId="77777777" w:rsidTr="00D46B9A">
        <w:trPr>
          <w:trHeight w:val="179"/>
          <w:jc w:val="center"/>
        </w:trPr>
        <w:tc>
          <w:tcPr>
            <w:tcW w:w="6228" w:type="dxa"/>
            <w:vAlign w:val="center"/>
          </w:tcPr>
          <w:p w14:paraId="1305D726" w14:textId="77777777"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Prescription of UDL appropriate checkpoints</w:t>
            </w:r>
          </w:p>
          <w:p w14:paraId="427567EB" w14:textId="77777777" w:rsidR="00654236" w:rsidRPr="00C347AD" w:rsidRDefault="00654236" w:rsidP="00654236">
            <w:pPr>
              <w:spacing w:line="240" w:lineRule="auto"/>
              <w:ind w:firstLine="0"/>
              <w:jc w:val="center"/>
              <w:rPr>
                <w:rFonts w:ascii="Times New Roman" w:hAnsi="Times New Roman" w:cs="Times New Roman"/>
              </w:rPr>
            </w:pPr>
          </w:p>
        </w:tc>
        <w:tc>
          <w:tcPr>
            <w:tcW w:w="1350" w:type="dxa"/>
            <w:vAlign w:val="center"/>
          </w:tcPr>
          <w:p w14:paraId="2D206BBA" w14:textId="621B8706"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4FD191BD" w14:textId="77777777" w:rsidR="00654236" w:rsidRPr="00C347AD" w:rsidRDefault="00654236" w:rsidP="00654236">
            <w:pPr>
              <w:spacing w:line="240" w:lineRule="auto"/>
              <w:ind w:firstLine="0"/>
              <w:jc w:val="center"/>
              <w:rPr>
                <w:rFonts w:ascii="Times New Roman" w:hAnsi="Times New Roman" w:cs="Times New Roman"/>
              </w:rPr>
            </w:pPr>
          </w:p>
        </w:tc>
      </w:tr>
      <w:tr w:rsidR="00654236" w:rsidRPr="00C347AD" w14:paraId="34A95274" w14:textId="77777777" w:rsidTr="00654236">
        <w:trPr>
          <w:trHeight w:val="179"/>
          <w:jc w:val="center"/>
        </w:trPr>
        <w:tc>
          <w:tcPr>
            <w:tcW w:w="6228" w:type="dxa"/>
            <w:vAlign w:val="center"/>
          </w:tcPr>
          <w:p w14:paraId="5517D030" w14:textId="77777777"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Live explication on UDL practices in use</w:t>
            </w:r>
          </w:p>
          <w:p w14:paraId="4323E78A" w14:textId="77777777" w:rsidR="00654236" w:rsidRPr="00C347AD" w:rsidRDefault="00654236" w:rsidP="00654236">
            <w:pPr>
              <w:spacing w:line="240" w:lineRule="auto"/>
              <w:ind w:firstLine="0"/>
              <w:jc w:val="center"/>
              <w:rPr>
                <w:rFonts w:ascii="Times New Roman" w:hAnsi="Times New Roman" w:cs="Times New Roman"/>
              </w:rPr>
            </w:pPr>
          </w:p>
        </w:tc>
        <w:tc>
          <w:tcPr>
            <w:tcW w:w="1350" w:type="dxa"/>
            <w:vAlign w:val="center"/>
          </w:tcPr>
          <w:p w14:paraId="53766CC0" w14:textId="0D9AA791"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vAlign w:val="center"/>
          </w:tcPr>
          <w:p w14:paraId="0136F6DE" w14:textId="77777777" w:rsidR="00654236" w:rsidRPr="00C347AD" w:rsidRDefault="00654236" w:rsidP="00654236">
            <w:pPr>
              <w:spacing w:line="240" w:lineRule="auto"/>
              <w:ind w:firstLine="0"/>
              <w:jc w:val="center"/>
              <w:rPr>
                <w:rFonts w:ascii="Times New Roman" w:hAnsi="Times New Roman" w:cs="Times New Roman"/>
              </w:rPr>
            </w:pPr>
          </w:p>
        </w:tc>
      </w:tr>
      <w:tr w:rsidR="00654236" w:rsidRPr="00C347AD" w14:paraId="2C071767" w14:textId="77777777" w:rsidTr="00654236">
        <w:trPr>
          <w:trHeight w:val="179"/>
          <w:jc w:val="center"/>
        </w:trPr>
        <w:tc>
          <w:tcPr>
            <w:tcW w:w="6228" w:type="dxa"/>
            <w:tcBorders>
              <w:bottom w:val="single" w:sz="4" w:space="0" w:color="auto"/>
            </w:tcBorders>
            <w:vAlign w:val="center"/>
          </w:tcPr>
          <w:p w14:paraId="6EA8542C" w14:textId="011B2F42"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Reflection on efficacy of UDL practices utilized</w:t>
            </w:r>
          </w:p>
        </w:tc>
        <w:tc>
          <w:tcPr>
            <w:tcW w:w="1350" w:type="dxa"/>
            <w:tcBorders>
              <w:bottom w:val="single" w:sz="4" w:space="0" w:color="auto"/>
            </w:tcBorders>
            <w:vAlign w:val="center"/>
          </w:tcPr>
          <w:p w14:paraId="4AB20422" w14:textId="0AF0B8B1" w:rsidR="00654236" w:rsidRPr="00C347AD" w:rsidRDefault="00654236" w:rsidP="00654236">
            <w:pPr>
              <w:spacing w:line="240" w:lineRule="auto"/>
              <w:ind w:firstLine="0"/>
              <w:jc w:val="center"/>
              <w:rPr>
                <w:rFonts w:ascii="Times New Roman" w:hAnsi="Times New Roman" w:cs="Times New Roman"/>
              </w:rPr>
            </w:pPr>
            <w:r w:rsidRPr="00C347AD">
              <w:rPr>
                <w:rFonts w:ascii="Times New Roman" w:hAnsi="Times New Roman" w:cs="Times New Roman"/>
              </w:rPr>
              <w:t>√</w:t>
            </w:r>
          </w:p>
        </w:tc>
        <w:tc>
          <w:tcPr>
            <w:tcW w:w="1278" w:type="dxa"/>
            <w:tcBorders>
              <w:bottom w:val="single" w:sz="4" w:space="0" w:color="auto"/>
            </w:tcBorders>
            <w:vAlign w:val="center"/>
          </w:tcPr>
          <w:p w14:paraId="4FEA1D3E" w14:textId="77777777" w:rsidR="00654236" w:rsidRPr="00C347AD" w:rsidRDefault="00654236" w:rsidP="00654236">
            <w:pPr>
              <w:spacing w:line="240" w:lineRule="auto"/>
              <w:ind w:firstLine="0"/>
              <w:jc w:val="center"/>
              <w:rPr>
                <w:rFonts w:ascii="Times New Roman" w:hAnsi="Times New Roman" w:cs="Times New Roman"/>
              </w:rPr>
            </w:pPr>
          </w:p>
          <w:p w14:paraId="6370A8AD" w14:textId="77777777" w:rsidR="00654236" w:rsidRPr="00C347AD" w:rsidRDefault="00654236" w:rsidP="00654236">
            <w:pPr>
              <w:spacing w:line="240" w:lineRule="auto"/>
              <w:ind w:firstLine="0"/>
              <w:jc w:val="center"/>
              <w:rPr>
                <w:rFonts w:ascii="Times New Roman" w:hAnsi="Times New Roman" w:cs="Times New Roman"/>
              </w:rPr>
            </w:pPr>
          </w:p>
          <w:p w14:paraId="2A5578C6" w14:textId="77777777" w:rsidR="00654236" w:rsidRPr="00C347AD" w:rsidRDefault="00654236" w:rsidP="00654236">
            <w:pPr>
              <w:spacing w:line="240" w:lineRule="auto"/>
              <w:ind w:firstLine="0"/>
              <w:jc w:val="center"/>
              <w:rPr>
                <w:rFonts w:ascii="Times New Roman" w:hAnsi="Times New Roman" w:cs="Times New Roman"/>
              </w:rPr>
            </w:pPr>
          </w:p>
        </w:tc>
      </w:tr>
    </w:tbl>
    <w:p w14:paraId="2FF8653F" w14:textId="567DE9A9" w:rsidR="003158CC" w:rsidRPr="00C347AD" w:rsidRDefault="00654236" w:rsidP="00654236">
      <w:pPr>
        <w:spacing w:line="240" w:lineRule="auto"/>
        <w:ind w:firstLine="0"/>
        <w:sectPr w:rsidR="003158CC" w:rsidRPr="00C347AD" w:rsidSect="000D4BA8">
          <w:pgSz w:w="12240" w:h="15840" w:code="1"/>
          <w:pgMar w:top="2016" w:right="1800" w:bottom="1440" w:left="1800" w:header="1440" w:footer="1440" w:gutter="0"/>
          <w:pgNumType w:start="1"/>
          <w:cols w:space="720"/>
          <w:noEndnote/>
        </w:sectPr>
      </w:pPr>
      <w:r w:rsidRPr="00C347AD">
        <w:br w:type="page"/>
      </w:r>
    </w:p>
    <w:p w14:paraId="705AD08C" w14:textId="6E5AF200" w:rsidR="00DD30EC" w:rsidRPr="00C347AD" w:rsidRDefault="000D2E05" w:rsidP="00FE779B">
      <w:pPr>
        <w:pStyle w:val="Heading3"/>
      </w:pPr>
      <w:r w:rsidRPr="00C347AD">
        <w:rPr>
          <w:noProof/>
        </w:rPr>
        <w:lastRenderedPageBreak/>
        <mc:AlternateContent>
          <mc:Choice Requires="wps">
            <w:drawing>
              <wp:anchor distT="0" distB="0" distL="114300" distR="114300" simplePos="0" relativeHeight="251729920" behindDoc="0" locked="0" layoutInCell="1" allowOverlap="1" wp14:anchorId="3202E076" wp14:editId="09C177D4">
                <wp:simplePos x="0" y="0"/>
                <wp:positionH relativeFrom="column">
                  <wp:posOffset>-276860</wp:posOffset>
                </wp:positionH>
                <wp:positionV relativeFrom="paragraph">
                  <wp:posOffset>-5715</wp:posOffset>
                </wp:positionV>
                <wp:extent cx="1524000" cy="40830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1524000" cy="4083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13EDCA" w14:textId="54B94E72" w:rsidR="006E3241" w:rsidRPr="000D2E05" w:rsidRDefault="006E3241">
                            <w:pPr>
                              <w:rPr>
                                <w:b/>
                              </w:rPr>
                            </w:pPr>
                            <w:r w:rsidRPr="000D2E05">
                              <w:rPr>
                                <w:b/>
                              </w:rPr>
                              <w:t>Figures.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02E076" id="Text Box 18" o:spid="_x0000_s1027" type="#_x0000_t202" style="position:absolute;left:0;text-align:left;margin-left:-21.8pt;margin-top:-.4pt;width:120pt;height:32.1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yXCncCAABiBQAADgAAAGRycy9lMm9Eb2MueG1srFTBbtswDL0P2D8Iuq92snTrgjpF1qLDgKIt&#10;1g49K7LUGJNETWJiZ19fSrbTrNulwy42RT5S5COp07POGrZVITbgKj45KjlTTkLduMeKf7+/fHfC&#10;WUThamHAqYrvVORni7dvTls/V1NYg6lVYBTExXnrK75G9POiiHKtrIhH4JUjo4ZgBdIxPBZ1EC1F&#10;t6aYluWHooVQ+wBSxUjai97IFzm+1krijdZRITMVp9wwf0P+rtK3WJyK+WMQft3IIQ3xD1lY0Ti6&#10;dB/qQqBgm9D8Eco2MkAEjUcSbAFaN1LlGqiaSfmimru18CrXQuREv6cp/r+w8np7G1hTU++oU05Y&#10;6tG96pB9ho6RivhpfZwT7M4TEDvSE3bUR1KmsjsdbPpTQYzsxPRuz26KJpPT8XRWlmSSZJuVJ+/L&#10;4xSmePb2IeIXBZYloeKBupdJFduriD10hKTLHFw2xuQOGvebgmL2GpVHYPBOhfQJZwl3RiUv474p&#10;TRTkvJMiD586N4FtBY2NkFI5zCXnuIROKE13v8ZxwCfXPqvXOO898s3gcO9sGwchs/Qi7frHmLLu&#10;8UT1Qd1JxG7V9b0f+7mCekdtDtAvSvTysqFeXImItyLQZlD7aNvxhj7aQFtxGCTO1hB+/U2f8DSw&#10;ZOWspU2rePy5EUFxZr46GuVPk9ksrWY+zI4/TukQDi2rQ4vb2HOgrkzoXfEyiwmPZhR1APtAj8Iy&#10;3Uom4STdXXEcxXPs958eFamWywyiZfQCr9ydlyl0YjlN2n33IIIfxhFpkK9h3EkxfzGVPTZ5Olhu&#10;EHSTRzbx3LM68E+LnId+eHTSS3F4zqjnp3HxBAAA//8DAFBLAwQUAAYACAAAACEAgf7Qwt0AAAAI&#10;AQAADwAAAGRycy9kb3ducmV2LnhtbEyPwW7CMBBE75X4B2uRegObEqKSxkGoVa+tSlskbiZekqjx&#10;OooNSf++y6ncdjSj2Tf5ZnStuGAfGk8aFnMFAqn0tqFKw9fn6+wRRIiGrGk9oYZfDLApJne5yawf&#10;6AMvu1gJLqGQGQ11jF0mZShrdCbMfYfE3sn3zkSWfSVtbwYud618UCqVzjTEH2rT4XON5c/u7DR8&#10;v50O+0S9Vy9u1Q1+VJLcWmp9Px23TyAijvE/DFd8RoeCmY7+TDaIVsMsWaYc5YMXXP11moA4akiX&#10;K5BFLm8HFH8AAAD//wMAUEsBAi0AFAAGAAgAAAAhAOSZw8D7AAAA4QEAABMAAAAAAAAAAAAAAAAA&#10;AAAAAFtDb250ZW50X1R5cGVzXS54bWxQSwECLQAUAAYACAAAACEAI7Jq4dcAAACUAQAACwAAAAAA&#10;AAAAAAAAAAAsAQAAX3JlbHMvLnJlbHNQSwECLQAUAAYACAAAACEAAjyXCncCAABiBQAADgAAAAAA&#10;AAAAAAAAAAAsAgAAZHJzL2Uyb0RvYy54bWxQSwECLQAUAAYACAAAACEAgf7Qwt0AAAAIAQAADwAA&#10;AAAAAAAAAAAAAADPBAAAZHJzL2Rvd25yZXYueG1sUEsFBgAAAAAEAAQA8wAAANkFAAAAAA==&#10;" filled="f" stroked="f">
                <v:textbox>
                  <w:txbxContent>
                    <w:p w14:paraId="0213EDCA" w14:textId="54B94E72" w:rsidR="006E3241" w:rsidRPr="000D2E05" w:rsidRDefault="006E3241">
                      <w:pPr>
                        <w:rPr>
                          <w:b/>
                        </w:rPr>
                      </w:pPr>
                      <w:r w:rsidRPr="000D2E05">
                        <w:rPr>
                          <w:b/>
                        </w:rPr>
                        <w:t>Figures.</w:t>
                      </w:r>
                    </w:p>
                  </w:txbxContent>
                </v:textbox>
                <w10:wrap type="square"/>
              </v:shape>
            </w:pict>
          </mc:Fallback>
        </mc:AlternateContent>
      </w:r>
      <w:r w:rsidR="00DD30EC" w:rsidRPr="00C347AD">
        <w:rPr>
          <w:noProof/>
        </w:rPr>
        <mc:AlternateContent>
          <mc:Choice Requires="wps">
            <w:drawing>
              <wp:anchor distT="0" distB="0" distL="114300" distR="114300" simplePos="0" relativeHeight="251718656" behindDoc="0" locked="0" layoutInCell="1" allowOverlap="1" wp14:anchorId="0BE7DD44" wp14:editId="469A4916">
                <wp:simplePos x="0" y="0"/>
                <wp:positionH relativeFrom="column">
                  <wp:posOffset>29210</wp:posOffset>
                </wp:positionH>
                <wp:positionV relativeFrom="paragraph">
                  <wp:posOffset>4854575</wp:posOffset>
                </wp:positionV>
                <wp:extent cx="7626350" cy="935990"/>
                <wp:effectExtent l="0" t="0" r="0" b="3810"/>
                <wp:wrapTight wrapText="bothSides">
                  <wp:wrapPolygon edited="0">
                    <wp:start x="72" y="0"/>
                    <wp:lineTo x="72" y="21102"/>
                    <wp:lineTo x="21438" y="21102"/>
                    <wp:lineTo x="21438" y="0"/>
                    <wp:lineTo x="72" y="0"/>
                  </wp:wrapPolygon>
                </wp:wrapTight>
                <wp:docPr id="7" name="Text Box 7"/>
                <wp:cNvGraphicFramePr/>
                <a:graphic xmlns:a="http://schemas.openxmlformats.org/drawingml/2006/main">
                  <a:graphicData uri="http://schemas.microsoft.com/office/word/2010/wordprocessingShape">
                    <wps:wsp>
                      <wps:cNvSpPr txBox="1"/>
                      <wps:spPr>
                        <a:xfrm>
                          <a:off x="0" y="0"/>
                          <a:ext cx="7626350" cy="9359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1E51EE" w14:textId="20DB31A6" w:rsidR="006E3241" w:rsidRPr="00D75C32" w:rsidRDefault="006E3241" w:rsidP="001130F7">
                            <w:pPr>
                              <w:spacing w:line="240" w:lineRule="auto"/>
                              <w:ind w:firstLine="0"/>
                            </w:pPr>
                            <w:r w:rsidRPr="00D75C32">
                              <w:rPr>
                                <w:i/>
                              </w:rPr>
                              <w:t xml:space="preserve">Figure </w:t>
                            </w:r>
                            <w:r>
                              <w:rPr>
                                <w:i/>
                              </w:rPr>
                              <w:t>5</w:t>
                            </w:r>
                            <w:r w:rsidRPr="00D75C32">
                              <w:rPr>
                                <w:i/>
                              </w:rPr>
                              <w:t>.</w:t>
                            </w:r>
                            <w:r>
                              <w:rPr>
                                <w:i/>
                              </w:rPr>
                              <w:t xml:space="preserve"> </w:t>
                            </w:r>
                            <w:r>
                              <w:t xml:space="preserve">A model showing process from macrosystematic context to education research intended to address these perceived deficiencies.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E7DD44" id="Text Box 7" o:spid="_x0000_s1028" type="#_x0000_t202" style="position:absolute;left:0;text-align:left;margin-left:2.3pt;margin-top:382.25pt;width:600.5pt;height:73.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oKWdICAAAVBgAADgAAAGRycy9lMm9Eb2MueG1srFRLb9swDL4P2H8QdE9tp3k0Rp3CTZFhQLEW&#10;a4eeFVlKjOk1SUmcDfvvo2Q7Tbsd1mEXmyI/UeTHx+VVIwXaMetqrQqcnaUYMUV1Vat1gb88LgcX&#10;GDlPVEWEVqzAB+bw1fz9u8u9ydlQb7SomEXgRLl8bwq88d7kSeLohknizrRhCoxcW0k8HO06qSzZ&#10;g3cpkmGaTpK9tpWxmjLnQHvTGvE8+uecUX/HuWMeiQJDbD5+bfyuwjeZX5J8bYnZ1LQLg/xDFJLU&#10;Ch49urohnqCtrX9zJWtqtdPcn1EtE815TVnMAbLJ0lfZPGyIYTEXIMeZI03u/7mln3b3FtVVgacY&#10;KSKhRI+s8ehaN2ga2NkblwPowQDMN6CGKvd6B8qQdMOtDH9IB4EdeD4cuQ3OKCink+HkfAwmCrbZ&#10;+Xg2i+Qnz7eNdf4D0xIFocAWahcpJbtb5yESgPaQ8JjSy1qIWD+hXigA2GpYbID2NskhEhADMsQU&#10;i/NjMZ4Oy+l4NpiU42wwytKLQVmmw8HNskzLdLRczEbXPyEKSbJRvoc2MdBkgSAgYinIuitJMP9d&#10;TSShLzo4y5LYO21+4Djm2YeaBPZblqPkD4KFBIT6zDhULZIdFHFe2EJYtCPQ6YRSpnysUyQD0AHF&#10;gbC3XOzwkbJI5Vsut+T3L2vlj5dlrbSNpX0VdvW1D5m3eCDjJO8g+mbVxHYd9k240tUBetPqdrad&#10;ocsaGuiWOH9PLAwz9BwsKH8HHy70vsC6kzDaaPv9T/qAh3qCFaNQ9QK7b1tiGUbio4Lpm2WjUdgm&#10;8TCCHoKDPbWsTi1qKxcaqpLBKjQ0igHvRS9yq+UT7LEyvAomoii8XWDfiwvfrizYg5SVZQTB/jDE&#10;36oHQ4PrUKQwHo/NE7GmmyEPjfRJ92uE5K9GqcWGm0qXW695Hecs8Nyy2vEPuye2Zbcnw3I7PUfU&#10;8zaf/wIAAP//AwBQSwMEFAAGAAgAAAAhAMI9U6zeAAAACgEAAA8AAABkcnMvZG93bnJldi54bWxM&#10;j81OwzAQhO9IvIO1SNyonSoJJGRTIRBXEOVH4ubG2yQiXkex24S3xz3R4+yMZr6tNosdxJEm3ztG&#10;SFYKBHHjTM8twsf7880dCB80Gz04JoRf8rCpLy8qXRo38xsdt6EVsYR9qRG6EMZSSt90ZLVfuZE4&#10;ens3WR2inFppJj3HcjvItVK5tLrnuNDpkR47an62B4vw+bL//krVa/tks3F2i5JsC4l4fbU83IMI&#10;tIT/MJzwIzrUkWnnDmy8GBDSPAYRbvM0A3Hy1yqLpx1CkSQFyLqS5y/UfwAAAP//AwBQSwECLQAU&#10;AAYACAAAACEA5JnDwPsAAADhAQAAEwAAAAAAAAAAAAAAAAAAAAAAW0NvbnRlbnRfVHlwZXNdLnht&#10;bFBLAQItABQABgAIAAAAIQAjsmrh1wAAAJQBAAALAAAAAAAAAAAAAAAAACwBAABfcmVscy8ucmVs&#10;c1BLAQItABQABgAIAAAAIQDLagpZ0gIAABUGAAAOAAAAAAAAAAAAAAAAACwCAABkcnMvZTJvRG9j&#10;LnhtbFBLAQItABQABgAIAAAAIQDCPVOs3gAAAAoBAAAPAAAAAAAAAAAAAAAAACoFAABkcnMvZG93&#10;bnJldi54bWxQSwUGAAAAAAQABADzAAAANQYAAAAA&#10;" filled="f" stroked="f">
                <v:textbox>
                  <w:txbxContent>
                    <w:p w14:paraId="5B1E51EE" w14:textId="20DB31A6" w:rsidR="006E3241" w:rsidRPr="00D75C32" w:rsidRDefault="006E3241" w:rsidP="001130F7">
                      <w:pPr>
                        <w:spacing w:line="240" w:lineRule="auto"/>
                        <w:ind w:firstLine="0"/>
                      </w:pPr>
                      <w:r w:rsidRPr="00D75C32">
                        <w:rPr>
                          <w:i/>
                        </w:rPr>
                        <w:t xml:space="preserve">Figure </w:t>
                      </w:r>
                      <w:r>
                        <w:rPr>
                          <w:i/>
                        </w:rPr>
                        <w:t>5</w:t>
                      </w:r>
                      <w:r w:rsidRPr="00D75C32">
                        <w:rPr>
                          <w:i/>
                        </w:rPr>
                        <w:t>.</w:t>
                      </w:r>
                      <w:r>
                        <w:rPr>
                          <w:i/>
                        </w:rPr>
                        <w:t xml:space="preserve"> </w:t>
                      </w:r>
                      <w:r>
                        <w:t xml:space="preserve">A model showing process from macrosystematic context to education research intended to address these perceived deficiencies. </w:t>
                      </w:r>
                    </w:p>
                  </w:txbxContent>
                </v:textbox>
                <w10:wrap type="tight"/>
              </v:shape>
            </w:pict>
          </mc:Fallback>
        </mc:AlternateContent>
      </w:r>
      <w:r w:rsidR="00DD30EC" w:rsidRPr="00C347AD">
        <w:rPr>
          <w:noProof/>
        </w:rPr>
        <w:drawing>
          <wp:anchor distT="0" distB="0" distL="114300" distR="114300" simplePos="0" relativeHeight="251719680" behindDoc="0" locked="0" layoutInCell="1" allowOverlap="1" wp14:anchorId="4585ABF3" wp14:editId="0E37BC8F">
            <wp:simplePos x="0" y="0"/>
            <wp:positionH relativeFrom="margin">
              <wp:align>center</wp:align>
            </wp:positionH>
            <wp:positionV relativeFrom="margin">
              <wp:align>top</wp:align>
            </wp:positionV>
            <wp:extent cx="7919720" cy="4805045"/>
            <wp:effectExtent l="0" t="0" r="508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19720" cy="4805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D30EC" w:rsidRPr="00C347AD">
        <w:br/>
      </w:r>
      <w:r w:rsidRPr="00C347AD">
        <w:rPr>
          <w:noProof/>
        </w:rPr>
        <w:lastRenderedPageBreak/>
        <mc:AlternateContent>
          <mc:Choice Requires="wps">
            <w:drawing>
              <wp:anchor distT="0" distB="0" distL="114300" distR="114300" simplePos="0" relativeHeight="251724800" behindDoc="0" locked="0" layoutInCell="1" allowOverlap="1" wp14:anchorId="09BEE6DA" wp14:editId="540DEA5B">
                <wp:simplePos x="0" y="0"/>
                <wp:positionH relativeFrom="column">
                  <wp:posOffset>28575</wp:posOffset>
                </wp:positionH>
                <wp:positionV relativeFrom="paragraph">
                  <wp:posOffset>4243070</wp:posOffset>
                </wp:positionV>
                <wp:extent cx="8235950" cy="992505"/>
                <wp:effectExtent l="0" t="0" r="0" b="0"/>
                <wp:wrapTight wrapText="bothSides">
                  <wp:wrapPolygon edited="0">
                    <wp:start x="67" y="0"/>
                    <wp:lineTo x="67" y="21006"/>
                    <wp:lineTo x="21450" y="21006"/>
                    <wp:lineTo x="21450" y="0"/>
                    <wp:lineTo x="67" y="0"/>
                  </wp:wrapPolygon>
                </wp:wrapTight>
                <wp:docPr id="2" name="Text Box 2"/>
                <wp:cNvGraphicFramePr/>
                <a:graphic xmlns:a="http://schemas.openxmlformats.org/drawingml/2006/main">
                  <a:graphicData uri="http://schemas.microsoft.com/office/word/2010/wordprocessingShape">
                    <wps:wsp>
                      <wps:cNvSpPr txBox="1"/>
                      <wps:spPr>
                        <a:xfrm>
                          <a:off x="0" y="0"/>
                          <a:ext cx="8235950" cy="99250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B8B204" w14:textId="5A4F56C7" w:rsidR="006E3241" w:rsidRPr="00D75C32" w:rsidRDefault="006E3241" w:rsidP="000D2E05">
                            <w:pPr>
                              <w:spacing w:line="240" w:lineRule="auto"/>
                              <w:ind w:firstLine="0"/>
                            </w:pPr>
                            <w:r w:rsidRPr="00D75C32">
                              <w:rPr>
                                <w:i/>
                              </w:rPr>
                              <w:t xml:space="preserve">Figure </w:t>
                            </w:r>
                            <w:r>
                              <w:rPr>
                                <w:i/>
                              </w:rPr>
                              <w:t>6</w:t>
                            </w:r>
                            <w:r w:rsidRPr="00D75C32">
                              <w:rPr>
                                <w:i/>
                              </w:rPr>
                              <w:t>.</w:t>
                            </w:r>
                            <w:r>
                              <w:rPr>
                                <w:i/>
                              </w:rPr>
                              <w:t xml:space="preserve"> </w:t>
                            </w:r>
                            <w:r>
                              <w:t xml:space="preserve">A model showing process from new education research disseminated through teacher education and professional development with intent to improve student and societal outcomes.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BEE6DA" id="Text Box 2" o:spid="_x0000_s1029" type="#_x0000_t202" style="position:absolute;left:0;text-align:left;margin-left:2.25pt;margin-top:334.1pt;width:648.5pt;height:78.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aIotECAAAVBgAADgAAAGRycy9lMm9Eb2MueG1srFRLb9swDL4P2H8QdE/9aNI1Rp3CTZFhQNEW&#10;a4eeFVlKjOk1SUmcDfvvo2Q7Tbsd1mEXmyIpivz4kReXrRRoy6xrtCpxdpJixBTVdaNWJf7yuBid&#10;Y+Q8UTURWrES75nDl7P37y52pmC5XmtRM4sgiHLFzpR47b0pksTRNZPEnWjDFBi5tpJ4ONpVUluy&#10;g+hSJHmaniU7bWtjNWXOgfa6M+JZjM85o/6Oc8c8EiWG3Hz82vhdhm8yuyDFyhKzbmifBvmHLCRp&#10;FDx6CHVNPEEb2/wWSjbUaqe5P6FaJprzhrJYA1STpa+qeVgTw2ItAI4zB5jc/wtLb7f3FjV1iXOM&#10;FJHQokfWenSlW5QHdHbGFeD0YMDNt6CGLg96B8pQdMutDH8oB4EdcN4fsA3BKCjP89PJdAImCrbp&#10;NJ+kkxAmeb5trPMfmZYoCCW20LsIKdneON+5Di7hMaUXjRCxf0K9UEDMTsMiAbrbpIBMQAyeIafY&#10;nB/zyYe8+jCZjs6qSTYaZ+n5qKrSfHS9qNIqHS/m0/HVT8hCkmxc7IAmBkgWAAIgFoKs+pYE89/1&#10;RBL6gsFZlkTudPVB4AjJkGoS0O9QjpLfCxYKEOoz49C1CHZQxHlhc2HRlgDTCaVM+dinCAZ4By8O&#10;gL3lYu8fIYtQvuVyB/7wslb+cFk2StvY2ldp11+HlHnnD2Ac1R1E3y7bSNfTgYRLXe+Bm1Z3s+0M&#10;XTRAoBvi/D2xMMzAOVhQ/g4+XOhdiXUvYbTW9vuf9MEf+glWjELXS+y+bYhlGIlPCqZvmo3HYZvE&#10;wxg4BAd7bFkeW9RGzjV0JYNVaGgUg78Xg8itlk+wx6rwKpiIovB2if0gzn23smAPUlZV0Qn2hyH+&#10;Rj0YGkKHJoXxeGyfiDX9DHkg0q0e1ggpXo1S5xtuKl1tvOZNnLOAc4dqjz/snkjLfk+G5XZ8jl7P&#10;23z2CwAA//8DAFBLAwQUAAYACAAAACEA8pk77d0AAAAKAQAADwAAAGRycy9kb3ducmV2LnhtbEyP&#10;TU/DMAyG70j8h8hI3FiyslWl1J0QiCuI8SFxy1qvrWicqsnW8u/xTuxoP69ePy42s+vVkcbQeUZY&#10;Lgwo4srXHTcIH+/PNxmoEC3XtvdMCL8UYFNeXhQ2r/3Eb3TcxkZJCYfcIrQxDrnWoWrJ2bDwA7Gw&#10;vR+djTKOja5HO0m563ViTKqd7VgutHagx5aqn+3BIXy+7L+/Vua1eXLrYfKz0ezuNOL11fxwDyrS&#10;HP/DcNIXdSjFaecPXAfVI6zWEkRI0ywBdeK3ZimrHUKWCNNloc9fKP8AAAD//wMAUEsBAi0AFAAG&#10;AAgAAAAhAOSZw8D7AAAA4QEAABMAAAAAAAAAAAAAAAAAAAAAAFtDb250ZW50X1R5cGVzXS54bWxQ&#10;SwECLQAUAAYACAAAACEAI7Jq4dcAAACUAQAACwAAAAAAAAAAAAAAAAAsAQAAX3JlbHMvLnJlbHNQ&#10;SwECLQAUAAYACAAAACEAaXaIotECAAAVBgAADgAAAAAAAAAAAAAAAAAsAgAAZHJzL2Uyb0RvYy54&#10;bWxQSwECLQAUAAYACAAAACEA8pk77d0AAAAKAQAADwAAAAAAAAAAAAAAAAApBQAAZHJzL2Rvd25y&#10;ZXYueG1sUEsFBgAAAAAEAAQA8wAAADMGAAAAAA==&#10;" filled="f" stroked="f">
                <v:textbox>
                  <w:txbxContent>
                    <w:p w14:paraId="75B8B204" w14:textId="5A4F56C7" w:rsidR="006E3241" w:rsidRPr="00D75C32" w:rsidRDefault="006E3241" w:rsidP="000D2E05">
                      <w:pPr>
                        <w:spacing w:line="240" w:lineRule="auto"/>
                        <w:ind w:firstLine="0"/>
                      </w:pPr>
                      <w:r w:rsidRPr="00D75C32">
                        <w:rPr>
                          <w:i/>
                        </w:rPr>
                        <w:t xml:space="preserve">Figure </w:t>
                      </w:r>
                      <w:r>
                        <w:rPr>
                          <w:i/>
                        </w:rPr>
                        <w:t>6</w:t>
                      </w:r>
                      <w:r w:rsidRPr="00D75C32">
                        <w:rPr>
                          <w:i/>
                        </w:rPr>
                        <w:t>.</w:t>
                      </w:r>
                      <w:r>
                        <w:rPr>
                          <w:i/>
                        </w:rPr>
                        <w:t xml:space="preserve"> </w:t>
                      </w:r>
                      <w:r>
                        <w:t xml:space="preserve">A model showing process from new education research disseminated through teacher education and professional development with intent to improve student and societal outcomes. </w:t>
                      </w:r>
                    </w:p>
                  </w:txbxContent>
                </v:textbox>
                <w10:wrap type="tight"/>
              </v:shape>
            </w:pict>
          </mc:Fallback>
        </mc:AlternateContent>
      </w:r>
      <w:r w:rsidR="00DD30EC" w:rsidRPr="00C347AD">
        <w:rPr>
          <w:noProof/>
        </w:rPr>
        <w:drawing>
          <wp:anchor distT="0" distB="0" distL="114300" distR="114300" simplePos="0" relativeHeight="251722752" behindDoc="1" locked="0" layoutInCell="1" allowOverlap="1" wp14:anchorId="2439CE79" wp14:editId="47C32DAD">
            <wp:simplePos x="0" y="0"/>
            <wp:positionH relativeFrom="margin">
              <wp:align>center</wp:align>
            </wp:positionH>
            <wp:positionV relativeFrom="margin">
              <wp:align>top</wp:align>
            </wp:positionV>
            <wp:extent cx="8345170" cy="3932555"/>
            <wp:effectExtent l="0" t="0" r="11430" b="4445"/>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45170" cy="393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EEA28" w14:textId="23256055" w:rsidR="001130F7" w:rsidRPr="00C347AD" w:rsidRDefault="000D2E05" w:rsidP="000D2E05">
      <w:pPr>
        <w:spacing w:line="240" w:lineRule="auto"/>
        <w:ind w:firstLine="0"/>
        <w:rPr>
          <w:b/>
        </w:rPr>
      </w:pPr>
      <w:r w:rsidRPr="00C347AD">
        <w:rPr>
          <w:noProof/>
        </w:rPr>
        <w:lastRenderedPageBreak/>
        <mc:AlternateContent>
          <mc:Choice Requires="wps">
            <w:drawing>
              <wp:anchor distT="0" distB="0" distL="114300" distR="114300" simplePos="0" relativeHeight="251728896" behindDoc="0" locked="0" layoutInCell="1" allowOverlap="1" wp14:anchorId="0DEC1F5A" wp14:editId="619421A8">
                <wp:simplePos x="0" y="0"/>
                <wp:positionH relativeFrom="column">
                  <wp:posOffset>0</wp:posOffset>
                </wp:positionH>
                <wp:positionV relativeFrom="paragraph">
                  <wp:posOffset>5168265</wp:posOffset>
                </wp:positionV>
                <wp:extent cx="7764780" cy="633095"/>
                <wp:effectExtent l="0" t="0" r="0" b="1905"/>
                <wp:wrapSquare wrapText="bothSides"/>
                <wp:docPr id="11" name="Text Box 11"/>
                <wp:cNvGraphicFramePr/>
                <a:graphic xmlns:a="http://schemas.openxmlformats.org/drawingml/2006/main">
                  <a:graphicData uri="http://schemas.microsoft.com/office/word/2010/wordprocessingShape">
                    <wps:wsp>
                      <wps:cNvSpPr txBox="1"/>
                      <wps:spPr>
                        <a:xfrm>
                          <a:off x="0" y="0"/>
                          <a:ext cx="7764780" cy="6330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A0F047" w14:textId="77F09D55" w:rsidR="006E3241" w:rsidRDefault="006E3241" w:rsidP="000D2E05">
                            <w:pPr>
                              <w:spacing w:line="240" w:lineRule="auto"/>
                              <w:ind w:firstLine="0"/>
                            </w:pPr>
                            <w:r w:rsidRPr="001E2093">
                              <w:rPr>
                                <w:i/>
                                <w:noProof/>
                              </w:rPr>
                              <w:t>F</w:t>
                            </w:r>
                            <w:r>
                              <w:rPr>
                                <w:i/>
                                <w:noProof/>
                              </w:rPr>
                              <w:t>igure 7</w:t>
                            </w:r>
                            <w:r w:rsidRPr="001E2093">
                              <w:rPr>
                                <w:i/>
                                <w:noProof/>
                              </w:rPr>
                              <w:t xml:space="preserve">. </w:t>
                            </w:r>
                            <w:r w:rsidRPr="001E2093">
                              <w:rPr>
                                <w:noProof/>
                              </w:rPr>
                              <w:t>Adapted from</w:t>
                            </w:r>
                            <w:r w:rsidRPr="001E2093">
                              <w:rPr>
                                <w:i/>
                                <w:noProof/>
                              </w:rPr>
                              <w:t xml:space="preserve"> </w:t>
                            </w:r>
                            <w:r w:rsidRPr="001E2093">
                              <w:rPr>
                                <w:noProof/>
                              </w:rPr>
                              <w:t>The “Universal Design for Learning Guidelines version 2.0” by the Center for Applied Special Technology (CAST),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C1F5A" id="Text Box 11" o:spid="_x0000_s1030" type="#_x0000_t202" style="position:absolute;margin-left:0;margin-top:406.95pt;width:611.4pt;height:49.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LtenkCAABiBQAADgAAAGRycy9lMm9Eb2MueG1srFRRTxsxDH6ftP8Q5X1cC4VCxRV1IKZJCNBg&#10;4jnNJfS0JM4St3fdr8fJ3ZWO7YVpL3eO/dmxP9s5v2itYRsVYg2u5OODEWfKSahq91zy74/Xn045&#10;iyhcJQw4VfKtivxi/vHDeeNn6hBWYCoVGAVxcdb4kq8Q/awoolwpK+IBeOXIqCFYgXQMz0UVREPR&#10;rSkOR6OTooFQ+QBSxUjaq87I5zm+1krindZRITMlp9wwf0P+LtO3mJ+L2XMQflXLPg3xD1lYUTu6&#10;dBfqSqBg61D/EcrWMkAEjQcSbAFa11LlGqia8ehNNQ8r4VWuhciJfkdT/H9h5e3mPrC6ot6NOXPC&#10;Uo8eVYvsM7SMVMRP4+OMYA+egNiSnrCDPpIyld3qYNOfCmJkJ6a3O3ZTNEnK6fRkMj0lkyTbydHR&#10;6Ow4hSlevX2I+EWBZUkoeaDuZVLF5iZiBx0g6TIH17UxuYPG/aagmJ1G5RHovVMhXcJZwq1Rycu4&#10;b0oTBTnvpMjDpy5NYBtBYyOkVA5zyTkuoRNK093vcezxybXL6j3OO498MzjcOdvaQcgsvUm7+jGk&#10;rDs8Ub1XdxKxXba595Ohn0uottTmAN2iRC+va+rFjYh4LwJtBrWPth3v6KMNNCWHXuJsBeHX3/QJ&#10;TwNLVs4a2rSSx59rERRn5qujUT4bTyZpNfNhcjw9pEPYtyz3LW5tL4G6QtNK2WUx4dEMog5gn+hR&#10;WKRbySScpLtLjoN4id3+06Mi1WKRQbSMXuCNe/AyhU4sp0l7bJ9E8P04Ig3yLQw7KWZvprLDJk8H&#10;izWCrvPIJp47Vnv+aZHz0PePTnop9s8Z9fo0zl8AAAD//wMAUEsDBBQABgAIAAAAIQCux3Ee3QAA&#10;AAkBAAAPAAAAZHJzL2Rvd25yZXYueG1sTI/BTsMwEETvSP0Ha5G4UTspVE3IpqpAXEG0BYmbG2+T&#10;iHgdxW4T/h73RI+rWc28V6wn24kzDb51jJDMFQjiypmWa4T97vV+BcIHzUZ3jgnhlzysy9lNoXPj&#10;Rv6g8zbUIpawzzVCE0KfS+mrhqz2c9cTx+zoBqtDPIdamkGPsdx2MlVqKa1uOS40uqfnhqqf7cki&#10;fL4dv78e1Hv9Yh/70U1Kss0k4t3ttHkCEWgK/89wwY/oUEamgzux8aJDiCIBYZUsMhCXOE3TqHJA&#10;yJLFEmRZyGuD8g8AAP//AwBQSwECLQAUAAYACAAAACEA5JnDwPsAAADhAQAAEwAAAAAAAAAAAAAA&#10;AAAAAAAAW0NvbnRlbnRfVHlwZXNdLnhtbFBLAQItABQABgAIAAAAIQAjsmrh1wAAAJQBAAALAAAA&#10;AAAAAAAAAAAAACwBAABfcmVscy8ucmVsc1BLAQItABQABgAIAAAAIQAvYu16eQIAAGIFAAAOAAAA&#10;AAAAAAAAAAAAACwCAABkcnMvZTJvRG9jLnhtbFBLAQItABQABgAIAAAAIQCux3Ee3QAAAAkBAAAP&#10;AAAAAAAAAAAAAAAAANEEAABkcnMvZG93bnJldi54bWxQSwUGAAAAAAQABADzAAAA2wUAAAAA&#10;" filled="f" stroked="f">
                <v:textbox>
                  <w:txbxContent>
                    <w:p w14:paraId="78A0F047" w14:textId="77F09D55" w:rsidR="006E3241" w:rsidRDefault="006E3241" w:rsidP="000D2E05">
                      <w:pPr>
                        <w:spacing w:line="240" w:lineRule="auto"/>
                        <w:ind w:firstLine="0"/>
                      </w:pPr>
                      <w:r w:rsidRPr="001E2093">
                        <w:rPr>
                          <w:i/>
                          <w:noProof/>
                        </w:rPr>
                        <w:t>F</w:t>
                      </w:r>
                      <w:r>
                        <w:rPr>
                          <w:i/>
                          <w:noProof/>
                        </w:rPr>
                        <w:t>igure 7</w:t>
                      </w:r>
                      <w:r w:rsidRPr="001E2093">
                        <w:rPr>
                          <w:i/>
                          <w:noProof/>
                        </w:rPr>
                        <w:t xml:space="preserve">. </w:t>
                      </w:r>
                      <w:r w:rsidRPr="001E2093">
                        <w:rPr>
                          <w:noProof/>
                        </w:rPr>
                        <w:t>Adapted from</w:t>
                      </w:r>
                      <w:r w:rsidRPr="001E2093">
                        <w:rPr>
                          <w:i/>
                          <w:noProof/>
                        </w:rPr>
                        <w:t xml:space="preserve"> </w:t>
                      </w:r>
                      <w:r w:rsidRPr="001E2093">
                        <w:rPr>
                          <w:noProof/>
                        </w:rPr>
                        <w:t>The “Universal Design for Learning Guidelines version 2.0” by the Center for Applied Special Technology (CAST), 2011.</w:t>
                      </w:r>
                    </w:p>
                  </w:txbxContent>
                </v:textbox>
                <w10:wrap type="square"/>
              </v:shape>
            </w:pict>
          </mc:Fallback>
        </mc:AlternateContent>
      </w:r>
      <w:r w:rsidRPr="00C347AD">
        <w:rPr>
          <w:noProof/>
        </w:rPr>
        <w:drawing>
          <wp:anchor distT="0" distB="0" distL="114300" distR="114300" simplePos="0" relativeHeight="251726848" behindDoc="0" locked="0" layoutInCell="1" allowOverlap="1" wp14:anchorId="4CD5C428" wp14:editId="2D91B6EB">
            <wp:simplePos x="0" y="0"/>
            <wp:positionH relativeFrom="margin">
              <wp:posOffset>1094105</wp:posOffset>
            </wp:positionH>
            <wp:positionV relativeFrom="margin">
              <wp:posOffset>-1245870</wp:posOffset>
            </wp:positionV>
            <wp:extent cx="5353685" cy="7574280"/>
            <wp:effectExtent l="7303" t="0" r="0" b="0"/>
            <wp:wrapSquare wrapText="bothSides"/>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rotWithShape="1">
                    <a:blip r:embed="rId25">
                      <a:extLst>
                        <a:ext uri="{28A0092B-C50C-407E-A947-70E740481C1C}">
                          <a14:useLocalDpi xmlns:a14="http://schemas.microsoft.com/office/drawing/2010/main" val="0"/>
                        </a:ext>
                      </a:extLst>
                    </a:blip>
                    <a:srcRect l="2551" r="8144"/>
                    <a:stretch/>
                  </pic:blipFill>
                  <pic:spPr bwMode="auto">
                    <a:xfrm rot="5400000">
                      <a:off x="0" y="0"/>
                      <a:ext cx="5353685" cy="7574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644975" w14:textId="439650A7" w:rsidR="001130F7" w:rsidRPr="00C347AD" w:rsidRDefault="001130F7" w:rsidP="000D2E05">
      <w:pPr>
        <w:ind w:firstLine="0"/>
        <w:sectPr w:rsidR="001130F7" w:rsidRPr="00C347AD" w:rsidSect="003158CC">
          <w:pgSz w:w="15840" w:h="12240" w:orient="landscape" w:code="1"/>
          <w:pgMar w:top="1800" w:right="1440" w:bottom="1800" w:left="2016" w:header="1440" w:footer="1440" w:gutter="0"/>
          <w:cols w:space="720"/>
          <w:noEndnote/>
          <w:titlePg/>
          <w:docGrid w:linePitch="326"/>
        </w:sectPr>
      </w:pPr>
    </w:p>
    <w:p w14:paraId="524F7862" w14:textId="77777777" w:rsidR="00B50223" w:rsidRPr="00C347AD" w:rsidRDefault="00B50223" w:rsidP="00783B6D">
      <w:pPr>
        <w:ind w:firstLine="0"/>
        <w:rPr>
          <w:noProof/>
        </w:rPr>
      </w:pPr>
    </w:p>
    <w:p w14:paraId="45595550" w14:textId="4DA50893" w:rsidR="00783B6D" w:rsidRPr="00C347AD" w:rsidRDefault="003158CC" w:rsidP="00783B6D">
      <w:pPr>
        <w:ind w:firstLine="0"/>
        <w:rPr>
          <w:noProof/>
        </w:rPr>
      </w:pPr>
      <w:r w:rsidRPr="00C347AD">
        <w:rPr>
          <w:noProof/>
        </w:rPr>
        <w:drawing>
          <wp:anchor distT="0" distB="0" distL="114300" distR="114300" simplePos="0" relativeHeight="251710464" behindDoc="0" locked="0" layoutInCell="1" allowOverlap="1" wp14:anchorId="77B6E520" wp14:editId="041F219D">
            <wp:simplePos x="0" y="0"/>
            <wp:positionH relativeFrom="margin">
              <wp:posOffset>-290195</wp:posOffset>
            </wp:positionH>
            <wp:positionV relativeFrom="margin">
              <wp:posOffset>82550</wp:posOffset>
            </wp:positionV>
            <wp:extent cx="5953760" cy="4761230"/>
            <wp:effectExtent l="0" t="0" r="0" b="0"/>
            <wp:wrapSquare wrapText="bothSides"/>
            <wp:docPr id="6" name="Picture 6" descr="Macintosh HD:Users:ericmoore:Desktop:Screen Shot 2016-06-11 at 6.12.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ricmoore:Desktop:Screen Shot 2016-06-11 at 6.12.33 P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3760" cy="4761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2AAF10" w14:textId="397F779D" w:rsidR="000D2E05" w:rsidRPr="00C347AD" w:rsidRDefault="000F4D0C" w:rsidP="00783B6D">
      <w:pPr>
        <w:spacing w:line="240" w:lineRule="auto"/>
        <w:ind w:firstLine="0"/>
      </w:pPr>
      <w:r w:rsidRPr="00C347AD">
        <w:rPr>
          <w:i/>
        </w:rPr>
        <w:t>Figure 8</w:t>
      </w:r>
      <w:r w:rsidR="00783B6D" w:rsidRPr="00C347AD">
        <w:rPr>
          <w:i/>
        </w:rPr>
        <w:t>.</w:t>
      </w:r>
      <w:r w:rsidR="00783B6D" w:rsidRPr="00C347AD">
        <w:t xml:space="preserve"> Operationalizing UDL as a “Territory,” definition adapted from Meyer, Rose and Gordon (2014) and Edyburn (2010); boundary items adapted from “Would You Recognize Universal Design for Learning If You Saw It? Ten Propositions for New Directions for the Second Decade of UDL” by Edyburn, D. L., 2010. </w:t>
      </w:r>
      <w:r w:rsidR="00783B6D" w:rsidRPr="00C347AD">
        <w:rPr>
          <w:i/>
          <w:iCs/>
        </w:rPr>
        <w:t>Learning Disability Quarterly</w:t>
      </w:r>
      <w:r w:rsidR="00783B6D" w:rsidRPr="00C347AD">
        <w:t xml:space="preserve">, </w:t>
      </w:r>
      <w:r w:rsidR="00783B6D" w:rsidRPr="00C347AD">
        <w:rPr>
          <w:i/>
          <w:iCs/>
        </w:rPr>
        <w:t>33</w:t>
      </w:r>
      <w:r w:rsidR="00783B6D" w:rsidRPr="00C347AD">
        <w:t>(1), 33–41.</w:t>
      </w:r>
    </w:p>
    <w:p w14:paraId="21E4C330" w14:textId="6B5C0740" w:rsidR="00783B6D" w:rsidRPr="00C347AD" w:rsidRDefault="000D2E05" w:rsidP="00783B6D">
      <w:pPr>
        <w:spacing w:line="240" w:lineRule="auto"/>
        <w:ind w:firstLine="0"/>
      </w:pPr>
      <w:r w:rsidRPr="00C347AD">
        <w:br w:type="column"/>
      </w:r>
    </w:p>
    <w:p w14:paraId="4A36DDC8" w14:textId="35E72EAE" w:rsidR="00397E7D" w:rsidRPr="00C347AD" w:rsidRDefault="00397E7D" w:rsidP="00397E7D">
      <w:pPr>
        <w:ind w:firstLine="0"/>
      </w:pPr>
      <w:r w:rsidRPr="00C347AD">
        <w:rPr>
          <w:noProof/>
        </w:rPr>
        <w:drawing>
          <wp:inline distT="0" distB="0" distL="0" distR="0" wp14:anchorId="6A911F7F" wp14:editId="5C723A7B">
            <wp:extent cx="5486400" cy="4591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86400" cy="4591050"/>
                    </a:xfrm>
                    <a:prstGeom prst="rect">
                      <a:avLst/>
                    </a:prstGeom>
                  </pic:spPr>
                </pic:pic>
              </a:graphicData>
            </a:graphic>
          </wp:inline>
        </w:drawing>
      </w:r>
      <w:r w:rsidRPr="00C347AD">
        <w:rPr>
          <w:i/>
        </w:rPr>
        <w:t xml:space="preserve">Figure X. </w:t>
      </w:r>
      <w:r w:rsidRPr="00C347AD">
        <w:t xml:space="preserve">a histogram depicting all data cases collected for the UDL-KAI. </w:t>
      </w:r>
    </w:p>
    <w:p w14:paraId="1F7554EC" w14:textId="77777777" w:rsidR="005A3CAB" w:rsidRPr="00C347AD" w:rsidRDefault="005A3CAB" w:rsidP="000D2E05">
      <w:pPr>
        <w:spacing w:before="100" w:beforeAutospacing="1" w:after="100" w:afterAutospacing="1" w:line="240" w:lineRule="auto"/>
      </w:pPr>
    </w:p>
    <w:p w14:paraId="1EE02B83" w14:textId="77777777" w:rsidR="005A3CAB" w:rsidRPr="00C347AD" w:rsidRDefault="005A3CAB">
      <w:pPr>
        <w:spacing w:line="240" w:lineRule="auto"/>
        <w:ind w:firstLine="0"/>
      </w:pPr>
      <w:r w:rsidRPr="00C347AD">
        <w:br w:type="page"/>
      </w:r>
    </w:p>
    <w:p w14:paraId="2E8E3341" w14:textId="6D6FD265" w:rsidR="000D2E05" w:rsidRPr="00C347AD" w:rsidRDefault="005A3CAB" w:rsidP="000D2E05">
      <w:pPr>
        <w:spacing w:before="100" w:beforeAutospacing="1" w:after="100" w:afterAutospacing="1" w:line="240" w:lineRule="auto"/>
      </w:pPr>
      <w:r w:rsidRPr="00C347AD">
        <w:rPr>
          <w:noProof/>
        </w:rPr>
        <w:lastRenderedPageBreak/>
        <w:drawing>
          <wp:inline distT="0" distB="0" distL="0" distR="0" wp14:anchorId="26D45944" wp14:editId="4BB4C0B5">
            <wp:extent cx="5486400" cy="4591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86400" cy="4591050"/>
                    </a:xfrm>
                    <a:prstGeom prst="rect">
                      <a:avLst/>
                    </a:prstGeom>
                  </pic:spPr>
                </pic:pic>
              </a:graphicData>
            </a:graphic>
          </wp:inline>
        </w:drawing>
      </w:r>
    </w:p>
    <w:p w14:paraId="5019398A" w14:textId="77777777" w:rsidR="000F4D0C" w:rsidRPr="00C347AD" w:rsidRDefault="000F4D0C">
      <w:pPr>
        <w:spacing w:line="240" w:lineRule="auto"/>
        <w:ind w:firstLine="0"/>
      </w:pPr>
      <w:bookmarkStart w:id="101" w:name="_Toc470600353"/>
      <w:bookmarkStart w:id="102" w:name="_Toc471890463"/>
      <w:r w:rsidRPr="00C347AD">
        <w:br w:type="page"/>
      </w:r>
    </w:p>
    <w:p w14:paraId="57F4A5E4" w14:textId="5371CED9" w:rsidR="00F33FCE" w:rsidRPr="00C347AD" w:rsidRDefault="00706A1F" w:rsidP="000F4D0C">
      <w:pPr>
        <w:pStyle w:val="Heading2"/>
      </w:pPr>
      <w:r w:rsidRPr="00C347AD">
        <w:lastRenderedPageBreak/>
        <w:t xml:space="preserve">Appendix B: </w:t>
      </w:r>
      <w:r w:rsidR="00D6306B" w:rsidRPr="00C347AD">
        <w:t>UDL Brief Lesson Design Template</w:t>
      </w:r>
      <w:bookmarkEnd w:id="101"/>
      <w:bookmarkEnd w:id="102"/>
      <w:r w:rsidR="00D6306B" w:rsidRPr="00C347AD">
        <w:t xml:space="preserve"> </w:t>
      </w:r>
    </w:p>
    <w:p w14:paraId="061E8EE6" w14:textId="423FDEAD" w:rsidR="00D6306B" w:rsidRPr="00C347AD" w:rsidRDefault="00D6306B" w:rsidP="00F33FCE">
      <w:pPr>
        <w:spacing w:line="240" w:lineRule="auto"/>
        <w:rPr>
          <w:b/>
        </w:rPr>
      </w:pPr>
      <w:r w:rsidRPr="00C347AD">
        <w:rPr>
          <w:b/>
          <w:noProof/>
        </w:rPr>
        <w:drawing>
          <wp:anchor distT="0" distB="0" distL="114300" distR="114300" simplePos="0" relativeHeight="251686912" behindDoc="0" locked="0" layoutInCell="1" allowOverlap="1" wp14:anchorId="37BF2E6A" wp14:editId="3C646144">
            <wp:simplePos x="0" y="0"/>
            <wp:positionH relativeFrom="column">
              <wp:posOffset>914400</wp:posOffset>
            </wp:positionH>
            <wp:positionV relativeFrom="paragraph">
              <wp:posOffset>213995</wp:posOffset>
            </wp:positionV>
            <wp:extent cx="3880485" cy="2060575"/>
            <wp:effectExtent l="0" t="0" r="5715" b="0"/>
            <wp:wrapTopAndBottom/>
            <wp:docPr id="1" name="Picture 1" descr="Macintosh HD:Users:ericmoore:Desktop:Screen Shot 2016-08-21 at 12.12.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ricmoore:Desktop:Screen Shot 2016-08-21 at 12.12.52 P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0485" cy="206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CB93D" w14:textId="268DDA9B" w:rsidR="00D6306B" w:rsidRPr="00C347AD" w:rsidRDefault="00D6306B" w:rsidP="00F33FCE">
      <w:pPr>
        <w:spacing w:line="240" w:lineRule="auto"/>
        <w:ind w:firstLine="0"/>
        <w:rPr>
          <w:b/>
        </w:rPr>
      </w:pPr>
      <w:r w:rsidRPr="00C347AD">
        <w:rPr>
          <w:b/>
        </w:rPr>
        <w:t xml:space="preserve">1. Goal(s) of the lesson </w:t>
      </w:r>
      <w:r w:rsidRPr="00C347AD">
        <w:t>(State what the students will learn or be able to do in clear, measurable terms. Do not include assessment in the goal unless the assessment (</w:t>
      </w:r>
      <w:r w:rsidR="006E3241" w:rsidRPr="00C347AD">
        <w:t>e.g.,</w:t>
      </w:r>
      <w:r w:rsidRPr="00C347AD">
        <w:t xml:space="preserve">writing an essay) </w:t>
      </w:r>
      <w:r w:rsidRPr="00C347AD">
        <w:rPr>
          <w:i/>
        </w:rPr>
        <w:t>is</w:t>
      </w:r>
      <w:r w:rsidRPr="00C347AD">
        <w:t xml:space="preserve"> the goal):</w:t>
      </w:r>
    </w:p>
    <w:p w14:paraId="493B2F07" w14:textId="77777777" w:rsidR="00D6306B" w:rsidRPr="00C347AD" w:rsidRDefault="00D6306B" w:rsidP="00F33FCE">
      <w:pPr>
        <w:spacing w:line="240" w:lineRule="auto"/>
      </w:pPr>
    </w:p>
    <w:p w14:paraId="4262ABAB" w14:textId="77777777" w:rsidR="00D6306B" w:rsidRPr="00C347AD" w:rsidRDefault="00D6306B" w:rsidP="00F33FCE">
      <w:pPr>
        <w:spacing w:line="240" w:lineRule="auto"/>
        <w:ind w:firstLine="0"/>
      </w:pPr>
    </w:p>
    <w:p w14:paraId="6FBF3B0F" w14:textId="77777777" w:rsidR="00D6306B" w:rsidRPr="00C347AD" w:rsidRDefault="00D6306B" w:rsidP="00F33FCE">
      <w:pPr>
        <w:spacing w:line="240" w:lineRule="auto"/>
        <w:ind w:firstLine="0"/>
      </w:pPr>
      <w:r w:rsidRPr="00C347AD">
        <w:rPr>
          <w:b/>
        </w:rPr>
        <w:t xml:space="preserve">2. Likely barriers to learning and rationale </w:t>
      </w:r>
      <w:r w:rsidRPr="00C347AD">
        <w:t xml:space="preserve">(State one or more barriers that may interfere with students accomplishing the stated goal(s) of the lesson. These may be directly related to the content, the environment, or student-based factors. Barriers here identified should relate to multiple students [not individual needs]). Provide rationale.): </w:t>
      </w:r>
    </w:p>
    <w:p w14:paraId="16498F7C" w14:textId="77777777" w:rsidR="00D6306B" w:rsidRPr="00C347AD" w:rsidRDefault="00D6306B" w:rsidP="00F33FCE">
      <w:pPr>
        <w:spacing w:line="240" w:lineRule="auto"/>
      </w:pPr>
    </w:p>
    <w:p w14:paraId="1ACFC65A" w14:textId="77777777" w:rsidR="00D6306B" w:rsidRPr="00C347AD" w:rsidRDefault="00D6306B" w:rsidP="00F33FCE">
      <w:pPr>
        <w:spacing w:line="240" w:lineRule="auto"/>
        <w:ind w:firstLine="0"/>
      </w:pPr>
    </w:p>
    <w:p w14:paraId="4E5DC935" w14:textId="77777777" w:rsidR="00D6306B" w:rsidRPr="00C347AD" w:rsidRDefault="00D6306B" w:rsidP="00F33FCE">
      <w:pPr>
        <w:spacing w:line="240" w:lineRule="auto"/>
        <w:ind w:firstLine="0"/>
        <w:rPr>
          <w:b/>
        </w:rPr>
      </w:pPr>
      <w:r w:rsidRPr="00C347AD">
        <w:rPr>
          <w:b/>
        </w:rPr>
        <w:t xml:space="preserve">3. Checkpoints and rationale </w:t>
      </w:r>
      <w:r w:rsidRPr="00C347AD">
        <w:t xml:space="preserve">(Identify one or more checkpoint(s) from the UDL Guidelines (see attached) to address the identified barrier(s). Provide rationale.) </w:t>
      </w:r>
      <w:r w:rsidRPr="00C347AD">
        <w:rPr>
          <w:b/>
        </w:rPr>
        <w:t xml:space="preserve"> </w:t>
      </w:r>
    </w:p>
    <w:p w14:paraId="7EFCCA3F" w14:textId="77777777" w:rsidR="00D6306B" w:rsidRPr="00C347AD" w:rsidRDefault="00D6306B" w:rsidP="00F33FCE">
      <w:pPr>
        <w:spacing w:line="240" w:lineRule="auto"/>
      </w:pPr>
    </w:p>
    <w:p w14:paraId="42E7C47A" w14:textId="77777777" w:rsidR="00D6306B" w:rsidRPr="00C347AD" w:rsidRDefault="00D6306B" w:rsidP="00D6306B"/>
    <w:p w14:paraId="5069643F" w14:textId="77777777" w:rsidR="00D6306B" w:rsidRPr="00C347AD" w:rsidRDefault="00D6306B" w:rsidP="00D6306B"/>
    <w:p w14:paraId="76379C40" w14:textId="77777777" w:rsidR="00D6306B" w:rsidRPr="00C347AD" w:rsidRDefault="00D6306B" w:rsidP="00D6306B"/>
    <w:p w14:paraId="4E723B82" w14:textId="77777777" w:rsidR="00D6306B" w:rsidRPr="00C347AD" w:rsidRDefault="00D6306B" w:rsidP="00D6306B"/>
    <w:p w14:paraId="0F61D899" w14:textId="77777777" w:rsidR="00D6306B" w:rsidRPr="00C347AD" w:rsidRDefault="00D6306B" w:rsidP="00D6306B"/>
    <w:p w14:paraId="736A7F79" w14:textId="77777777" w:rsidR="00706A1F" w:rsidRPr="00C347AD" w:rsidRDefault="00706A1F">
      <w:pPr>
        <w:spacing w:line="240" w:lineRule="auto"/>
        <w:ind w:firstLine="0"/>
      </w:pPr>
      <w:r w:rsidRPr="00C347AD">
        <w:br w:type="page"/>
      </w:r>
    </w:p>
    <w:p w14:paraId="1ADEA58B" w14:textId="3843FBC5" w:rsidR="00A81896" w:rsidRPr="00C347AD" w:rsidRDefault="00706A1F" w:rsidP="00FE779B">
      <w:pPr>
        <w:pStyle w:val="Heading2"/>
      </w:pPr>
      <w:bookmarkStart w:id="103" w:name="_Toc470600354"/>
      <w:bookmarkStart w:id="104" w:name="_Toc471890464"/>
      <w:r w:rsidRPr="00C347AD">
        <w:lastRenderedPageBreak/>
        <w:t xml:space="preserve">Appendix C: </w:t>
      </w:r>
      <w:r w:rsidR="00A81896" w:rsidRPr="00C347AD">
        <w:t xml:space="preserve">Treatment and Control Implementation </w:t>
      </w:r>
      <w:r w:rsidR="00FE7000" w:rsidRPr="00C347AD">
        <w:t>Form and Checklists</w:t>
      </w:r>
      <w:bookmarkEnd w:id="103"/>
      <w:bookmarkEnd w:id="104"/>
    </w:p>
    <w:p w14:paraId="0FDBD2D6" w14:textId="77777777" w:rsidR="00706A1F" w:rsidRPr="00C347AD" w:rsidRDefault="00706A1F" w:rsidP="00FE7000">
      <w:pPr>
        <w:ind w:firstLine="0"/>
      </w:pPr>
    </w:p>
    <w:p w14:paraId="249BA6FA" w14:textId="259DBDF8" w:rsidR="00FE7000" w:rsidRPr="00C347AD" w:rsidRDefault="00FE7000" w:rsidP="00FE7000">
      <w:pPr>
        <w:ind w:firstLine="0"/>
      </w:pPr>
      <w:r w:rsidRPr="00C347AD">
        <w:t xml:space="preserve">Study: Effects of Modeling on Preservice Teachers </w:t>
      </w:r>
      <w:r w:rsidRPr="00C347AD">
        <w:br/>
        <w:t>Primary Investigator: Eric Moore</w:t>
      </w:r>
    </w:p>
    <w:p w14:paraId="753BD4A2" w14:textId="7CDB322A" w:rsidR="00FE7000" w:rsidRPr="00C347AD" w:rsidRDefault="00FE7000" w:rsidP="00FE7000">
      <w:pPr>
        <w:ind w:firstLine="0"/>
      </w:pPr>
      <w:r w:rsidRPr="00C347AD">
        <w:t>Implementation fidelity observer: _________________________________________</w:t>
      </w:r>
    </w:p>
    <w:p w14:paraId="7CEC491A" w14:textId="77777777" w:rsidR="00FE7000" w:rsidRPr="00C347AD" w:rsidRDefault="00FE7000" w:rsidP="00FE7000">
      <w:pPr>
        <w:ind w:firstLine="0"/>
      </w:pPr>
      <w:r w:rsidRPr="00C347AD">
        <w:t>Date of observation: ________________________</w:t>
      </w:r>
    </w:p>
    <w:p w14:paraId="316E23BB" w14:textId="77777777" w:rsidR="00FE7000" w:rsidRPr="00C347AD" w:rsidRDefault="00FE7000" w:rsidP="00FE7000">
      <w:pPr>
        <w:ind w:firstLine="0"/>
      </w:pPr>
      <w:r w:rsidRPr="00C347AD">
        <w:t>Time of observation from: ____________________ to: ________________________</w:t>
      </w:r>
    </w:p>
    <w:p w14:paraId="350AE87C" w14:textId="695D81F1" w:rsidR="00FE7000" w:rsidRPr="00C347AD" w:rsidRDefault="00FE7000" w:rsidP="00FE7000">
      <w:pPr>
        <w:ind w:firstLine="0"/>
      </w:pPr>
      <w:r w:rsidRPr="00C347AD">
        <w:t xml:space="preserve">Did the observation period cover an entire lesson? (circle):      </w:t>
      </w:r>
      <w:r w:rsidRPr="00C347AD">
        <w:rPr>
          <w:b/>
        </w:rPr>
        <w:t>Yes</w:t>
      </w:r>
      <w:r w:rsidRPr="00C347AD">
        <w:t xml:space="preserve">       </w:t>
      </w:r>
      <w:r w:rsidRPr="00C347AD">
        <w:rPr>
          <w:b/>
        </w:rPr>
        <w:t>No</w:t>
      </w:r>
    </w:p>
    <w:p w14:paraId="2A28A890" w14:textId="77777777" w:rsidR="00FE7000" w:rsidRPr="00C347AD" w:rsidRDefault="00FE7000" w:rsidP="00FE7000">
      <w:pPr>
        <w:pStyle w:val="ListParagraph"/>
        <w:numPr>
          <w:ilvl w:val="0"/>
          <w:numId w:val="29"/>
        </w:numPr>
      </w:pPr>
      <w:r w:rsidRPr="00C347AD">
        <w:t xml:space="preserve">In which phase of the experiment did the observation occur? (circle)   </w:t>
      </w:r>
      <w:r w:rsidRPr="00C347AD">
        <w:rPr>
          <w:b/>
        </w:rPr>
        <w:t>UDL</w:t>
      </w:r>
      <w:r w:rsidRPr="00C347AD">
        <w:t xml:space="preserve">   </w:t>
      </w:r>
      <w:r w:rsidRPr="00C347AD">
        <w:rPr>
          <w:b/>
        </w:rPr>
        <w:t>Control</w:t>
      </w:r>
      <w:r w:rsidRPr="00C347AD">
        <w:t xml:space="preserve"> </w:t>
      </w:r>
    </w:p>
    <w:p w14:paraId="2EBDF971" w14:textId="77777777" w:rsidR="00FE7000" w:rsidRPr="00C347AD" w:rsidRDefault="00FE7000" w:rsidP="00FE7000">
      <w:pPr>
        <w:pStyle w:val="ListParagraph"/>
        <w:numPr>
          <w:ilvl w:val="0"/>
          <w:numId w:val="29"/>
        </w:numPr>
      </w:pPr>
      <w:r w:rsidRPr="00C347AD">
        <w:t xml:space="preserve">If observing </w:t>
      </w:r>
      <w:r w:rsidRPr="00C347AD">
        <w:rPr>
          <w:b/>
        </w:rPr>
        <w:t>control condition</w:t>
      </w:r>
      <w:r w:rsidRPr="00C347AD">
        <w:t xml:space="preserve">, how many of the six checkpoints were met in the lesson you observed?   _______________ / 6  = _______________% fidelity </w:t>
      </w:r>
    </w:p>
    <w:p w14:paraId="2F9FF0CC" w14:textId="77777777" w:rsidR="00FE7000" w:rsidRPr="00C347AD" w:rsidRDefault="00FE7000" w:rsidP="00FE7000">
      <w:pPr>
        <w:pStyle w:val="ListParagraph"/>
        <w:numPr>
          <w:ilvl w:val="0"/>
          <w:numId w:val="29"/>
        </w:numPr>
      </w:pPr>
      <w:r w:rsidRPr="00C347AD">
        <w:t xml:space="preserve">If observing </w:t>
      </w:r>
      <w:r w:rsidRPr="00C347AD">
        <w:rPr>
          <w:b/>
        </w:rPr>
        <w:t>control condition</w:t>
      </w:r>
      <w:r w:rsidRPr="00C347AD">
        <w:t xml:space="preserve">, how many of the five checkpoints were met in the lesson you observed?   _______________ / 5  = _______________% fidelity </w:t>
      </w:r>
    </w:p>
    <w:p w14:paraId="56F7D40C" w14:textId="77777777" w:rsidR="00FE7000" w:rsidRPr="00C347AD" w:rsidRDefault="00FE7000" w:rsidP="00FE7000">
      <w:pPr>
        <w:pStyle w:val="ListParagraph"/>
        <w:numPr>
          <w:ilvl w:val="0"/>
          <w:numId w:val="29"/>
        </w:numPr>
      </w:pPr>
      <w:r w:rsidRPr="00C347AD">
        <w:t>If there was a second observer with you, was there 100% inter-observer agreement? That is, did both of you check and not check the same boxes?</w:t>
      </w:r>
    </w:p>
    <w:p w14:paraId="7E692CAF" w14:textId="77777777" w:rsidR="00FE7000" w:rsidRPr="00C347AD" w:rsidRDefault="00FE7000" w:rsidP="00FE7000">
      <w:pPr>
        <w:pStyle w:val="ListParagraph"/>
        <w:ind w:firstLine="0"/>
      </w:pPr>
      <w:r w:rsidRPr="00C347AD">
        <w:rPr>
          <w:b/>
        </w:rPr>
        <w:t xml:space="preserve">Yes   No    N/A </w:t>
      </w:r>
    </w:p>
    <w:p w14:paraId="6774EC02" w14:textId="194B2330" w:rsidR="00FE7000" w:rsidRPr="00C347AD" w:rsidRDefault="00FE7000" w:rsidP="00FE7000">
      <w:pPr>
        <w:pStyle w:val="ListParagraph"/>
        <w:numPr>
          <w:ilvl w:val="0"/>
          <w:numId w:val="29"/>
        </w:numPr>
      </w:pPr>
      <w:r w:rsidRPr="00C347AD">
        <w:rPr>
          <w:b/>
        </w:rPr>
        <w:t>If no in (4) above</w:t>
      </w:r>
      <w:r w:rsidRPr="00C347AD">
        <w:t>,</w:t>
      </w:r>
      <w:r w:rsidRPr="00C347AD">
        <w:rPr>
          <w:b/>
        </w:rPr>
        <w:t xml:space="preserve"> </w:t>
      </w:r>
      <w:r w:rsidRPr="00C347AD">
        <w:t>how many checkpoints were in dispute (</w:t>
      </w:r>
      <w:r w:rsidR="006E3241" w:rsidRPr="00C347AD">
        <w:t xml:space="preserve">i.e., </w:t>
      </w:r>
      <w:r w:rsidRPr="00C347AD">
        <w:t>one of you checked and the other did not)?  ________________</w:t>
      </w:r>
    </w:p>
    <w:p w14:paraId="7475EA99" w14:textId="77777777" w:rsidR="00FE7000" w:rsidRPr="00C347AD" w:rsidRDefault="00FE7000" w:rsidP="00FE7000">
      <w:pPr>
        <w:pStyle w:val="ListParagraph"/>
        <w:numPr>
          <w:ilvl w:val="0"/>
          <w:numId w:val="29"/>
        </w:numPr>
      </w:pPr>
      <w:r w:rsidRPr="00C347AD">
        <w:rPr>
          <w:b/>
        </w:rPr>
        <w:t>If no in (4) above</w:t>
      </w:r>
      <w:r w:rsidRPr="00C347AD">
        <w:t>, please dialogue about differences and see if you can come to agreement. Were you able to come to common agreement?</w:t>
      </w:r>
    </w:p>
    <w:p w14:paraId="5A8B7D91" w14:textId="1650B629" w:rsidR="00FE7000" w:rsidRPr="00C347AD" w:rsidRDefault="00FE7000" w:rsidP="00FE7000">
      <w:pPr>
        <w:pStyle w:val="ListParagraph"/>
        <w:ind w:firstLine="0"/>
      </w:pPr>
      <w:r w:rsidRPr="00C347AD">
        <w:rPr>
          <w:b/>
        </w:rPr>
        <w:lastRenderedPageBreak/>
        <w:t xml:space="preserve">Yes   No   N/A </w:t>
      </w:r>
      <w:r w:rsidRPr="00C347AD">
        <w:rPr>
          <w:b/>
        </w:rPr>
        <w:br/>
      </w:r>
    </w:p>
    <w:p w14:paraId="345D0AEE" w14:textId="20C68A85" w:rsidR="00FE7000" w:rsidRPr="00C347AD" w:rsidRDefault="00FE7000" w:rsidP="00FE7000">
      <w:pPr>
        <w:ind w:firstLine="0"/>
        <w:rPr>
          <w:b/>
        </w:rPr>
      </w:pPr>
      <w:r w:rsidRPr="00C347AD">
        <w:t xml:space="preserve">Any additional comments? </w:t>
      </w:r>
      <w:r w:rsidRPr="00C347AD">
        <w:br/>
      </w:r>
      <w:r w:rsidRPr="00C347AD">
        <w:br/>
      </w:r>
      <w:r w:rsidRPr="00C347AD">
        <w:br/>
      </w:r>
      <w:r w:rsidRPr="00C347AD">
        <w:br/>
      </w:r>
      <w:r w:rsidRPr="00C347AD">
        <w:rPr>
          <w:b/>
        </w:rPr>
        <w:t>Thank you for your time!  Please submit this form to the lead investigator.</w:t>
      </w:r>
      <w:r w:rsidRPr="00C347AD">
        <w:t xml:space="preserve"> </w:t>
      </w:r>
    </w:p>
    <w:p w14:paraId="34FDB920" w14:textId="0E1BB0C7" w:rsidR="00FE7000" w:rsidRPr="00C347AD" w:rsidRDefault="00FE7000" w:rsidP="00FE7000">
      <w:pPr>
        <w:rPr>
          <w:b/>
        </w:rPr>
      </w:pPr>
      <w:r w:rsidRPr="00C347AD">
        <w:rPr>
          <w:b/>
        </w:rPr>
        <w:br/>
      </w:r>
    </w:p>
    <w:p w14:paraId="45ABF210" w14:textId="77777777" w:rsidR="00FE7000" w:rsidRPr="00C347AD" w:rsidRDefault="00FE7000" w:rsidP="00FE7000">
      <w:pPr>
        <w:ind w:firstLine="0"/>
        <w:rPr>
          <w:b/>
        </w:rPr>
      </w:pPr>
    </w:p>
    <w:p w14:paraId="70723BC8" w14:textId="77777777" w:rsidR="00FE7000" w:rsidRPr="00C347AD" w:rsidRDefault="00FE7000" w:rsidP="00FE7000">
      <w:pPr>
        <w:ind w:firstLine="0"/>
        <w:rPr>
          <w:b/>
        </w:rPr>
      </w:pPr>
    </w:p>
    <w:p w14:paraId="696C5E0A" w14:textId="77777777" w:rsidR="00FE7000" w:rsidRPr="00C347AD" w:rsidRDefault="00FE7000" w:rsidP="00FE7000">
      <w:pPr>
        <w:ind w:firstLine="0"/>
        <w:rPr>
          <w:b/>
        </w:rPr>
      </w:pPr>
    </w:p>
    <w:p w14:paraId="70790B79" w14:textId="4A58A2F1" w:rsidR="00FE7000" w:rsidRPr="00C347AD" w:rsidRDefault="00FE7000" w:rsidP="00FE7000">
      <w:pPr>
        <w:spacing w:line="240" w:lineRule="auto"/>
        <w:ind w:firstLine="0"/>
        <w:rPr>
          <w:b/>
        </w:rPr>
      </w:pPr>
      <w:r w:rsidRPr="00C347AD">
        <w:rPr>
          <w:b/>
        </w:rPr>
        <w:br w:type="column"/>
      </w:r>
      <w:r w:rsidRPr="00C347AD">
        <w:rPr>
          <w:b/>
        </w:rPr>
        <w:lastRenderedPageBreak/>
        <w:t xml:space="preserve">Instructions: </w:t>
      </w:r>
      <w:r w:rsidRPr="00C347AD">
        <w:t xml:space="preserve">Check each box that includes something you observed in the lesson (choose the checklist that corresponds with the phase of instruction underway at the time of observation). Feel free to write indicators or notes below each checkbox. </w:t>
      </w:r>
      <w:r w:rsidRPr="00C347AD">
        <w:br/>
      </w:r>
      <w:r w:rsidRPr="00C347AD">
        <w:br/>
      </w:r>
      <w:r w:rsidRPr="00C347AD">
        <w:rPr>
          <w:b/>
        </w:rPr>
        <w:t>Control Condition:</w:t>
      </w:r>
      <w:r w:rsidRPr="00C347AD">
        <w:t xml:space="preserve"> Did the instructor...</w:t>
      </w:r>
      <w:r w:rsidRPr="00C347AD">
        <w:br/>
      </w:r>
    </w:p>
    <w:p w14:paraId="6EBA17F1" w14:textId="77777777" w:rsidR="00FE7000" w:rsidRPr="00C347AD" w:rsidRDefault="00FE7000" w:rsidP="00FE7000">
      <w:pPr>
        <w:pStyle w:val="ListParagraph"/>
        <w:numPr>
          <w:ilvl w:val="0"/>
          <w:numId w:val="28"/>
        </w:numPr>
        <w:shd w:val="clear" w:color="auto" w:fill="FFFFFF"/>
        <w:spacing w:line="240" w:lineRule="auto"/>
        <w:rPr>
          <w:color w:val="444444"/>
        </w:rPr>
      </w:pPr>
      <w:r w:rsidRPr="00C347AD">
        <w:rPr>
          <w:color w:val="444444"/>
        </w:rPr>
        <w:t>Textually and orally share the learning objective(s) for the lesson with the students on the second slide of a PowerPoint presentation (the first slide will be lesson title).</w:t>
      </w:r>
      <w:r w:rsidRPr="00C347AD">
        <w:rPr>
          <w:color w:val="444444"/>
        </w:rPr>
        <w:br/>
      </w:r>
    </w:p>
    <w:p w14:paraId="3F35FA97" w14:textId="5B63E49B" w:rsidR="00FE7000" w:rsidRPr="00C347AD" w:rsidRDefault="00FE7000" w:rsidP="00FE7000">
      <w:pPr>
        <w:shd w:val="clear" w:color="auto" w:fill="FFFFFF"/>
        <w:ind w:firstLine="0"/>
        <w:rPr>
          <w:color w:val="444444"/>
        </w:rPr>
      </w:pPr>
    </w:p>
    <w:p w14:paraId="3A42AF8C" w14:textId="61177156" w:rsidR="00FE7000" w:rsidRPr="00C347AD" w:rsidRDefault="00FE7000" w:rsidP="00FE7000">
      <w:pPr>
        <w:pStyle w:val="ListParagraph"/>
        <w:numPr>
          <w:ilvl w:val="0"/>
          <w:numId w:val="28"/>
        </w:numPr>
        <w:spacing w:line="240" w:lineRule="auto"/>
      </w:pPr>
      <w:r w:rsidRPr="00C347AD">
        <w:t>Verbally encourage students to take notes, stating “please remember that you are always encouraged to take notes by hand or using your laptop or tablet during class. You may also feel free to audio record the lesson.”</w:t>
      </w:r>
      <w:r w:rsidRPr="00C347AD">
        <w:br/>
      </w:r>
      <w:r w:rsidRPr="00C347AD">
        <w:br/>
      </w:r>
      <w:r w:rsidRPr="00C347AD">
        <w:br/>
      </w:r>
    </w:p>
    <w:p w14:paraId="2B555891" w14:textId="2245EB86" w:rsidR="00FE7000" w:rsidRPr="00C347AD" w:rsidRDefault="00FE7000" w:rsidP="00FE7000">
      <w:pPr>
        <w:pStyle w:val="ListParagraph"/>
        <w:numPr>
          <w:ilvl w:val="0"/>
          <w:numId w:val="28"/>
        </w:numPr>
        <w:spacing w:line="240" w:lineRule="auto"/>
      </w:pPr>
      <w:r w:rsidRPr="00C347AD">
        <w:t>Orally lecture and display PowerPoint slides using the PowerPoints created by Pearson (the textbook publishers).</w:t>
      </w:r>
      <w:r w:rsidRPr="00C347AD">
        <w:br/>
      </w:r>
    </w:p>
    <w:p w14:paraId="043369D4" w14:textId="77777777" w:rsidR="00FE7000" w:rsidRPr="00C347AD" w:rsidRDefault="00FE7000" w:rsidP="00FE7000">
      <w:pPr>
        <w:pStyle w:val="ListParagraph"/>
        <w:ind w:firstLine="0"/>
      </w:pPr>
    </w:p>
    <w:p w14:paraId="436F9181" w14:textId="77777777" w:rsidR="00FE7000" w:rsidRPr="00C347AD" w:rsidRDefault="00FE7000" w:rsidP="00FE7000">
      <w:pPr>
        <w:pStyle w:val="ListParagraph"/>
        <w:numPr>
          <w:ilvl w:val="0"/>
          <w:numId w:val="28"/>
        </w:numPr>
        <w:spacing w:line="240" w:lineRule="auto"/>
      </w:pPr>
      <w:r w:rsidRPr="00C347AD">
        <w:t>Verbally prompt students to ask any questions or offer any comments that they have at appropriate intervals during the lesson (at least two times per hour per lesson).</w:t>
      </w:r>
      <w:r w:rsidRPr="00C347AD">
        <w:br/>
      </w:r>
    </w:p>
    <w:p w14:paraId="2A2DD124" w14:textId="6EC64F3B" w:rsidR="00FE7000" w:rsidRPr="00C347AD" w:rsidRDefault="00FE7000" w:rsidP="00FE7000">
      <w:pPr>
        <w:ind w:firstLine="0"/>
      </w:pPr>
    </w:p>
    <w:p w14:paraId="3ABD0C4C" w14:textId="52A48D9E" w:rsidR="00FE7000" w:rsidRPr="00C347AD" w:rsidRDefault="00FE7000" w:rsidP="00FE7000">
      <w:pPr>
        <w:pStyle w:val="ListParagraph"/>
        <w:numPr>
          <w:ilvl w:val="0"/>
          <w:numId w:val="28"/>
        </w:numPr>
        <w:spacing w:line="240" w:lineRule="auto"/>
      </w:pPr>
      <w:r w:rsidRPr="00C347AD">
        <w:t>Verbally summarize the lesson during the last 5 minutes of the class</w:t>
      </w:r>
    </w:p>
    <w:p w14:paraId="018D9E9F" w14:textId="77777777" w:rsidR="00FE7000" w:rsidRPr="00C347AD" w:rsidRDefault="00FE7000" w:rsidP="00FE7000">
      <w:pPr>
        <w:pStyle w:val="ListParagraph"/>
        <w:ind w:firstLine="0"/>
      </w:pPr>
      <w:r w:rsidRPr="00C347AD">
        <w:br/>
      </w:r>
    </w:p>
    <w:p w14:paraId="310AF987" w14:textId="718CE0FF" w:rsidR="00FE7000" w:rsidRPr="00C347AD" w:rsidRDefault="00FE7000" w:rsidP="00FE7000">
      <w:pPr>
        <w:pStyle w:val="ListParagraph"/>
        <w:numPr>
          <w:ilvl w:val="0"/>
          <w:numId w:val="28"/>
        </w:numPr>
        <w:spacing w:line="240" w:lineRule="auto"/>
      </w:pPr>
      <w:r w:rsidRPr="00C347AD">
        <w:t>Provide students with the opportunity to ask questions or comment at appropriate intervals, defined as: at least 2x per lesson (T/Th) or 4x per lesson (</w:t>
      </w:r>
      <w:r w:rsidR="00C347AD">
        <w:t>M</w:t>
      </w:r>
      <w:r w:rsidRPr="00C347AD">
        <w:t xml:space="preserve">) by verbally asking “Does anyone have any questions?” (or equivalent). </w:t>
      </w:r>
    </w:p>
    <w:p w14:paraId="0D1379A1" w14:textId="77777777" w:rsidR="00FE7000" w:rsidRPr="00C347AD" w:rsidRDefault="00FE7000" w:rsidP="00FE7000"/>
    <w:p w14:paraId="589F2331" w14:textId="74EA5EC1" w:rsidR="00FE7000" w:rsidRPr="00C347AD" w:rsidRDefault="00FE7000" w:rsidP="00FE7000">
      <w:pPr>
        <w:spacing w:line="240" w:lineRule="auto"/>
        <w:ind w:firstLine="0"/>
        <w:rPr>
          <w:b/>
        </w:rPr>
      </w:pPr>
      <w:r w:rsidRPr="00C347AD">
        <w:rPr>
          <w:b/>
        </w:rPr>
        <w:t>_______/6</w:t>
      </w:r>
    </w:p>
    <w:p w14:paraId="6C15FF31" w14:textId="77777777" w:rsidR="00FE7000" w:rsidRPr="00C347AD" w:rsidRDefault="00FE7000" w:rsidP="00FE7000">
      <w:pPr>
        <w:spacing w:line="240" w:lineRule="auto"/>
        <w:ind w:firstLine="0"/>
      </w:pPr>
      <w:r w:rsidRPr="00C347AD">
        <w:rPr>
          <w:b/>
        </w:rPr>
        <w:t>UDL Condition:</w:t>
      </w:r>
      <w:r w:rsidRPr="00C347AD">
        <w:t xml:space="preserve"> Did the instructor... </w:t>
      </w:r>
    </w:p>
    <w:p w14:paraId="22EBE653" w14:textId="77777777" w:rsidR="00FE7000" w:rsidRPr="00C347AD" w:rsidRDefault="00FE7000" w:rsidP="00FE7000">
      <w:pPr>
        <w:spacing w:line="240" w:lineRule="auto"/>
      </w:pPr>
    </w:p>
    <w:p w14:paraId="4EEFCACE" w14:textId="77777777" w:rsidR="00FE7000" w:rsidRPr="00C347AD" w:rsidRDefault="00FE7000" w:rsidP="00FE7000">
      <w:pPr>
        <w:pStyle w:val="ListParagraph"/>
        <w:numPr>
          <w:ilvl w:val="0"/>
          <w:numId w:val="28"/>
        </w:numPr>
        <w:spacing w:line="240" w:lineRule="auto"/>
      </w:pPr>
      <w:r w:rsidRPr="00C347AD">
        <w:lastRenderedPageBreak/>
        <w:t xml:space="preserve">Create and share with you a lesson plan that identifies for the day: (a) goals, (b) likely barriers, and (c) checkpoints from the UDL Framework that may be appropriate for mitigating or removing these barriers? </w:t>
      </w:r>
    </w:p>
    <w:p w14:paraId="2EB4DC8C" w14:textId="77777777" w:rsidR="00FE7000" w:rsidRPr="00C347AD" w:rsidRDefault="00FE7000" w:rsidP="00FE7000">
      <w:pPr>
        <w:spacing w:line="240" w:lineRule="auto"/>
        <w:ind w:firstLine="0"/>
      </w:pPr>
    </w:p>
    <w:p w14:paraId="6B7DBFDF" w14:textId="77777777" w:rsidR="00FE7000" w:rsidRPr="00C347AD" w:rsidRDefault="00FE7000" w:rsidP="00FE7000">
      <w:pPr>
        <w:spacing w:line="240" w:lineRule="auto"/>
        <w:ind w:firstLine="0"/>
      </w:pPr>
    </w:p>
    <w:p w14:paraId="5236C61F" w14:textId="77777777" w:rsidR="00FE7000" w:rsidRPr="00C347AD" w:rsidRDefault="00FE7000" w:rsidP="00FE7000">
      <w:pPr>
        <w:pStyle w:val="ListParagraph"/>
        <w:numPr>
          <w:ilvl w:val="0"/>
          <w:numId w:val="28"/>
        </w:numPr>
        <w:spacing w:line="240" w:lineRule="auto"/>
      </w:pPr>
      <w:r w:rsidRPr="00C347AD">
        <w:t xml:space="preserve">Distribute a hard copy of the same lesson plan (above) to students? </w:t>
      </w:r>
    </w:p>
    <w:p w14:paraId="1A5B73B2" w14:textId="77777777" w:rsidR="00FE7000" w:rsidRPr="00C347AD" w:rsidRDefault="00FE7000" w:rsidP="00FE7000">
      <w:pPr>
        <w:spacing w:line="240" w:lineRule="auto"/>
      </w:pPr>
    </w:p>
    <w:p w14:paraId="417244BD" w14:textId="77777777" w:rsidR="00FE7000" w:rsidRPr="00C347AD" w:rsidRDefault="00FE7000" w:rsidP="00FE7000">
      <w:pPr>
        <w:spacing w:line="240" w:lineRule="auto"/>
      </w:pPr>
    </w:p>
    <w:p w14:paraId="57C3CEAA" w14:textId="77777777" w:rsidR="00FE7000" w:rsidRPr="00C347AD" w:rsidRDefault="00FE7000" w:rsidP="00FE7000">
      <w:pPr>
        <w:spacing w:line="240" w:lineRule="auto"/>
        <w:ind w:firstLine="0"/>
      </w:pPr>
    </w:p>
    <w:p w14:paraId="0DDC3EF4" w14:textId="77777777" w:rsidR="00FE7000" w:rsidRPr="00C347AD" w:rsidRDefault="00FE7000" w:rsidP="00FE7000">
      <w:pPr>
        <w:pStyle w:val="ListParagraph"/>
        <w:numPr>
          <w:ilvl w:val="0"/>
          <w:numId w:val="28"/>
        </w:numPr>
        <w:spacing w:line="240" w:lineRule="auto"/>
      </w:pPr>
      <w:r w:rsidRPr="00C347AD">
        <w:t xml:space="preserve">Verbally express justification of the UDL checkpoints selected for the present lesson? </w:t>
      </w:r>
    </w:p>
    <w:p w14:paraId="5567DF65" w14:textId="77777777" w:rsidR="00FE7000" w:rsidRPr="00C347AD" w:rsidRDefault="00FE7000" w:rsidP="00FE7000">
      <w:pPr>
        <w:spacing w:line="240" w:lineRule="auto"/>
      </w:pPr>
    </w:p>
    <w:p w14:paraId="0CF20DD8" w14:textId="77777777" w:rsidR="00FE7000" w:rsidRPr="00C347AD" w:rsidRDefault="00FE7000" w:rsidP="00FE7000">
      <w:pPr>
        <w:spacing w:line="240" w:lineRule="auto"/>
      </w:pPr>
    </w:p>
    <w:p w14:paraId="3D09DD61" w14:textId="77777777" w:rsidR="00FE7000" w:rsidRPr="00C347AD" w:rsidRDefault="00FE7000" w:rsidP="00FE7000">
      <w:pPr>
        <w:spacing w:line="240" w:lineRule="auto"/>
        <w:ind w:firstLine="0"/>
      </w:pPr>
    </w:p>
    <w:p w14:paraId="3E7E97C6" w14:textId="77777777" w:rsidR="00FE7000" w:rsidRPr="00C347AD" w:rsidRDefault="00FE7000" w:rsidP="00FE7000">
      <w:pPr>
        <w:pStyle w:val="ListParagraph"/>
        <w:numPr>
          <w:ilvl w:val="0"/>
          <w:numId w:val="28"/>
        </w:numPr>
        <w:spacing w:line="240" w:lineRule="auto"/>
      </w:pPr>
      <w:r w:rsidRPr="00C347AD">
        <w:t xml:space="preserve">For each identified checkpoint, did the instructor at appropriate times pause to explicitly state (verbally) when a prescribed checkpoint was used? For example, after introducing relevant new terminology for the lesson, the instructor will pause and explicitly reflect “Please note that I just took a minute to clarify some new vocabulary. This reflects checkpoint 2.1 in the UDL framework, which I had prescribed to address the barrier that I predicted whereby some students may not have had requisite vocabulary for the lesson.” </w:t>
      </w:r>
    </w:p>
    <w:p w14:paraId="19914FFD" w14:textId="77777777" w:rsidR="00FE7000" w:rsidRPr="00C347AD" w:rsidRDefault="00FE7000" w:rsidP="00FE7000">
      <w:pPr>
        <w:spacing w:line="240" w:lineRule="auto"/>
      </w:pPr>
    </w:p>
    <w:p w14:paraId="76B65434" w14:textId="77777777" w:rsidR="00FE7000" w:rsidRPr="00C347AD" w:rsidRDefault="00FE7000" w:rsidP="00FE7000">
      <w:pPr>
        <w:spacing w:line="240" w:lineRule="auto"/>
      </w:pPr>
    </w:p>
    <w:p w14:paraId="4BC9510A" w14:textId="77777777" w:rsidR="00FE7000" w:rsidRPr="00C347AD" w:rsidRDefault="00FE7000" w:rsidP="00FE7000">
      <w:pPr>
        <w:spacing w:line="240" w:lineRule="auto"/>
        <w:ind w:firstLine="0"/>
      </w:pPr>
    </w:p>
    <w:p w14:paraId="0536DA1B" w14:textId="77777777" w:rsidR="00FE7000" w:rsidRPr="00C347AD" w:rsidRDefault="00FE7000" w:rsidP="00FE7000">
      <w:pPr>
        <w:pStyle w:val="ListParagraph"/>
        <w:numPr>
          <w:ilvl w:val="0"/>
          <w:numId w:val="28"/>
        </w:numPr>
        <w:spacing w:line="240" w:lineRule="auto"/>
      </w:pPr>
      <w:r w:rsidRPr="00C347AD">
        <w:t>For each explicitly stated checkpoint (if above was done), did the instructor ask students to reflect on whether the use of this checkpoint was effective in addressing the predicted barrier and how they may use the method in their own future classes. (For example, following the scenario above, the instructor would ask, “did the explicit instruction of new vocabulary for this lesson ensure common understanding of key terms?” Allow student response, then inquire, “how might this be useful in your own practice?”)</w:t>
      </w:r>
    </w:p>
    <w:p w14:paraId="2459FFBF" w14:textId="77777777" w:rsidR="00FE7000" w:rsidRPr="00C347AD" w:rsidRDefault="00FE7000" w:rsidP="00FE7000">
      <w:pPr>
        <w:spacing w:line="240" w:lineRule="auto"/>
      </w:pPr>
    </w:p>
    <w:p w14:paraId="2BB5163C" w14:textId="77777777" w:rsidR="00FE7000" w:rsidRPr="00C347AD" w:rsidRDefault="00FE7000" w:rsidP="00FE7000">
      <w:pPr>
        <w:spacing w:line="240" w:lineRule="auto"/>
      </w:pPr>
    </w:p>
    <w:p w14:paraId="5D22B916" w14:textId="77777777" w:rsidR="00FE7000" w:rsidRPr="00C347AD" w:rsidRDefault="00FE7000" w:rsidP="00FE7000">
      <w:pPr>
        <w:spacing w:line="240" w:lineRule="auto"/>
      </w:pPr>
    </w:p>
    <w:p w14:paraId="1823712A" w14:textId="77777777" w:rsidR="00FE7000" w:rsidRPr="00C347AD" w:rsidRDefault="00FE7000" w:rsidP="00FE7000">
      <w:pPr>
        <w:spacing w:line="240" w:lineRule="auto"/>
      </w:pPr>
    </w:p>
    <w:p w14:paraId="22B90884" w14:textId="77777777" w:rsidR="00FE7000" w:rsidRPr="00C347AD" w:rsidRDefault="00FE7000" w:rsidP="00FE7000">
      <w:pPr>
        <w:spacing w:line="240" w:lineRule="auto"/>
      </w:pPr>
      <w:r w:rsidRPr="00C347AD">
        <w:rPr>
          <w:b/>
        </w:rPr>
        <w:br/>
        <w:t>_______/5</w:t>
      </w:r>
    </w:p>
    <w:p w14:paraId="2F886288" w14:textId="77777777" w:rsidR="00FE7000" w:rsidRPr="00C347AD" w:rsidRDefault="00FE7000" w:rsidP="00FE7000">
      <w:pPr>
        <w:spacing w:line="240" w:lineRule="auto"/>
      </w:pPr>
    </w:p>
    <w:p w14:paraId="1E38C630" w14:textId="77777777" w:rsidR="00FE7000" w:rsidRPr="00C347AD" w:rsidRDefault="00FE7000" w:rsidP="00FE7000">
      <w:pPr>
        <w:spacing w:line="240" w:lineRule="auto"/>
      </w:pPr>
      <w:r w:rsidRPr="00C347AD">
        <w:t xml:space="preserve">Additional notes and comments: </w:t>
      </w:r>
    </w:p>
    <w:p w14:paraId="0317DD8F" w14:textId="77777777" w:rsidR="00FE7000" w:rsidRPr="00C347AD" w:rsidRDefault="00FE7000" w:rsidP="00FE7000">
      <w:pPr>
        <w:spacing w:line="240" w:lineRule="auto"/>
      </w:pPr>
    </w:p>
    <w:p w14:paraId="459B5A51" w14:textId="77777777" w:rsidR="00FE7000" w:rsidRPr="00C347AD" w:rsidRDefault="00FE7000" w:rsidP="00FE7000">
      <w:pPr>
        <w:spacing w:line="240" w:lineRule="auto"/>
      </w:pPr>
    </w:p>
    <w:p w14:paraId="4A9DABA3" w14:textId="6DF94A3D" w:rsidR="00B50223" w:rsidRPr="00C347AD" w:rsidRDefault="00B50223" w:rsidP="00FE779B">
      <w:pPr>
        <w:pStyle w:val="Heading2"/>
      </w:pPr>
      <w:r w:rsidRPr="00C347AD">
        <w:br w:type="column"/>
      </w:r>
      <w:bookmarkStart w:id="105" w:name="_Toc471890465"/>
      <w:r w:rsidRPr="00C347AD">
        <w:lastRenderedPageBreak/>
        <w:t>Appendix D: Instruments</w:t>
      </w:r>
      <w:bookmarkEnd w:id="105"/>
      <w:r w:rsidRPr="00C347AD">
        <w:t xml:space="preserve"> </w:t>
      </w:r>
    </w:p>
    <w:p w14:paraId="38B9C47A" w14:textId="37D5C0B5" w:rsidR="00B50223" w:rsidRPr="00C347AD" w:rsidRDefault="00B50223">
      <w:pPr>
        <w:spacing w:line="240" w:lineRule="auto"/>
        <w:ind w:firstLine="0"/>
      </w:pPr>
      <w:r w:rsidRPr="00C347AD">
        <w:br w:type="page"/>
      </w:r>
    </w:p>
    <w:p w14:paraId="1E4EA85D" w14:textId="77777777" w:rsidR="00487C27" w:rsidRPr="00C347AD" w:rsidRDefault="00487C27" w:rsidP="001A2C66">
      <w:pPr>
        <w:spacing w:line="240" w:lineRule="auto"/>
        <w:ind w:firstLine="0"/>
      </w:pPr>
    </w:p>
    <w:p w14:paraId="6E0B8079" w14:textId="02A4E9FD" w:rsidR="00CA72D0" w:rsidRPr="00C347AD" w:rsidRDefault="00CA72D0" w:rsidP="00B26A26">
      <w:pPr>
        <w:pStyle w:val="Heading1"/>
      </w:pPr>
      <w:bookmarkStart w:id="106" w:name="_Toc470600355"/>
      <w:bookmarkStart w:id="107" w:name="_Toc471890466"/>
      <w:r w:rsidRPr="00C347AD">
        <w:t>Vita</w:t>
      </w:r>
      <w:bookmarkEnd w:id="106"/>
      <w:bookmarkEnd w:id="107"/>
    </w:p>
    <w:p w14:paraId="0BB12EC2" w14:textId="77777777" w:rsidR="00CA72D0" w:rsidRPr="00C347AD" w:rsidRDefault="00CA72D0" w:rsidP="00CA72D0">
      <w:pPr>
        <w:spacing w:line="240" w:lineRule="auto"/>
        <w:ind w:firstLine="0"/>
        <w:rPr>
          <w:b/>
        </w:rPr>
      </w:pPr>
    </w:p>
    <w:p w14:paraId="275B8386" w14:textId="3634D2B3" w:rsidR="00CA72D0" w:rsidRPr="00C347AD" w:rsidRDefault="00CA72D0" w:rsidP="00CA72D0">
      <w:pPr>
        <w:spacing w:line="240" w:lineRule="auto"/>
        <w:ind w:firstLine="0"/>
      </w:pPr>
      <w:r w:rsidRPr="00C347AD">
        <w:tab/>
        <w:t xml:space="preserve">Eric Moore was born in the inner city of Chicago, IL to Dr. Rev. Frederick and Lois Moore. As a child, his family moved to Grand Rapids, MI where he considers himself to have grown up. There, he attended Collins Elementary before continuing on through Forest Hills Northern middle and high schools. After graduation, he pursued his long-time hope of attending Taylor University where he studied secondary English education. During his time at Taylor, Eric met his wife, Christine, who has been his partner in subsequent adventures and challenges (including parenting!). Eric began his professional teaching career in Kokomo, IN where he taught literature and drama at Northwestern High School. Succumbing to wanderlust, Eric and Christine then traveled to Indonesia where Eric taught middle and high school literature, philosophy and religion for three years before accepting the opportunity to help develop a fledgling international school in South Korea where he served for four years as a teacher and department chair. During his time in Korea, Eric pursued his </w:t>
      </w:r>
      <w:r w:rsidR="00B554C7" w:rsidRPr="00C347AD">
        <w:t>master’s</w:t>
      </w:r>
      <w:r w:rsidRPr="00C347AD">
        <w:t xml:space="preserve"> degree in special education as through a correspondence </w:t>
      </w:r>
      <w:r w:rsidR="00B554C7" w:rsidRPr="00C347AD">
        <w:t>student</w:t>
      </w:r>
      <w:r w:rsidRPr="00C347AD">
        <w:t xml:space="preserve"> at Grand Valley State University. He graduated with highest honors and earned the </w:t>
      </w:r>
      <w:r w:rsidR="00B554C7" w:rsidRPr="00C347AD">
        <w:t xml:space="preserve">Dean’s Citation: Outstanding Thesis Award for his work exploring the outcomes of postsecondary programs for young adults with intellectual disabilities. Shortly thereafter, Eric was recruited as a graduate assistant for the University of Tennessee, Knoxville where he earned his PhD in special education under advisors Dr. David Cihak and Dr. Sherry Bell. </w:t>
      </w:r>
    </w:p>
    <w:sectPr w:rsidR="00CA72D0" w:rsidRPr="00C347AD" w:rsidSect="003158CC">
      <w:pgSz w:w="12240" w:h="15840" w:code="1"/>
      <w:pgMar w:top="2016" w:right="1800" w:bottom="1440" w:left="1800" w:header="1440" w:footer="1440" w:gutter="0"/>
      <w:cols w:space="720"/>
      <w:noEndnote/>
      <w:titlePg/>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2" w:author="Moore, Eric Jordan" w:date="2017-01-13T13:40:00Z" w:initials="MEJ">
    <w:p w14:paraId="1DC2B6D4" w14:textId="00BCFEC1" w:rsidR="006E3241" w:rsidRDefault="006E3241">
      <w:pPr>
        <w:pStyle w:val="CommentText"/>
      </w:pPr>
      <w:r>
        <w:rPr>
          <w:rStyle w:val="CommentReference"/>
        </w:rPr>
        <w:annotationRef/>
      </w:r>
      <w:r>
        <w:t>Not done. Do or nix.</w:t>
      </w:r>
    </w:p>
  </w:comment>
  <w:comment w:id="85" w:author="Moore, Eric Jordan" w:date="2017-01-14T15:19:00Z" w:initials="MEJ">
    <w:p w14:paraId="7ABB67D8" w14:textId="48C191DA" w:rsidR="00C347AD" w:rsidRDefault="00C347AD">
      <w:pPr>
        <w:pStyle w:val="CommentText"/>
      </w:pPr>
      <w:r>
        <w:rPr>
          <w:rStyle w:val="CommentReference"/>
        </w:rPr>
        <w:annotationRef/>
      </w:r>
      <w:r>
        <w:t xml:space="preserve">Collect me. </w:t>
      </w:r>
    </w:p>
  </w:comment>
  <w:comment w:id="90" w:author="Moore, Eric Jordan" w:date="2017-01-13T13:50:00Z" w:initials="MEJ">
    <w:p w14:paraId="3E45D49F" w14:textId="088A6677" w:rsidR="006E3241" w:rsidRDefault="006E3241">
      <w:pPr>
        <w:pStyle w:val="CommentText"/>
      </w:pPr>
      <w:r>
        <w:rPr>
          <w:rStyle w:val="CommentReference"/>
        </w:rPr>
        <w:annotationRef/>
      </w:r>
      <w:r>
        <w:t xml:space="preserve">Double check this. IF right, add to the demographics in previous chapter. </w:t>
      </w:r>
    </w:p>
  </w:comment>
  <w:comment w:id="91" w:author="Moore, Eric Jordan" w:date="2017-01-14T14:44:00Z" w:initials="MEJ">
    <w:p w14:paraId="55B4D51A" w14:textId="26DCBE80" w:rsidR="006E3241" w:rsidRDefault="006E3241">
      <w:pPr>
        <w:pStyle w:val="CommentText"/>
      </w:pPr>
      <w:r>
        <w:rPr>
          <w:rStyle w:val="CommentReference"/>
        </w:rPr>
        <w:annotationRef/>
      </w:r>
      <w:r>
        <w:t xml:space="preserve">Additional demographic info. </w:t>
      </w:r>
    </w:p>
  </w:comment>
  <w:comment w:id="93" w:author="Moore, Eric Jordan" w:date="2017-01-13T13:52:00Z" w:initials="MEJ">
    <w:p w14:paraId="2286FB56" w14:textId="499A2327" w:rsidR="006E3241" w:rsidRDefault="006E3241">
      <w:pPr>
        <w:pStyle w:val="CommentText"/>
      </w:pPr>
      <w:r>
        <w:rPr>
          <w:rStyle w:val="CommentReference"/>
        </w:rPr>
        <w:annotationRef/>
      </w:r>
      <w:r>
        <w:t>This is a little different than what I said in CH. 3. Streamline.</w:t>
      </w:r>
    </w:p>
  </w:comment>
  <w:comment w:id="94" w:author="Moore, Eric Jordan" w:date="2017-01-14T15:10:00Z" w:initials="MEJ">
    <w:p w14:paraId="52CF8B10" w14:textId="29C779DF" w:rsidR="003B1EA2" w:rsidRDefault="003B1EA2">
      <w:pPr>
        <w:pStyle w:val="CommentText"/>
      </w:pPr>
      <w:r>
        <w:rPr>
          <w:rStyle w:val="CommentReference"/>
        </w:rPr>
        <w:annotationRef/>
      </w:r>
      <w:r>
        <w:t>Check stats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C2B6D4" w15:done="0"/>
  <w15:commentEx w15:paraId="7ABB67D8" w15:done="0"/>
  <w15:commentEx w15:paraId="3E45D49F" w15:done="0"/>
  <w15:commentEx w15:paraId="55B4D51A" w15:done="0"/>
  <w15:commentEx w15:paraId="2286FB56" w15:done="0"/>
  <w15:commentEx w15:paraId="52CF8B1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0E4C8" w14:textId="77777777" w:rsidR="0072148D" w:rsidRDefault="0072148D" w:rsidP="0037384D">
      <w:r>
        <w:separator/>
      </w:r>
    </w:p>
    <w:p w14:paraId="5A657D35" w14:textId="77777777" w:rsidR="0072148D" w:rsidRDefault="0072148D" w:rsidP="0037384D"/>
    <w:p w14:paraId="02814F12" w14:textId="77777777" w:rsidR="0072148D" w:rsidRDefault="0072148D" w:rsidP="0037384D"/>
  </w:endnote>
  <w:endnote w:type="continuationSeparator" w:id="0">
    <w:p w14:paraId="19A9145C" w14:textId="77777777" w:rsidR="0072148D" w:rsidRDefault="0072148D" w:rsidP="0037384D">
      <w:r>
        <w:continuationSeparator/>
      </w:r>
    </w:p>
    <w:p w14:paraId="067EE012" w14:textId="77777777" w:rsidR="0072148D" w:rsidRDefault="0072148D" w:rsidP="0037384D"/>
    <w:p w14:paraId="4C66D36D" w14:textId="77777777" w:rsidR="0072148D" w:rsidRDefault="0072148D" w:rsidP="00373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C1ADE" w14:textId="784A2180" w:rsidR="006E3241" w:rsidRDefault="006E3241" w:rsidP="0054746C">
    <w:pPr>
      <w:pStyle w:val="Footer"/>
      <w:ind w:firstLine="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02FAF" w14:textId="77777777" w:rsidR="0072148D" w:rsidRDefault="0072148D" w:rsidP="0037384D">
      <w:r>
        <w:separator/>
      </w:r>
    </w:p>
    <w:p w14:paraId="21E221B2" w14:textId="77777777" w:rsidR="0072148D" w:rsidRDefault="0072148D" w:rsidP="0037384D"/>
    <w:p w14:paraId="7B336A53" w14:textId="77777777" w:rsidR="0072148D" w:rsidRDefault="0072148D" w:rsidP="0037384D"/>
  </w:footnote>
  <w:footnote w:type="continuationSeparator" w:id="0">
    <w:p w14:paraId="7F310F0B" w14:textId="77777777" w:rsidR="0072148D" w:rsidRDefault="0072148D" w:rsidP="0037384D">
      <w:r>
        <w:continuationSeparator/>
      </w:r>
    </w:p>
    <w:p w14:paraId="181B10CF" w14:textId="77777777" w:rsidR="0072148D" w:rsidRDefault="0072148D" w:rsidP="0037384D"/>
    <w:p w14:paraId="616099C2" w14:textId="77777777" w:rsidR="0072148D" w:rsidRDefault="0072148D" w:rsidP="0037384D"/>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11E84" w14:textId="77777777" w:rsidR="006E3241" w:rsidRDefault="006E3241" w:rsidP="001F702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CED462" w14:textId="161EC826" w:rsidR="006E3241" w:rsidRDefault="006E3241" w:rsidP="002C08B2">
    <w:pPr>
      <w:pStyle w:val="Header"/>
      <w:ind w:right="360"/>
      <w:rPr>
        <w:rStyle w:val="PageNumber"/>
      </w:rPr>
    </w:pPr>
  </w:p>
  <w:p w14:paraId="25B6A1F9" w14:textId="77777777" w:rsidR="006E3241" w:rsidRDefault="006E3241" w:rsidP="0037384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EFE1" w14:textId="77777777" w:rsidR="006E3241" w:rsidRDefault="006E3241" w:rsidP="00D46B9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6A26">
      <w:rPr>
        <w:rStyle w:val="PageNumber"/>
        <w:noProof/>
      </w:rPr>
      <w:t>10</w:t>
    </w:r>
    <w:r>
      <w:rPr>
        <w:rStyle w:val="PageNumber"/>
      </w:rPr>
      <w:fldChar w:fldCharType="end"/>
    </w:r>
  </w:p>
  <w:p w14:paraId="07558842" w14:textId="77777777" w:rsidR="006E3241" w:rsidRDefault="006E3241" w:rsidP="002C08B2">
    <w:pPr>
      <w:ind w:right="360" w:firstLine="0"/>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B28E" w14:textId="77777777" w:rsidR="006E3241" w:rsidRDefault="006E3241" w:rsidP="001130F7">
    <w:pPr>
      <w:pStyle w:val="Header"/>
      <w:ind w:right="36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452E6"/>
    <w:multiLevelType w:val="hybridMultilevel"/>
    <w:tmpl w:val="32263000"/>
    <w:lvl w:ilvl="0" w:tplc="6582CC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81D12"/>
    <w:multiLevelType w:val="hybridMultilevel"/>
    <w:tmpl w:val="E22647FE"/>
    <w:lvl w:ilvl="0" w:tplc="6582CC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91887"/>
    <w:multiLevelType w:val="hybridMultilevel"/>
    <w:tmpl w:val="4A82E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D489E"/>
    <w:multiLevelType w:val="multilevel"/>
    <w:tmpl w:val="4EC2E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A14807"/>
    <w:multiLevelType w:val="hybridMultilevel"/>
    <w:tmpl w:val="A35EBEBE"/>
    <w:lvl w:ilvl="0" w:tplc="B02AC26E">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CE1580"/>
    <w:multiLevelType w:val="multilevel"/>
    <w:tmpl w:val="1E88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D6B639B"/>
    <w:multiLevelType w:val="hybridMultilevel"/>
    <w:tmpl w:val="87D6B01A"/>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6B6919"/>
    <w:multiLevelType w:val="hybridMultilevel"/>
    <w:tmpl w:val="87D6B01A"/>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F1696C"/>
    <w:multiLevelType w:val="hybridMultilevel"/>
    <w:tmpl w:val="981C1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5E60A9"/>
    <w:multiLevelType w:val="hybridMultilevel"/>
    <w:tmpl w:val="C44654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52C3B6B"/>
    <w:multiLevelType w:val="multilevel"/>
    <w:tmpl w:val="C44654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25EE4C09"/>
    <w:multiLevelType w:val="hybridMultilevel"/>
    <w:tmpl w:val="B71EB2C0"/>
    <w:lvl w:ilvl="0" w:tplc="A36AAAAA">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283F5F"/>
    <w:multiLevelType w:val="hybridMultilevel"/>
    <w:tmpl w:val="4650D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843DAC"/>
    <w:multiLevelType w:val="hybridMultilevel"/>
    <w:tmpl w:val="0F3A7186"/>
    <w:lvl w:ilvl="0" w:tplc="38D25688">
      <w:start w:val="1"/>
      <w:numFmt w:val="decimal"/>
      <w:lvlText w:val="(%1)"/>
      <w:lvlJc w:val="left"/>
      <w:pPr>
        <w:ind w:left="1780" w:hanging="10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143F8D"/>
    <w:multiLevelType w:val="hybridMultilevel"/>
    <w:tmpl w:val="A148F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D974E5"/>
    <w:multiLevelType w:val="hybridMultilevel"/>
    <w:tmpl w:val="C44654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2B64F05"/>
    <w:multiLevelType w:val="hybridMultilevel"/>
    <w:tmpl w:val="5CD27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EA276A"/>
    <w:multiLevelType w:val="hybridMultilevel"/>
    <w:tmpl w:val="87AE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96299D"/>
    <w:multiLevelType w:val="hybridMultilevel"/>
    <w:tmpl w:val="5EF4461A"/>
    <w:lvl w:ilvl="0" w:tplc="C7BC21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BE82900"/>
    <w:multiLevelType w:val="hybridMultilevel"/>
    <w:tmpl w:val="18F6D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A27383"/>
    <w:multiLevelType w:val="hybridMultilevel"/>
    <w:tmpl w:val="7EA02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4A2DCA"/>
    <w:multiLevelType w:val="hybridMultilevel"/>
    <w:tmpl w:val="AAD43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3BC6DA3"/>
    <w:multiLevelType w:val="hybridMultilevel"/>
    <w:tmpl w:val="600E7494"/>
    <w:lvl w:ilvl="0" w:tplc="0414F11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D8B2B4F"/>
    <w:multiLevelType w:val="multilevel"/>
    <w:tmpl w:val="5434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7705D"/>
    <w:multiLevelType w:val="hybridMultilevel"/>
    <w:tmpl w:val="87D6B01A"/>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FBB2FE9"/>
    <w:multiLevelType w:val="hybridMultilevel"/>
    <w:tmpl w:val="6B90F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4C7418"/>
    <w:multiLevelType w:val="multilevel"/>
    <w:tmpl w:val="390C0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741A11"/>
    <w:multiLevelType w:val="hybridMultilevel"/>
    <w:tmpl w:val="8A3E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17617E"/>
    <w:multiLevelType w:val="multilevel"/>
    <w:tmpl w:val="87D6B01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7D654DC9"/>
    <w:multiLevelType w:val="hybridMultilevel"/>
    <w:tmpl w:val="C44654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8"/>
  </w:num>
  <w:num w:numId="3">
    <w:abstractNumId w:val="11"/>
  </w:num>
  <w:num w:numId="4">
    <w:abstractNumId w:val="14"/>
  </w:num>
  <w:num w:numId="5">
    <w:abstractNumId w:val="8"/>
  </w:num>
  <w:num w:numId="6">
    <w:abstractNumId w:val="12"/>
  </w:num>
  <w:num w:numId="7">
    <w:abstractNumId w:val="20"/>
  </w:num>
  <w:num w:numId="8">
    <w:abstractNumId w:val="22"/>
  </w:num>
  <w:num w:numId="9">
    <w:abstractNumId w:val="29"/>
  </w:num>
  <w:num w:numId="10">
    <w:abstractNumId w:val="19"/>
  </w:num>
  <w:num w:numId="11">
    <w:abstractNumId w:val="27"/>
  </w:num>
  <w:num w:numId="12">
    <w:abstractNumId w:val="3"/>
  </w:num>
  <w:num w:numId="13">
    <w:abstractNumId w:val="23"/>
  </w:num>
  <w:num w:numId="14">
    <w:abstractNumId w:val="26"/>
  </w:num>
  <w:num w:numId="15">
    <w:abstractNumId w:val="10"/>
  </w:num>
  <w:num w:numId="16">
    <w:abstractNumId w:val="15"/>
  </w:num>
  <w:num w:numId="17">
    <w:abstractNumId w:val="2"/>
  </w:num>
  <w:num w:numId="18">
    <w:abstractNumId w:val="13"/>
  </w:num>
  <w:num w:numId="19">
    <w:abstractNumId w:val="7"/>
  </w:num>
  <w:num w:numId="20">
    <w:abstractNumId w:val="9"/>
  </w:num>
  <w:num w:numId="21">
    <w:abstractNumId w:val="4"/>
  </w:num>
  <w:num w:numId="22">
    <w:abstractNumId w:val="28"/>
  </w:num>
  <w:num w:numId="23">
    <w:abstractNumId w:val="6"/>
  </w:num>
  <w:num w:numId="24">
    <w:abstractNumId w:val="24"/>
  </w:num>
  <w:num w:numId="25">
    <w:abstractNumId w:val="0"/>
  </w:num>
  <w:num w:numId="26">
    <w:abstractNumId w:val="25"/>
  </w:num>
  <w:num w:numId="27">
    <w:abstractNumId w:val="16"/>
  </w:num>
  <w:num w:numId="28">
    <w:abstractNumId w:val="1"/>
  </w:num>
  <w:num w:numId="29">
    <w:abstractNumId w:val="17"/>
  </w:num>
  <w:num w:numId="30">
    <w:abstractNumId w:val="2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ore, Eric Jordan">
    <w15:presenceInfo w15:providerId="None" w15:userId="Moore, Eric Jord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2BA"/>
    <w:rsid w:val="00000188"/>
    <w:rsid w:val="00001BE7"/>
    <w:rsid w:val="00014A3E"/>
    <w:rsid w:val="00015375"/>
    <w:rsid w:val="000166A9"/>
    <w:rsid w:val="00016DEB"/>
    <w:rsid w:val="00021BCE"/>
    <w:rsid w:val="0002243E"/>
    <w:rsid w:val="000228F3"/>
    <w:rsid w:val="00022ED2"/>
    <w:rsid w:val="000242D1"/>
    <w:rsid w:val="000310A1"/>
    <w:rsid w:val="0003278E"/>
    <w:rsid w:val="000332FE"/>
    <w:rsid w:val="00034E56"/>
    <w:rsid w:val="000361C6"/>
    <w:rsid w:val="00040038"/>
    <w:rsid w:val="00041367"/>
    <w:rsid w:val="00041B96"/>
    <w:rsid w:val="000436D8"/>
    <w:rsid w:val="0004376B"/>
    <w:rsid w:val="00044DC3"/>
    <w:rsid w:val="00046580"/>
    <w:rsid w:val="000552B6"/>
    <w:rsid w:val="00056086"/>
    <w:rsid w:val="00057004"/>
    <w:rsid w:val="00057EFE"/>
    <w:rsid w:val="00060A9B"/>
    <w:rsid w:val="00060CC2"/>
    <w:rsid w:val="00062BA1"/>
    <w:rsid w:val="00064371"/>
    <w:rsid w:val="00064377"/>
    <w:rsid w:val="00066345"/>
    <w:rsid w:val="00070785"/>
    <w:rsid w:val="000708F3"/>
    <w:rsid w:val="00073270"/>
    <w:rsid w:val="00073C67"/>
    <w:rsid w:val="00075E59"/>
    <w:rsid w:val="00076129"/>
    <w:rsid w:val="0007643C"/>
    <w:rsid w:val="00076A95"/>
    <w:rsid w:val="0008010C"/>
    <w:rsid w:val="00080791"/>
    <w:rsid w:val="000835A4"/>
    <w:rsid w:val="00091BD7"/>
    <w:rsid w:val="00096B9D"/>
    <w:rsid w:val="00097648"/>
    <w:rsid w:val="000A0E86"/>
    <w:rsid w:val="000A22CD"/>
    <w:rsid w:val="000A3ADD"/>
    <w:rsid w:val="000A6810"/>
    <w:rsid w:val="000A75EA"/>
    <w:rsid w:val="000B140A"/>
    <w:rsid w:val="000B3B0C"/>
    <w:rsid w:val="000B4659"/>
    <w:rsid w:val="000B55B6"/>
    <w:rsid w:val="000B5C42"/>
    <w:rsid w:val="000B6501"/>
    <w:rsid w:val="000B6EB5"/>
    <w:rsid w:val="000B7AF9"/>
    <w:rsid w:val="000C0A07"/>
    <w:rsid w:val="000C1B64"/>
    <w:rsid w:val="000C1D25"/>
    <w:rsid w:val="000C24DB"/>
    <w:rsid w:val="000C2B16"/>
    <w:rsid w:val="000C377F"/>
    <w:rsid w:val="000C4083"/>
    <w:rsid w:val="000C58BC"/>
    <w:rsid w:val="000D2E05"/>
    <w:rsid w:val="000D37F6"/>
    <w:rsid w:val="000D4BA8"/>
    <w:rsid w:val="000D53F4"/>
    <w:rsid w:val="000D6E8B"/>
    <w:rsid w:val="000E182C"/>
    <w:rsid w:val="000E3311"/>
    <w:rsid w:val="000E5D10"/>
    <w:rsid w:val="000E7426"/>
    <w:rsid w:val="000E79AA"/>
    <w:rsid w:val="000F0E4A"/>
    <w:rsid w:val="000F4C24"/>
    <w:rsid w:val="000F4D0C"/>
    <w:rsid w:val="000F7BF7"/>
    <w:rsid w:val="001007F8"/>
    <w:rsid w:val="001020E5"/>
    <w:rsid w:val="0010217F"/>
    <w:rsid w:val="00103C58"/>
    <w:rsid w:val="00104F73"/>
    <w:rsid w:val="00105691"/>
    <w:rsid w:val="0010711C"/>
    <w:rsid w:val="001112D0"/>
    <w:rsid w:val="00112791"/>
    <w:rsid w:val="001130F7"/>
    <w:rsid w:val="0011683E"/>
    <w:rsid w:val="0012489E"/>
    <w:rsid w:val="00125176"/>
    <w:rsid w:val="00126D60"/>
    <w:rsid w:val="00127547"/>
    <w:rsid w:val="00127861"/>
    <w:rsid w:val="001302A6"/>
    <w:rsid w:val="00131A62"/>
    <w:rsid w:val="0013330E"/>
    <w:rsid w:val="00133B50"/>
    <w:rsid w:val="00135CD1"/>
    <w:rsid w:val="00141D7F"/>
    <w:rsid w:val="00146B18"/>
    <w:rsid w:val="00160E18"/>
    <w:rsid w:val="001636C0"/>
    <w:rsid w:val="00165708"/>
    <w:rsid w:val="00167223"/>
    <w:rsid w:val="00167478"/>
    <w:rsid w:val="001714DB"/>
    <w:rsid w:val="0017263B"/>
    <w:rsid w:val="00172D1B"/>
    <w:rsid w:val="00174799"/>
    <w:rsid w:val="00175A2B"/>
    <w:rsid w:val="001767E8"/>
    <w:rsid w:val="00180AAA"/>
    <w:rsid w:val="00183250"/>
    <w:rsid w:val="001854FB"/>
    <w:rsid w:val="0018674A"/>
    <w:rsid w:val="0018784E"/>
    <w:rsid w:val="00193642"/>
    <w:rsid w:val="00193928"/>
    <w:rsid w:val="00197EA4"/>
    <w:rsid w:val="001A04D1"/>
    <w:rsid w:val="001A1448"/>
    <w:rsid w:val="001A2C66"/>
    <w:rsid w:val="001A2CE9"/>
    <w:rsid w:val="001A39B2"/>
    <w:rsid w:val="001A4B9D"/>
    <w:rsid w:val="001A645B"/>
    <w:rsid w:val="001A66FE"/>
    <w:rsid w:val="001A6C8B"/>
    <w:rsid w:val="001B17EA"/>
    <w:rsid w:val="001B18B0"/>
    <w:rsid w:val="001B2993"/>
    <w:rsid w:val="001B2B76"/>
    <w:rsid w:val="001B45D5"/>
    <w:rsid w:val="001B6F14"/>
    <w:rsid w:val="001C0228"/>
    <w:rsid w:val="001C1F14"/>
    <w:rsid w:val="001C39F6"/>
    <w:rsid w:val="001C5390"/>
    <w:rsid w:val="001C5ABB"/>
    <w:rsid w:val="001C60AF"/>
    <w:rsid w:val="001C66FE"/>
    <w:rsid w:val="001D1527"/>
    <w:rsid w:val="001D1FC5"/>
    <w:rsid w:val="001D2145"/>
    <w:rsid w:val="001D410C"/>
    <w:rsid w:val="001D5A6C"/>
    <w:rsid w:val="001D6904"/>
    <w:rsid w:val="001D6AB5"/>
    <w:rsid w:val="001D6D43"/>
    <w:rsid w:val="001D7AED"/>
    <w:rsid w:val="001D7F4A"/>
    <w:rsid w:val="001E08BA"/>
    <w:rsid w:val="001E1AEF"/>
    <w:rsid w:val="001E1B87"/>
    <w:rsid w:val="001E2093"/>
    <w:rsid w:val="001E6C6F"/>
    <w:rsid w:val="001F1530"/>
    <w:rsid w:val="001F17D2"/>
    <w:rsid w:val="001F2657"/>
    <w:rsid w:val="001F702B"/>
    <w:rsid w:val="00202599"/>
    <w:rsid w:val="00202E2A"/>
    <w:rsid w:val="002032F7"/>
    <w:rsid w:val="0020476D"/>
    <w:rsid w:val="00204D9D"/>
    <w:rsid w:val="00205F05"/>
    <w:rsid w:val="0021113C"/>
    <w:rsid w:val="002124D7"/>
    <w:rsid w:val="002126D8"/>
    <w:rsid w:val="002157FF"/>
    <w:rsid w:val="00221AE5"/>
    <w:rsid w:val="002234EA"/>
    <w:rsid w:val="0022550C"/>
    <w:rsid w:val="002261C7"/>
    <w:rsid w:val="00235CF6"/>
    <w:rsid w:val="00236E6D"/>
    <w:rsid w:val="002402EC"/>
    <w:rsid w:val="00240AF2"/>
    <w:rsid w:val="002429E5"/>
    <w:rsid w:val="00244128"/>
    <w:rsid w:val="00244D05"/>
    <w:rsid w:val="00244EBC"/>
    <w:rsid w:val="002463DD"/>
    <w:rsid w:val="00253AD3"/>
    <w:rsid w:val="00254062"/>
    <w:rsid w:val="00255A1E"/>
    <w:rsid w:val="00260048"/>
    <w:rsid w:val="00264A03"/>
    <w:rsid w:val="00264D5D"/>
    <w:rsid w:val="002653B0"/>
    <w:rsid w:val="00265A58"/>
    <w:rsid w:val="00265E9A"/>
    <w:rsid w:val="00280CEF"/>
    <w:rsid w:val="00284BD3"/>
    <w:rsid w:val="00285849"/>
    <w:rsid w:val="002873A9"/>
    <w:rsid w:val="002874BF"/>
    <w:rsid w:val="0028757A"/>
    <w:rsid w:val="00287BA7"/>
    <w:rsid w:val="00287D98"/>
    <w:rsid w:val="002A4263"/>
    <w:rsid w:val="002A43E8"/>
    <w:rsid w:val="002A5DBD"/>
    <w:rsid w:val="002A5E74"/>
    <w:rsid w:val="002B3E75"/>
    <w:rsid w:val="002C08B2"/>
    <w:rsid w:val="002C2C6B"/>
    <w:rsid w:val="002C41E4"/>
    <w:rsid w:val="002C4672"/>
    <w:rsid w:val="002C54E0"/>
    <w:rsid w:val="002C59E8"/>
    <w:rsid w:val="002C672D"/>
    <w:rsid w:val="002D1B6E"/>
    <w:rsid w:val="002D232C"/>
    <w:rsid w:val="002D678C"/>
    <w:rsid w:val="002E09AF"/>
    <w:rsid w:val="002E0F3E"/>
    <w:rsid w:val="002E1ABC"/>
    <w:rsid w:val="002E2492"/>
    <w:rsid w:val="002E3422"/>
    <w:rsid w:val="002E36F9"/>
    <w:rsid w:val="002E39F7"/>
    <w:rsid w:val="002F1A53"/>
    <w:rsid w:val="002F1D11"/>
    <w:rsid w:val="002F1DB4"/>
    <w:rsid w:val="002F6360"/>
    <w:rsid w:val="002F7B82"/>
    <w:rsid w:val="003013CF"/>
    <w:rsid w:val="0030468B"/>
    <w:rsid w:val="00304BD0"/>
    <w:rsid w:val="003058B8"/>
    <w:rsid w:val="00305A40"/>
    <w:rsid w:val="00305B48"/>
    <w:rsid w:val="00307D77"/>
    <w:rsid w:val="0031052D"/>
    <w:rsid w:val="00313E9E"/>
    <w:rsid w:val="003150D5"/>
    <w:rsid w:val="00315371"/>
    <w:rsid w:val="0031545C"/>
    <w:rsid w:val="003158CC"/>
    <w:rsid w:val="003162F2"/>
    <w:rsid w:val="00320F78"/>
    <w:rsid w:val="00323367"/>
    <w:rsid w:val="00325E7F"/>
    <w:rsid w:val="00326A6E"/>
    <w:rsid w:val="00327BFC"/>
    <w:rsid w:val="00331124"/>
    <w:rsid w:val="00332FA2"/>
    <w:rsid w:val="003365B0"/>
    <w:rsid w:val="003445BD"/>
    <w:rsid w:val="00347BE3"/>
    <w:rsid w:val="00350B17"/>
    <w:rsid w:val="00351CFB"/>
    <w:rsid w:val="00356335"/>
    <w:rsid w:val="0035752F"/>
    <w:rsid w:val="0035768F"/>
    <w:rsid w:val="00363F54"/>
    <w:rsid w:val="00365182"/>
    <w:rsid w:val="00366169"/>
    <w:rsid w:val="003717A3"/>
    <w:rsid w:val="00371BAE"/>
    <w:rsid w:val="00373734"/>
    <w:rsid w:val="0037384D"/>
    <w:rsid w:val="00376AD9"/>
    <w:rsid w:val="00376F42"/>
    <w:rsid w:val="0038177C"/>
    <w:rsid w:val="00381C31"/>
    <w:rsid w:val="0038537B"/>
    <w:rsid w:val="00387024"/>
    <w:rsid w:val="003953AC"/>
    <w:rsid w:val="003977D8"/>
    <w:rsid w:val="00397A1B"/>
    <w:rsid w:val="00397E7D"/>
    <w:rsid w:val="003B096B"/>
    <w:rsid w:val="003B1EA2"/>
    <w:rsid w:val="003B3723"/>
    <w:rsid w:val="003B735E"/>
    <w:rsid w:val="003C08E7"/>
    <w:rsid w:val="003C121B"/>
    <w:rsid w:val="003C1575"/>
    <w:rsid w:val="003C1C64"/>
    <w:rsid w:val="003C4B39"/>
    <w:rsid w:val="003C7676"/>
    <w:rsid w:val="003C77A3"/>
    <w:rsid w:val="003D1681"/>
    <w:rsid w:val="003D25E7"/>
    <w:rsid w:val="003D356C"/>
    <w:rsid w:val="003D4C21"/>
    <w:rsid w:val="003D5275"/>
    <w:rsid w:val="003D63DF"/>
    <w:rsid w:val="003D737F"/>
    <w:rsid w:val="003E3607"/>
    <w:rsid w:val="003E63C6"/>
    <w:rsid w:val="003E7ABC"/>
    <w:rsid w:val="003E7B74"/>
    <w:rsid w:val="003F053C"/>
    <w:rsid w:val="003F310E"/>
    <w:rsid w:val="003F5BE9"/>
    <w:rsid w:val="003F66BD"/>
    <w:rsid w:val="003F7474"/>
    <w:rsid w:val="003F782E"/>
    <w:rsid w:val="00401518"/>
    <w:rsid w:val="00401AF0"/>
    <w:rsid w:val="004029CB"/>
    <w:rsid w:val="00403E13"/>
    <w:rsid w:val="00404616"/>
    <w:rsid w:val="00404E0F"/>
    <w:rsid w:val="00407B6A"/>
    <w:rsid w:val="004107D2"/>
    <w:rsid w:val="004110B3"/>
    <w:rsid w:val="00412452"/>
    <w:rsid w:val="004132D8"/>
    <w:rsid w:val="00414400"/>
    <w:rsid w:val="0041688A"/>
    <w:rsid w:val="00416C4E"/>
    <w:rsid w:val="0041701B"/>
    <w:rsid w:val="00417E6B"/>
    <w:rsid w:val="004232D8"/>
    <w:rsid w:val="00426078"/>
    <w:rsid w:val="00426118"/>
    <w:rsid w:val="00427562"/>
    <w:rsid w:val="004308DC"/>
    <w:rsid w:val="00431AF4"/>
    <w:rsid w:val="00432E87"/>
    <w:rsid w:val="004338AA"/>
    <w:rsid w:val="004360A7"/>
    <w:rsid w:val="00437ABD"/>
    <w:rsid w:val="0044196E"/>
    <w:rsid w:val="00444610"/>
    <w:rsid w:val="004448DC"/>
    <w:rsid w:val="00444D24"/>
    <w:rsid w:val="004466B3"/>
    <w:rsid w:val="004512D4"/>
    <w:rsid w:val="004537A3"/>
    <w:rsid w:val="0045612B"/>
    <w:rsid w:val="00456D5C"/>
    <w:rsid w:val="004615ED"/>
    <w:rsid w:val="004642C9"/>
    <w:rsid w:val="0046451B"/>
    <w:rsid w:val="004650D9"/>
    <w:rsid w:val="0047010F"/>
    <w:rsid w:val="004711A3"/>
    <w:rsid w:val="00474210"/>
    <w:rsid w:val="00476E8B"/>
    <w:rsid w:val="00480B96"/>
    <w:rsid w:val="0048303E"/>
    <w:rsid w:val="004831F3"/>
    <w:rsid w:val="00483DD2"/>
    <w:rsid w:val="00487C27"/>
    <w:rsid w:val="00491A49"/>
    <w:rsid w:val="00491B30"/>
    <w:rsid w:val="004920F6"/>
    <w:rsid w:val="004926E3"/>
    <w:rsid w:val="00492B06"/>
    <w:rsid w:val="00493E88"/>
    <w:rsid w:val="004964CD"/>
    <w:rsid w:val="00497900"/>
    <w:rsid w:val="004A065B"/>
    <w:rsid w:val="004A552E"/>
    <w:rsid w:val="004A5990"/>
    <w:rsid w:val="004A67E8"/>
    <w:rsid w:val="004A6AEF"/>
    <w:rsid w:val="004B36E9"/>
    <w:rsid w:val="004B3B8F"/>
    <w:rsid w:val="004B3BC2"/>
    <w:rsid w:val="004B4F1E"/>
    <w:rsid w:val="004B6A3B"/>
    <w:rsid w:val="004B6D5C"/>
    <w:rsid w:val="004B7F83"/>
    <w:rsid w:val="004C2F3A"/>
    <w:rsid w:val="004C3D65"/>
    <w:rsid w:val="004C6875"/>
    <w:rsid w:val="004D353C"/>
    <w:rsid w:val="004D3C55"/>
    <w:rsid w:val="004D6472"/>
    <w:rsid w:val="004E0CD6"/>
    <w:rsid w:val="004E3CE3"/>
    <w:rsid w:val="004E4813"/>
    <w:rsid w:val="004E511C"/>
    <w:rsid w:val="004F1172"/>
    <w:rsid w:val="004F1C3A"/>
    <w:rsid w:val="004F21C7"/>
    <w:rsid w:val="004F336C"/>
    <w:rsid w:val="004F52F4"/>
    <w:rsid w:val="004F6E4F"/>
    <w:rsid w:val="004F78D3"/>
    <w:rsid w:val="004F7C23"/>
    <w:rsid w:val="00506DEF"/>
    <w:rsid w:val="00510B67"/>
    <w:rsid w:val="005162A2"/>
    <w:rsid w:val="00517119"/>
    <w:rsid w:val="00517266"/>
    <w:rsid w:val="00521700"/>
    <w:rsid w:val="0052265F"/>
    <w:rsid w:val="005236A0"/>
    <w:rsid w:val="00524129"/>
    <w:rsid w:val="00526038"/>
    <w:rsid w:val="00527432"/>
    <w:rsid w:val="00531643"/>
    <w:rsid w:val="00534CC5"/>
    <w:rsid w:val="005352E0"/>
    <w:rsid w:val="005364FA"/>
    <w:rsid w:val="00540FB7"/>
    <w:rsid w:val="0054347A"/>
    <w:rsid w:val="00546583"/>
    <w:rsid w:val="0054746C"/>
    <w:rsid w:val="00552458"/>
    <w:rsid w:val="00552852"/>
    <w:rsid w:val="00553165"/>
    <w:rsid w:val="00553230"/>
    <w:rsid w:val="0055671C"/>
    <w:rsid w:val="005567B3"/>
    <w:rsid w:val="0056028A"/>
    <w:rsid w:val="00561D3D"/>
    <w:rsid w:val="005656FB"/>
    <w:rsid w:val="005669EA"/>
    <w:rsid w:val="005706CA"/>
    <w:rsid w:val="00570A40"/>
    <w:rsid w:val="00571557"/>
    <w:rsid w:val="00571EAC"/>
    <w:rsid w:val="00571F35"/>
    <w:rsid w:val="00572311"/>
    <w:rsid w:val="00572BE3"/>
    <w:rsid w:val="005760E7"/>
    <w:rsid w:val="00576E6E"/>
    <w:rsid w:val="005808C6"/>
    <w:rsid w:val="00581C03"/>
    <w:rsid w:val="00581D4B"/>
    <w:rsid w:val="00590AF5"/>
    <w:rsid w:val="00595C49"/>
    <w:rsid w:val="00597D3F"/>
    <w:rsid w:val="00597EF2"/>
    <w:rsid w:val="005A047F"/>
    <w:rsid w:val="005A2367"/>
    <w:rsid w:val="005A24B3"/>
    <w:rsid w:val="005A34EB"/>
    <w:rsid w:val="005A3CAB"/>
    <w:rsid w:val="005A59B3"/>
    <w:rsid w:val="005A6633"/>
    <w:rsid w:val="005A7841"/>
    <w:rsid w:val="005B20ED"/>
    <w:rsid w:val="005B2AC3"/>
    <w:rsid w:val="005B2ED7"/>
    <w:rsid w:val="005B315F"/>
    <w:rsid w:val="005B5E54"/>
    <w:rsid w:val="005B79E9"/>
    <w:rsid w:val="005C0C69"/>
    <w:rsid w:val="005C1D7E"/>
    <w:rsid w:val="005C433E"/>
    <w:rsid w:val="005C58D5"/>
    <w:rsid w:val="005C60FF"/>
    <w:rsid w:val="005D386C"/>
    <w:rsid w:val="005D764D"/>
    <w:rsid w:val="005E1A41"/>
    <w:rsid w:val="005E34E9"/>
    <w:rsid w:val="005E372A"/>
    <w:rsid w:val="005E4912"/>
    <w:rsid w:val="005E5108"/>
    <w:rsid w:val="005E5C6A"/>
    <w:rsid w:val="005E6F1F"/>
    <w:rsid w:val="005F0315"/>
    <w:rsid w:val="005F300C"/>
    <w:rsid w:val="005F4382"/>
    <w:rsid w:val="005F44D1"/>
    <w:rsid w:val="005F45DA"/>
    <w:rsid w:val="00601F1D"/>
    <w:rsid w:val="006025C8"/>
    <w:rsid w:val="00602C96"/>
    <w:rsid w:val="00602F44"/>
    <w:rsid w:val="00603128"/>
    <w:rsid w:val="00604A70"/>
    <w:rsid w:val="00605D61"/>
    <w:rsid w:val="00605DA0"/>
    <w:rsid w:val="0060641A"/>
    <w:rsid w:val="00610A11"/>
    <w:rsid w:val="00610DEF"/>
    <w:rsid w:val="006121B7"/>
    <w:rsid w:val="00612835"/>
    <w:rsid w:val="0061371C"/>
    <w:rsid w:val="00613BFF"/>
    <w:rsid w:val="00614BD6"/>
    <w:rsid w:val="00615E1A"/>
    <w:rsid w:val="00620CBF"/>
    <w:rsid w:val="00621129"/>
    <w:rsid w:val="006237DB"/>
    <w:rsid w:val="0062509A"/>
    <w:rsid w:val="00626EEA"/>
    <w:rsid w:val="006306A6"/>
    <w:rsid w:val="00633916"/>
    <w:rsid w:val="00633D94"/>
    <w:rsid w:val="00641D2B"/>
    <w:rsid w:val="006426CB"/>
    <w:rsid w:val="006432B1"/>
    <w:rsid w:val="00644FC4"/>
    <w:rsid w:val="00645101"/>
    <w:rsid w:val="00650E14"/>
    <w:rsid w:val="006514FA"/>
    <w:rsid w:val="00654236"/>
    <w:rsid w:val="006546BB"/>
    <w:rsid w:val="0065481A"/>
    <w:rsid w:val="00654A9A"/>
    <w:rsid w:val="006569C7"/>
    <w:rsid w:val="00656D6E"/>
    <w:rsid w:val="006603BA"/>
    <w:rsid w:val="006628C2"/>
    <w:rsid w:val="00662D3E"/>
    <w:rsid w:val="00665039"/>
    <w:rsid w:val="00672DDD"/>
    <w:rsid w:val="00672F38"/>
    <w:rsid w:val="006744F8"/>
    <w:rsid w:val="00674B2C"/>
    <w:rsid w:val="00676C91"/>
    <w:rsid w:val="00681664"/>
    <w:rsid w:val="0068483B"/>
    <w:rsid w:val="006855CA"/>
    <w:rsid w:val="00686343"/>
    <w:rsid w:val="00690B77"/>
    <w:rsid w:val="006922A6"/>
    <w:rsid w:val="00692F03"/>
    <w:rsid w:val="0069416D"/>
    <w:rsid w:val="006951ED"/>
    <w:rsid w:val="0069573A"/>
    <w:rsid w:val="00695D3F"/>
    <w:rsid w:val="006A2367"/>
    <w:rsid w:val="006A2493"/>
    <w:rsid w:val="006A31B8"/>
    <w:rsid w:val="006A4700"/>
    <w:rsid w:val="006B0B91"/>
    <w:rsid w:val="006B2979"/>
    <w:rsid w:val="006B2B87"/>
    <w:rsid w:val="006B3F9C"/>
    <w:rsid w:val="006B759D"/>
    <w:rsid w:val="006C2124"/>
    <w:rsid w:val="006C2B74"/>
    <w:rsid w:val="006C4000"/>
    <w:rsid w:val="006C5910"/>
    <w:rsid w:val="006C5EC2"/>
    <w:rsid w:val="006D0508"/>
    <w:rsid w:val="006D184D"/>
    <w:rsid w:val="006D44F5"/>
    <w:rsid w:val="006E087D"/>
    <w:rsid w:val="006E19F0"/>
    <w:rsid w:val="006E3241"/>
    <w:rsid w:val="006E3944"/>
    <w:rsid w:val="006E45CB"/>
    <w:rsid w:val="006E56E8"/>
    <w:rsid w:val="006E70A7"/>
    <w:rsid w:val="006F0978"/>
    <w:rsid w:val="006F0C38"/>
    <w:rsid w:val="006F1220"/>
    <w:rsid w:val="006F3167"/>
    <w:rsid w:val="006F319B"/>
    <w:rsid w:val="006F536F"/>
    <w:rsid w:val="006F5DAB"/>
    <w:rsid w:val="0070211E"/>
    <w:rsid w:val="007024DB"/>
    <w:rsid w:val="00702A3D"/>
    <w:rsid w:val="00705BA8"/>
    <w:rsid w:val="00706A1F"/>
    <w:rsid w:val="00706D09"/>
    <w:rsid w:val="00710CB3"/>
    <w:rsid w:val="007111CC"/>
    <w:rsid w:val="00711200"/>
    <w:rsid w:val="00713C14"/>
    <w:rsid w:val="00715737"/>
    <w:rsid w:val="00716E92"/>
    <w:rsid w:val="00720FBA"/>
    <w:rsid w:val="0072148D"/>
    <w:rsid w:val="00722640"/>
    <w:rsid w:val="0072397F"/>
    <w:rsid w:val="00727B14"/>
    <w:rsid w:val="00731367"/>
    <w:rsid w:val="00731922"/>
    <w:rsid w:val="00731ACB"/>
    <w:rsid w:val="00735A27"/>
    <w:rsid w:val="007368AD"/>
    <w:rsid w:val="00737A84"/>
    <w:rsid w:val="0074133D"/>
    <w:rsid w:val="00747959"/>
    <w:rsid w:val="007505E2"/>
    <w:rsid w:val="00751476"/>
    <w:rsid w:val="0075196D"/>
    <w:rsid w:val="00754D79"/>
    <w:rsid w:val="0075558C"/>
    <w:rsid w:val="00755F52"/>
    <w:rsid w:val="0075677B"/>
    <w:rsid w:val="007612D9"/>
    <w:rsid w:val="00761EFA"/>
    <w:rsid w:val="00762172"/>
    <w:rsid w:val="00764873"/>
    <w:rsid w:val="007665FA"/>
    <w:rsid w:val="00770511"/>
    <w:rsid w:val="00770B32"/>
    <w:rsid w:val="00772778"/>
    <w:rsid w:val="007729BF"/>
    <w:rsid w:val="00774E8D"/>
    <w:rsid w:val="00775EB2"/>
    <w:rsid w:val="007764EE"/>
    <w:rsid w:val="007778DD"/>
    <w:rsid w:val="00777D27"/>
    <w:rsid w:val="00781593"/>
    <w:rsid w:val="00782E88"/>
    <w:rsid w:val="007836FA"/>
    <w:rsid w:val="00783B6D"/>
    <w:rsid w:val="00784EC8"/>
    <w:rsid w:val="00785EE2"/>
    <w:rsid w:val="00790D3F"/>
    <w:rsid w:val="0079228B"/>
    <w:rsid w:val="00792574"/>
    <w:rsid w:val="00792F21"/>
    <w:rsid w:val="007930FC"/>
    <w:rsid w:val="00793764"/>
    <w:rsid w:val="00794A99"/>
    <w:rsid w:val="00796693"/>
    <w:rsid w:val="00797E7E"/>
    <w:rsid w:val="00797F5B"/>
    <w:rsid w:val="007A10AA"/>
    <w:rsid w:val="007A6340"/>
    <w:rsid w:val="007B09D0"/>
    <w:rsid w:val="007B0BDB"/>
    <w:rsid w:val="007B18D0"/>
    <w:rsid w:val="007B2C05"/>
    <w:rsid w:val="007B5C4C"/>
    <w:rsid w:val="007B5CBD"/>
    <w:rsid w:val="007B666C"/>
    <w:rsid w:val="007C2446"/>
    <w:rsid w:val="007C4926"/>
    <w:rsid w:val="007C6F0D"/>
    <w:rsid w:val="007C7591"/>
    <w:rsid w:val="007D165B"/>
    <w:rsid w:val="007D27CF"/>
    <w:rsid w:val="007D5CD5"/>
    <w:rsid w:val="007D5F3F"/>
    <w:rsid w:val="007E6838"/>
    <w:rsid w:val="007E779E"/>
    <w:rsid w:val="007F24F3"/>
    <w:rsid w:val="007F261B"/>
    <w:rsid w:val="007F4771"/>
    <w:rsid w:val="007F6AE9"/>
    <w:rsid w:val="0080095C"/>
    <w:rsid w:val="00801B09"/>
    <w:rsid w:val="00803DEB"/>
    <w:rsid w:val="00807144"/>
    <w:rsid w:val="00807506"/>
    <w:rsid w:val="008141E8"/>
    <w:rsid w:val="00814E71"/>
    <w:rsid w:val="00822CF6"/>
    <w:rsid w:val="0082381D"/>
    <w:rsid w:val="0082502A"/>
    <w:rsid w:val="00830DB9"/>
    <w:rsid w:val="0083214E"/>
    <w:rsid w:val="00832193"/>
    <w:rsid w:val="008337F1"/>
    <w:rsid w:val="00835CF3"/>
    <w:rsid w:val="008360B5"/>
    <w:rsid w:val="0083662B"/>
    <w:rsid w:val="00836F89"/>
    <w:rsid w:val="008449B1"/>
    <w:rsid w:val="00845F60"/>
    <w:rsid w:val="00846459"/>
    <w:rsid w:val="00846D4B"/>
    <w:rsid w:val="008479EB"/>
    <w:rsid w:val="00854894"/>
    <w:rsid w:val="008569C5"/>
    <w:rsid w:val="00860360"/>
    <w:rsid w:val="00861326"/>
    <w:rsid w:val="00863435"/>
    <w:rsid w:val="008663F6"/>
    <w:rsid w:val="00867D1D"/>
    <w:rsid w:val="008710F0"/>
    <w:rsid w:val="00872827"/>
    <w:rsid w:val="0087349A"/>
    <w:rsid w:val="00875215"/>
    <w:rsid w:val="00882BE6"/>
    <w:rsid w:val="008835CB"/>
    <w:rsid w:val="00883E3E"/>
    <w:rsid w:val="008842F9"/>
    <w:rsid w:val="00884F82"/>
    <w:rsid w:val="00885240"/>
    <w:rsid w:val="008857FD"/>
    <w:rsid w:val="008871EF"/>
    <w:rsid w:val="0089269E"/>
    <w:rsid w:val="00894D8C"/>
    <w:rsid w:val="00895DF4"/>
    <w:rsid w:val="00895E94"/>
    <w:rsid w:val="00897D51"/>
    <w:rsid w:val="00897D6C"/>
    <w:rsid w:val="008A0F0A"/>
    <w:rsid w:val="008A10B2"/>
    <w:rsid w:val="008A18F8"/>
    <w:rsid w:val="008A377C"/>
    <w:rsid w:val="008A7498"/>
    <w:rsid w:val="008B013B"/>
    <w:rsid w:val="008B1342"/>
    <w:rsid w:val="008B1A4D"/>
    <w:rsid w:val="008B2074"/>
    <w:rsid w:val="008B34C5"/>
    <w:rsid w:val="008B5A5E"/>
    <w:rsid w:val="008B6A25"/>
    <w:rsid w:val="008C1F99"/>
    <w:rsid w:val="008C2F52"/>
    <w:rsid w:val="008C2F5B"/>
    <w:rsid w:val="008C532E"/>
    <w:rsid w:val="008C78EE"/>
    <w:rsid w:val="008C7F5E"/>
    <w:rsid w:val="008D0ADD"/>
    <w:rsid w:val="008D1BF7"/>
    <w:rsid w:val="008D204B"/>
    <w:rsid w:val="008D589C"/>
    <w:rsid w:val="008D5FF0"/>
    <w:rsid w:val="008D666C"/>
    <w:rsid w:val="008E0FE4"/>
    <w:rsid w:val="008E1560"/>
    <w:rsid w:val="008E1A3E"/>
    <w:rsid w:val="008E273B"/>
    <w:rsid w:val="008E31A9"/>
    <w:rsid w:val="008E32A8"/>
    <w:rsid w:val="008E371C"/>
    <w:rsid w:val="008E39B2"/>
    <w:rsid w:val="008E4851"/>
    <w:rsid w:val="008E7085"/>
    <w:rsid w:val="008F0E5E"/>
    <w:rsid w:val="008F30AB"/>
    <w:rsid w:val="008F4B91"/>
    <w:rsid w:val="008F509C"/>
    <w:rsid w:val="008F5380"/>
    <w:rsid w:val="008F60C3"/>
    <w:rsid w:val="00901E11"/>
    <w:rsid w:val="00902435"/>
    <w:rsid w:val="00902FDA"/>
    <w:rsid w:val="0090650D"/>
    <w:rsid w:val="00906C7E"/>
    <w:rsid w:val="009075DF"/>
    <w:rsid w:val="00910AE4"/>
    <w:rsid w:val="009119EA"/>
    <w:rsid w:val="00911B1D"/>
    <w:rsid w:val="009127D0"/>
    <w:rsid w:val="00922F6E"/>
    <w:rsid w:val="00923A48"/>
    <w:rsid w:val="00924015"/>
    <w:rsid w:val="00925672"/>
    <w:rsid w:val="00927C46"/>
    <w:rsid w:val="0093163E"/>
    <w:rsid w:val="00931D5C"/>
    <w:rsid w:val="009338C2"/>
    <w:rsid w:val="0093590A"/>
    <w:rsid w:val="00936436"/>
    <w:rsid w:val="00940226"/>
    <w:rsid w:val="00941588"/>
    <w:rsid w:val="009428FE"/>
    <w:rsid w:val="009472B2"/>
    <w:rsid w:val="0095047C"/>
    <w:rsid w:val="009547A0"/>
    <w:rsid w:val="009600ED"/>
    <w:rsid w:val="009652A3"/>
    <w:rsid w:val="00966BAC"/>
    <w:rsid w:val="00967ABB"/>
    <w:rsid w:val="009705C5"/>
    <w:rsid w:val="0097089C"/>
    <w:rsid w:val="00972359"/>
    <w:rsid w:val="009733D6"/>
    <w:rsid w:val="00973906"/>
    <w:rsid w:val="00974491"/>
    <w:rsid w:val="00975452"/>
    <w:rsid w:val="0097563D"/>
    <w:rsid w:val="00976CED"/>
    <w:rsid w:val="009770FE"/>
    <w:rsid w:val="00981C26"/>
    <w:rsid w:val="009826B1"/>
    <w:rsid w:val="009920D7"/>
    <w:rsid w:val="00996DD1"/>
    <w:rsid w:val="00997C11"/>
    <w:rsid w:val="009A00F3"/>
    <w:rsid w:val="009A07CD"/>
    <w:rsid w:val="009A12DD"/>
    <w:rsid w:val="009A1B38"/>
    <w:rsid w:val="009A2ABE"/>
    <w:rsid w:val="009A34CF"/>
    <w:rsid w:val="009A455C"/>
    <w:rsid w:val="009A4720"/>
    <w:rsid w:val="009A670B"/>
    <w:rsid w:val="009A6A2F"/>
    <w:rsid w:val="009A72B4"/>
    <w:rsid w:val="009A767F"/>
    <w:rsid w:val="009B35BE"/>
    <w:rsid w:val="009B4541"/>
    <w:rsid w:val="009B4557"/>
    <w:rsid w:val="009B5FC1"/>
    <w:rsid w:val="009B6478"/>
    <w:rsid w:val="009C2FB8"/>
    <w:rsid w:val="009C556A"/>
    <w:rsid w:val="009C755C"/>
    <w:rsid w:val="009C780F"/>
    <w:rsid w:val="009D076C"/>
    <w:rsid w:val="009D288F"/>
    <w:rsid w:val="009D41EC"/>
    <w:rsid w:val="009D53FB"/>
    <w:rsid w:val="009D63D0"/>
    <w:rsid w:val="009D6BF0"/>
    <w:rsid w:val="009E1A69"/>
    <w:rsid w:val="009E29FC"/>
    <w:rsid w:val="009E4629"/>
    <w:rsid w:val="009E5CFE"/>
    <w:rsid w:val="009F0198"/>
    <w:rsid w:val="009F0D66"/>
    <w:rsid w:val="009F0F6E"/>
    <w:rsid w:val="009F23C3"/>
    <w:rsid w:val="009F4773"/>
    <w:rsid w:val="009F479B"/>
    <w:rsid w:val="009F6A4E"/>
    <w:rsid w:val="009F7086"/>
    <w:rsid w:val="009F7B92"/>
    <w:rsid w:val="00A00A4F"/>
    <w:rsid w:val="00A02402"/>
    <w:rsid w:val="00A06B37"/>
    <w:rsid w:val="00A07AC3"/>
    <w:rsid w:val="00A110C8"/>
    <w:rsid w:val="00A1232A"/>
    <w:rsid w:val="00A14306"/>
    <w:rsid w:val="00A16642"/>
    <w:rsid w:val="00A21F93"/>
    <w:rsid w:val="00A2379C"/>
    <w:rsid w:val="00A27059"/>
    <w:rsid w:val="00A310B7"/>
    <w:rsid w:val="00A34147"/>
    <w:rsid w:val="00A34F5F"/>
    <w:rsid w:val="00A37D94"/>
    <w:rsid w:val="00A4323B"/>
    <w:rsid w:val="00A43411"/>
    <w:rsid w:val="00A435B8"/>
    <w:rsid w:val="00A45597"/>
    <w:rsid w:val="00A46630"/>
    <w:rsid w:val="00A46A68"/>
    <w:rsid w:val="00A47AF3"/>
    <w:rsid w:val="00A50EE9"/>
    <w:rsid w:val="00A5594B"/>
    <w:rsid w:val="00A56350"/>
    <w:rsid w:val="00A572A2"/>
    <w:rsid w:val="00A6068E"/>
    <w:rsid w:val="00A6166E"/>
    <w:rsid w:val="00A635BB"/>
    <w:rsid w:val="00A637A4"/>
    <w:rsid w:val="00A6683F"/>
    <w:rsid w:val="00A672F9"/>
    <w:rsid w:val="00A71BE8"/>
    <w:rsid w:val="00A7244D"/>
    <w:rsid w:val="00A72B77"/>
    <w:rsid w:val="00A8105A"/>
    <w:rsid w:val="00A81800"/>
    <w:rsid w:val="00A81896"/>
    <w:rsid w:val="00A81FD3"/>
    <w:rsid w:val="00A82168"/>
    <w:rsid w:val="00A86F48"/>
    <w:rsid w:val="00A90B10"/>
    <w:rsid w:val="00A94CA7"/>
    <w:rsid w:val="00A9508C"/>
    <w:rsid w:val="00A97338"/>
    <w:rsid w:val="00AA1948"/>
    <w:rsid w:val="00AA40E3"/>
    <w:rsid w:val="00AA4C89"/>
    <w:rsid w:val="00AA5CF1"/>
    <w:rsid w:val="00AB0C64"/>
    <w:rsid w:val="00AB10AB"/>
    <w:rsid w:val="00AB1896"/>
    <w:rsid w:val="00AB2016"/>
    <w:rsid w:val="00AB361E"/>
    <w:rsid w:val="00AB6DAD"/>
    <w:rsid w:val="00AB751E"/>
    <w:rsid w:val="00AC046D"/>
    <w:rsid w:val="00AC1201"/>
    <w:rsid w:val="00AC12CF"/>
    <w:rsid w:val="00AC2584"/>
    <w:rsid w:val="00AC2ADD"/>
    <w:rsid w:val="00AC64C1"/>
    <w:rsid w:val="00AC694B"/>
    <w:rsid w:val="00AC707B"/>
    <w:rsid w:val="00AD0A33"/>
    <w:rsid w:val="00AD234E"/>
    <w:rsid w:val="00AD3E3D"/>
    <w:rsid w:val="00AD5196"/>
    <w:rsid w:val="00AD54AA"/>
    <w:rsid w:val="00AD78DC"/>
    <w:rsid w:val="00AE215D"/>
    <w:rsid w:val="00AE58F2"/>
    <w:rsid w:val="00AE6155"/>
    <w:rsid w:val="00AF2B55"/>
    <w:rsid w:val="00AF39F8"/>
    <w:rsid w:val="00AF55E9"/>
    <w:rsid w:val="00B02594"/>
    <w:rsid w:val="00B07524"/>
    <w:rsid w:val="00B1236C"/>
    <w:rsid w:val="00B1358A"/>
    <w:rsid w:val="00B13EA8"/>
    <w:rsid w:val="00B17964"/>
    <w:rsid w:val="00B2476C"/>
    <w:rsid w:val="00B26A26"/>
    <w:rsid w:val="00B26E04"/>
    <w:rsid w:val="00B323A5"/>
    <w:rsid w:val="00B33460"/>
    <w:rsid w:val="00B35B7C"/>
    <w:rsid w:val="00B3635F"/>
    <w:rsid w:val="00B377D6"/>
    <w:rsid w:val="00B37850"/>
    <w:rsid w:val="00B422AD"/>
    <w:rsid w:val="00B43088"/>
    <w:rsid w:val="00B46D1F"/>
    <w:rsid w:val="00B47BBB"/>
    <w:rsid w:val="00B50223"/>
    <w:rsid w:val="00B53443"/>
    <w:rsid w:val="00B53C15"/>
    <w:rsid w:val="00B546AB"/>
    <w:rsid w:val="00B554C7"/>
    <w:rsid w:val="00B602BA"/>
    <w:rsid w:val="00B607FF"/>
    <w:rsid w:val="00B65283"/>
    <w:rsid w:val="00B66290"/>
    <w:rsid w:val="00B66CC4"/>
    <w:rsid w:val="00B70B3A"/>
    <w:rsid w:val="00B72DC2"/>
    <w:rsid w:val="00B73694"/>
    <w:rsid w:val="00B81329"/>
    <w:rsid w:val="00B85A67"/>
    <w:rsid w:val="00B879C2"/>
    <w:rsid w:val="00B91A57"/>
    <w:rsid w:val="00B91B3D"/>
    <w:rsid w:val="00B91EF6"/>
    <w:rsid w:val="00B92957"/>
    <w:rsid w:val="00B94005"/>
    <w:rsid w:val="00B9491D"/>
    <w:rsid w:val="00BA186E"/>
    <w:rsid w:val="00BA1D49"/>
    <w:rsid w:val="00BA2CC0"/>
    <w:rsid w:val="00BA37D9"/>
    <w:rsid w:val="00BA48C3"/>
    <w:rsid w:val="00BA5787"/>
    <w:rsid w:val="00BA6B19"/>
    <w:rsid w:val="00BA7F53"/>
    <w:rsid w:val="00BB012F"/>
    <w:rsid w:val="00BB0C89"/>
    <w:rsid w:val="00BB2819"/>
    <w:rsid w:val="00BB3494"/>
    <w:rsid w:val="00BB39AD"/>
    <w:rsid w:val="00BB3F3A"/>
    <w:rsid w:val="00BC0D4F"/>
    <w:rsid w:val="00BC20F9"/>
    <w:rsid w:val="00BC2D72"/>
    <w:rsid w:val="00BC660E"/>
    <w:rsid w:val="00BD13B1"/>
    <w:rsid w:val="00BD2AEF"/>
    <w:rsid w:val="00BD30B0"/>
    <w:rsid w:val="00BD3522"/>
    <w:rsid w:val="00BD36A1"/>
    <w:rsid w:val="00BD43E6"/>
    <w:rsid w:val="00BD7963"/>
    <w:rsid w:val="00BE0616"/>
    <w:rsid w:val="00BE2E2E"/>
    <w:rsid w:val="00BE414D"/>
    <w:rsid w:val="00BE5433"/>
    <w:rsid w:val="00BE60D9"/>
    <w:rsid w:val="00BF340F"/>
    <w:rsid w:val="00BF45F4"/>
    <w:rsid w:val="00BF47F1"/>
    <w:rsid w:val="00BF4C77"/>
    <w:rsid w:val="00BF58B5"/>
    <w:rsid w:val="00BF5B87"/>
    <w:rsid w:val="00C00529"/>
    <w:rsid w:val="00C02DDF"/>
    <w:rsid w:val="00C033A0"/>
    <w:rsid w:val="00C05C60"/>
    <w:rsid w:val="00C06EAE"/>
    <w:rsid w:val="00C078F4"/>
    <w:rsid w:val="00C0799A"/>
    <w:rsid w:val="00C11D0D"/>
    <w:rsid w:val="00C12F6C"/>
    <w:rsid w:val="00C13582"/>
    <w:rsid w:val="00C13BB0"/>
    <w:rsid w:val="00C147FF"/>
    <w:rsid w:val="00C16A07"/>
    <w:rsid w:val="00C17955"/>
    <w:rsid w:val="00C17BFF"/>
    <w:rsid w:val="00C217E8"/>
    <w:rsid w:val="00C22149"/>
    <w:rsid w:val="00C22171"/>
    <w:rsid w:val="00C23383"/>
    <w:rsid w:val="00C2532E"/>
    <w:rsid w:val="00C272CD"/>
    <w:rsid w:val="00C311E2"/>
    <w:rsid w:val="00C32958"/>
    <w:rsid w:val="00C32C89"/>
    <w:rsid w:val="00C347AD"/>
    <w:rsid w:val="00C35512"/>
    <w:rsid w:val="00C37ECD"/>
    <w:rsid w:val="00C40772"/>
    <w:rsid w:val="00C43921"/>
    <w:rsid w:val="00C43C9C"/>
    <w:rsid w:val="00C45B46"/>
    <w:rsid w:val="00C509C3"/>
    <w:rsid w:val="00C55CDB"/>
    <w:rsid w:val="00C62C49"/>
    <w:rsid w:val="00C70EAE"/>
    <w:rsid w:val="00C71FB6"/>
    <w:rsid w:val="00C722D6"/>
    <w:rsid w:val="00C7255F"/>
    <w:rsid w:val="00C72CB1"/>
    <w:rsid w:val="00C73D85"/>
    <w:rsid w:val="00C76659"/>
    <w:rsid w:val="00C769A9"/>
    <w:rsid w:val="00C76C4E"/>
    <w:rsid w:val="00C83B65"/>
    <w:rsid w:val="00C857CE"/>
    <w:rsid w:val="00C95439"/>
    <w:rsid w:val="00C96141"/>
    <w:rsid w:val="00CA0FBA"/>
    <w:rsid w:val="00CA267B"/>
    <w:rsid w:val="00CA46A1"/>
    <w:rsid w:val="00CA59AD"/>
    <w:rsid w:val="00CA72D0"/>
    <w:rsid w:val="00CB1E5D"/>
    <w:rsid w:val="00CB2B0A"/>
    <w:rsid w:val="00CB4414"/>
    <w:rsid w:val="00CB5032"/>
    <w:rsid w:val="00CB665F"/>
    <w:rsid w:val="00CB79B9"/>
    <w:rsid w:val="00CB79DB"/>
    <w:rsid w:val="00CD12F6"/>
    <w:rsid w:val="00CD250D"/>
    <w:rsid w:val="00CD39FF"/>
    <w:rsid w:val="00CD50B5"/>
    <w:rsid w:val="00CD6697"/>
    <w:rsid w:val="00CD73A9"/>
    <w:rsid w:val="00CD75E2"/>
    <w:rsid w:val="00CE0515"/>
    <w:rsid w:val="00CE1149"/>
    <w:rsid w:val="00CE26A8"/>
    <w:rsid w:val="00CE29B7"/>
    <w:rsid w:val="00CE2ED9"/>
    <w:rsid w:val="00CE3258"/>
    <w:rsid w:val="00CE4608"/>
    <w:rsid w:val="00CE5670"/>
    <w:rsid w:val="00CF603F"/>
    <w:rsid w:val="00CF6FFA"/>
    <w:rsid w:val="00D00B11"/>
    <w:rsid w:val="00D02740"/>
    <w:rsid w:val="00D03FDE"/>
    <w:rsid w:val="00D067C3"/>
    <w:rsid w:val="00D06F12"/>
    <w:rsid w:val="00D12C7E"/>
    <w:rsid w:val="00D1424F"/>
    <w:rsid w:val="00D171CC"/>
    <w:rsid w:val="00D20A8D"/>
    <w:rsid w:val="00D21EF3"/>
    <w:rsid w:val="00D24E35"/>
    <w:rsid w:val="00D32A70"/>
    <w:rsid w:val="00D371CD"/>
    <w:rsid w:val="00D427BF"/>
    <w:rsid w:val="00D436E3"/>
    <w:rsid w:val="00D43879"/>
    <w:rsid w:val="00D46790"/>
    <w:rsid w:val="00D46B9A"/>
    <w:rsid w:val="00D47BB4"/>
    <w:rsid w:val="00D528D8"/>
    <w:rsid w:val="00D53D07"/>
    <w:rsid w:val="00D555AB"/>
    <w:rsid w:val="00D57E65"/>
    <w:rsid w:val="00D62420"/>
    <w:rsid w:val="00D6306B"/>
    <w:rsid w:val="00D65032"/>
    <w:rsid w:val="00D6661F"/>
    <w:rsid w:val="00D7137F"/>
    <w:rsid w:val="00D71487"/>
    <w:rsid w:val="00D7371E"/>
    <w:rsid w:val="00D74C28"/>
    <w:rsid w:val="00D751CF"/>
    <w:rsid w:val="00D76520"/>
    <w:rsid w:val="00D76FC2"/>
    <w:rsid w:val="00D77665"/>
    <w:rsid w:val="00D83A28"/>
    <w:rsid w:val="00D83BC4"/>
    <w:rsid w:val="00D870C6"/>
    <w:rsid w:val="00D91C27"/>
    <w:rsid w:val="00D93BAD"/>
    <w:rsid w:val="00D96C1E"/>
    <w:rsid w:val="00DA1735"/>
    <w:rsid w:val="00DA4491"/>
    <w:rsid w:val="00DA47ED"/>
    <w:rsid w:val="00DA58D9"/>
    <w:rsid w:val="00DA7D6D"/>
    <w:rsid w:val="00DB2730"/>
    <w:rsid w:val="00DB5048"/>
    <w:rsid w:val="00DB6F8D"/>
    <w:rsid w:val="00DB7A50"/>
    <w:rsid w:val="00DC2EEC"/>
    <w:rsid w:val="00DC3637"/>
    <w:rsid w:val="00DC517E"/>
    <w:rsid w:val="00DC5925"/>
    <w:rsid w:val="00DC60FA"/>
    <w:rsid w:val="00DD05DF"/>
    <w:rsid w:val="00DD0CF8"/>
    <w:rsid w:val="00DD1633"/>
    <w:rsid w:val="00DD1D02"/>
    <w:rsid w:val="00DD30EC"/>
    <w:rsid w:val="00DD4A29"/>
    <w:rsid w:val="00DD69A8"/>
    <w:rsid w:val="00DE0ED9"/>
    <w:rsid w:val="00DE23AF"/>
    <w:rsid w:val="00DE288A"/>
    <w:rsid w:val="00DE29DC"/>
    <w:rsid w:val="00DE3E34"/>
    <w:rsid w:val="00DE4C29"/>
    <w:rsid w:val="00DE58EF"/>
    <w:rsid w:val="00DE6A3D"/>
    <w:rsid w:val="00DE7A25"/>
    <w:rsid w:val="00DF7FA9"/>
    <w:rsid w:val="00E00A8E"/>
    <w:rsid w:val="00E01ABE"/>
    <w:rsid w:val="00E02685"/>
    <w:rsid w:val="00E05066"/>
    <w:rsid w:val="00E10C36"/>
    <w:rsid w:val="00E116A1"/>
    <w:rsid w:val="00E14400"/>
    <w:rsid w:val="00E14598"/>
    <w:rsid w:val="00E14A8F"/>
    <w:rsid w:val="00E1628D"/>
    <w:rsid w:val="00E17018"/>
    <w:rsid w:val="00E17598"/>
    <w:rsid w:val="00E1773A"/>
    <w:rsid w:val="00E17843"/>
    <w:rsid w:val="00E179BA"/>
    <w:rsid w:val="00E2007F"/>
    <w:rsid w:val="00E20FD1"/>
    <w:rsid w:val="00E24278"/>
    <w:rsid w:val="00E247F0"/>
    <w:rsid w:val="00E2556A"/>
    <w:rsid w:val="00E25953"/>
    <w:rsid w:val="00E2689B"/>
    <w:rsid w:val="00E27757"/>
    <w:rsid w:val="00E306CD"/>
    <w:rsid w:val="00E30B81"/>
    <w:rsid w:val="00E313F9"/>
    <w:rsid w:val="00E31802"/>
    <w:rsid w:val="00E318E9"/>
    <w:rsid w:val="00E3234A"/>
    <w:rsid w:val="00E34536"/>
    <w:rsid w:val="00E3697B"/>
    <w:rsid w:val="00E414BF"/>
    <w:rsid w:val="00E417C7"/>
    <w:rsid w:val="00E4203A"/>
    <w:rsid w:val="00E43876"/>
    <w:rsid w:val="00E50968"/>
    <w:rsid w:val="00E51DFD"/>
    <w:rsid w:val="00E5246D"/>
    <w:rsid w:val="00E55B2E"/>
    <w:rsid w:val="00E603D9"/>
    <w:rsid w:val="00E65BAF"/>
    <w:rsid w:val="00E674B2"/>
    <w:rsid w:val="00E71DD2"/>
    <w:rsid w:val="00E72E00"/>
    <w:rsid w:val="00E7511B"/>
    <w:rsid w:val="00E76A1B"/>
    <w:rsid w:val="00E805C6"/>
    <w:rsid w:val="00E81DAA"/>
    <w:rsid w:val="00E8276C"/>
    <w:rsid w:val="00E82F32"/>
    <w:rsid w:val="00E8787E"/>
    <w:rsid w:val="00E87F06"/>
    <w:rsid w:val="00E87F92"/>
    <w:rsid w:val="00E90223"/>
    <w:rsid w:val="00E92A0B"/>
    <w:rsid w:val="00E966ED"/>
    <w:rsid w:val="00EA2877"/>
    <w:rsid w:val="00EA5199"/>
    <w:rsid w:val="00EA601C"/>
    <w:rsid w:val="00EA7170"/>
    <w:rsid w:val="00EA77CC"/>
    <w:rsid w:val="00EA7E51"/>
    <w:rsid w:val="00EB01D2"/>
    <w:rsid w:val="00EB0F95"/>
    <w:rsid w:val="00EB18AB"/>
    <w:rsid w:val="00EC0876"/>
    <w:rsid w:val="00EC3DD1"/>
    <w:rsid w:val="00EC59D9"/>
    <w:rsid w:val="00EC695C"/>
    <w:rsid w:val="00ED1AD0"/>
    <w:rsid w:val="00ED3710"/>
    <w:rsid w:val="00ED4022"/>
    <w:rsid w:val="00ED45C0"/>
    <w:rsid w:val="00ED7A05"/>
    <w:rsid w:val="00ED7C20"/>
    <w:rsid w:val="00EE0121"/>
    <w:rsid w:val="00EE334C"/>
    <w:rsid w:val="00EE3D7F"/>
    <w:rsid w:val="00EE5B52"/>
    <w:rsid w:val="00EE6742"/>
    <w:rsid w:val="00EE6B8D"/>
    <w:rsid w:val="00EF04A2"/>
    <w:rsid w:val="00EF1D09"/>
    <w:rsid w:val="00EF4E42"/>
    <w:rsid w:val="00F0059C"/>
    <w:rsid w:val="00F0125B"/>
    <w:rsid w:val="00F018D3"/>
    <w:rsid w:val="00F02153"/>
    <w:rsid w:val="00F04830"/>
    <w:rsid w:val="00F13D68"/>
    <w:rsid w:val="00F13DC2"/>
    <w:rsid w:val="00F15675"/>
    <w:rsid w:val="00F21250"/>
    <w:rsid w:val="00F214E0"/>
    <w:rsid w:val="00F2398D"/>
    <w:rsid w:val="00F27D6F"/>
    <w:rsid w:val="00F31E66"/>
    <w:rsid w:val="00F322E4"/>
    <w:rsid w:val="00F32BCC"/>
    <w:rsid w:val="00F33F5E"/>
    <w:rsid w:val="00F33FCE"/>
    <w:rsid w:val="00F35D52"/>
    <w:rsid w:val="00F36BA7"/>
    <w:rsid w:val="00F371C6"/>
    <w:rsid w:val="00F47638"/>
    <w:rsid w:val="00F5087B"/>
    <w:rsid w:val="00F50EDA"/>
    <w:rsid w:val="00F54725"/>
    <w:rsid w:val="00F54C2B"/>
    <w:rsid w:val="00F54DB3"/>
    <w:rsid w:val="00F558DB"/>
    <w:rsid w:val="00F57E76"/>
    <w:rsid w:val="00F60C5D"/>
    <w:rsid w:val="00F61053"/>
    <w:rsid w:val="00F621DD"/>
    <w:rsid w:val="00F63136"/>
    <w:rsid w:val="00F634A3"/>
    <w:rsid w:val="00F64E47"/>
    <w:rsid w:val="00F667F6"/>
    <w:rsid w:val="00F710F9"/>
    <w:rsid w:val="00F711E9"/>
    <w:rsid w:val="00F7126F"/>
    <w:rsid w:val="00F73883"/>
    <w:rsid w:val="00F73908"/>
    <w:rsid w:val="00F747CF"/>
    <w:rsid w:val="00F7607F"/>
    <w:rsid w:val="00F824C5"/>
    <w:rsid w:val="00F84347"/>
    <w:rsid w:val="00F844D2"/>
    <w:rsid w:val="00F84C35"/>
    <w:rsid w:val="00F850F3"/>
    <w:rsid w:val="00F86990"/>
    <w:rsid w:val="00F87F40"/>
    <w:rsid w:val="00F90BE4"/>
    <w:rsid w:val="00F9121A"/>
    <w:rsid w:val="00F916FE"/>
    <w:rsid w:val="00F920F6"/>
    <w:rsid w:val="00F934A2"/>
    <w:rsid w:val="00F953C5"/>
    <w:rsid w:val="00F96384"/>
    <w:rsid w:val="00F979C1"/>
    <w:rsid w:val="00FA0AE4"/>
    <w:rsid w:val="00FA24B4"/>
    <w:rsid w:val="00FA293F"/>
    <w:rsid w:val="00FA2E2B"/>
    <w:rsid w:val="00FA4D6E"/>
    <w:rsid w:val="00FA5E92"/>
    <w:rsid w:val="00FA6BC7"/>
    <w:rsid w:val="00FA7D0F"/>
    <w:rsid w:val="00FB04AF"/>
    <w:rsid w:val="00FB1188"/>
    <w:rsid w:val="00FB25E9"/>
    <w:rsid w:val="00FB4672"/>
    <w:rsid w:val="00FB46A1"/>
    <w:rsid w:val="00FB4DBA"/>
    <w:rsid w:val="00FB667E"/>
    <w:rsid w:val="00FC0BD8"/>
    <w:rsid w:val="00FC72FC"/>
    <w:rsid w:val="00FD0511"/>
    <w:rsid w:val="00FD33E9"/>
    <w:rsid w:val="00FD3604"/>
    <w:rsid w:val="00FE552D"/>
    <w:rsid w:val="00FE7000"/>
    <w:rsid w:val="00FE779B"/>
    <w:rsid w:val="00FF195C"/>
    <w:rsid w:val="00FF2685"/>
    <w:rsid w:val="00FF4907"/>
    <w:rsid w:val="00FF599D"/>
    <w:rsid w:val="00FF7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20282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7384D"/>
    <w:pPr>
      <w:spacing w:line="480" w:lineRule="auto"/>
      <w:ind w:firstLine="720"/>
    </w:pPr>
  </w:style>
  <w:style w:type="paragraph" w:styleId="Heading1">
    <w:name w:val="heading 1"/>
    <w:basedOn w:val="Normal"/>
    <w:next w:val="Normal"/>
    <w:link w:val="Heading1Char"/>
    <w:autoRedefine/>
    <w:qFormat/>
    <w:rsid w:val="00B26A26"/>
    <w:pPr>
      <w:autoSpaceDE w:val="0"/>
      <w:autoSpaceDN w:val="0"/>
      <w:adjustRightInd w:val="0"/>
      <w:ind w:firstLine="0"/>
      <w:jc w:val="center"/>
      <w:outlineLvl w:val="0"/>
    </w:pPr>
    <w:rPr>
      <w:b/>
      <w:bCs/>
    </w:rPr>
  </w:style>
  <w:style w:type="paragraph" w:styleId="Heading2">
    <w:name w:val="heading 2"/>
    <w:basedOn w:val="Normal"/>
    <w:next w:val="Normal"/>
    <w:autoRedefine/>
    <w:qFormat/>
    <w:rsid w:val="00FE779B"/>
    <w:pPr>
      <w:keepNext/>
      <w:ind w:firstLine="0"/>
      <w:outlineLvl w:val="1"/>
    </w:pPr>
    <w:rPr>
      <w:b/>
      <w:bCs/>
      <w:iCs/>
      <w:noProof/>
    </w:rPr>
  </w:style>
  <w:style w:type="paragraph" w:styleId="Heading3">
    <w:name w:val="heading 3"/>
    <w:basedOn w:val="Normal"/>
    <w:next w:val="Normal"/>
    <w:autoRedefine/>
    <w:qFormat/>
    <w:rsid w:val="00FE779B"/>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uiPriority w:val="10"/>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autoRedefine/>
    <w:qFormat/>
    <w:rsid w:val="00AD3E3D"/>
    <w:pPr>
      <w:ind w:firstLine="0"/>
    </w:p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FE779B"/>
    <w:pPr>
      <w:tabs>
        <w:tab w:val="right" w:leader="dot" w:pos="8630"/>
      </w:tabs>
      <w:spacing w:before="120"/>
    </w:pPr>
    <w:rPr>
      <w:b/>
      <w:bCs/>
      <w:noProof/>
    </w:rPr>
  </w:style>
  <w:style w:type="paragraph" w:styleId="TOC2">
    <w:name w:val="toc 2"/>
    <w:basedOn w:val="Normal"/>
    <w:next w:val="Normal"/>
    <w:autoRedefine/>
    <w:uiPriority w:val="39"/>
    <w:rsid w:val="000D4BA8"/>
    <w:pPr>
      <w:ind w:left="240"/>
    </w:pPr>
    <w:rPr>
      <w:rFonts w:asciiTheme="minorHAnsi" w:hAnsiTheme="minorHAnsi"/>
      <w:b/>
      <w:bCs/>
      <w:sz w:val="22"/>
      <w:szCs w:val="22"/>
    </w:rPr>
  </w:style>
  <w:style w:type="paragraph" w:styleId="TOC3">
    <w:name w:val="toc 3"/>
    <w:basedOn w:val="Normal"/>
    <w:next w:val="Normal"/>
    <w:autoRedefine/>
    <w:uiPriority w:val="39"/>
    <w:rsid w:val="000D4BA8"/>
    <w:pPr>
      <w:ind w:left="480"/>
    </w:pPr>
    <w:rPr>
      <w:rFonts w:asciiTheme="minorHAnsi" w:hAnsiTheme="minorHAnsi"/>
      <w:sz w:val="22"/>
      <w:szCs w:val="22"/>
    </w:rPr>
  </w:style>
  <w:style w:type="paragraph" w:styleId="TOC4">
    <w:name w:val="toc 4"/>
    <w:basedOn w:val="Normal"/>
    <w:next w:val="Normal"/>
    <w:autoRedefine/>
    <w:semiHidden/>
    <w:pPr>
      <w:ind w:left="720"/>
    </w:pPr>
    <w:rPr>
      <w:rFonts w:asciiTheme="minorHAnsi" w:hAnsiTheme="minorHAnsi"/>
      <w:sz w:val="20"/>
      <w:szCs w:val="20"/>
    </w:rPr>
  </w:style>
  <w:style w:type="paragraph" w:styleId="TOC5">
    <w:name w:val="toc 5"/>
    <w:basedOn w:val="Normal"/>
    <w:next w:val="Normal"/>
    <w:autoRedefine/>
    <w:semiHidden/>
    <w:pPr>
      <w:ind w:left="960"/>
    </w:pPr>
    <w:rPr>
      <w:rFonts w:asciiTheme="minorHAnsi" w:hAnsiTheme="minorHAnsi"/>
      <w:sz w:val="20"/>
      <w:szCs w:val="20"/>
    </w:rPr>
  </w:style>
  <w:style w:type="paragraph" w:styleId="TOC6">
    <w:name w:val="toc 6"/>
    <w:basedOn w:val="Normal"/>
    <w:next w:val="Normal"/>
    <w:autoRedefine/>
    <w:semiHidden/>
    <w:pPr>
      <w:ind w:left="1200"/>
    </w:pPr>
    <w:rPr>
      <w:rFonts w:asciiTheme="minorHAnsi" w:hAnsiTheme="minorHAnsi"/>
      <w:sz w:val="20"/>
      <w:szCs w:val="20"/>
    </w:rPr>
  </w:style>
  <w:style w:type="paragraph" w:styleId="TOC7">
    <w:name w:val="toc 7"/>
    <w:basedOn w:val="Normal"/>
    <w:next w:val="Normal"/>
    <w:autoRedefine/>
    <w:semiHidden/>
    <w:pPr>
      <w:ind w:left="1440"/>
    </w:pPr>
    <w:rPr>
      <w:rFonts w:asciiTheme="minorHAnsi" w:hAnsiTheme="minorHAnsi"/>
      <w:sz w:val="20"/>
      <w:szCs w:val="20"/>
    </w:rPr>
  </w:style>
  <w:style w:type="paragraph" w:styleId="TOC8">
    <w:name w:val="toc 8"/>
    <w:basedOn w:val="Normal"/>
    <w:next w:val="Normal"/>
    <w:autoRedefine/>
    <w:semiHidden/>
    <w:pPr>
      <w:ind w:left="1680"/>
    </w:pPr>
    <w:rPr>
      <w:rFonts w:asciiTheme="minorHAnsi" w:hAnsiTheme="minorHAnsi"/>
      <w:sz w:val="20"/>
      <w:szCs w:val="20"/>
    </w:rPr>
  </w:style>
  <w:style w:type="paragraph" w:styleId="TOC9">
    <w:name w:val="toc 9"/>
    <w:basedOn w:val="Normal"/>
    <w:next w:val="Normal"/>
    <w:autoRedefine/>
    <w:semiHidden/>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B26A26"/>
    <w:rPr>
      <w:b/>
      <w:bCs/>
    </w:rPr>
  </w:style>
  <w:style w:type="paragraph" w:customStyle="1" w:styleId="headingfm1">
    <w:name w:val="heading fm1"/>
    <w:aliases w:val="hf1"/>
    <w:basedOn w:val="Heading1"/>
    <w:next w:val="Normal"/>
    <w:rsid w:val="00B602BA"/>
    <w:pPr>
      <w:keepLines/>
      <w:overflowPunct w:val="0"/>
      <w:spacing w:line="480" w:lineRule="atLeast"/>
      <w:textAlignment w:val="baseline"/>
      <w:outlineLvl w:val="9"/>
    </w:pPr>
    <w:rPr>
      <w:rFonts w:ascii="Times" w:hAnsi="Times"/>
      <w:b w:val="0"/>
      <w:bCs w:val="0"/>
      <w:sz w:val="28"/>
      <w:szCs w:val="20"/>
    </w:rPr>
  </w:style>
  <w:style w:type="character" w:styleId="CommentReference">
    <w:name w:val="annotation reference"/>
    <w:basedOn w:val="DefaultParagraphFont"/>
    <w:semiHidden/>
    <w:unhideWhenUsed/>
    <w:rsid w:val="001636C0"/>
    <w:rPr>
      <w:sz w:val="18"/>
      <w:szCs w:val="18"/>
    </w:rPr>
  </w:style>
  <w:style w:type="paragraph" w:styleId="CommentText">
    <w:name w:val="annotation text"/>
    <w:basedOn w:val="Normal"/>
    <w:link w:val="CommentTextChar"/>
    <w:semiHidden/>
    <w:unhideWhenUsed/>
    <w:rsid w:val="001636C0"/>
  </w:style>
  <w:style w:type="character" w:customStyle="1" w:styleId="CommentTextChar">
    <w:name w:val="Comment Text Char"/>
    <w:basedOn w:val="DefaultParagraphFont"/>
    <w:link w:val="CommentText"/>
    <w:semiHidden/>
    <w:rsid w:val="001636C0"/>
    <w:rPr>
      <w:sz w:val="24"/>
      <w:szCs w:val="24"/>
    </w:rPr>
  </w:style>
  <w:style w:type="paragraph" w:styleId="CommentSubject">
    <w:name w:val="annotation subject"/>
    <w:basedOn w:val="CommentText"/>
    <w:next w:val="CommentText"/>
    <w:link w:val="CommentSubjectChar"/>
    <w:semiHidden/>
    <w:unhideWhenUsed/>
    <w:rsid w:val="001636C0"/>
    <w:rPr>
      <w:b/>
      <w:bCs/>
      <w:sz w:val="20"/>
      <w:szCs w:val="20"/>
    </w:rPr>
  </w:style>
  <w:style w:type="character" w:customStyle="1" w:styleId="CommentSubjectChar">
    <w:name w:val="Comment Subject Char"/>
    <w:basedOn w:val="CommentTextChar"/>
    <w:link w:val="CommentSubject"/>
    <w:semiHidden/>
    <w:rsid w:val="001636C0"/>
    <w:rPr>
      <w:b/>
      <w:bCs/>
      <w:sz w:val="24"/>
      <w:szCs w:val="24"/>
    </w:rPr>
  </w:style>
  <w:style w:type="paragraph" w:styleId="BalloonText">
    <w:name w:val="Balloon Text"/>
    <w:basedOn w:val="Normal"/>
    <w:link w:val="BalloonTextChar"/>
    <w:semiHidden/>
    <w:unhideWhenUsed/>
    <w:rsid w:val="001636C0"/>
    <w:rPr>
      <w:rFonts w:ascii="Lucida Grande" w:hAnsi="Lucida Grande" w:cs="Lucida Grande"/>
      <w:sz w:val="18"/>
      <w:szCs w:val="18"/>
    </w:rPr>
  </w:style>
  <w:style w:type="character" w:customStyle="1" w:styleId="BalloonTextChar">
    <w:name w:val="Balloon Text Char"/>
    <w:basedOn w:val="DefaultParagraphFont"/>
    <w:link w:val="BalloonText"/>
    <w:semiHidden/>
    <w:rsid w:val="001636C0"/>
    <w:rPr>
      <w:rFonts w:ascii="Lucida Grande" w:hAnsi="Lucida Grande" w:cs="Lucida Grande"/>
      <w:sz w:val="18"/>
      <w:szCs w:val="18"/>
    </w:rPr>
  </w:style>
  <w:style w:type="paragraph" w:styleId="NoSpacing">
    <w:name w:val="No Spacing"/>
    <w:uiPriority w:val="1"/>
    <w:qFormat/>
    <w:rsid w:val="007111CC"/>
  </w:style>
  <w:style w:type="table" w:styleId="TableGrid">
    <w:name w:val="Table Grid"/>
    <w:basedOn w:val="TableNormal"/>
    <w:uiPriority w:val="59"/>
    <w:rsid w:val="008F0E5E"/>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45BD"/>
    <w:pPr>
      <w:ind w:left="720"/>
      <w:contextualSpacing/>
    </w:pPr>
  </w:style>
  <w:style w:type="paragraph" w:styleId="NormalWeb">
    <w:name w:val="Normal (Web)"/>
    <w:basedOn w:val="Normal"/>
    <w:uiPriority w:val="99"/>
    <w:unhideWhenUsed/>
    <w:rsid w:val="00FA24B4"/>
    <w:pPr>
      <w:spacing w:before="100" w:beforeAutospacing="1" w:after="100" w:afterAutospacing="1" w:line="240" w:lineRule="auto"/>
      <w:ind w:firstLine="0"/>
    </w:pPr>
    <w:rPr>
      <w:rFonts w:ascii="Times" w:hAnsi="Times"/>
      <w:sz w:val="20"/>
      <w:szCs w:val="20"/>
    </w:rPr>
  </w:style>
  <w:style w:type="paragraph" w:styleId="Bibliography">
    <w:name w:val="Bibliography"/>
    <w:basedOn w:val="Normal"/>
    <w:next w:val="Normal"/>
    <w:uiPriority w:val="37"/>
    <w:unhideWhenUsed/>
    <w:rsid w:val="00FB1188"/>
    <w:pPr>
      <w:ind w:left="720" w:hanging="720"/>
    </w:pPr>
  </w:style>
  <w:style w:type="character" w:styleId="Emphasis">
    <w:name w:val="Emphasis"/>
    <w:basedOn w:val="DefaultParagraphFont"/>
    <w:qFormat/>
    <w:rsid w:val="00613BFF"/>
    <w:rPr>
      <w:iCs/>
    </w:rPr>
  </w:style>
  <w:style w:type="paragraph" w:styleId="FootnoteText">
    <w:name w:val="footnote text"/>
    <w:basedOn w:val="Normal"/>
    <w:link w:val="FootnoteTextChar"/>
    <w:uiPriority w:val="99"/>
    <w:unhideWhenUsed/>
    <w:rsid w:val="00B47BBB"/>
    <w:pPr>
      <w:spacing w:beforeAutospacing="1" w:afterAutospacing="1" w:line="240" w:lineRule="auto"/>
      <w:contextualSpacing/>
    </w:pPr>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B47BBB"/>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B47BBB"/>
    <w:rPr>
      <w:vertAlign w:val="superscript"/>
    </w:rPr>
  </w:style>
  <w:style w:type="character" w:styleId="FollowedHyperlink">
    <w:name w:val="FollowedHyperlink"/>
    <w:basedOn w:val="DefaultParagraphFont"/>
    <w:semiHidden/>
    <w:unhideWhenUsed/>
    <w:rsid w:val="000A75EA"/>
    <w:rPr>
      <w:color w:val="800080" w:themeColor="followedHyperlink"/>
      <w:u w:val="single"/>
    </w:rPr>
  </w:style>
  <w:style w:type="paragraph" w:styleId="Revision">
    <w:name w:val="Revision"/>
    <w:hidden/>
    <w:uiPriority w:val="99"/>
    <w:semiHidden/>
    <w:rsid w:val="00CD250D"/>
  </w:style>
  <w:style w:type="character" w:customStyle="1" w:styleId="apple-converted-space">
    <w:name w:val="apple-converted-space"/>
    <w:basedOn w:val="DefaultParagraphFont"/>
    <w:rsid w:val="005F45DA"/>
  </w:style>
  <w:style w:type="character" w:customStyle="1" w:styleId="TitleChar">
    <w:name w:val="Title Char"/>
    <w:basedOn w:val="DefaultParagraphFont"/>
    <w:link w:val="Title"/>
    <w:uiPriority w:val="10"/>
    <w:rsid w:val="00D6306B"/>
    <w:rPr>
      <w:sz w:val="28"/>
      <w:szCs w:val="28"/>
    </w:rPr>
  </w:style>
  <w:style w:type="paragraph" w:styleId="TOCHeading">
    <w:name w:val="TOC Heading"/>
    <w:basedOn w:val="Heading1"/>
    <w:next w:val="Normal"/>
    <w:uiPriority w:val="39"/>
    <w:unhideWhenUsed/>
    <w:qFormat/>
    <w:rsid w:val="009733D6"/>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character" w:styleId="PlaceholderText">
    <w:name w:val="Placeholder Text"/>
    <w:basedOn w:val="DefaultParagraphFont"/>
    <w:uiPriority w:val="99"/>
    <w:semiHidden/>
    <w:rsid w:val="00C857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3780">
      <w:bodyDiv w:val="1"/>
      <w:marLeft w:val="0"/>
      <w:marRight w:val="0"/>
      <w:marTop w:val="0"/>
      <w:marBottom w:val="0"/>
      <w:divBdr>
        <w:top w:val="none" w:sz="0" w:space="0" w:color="auto"/>
        <w:left w:val="none" w:sz="0" w:space="0" w:color="auto"/>
        <w:bottom w:val="none" w:sz="0" w:space="0" w:color="auto"/>
        <w:right w:val="none" w:sz="0" w:space="0" w:color="auto"/>
      </w:divBdr>
      <w:divsChild>
        <w:div w:id="1985115875">
          <w:marLeft w:val="0"/>
          <w:marRight w:val="0"/>
          <w:marTop w:val="0"/>
          <w:marBottom w:val="0"/>
          <w:divBdr>
            <w:top w:val="none" w:sz="0" w:space="0" w:color="auto"/>
            <w:left w:val="none" w:sz="0" w:space="0" w:color="auto"/>
            <w:bottom w:val="none" w:sz="0" w:space="0" w:color="auto"/>
            <w:right w:val="none" w:sz="0" w:space="0" w:color="auto"/>
          </w:divBdr>
          <w:divsChild>
            <w:div w:id="1974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6656">
      <w:bodyDiv w:val="1"/>
      <w:marLeft w:val="0"/>
      <w:marRight w:val="0"/>
      <w:marTop w:val="0"/>
      <w:marBottom w:val="0"/>
      <w:divBdr>
        <w:top w:val="none" w:sz="0" w:space="0" w:color="auto"/>
        <w:left w:val="none" w:sz="0" w:space="0" w:color="auto"/>
        <w:bottom w:val="none" w:sz="0" w:space="0" w:color="auto"/>
        <w:right w:val="none" w:sz="0" w:space="0" w:color="auto"/>
      </w:divBdr>
      <w:divsChild>
        <w:div w:id="98108770">
          <w:marLeft w:val="0"/>
          <w:marRight w:val="0"/>
          <w:marTop w:val="0"/>
          <w:marBottom w:val="0"/>
          <w:divBdr>
            <w:top w:val="none" w:sz="0" w:space="0" w:color="auto"/>
            <w:left w:val="none" w:sz="0" w:space="0" w:color="auto"/>
            <w:bottom w:val="none" w:sz="0" w:space="0" w:color="auto"/>
            <w:right w:val="none" w:sz="0" w:space="0" w:color="auto"/>
          </w:divBdr>
          <w:divsChild>
            <w:div w:id="675116414">
              <w:marLeft w:val="0"/>
              <w:marRight w:val="0"/>
              <w:marTop w:val="0"/>
              <w:marBottom w:val="0"/>
              <w:divBdr>
                <w:top w:val="none" w:sz="0" w:space="0" w:color="auto"/>
                <w:left w:val="none" w:sz="0" w:space="0" w:color="auto"/>
                <w:bottom w:val="none" w:sz="0" w:space="0" w:color="auto"/>
                <w:right w:val="none" w:sz="0" w:space="0" w:color="auto"/>
              </w:divBdr>
              <w:divsChild>
                <w:div w:id="2902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5809">
      <w:bodyDiv w:val="1"/>
      <w:marLeft w:val="0"/>
      <w:marRight w:val="0"/>
      <w:marTop w:val="0"/>
      <w:marBottom w:val="0"/>
      <w:divBdr>
        <w:top w:val="none" w:sz="0" w:space="0" w:color="auto"/>
        <w:left w:val="none" w:sz="0" w:space="0" w:color="auto"/>
        <w:bottom w:val="none" w:sz="0" w:space="0" w:color="auto"/>
        <w:right w:val="none" w:sz="0" w:space="0" w:color="auto"/>
      </w:divBdr>
      <w:divsChild>
        <w:div w:id="754010995">
          <w:marLeft w:val="0"/>
          <w:marRight w:val="0"/>
          <w:marTop w:val="0"/>
          <w:marBottom w:val="0"/>
          <w:divBdr>
            <w:top w:val="none" w:sz="0" w:space="0" w:color="auto"/>
            <w:left w:val="none" w:sz="0" w:space="0" w:color="auto"/>
            <w:bottom w:val="none" w:sz="0" w:space="0" w:color="auto"/>
            <w:right w:val="none" w:sz="0" w:space="0" w:color="auto"/>
          </w:divBdr>
          <w:divsChild>
            <w:div w:id="1315451792">
              <w:marLeft w:val="0"/>
              <w:marRight w:val="0"/>
              <w:marTop w:val="0"/>
              <w:marBottom w:val="0"/>
              <w:divBdr>
                <w:top w:val="none" w:sz="0" w:space="0" w:color="auto"/>
                <w:left w:val="none" w:sz="0" w:space="0" w:color="auto"/>
                <w:bottom w:val="none" w:sz="0" w:space="0" w:color="auto"/>
                <w:right w:val="none" w:sz="0" w:space="0" w:color="auto"/>
              </w:divBdr>
              <w:divsChild>
                <w:div w:id="9066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176">
      <w:bodyDiv w:val="1"/>
      <w:marLeft w:val="0"/>
      <w:marRight w:val="0"/>
      <w:marTop w:val="0"/>
      <w:marBottom w:val="0"/>
      <w:divBdr>
        <w:top w:val="none" w:sz="0" w:space="0" w:color="auto"/>
        <w:left w:val="none" w:sz="0" w:space="0" w:color="auto"/>
        <w:bottom w:val="none" w:sz="0" w:space="0" w:color="auto"/>
        <w:right w:val="none" w:sz="0" w:space="0" w:color="auto"/>
      </w:divBdr>
    </w:div>
    <w:div w:id="285703542">
      <w:bodyDiv w:val="1"/>
      <w:marLeft w:val="0"/>
      <w:marRight w:val="0"/>
      <w:marTop w:val="0"/>
      <w:marBottom w:val="0"/>
      <w:divBdr>
        <w:top w:val="none" w:sz="0" w:space="0" w:color="auto"/>
        <w:left w:val="none" w:sz="0" w:space="0" w:color="auto"/>
        <w:bottom w:val="none" w:sz="0" w:space="0" w:color="auto"/>
        <w:right w:val="none" w:sz="0" w:space="0" w:color="auto"/>
      </w:divBdr>
      <w:divsChild>
        <w:div w:id="124786433">
          <w:marLeft w:val="0"/>
          <w:marRight w:val="0"/>
          <w:marTop w:val="0"/>
          <w:marBottom w:val="0"/>
          <w:divBdr>
            <w:top w:val="none" w:sz="0" w:space="0" w:color="auto"/>
            <w:left w:val="none" w:sz="0" w:space="0" w:color="auto"/>
            <w:bottom w:val="none" w:sz="0" w:space="0" w:color="auto"/>
            <w:right w:val="none" w:sz="0" w:space="0" w:color="auto"/>
          </w:divBdr>
          <w:divsChild>
            <w:div w:id="625819279">
              <w:marLeft w:val="0"/>
              <w:marRight w:val="0"/>
              <w:marTop w:val="0"/>
              <w:marBottom w:val="0"/>
              <w:divBdr>
                <w:top w:val="none" w:sz="0" w:space="0" w:color="auto"/>
                <w:left w:val="none" w:sz="0" w:space="0" w:color="auto"/>
                <w:bottom w:val="none" w:sz="0" w:space="0" w:color="auto"/>
                <w:right w:val="none" w:sz="0" w:space="0" w:color="auto"/>
              </w:divBdr>
              <w:divsChild>
                <w:div w:id="79259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97952">
      <w:bodyDiv w:val="1"/>
      <w:marLeft w:val="0"/>
      <w:marRight w:val="0"/>
      <w:marTop w:val="0"/>
      <w:marBottom w:val="0"/>
      <w:divBdr>
        <w:top w:val="none" w:sz="0" w:space="0" w:color="auto"/>
        <w:left w:val="none" w:sz="0" w:space="0" w:color="auto"/>
        <w:bottom w:val="none" w:sz="0" w:space="0" w:color="auto"/>
        <w:right w:val="none" w:sz="0" w:space="0" w:color="auto"/>
      </w:divBdr>
    </w:div>
    <w:div w:id="502472013">
      <w:bodyDiv w:val="1"/>
      <w:marLeft w:val="0"/>
      <w:marRight w:val="0"/>
      <w:marTop w:val="0"/>
      <w:marBottom w:val="0"/>
      <w:divBdr>
        <w:top w:val="none" w:sz="0" w:space="0" w:color="auto"/>
        <w:left w:val="none" w:sz="0" w:space="0" w:color="auto"/>
        <w:bottom w:val="none" w:sz="0" w:space="0" w:color="auto"/>
        <w:right w:val="none" w:sz="0" w:space="0" w:color="auto"/>
      </w:divBdr>
      <w:divsChild>
        <w:div w:id="685791485">
          <w:marLeft w:val="0"/>
          <w:marRight w:val="0"/>
          <w:marTop w:val="0"/>
          <w:marBottom w:val="0"/>
          <w:divBdr>
            <w:top w:val="none" w:sz="0" w:space="0" w:color="auto"/>
            <w:left w:val="none" w:sz="0" w:space="0" w:color="auto"/>
            <w:bottom w:val="none" w:sz="0" w:space="0" w:color="auto"/>
            <w:right w:val="none" w:sz="0" w:space="0" w:color="auto"/>
          </w:divBdr>
          <w:divsChild>
            <w:div w:id="799227159">
              <w:marLeft w:val="0"/>
              <w:marRight w:val="0"/>
              <w:marTop w:val="0"/>
              <w:marBottom w:val="0"/>
              <w:divBdr>
                <w:top w:val="none" w:sz="0" w:space="0" w:color="auto"/>
                <w:left w:val="none" w:sz="0" w:space="0" w:color="auto"/>
                <w:bottom w:val="none" w:sz="0" w:space="0" w:color="auto"/>
                <w:right w:val="none" w:sz="0" w:space="0" w:color="auto"/>
              </w:divBdr>
              <w:divsChild>
                <w:div w:id="446434162">
                  <w:marLeft w:val="0"/>
                  <w:marRight w:val="0"/>
                  <w:marTop w:val="0"/>
                  <w:marBottom w:val="0"/>
                  <w:divBdr>
                    <w:top w:val="none" w:sz="0" w:space="0" w:color="auto"/>
                    <w:left w:val="none" w:sz="0" w:space="0" w:color="auto"/>
                    <w:bottom w:val="none" w:sz="0" w:space="0" w:color="auto"/>
                    <w:right w:val="none" w:sz="0" w:space="0" w:color="auto"/>
                  </w:divBdr>
                </w:div>
              </w:divsChild>
            </w:div>
            <w:div w:id="1655646368">
              <w:marLeft w:val="0"/>
              <w:marRight w:val="0"/>
              <w:marTop w:val="0"/>
              <w:marBottom w:val="0"/>
              <w:divBdr>
                <w:top w:val="none" w:sz="0" w:space="0" w:color="auto"/>
                <w:left w:val="none" w:sz="0" w:space="0" w:color="auto"/>
                <w:bottom w:val="none" w:sz="0" w:space="0" w:color="auto"/>
                <w:right w:val="none" w:sz="0" w:space="0" w:color="auto"/>
              </w:divBdr>
              <w:divsChild>
                <w:div w:id="21297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8562">
          <w:marLeft w:val="0"/>
          <w:marRight w:val="0"/>
          <w:marTop w:val="0"/>
          <w:marBottom w:val="0"/>
          <w:divBdr>
            <w:top w:val="none" w:sz="0" w:space="0" w:color="auto"/>
            <w:left w:val="none" w:sz="0" w:space="0" w:color="auto"/>
            <w:bottom w:val="none" w:sz="0" w:space="0" w:color="auto"/>
            <w:right w:val="none" w:sz="0" w:space="0" w:color="auto"/>
          </w:divBdr>
          <w:divsChild>
            <w:div w:id="78135950">
              <w:marLeft w:val="0"/>
              <w:marRight w:val="0"/>
              <w:marTop w:val="0"/>
              <w:marBottom w:val="0"/>
              <w:divBdr>
                <w:top w:val="none" w:sz="0" w:space="0" w:color="auto"/>
                <w:left w:val="none" w:sz="0" w:space="0" w:color="auto"/>
                <w:bottom w:val="none" w:sz="0" w:space="0" w:color="auto"/>
                <w:right w:val="none" w:sz="0" w:space="0" w:color="auto"/>
              </w:divBdr>
              <w:divsChild>
                <w:div w:id="1106729480">
                  <w:marLeft w:val="0"/>
                  <w:marRight w:val="0"/>
                  <w:marTop w:val="0"/>
                  <w:marBottom w:val="0"/>
                  <w:divBdr>
                    <w:top w:val="none" w:sz="0" w:space="0" w:color="auto"/>
                    <w:left w:val="none" w:sz="0" w:space="0" w:color="auto"/>
                    <w:bottom w:val="none" w:sz="0" w:space="0" w:color="auto"/>
                    <w:right w:val="none" w:sz="0" w:space="0" w:color="auto"/>
                  </w:divBdr>
                </w:div>
              </w:divsChild>
            </w:div>
            <w:div w:id="1133524494">
              <w:marLeft w:val="0"/>
              <w:marRight w:val="0"/>
              <w:marTop w:val="0"/>
              <w:marBottom w:val="0"/>
              <w:divBdr>
                <w:top w:val="none" w:sz="0" w:space="0" w:color="auto"/>
                <w:left w:val="none" w:sz="0" w:space="0" w:color="auto"/>
                <w:bottom w:val="none" w:sz="0" w:space="0" w:color="auto"/>
                <w:right w:val="none" w:sz="0" w:space="0" w:color="auto"/>
              </w:divBdr>
              <w:divsChild>
                <w:div w:id="16109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77746">
          <w:marLeft w:val="0"/>
          <w:marRight w:val="0"/>
          <w:marTop w:val="0"/>
          <w:marBottom w:val="0"/>
          <w:divBdr>
            <w:top w:val="none" w:sz="0" w:space="0" w:color="auto"/>
            <w:left w:val="none" w:sz="0" w:space="0" w:color="auto"/>
            <w:bottom w:val="none" w:sz="0" w:space="0" w:color="auto"/>
            <w:right w:val="none" w:sz="0" w:space="0" w:color="auto"/>
          </w:divBdr>
          <w:divsChild>
            <w:div w:id="708454706">
              <w:marLeft w:val="0"/>
              <w:marRight w:val="0"/>
              <w:marTop w:val="0"/>
              <w:marBottom w:val="0"/>
              <w:divBdr>
                <w:top w:val="none" w:sz="0" w:space="0" w:color="auto"/>
                <w:left w:val="none" w:sz="0" w:space="0" w:color="auto"/>
                <w:bottom w:val="none" w:sz="0" w:space="0" w:color="auto"/>
                <w:right w:val="none" w:sz="0" w:space="0" w:color="auto"/>
              </w:divBdr>
              <w:divsChild>
                <w:div w:id="17266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48896518">
      <w:bodyDiv w:val="1"/>
      <w:marLeft w:val="0"/>
      <w:marRight w:val="0"/>
      <w:marTop w:val="0"/>
      <w:marBottom w:val="0"/>
      <w:divBdr>
        <w:top w:val="none" w:sz="0" w:space="0" w:color="auto"/>
        <w:left w:val="none" w:sz="0" w:space="0" w:color="auto"/>
        <w:bottom w:val="none" w:sz="0" w:space="0" w:color="auto"/>
        <w:right w:val="none" w:sz="0" w:space="0" w:color="auto"/>
      </w:divBdr>
      <w:divsChild>
        <w:div w:id="228880100">
          <w:marLeft w:val="0"/>
          <w:marRight w:val="0"/>
          <w:marTop w:val="0"/>
          <w:marBottom w:val="0"/>
          <w:divBdr>
            <w:top w:val="none" w:sz="0" w:space="0" w:color="auto"/>
            <w:left w:val="none" w:sz="0" w:space="0" w:color="auto"/>
            <w:bottom w:val="none" w:sz="0" w:space="0" w:color="auto"/>
            <w:right w:val="none" w:sz="0" w:space="0" w:color="auto"/>
          </w:divBdr>
          <w:divsChild>
            <w:div w:id="1786070471">
              <w:marLeft w:val="0"/>
              <w:marRight w:val="0"/>
              <w:marTop w:val="0"/>
              <w:marBottom w:val="0"/>
              <w:divBdr>
                <w:top w:val="none" w:sz="0" w:space="0" w:color="auto"/>
                <w:left w:val="none" w:sz="0" w:space="0" w:color="auto"/>
                <w:bottom w:val="none" w:sz="0" w:space="0" w:color="auto"/>
                <w:right w:val="none" w:sz="0" w:space="0" w:color="auto"/>
              </w:divBdr>
              <w:divsChild>
                <w:div w:id="41073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75571">
          <w:marLeft w:val="0"/>
          <w:marRight w:val="0"/>
          <w:marTop w:val="0"/>
          <w:marBottom w:val="0"/>
          <w:divBdr>
            <w:top w:val="none" w:sz="0" w:space="0" w:color="auto"/>
            <w:left w:val="none" w:sz="0" w:space="0" w:color="auto"/>
            <w:bottom w:val="none" w:sz="0" w:space="0" w:color="auto"/>
            <w:right w:val="none" w:sz="0" w:space="0" w:color="auto"/>
          </w:divBdr>
          <w:divsChild>
            <w:div w:id="196624876">
              <w:marLeft w:val="0"/>
              <w:marRight w:val="0"/>
              <w:marTop w:val="0"/>
              <w:marBottom w:val="0"/>
              <w:divBdr>
                <w:top w:val="none" w:sz="0" w:space="0" w:color="auto"/>
                <w:left w:val="none" w:sz="0" w:space="0" w:color="auto"/>
                <w:bottom w:val="none" w:sz="0" w:space="0" w:color="auto"/>
                <w:right w:val="none" w:sz="0" w:space="0" w:color="auto"/>
              </w:divBdr>
              <w:divsChild>
                <w:div w:id="1839887061">
                  <w:marLeft w:val="0"/>
                  <w:marRight w:val="0"/>
                  <w:marTop w:val="0"/>
                  <w:marBottom w:val="0"/>
                  <w:divBdr>
                    <w:top w:val="none" w:sz="0" w:space="0" w:color="auto"/>
                    <w:left w:val="none" w:sz="0" w:space="0" w:color="auto"/>
                    <w:bottom w:val="none" w:sz="0" w:space="0" w:color="auto"/>
                    <w:right w:val="none" w:sz="0" w:space="0" w:color="auto"/>
                  </w:divBdr>
                </w:div>
              </w:divsChild>
            </w:div>
            <w:div w:id="621888960">
              <w:marLeft w:val="0"/>
              <w:marRight w:val="0"/>
              <w:marTop w:val="0"/>
              <w:marBottom w:val="0"/>
              <w:divBdr>
                <w:top w:val="none" w:sz="0" w:space="0" w:color="auto"/>
                <w:left w:val="none" w:sz="0" w:space="0" w:color="auto"/>
                <w:bottom w:val="none" w:sz="0" w:space="0" w:color="auto"/>
                <w:right w:val="none" w:sz="0" w:space="0" w:color="auto"/>
              </w:divBdr>
              <w:divsChild>
                <w:div w:id="4144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6286">
          <w:marLeft w:val="0"/>
          <w:marRight w:val="0"/>
          <w:marTop w:val="0"/>
          <w:marBottom w:val="0"/>
          <w:divBdr>
            <w:top w:val="none" w:sz="0" w:space="0" w:color="auto"/>
            <w:left w:val="none" w:sz="0" w:space="0" w:color="auto"/>
            <w:bottom w:val="none" w:sz="0" w:space="0" w:color="auto"/>
            <w:right w:val="none" w:sz="0" w:space="0" w:color="auto"/>
          </w:divBdr>
          <w:divsChild>
            <w:div w:id="1027558637">
              <w:marLeft w:val="0"/>
              <w:marRight w:val="0"/>
              <w:marTop w:val="0"/>
              <w:marBottom w:val="0"/>
              <w:divBdr>
                <w:top w:val="none" w:sz="0" w:space="0" w:color="auto"/>
                <w:left w:val="none" w:sz="0" w:space="0" w:color="auto"/>
                <w:bottom w:val="none" w:sz="0" w:space="0" w:color="auto"/>
                <w:right w:val="none" w:sz="0" w:space="0" w:color="auto"/>
              </w:divBdr>
              <w:divsChild>
                <w:div w:id="1343314295">
                  <w:marLeft w:val="0"/>
                  <w:marRight w:val="0"/>
                  <w:marTop w:val="0"/>
                  <w:marBottom w:val="0"/>
                  <w:divBdr>
                    <w:top w:val="none" w:sz="0" w:space="0" w:color="auto"/>
                    <w:left w:val="none" w:sz="0" w:space="0" w:color="auto"/>
                    <w:bottom w:val="none" w:sz="0" w:space="0" w:color="auto"/>
                    <w:right w:val="none" w:sz="0" w:space="0" w:color="auto"/>
                  </w:divBdr>
                </w:div>
              </w:divsChild>
            </w:div>
            <w:div w:id="1348798691">
              <w:marLeft w:val="0"/>
              <w:marRight w:val="0"/>
              <w:marTop w:val="0"/>
              <w:marBottom w:val="0"/>
              <w:divBdr>
                <w:top w:val="none" w:sz="0" w:space="0" w:color="auto"/>
                <w:left w:val="none" w:sz="0" w:space="0" w:color="auto"/>
                <w:bottom w:val="none" w:sz="0" w:space="0" w:color="auto"/>
                <w:right w:val="none" w:sz="0" w:space="0" w:color="auto"/>
              </w:divBdr>
              <w:divsChild>
                <w:div w:id="484005993">
                  <w:marLeft w:val="0"/>
                  <w:marRight w:val="0"/>
                  <w:marTop w:val="0"/>
                  <w:marBottom w:val="0"/>
                  <w:divBdr>
                    <w:top w:val="none" w:sz="0" w:space="0" w:color="auto"/>
                    <w:left w:val="none" w:sz="0" w:space="0" w:color="auto"/>
                    <w:bottom w:val="none" w:sz="0" w:space="0" w:color="auto"/>
                    <w:right w:val="none" w:sz="0" w:space="0" w:color="auto"/>
                  </w:divBdr>
                </w:div>
                <w:div w:id="1333991987">
                  <w:marLeft w:val="0"/>
                  <w:marRight w:val="0"/>
                  <w:marTop w:val="0"/>
                  <w:marBottom w:val="0"/>
                  <w:divBdr>
                    <w:top w:val="none" w:sz="0" w:space="0" w:color="auto"/>
                    <w:left w:val="none" w:sz="0" w:space="0" w:color="auto"/>
                    <w:bottom w:val="none" w:sz="0" w:space="0" w:color="auto"/>
                    <w:right w:val="none" w:sz="0" w:space="0" w:color="auto"/>
                  </w:divBdr>
                </w:div>
              </w:divsChild>
            </w:div>
            <w:div w:id="2006739870">
              <w:marLeft w:val="0"/>
              <w:marRight w:val="0"/>
              <w:marTop w:val="0"/>
              <w:marBottom w:val="0"/>
              <w:divBdr>
                <w:top w:val="none" w:sz="0" w:space="0" w:color="auto"/>
                <w:left w:val="none" w:sz="0" w:space="0" w:color="auto"/>
                <w:bottom w:val="none" w:sz="0" w:space="0" w:color="auto"/>
                <w:right w:val="none" w:sz="0" w:space="0" w:color="auto"/>
              </w:divBdr>
              <w:divsChild>
                <w:div w:id="915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87965">
      <w:bodyDiv w:val="1"/>
      <w:marLeft w:val="0"/>
      <w:marRight w:val="0"/>
      <w:marTop w:val="0"/>
      <w:marBottom w:val="0"/>
      <w:divBdr>
        <w:top w:val="none" w:sz="0" w:space="0" w:color="auto"/>
        <w:left w:val="none" w:sz="0" w:space="0" w:color="auto"/>
        <w:bottom w:val="none" w:sz="0" w:space="0" w:color="auto"/>
        <w:right w:val="none" w:sz="0" w:space="0" w:color="auto"/>
      </w:divBdr>
    </w:div>
    <w:div w:id="1071081373">
      <w:bodyDiv w:val="1"/>
      <w:marLeft w:val="0"/>
      <w:marRight w:val="0"/>
      <w:marTop w:val="0"/>
      <w:marBottom w:val="0"/>
      <w:divBdr>
        <w:top w:val="none" w:sz="0" w:space="0" w:color="auto"/>
        <w:left w:val="none" w:sz="0" w:space="0" w:color="auto"/>
        <w:bottom w:val="none" w:sz="0" w:space="0" w:color="auto"/>
        <w:right w:val="none" w:sz="0" w:space="0" w:color="auto"/>
      </w:divBdr>
      <w:divsChild>
        <w:div w:id="311907476">
          <w:marLeft w:val="0"/>
          <w:marRight w:val="0"/>
          <w:marTop w:val="0"/>
          <w:marBottom w:val="0"/>
          <w:divBdr>
            <w:top w:val="none" w:sz="0" w:space="0" w:color="auto"/>
            <w:left w:val="none" w:sz="0" w:space="0" w:color="auto"/>
            <w:bottom w:val="none" w:sz="0" w:space="0" w:color="auto"/>
            <w:right w:val="none" w:sz="0" w:space="0" w:color="auto"/>
          </w:divBdr>
          <w:divsChild>
            <w:div w:id="1237057593">
              <w:marLeft w:val="0"/>
              <w:marRight w:val="0"/>
              <w:marTop w:val="0"/>
              <w:marBottom w:val="0"/>
              <w:divBdr>
                <w:top w:val="none" w:sz="0" w:space="0" w:color="auto"/>
                <w:left w:val="none" w:sz="0" w:space="0" w:color="auto"/>
                <w:bottom w:val="none" w:sz="0" w:space="0" w:color="auto"/>
                <w:right w:val="none" w:sz="0" w:space="0" w:color="auto"/>
              </w:divBdr>
              <w:divsChild>
                <w:div w:id="112893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58668">
      <w:bodyDiv w:val="1"/>
      <w:marLeft w:val="0"/>
      <w:marRight w:val="0"/>
      <w:marTop w:val="0"/>
      <w:marBottom w:val="0"/>
      <w:divBdr>
        <w:top w:val="none" w:sz="0" w:space="0" w:color="auto"/>
        <w:left w:val="none" w:sz="0" w:space="0" w:color="auto"/>
        <w:bottom w:val="none" w:sz="0" w:space="0" w:color="auto"/>
        <w:right w:val="none" w:sz="0" w:space="0" w:color="auto"/>
      </w:divBdr>
    </w:div>
    <w:div w:id="1380595601">
      <w:bodyDiv w:val="1"/>
      <w:marLeft w:val="0"/>
      <w:marRight w:val="0"/>
      <w:marTop w:val="0"/>
      <w:marBottom w:val="0"/>
      <w:divBdr>
        <w:top w:val="none" w:sz="0" w:space="0" w:color="auto"/>
        <w:left w:val="none" w:sz="0" w:space="0" w:color="auto"/>
        <w:bottom w:val="none" w:sz="0" w:space="0" w:color="auto"/>
        <w:right w:val="none" w:sz="0" w:space="0" w:color="auto"/>
      </w:divBdr>
      <w:divsChild>
        <w:div w:id="320814026">
          <w:marLeft w:val="0"/>
          <w:marRight w:val="0"/>
          <w:marTop w:val="0"/>
          <w:marBottom w:val="0"/>
          <w:divBdr>
            <w:top w:val="none" w:sz="0" w:space="0" w:color="auto"/>
            <w:left w:val="none" w:sz="0" w:space="0" w:color="auto"/>
            <w:bottom w:val="none" w:sz="0" w:space="0" w:color="auto"/>
            <w:right w:val="none" w:sz="0" w:space="0" w:color="auto"/>
          </w:divBdr>
          <w:divsChild>
            <w:div w:id="720978626">
              <w:marLeft w:val="0"/>
              <w:marRight w:val="0"/>
              <w:marTop w:val="0"/>
              <w:marBottom w:val="0"/>
              <w:divBdr>
                <w:top w:val="none" w:sz="0" w:space="0" w:color="auto"/>
                <w:left w:val="none" w:sz="0" w:space="0" w:color="auto"/>
                <w:bottom w:val="none" w:sz="0" w:space="0" w:color="auto"/>
                <w:right w:val="none" w:sz="0" w:space="0" w:color="auto"/>
              </w:divBdr>
              <w:divsChild>
                <w:div w:id="520245551">
                  <w:marLeft w:val="0"/>
                  <w:marRight w:val="0"/>
                  <w:marTop w:val="0"/>
                  <w:marBottom w:val="0"/>
                  <w:divBdr>
                    <w:top w:val="none" w:sz="0" w:space="0" w:color="auto"/>
                    <w:left w:val="none" w:sz="0" w:space="0" w:color="auto"/>
                    <w:bottom w:val="none" w:sz="0" w:space="0" w:color="auto"/>
                    <w:right w:val="none" w:sz="0" w:space="0" w:color="auto"/>
                  </w:divBdr>
                </w:div>
              </w:divsChild>
            </w:div>
            <w:div w:id="2001108431">
              <w:marLeft w:val="0"/>
              <w:marRight w:val="0"/>
              <w:marTop w:val="0"/>
              <w:marBottom w:val="0"/>
              <w:divBdr>
                <w:top w:val="none" w:sz="0" w:space="0" w:color="auto"/>
                <w:left w:val="none" w:sz="0" w:space="0" w:color="auto"/>
                <w:bottom w:val="none" w:sz="0" w:space="0" w:color="auto"/>
                <w:right w:val="none" w:sz="0" w:space="0" w:color="auto"/>
              </w:divBdr>
              <w:divsChild>
                <w:div w:id="7148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6179">
          <w:marLeft w:val="0"/>
          <w:marRight w:val="0"/>
          <w:marTop w:val="0"/>
          <w:marBottom w:val="0"/>
          <w:divBdr>
            <w:top w:val="none" w:sz="0" w:space="0" w:color="auto"/>
            <w:left w:val="none" w:sz="0" w:space="0" w:color="auto"/>
            <w:bottom w:val="none" w:sz="0" w:space="0" w:color="auto"/>
            <w:right w:val="none" w:sz="0" w:space="0" w:color="auto"/>
          </w:divBdr>
          <w:divsChild>
            <w:div w:id="287053581">
              <w:marLeft w:val="0"/>
              <w:marRight w:val="0"/>
              <w:marTop w:val="0"/>
              <w:marBottom w:val="0"/>
              <w:divBdr>
                <w:top w:val="none" w:sz="0" w:space="0" w:color="auto"/>
                <w:left w:val="none" w:sz="0" w:space="0" w:color="auto"/>
                <w:bottom w:val="none" w:sz="0" w:space="0" w:color="auto"/>
                <w:right w:val="none" w:sz="0" w:space="0" w:color="auto"/>
              </w:divBdr>
              <w:divsChild>
                <w:div w:id="15649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85445">
          <w:marLeft w:val="0"/>
          <w:marRight w:val="0"/>
          <w:marTop w:val="0"/>
          <w:marBottom w:val="0"/>
          <w:divBdr>
            <w:top w:val="none" w:sz="0" w:space="0" w:color="auto"/>
            <w:left w:val="none" w:sz="0" w:space="0" w:color="auto"/>
            <w:bottom w:val="none" w:sz="0" w:space="0" w:color="auto"/>
            <w:right w:val="none" w:sz="0" w:space="0" w:color="auto"/>
          </w:divBdr>
          <w:divsChild>
            <w:div w:id="279339455">
              <w:marLeft w:val="0"/>
              <w:marRight w:val="0"/>
              <w:marTop w:val="0"/>
              <w:marBottom w:val="0"/>
              <w:divBdr>
                <w:top w:val="none" w:sz="0" w:space="0" w:color="auto"/>
                <w:left w:val="none" w:sz="0" w:space="0" w:color="auto"/>
                <w:bottom w:val="none" w:sz="0" w:space="0" w:color="auto"/>
                <w:right w:val="none" w:sz="0" w:space="0" w:color="auto"/>
              </w:divBdr>
              <w:divsChild>
                <w:div w:id="846099341">
                  <w:marLeft w:val="0"/>
                  <w:marRight w:val="0"/>
                  <w:marTop w:val="0"/>
                  <w:marBottom w:val="0"/>
                  <w:divBdr>
                    <w:top w:val="none" w:sz="0" w:space="0" w:color="auto"/>
                    <w:left w:val="none" w:sz="0" w:space="0" w:color="auto"/>
                    <w:bottom w:val="none" w:sz="0" w:space="0" w:color="auto"/>
                    <w:right w:val="none" w:sz="0" w:space="0" w:color="auto"/>
                  </w:divBdr>
                </w:div>
              </w:divsChild>
            </w:div>
            <w:div w:id="1736780494">
              <w:marLeft w:val="0"/>
              <w:marRight w:val="0"/>
              <w:marTop w:val="0"/>
              <w:marBottom w:val="0"/>
              <w:divBdr>
                <w:top w:val="none" w:sz="0" w:space="0" w:color="auto"/>
                <w:left w:val="none" w:sz="0" w:space="0" w:color="auto"/>
                <w:bottom w:val="none" w:sz="0" w:space="0" w:color="auto"/>
                <w:right w:val="none" w:sz="0" w:space="0" w:color="auto"/>
              </w:divBdr>
              <w:divsChild>
                <w:div w:id="12372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1352">
      <w:bodyDiv w:val="1"/>
      <w:marLeft w:val="0"/>
      <w:marRight w:val="0"/>
      <w:marTop w:val="0"/>
      <w:marBottom w:val="0"/>
      <w:divBdr>
        <w:top w:val="none" w:sz="0" w:space="0" w:color="auto"/>
        <w:left w:val="none" w:sz="0" w:space="0" w:color="auto"/>
        <w:bottom w:val="none" w:sz="0" w:space="0" w:color="auto"/>
        <w:right w:val="none" w:sz="0" w:space="0" w:color="auto"/>
      </w:divBdr>
    </w:div>
    <w:div w:id="1772895856">
      <w:bodyDiv w:val="1"/>
      <w:marLeft w:val="0"/>
      <w:marRight w:val="0"/>
      <w:marTop w:val="0"/>
      <w:marBottom w:val="0"/>
      <w:divBdr>
        <w:top w:val="none" w:sz="0" w:space="0" w:color="auto"/>
        <w:left w:val="none" w:sz="0" w:space="0" w:color="auto"/>
        <w:bottom w:val="none" w:sz="0" w:space="0" w:color="auto"/>
        <w:right w:val="none" w:sz="0" w:space="0" w:color="auto"/>
      </w:divBdr>
      <w:divsChild>
        <w:div w:id="380634456">
          <w:marLeft w:val="0"/>
          <w:marRight w:val="0"/>
          <w:marTop w:val="0"/>
          <w:marBottom w:val="0"/>
          <w:divBdr>
            <w:top w:val="none" w:sz="0" w:space="0" w:color="auto"/>
            <w:left w:val="none" w:sz="0" w:space="0" w:color="auto"/>
            <w:bottom w:val="none" w:sz="0" w:space="0" w:color="auto"/>
            <w:right w:val="none" w:sz="0" w:space="0" w:color="auto"/>
          </w:divBdr>
          <w:divsChild>
            <w:div w:id="347680655">
              <w:marLeft w:val="0"/>
              <w:marRight w:val="0"/>
              <w:marTop w:val="0"/>
              <w:marBottom w:val="0"/>
              <w:divBdr>
                <w:top w:val="none" w:sz="0" w:space="0" w:color="auto"/>
                <w:left w:val="none" w:sz="0" w:space="0" w:color="auto"/>
                <w:bottom w:val="none" w:sz="0" w:space="0" w:color="auto"/>
                <w:right w:val="none" w:sz="0" w:space="0" w:color="auto"/>
              </w:divBdr>
              <w:divsChild>
                <w:div w:id="1477650772">
                  <w:marLeft w:val="0"/>
                  <w:marRight w:val="0"/>
                  <w:marTop w:val="0"/>
                  <w:marBottom w:val="0"/>
                  <w:divBdr>
                    <w:top w:val="none" w:sz="0" w:space="0" w:color="auto"/>
                    <w:left w:val="none" w:sz="0" w:space="0" w:color="auto"/>
                    <w:bottom w:val="none" w:sz="0" w:space="0" w:color="auto"/>
                    <w:right w:val="none" w:sz="0" w:space="0" w:color="auto"/>
                  </w:divBdr>
                </w:div>
              </w:divsChild>
            </w:div>
            <w:div w:id="464200744">
              <w:marLeft w:val="0"/>
              <w:marRight w:val="0"/>
              <w:marTop w:val="0"/>
              <w:marBottom w:val="0"/>
              <w:divBdr>
                <w:top w:val="none" w:sz="0" w:space="0" w:color="auto"/>
                <w:left w:val="none" w:sz="0" w:space="0" w:color="auto"/>
                <w:bottom w:val="none" w:sz="0" w:space="0" w:color="auto"/>
                <w:right w:val="none" w:sz="0" w:space="0" w:color="auto"/>
              </w:divBdr>
              <w:divsChild>
                <w:div w:id="2183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97911">
          <w:marLeft w:val="0"/>
          <w:marRight w:val="0"/>
          <w:marTop w:val="0"/>
          <w:marBottom w:val="0"/>
          <w:divBdr>
            <w:top w:val="none" w:sz="0" w:space="0" w:color="auto"/>
            <w:left w:val="none" w:sz="0" w:space="0" w:color="auto"/>
            <w:bottom w:val="none" w:sz="0" w:space="0" w:color="auto"/>
            <w:right w:val="none" w:sz="0" w:space="0" w:color="auto"/>
          </w:divBdr>
          <w:divsChild>
            <w:div w:id="1436556663">
              <w:marLeft w:val="0"/>
              <w:marRight w:val="0"/>
              <w:marTop w:val="0"/>
              <w:marBottom w:val="0"/>
              <w:divBdr>
                <w:top w:val="none" w:sz="0" w:space="0" w:color="auto"/>
                <w:left w:val="none" w:sz="0" w:space="0" w:color="auto"/>
                <w:bottom w:val="none" w:sz="0" w:space="0" w:color="auto"/>
                <w:right w:val="none" w:sz="0" w:space="0" w:color="auto"/>
              </w:divBdr>
              <w:divsChild>
                <w:div w:id="234317156">
                  <w:marLeft w:val="0"/>
                  <w:marRight w:val="0"/>
                  <w:marTop w:val="0"/>
                  <w:marBottom w:val="0"/>
                  <w:divBdr>
                    <w:top w:val="none" w:sz="0" w:space="0" w:color="auto"/>
                    <w:left w:val="none" w:sz="0" w:space="0" w:color="auto"/>
                    <w:bottom w:val="none" w:sz="0" w:space="0" w:color="auto"/>
                    <w:right w:val="none" w:sz="0" w:space="0" w:color="auto"/>
                  </w:divBdr>
                </w:div>
              </w:divsChild>
            </w:div>
            <w:div w:id="1970940301">
              <w:marLeft w:val="0"/>
              <w:marRight w:val="0"/>
              <w:marTop w:val="0"/>
              <w:marBottom w:val="0"/>
              <w:divBdr>
                <w:top w:val="none" w:sz="0" w:space="0" w:color="auto"/>
                <w:left w:val="none" w:sz="0" w:space="0" w:color="auto"/>
                <w:bottom w:val="none" w:sz="0" w:space="0" w:color="auto"/>
                <w:right w:val="none" w:sz="0" w:space="0" w:color="auto"/>
              </w:divBdr>
              <w:divsChild>
                <w:div w:id="3031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037">
          <w:marLeft w:val="0"/>
          <w:marRight w:val="0"/>
          <w:marTop w:val="0"/>
          <w:marBottom w:val="0"/>
          <w:divBdr>
            <w:top w:val="none" w:sz="0" w:space="0" w:color="auto"/>
            <w:left w:val="none" w:sz="0" w:space="0" w:color="auto"/>
            <w:bottom w:val="none" w:sz="0" w:space="0" w:color="auto"/>
            <w:right w:val="none" w:sz="0" w:space="0" w:color="auto"/>
          </w:divBdr>
          <w:divsChild>
            <w:div w:id="973290843">
              <w:marLeft w:val="0"/>
              <w:marRight w:val="0"/>
              <w:marTop w:val="0"/>
              <w:marBottom w:val="0"/>
              <w:divBdr>
                <w:top w:val="none" w:sz="0" w:space="0" w:color="auto"/>
                <w:left w:val="none" w:sz="0" w:space="0" w:color="auto"/>
                <w:bottom w:val="none" w:sz="0" w:space="0" w:color="auto"/>
                <w:right w:val="none" w:sz="0" w:space="0" w:color="auto"/>
              </w:divBdr>
              <w:divsChild>
                <w:div w:id="123785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10467">
      <w:bodyDiv w:val="1"/>
      <w:marLeft w:val="0"/>
      <w:marRight w:val="0"/>
      <w:marTop w:val="0"/>
      <w:marBottom w:val="0"/>
      <w:divBdr>
        <w:top w:val="none" w:sz="0" w:space="0" w:color="auto"/>
        <w:left w:val="none" w:sz="0" w:space="0" w:color="auto"/>
        <w:bottom w:val="none" w:sz="0" w:space="0" w:color="auto"/>
        <w:right w:val="none" w:sz="0" w:space="0" w:color="auto"/>
      </w:divBdr>
    </w:div>
    <w:div w:id="1909683450">
      <w:bodyDiv w:val="1"/>
      <w:marLeft w:val="0"/>
      <w:marRight w:val="0"/>
      <w:marTop w:val="0"/>
      <w:marBottom w:val="0"/>
      <w:divBdr>
        <w:top w:val="none" w:sz="0" w:space="0" w:color="auto"/>
        <w:left w:val="none" w:sz="0" w:space="0" w:color="auto"/>
        <w:bottom w:val="none" w:sz="0" w:space="0" w:color="auto"/>
        <w:right w:val="none" w:sz="0" w:space="0" w:color="auto"/>
      </w:divBdr>
      <w:divsChild>
        <w:div w:id="942104317">
          <w:marLeft w:val="0"/>
          <w:marRight w:val="0"/>
          <w:marTop w:val="0"/>
          <w:marBottom w:val="0"/>
          <w:divBdr>
            <w:top w:val="none" w:sz="0" w:space="0" w:color="auto"/>
            <w:left w:val="none" w:sz="0" w:space="0" w:color="auto"/>
            <w:bottom w:val="none" w:sz="0" w:space="0" w:color="auto"/>
            <w:right w:val="none" w:sz="0" w:space="0" w:color="auto"/>
          </w:divBdr>
          <w:divsChild>
            <w:div w:id="532502516">
              <w:marLeft w:val="0"/>
              <w:marRight w:val="0"/>
              <w:marTop w:val="0"/>
              <w:marBottom w:val="0"/>
              <w:divBdr>
                <w:top w:val="none" w:sz="0" w:space="0" w:color="auto"/>
                <w:left w:val="none" w:sz="0" w:space="0" w:color="auto"/>
                <w:bottom w:val="none" w:sz="0" w:space="0" w:color="auto"/>
                <w:right w:val="none" w:sz="0" w:space="0" w:color="auto"/>
              </w:divBdr>
              <w:divsChild>
                <w:div w:id="174350157">
                  <w:marLeft w:val="0"/>
                  <w:marRight w:val="0"/>
                  <w:marTop w:val="0"/>
                  <w:marBottom w:val="0"/>
                  <w:divBdr>
                    <w:top w:val="none" w:sz="0" w:space="0" w:color="auto"/>
                    <w:left w:val="none" w:sz="0" w:space="0" w:color="auto"/>
                    <w:bottom w:val="none" w:sz="0" w:space="0" w:color="auto"/>
                    <w:right w:val="none" w:sz="0" w:space="0" w:color="auto"/>
                  </w:divBdr>
                </w:div>
              </w:divsChild>
            </w:div>
            <w:div w:id="660354123">
              <w:marLeft w:val="0"/>
              <w:marRight w:val="0"/>
              <w:marTop w:val="0"/>
              <w:marBottom w:val="0"/>
              <w:divBdr>
                <w:top w:val="none" w:sz="0" w:space="0" w:color="auto"/>
                <w:left w:val="none" w:sz="0" w:space="0" w:color="auto"/>
                <w:bottom w:val="none" w:sz="0" w:space="0" w:color="auto"/>
                <w:right w:val="none" w:sz="0" w:space="0" w:color="auto"/>
              </w:divBdr>
              <w:divsChild>
                <w:div w:id="1055785585">
                  <w:marLeft w:val="0"/>
                  <w:marRight w:val="0"/>
                  <w:marTop w:val="0"/>
                  <w:marBottom w:val="0"/>
                  <w:divBdr>
                    <w:top w:val="none" w:sz="0" w:space="0" w:color="auto"/>
                    <w:left w:val="none" w:sz="0" w:space="0" w:color="auto"/>
                    <w:bottom w:val="none" w:sz="0" w:space="0" w:color="auto"/>
                    <w:right w:val="none" w:sz="0" w:space="0" w:color="auto"/>
                  </w:divBdr>
                </w:div>
              </w:divsChild>
            </w:div>
            <w:div w:id="766850050">
              <w:marLeft w:val="0"/>
              <w:marRight w:val="0"/>
              <w:marTop w:val="0"/>
              <w:marBottom w:val="0"/>
              <w:divBdr>
                <w:top w:val="none" w:sz="0" w:space="0" w:color="auto"/>
                <w:left w:val="none" w:sz="0" w:space="0" w:color="auto"/>
                <w:bottom w:val="none" w:sz="0" w:space="0" w:color="auto"/>
                <w:right w:val="none" w:sz="0" w:space="0" w:color="auto"/>
              </w:divBdr>
              <w:divsChild>
                <w:div w:id="2046245700">
                  <w:marLeft w:val="0"/>
                  <w:marRight w:val="0"/>
                  <w:marTop w:val="0"/>
                  <w:marBottom w:val="0"/>
                  <w:divBdr>
                    <w:top w:val="none" w:sz="0" w:space="0" w:color="auto"/>
                    <w:left w:val="none" w:sz="0" w:space="0" w:color="auto"/>
                    <w:bottom w:val="none" w:sz="0" w:space="0" w:color="auto"/>
                    <w:right w:val="none" w:sz="0" w:space="0" w:color="auto"/>
                  </w:divBdr>
                </w:div>
              </w:divsChild>
            </w:div>
            <w:div w:id="1233811264">
              <w:marLeft w:val="0"/>
              <w:marRight w:val="0"/>
              <w:marTop w:val="0"/>
              <w:marBottom w:val="0"/>
              <w:divBdr>
                <w:top w:val="none" w:sz="0" w:space="0" w:color="auto"/>
                <w:left w:val="none" w:sz="0" w:space="0" w:color="auto"/>
                <w:bottom w:val="none" w:sz="0" w:space="0" w:color="auto"/>
                <w:right w:val="none" w:sz="0" w:space="0" w:color="auto"/>
              </w:divBdr>
              <w:divsChild>
                <w:div w:id="660742712">
                  <w:marLeft w:val="0"/>
                  <w:marRight w:val="0"/>
                  <w:marTop w:val="0"/>
                  <w:marBottom w:val="0"/>
                  <w:divBdr>
                    <w:top w:val="none" w:sz="0" w:space="0" w:color="auto"/>
                    <w:left w:val="none" w:sz="0" w:space="0" w:color="auto"/>
                    <w:bottom w:val="none" w:sz="0" w:space="0" w:color="auto"/>
                    <w:right w:val="none" w:sz="0" w:space="0" w:color="auto"/>
                  </w:divBdr>
                </w:div>
              </w:divsChild>
            </w:div>
            <w:div w:id="1255700069">
              <w:marLeft w:val="0"/>
              <w:marRight w:val="0"/>
              <w:marTop w:val="0"/>
              <w:marBottom w:val="0"/>
              <w:divBdr>
                <w:top w:val="none" w:sz="0" w:space="0" w:color="auto"/>
                <w:left w:val="none" w:sz="0" w:space="0" w:color="auto"/>
                <w:bottom w:val="none" w:sz="0" w:space="0" w:color="auto"/>
                <w:right w:val="none" w:sz="0" w:space="0" w:color="auto"/>
              </w:divBdr>
              <w:divsChild>
                <w:div w:id="13844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51694">
          <w:marLeft w:val="0"/>
          <w:marRight w:val="0"/>
          <w:marTop w:val="0"/>
          <w:marBottom w:val="0"/>
          <w:divBdr>
            <w:top w:val="none" w:sz="0" w:space="0" w:color="auto"/>
            <w:left w:val="none" w:sz="0" w:space="0" w:color="auto"/>
            <w:bottom w:val="none" w:sz="0" w:space="0" w:color="auto"/>
            <w:right w:val="none" w:sz="0" w:space="0" w:color="auto"/>
          </w:divBdr>
          <w:divsChild>
            <w:div w:id="164126745">
              <w:marLeft w:val="0"/>
              <w:marRight w:val="0"/>
              <w:marTop w:val="0"/>
              <w:marBottom w:val="0"/>
              <w:divBdr>
                <w:top w:val="none" w:sz="0" w:space="0" w:color="auto"/>
                <w:left w:val="none" w:sz="0" w:space="0" w:color="auto"/>
                <w:bottom w:val="none" w:sz="0" w:space="0" w:color="auto"/>
                <w:right w:val="none" w:sz="0" w:space="0" w:color="auto"/>
              </w:divBdr>
              <w:divsChild>
                <w:div w:id="1325742955">
                  <w:marLeft w:val="0"/>
                  <w:marRight w:val="0"/>
                  <w:marTop w:val="0"/>
                  <w:marBottom w:val="0"/>
                  <w:divBdr>
                    <w:top w:val="none" w:sz="0" w:space="0" w:color="auto"/>
                    <w:left w:val="none" w:sz="0" w:space="0" w:color="auto"/>
                    <w:bottom w:val="none" w:sz="0" w:space="0" w:color="auto"/>
                    <w:right w:val="none" w:sz="0" w:space="0" w:color="auto"/>
                  </w:divBdr>
                </w:div>
              </w:divsChild>
            </w:div>
            <w:div w:id="1408959577">
              <w:marLeft w:val="0"/>
              <w:marRight w:val="0"/>
              <w:marTop w:val="0"/>
              <w:marBottom w:val="0"/>
              <w:divBdr>
                <w:top w:val="none" w:sz="0" w:space="0" w:color="auto"/>
                <w:left w:val="none" w:sz="0" w:space="0" w:color="auto"/>
                <w:bottom w:val="none" w:sz="0" w:space="0" w:color="auto"/>
                <w:right w:val="none" w:sz="0" w:space="0" w:color="auto"/>
              </w:divBdr>
              <w:divsChild>
                <w:div w:id="14726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95458">
          <w:marLeft w:val="0"/>
          <w:marRight w:val="0"/>
          <w:marTop w:val="0"/>
          <w:marBottom w:val="0"/>
          <w:divBdr>
            <w:top w:val="none" w:sz="0" w:space="0" w:color="auto"/>
            <w:left w:val="none" w:sz="0" w:space="0" w:color="auto"/>
            <w:bottom w:val="none" w:sz="0" w:space="0" w:color="auto"/>
            <w:right w:val="none" w:sz="0" w:space="0" w:color="auto"/>
          </w:divBdr>
          <w:divsChild>
            <w:div w:id="1309896371">
              <w:marLeft w:val="0"/>
              <w:marRight w:val="0"/>
              <w:marTop w:val="0"/>
              <w:marBottom w:val="0"/>
              <w:divBdr>
                <w:top w:val="none" w:sz="0" w:space="0" w:color="auto"/>
                <w:left w:val="none" w:sz="0" w:space="0" w:color="auto"/>
                <w:bottom w:val="none" w:sz="0" w:space="0" w:color="auto"/>
                <w:right w:val="none" w:sz="0" w:space="0" w:color="auto"/>
              </w:divBdr>
              <w:divsChild>
                <w:div w:id="9613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4336">
      <w:bodyDiv w:val="1"/>
      <w:marLeft w:val="0"/>
      <w:marRight w:val="0"/>
      <w:marTop w:val="0"/>
      <w:marBottom w:val="0"/>
      <w:divBdr>
        <w:top w:val="none" w:sz="0" w:space="0" w:color="auto"/>
        <w:left w:val="none" w:sz="0" w:space="0" w:color="auto"/>
        <w:bottom w:val="none" w:sz="0" w:space="0" w:color="auto"/>
        <w:right w:val="none" w:sz="0" w:space="0" w:color="auto"/>
      </w:divBdr>
      <w:divsChild>
        <w:div w:id="1093933568">
          <w:marLeft w:val="0"/>
          <w:marRight w:val="0"/>
          <w:marTop w:val="0"/>
          <w:marBottom w:val="0"/>
          <w:divBdr>
            <w:top w:val="none" w:sz="0" w:space="0" w:color="auto"/>
            <w:left w:val="none" w:sz="0" w:space="0" w:color="auto"/>
            <w:bottom w:val="none" w:sz="0" w:space="0" w:color="auto"/>
            <w:right w:val="none" w:sz="0" w:space="0" w:color="auto"/>
          </w:divBdr>
          <w:divsChild>
            <w:div w:id="1973243504">
              <w:marLeft w:val="0"/>
              <w:marRight w:val="0"/>
              <w:marTop w:val="0"/>
              <w:marBottom w:val="0"/>
              <w:divBdr>
                <w:top w:val="none" w:sz="0" w:space="0" w:color="auto"/>
                <w:left w:val="none" w:sz="0" w:space="0" w:color="auto"/>
                <w:bottom w:val="none" w:sz="0" w:space="0" w:color="auto"/>
                <w:right w:val="none" w:sz="0" w:space="0" w:color="auto"/>
              </w:divBdr>
              <w:divsChild>
                <w:div w:id="8325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5341">
          <w:marLeft w:val="0"/>
          <w:marRight w:val="0"/>
          <w:marTop w:val="0"/>
          <w:marBottom w:val="0"/>
          <w:divBdr>
            <w:top w:val="none" w:sz="0" w:space="0" w:color="auto"/>
            <w:left w:val="none" w:sz="0" w:space="0" w:color="auto"/>
            <w:bottom w:val="none" w:sz="0" w:space="0" w:color="auto"/>
            <w:right w:val="none" w:sz="0" w:space="0" w:color="auto"/>
          </w:divBdr>
          <w:divsChild>
            <w:div w:id="1780104012">
              <w:marLeft w:val="0"/>
              <w:marRight w:val="0"/>
              <w:marTop w:val="0"/>
              <w:marBottom w:val="0"/>
              <w:divBdr>
                <w:top w:val="none" w:sz="0" w:space="0" w:color="auto"/>
                <w:left w:val="none" w:sz="0" w:space="0" w:color="auto"/>
                <w:bottom w:val="none" w:sz="0" w:space="0" w:color="auto"/>
                <w:right w:val="none" w:sz="0" w:space="0" w:color="auto"/>
              </w:divBdr>
              <w:divsChild>
                <w:div w:id="688140564">
                  <w:marLeft w:val="0"/>
                  <w:marRight w:val="0"/>
                  <w:marTop w:val="0"/>
                  <w:marBottom w:val="0"/>
                  <w:divBdr>
                    <w:top w:val="none" w:sz="0" w:space="0" w:color="auto"/>
                    <w:left w:val="none" w:sz="0" w:space="0" w:color="auto"/>
                    <w:bottom w:val="none" w:sz="0" w:space="0" w:color="auto"/>
                    <w:right w:val="none" w:sz="0" w:space="0" w:color="auto"/>
                  </w:divBdr>
                </w:div>
              </w:divsChild>
            </w:div>
            <w:div w:id="2090811644">
              <w:marLeft w:val="0"/>
              <w:marRight w:val="0"/>
              <w:marTop w:val="0"/>
              <w:marBottom w:val="0"/>
              <w:divBdr>
                <w:top w:val="none" w:sz="0" w:space="0" w:color="auto"/>
                <w:left w:val="none" w:sz="0" w:space="0" w:color="auto"/>
                <w:bottom w:val="none" w:sz="0" w:space="0" w:color="auto"/>
                <w:right w:val="none" w:sz="0" w:space="0" w:color="auto"/>
              </w:divBdr>
              <w:divsChild>
                <w:div w:id="14467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16623">
      <w:bodyDiv w:val="1"/>
      <w:marLeft w:val="0"/>
      <w:marRight w:val="0"/>
      <w:marTop w:val="0"/>
      <w:marBottom w:val="0"/>
      <w:divBdr>
        <w:top w:val="none" w:sz="0" w:space="0" w:color="auto"/>
        <w:left w:val="none" w:sz="0" w:space="0" w:color="auto"/>
        <w:bottom w:val="none" w:sz="0" w:space="0" w:color="auto"/>
        <w:right w:val="none" w:sz="0" w:space="0" w:color="auto"/>
      </w:divBdr>
    </w:div>
    <w:div w:id="2055156745">
      <w:bodyDiv w:val="1"/>
      <w:marLeft w:val="0"/>
      <w:marRight w:val="0"/>
      <w:marTop w:val="0"/>
      <w:marBottom w:val="0"/>
      <w:divBdr>
        <w:top w:val="none" w:sz="0" w:space="0" w:color="auto"/>
        <w:left w:val="none" w:sz="0" w:space="0" w:color="auto"/>
        <w:bottom w:val="none" w:sz="0" w:space="0" w:color="auto"/>
        <w:right w:val="none" w:sz="0" w:space="0" w:color="auto"/>
      </w:divBdr>
    </w:div>
    <w:div w:id="2071030017">
      <w:bodyDiv w:val="1"/>
      <w:marLeft w:val="0"/>
      <w:marRight w:val="0"/>
      <w:marTop w:val="0"/>
      <w:marBottom w:val="0"/>
      <w:divBdr>
        <w:top w:val="none" w:sz="0" w:space="0" w:color="auto"/>
        <w:left w:val="none" w:sz="0" w:space="0" w:color="auto"/>
        <w:bottom w:val="none" w:sz="0" w:space="0" w:color="auto"/>
        <w:right w:val="none" w:sz="0" w:space="0" w:color="auto"/>
      </w:divBdr>
      <w:divsChild>
        <w:div w:id="918754332">
          <w:marLeft w:val="0"/>
          <w:marRight w:val="0"/>
          <w:marTop w:val="0"/>
          <w:marBottom w:val="0"/>
          <w:divBdr>
            <w:top w:val="none" w:sz="0" w:space="0" w:color="auto"/>
            <w:left w:val="none" w:sz="0" w:space="0" w:color="auto"/>
            <w:bottom w:val="none" w:sz="0" w:space="0" w:color="auto"/>
            <w:right w:val="none" w:sz="0" w:space="0" w:color="auto"/>
          </w:divBdr>
          <w:divsChild>
            <w:div w:id="20191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hyperlink" Target="http://iris.peabody.vanderbilt.edu/module/udl/cr_assess/" TargetMode="External"/><Relationship Id="rId21" Type="http://schemas.openxmlformats.org/officeDocument/2006/relationships/comments" Target="comments.xml"/><Relationship Id="rId22" Type="http://schemas.microsoft.com/office/2011/relationships/commentsExtended" Target="commentsExtended.xml"/><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image" Target="media/image8.tiff"/><Relationship Id="rId28" Type="http://schemas.openxmlformats.org/officeDocument/2006/relationships/image" Target="media/image9.tiff"/><Relationship Id="rId29" Type="http://schemas.openxmlformats.org/officeDocument/2006/relationships/image" Target="media/image10.png"/><Relationship Id="rId30" Type="http://schemas.openxmlformats.org/officeDocument/2006/relationships/fontTable" Target="fontTable.xml"/><Relationship Id="rId31" Type="http://schemas.microsoft.com/office/2011/relationships/people" Target="people.xml"/><Relationship Id="rId3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3.xml"/><Relationship Id="rId12" Type="http://schemas.openxmlformats.org/officeDocument/2006/relationships/diagramData" Target="diagrams/data1.xml"/><Relationship Id="rId13" Type="http://schemas.openxmlformats.org/officeDocument/2006/relationships/diagramLayout" Target="diagrams/layout1.xml"/><Relationship Id="rId14" Type="http://schemas.openxmlformats.org/officeDocument/2006/relationships/diagramQuickStyle" Target="diagrams/quickStyle1.xml"/><Relationship Id="rId15" Type="http://schemas.openxmlformats.org/officeDocument/2006/relationships/diagramColors" Target="diagrams/colors1.xml"/><Relationship Id="rId16" Type="http://schemas.microsoft.com/office/2007/relationships/diagramDrawing" Target="diagrams/drawing1.xml"/><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image" Target="media/image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11EB1-FD44-FD4A-B468-4C536ED65C55}" type="doc">
      <dgm:prSet loTypeId="urn:microsoft.com/office/officeart/2005/8/layout/chevron1" loCatId="" qsTypeId="urn:microsoft.com/office/officeart/2005/8/quickstyle/simple1" qsCatId="simple" csTypeId="urn:microsoft.com/office/officeart/2005/8/colors/colorful2" csCatId="colorful" phldr="1"/>
      <dgm:spPr/>
    </dgm:pt>
    <dgm:pt modelId="{B6041FA8-DCC9-944F-99AB-006403170DD0}">
      <dgm:prSet phldrT="[Text]"/>
      <dgm:spPr/>
      <dgm:t>
        <a:bodyPr/>
        <a:lstStyle/>
        <a:p>
          <a:r>
            <a:rPr lang="en-US"/>
            <a:t>Growth in Physical Access (1960s-1990s)</a:t>
          </a:r>
        </a:p>
      </dgm:t>
    </dgm:pt>
    <dgm:pt modelId="{B23AF429-71C0-A24E-A94C-038FFE49C237}" type="parTrans" cxnId="{622FAA08-062E-0644-BA46-FF491871D6BA}">
      <dgm:prSet/>
      <dgm:spPr/>
      <dgm:t>
        <a:bodyPr/>
        <a:lstStyle/>
        <a:p>
          <a:endParaRPr lang="en-US"/>
        </a:p>
      </dgm:t>
    </dgm:pt>
    <dgm:pt modelId="{45D5D029-BCD4-AA4B-A7DE-76E81C10B64E}" type="sibTrans" cxnId="{622FAA08-062E-0644-BA46-FF491871D6BA}">
      <dgm:prSet/>
      <dgm:spPr/>
      <dgm:t>
        <a:bodyPr/>
        <a:lstStyle/>
        <a:p>
          <a:endParaRPr lang="en-US"/>
        </a:p>
      </dgm:t>
    </dgm:pt>
    <dgm:pt modelId="{C34FF3D1-982C-3245-B444-25454CDE5E44}">
      <dgm:prSet phldrT="[Text]"/>
      <dgm:spPr/>
      <dgm:t>
        <a:bodyPr/>
        <a:lstStyle/>
        <a:p>
          <a:r>
            <a:rPr lang="en-US"/>
            <a:t>Growth in Content Access (1990s-2000s)</a:t>
          </a:r>
        </a:p>
      </dgm:t>
    </dgm:pt>
    <dgm:pt modelId="{2861A8A7-D53B-2940-869D-311625730BBD}" type="parTrans" cxnId="{2F03FC8D-9844-2B43-8B1A-932F28CA24E9}">
      <dgm:prSet/>
      <dgm:spPr/>
      <dgm:t>
        <a:bodyPr/>
        <a:lstStyle/>
        <a:p>
          <a:endParaRPr lang="en-US"/>
        </a:p>
      </dgm:t>
    </dgm:pt>
    <dgm:pt modelId="{4B3601A2-70BA-5645-A5B0-C6240A4A54B9}" type="sibTrans" cxnId="{2F03FC8D-9844-2B43-8B1A-932F28CA24E9}">
      <dgm:prSet/>
      <dgm:spPr/>
      <dgm:t>
        <a:bodyPr/>
        <a:lstStyle/>
        <a:p>
          <a:endParaRPr lang="en-US"/>
        </a:p>
      </dgm:t>
    </dgm:pt>
    <dgm:pt modelId="{8C5771FA-8FF4-C344-BF33-C5D7CE052E96}">
      <dgm:prSet phldrT="[Text]"/>
      <dgm:spPr/>
      <dgm:t>
        <a:bodyPr/>
        <a:lstStyle/>
        <a:p>
          <a:r>
            <a:rPr lang="en-US"/>
            <a:t>Growth in Learning Access (Ongoing Call)</a:t>
          </a:r>
        </a:p>
      </dgm:t>
    </dgm:pt>
    <dgm:pt modelId="{F09AA462-0F5C-F64B-A550-09237E81545E}" type="parTrans" cxnId="{C47BC951-3B43-2749-BD4A-F93F35EDBAC6}">
      <dgm:prSet/>
      <dgm:spPr/>
      <dgm:t>
        <a:bodyPr/>
        <a:lstStyle/>
        <a:p>
          <a:endParaRPr lang="en-US"/>
        </a:p>
      </dgm:t>
    </dgm:pt>
    <dgm:pt modelId="{D5DB4B86-8778-BE41-9616-722AE604EE34}" type="sibTrans" cxnId="{C47BC951-3B43-2749-BD4A-F93F35EDBAC6}">
      <dgm:prSet/>
      <dgm:spPr/>
      <dgm:t>
        <a:bodyPr/>
        <a:lstStyle/>
        <a:p>
          <a:endParaRPr lang="en-US"/>
        </a:p>
      </dgm:t>
    </dgm:pt>
    <dgm:pt modelId="{AD7F9CC2-7E8E-814E-B6F7-1FDBA3F3B774}" type="pres">
      <dgm:prSet presAssocID="{26D11EB1-FD44-FD4A-B468-4C536ED65C55}" presName="Name0" presStyleCnt="0">
        <dgm:presLayoutVars>
          <dgm:dir/>
          <dgm:animLvl val="lvl"/>
          <dgm:resizeHandles val="exact"/>
        </dgm:presLayoutVars>
      </dgm:prSet>
      <dgm:spPr/>
    </dgm:pt>
    <dgm:pt modelId="{17CCBA12-E49A-9E48-B181-C3742FB90245}" type="pres">
      <dgm:prSet presAssocID="{B6041FA8-DCC9-944F-99AB-006403170DD0}" presName="parTxOnly" presStyleLbl="node1" presStyleIdx="0" presStyleCnt="3">
        <dgm:presLayoutVars>
          <dgm:chMax val="0"/>
          <dgm:chPref val="0"/>
          <dgm:bulletEnabled val="1"/>
        </dgm:presLayoutVars>
      </dgm:prSet>
      <dgm:spPr/>
      <dgm:t>
        <a:bodyPr/>
        <a:lstStyle/>
        <a:p>
          <a:endParaRPr lang="en-US"/>
        </a:p>
      </dgm:t>
    </dgm:pt>
    <dgm:pt modelId="{86F40B8D-E81F-C14B-AF02-437CA336A5E4}" type="pres">
      <dgm:prSet presAssocID="{45D5D029-BCD4-AA4B-A7DE-76E81C10B64E}" presName="parTxOnlySpace" presStyleCnt="0"/>
      <dgm:spPr/>
    </dgm:pt>
    <dgm:pt modelId="{30EBD8EA-FB23-0849-9D64-D2C7D5084FEE}" type="pres">
      <dgm:prSet presAssocID="{C34FF3D1-982C-3245-B444-25454CDE5E44}" presName="parTxOnly" presStyleLbl="node1" presStyleIdx="1" presStyleCnt="3">
        <dgm:presLayoutVars>
          <dgm:chMax val="0"/>
          <dgm:chPref val="0"/>
          <dgm:bulletEnabled val="1"/>
        </dgm:presLayoutVars>
      </dgm:prSet>
      <dgm:spPr/>
      <dgm:t>
        <a:bodyPr/>
        <a:lstStyle/>
        <a:p>
          <a:endParaRPr lang="en-US"/>
        </a:p>
      </dgm:t>
    </dgm:pt>
    <dgm:pt modelId="{4365F4FB-F012-5B40-86CC-E9898EC13CE4}" type="pres">
      <dgm:prSet presAssocID="{4B3601A2-70BA-5645-A5B0-C6240A4A54B9}" presName="parTxOnlySpace" presStyleCnt="0"/>
      <dgm:spPr/>
    </dgm:pt>
    <dgm:pt modelId="{B813ECF6-E7F7-EF43-9713-AE1480E0A3CC}" type="pres">
      <dgm:prSet presAssocID="{8C5771FA-8FF4-C344-BF33-C5D7CE052E96}" presName="parTxOnly" presStyleLbl="node1" presStyleIdx="2" presStyleCnt="3">
        <dgm:presLayoutVars>
          <dgm:chMax val="0"/>
          <dgm:chPref val="0"/>
          <dgm:bulletEnabled val="1"/>
        </dgm:presLayoutVars>
      </dgm:prSet>
      <dgm:spPr/>
      <dgm:t>
        <a:bodyPr/>
        <a:lstStyle/>
        <a:p>
          <a:endParaRPr lang="en-US"/>
        </a:p>
      </dgm:t>
    </dgm:pt>
  </dgm:ptLst>
  <dgm:cxnLst>
    <dgm:cxn modelId="{622FAA08-062E-0644-BA46-FF491871D6BA}" srcId="{26D11EB1-FD44-FD4A-B468-4C536ED65C55}" destId="{B6041FA8-DCC9-944F-99AB-006403170DD0}" srcOrd="0" destOrd="0" parTransId="{B23AF429-71C0-A24E-A94C-038FFE49C237}" sibTransId="{45D5D029-BCD4-AA4B-A7DE-76E81C10B64E}"/>
    <dgm:cxn modelId="{703BC82B-2563-6742-B68A-514F57E1610C}" type="presOf" srcId="{C34FF3D1-982C-3245-B444-25454CDE5E44}" destId="{30EBD8EA-FB23-0849-9D64-D2C7D5084FEE}" srcOrd="0" destOrd="0" presId="urn:microsoft.com/office/officeart/2005/8/layout/chevron1"/>
    <dgm:cxn modelId="{C47BC951-3B43-2749-BD4A-F93F35EDBAC6}" srcId="{26D11EB1-FD44-FD4A-B468-4C536ED65C55}" destId="{8C5771FA-8FF4-C344-BF33-C5D7CE052E96}" srcOrd="2" destOrd="0" parTransId="{F09AA462-0F5C-F64B-A550-09237E81545E}" sibTransId="{D5DB4B86-8778-BE41-9616-722AE604EE34}"/>
    <dgm:cxn modelId="{17B00342-4667-ED4F-A106-603B7C70C9DC}" type="presOf" srcId="{26D11EB1-FD44-FD4A-B468-4C536ED65C55}" destId="{AD7F9CC2-7E8E-814E-B6F7-1FDBA3F3B774}" srcOrd="0" destOrd="0" presId="urn:microsoft.com/office/officeart/2005/8/layout/chevron1"/>
    <dgm:cxn modelId="{2F03FC8D-9844-2B43-8B1A-932F28CA24E9}" srcId="{26D11EB1-FD44-FD4A-B468-4C536ED65C55}" destId="{C34FF3D1-982C-3245-B444-25454CDE5E44}" srcOrd="1" destOrd="0" parTransId="{2861A8A7-D53B-2940-869D-311625730BBD}" sibTransId="{4B3601A2-70BA-5645-A5B0-C6240A4A54B9}"/>
    <dgm:cxn modelId="{482D48F4-95E8-0C4E-A69D-59F8FBF514FB}" type="presOf" srcId="{8C5771FA-8FF4-C344-BF33-C5D7CE052E96}" destId="{B813ECF6-E7F7-EF43-9713-AE1480E0A3CC}" srcOrd="0" destOrd="0" presId="urn:microsoft.com/office/officeart/2005/8/layout/chevron1"/>
    <dgm:cxn modelId="{9B56E7D8-7D26-5243-A9B1-1AF82588E598}" type="presOf" srcId="{B6041FA8-DCC9-944F-99AB-006403170DD0}" destId="{17CCBA12-E49A-9E48-B181-C3742FB90245}" srcOrd="0" destOrd="0" presId="urn:microsoft.com/office/officeart/2005/8/layout/chevron1"/>
    <dgm:cxn modelId="{7441097A-4DC5-5C48-9D87-8953C4DC2B6B}" type="presParOf" srcId="{AD7F9CC2-7E8E-814E-B6F7-1FDBA3F3B774}" destId="{17CCBA12-E49A-9E48-B181-C3742FB90245}" srcOrd="0" destOrd="0" presId="urn:microsoft.com/office/officeart/2005/8/layout/chevron1"/>
    <dgm:cxn modelId="{53993B18-899B-F147-B3A9-1BDBF4DB1034}" type="presParOf" srcId="{AD7F9CC2-7E8E-814E-B6F7-1FDBA3F3B774}" destId="{86F40B8D-E81F-C14B-AF02-437CA336A5E4}" srcOrd="1" destOrd="0" presId="urn:microsoft.com/office/officeart/2005/8/layout/chevron1"/>
    <dgm:cxn modelId="{3BA55B91-25F9-154E-99BF-66EAC5698743}" type="presParOf" srcId="{AD7F9CC2-7E8E-814E-B6F7-1FDBA3F3B774}" destId="{30EBD8EA-FB23-0849-9D64-D2C7D5084FEE}" srcOrd="2" destOrd="0" presId="urn:microsoft.com/office/officeart/2005/8/layout/chevron1"/>
    <dgm:cxn modelId="{E1181E82-3AA2-A841-AAD2-C17DE3435FFB}" type="presParOf" srcId="{AD7F9CC2-7E8E-814E-B6F7-1FDBA3F3B774}" destId="{4365F4FB-F012-5B40-86CC-E9898EC13CE4}" srcOrd="3" destOrd="0" presId="urn:microsoft.com/office/officeart/2005/8/layout/chevron1"/>
    <dgm:cxn modelId="{23268281-BEAA-7B4B-B4A3-8195FDE5E5E6}" type="presParOf" srcId="{AD7F9CC2-7E8E-814E-B6F7-1FDBA3F3B774}" destId="{B813ECF6-E7F7-EF43-9713-AE1480E0A3CC}" srcOrd="4"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CCBA12-E49A-9E48-B181-C3742FB90245}">
      <dsp:nvSpPr>
        <dsp:cNvPr id="0" name=""/>
        <dsp:cNvSpPr/>
      </dsp:nvSpPr>
      <dsp:spPr>
        <a:xfrm>
          <a:off x="1599" y="353107"/>
          <a:ext cx="1949214" cy="779685"/>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n-US" sz="1300" kern="1200"/>
            <a:t>Growth in Physical Access (1960s-1990s)</a:t>
          </a:r>
        </a:p>
      </dsp:txBody>
      <dsp:txXfrm>
        <a:off x="391442" y="353107"/>
        <a:ext cx="1169529" cy="779685"/>
      </dsp:txXfrm>
    </dsp:sp>
    <dsp:sp modelId="{30EBD8EA-FB23-0849-9D64-D2C7D5084FEE}">
      <dsp:nvSpPr>
        <dsp:cNvPr id="0" name=""/>
        <dsp:cNvSpPr/>
      </dsp:nvSpPr>
      <dsp:spPr>
        <a:xfrm>
          <a:off x="1755892" y="353107"/>
          <a:ext cx="1949214" cy="77968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n-US" sz="1300" kern="1200"/>
            <a:t>Growth in Content Access (1990s-2000s)</a:t>
          </a:r>
        </a:p>
      </dsp:txBody>
      <dsp:txXfrm>
        <a:off x="2145735" y="353107"/>
        <a:ext cx="1169529" cy="779685"/>
      </dsp:txXfrm>
    </dsp:sp>
    <dsp:sp modelId="{B813ECF6-E7F7-EF43-9713-AE1480E0A3CC}">
      <dsp:nvSpPr>
        <dsp:cNvPr id="0" name=""/>
        <dsp:cNvSpPr/>
      </dsp:nvSpPr>
      <dsp:spPr>
        <a:xfrm>
          <a:off x="3510185" y="353107"/>
          <a:ext cx="1949214" cy="77968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n-US" sz="1300" kern="1200"/>
            <a:t>Growth in Learning Access (Ongoing Call)</a:t>
          </a:r>
        </a:p>
      </dsp:txBody>
      <dsp:txXfrm>
        <a:off x="3900028" y="353107"/>
        <a:ext cx="1169529" cy="77968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5F99A-BA0A-7044-99C3-392C428F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142</Pages>
  <Words>102343</Words>
  <Characters>583357</Characters>
  <Application>Microsoft Macintosh Word</Application>
  <DocSecurity>0</DocSecurity>
  <Lines>4861</Lines>
  <Paragraphs>1368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684332</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Eric Moore</dc:creator>
  <cp:keywords/>
  <dc:description/>
  <cp:lastModifiedBy>Moore, Eric Jordan</cp:lastModifiedBy>
  <cp:revision>2</cp:revision>
  <cp:lastPrinted>2016-09-24T17:09:00Z</cp:lastPrinted>
  <dcterms:created xsi:type="dcterms:W3CDTF">2017-01-17T19:41:00Z</dcterms:created>
  <dcterms:modified xsi:type="dcterms:W3CDTF">2017-01-17T19:41:00Z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id="6ipSODxA"/&gt;&lt;style id="http://www.zotero.org/styles/apa" locale="en-US"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