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B4F" w:rsidRPr="001511B2" w:rsidRDefault="001F14DB" w:rsidP="001511B2">
      <w:pPr>
        <w:pStyle w:val="Heading3"/>
        <w:jc w:val="center"/>
        <w:rPr>
          <w:sz w:val="28"/>
          <w:szCs w:val="28"/>
        </w:rPr>
      </w:pPr>
      <w:bookmarkStart w:id="0" w:name="_Toc393799928"/>
      <w:bookmarkStart w:id="1" w:name="_Toc394013073"/>
      <w:bookmarkStart w:id="2" w:name="_Toc394525537"/>
      <w:r w:rsidRPr="001511B2">
        <w:rPr>
          <w:sz w:val="28"/>
          <w:szCs w:val="28"/>
          <w:shd w:val="clear" w:color="auto" w:fill="FFFFFF"/>
        </w:rPr>
        <w:t>AN ANALYSIS OF THE SUSPENDED SEDIMENT RATING CURVE PARAMETERS IN THE UPPER MISSISSIPPI RIVER BASIN AT THE MONTHLY AND ANNUAL LEVELS</w:t>
      </w:r>
      <w:bookmarkEnd w:id="0"/>
      <w:bookmarkEnd w:id="1"/>
      <w:bookmarkEnd w:id="2"/>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jc w:val="left"/>
      </w:pPr>
    </w:p>
    <w:p w:rsidR="00742B4F" w:rsidRPr="00854E06" w:rsidRDefault="00742B4F" w:rsidP="00742B4F">
      <w:pPr>
        <w:pStyle w:val="Title"/>
      </w:pPr>
      <w:r w:rsidRPr="00854E06">
        <w:t>A Thesis Presented for the</w:t>
      </w:r>
    </w:p>
    <w:p w:rsidR="00742B4F" w:rsidRPr="00854E06" w:rsidRDefault="00742B4F" w:rsidP="00742B4F">
      <w:pPr>
        <w:pStyle w:val="Title"/>
      </w:pPr>
      <w:r w:rsidRPr="00854E06">
        <w:t>Master of Science</w:t>
      </w:r>
    </w:p>
    <w:p w:rsidR="00742B4F" w:rsidRPr="00854E06" w:rsidRDefault="00742B4F" w:rsidP="00742B4F">
      <w:pPr>
        <w:pStyle w:val="Title"/>
      </w:pPr>
      <w:r w:rsidRPr="00854E06">
        <w:t>Degree</w:t>
      </w:r>
    </w:p>
    <w:p w:rsidR="00742B4F" w:rsidRPr="00854E06" w:rsidRDefault="00742B4F" w:rsidP="00742B4F">
      <w:pPr>
        <w:pStyle w:val="Title"/>
      </w:pPr>
      <w:r w:rsidRPr="00854E06">
        <w:t>The University of Tennessee, Knoxville</w:t>
      </w: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
    <w:p w:rsidR="00742B4F" w:rsidRPr="00854E06" w:rsidRDefault="00742B4F" w:rsidP="00742B4F">
      <w:pPr>
        <w:pStyle w:val="Title"/>
      </w:pPr>
      <w:proofErr w:type="gramStart"/>
      <w:r w:rsidRPr="00854E06">
        <w:t>Vi</w:t>
      </w:r>
      <w:proofErr w:type="gramEnd"/>
      <w:r w:rsidRPr="00854E06">
        <w:t xml:space="preserve"> </w:t>
      </w:r>
      <w:proofErr w:type="spellStart"/>
      <w:r w:rsidR="00782040">
        <w:t>Thi</w:t>
      </w:r>
      <w:proofErr w:type="spellEnd"/>
      <w:r w:rsidR="00782040">
        <w:t xml:space="preserve"> </w:t>
      </w:r>
      <w:proofErr w:type="spellStart"/>
      <w:r w:rsidR="00782040">
        <w:t>Tuong</w:t>
      </w:r>
      <w:proofErr w:type="spellEnd"/>
      <w:r w:rsidR="00782040">
        <w:t xml:space="preserve"> </w:t>
      </w:r>
      <w:r w:rsidRPr="00854E06">
        <w:t>Tran</w:t>
      </w:r>
    </w:p>
    <w:p w:rsidR="008B6CB6" w:rsidRPr="00854E06" w:rsidRDefault="002D53FA" w:rsidP="00742B4F">
      <w:pPr>
        <w:pStyle w:val="Title"/>
      </w:pPr>
      <w:r w:rsidRPr="00854E06">
        <w:t xml:space="preserve">August </w:t>
      </w:r>
      <w:r w:rsidR="00742B4F" w:rsidRPr="00854E06">
        <w:t>2014</w:t>
      </w:r>
    </w:p>
    <w:p w:rsidR="008B6CB6" w:rsidRPr="00854E06" w:rsidRDefault="008B6CB6">
      <w:pPr>
        <w:spacing w:after="200" w:line="276" w:lineRule="auto"/>
        <w:rPr>
          <w:rFonts w:eastAsiaTheme="minorHAnsi"/>
          <w:b/>
          <w:sz w:val="28"/>
          <w:lang w:val="en-CA"/>
        </w:rPr>
      </w:pPr>
      <w:r w:rsidRPr="00854E06">
        <w:br w:type="page"/>
      </w:r>
    </w:p>
    <w:p w:rsidR="00D62929" w:rsidRDefault="00D62929" w:rsidP="00742B4F">
      <w:pPr>
        <w:pStyle w:val="Title"/>
      </w:pPr>
      <w:r>
        <w:lastRenderedPageBreak/>
        <w:t>Acknowledgement</w:t>
      </w:r>
      <w:r w:rsidR="0072413E">
        <w:t>s</w:t>
      </w:r>
    </w:p>
    <w:p w:rsidR="00EA6B4B" w:rsidRDefault="00EA6B4B" w:rsidP="00742B4F">
      <w:pPr>
        <w:pStyle w:val="Title"/>
      </w:pPr>
    </w:p>
    <w:p w:rsidR="00EA6B4B" w:rsidRDefault="00EA6B4B" w:rsidP="00742B4F">
      <w:pPr>
        <w:pStyle w:val="Title"/>
      </w:pPr>
    </w:p>
    <w:p w:rsidR="00EA6B4B" w:rsidRPr="00EA6B4B" w:rsidRDefault="0072413E" w:rsidP="00EA6B4B">
      <w:pPr>
        <w:pStyle w:val="Title"/>
        <w:spacing w:before="240" w:after="360" w:line="360" w:lineRule="auto"/>
        <w:ind w:firstLine="720"/>
        <w:jc w:val="both"/>
        <w:rPr>
          <w:b w:val="0"/>
          <w:bCs/>
          <w:sz w:val="24"/>
        </w:rPr>
      </w:pPr>
      <w:r w:rsidRPr="00EA6B4B">
        <w:rPr>
          <w:b w:val="0"/>
          <w:bCs/>
          <w:sz w:val="24"/>
        </w:rPr>
        <w:t xml:space="preserve">I would like to express my sincere gratitude to </w:t>
      </w:r>
      <w:r w:rsidR="00EA6B4B" w:rsidRPr="00EA6B4B">
        <w:rPr>
          <w:b w:val="0"/>
          <w:bCs/>
          <w:sz w:val="24"/>
        </w:rPr>
        <w:t>my advisor, Dr.</w:t>
      </w:r>
      <w:r w:rsidRPr="00EA6B4B">
        <w:rPr>
          <w:b w:val="0"/>
          <w:bCs/>
          <w:sz w:val="24"/>
        </w:rPr>
        <w:t xml:space="preserve"> Carol Harden for her guidance and advice in the work of </w:t>
      </w:r>
      <w:r w:rsidR="00EA6B4B" w:rsidRPr="00EA6B4B">
        <w:rPr>
          <w:b w:val="0"/>
          <w:bCs/>
          <w:sz w:val="24"/>
        </w:rPr>
        <w:t>this</w:t>
      </w:r>
      <w:r w:rsidRPr="00EA6B4B">
        <w:rPr>
          <w:b w:val="0"/>
          <w:bCs/>
          <w:sz w:val="24"/>
        </w:rPr>
        <w:t xml:space="preserve"> thesis. I also thank Dr. </w:t>
      </w:r>
      <w:proofErr w:type="spellStart"/>
      <w:r w:rsidRPr="00EA6B4B">
        <w:rPr>
          <w:b w:val="0"/>
          <w:bCs/>
          <w:sz w:val="24"/>
        </w:rPr>
        <w:t>Liem</w:t>
      </w:r>
      <w:proofErr w:type="spellEnd"/>
      <w:r w:rsidRPr="00EA6B4B">
        <w:rPr>
          <w:b w:val="0"/>
          <w:bCs/>
          <w:sz w:val="24"/>
        </w:rPr>
        <w:t xml:space="preserve"> Tran for his mentorship and motivation in the past two years. I thank Dr. John Schwartz for serving as a helpful member in my committee. </w:t>
      </w:r>
    </w:p>
    <w:p w:rsidR="00EA6B4B" w:rsidRPr="00EA6B4B" w:rsidRDefault="00EA6B4B" w:rsidP="00EA6B4B">
      <w:pPr>
        <w:pStyle w:val="Title"/>
        <w:spacing w:before="240" w:after="360" w:line="360" w:lineRule="auto"/>
        <w:ind w:firstLine="720"/>
        <w:jc w:val="both"/>
        <w:rPr>
          <w:b w:val="0"/>
          <w:bCs/>
          <w:sz w:val="24"/>
        </w:rPr>
      </w:pPr>
      <w:r w:rsidRPr="00EA6B4B">
        <w:rPr>
          <w:b w:val="0"/>
          <w:bCs/>
          <w:sz w:val="24"/>
        </w:rPr>
        <w:t>I would like to thank the faculty, fellow graduate students, and staff in the Department of Geography</w:t>
      </w:r>
      <w:r w:rsidR="00563EE8">
        <w:rPr>
          <w:b w:val="0"/>
          <w:bCs/>
          <w:sz w:val="24"/>
        </w:rPr>
        <w:t xml:space="preserve"> at the University of Tennessee</w:t>
      </w:r>
      <w:r w:rsidRPr="00EA6B4B">
        <w:rPr>
          <w:b w:val="0"/>
          <w:bCs/>
          <w:sz w:val="24"/>
        </w:rPr>
        <w:t xml:space="preserve"> for their help and encouragement.</w:t>
      </w:r>
    </w:p>
    <w:p w:rsidR="00D62929" w:rsidRPr="00EA6B4B" w:rsidRDefault="0072413E" w:rsidP="00EA6B4B">
      <w:pPr>
        <w:pStyle w:val="Title"/>
        <w:spacing w:before="240" w:after="360" w:line="360" w:lineRule="auto"/>
        <w:ind w:firstLine="720"/>
        <w:jc w:val="both"/>
        <w:rPr>
          <w:b w:val="0"/>
          <w:bCs/>
          <w:sz w:val="24"/>
        </w:rPr>
      </w:pPr>
      <w:r w:rsidRPr="00EA6B4B">
        <w:rPr>
          <w:b w:val="0"/>
          <w:bCs/>
          <w:sz w:val="24"/>
        </w:rPr>
        <w:t xml:space="preserve">Lastly, I would like to address my </w:t>
      </w:r>
      <w:r w:rsidR="00EA6B4B" w:rsidRPr="00EA6B4B">
        <w:rPr>
          <w:b w:val="0"/>
          <w:bCs/>
          <w:sz w:val="24"/>
        </w:rPr>
        <w:t xml:space="preserve">deep </w:t>
      </w:r>
      <w:r w:rsidRPr="00EA6B4B">
        <w:rPr>
          <w:b w:val="0"/>
          <w:bCs/>
          <w:sz w:val="24"/>
        </w:rPr>
        <w:t>gratitude to my beloved famil</w:t>
      </w:r>
      <w:r w:rsidR="00EA6B4B">
        <w:rPr>
          <w:b w:val="0"/>
          <w:bCs/>
          <w:sz w:val="24"/>
        </w:rPr>
        <w:t xml:space="preserve">y as they are always supportive </w:t>
      </w:r>
      <w:r w:rsidRPr="00EA6B4B">
        <w:rPr>
          <w:b w:val="0"/>
          <w:bCs/>
          <w:sz w:val="24"/>
        </w:rPr>
        <w:t>on every milestone in my life.</w:t>
      </w:r>
    </w:p>
    <w:p w:rsidR="0072413E" w:rsidRDefault="0072413E" w:rsidP="00EA6B4B">
      <w:pPr>
        <w:pStyle w:val="Title"/>
        <w:spacing w:after="120" w:line="360" w:lineRule="auto"/>
        <w:jc w:val="both"/>
        <w:rPr>
          <w:b w:val="0"/>
          <w:bCs/>
        </w:rPr>
      </w:pPr>
    </w:p>
    <w:p w:rsidR="0072413E" w:rsidRDefault="0072413E" w:rsidP="00EA6B4B">
      <w:pPr>
        <w:pStyle w:val="Title"/>
        <w:spacing w:after="120" w:line="360" w:lineRule="auto"/>
        <w:jc w:val="both"/>
        <w:rPr>
          <w:b w:val="0"/>
          <w:bCs/>
        </w:rPr>
      </w:pPr>
    </w:p>
    <w:p w:rsidR="00D62929" w:rsidRDefault="00D62929" w:rsidP="00EA6B4B">
      <w:pPr>
        <w:spacing w:after="120" w:line="360" w:lineRule="auto"/>
        <w:jc w:val="both"/>
        <w:rPr>
          <w:rFonts w:eastAsiaTheme="minorHAnsi"/>
          <w:bCs/>
          <w:sz w:val="28"/>
          <w:lang w:val="en-CA"/>
        </w:rPr>
      </w:pPr>
      <w:r>
        <w:rPr>
          <w:b/>
          <w:bCs/>
        </w:rPr>
        <w:br w:type="page"/>
      </w:r>
    </w:p>
    <w:p w:rsidR="00742B4F" w:rsidRPr="00854E06" w:rsidRDefault="008B6CB6" w:rsidP="00742B4F">
      <w:pPr>
        <w:pStyle w:val="Title"/>
      </w:pPr>
      <w:r w:rsidRPr="00854E06">
        <w:lastRenderedPageBreak/>
        <w:t>Abstract</w:t>
      </w:r>
    </w:p>
    <w:p w:rsidR="00826F2D" w:rsidRPr="00854E06" w:rsidRDefault="00826F2D" w:rsidP="00742B4F">
      <w:pPr>
        <w:pStyle w:val="Title"/>
      </w:pPr>
    </w:p>
    <w:p w:rsidR="002E6349" w:rsidRPr="00DF215A" w:rsidRDefault="002E6349" w:rsidP="00AA6D48">
      <w:pPr>
        <w:spacing w:line="480" w:lineRule="auto"/>
        <w:ind w:firstLine="720"/>
      </w:pPr>
      <w:r>
        <w:t xml:space="preserve">Suspended sediment rating curve parameters were analyzed to investigate the relationship of suspended load and discharge in the Upper Mississippi River Basin (UMRB) at the annual and monthly levels. The rating curve parameters were obtained from the </w:t>
      </w:r>
      <w:r w:rsidRPr="00DF215A">
        <w:t xml:space="preserve">power function of load and discharge:  </w:t>
      </w:r>
      <w:r w:rsidRPr="00DF215A">
        <w:rPr>
          <w:rFonts w:eastAsiaTheme="minorEastAsia"/>
        </w:rPr>
        <w:t>Load</w:t>
      </w:r>
      <w:r>
        <w:rPr>
          <w:rFonts w:eastAsiaTheme="minorEastAsia"/>
        </w:rPr>
        <w:t xml:space="preserve"> </w:t>
      </w:r>
      <w:r w:rsidRPr="00DF215A">
        <w:rPr>
          <w:rFonts w:eastAsiaTheme="minorEastAsia"/>
        </w:rPr>
        <w:t>=</w:t>
      </w:r>
      <w:r>
        <w:rPr>
          <w:rFonts w:eastAsiaTheme="minorEastAsia"/>
        </w:rPr>
        <w:t xml:space="preserve"> </w:t>
      </w:r>
      <w:r w:rsidRPr="00DF215A">
        <w:rPr>
          <w:rFonts w:eastAsiaTheme="minorEastAsia"/>
        </w:rPr>
        <w:t>a × (Discharge</w:t>
      </w:r>
      <w:proofErr w:type="gramStart"/>
      <w:r w:rsidRPr="00DF215A">
        <w:rPr>
          <w:rFonts w:eastAsiaTheme="minorEastAsia"/>
        </w:rPr>
        <w:t>)</w:t>
      </w:r>
      <w:r w:rsidRPr="00F56FCC">
        <w:rPr>
          <w:rFonts w:eastAsiaTheme="minorEastAsia"/>
          <w:vertAlign w:val="superscript"/>
        </w:rPr>
        <w:t>b</w:t>
      </w:r>
      <w:proofErr w:type="gramEnd"/>
      <w:r>
        <w:rPr>
          <w:rFonts w:eastAsiaTheme="minorEastAsia"/>
        </w:rPr>
        <w:t xml:space="preserve"> [(Discharge)^b]</w:t>
      </w:r>
      <w:r>
        <w:t>. The function was solved by ordinary least squares regression on its logarithmic form.</w:t>
      </w:r>
      <w:r w:rsidRPr="00DF215A">
        <w:t xml:space="preserve"> </w:t>
      </w:r>
    </w:p>
    <w:p w:rsidR="002E6349" w:rsidRDefault="002E6349" w:rsidP="003D4664">
      <w:pPr>
        <w:spacing w:line="480" w:lineRule="auto"/>
        <w:ind w:firstLine="720"/>
        <w:jc w:val="both"/>
      </w:pPr>
      <w:r>
        <w:t>T</w:t>
      </w:r>
      <w:r w:rsidRPr="00DF215A">
        <w:t xml:space="preserve">he annual rating coefficient </w:t>
      </w:r>
      <w:r w:rsidRPr="00663986">
        <w:rPr>
          <w:rFonts w:eastAsiaTheme="minorEastAsia"/>
        </w:rPr>
        <w:t>a</w:t>
      </w:r>
      <w:r w:rsidRPr="00DF215A">
        <w:t xml:space="preserve"> and exponent </w:t>
      </w:r>
      <w:r w:rsidRPr="00663986">
        <w:rPr>
          <w:rFonts w:eastAsiaTheme="minorEastAsia"/>
        </w:rPr>
        <w:t>b</w:t>
      </w:r>
      <w:r w:rsidRPr="00DF215A">
        <w:t xml:space="preserve"> range</w:t>
      </w:r>
      <w:r>
        <w:t>d</w:t>
      </w:r>
      <w:r w:rsidRPr="00DF215A">
        <w:t xml:space="preserve"> from 0 to 0.25 </w:t>
      </w:r>
      <w:r w:rsidRPr="00663986">
        <w:rPr>
          <w:rFonts w:eastAsiaTheme="minorEastAsia"/>
        </w:rPr>
        <w:t>(kg/s</w:t>
      </w:r>
      <w:proofErr w:type="gramStart"/>
      <w:r w:rsidRPr="00663986">
        <w:rPr>
          <w:rFonts w:eastAsiaTheme="minorEastAsia"/>
        </w:rPr>
        <w:t>)(</w:t>
      </w:r>
      <w:proofErr w:type="gramEnd"/>
      <w:r w:rsidRPr="00663986">
        <w:rPr>
          <w:rFonts w:eastAsiaTheme="minorEastAsia"/>
        </w:rPr>
        <w:t>s/m</w:t>
      </w:r>
      <w:r w:rsidRPr="00663986">
        <w:rPr>
          <w:rFonts w:eastAsiaTheme="minorEastAsia"/>
          <w:vertAlign w:val="superscript"/>
        </w:rPr>
        <w:t>3</w:t>
      </w:r>
      <w:r w:rsidRPr="00663986">
        <w:rPr>
          <w:rFonts w:eastAsiaTheme="minorEastAsia"/>
        </w:rPr>
        <w:t>)</w:t>
      </w:r>
      <w:r w:rsidRPr="00663986">
        <w:rPr>
          <w:rFonts w:eastAsiaTheme="minorEastAsia"/>
          <w:vertAlign w:val="superscript"/>
        </w:rPr>
        <w:t xml:space="preserve">b </w:t>
      </w:r>
      <w:r w:rsidRPr="00A170FB">
        <w:rPr>
          <w:rFonts w:eastAsiaTheme="minorEastAsia"/>
        </w:rPr>
        <w:t>[(kg/s)(s/m^3)^b]</w:t>
      </w:r>
      <w:r w:rsidRPr="00DF215A">
        <w:t xml:space="preserve"> and from 0.91 to 4.27, respectively.</w:t>
      </w:r>
      <w:r>
        <w:t xml:space="preserve"> </w:t>
      </w:r>
      <w:r w:rsidRPr="00DF215A">
        <w:t xml:space="preserve">The monthly rating coefficient </w:t>
      </w:r>
      <w:r w:rsidRPr="00663986">
        <w:rPr>
          <w:rFonts w:eastAsiaTheme="minorEastAsia"/>
        </w:rPr>
        <w:t>a</w:t>
      </w:r>
      <w:r w:rsidRPr="00DF215A">
        <w:t xml:space="preserve"> and exponent </w:t>
      </w:r>
      <w:r w:rsidRPr="00663986">
        <w:rPr>
          <w:rFonts w:eastAsiaTheme="minorEastAsia"/>
        </w:rPr>
        <w:t>b</w:t>
      </w:r>
      <w:r w:rsidRPr="00DF215A">
        <w:t xml:space="preserve"> range</w:t>
      </w:r>
      <w:r>
        <w:t>d</w:t>
      </w:r>
      <w:r w:rsidRPr="00DF215A">
        <w:t xml:space="preserve"> from </w:t>
      </w:r>
      <w:r w:rsidRPr="00663986">
        <w:rPr>
          <w:rFonts w:eastAsiaTheme="minorEastAsia"/>
          <w:bCs/>
        </w:rPr>
        <w:t>0</w:t>
      </w:r>
      <w:r w:rsidRPr="00DF215A">
        <w:t xml:space="preserve"> to 0.239 </w:t>
      </w:r>
      <w:r w:rsidRPr="00663986">
        <w:rPr>
          <w:rFonts w:eastAsiaTheme="minorEastAsia"/>
        </w:rPr>
        <w:t>(kg/s</w:t>
      </w:r>
      <w:proofErr w:type="gramStart"/>
      <w:r w:rsidRPr="00663986">
        <w:rPr>
          <w:rFonts w:eastAsiaTheme="minorEastAsia"/>
        </w:rPr>
        <w:t>)(</w:t>
      </w:r>
      <w:proofErr w:type="gramEnd"/>
      <w:r w:rsidRPr="00663986">
        <w:rPr>
          <w:rFonts w:eastAsiaTheme="minorEastAsia"/>
        </w:rPr>
        <w:t>s/m</w:t>
      </w:r>
      <w:r w:rsidRPr="00663986">
        <w:rPr>
          <w:rFonts w:eastAsiaTheme="minorEastAsia"/>
          <w:vertAlign w:val="superscript"/>
        </w:rPr>
        <w:t>3</w:t>
      </w:r>
      <w:r w:rsidRPr="00663986">
        <w:rPr>
          <w:rFonts w:eastAsiaTheme="minorEastAsia"/>
        </w:rPr>
        <w:t>)</w:t>
      </w:r>
      <w:r w:rsidRPr="00663986">
        <w:rPr>
          <w:rFonts w:eastAsiaTheme="minorEastAsia"/>
          <w:vertAlign w:val="superscript"/>
        </w:rPr>
        <w:t>b</w:t>
      </w:r>
      <w:r w:rsidRPr="00DF215A">
        <w:t xml:space="preserve"> and from 0.09 to 3.72, respectively.  </w:t>
      </w:r>
      <w:r>
        <w:t xml:space="preserve">The intercept </w:t>
      </w:r>
      <w:proofErr w:type="gramStart"/>
      <w:r>
        <w:t>ln(</w:t>
      </w:r>
      <w:proofErr w:type="gramEnd"/>
      <w:r>
        <w:t>a) and slope b of the logarithmic graph of suspended load and discharge were negatively correlated. This correlation was stronger for rivers categorized as having high discharge (&gt; 218 m</w:t>
      </w:r>
      <w:r w:rsidRPr="00663986">
        <w:rPr>
          <w:vertAlign w:val="superscript"/>
        </w:rPr>
        <w:t>3</w:t>
      </w:r>
      <w:r>
        <w:t>/s [m^3/s]). This study also showed negative correlations between the</w:t>
      </w:r>
      <w:r w:rsidRPr="00DF215A">
        <w:t xml:space="preserve"> rating coefficient </w:t>
      </w:r>
      <w:proofErr w:type="gramStart"/>
      <w:r w:rsidRPr="00663986">
        <w:rPr>
          <w:rFonts w:eastAsiaTheme="minorEastAsia"/>
        </w:rPr>
        <w:t>a</w:t>
      </w:r>
      <w:r w:rsidRPr="00DF215A">
        <w:t xml:space="preserve"> </w:t>
      </w:r>
      <w:r>
        <w:t>and</w:t>
      </w:r>
      <w:proofErr w:type="gramEnd"/>
      <w:r>
        <w:t xml:space="preserve"> stream discharge at annual and monthly levels, indicating that in large rivers, the rating curve tends to have a smaller intercept and larger slope. </w:t>
      </w:r>
      <w:r>
        <w:rPr>
          <w:rFonts w:ascii="Times New Roman" w:hAnsi="Times New Roman" w:cs="Times New Roman"/>
        </w:rPr>
        <w:t xml:space="preserve">Smaller values of a and b in winter compared to other seasons suggested </w:t>
      </w:r>
      <w:r w:rsidR="003D4664">
        <w:rPr>
          <w:rFonts w:ascii="Times New Roman" w:hAnsi="Times New Roman" w:cs="Times New Roman"/>
        </w:rPr>
        <w:t xml:space="preserve">a </w:t>
      </w:r>
      <w:r w:rsidRPr="00A170FB">
        <w:rPr>
          <w:rFonts w:ascii="Times New Roman" w:hAnsi="Times New Roman" w:cs="Times New Roman"/>
        </w:rPr>
        <w:t>low supply of sediment into stream</w:t>
      </w:r>
      <w:r w:rsidR="003D4664">
        <w:rPr>
          <w:rFonts w:ascii="Times New Roman" w:hAnsi="Times New Roman" w:cs="Times New Roman"/>
        </w:rPr>
        <w:t>s due to frozen ground</w:t>
      </w:r>
      <w:r w:rsidRPr="00A170FB">
        <w:rPr>
          <w:rFonts w:ascii="Times New Roman" w:hAnsi="Times New Roman" w:cs="Times New Roman"/>
        </w:rPr>
        <w:t xml:space="preserve"> and the inactive state of streams in transporting sediment during winter months</w:t>
      </w:r>
      <w:r>
        <w:rPr>
          <w:rFonts w:ascii="Times New Roman" w:hAnsi="Times New Roman" w:cs="Times New Roman"/>
        </w:rPr>
        <w:t xml:space="preserve">. </w:t>
      </w:r>
      <w:r w:rsidRPr="00DF215A">
        <w:t>The dominant shape of annual sediment rating curve</w:t>
      </w:r>
      <w:r>
        <w:t>s</w:t>
      </w:r>
      <w:r w:rsidRPr="00DF215A">
        <w:t xml:space="preserve"> in the region was convex, suggesting a transport-limit</w:t>
      </w:r>
      <w:r>
        <w:t>ed</w:t>
      </w:r>
      <w:r w:rsidRPr="00DF215A">
        <w:t xml:space="preserve"> system for sediment transport in the basin. </w:t>
      </w:r>
      <w:r>
        <w:t>The transport-limited system indicates the potential of a flow to entrain additional sediment (possibly of larger grain sizes) d</w:t>
      </w:r>
      <w:r w:rsidR="003D4664">
        <w:t>uring high discharge due to its</w:t>
      </w:r>
      <w:r>
        <w:t xml:space="preserve"> higher competence. The apparent contradiction between the transport-limited condition and the findings of Meade and Moody (2010) is attributed to different approaches to the issue (trend of mean suspended load over time versus sediment rating curve). </w:t>
      </w:r>
      <w:r>
        <w:lastRenderedPageBreak/>
        <w:t>The results of this thesis also suggested that the UMRB has remained transport</w:t>
      </w:r>
      <w:r w:rsidR="003D4664">
        <w:t>-</w:t>
      </w:r>
      <w:r>
        <w:t>limited after the flood in 1993, although this merits further investigation.</w:t>
      </w:r>
    </w:p>
    <w:p w:rsidR="00742B4F" w:rsidRPr="00854E06" w:rsidRDefault="00742B4F" w:rsidP="00742B4F">
      <w:r w:rsidRPr="00854E06">
        <w:br w:type="page"/>
      </w:r>
    </w:p>
    <w:sdt>
      <w:sdtPr>
        <w:rPr>
          <w:rFonts w:ascii="Arial" w:eastAsia="Times New Roman" w:hAnsi="Arial" w:cs="Arial"/>
          <w:b w:val="0"/>
          <w:bCs w:val="0"/>
          <w:sz w:val="24"/>
          <w:szCs w:val="24"/>
          <w:lang w:eastAsia="en-US"/>
        </w:rPr>
        <w:id w:val="438806569"/>
        <w:docPartObj>
          <w:docPartGallery w:val="Table of Contents"/>
          <w:docPartUnique/>
        </w:docPartObj>
      </w:sdtPr>
      <w:sdtEndPr>
        <w:rPr>
          <w:rFonts w:asciiTheme="majorBidi" w:hAnsiTheme="majorBidi"/>
          <w:noProof/>
        </w:rPr>
      </w:sdtEndPr>
      <w:sdtContent>
        <w:p w:rsidR="00FA3E83" w:rsidRPr="00854E06" w:rsidRDefault="00645079" w:rsidP="004F12D3">
          <w:pPr>
            <w:pStyle w:val="TOCHeading"/>
            <w:numPr>
              <w:ilvl w:val="0"/>
              <w:numId w:val="0"/>
            </w:numPr>
            <w:rPr>
              <w:sz w:val="24"/>
              <w:szCs w:val="24"/>
            </w:rPr>
          </w:pPr>
          <w:r w:rsidRPr="00854E06">
            <w:rPr>
              <w:sz w:val="24"/>
              <w:szCs w:val="24"/>
            </w:rPr>
            <w:t xml:space="preserve">Table of </w:t>
          </w:r>
          <w:r w:rsidR="00FA3E83" w:rsidRPr="00854E06">
            <w:rPr>
              <w:sz w:val="24"/>
              <w:szCs w:val="24"/>
            </w:rPr>
            <w:t>Contents</w:t>
          </w:r>
        </w:p>
        <w:p w:rsidR="00F952FE" w:rsidRPr="00F952FE" w:rsidRDefault="00F41E6A" w:rsidP="00F952FE">
          <w:pPr>
            <w:pStyle w:val="TOC3"/>
            <w:tabs>
              <w:tab w:val="right" w:leader="dot" w:pos="9350"/>
            </w:tabs>
            <w:rPr>
              <w:rFonts w:asciiTheme="majorBidi" w:hAnsiTheme="majorBidi" w:cstheme="majorBidi"/>
              <w:noProof/>
              <w:sz w:val="24"/>
              <w:szCs w:val="24"/>
              <w:lang w:eastAsia="en-US"/>
            </w:rPr>
          </w:pPr>
          <w:r w:rsidRPr="00301EAB">
            <w:rPr>
              <w:rFonts w:asciiTheme="majorBidi" w:hAnsiTheme="majorBidi" w:cstheme="majorBidi"/>
              <w:sz w:val="24"/>
              <w:szCs w:val="24"/>
            </w:rPr>
            <w:fldChar w:fldCharType="begin"/>
          </w:r>
          <w:r w:rsidR="00175D61" w:rsidRPr="00301EAB">
            <w:rPr>
              <w:rFonts w:asciiTheme="majorBidi" w:hAnsiTheme="majorBidi" w:cstheme="majorBidi"/>
              <w:sz w:val="24"/>
              <w:szCs w:val="24"/>
            </w:rPr>
            <w:instrText xml:space="preserve"> TOC \o "1-5" \h \z \u </w:instrText>
          </w:r>
          <w:r w:rsidRPr="00301EAB">
            <w:rPr>
              <w:rFonts w:asciiTheme="majorBidi" w:hAnsiTheme="majorBidi" w:cstheme="majorBidi"/>
              <w:sz w:val="24"/>
              <w:szCs w:val="24"/>
            </w:rPr>
            <w:fldChar w:fldCharType="separate"/>
          </w:r>
        </w:p>
        <w:p w:rsidR="00F952FE" w:rsidRPr="00F952FE" w:rsidRDefault="0069536E">
          <w:pPr>
            <w:pStyle w:val="TOC1"/>
            <w:tabs>
              <w:tab w:val="left" w:pos="1100"/>
              <w:tab w:val="right" w:leader="dot" w:pos="9350"/>
            </w:tabs>
            <w:rPr>
              <w:rFonts w:asciiTheme="majorBidi" w:hAnsiTheme="majorBidi" w:cstheme="majorBidi"/>
              <w:noProof/>
              <w:sz w:val="24"/>
              <w:szCs w:val="24"/>
              <w:lang w:eastAsia="en-US"/>
            </w:rPr>
          </w:pPr>
          <w:hyperlink w:anchor="_Toc394525538" w:history="1">
            <w:r w:rsidR="00F952FE" w:rsidRPr="00F952FE">
              <w:rPr>
                <w:rStyle w:val="Hyperlink"/>
                <w:rFonts w:asciiTheme="majorBidi" w:hAnsiTheme="majorBidi" w:cstheme="majorBidi"/>
                <w:iCs/>
                <w:noProof/>
                <w:sz w:val="24"/>
                <w:szCs w:val="24"/>
              </w:rPr>
              <w:t>Chapter I</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Introduction</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_Toc394525538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1</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1"/>
            <w:tabs>
              <w:tab w:val="left" w:pos="1100"/>
              <w:tab w:val="right" w:leader="dot" w:pos="9350"/>
            </w:tabs>
            <w:rPr>
              <w:rFonts w:asciiTheme="majorBidi" w:hAnsiTheme="majorBidi" w:cstheme="majorBidi"/>
              <w:noProof/>
              <w:sz w:val="24"/>
              <w:szCs w:val="24"/>
              <w:lang w:eastAsia="en-US"/>
            </w:rPr>
          </w:pPr>
          <w:hyperlink w:anchor="_Toc394525539" w:history="1">
            <w:r w:rsidR="00F952FE" w:rsidRPr="00F952FE">
              <w:rPr>
                <w:rStyle w:val="Hyperlink"/>
                <w:rFonts w:asciiTheme="majorBidi" w:hAnsiTheme="majorBidi" w:cstheme="majorBidi"/>
                <w:iCs/>
                <w:noProof/>
                <w:sz w:val="24"/>
                <w:szCs w:val="24"/>
              </w:rPr>
              <w:t>Chapter II</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Literature Review</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_Toc394525539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4</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40" w:history="1">
            <w:r w:rsidR="00F952FE" w:rsidRPr="00F952FE">
              <w:rPr>
                <w:rStyle w:val="Hyperlink"/>
                <w:rFonts w:asciiTheme="majorBidi" w:hAnsiTheme="majorBidi" w:cstheme="majorBidi"/>
                <w:noProof/>
                <w:sz w:val="24"/>
                <w:szCs w:val="24"/>
              </w:rPr>
              <w:t>1.</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Sources of sediment</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_Toc394525540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4</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3"/>
            <w:tabs>
              <w:tab w:val="left" w:pos="1100"/>
              <w:tab w:val="right" w:leader="dot" w:pos="9350"/>
            </w:tabs>
            <w:rPr>
              <w:rFonts w:asciiTheme="majorBidi" w:hAnsiTheme="majorBidi" w:cstheme="majorBidi"/>
              <w:noProof/>
              <w:sz w:val="24"/>
              <w:szCs w:val="24"/>
              <w:lang w:eastAsia="en-US"/>
            </w:rPr>
          </w:pPr>
          <w:hyperlink w:anchor="_Toc394525541" w:history="1">
            <w:r w:rsidR="00F952FE" w:rsidRPr="00F952FE">
              <w:rPr>
                <w:rStyle w:val="Hyperlink"/>
                <w:rFonts w:asciiTheme="majorBidi" w:hAnsiTheme="majorBidi" w:cstheme="majorBidi"/>
                <w:noProof/>
                <w:sz w:val="24"/>
                <w:szCs w:val="24"/>
              </w:rPr>
              <w:t>1.1.</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Upland erosion</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_Toc394525541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4</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4"/>
            <w:tabs>
              <w:tab w:val="left" w:pos="1540"/>
              <w:tab w:val="right" w:leader="dot" w:pos="9350"/>
            </w:tabs>
            <w:rPr>
              <w:rFonts w:eastAsiaTheme="minorEastAsia" w:cstheme="majorBidi"/>
              <w:noProof/>
            </w:rPr>
          </w:pPr>
          <w:hyperlink w:anchor="_Toc394525542" w:history="1">
            <w:r w:rsidR="00F952FE" w:rsidRPr="00F952FE">
              <w:rPr>
                <w:rStyle w:val="Hyperlink"/>
                <w:rFonts w:cstheme="majorBidi"/>
                <w:noProof/>
              </w:rPr>
              <w:t>1.1.1.</w:t>
            </w:r>
            <w:r w:rsidR="00F952FE" w:rsidRPr="00F952FE">
              <w:rPr>
                <w:rFonts w:eastAsiaTheme="minorEastAsia" w:cstheme="majorBidi"/>
                <w:noProof/>
              </w:rPr>
              <w:tab/>
            </w:r>
            <w:r w:rsidR="00F952FE" w:rsidRPr="00F952FE">
              <w:rPr>
                <w:rStyle w:val="Hyperlink"/>
                <w:rFonts w:cstheme="majorBidi"/>
                <w:noProof/>
              </w:rPr>
              <w:t>Climate</w:t>
            </w:r>
            <w:r w:rsidR="00F952FE" w:rsidRPr="00F952FE">
              <w:rPr>
                <w:rFonts w:cstheme="majorBidi"/>
                <w:noProof/>
                <w:webHidden/>
              </w:rPr>
              <w:tab/>
            </w:r>
            <w:r w:rsidR="00F952FE" w:rsidRPr="00F952FE">
              <w:rPr>
                <w:rFonts w:cstheme="majorBidi"/>
                <w:noProof/>
                <w:webHidden/>
              </w:rPr>
              <w:fldChar w:fldCharType="begin"/>
            </w:r>
            <w:r w:rsidR="00F952FE" w:rsidRPr="00F952FE">
              <w:rPr>
                <w:rFonts w:cstheme="majorBidi"/>
                <w:noProof/>
                <w:webHidden/>
              </w:rPr>
              <w:instrText xml:space="preserve"> PAGEREF _Toc394525542 \h </w:instrText>
            </w:r>
            <w:r w:rsidR="00F952FE" w:rsidRPr="00F952FE">
              <w:rPr>
                <w:rFonts w:cstheme="majorBidi"/>
                <w:noProof/>
                <w:webHidden/>
              </w:rPr>
            </w:r>
            <w:r w:rsidR="00F952FE" w:rsidRPr="00F952FE">
              <w:rPr>
                <w:rFonts w:cstheme="majorBidi"/>
                <w:noProof/>
                <w:webHidden/>
              </w:rPr>
              <w:fldChar w:fldCharType="separate"/>
            </w:r>
            <w:r w:rsidR="00F952FE" w:rsidRPr="00F952FE">
              <w:rPr>
                <w:rFonts w:cstheme="majorBidi"/>
                <w:noProof/>
                <w:webHidden/>
              </w:rPr>
              <w:t>4</w:t>
            </w:r>
            <w:r w:rsidR="00F952FE" w:rsidRPr="00F952FE">
              <w:rPr>
                <w:rFonts w:cstheme="majorBidi"/>
                <w:noProof/>
                <w:webHidden/>
              </w:rPr>
              <w:fldChar w:fldCharType="end"/>
            </w:r>
          </w:hyperlink>
        </w:p>
        <w:p w:rsidR="00F952FE" w:rsidRPr="00F952FE" w:rsidRDefault="0069536E">
          <w:pPr>
            <w:pStyle w:val="TOC4"/>
            <w:tabs>
              <w:tab w:val="left" w:pos="1540"/>
              <w:tab w:val="right" w:leader="dot" w:pos="9350"/>
            </w:tabs>
            <w:rPr>
              <w:rFonts w:eastAsiaTheme="minorEastAsia" w:cstheme="majorBidi"/>
              <w:noProof/>
            </w:rPr>
          </w:pPr>
          <w:hyperlink w:anchor="_Toc394525543" w:history="1">
            <w:r w:rsidR="00F952FE" w:rsidRPr="00F952FE">
              <w:rPr>
                <w:rStyle w:val="Hyperlink"/>
                <w:rFonts w:cstheme="majorBidi"/>
                <w:noProof/>
              </w:rPr>
              <w:t>1.1.2.</w:t>
            </w:r>
            <w:r w:rsidR="00F952FE" w:rsidRPr="00F952FE">
              <w:rPr>
                <w:rFonts w:eastAsiaTheme="minorEastAsia" w:cstheme="majorBidi"/>
                <w:noProof/>
              </w:rPr>
              <w:tab/>
            </w:r>
            <w:r w:rsidR="00F952FE" w:rsidRPr="00F952FE">
              <w:rPr>
                <w:rStyle w:val="Hyperlink"/>
                <w:rFonts w:cstheme="majorBidi"/>
                <w:noProof/>
              </w:rPr>
              <w:t>Soil</w:t>
            </w:r>
            <w:r w:rsidR="00F952FE" w:rsidRPr="00F952FE">
              <w:rPr>
                <w:rFonts w:cstheme="majorBidi"/>
                <w:noProof/>
                <w:webHidden/>
              </w:rPr>
              <w:tab/>
            </w:r>
            <w:r w:rsidR="00F952FE" w:rsidRPr="00F952FE">
              <w:rPr>
                <w:rFonts w:cstheme="majorBidi"/>
                <w:noProof/>
                <w:webHidden/>
              </w:rPr>
              <w:fldChar w:fldCharType="begin"/>
            </w:r>
            <w:r w:rsidR="00F952FE" w:rsidRPr="00F952FE">
              <w:rPr>
                <w:rFonts w:cstheme="majorBidi"/>
                <w:noProof/>
                <w:webHidden/>
              </w:rPr>
              <w:instrText xml:space="preserve"> PAGEREF _Toc394525543 \h </w:instrText>
            </w:r>
            <w:r w:rsidR="00F952FE" w:rsidRPr="00F952FE">
              <w:rPr>
                <w:rFonts w:cstheme="majorBidi"/>
                <w:noProof/>
                <w:webHidden/>
              </w:rPr>
            </w:r>
            <w:r w:rsidR="00F952FE" w:rsidRPr="00F952FE">
              <w:rPr>
                <w:rFonts w:cstheme="majorBidi"/>
                <w:noProof/>
                <w:webHidden/>
              </w:rPr>
              <w:fldChar w:fldCharType="separate"/>
            </w:r>
            <w:r w:rsidR="00F952FE" w:rsidRPr="00F952FE">
              <w:rPr>
                <w:rFonts w:cstheme="majorBidi"/>
                <w:noProof/>
                <w:webHidden/>
              </w:rPr>
              <w:t>6</w:t>
            </w:r>
            <w:r w:rsidR="00F952FE" w:rsidRPr="00F952FE">
              <w:rPr>
                <w:rFonts w:cstheme="majorBidi"/>
                <w:noProof/>
                <w:webHidden/>
              </w:rPr>
              <w:fldChar w:fldCharType="end"/>
            </w:r>
          </w:hyperlink>
        </w:p>
        <w:p w:rsidR="00F952FE" w:rsidRPr="00F952FE" w:rsidRDefault="0069536E">
          <w:pPr>
            <w:pStyle w:val="TOC4"/>
            <w:tabs>
              <w:tab w:val="left" w:pos="1540"/>
              <w:tab w:val="right" w:leader="dot" w:pos="9350"/>
            </w:tabs>
            <w:rPr>
              <w:rFonts w:eastAsiaTheme="minorEastAsia" w:cstheme="majorBidi"/>
              <w:noProof/>
            </w:rPr>
          </w:pPr>
          <w:hyperlink w:anchor="_Toc394525544" w:history="1">
            <w:r w:rsidR="00F952FE" w:rsidRPr="00F952FE">
              <w:rPr>
                <w:rStyle w:val="Hyperlink"/>
                <w:rFonts w:cstheme="majorBidi"/>
                <w:noProof/>
              </w:rPr>
              <w:t>1.1.3.</w:t>
            </w:r>
            <w:r w:rsidR="00F952FE" w:rsidRPr="00F952FE">
              <w:rPr>
                <w:rFonts w:eastAsiaTheme="minorEastAsia" w:cstheme="majorBidi"/>
                <w:noProof/>
              </w:rPr>
              <w:tab/>
            </w:r>
            <w:r w:rsidR="00F952FE" w:rsidRPr="00F952FE">
              <w:rPr>
                <w:rStyle w:val="Hyperlink"/>
                <w:rFonts w:cstheme="majorBidi"/>
                <w:noProof/>
              </w:rPr>
              <w:t>Topography</w:t>
            </w:r>
            <w:r w:rsidR="00F952FE" w:rsidRPr="00F952FE">
              <w:rPr>
                <w:rFonts w:cstheme="majorBidi"/>
                <w:noProof/>
                <w:webHidden/>
              </w:rPr>
              <w:tab/>
            </w:r>
            <w:r w:rsidR="00F952FE" w:rsidRPr="00F952FE">
              <w:rPr>
                <w:rFonts w:cstheme="majorBidi"/>
                <w:noProof/>
                <w:webHidden/>
              </w:rPr>
              <w:fldChar w:fldCharType="begin"/>
            </w:r>
            <w:r w:rsidR="00F952FE" w:rsidRPr="00F952FE">
              <w:rPr>
                <w:rFonts w:cstheme="majorBidi"/>
                <w:noProof/>
                <w:webHidden/>
              </w:rPr>
              <w:instrText xml:space="preserve"> PAGEREF _Toc394525544 \h </w:instrText>
            </w:r>
            <w:r w:rsidR="00F952FE" w:rsidRPr="00F952FE">
              <w:rPr>
                <w:rFonts w:cstheme="majorBidi"/>
                <w:noProof/>
                <w:webHidden/>
              </w:rPr>
            </w:r>
            <w:r w:rsidR="00F952FE" w:rsidRPr="00F952FE">
              <w:rPr>
                <w:rFonts w:cstheme="majorBidi"/>
                <w:noProof/>
                <w:webHidden/>
              </w:rPr>
              <w:fldChar w:fldCharType="separate"/>
            </w:r>
            <w:r w:rsidR="00F952FE" w:rsidRPr="00F952FE">
              <w:rPr>
                <w:rFonts w:cstheme="majorBidi"/>
                <w:noProof/>
                <w:webHidden/>
              </w:rPr>
              <w:t>7</w:t>
            </w:r>
            <w:r w:rsidR="00F952FE" w:rsidRPr="00F952FE">
              <w:rPr>
                <w:rFonts w:cstheme="majorBidi"/>
                <w:noProof/>
                <w:webHidden/>
              </w:rPr>
              <w:fldChar w:fldCharType="end"/>
            </w:r>
          </w:hyperlink>
        </w:p>
        <w:p w:rsidR="00F952FE" w:rsidRPr="00F952FE" w:rsidRDefault="0069536E">
          <w:pPr>
            <w:pStyle w:val="TOC4"/>
            <w:tabs>
              <w:tab w:val="left" w:pos="1540"/>
              <w:tab w:val="right" w:leader="dot" w:pos="9350"/>
            </w:tabs>
            <w:rPr>
              <w:rFonts w:eastAsiaTheme="minorEastAsia" w:cstheme="majorBidi"/>
              <w:noProof/>
            </w:rPr>
          </w:pPr>
          <w:hyperlink w:anchor="_Toc394525545" w:history="1">
            <w:r w:rsidR="00F952FE" w:rsidRPr="00F952FE">
              <w:rPr>
                <w:rStyle w:val="Hyperlink"/>
                <w:rFonts w:cstheme="majorBidi"/>
                <w:noProof/>
              </w:rPr>
              <w:t>1.1.4.</w:t>
            </w:r>
            <w:r w:rsidR="00F952FE" w:rsidRPr="00F952FE">
              <w:rPr>
                <w:rFonts w:eastAsiaTheme="minorEastAsia" w:cstheme="majorBidi"/>
                <w:noProof/>
              </w:rPr>
              <w:tab/>
            </w:r>
            <w:r w:rsidR="00F952FE" w:rsidRPr="00F952FE">
              <w:rPr>
                <w:rStyle w:val="Hyperlink"/>
                <w:rFonts w:cstheme="majorBidi"/>
                <w:noProof/>
              </w:rPr>
              <w:t>Land use/ Land cover</w:t>
            </w:r>
            <w:r w:rsidR="00F952FE" w:rsidRPr="00F952FE">
              <w:rPr>
                <w:rFonts w:cstheme="majorBidi"/>
                <w:noProof/>
                <w:webHidden/>
              </w:rPr>
              <w:tab/>
            </w:r>
            <w:r w:rsidR="00F952FE" w:rsidRPr="00F952FE">
              <w:rPr>
                <w:rFonts w:cstheme="majorBidi"/>
                <w:noProof/>
                <w:webHidden/>
              </w:rPr>
              <w:fldChar w:fldCharType="begin"/>
            </w:r>
            <w:r w:rsidR="00F952FE" w:rsidRPr="00F952FE">
              <w:rPr>
                <w:rFonts w:cstheme="majorBidi"/>
                <w:noProof/>
                <w:webHidden/>
              </w:rPr>
              <w:instrText xml:space="preserve"> PAGEREF _Toc394525545 \h </w:instrText>
            </w:r>
            <w:r w:rsidR="00F952FE" w:rsidRPr="00F952FE">
              <w:rPr>
                <w:rFonts w:cstheme="majorBidi"/>
                <w:noProof/>
                <w:webHidden/>
              </w:rPr>
            </w:r>
            <w:r w:rsidR="00F952FE" w:rsidRPr="00F952FE">
              <w:rPr>
                <w:rFonts w:cstheme="majorBidi"/>
                <w:noProof/>
                <w:webHidden/>
              </w:rPr>
              <w:fldChar w:fldCharType="separate"/>
            </w:r>
            <w:r w:rsidR="00F952FE" w:rsidRPr="00F952FE">
              <w:rPr>
                <w:rFonts w:cstheme="majorBidi"/>
                <w:noProof/>
                <w:webHidden/>
              </w:rPr>
              <w:t>7</w:t>
            </w:r>
            <w:r w:rsidR="00F952FE" w:rsidRPr="00F952FE">
              <w:rPr>
                <w:rFonts w:cstheme="majorBidi"/>
                <w:noProof/>
                <w:webHidden/>
              </w:rPr>
              <w:fldChar w:fldCharType="end"/>
            </w:r>
          </w:hyperlink>
        </w:p>
        <w:p w:rsidR="00F952FE" w:rsidRPr="00F952FE" w:rsidRDefault="0069536E">
          <w:pPr>
            <w:pStyle w:val="TOC3"/>
            <w:tabs>
              <w:tab w:val="left" w:pos="1100"/>
              <w:tab w:val="right" w:leader="dot" w:pos="9350"/>
            </w:tabs>
            <w:rPr>
              <w:rFonts w:asciiTheme="majorBidi" w:hAnsiTheme="majorBidi" w:cstheme="majorBidi"/>
              <w:noProof/>
              <w:sz w:val="24"/>
              <w:szCs w:val="24"/>
              <w:lang w:eastAsia="en-US"/>
            </w:rPr>
          </w:pPr>
          <w:hyperlink w:anchor="_Toc394525546" w:history="1">
            <w:r w:rsidR="00F952FE" w:rsidRPr="00F952FE">
              <w:rPr>
                <w:rStyle w:val="Hyperlink"/>
                <w:rFonts w:asciiTheme="majorBidi" w:hAnsiTheme="majorBidi" w:cstheme="majorBidi"/>
                <w:noProof/>
                <w:sz w:val="24"/>
                <w:szCs w:val="24"/>
              </w:rPr>
              <w:t>1.2.</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Stream-bank erosion</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_Toc394525546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8</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3"/>
            <w:tabs>
              <w:tab w:val="left" w:pos="1100"/>
              <w:tab w:val="right" w:leader="dot" w:pos="9350"/>
            </w:tabs>
            <w:rPr>
              <w:rFonts w:asciiTheme="majorBidi" w:hAnsiTheme="majorBidi" w:cstheme="majorBidi"/>
              <w:noProof/>
              <w:sz w:val="24"/>
              <w:szCs w:val="24"/>
              <w:lang w:eastAsia="en-US"/>
            </w:rPr>
          </w:pPr>
          <w:hyperlink w:anchor="_Toc394525547" w:history="1">
            <w:r w:rsidR="00F952FE" w:rsidRPr="00F952FE">
              <w:rPr>
                <w:rStyle w:val="Hyperlink"/>
                <w:rFonts w:asciiTheme="majorBidi" w:hAnsiTheme="majorBidi" w:cstheme="majorBidi"/>
                <w:noProof/>
                <w:sz w:val="24"/>
                <w:szCs w:val="24"/>
              </w:rPr>
              <w:t>1.3.</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Streambed re-suspension</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_Toc394525547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10</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48" w:history="1">
            <w:r w:rsidR="00F952FE" w:rsidRPr="00F952FE">
              <w:rPr>
                <w:rStyle w:val="Hyperlink"/>
                <w:rFonts w:asciiTheme="majorBidi" w:hAnsiTheme="majorBidi" w:cstheme="majorBidi"/>
                <w:noProof/>
                <w:sz w:val="24"/>
                <w:szCs w:val="24"/>
              </w:rPr>
              <w:t>2.</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Sediment transport</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_Toc394525548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10</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49" w:history="1">
            <w:r w:rsidR="00F952FE" w:rsidRPr="00F952FE">
              <w:rPr>
                <w:rStyle w:val="Hyperlink"/>
                <w:rFonts w:asciiTheme="majorBidi" w:hAnsiTheme="majorBidi" w:cstheme="majorBidi"/>
                <w:noProof/>
                <w:sz w:val="24"/>
                <w:szCs w:val="24"/>
              </w:rPr>
              <w:t>3.</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Using discharge to estimate suspended sediment load</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_Toc394525549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11</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3"/>
            <w:tabs>
              <w:tab w:val="left" w:pos="1100"/>
              <w:tab w:val="right" w:leader="dot" w:pos="9350"/>
            </w:tabs>
            <w:rPr>
              <w:rFonts w:asciiTheme="majorBidi" w:hAnsiTheme="majorBidi" w:cstheme="majorBidi"/>
              <w:noProof/>
              <w:sz w:val="24"/>
              <w:szCs w:val="24"/>
              <w:lang w:eastAsia="en-US"/>
            </w:rPr>
          </w:pPr>
          <w:hyperlink w:anchor="_Toc394525550" w:history="1">
            <w:r w:rsidR="00F952FE" w:rsidRPr="00F952FE">
              <w:rPr>
                <w:rStyle w:val="Hyperlink"/>
                <w:rFonts w:asciiTheme="majorBidi" w:hAnsiTheme="majorBidi" w:cstheme="majorBidi"/>
                <w:noProof/>
                <w:sz w:val="24"/>
                <w:szCs w:val="24"/>
              </w:rPr>
              <w:t>3.1.</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Sediment rating curve</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_Toc394525550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11</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3"/>
            <w:tabs>
              <w:tab w:val="left" w:pos="1100"/>
              <w:tab w:val="right" w:leader="dot" w:pos="9350"/>
            </w:tabs>
            <w:rPr>
              <w:rFonts w:asciiTheme="majorBidi" w:hAnsiTheme="majorBidi" w:cstheme="majorBidi"/>
              <w:noProof/>
              <w:sz w:val="24"/>
              <w:szCs w:val="24"/>
              <w:lang w:eastAsia="en-US"/>
            </w:rPr>
          </w:pPr>
          <w:hyperlink w:anchor="_Toc394525551" w:history="1">
            <w:r w:rsidR="00F952FE" w:rsidRPr="00F952FE">
              <w:rPr>
                <w:rStyle w:val="Hyperlink"/>
                <w:rFonts w:asciiTheme="majorBidi" w:hAnsiTheme="majorBidi" w:cstheme="majorBidi"/>
                <w:noProof/>
                <w:sz w:val="24"/>
                <w:szCs w:val="24"/>
              </w:rPr>
              <w:t>3.2.</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Interpreting the sediment rating parameters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_Toc394525551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12</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3"/>
            <w:tabs>
              <w:tab w:val="left" w:pos="1100"/>
              <w:tab w:val="right" w:leader="dot" w:pos="9350"/>
            </w:tabs>
            <w:rPr>
              <w:rFonts w:asciiTheme="majorBidi" w:hAnsiTheme="majorBidi" w:cstheme="majorBidi"/>
              <w:noProof/>
              <w:sz w:val="24"/>
              <w:szCs w:val="24"/>
              <w:lang w:eastAsia="en-US"/>
            </w:rPr>
          </w:pPr>
          <w:hyperlink w:anchor="_Toc394525552" w:history="1">
            <w:r w:rsidR="00F952FE" w:rsidRPr="00F952FE">
              <w:rPr>
                <w:rStyle w:val="Hyperlink"/>
                <w:rFonts w:asciiTheme="majorBidi" w:hAnsiTheme="majorBidi" w:cstheme="majorBidi"/>
                <w:noProof/>
                <w:sz w:val="24"/>
                <w:szCs w:val="24"/>
              </w:rPr>
              <w:t>3.3.</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Issues in using sediment rating curve for load estimation</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_Toc394525552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14</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53" w:history="1">
            <w:r w:rsidR="00F952FE" w:rsidRPr="00F952FE">
              <w:rPr>
                <w:rStyle w:val="Hyperlink"/>
                <w:rFonts w:asciiTheme="majorBidi" w:hAnsiTheme="majorBidi" w:cstheme="majorBidi"/>
                <w:noProof/>
                <w:sz w:val="24"/>
                <w:szCs w:val="24"/>
              </w:rPr>
              <w:t>4.</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Impact of locks and dams on sediment transport</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_Toc394525553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15</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1"/>
            <w:tabs>
              <w:tab w:val="left" w:pos="1320"/>
              <w:tab w:val="right" w:leader="dot" w:pos="9350"/>
            </w:tabs>
            <w:rPr>
              <w:rFonts w:asciiTheme="majorBidi" w:hAnsiTheme="majorBidi" w:cstheme="majorBidi"/>
              <w:noProof/>
              <w:sz w:val="24"/>
              <w:szCs w:val="24"/>
              <w:lang w:eastAsia="en-US"/>
            </w:rPr>
          </w:pPr>
          <w:hyperlink w:anchor="_Toc394525554" w:history="1">
            <w:r w:rsidR="00F952FE" w:rsidRPr="00F952FE">
              <w:rPr>
                <w:rStyle w:val="Hyperlink"/>
                <w:rFonts w:asciiTheme="majorBidi" w:hAnsiTheme="majorBidi" w:cstheme="majorBidi"/>
                <w:iCs/>
                <w:noProof/>
                <w:sz w:val="24"/>
                <w:szCs w:val="24"/>
              </w:rPr>
              <w:t>Chapter III</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Study Area</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_Toc394525554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17</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55" w:history="1">
            <w:r w:rsidR="00F952FE" w:rsidRPr="00F952FE">
              <w:rPr>
                <w:rStyle w:val="Hyperlink"/>
                <w:rFonts w:asciiTheme="majorBidi" w:hAnsiTheme="majorBidi" w:cstheme="majorBidi"/>
                <w:noProof/>
                <w:sz w:val="24"/>
                <w:szCs w:val="24"/>
              </w:rPr>
              <w:t>1.</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Physiography and geology</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_Toc394525555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17</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56" w:history="1">
            <w:r w:rsidR="00F952FE" w:rsidRPr="00F952FE">
              <w:rPr>
                <w:rStyle w:val="Hyperlink"/>
                <w:rFonts w:asciiTheme="majorBidi" w:hAnsiTheme="majorBidi" w:cstheme="majorBidi"/>
                <w:noProof/>
                <w:sz w:val="24"/>
                <w:szCs w:val="24"/>
              </w:rPr>
              <w:t>2.</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Climate</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_Toc394525556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21</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60" w:history="1">
            <w:r w:rsidR="00F952FE" w:rsidRPr="00F952FE">
              <w:rPr>
                <w:rStyle w:val="Hyperlink"/>
                <w:rFonts w:asciiTheme="majorBidi" w:hAnsiTheme="majorBidi" w:cstheme="majorBidi"/>
                <w:noProof/>
                <w:sz w:val="24"/>
                <w:szCs w:val="24"/>
              </w:rPr>
              <w:t>3.</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Soil</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_Toc394525560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25</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61" w:history="1">
            <w:r w:rsidR="00F952FE" w:rsidRPr="00F952FE">
              <w:rPr>
                <w:rStyle w:val="Hyperlink"/>
                <w:rFonts w:asciiTheme="majorBidi" w:hAnsiTheme="majorBidi" w:cstheme="majorBidi"/>
                <w:noProof/>
                <w:sz w:val="24"/>
                <w:szCs w:val="24"/>
              </w:rPr>
              <w:t>4.</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Land use – Land cover</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_Toc394525561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27</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right" w:leader="dot" w:pos="9350"/>
            </w:tabs>
            <w:rPr>
              <w:rFonts w:asciiTheme="majorBidi" w:hAnsiTheme="majorBidi" w:cstheme="majorBidi"/>
              <w:noProof/>
              <w:sz w:val="24"/>
              <w:szCs w:val="24"/>
              <w:lang w:eastAsia="en-US"/>
            </w:rPr>
          </w:pPr>
          <w:hyperlink w:anchor="_Toc394525562" w:history="1">
            <w:r w:rsidR="00F952FE" w:rsidRPr="00F952FE">
              <w:rPr>
                <w:rStyle w:val="Hyperlink"/>
                <w:rFonts w:asciiTheme="majorBidi" w:hAnsiTheme="majorBidi" w:cstheme="majorBidi"/>
                <w:noProof/>
                <w:sz w:val="24"/>
                <w:szCs w:val="24"/>
              </w:rPr>
              <w:t>5. Sediment transport in the UMRB</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_Toc394525562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28</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1"/>
            <w:tabs>
              <w:tab w:val="left" w:pos="1320"/>
              <w:tab w:val="right" w:leader="dot" w:pos="9350"/>
            </w:tabs>
            <w:rPr>
              <w:rFonts w:asciiTheme="majorBidi" w:hAnsiTheme="majorBidi" w:cstheme="majorBidi"/>
              <w:noProof/>
              <w:sz w:val="24"/>
              <w:szCs w:val="24"/>
              <w:lang w:eastAsia="en-US"/>
            </w:rPr>
          </w:pPr>
          <w:hyperlink w:anchor="_Toc394525563" w:history="1">
            <w:r w:rsidR="00F952FE" w:rsidRPr="00F952FE">
              <w:rPr>
                <w:rStyle w:val="Hyperlink"/>
                <w:rFonts w:asciiTheme="majorBidi" w:hAnsiTheme="majorBidi" w:cstheme="majorBidi"/>
                <w:iCs/>
                <w:noProof/>
                <w:sz w:val="24"/>
                <w:szCs w:val="24"/>
              </w:rPr>
              <w:t>Chapter IV</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Methodology</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_Toc394525563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31</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64" w:history="1">
            <w:r w:rsidR="00F952FE" w:rsidRPr="00F952FE">
              <w:rPr>
                <w:rStyle w:val="Hyperlink"/>
                <w:rFonts w:asciiTheme="majorBidi" w:hAnsiTheme="majorBidi" w:cstheme="majorBidi"/>
                <w:noProof/>
                <w:sz w:val="24"/>
                <w:szCs w:val="24"/>
              </w:rPr>
              <w:t>1.</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Data</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_Toc394525564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31</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65" w:history="1">
            <w:r w:rsidR="00F952FE" w:rsidRPr="00F952FE">
              <w:rPr>
                <w:rStyle w:val="Hyperlink"/>
                <w:rFonts w:asciiTheme="majorBidi" w:hAnsiTheme="majorBidi" w:cstheme="majorBidi"/>
                <w:noProof/>
                <w:sz w:val="24"/>
                <w:szCs w:val="24"/>
              </w:rPr>
              <w:t>2.</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Methods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_Toc394525565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35</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3"/>
            <w:tabs>
              <w:tab w:val="left" w:pos="1100"/>
              <w:tab w:val="right" w:leader="dot" w:pos="9350"/>
            </w:tabs>
            <w:rPr>
              <w:rFonts w:asciiTheme="majorBidi" w:hAnsiTheme="majorBidi" w:cstheme="majorBidi"/>
              <w:noProof/>
              <w:sz w:val="24"/>
              <w:szCs w:val="24"/>
              <w:lang w:eastAsia="en-US"/>
            </w:rPr>
          </w:pPr>
          <w:hyperlink w:anchor="_Toc394525566" w:history="1">
            <w:r w:rsidR="00F952FE" w:rsidRPr="00F952FE">
              <w:rPr>
                <w:rStyle w:val="Hyperlink"/>
                <w:rFonts w:asciiTheme="majorBidi" w:hAnsiTheme="majorBidi" w:cstheme="majorBidi"/>
                <w:noProof/>
                <w:sz w:val="24"/>
                <w:szCs w:val="24"/>
              </w:rPr>
              <w:t>2.1.</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Manipulating data</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_Toc394525566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35</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3"/>
            <w:tabs>
              <w:tab w:val="left" w:pos="1100"/>
              <w:tab w:val="right" w:leader="dot" w:pos="9350"/>
            </w:tabs>
            <w:rPr>
              <w:rFonts w:asciiTheme="majorBidi" w:hAnsiTheme="majorBidi" w:cstheme="majorBidi"/>
              <w:noProof/>
              <w:sz w:val="24"/>
              <w:szCs w:val="24"/>
              <w:lang w:eastAsia="en-US"/>
            </w:rPr>
          </w:pPr>
          <w:hyperlink w:anchor="_Toc394525567" w:history="1">
            <w:r w:rsidR="00F952FE" w:rsidRPr="00F952FE">
              <w:rPr>
                <w:rStyle w:val="Hyperlink"/>
                <w:rFonts w:asciiTheme="majorBidi" w:hAnsiTheme="majorBidi" w:cstheme="majorBidi"/>
                <w:noProof/>
                <w:sz w:val="24"/>
                <w:szCs w:val="24"/>
              </w:rPr>
              <w:t>2.2.</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Analyses of the rating parameters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_Toc394525567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35</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1"/>
            <w:tabs>
              <w:tab w:val="left" w:pos="1320"/>
              <w:tab w:val="right" w:leader="dot" w:pos="9350"/>
            </w:tabs>
            <w:rPr>
              <w:rFonts w:asciiTheme="majorBidi" w:hAnsiTheme="majorBidi" w:cstheme="majorBidi"/>
              <w:noProof/>
              <w:sz w:val="24"/>
              <w:szCs w:val="24"/>
              <w:lang w:eastAsia="en-US"/>
            </w:rPr>
          </w:pPr>
          <w:hyperlink w:anchor="_Toc394525568" w:history="1">
            <w:r w:rsidR="00F952FE" w:rsidRPr="00F952FE">
              <w:rPr>
                <w:rStyle w:val="Hyperlink"/>
                <w:rFonts w:asciiTheme="majorBidi" w:hAnsiTheme="majorBidi" w:cstheme="majorBidi"/>
                <w:iCs/>
                <w:noProof/>
                <w:sz w:val="24"/>
                <w:szCs w:val="24"/>
              </w:rPr>
              <w:t>Chapter V</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Results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_Toc394525568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39</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69" w:history="1">
            <w:r w:rsidR="00F952FE" w:rsidRPr="00F952FE">
              <w:rPr>
                <w:rStyle w:val="Hyperlink"/>
                <w:rFonts w:asciiTheme="majorBidi" w:hAnsiTheme="majorBidi" w:cstheme="majorBidi"/>
                <w:noProof/>
                <w:sz w:val="24"/>
                <w:szCs w:val="24"/>
              </w:rPr>
              <w:t>1.</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Descriptive statistics and spatial patterns of sediment rating parameters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_Toc394525569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39</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70" w:history="1">
            <w:r w:rsidR="00F952FE" w:rsidRPr="00F952FE">
              <w:rPr>
                <w:rStyle w:val="Hyperlink"/>
                <w:rFonts w:asciiTheme="majorBidi" w:hAnsiTheme="majorBidi" w:cstheme="majorBidi"/>
                <w:noProof/>
                <w:sz w:val="24"/>
                <w:szCs w:val="24"/>
              </w:rPr>
              <w:t>2.</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 xml:space="preserve">The relationship between </w:t>
            </w:r>
            <m:oMath>
              <m:r>
                <w:rPr>
                  <w:rStyle w:val="Hyperlink"/>
                  <w:rFonts w:ascii="Cambria Math" w:hAnsi="Cambria Math" w:cstheme="majorBidi"/>
                  <w:noProof/>
                  <w:sz w:val="24"/>
                  <w:szCs w:val="24"/>
                </w:rPr>
                <m:t>ln</m:t>
              </m:r>
              <m:r>
                <m:rPr>
                  <m:sty m:val="p"/>
                </m:rPr>
                <w:rPr>
                  <w:rStyle w:val="Hyperlink"/>
                  <w:rFonts w:ascii="Cambria Math" w:hAnsi="Cambria Math" w:cstheme="majorBidi"/>
                  <w:noProof/>
                  <w:sz w:val="24"/>
                  <w:szCs w:val="24"/>
                </w:rPr>
                <m:t>(</m:t>
              </m:r>
              <m:r>
                <w:rPr>
                  <w:rStyle w:val="Hyperlink"/>
                  <w:rFonts w:ascii="Cambria Math" w:hAnsi="Cambria Math" w:cstheme="majorBidi"/>
                  <w:noProof/>
                  <w:sz w:val="24"/>
                  <w:szCs w:val="24"/>
                </w:rPr>
                <m:t>a</m:t>
              </m:r>
              <m:r>
                <m:rPr>
                  <m:sty m:val="p"/>
                </m:rPr>
                <w:rPr>
                  <w:rStyle w:val="Hyperlink"/>
                  <w:rFonts w:ascii="Cambria Math" w:hAnsi="Cambria Math" w:cstheme="majorBidi"/>
                  <w:noProof/>
                  <w:sz w:val="24"/>
                  <w:szCs w:val="24"/>
                </w:rPr>
                <m:t>)</m:t>
              </m:r>
            </m:oMath>
            <w:r w:rsidR="00F952FE" w:rsidRPr="00F952FE">
              <w:rPr>
                <w:rStyle w:val="Hyperlink"/>
                <w:rFonts w:asciiTheme="majorBidi" w:hAnsiTheme="majorBidi" w:cstheme="majorBidi"/>
                <w:noProof/>
                <w:sz w:val="24"/>
                <w:szCs w:val="24"/>
              </w:rPr>
              <w:t xml:space="preserve"> and </w:t>
            </w:r>
            <m:oMath>
              <m:r>
                <w:rPr>
                  <w:rStyle w:val="Hyperlink"/>
                  <w:rFonts w:ascii="Cambria Math" w:hAnsi="Cambria Math" w:cstheme="majorBidi"/>
                  <w:noProof/>
                  <w:sz w:val="24"/>
                  <w:szCs w:val="24"/>
                </w:rPr>
                <m:t>b</m:t>
              </m:r>
            </m:oMath>
            <w:r w:rsidR="00F952FE" w:rsidRPr="00F952FE">
              <w:rPr>
                <w:rStyle w:val="Hyperlink"/>
                <w:rFonts w:asciiTheme="majorBidi" w:hAnsiTheme="majorBidi" w:cstheme="majorBidi"/>
                <w:noProof/>
                <w:sz w:val="24"/>
                <w:szCs w:val="24"/>
              </w:rPr>
              <w:t xml:space="preserve"> at annual and monthly levels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_Toc394525570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40</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71" w:history="1">
            <w:r w:rsidR="00F952FE" w:rsidRPr="00F952FE">
              <w:rPr>
                <w:rStyle w:val="Hyperlink"/>
                <w:rFonts w:asciiTheme="majorBidi" w:hAnsiTheme="majorBidi" w:cstheme="majorBidi"/>
                <w:noProof/>
                <w:sz w:val="24"/>
                <w:szCs w:val="24"/>
              </w:rPr>
              <w:t>3.</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The association of rating curve parameters with the mean stream discharge</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_Toc394525571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41</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72" w:history="1">
            <w:r w:rsidR="00F952FE" w:rsidRPr="00F952FE">
              <w:rPr>
                <w:rStyle w:val="Hyperlink"/>
                <w:rFonts w:asciiTheme="majorBidi" w:hAnsiTheme="majorBidi" w:cstheme="majorBidi"/>
                <w:noProof/>
                <w:sz w:val="24"/>
                <w:szCs w:val="24"/>
              </w:rPr>
              <w:t>4.</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Seasonal patterns of the rating parameters at the monthly level</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_Toc394525572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41</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73" w:history="1">
            <w:r w:rsidR="00F952FE" w:rsidRPr="00F952FE">
              <w:rPr>
                <w:rStyle w:val="Hyperlink"/>
                <w:rFonts w:asciiTheme="majorBidi" w:hAnsiTheme="majorBidi" w:cstheme="majorBidi"/>
                <w:noProof/>
                <w:sz w:val="24"/>
                <w:szCs w:val="24"/>
              </w:rPr>
              <w:t>5.</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The effects of dams on the rating parameters at pre- and post-dam stations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_Toc394525573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42</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74" w:history="1">
            <w:r w:rsidR="00F952FE" w:rsidRPr="00F952FE">
              <w:rPr>
                <w:rStyle w:val="Hyperlink"/>
                <w:rFonts w:asciiTheme="majorBidi" w:hAnsiTheme="majorBidi" w:cstheme="majorBidi"/>
                <w:noProof/>
                <w:sz w:val="24"/>
                <w:szCs w:val="24"/>
              </w:rPr>
              <w:t>6.</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The effects of land use on the rating parameters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_Toc394525574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43</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1"/>
            <w:tabs>
              <w:tab w:val="left" w:pos="1320"/>
              <w:tab w:val="right" w:leader="dot" w:pos="9350"/>
            </w:tabs>
            <w:rPr>
              <w:rFonts w:asciiTheme="majorBidi" w:hAnsiTheme="majorBidi" w:cstheme="majorBidi"/>
              <w:noProof/>
              <w:sz w:val="24"/>
              <w:szCs w:val="24"/>
              <w:lang w:eastAsia="en-US"/>
            </w:rPr>
          </w:pPr>
          <w:hyperlink w:anchor="_Toc394525575" w:history="1">
            <w:r w:rsidR="00F952FE" w:rsidRPr="00F952FE">
              <w:rPr>
                <w:rStyle w:val="Hyperlink"/>
                <w:rFonts w:asciiTheme="majorBidi" w:hAnsiTheme="majorBidi" w:cstheme="majorBidi"/>
                <w:iCs/>
                <w:noProof/>
                <w:sz w:val="24"/>
                <w:szCs w:val="24"/>
              </w:rPr>
              <w:t>Chapter VI</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Discussion</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_Toc394525575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72</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76" w:history="1">
            <w:r w:rsidR="00F952FE" w:rsidRPr="00F952FE">
              <w:rPr>
                <w:rStyle w:val="Hyperlink"/>
                <w:rFonts w:asciiTheme="majorBidi" w:hAnsiTheme="majorBidi" w:cstheme="majorBidi"/>
                <w:noProof/>
                <w:sz w:val="24"/>
                <w:szCs w:val="24"/>
              </w:rPr>
              <w:t>1.</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Descriptive statistics and spatial patterns of rating parameters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_Toc394525576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72</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77" w:history="1">
            <w:r w:rsidR="00F952FE" w:rsidRPr="00F952FE">
              <w:rPr>
                <w:rStyle w:val="Hyperlink"/>
                <w:rFonts w:asciiTheme="majorBidi" w:hAnsiTheme="majorBidi" w:cstheme="majorBidi"/>
                <w:noProof/>
                <w:sz w:val="24"/>
                <w:szCs w:val="24"/>
              </w:rPr>
              <w:t>2.</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 xml:space="preserve">The relationship between </w:t>
            </w:r>
            <m:oMath>
              <m:r>
                <w:rPr>
                  <w:rStyle w:val="Hyperlink"/>
                  <w:rFonts w:ascii="Cambria Math" w:hAnsi="Cambria Math" w:cstheme="majorBidi"/>
                  <w:noProof/>
                  <w:sz w:val="24"/>
                  <w:szCs w:val="24"/>
                </w:rPr>
                <m:t>ln</m:t>
              </m:r>
              <m:r>
                <m:rPr>
                  <m:sty m:val="p"/>
                </m:rPr>
                <w:rPr>
                  <w:rStyle w:val="Hyperlink"/>
                  <w:rFonts w:ascii="Cambria Math" w:hAnsi="Cambria Math" w:cstheme="majorBidi"/>
                  <w:noProof/>
                  <w:sz w:val="24"/>
                  <w:szCs w:val="24"/>
                </w:rPr>
                <m:t>(</m:t>
              </m:r>
              <m:r>
                <w:rPr>
                  <w:rStyle w:val="Hyperlink"/>
                  <w:rFonts w:ascii="Cambria Math" w:hAnsi="Cambria Math" w:cstheme="majorBidi"/>
                  <w:noProof/>
                  <w:sz w:val="24"/>
                  <w:szCs w:val="24"/>
                </w:rPr>
                <m:t>a</m:t>
              </m:r>
              <m:r>
                <m:rPr>
                  <m:sty m:val="p"/>
                </m:rPr>
                <w:rPr>
                  <w:rStyle w:val="Hyperlink"/>
                  <w:rFonts w:ascii="Cambria Math" w:hAnsi="Cambria Math" w:cstheme="majorBidi"/>
                  <w:noProof/>
                  <w:sz w:val="24"/>
                  <w:szCs w:val="24"/>
                </w:rPr>
                <m:t>)</m:t>
              </m:r>
            </m:oMath>
            <w:r w:rsidR="00F952FE" w:rsidRPr="00F952FE">
              <w:rPr>
                <w:rStyle w:val="Hyperlink"/>
                <w:rFonts w:asciiTheme="majorBidi" w:hAnsiTheme="majorBidi" w:cstheme="majorBidi"/>
                <w:noProof/>
                <w:sz w:val="24"/>
                <w:szCs w:val="24"/>
              </w:rPr>
              <w:t xml:space="preserve"> and </w:t>
            </w:r>
            <m:oMath>
              <m:r>
                <w:rPr>
                  <w:rStyle w:val="Hyperlink"/>
                  <w:rFonts w:ascii="Cambria Math" w:hAnsi="Cambria Math" w:cstheme="majorBidi"/>
                  <w:noProof/>
                  <w:sz w:val="24"/>
                  <w:szCs w:val="24"/>
                </w:rPr>
                <m:t>b</m:t>
              </m:r>
            </m:oMath>
            <w:r w:rsidR="00F952FE" w:rsidRPr="00F952FE">
              <w:rPr>
                <w:rStyle w:val="Hyperlink"/>
                <w:rFonts w:asciiTheme="majorBidi" w:hAnsiTheme="majorBidi" w:cstheme="majorBidi"/>
                <w:noProof/>
                <w:sz w:val="24"/>
                <w:szCs w:val="24"/>
              </w:rPr>
              <w:t xml:space="preserve"> at annual and monthly levels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_Toc394525577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76</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78" w:history="1">
            <w:r w:rsidR="00F952FE" w:rsidRPr="00F952FE">
              <w:rPr>
                <w:rStyle w:val="Hyperlink"/>
                <w:rFonts w:asciiTheme="majorBidi" w:hAnsiTheme="majorBidi" w:cstheme="majorBidi"/>
                <w:noProof/>
                <w:sz w:val="24"/>
                <w:szCs w:val="24"/>
              </w:rPr>
              <w:t>3.</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The association between rating parameters and stream discharge</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_Toc394525578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78</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79" w:history="1">
            <w:r w:rsidR="00F952FE" w:rsidRPr="00F952FE">
              <w:rPr>
                <w:rStyle w:val="Hyperlink"/>
                <w:rFonts w:asciiTheme="majorBidi" w:hAnsiTheme="majorBidi" w:cstheme="majorBidi"/>
                <w:noProof/>
                <w:sz w:val="24"/>
                <w:szCs w:val="24"/>
              </w:rPr>
              <w:t>4.</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Seasonal patterns of the monthly rating parameters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_Toc394525579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79</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80" w:history="1">
            <w:r w:rsidR="00F952FE" w:rsidRPr="00F952FE">
              <w:rPr>
                <w:rStyle w:val="Hyperlink"/>
                <w:rFonts w:asciiTheme="majorBidi" w:hAnsiTheme="majorBidi" w:cstheme="majorBidi"/>
                <w:noProof/>
                <w:sz w:val="24"/>
                <w:szCs w:val="24"/>
              </w:rPr>
              <w:t>5.</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The effect of dams on the rating parameters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_Toc394525580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80</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2"/>
            <w:tabs>
              <w:tab w:val="left" w:pos="720"/>
              <w:tab w:val="right" w:leader="dot" w:pos="9350"/>
            </w:tabs>
            <w:rPr>
              <w:rFonts w:asciiTheme="majorBidi" w:hAnsiTheme="majorBidi" w:cstheme="majorBidi"/>
              <w:noProof/>
              <w:sz w:val="24"/>
              <w:szCs w:val="24"/>
              <w:lang w:eastAsia="en-US"/>
            </w:rPr>
          </w:pPr>
          <w:hyperlink w:anchor="_Toc394525581" w:history="1">
            <w:r w:rsidR="00F952FE" w:rsidRPr="00F952FE">
              <w:rPr>
                <w:rStyle w:val="Hyperlink"/>
                <w:rFonts w:asciiTheme="majorBidi" w:hAnsiTheme="majorBidi" w:cstheme="majorBidi"/>
                <w:noProof/>
                <w:sz w:val="24"/>
                <w:szCs w:val="24"/>
              </w:rPr>
              <w:t>6.</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The effects of land cover on the rating parameters at the annual and monthly levels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_Toc394525581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81</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1"/>
            <w:tabs>
              <w:tab w:val="left" w:pos="1320"/>
              <w:tab w:val="right" w:leader="dot" w:pos="9350"/>
            </w:tabs>
            <w:rPr>
              <w:rFonts w:asciiTheme="majorBidi" w:hAnsiTheme="majorBidi" w:cstheme="majorBidi"/>
              <w:noProof/>
              <w:sz w:val="24"/>
              <w:szCs w:val="24"/>
              <w:lang w:eastAsia="en-US"/>
            </w:rPr>
          </w:pPr>
          <w:hyperlink w:anchor="_Toc394525582" w:history="1">
            <w:r w:rsidR="00F952FE" w:rsidRPr="00F952FE">
              <w:rPr>
                <w:rStyle w:val="Hyperlink"/>
                <w:rFonts w:asciiTheme="majorBidi" w:eastAsiaTheme="minorHAnsi" w:hAnsiTheme="majorBidi" w:cstheme="majorBidi"/>
                <w:iCs/>
                <w:noProof/>
                <w:sz w:val="24"/>
                <w:szCs w:val="24"/>
              </w:rPr>
              <w:t>Chapter VII</w:t>
            </w:r>
            <w:r w:rsidR="00F952FE" w:rsidRPr="00F952FE">
              <w:rPr>
                <w:rFonts w:asciiTheme="majorBidi" w:hAnsiTheme="majorBidi" w:cstheme="majorBidi"/>
                <w:noProof/>
                <w:sz w:val="24"/>
                <w:szCs w:val="24"/>
                <w:lang w:eastAsia="en-US"/>
              </w:rPr>
              <w:tab/>
            </w:r>
            <w:r w:rsidR="00F952FE" w:rsidRPr="00F952FE">
              <w:rPr>
                <w:rStyle w:val="Hyperlink"/>
                <w:rFonts w:asciiTheme="majorBidi" w:hAnsiTheme="majorBidi" w:cstheme="majorBidi"/>
                <w:noProof/>
                <w:sz w:val="24"/>
                <w:szCs w:val="24"/>
              </w:rPr>
              <w:t>Conclusions and Recommendations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_Toc394525582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83</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1"/>
            <w:tabs>
              <w:tab w:val="right" w:leader="dot" w:pos="9350"/>
            </w:tabs>
            <w:rPr>
              <w:rFonts w:asciiTheme="majorBidi" w:hAnsiTheme="majorBidi" w:cstheme="majorBidi"/>
              <w:noProof/>
              <w:sz w:val="24"/>
              <w:szCs w:val="24"/>
              <w:lang w:eastAsia="en-US"/>
            </w:rPr>
          </w:pPr>
          <w:hyperlink w:anchor="_Toc394525583" w:history="1">
            <w:r w:rsidR="00F952FE" w:rsidRPr="00F952FE">
              <w:rPr>
                <w:rStyle w:val="Hyperlink"/>
                <w:rFonts w:asciiTheme="majorBidi" w:hAnsiTheme="majorBidi" w:cstheme="majorBidi"/>
                <w:noProof/>
                <w:sz w:val="24"/>
                <w:szCs w:val="24"/>
              </w:rPr>
              <w:t>References Cited</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_Toc394525583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86</w:t>
            </w:r>
            <w:r w:rsidR="00F952FE" w:rsidRPr="00F952FE">
              <w:rPr>
                <w:rFonts w:asciiTheme="majorBidi" w:hAnsiTheme="majorBidi" w:cstheme="majorBidi"/>
                <w:noProof/>
                <w:webHidden/>
                <w:sz w:val="24"/>
                <w:szCs w:val="24"/>
              </w:rPr>
              <w:fldChar w:fldCharType="end"/>
            </w:r>
          </w:hyperlink>
        </w:p>
        <w:p w:rsidR="00F952FE" w:rsidRPr="00F952FE" w:rsidRDefault="0069536E">
          <w:pPr>
            <w:pStyle w:val="TOC1"/>
            <w:tabs>
              <w:tab w:val="right" w:leader="dot" w:pos="9350"/>
            </w:tabs>
            <w:rPr>
              <w:rFonts w:asciiTheme="majorBidi" w:hAnsiTheme="majorBidi" w:cstheme="majorBidi"/>
              <w:noProof/>
              <w:sz w:val="24"/>
              <w:szCs w:val="24"/>
              <w:lang w:eastAsia="en-US"/>
            </w:rPr>
          </w:pPr>
          <w:hyperlink w:anchor="_Toc394525584" w:history="1">
            <w:r w:rsidR="00F952FE" w:rsidRPr="00F952FE">
              <w:rPr>
                <w:rStyle w:val="Hyperlink"/>
                <w:rFonts w:asciiTheme="majorBidi" w:hAnsiTheme="majorBidi" w:cstheme="majorBidi"/>
                <w:noProof/>
                <w:sz w:val="24"/>
                <w:szCs w:val="24"/>
              </w:rPr>
              <w:t>Appendices</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_Toc394525584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97</w:t>
            </w:r>
            <w:r w:rsidR="00F952FE" w:rsidRPr="00F952FE">
              <w:rPr>
                <w:rFonts w:asciiTheme="majorBidi" w:hAnsiTheme="majorBidi" w:cstheme="majorBidi"/>
                <w:noProof/>
                <w:webHidden/>
                <w:sz w:val="24"/>
                <w:szCs w:val="24"/>
              </w:rPr>
              <w:fldChar w:fldCharType="end"/>
            </w:r>
          </w:hyperlink>
        </w:p>
        <w:p w:rsidR="00F952FE" w:rsidRDefault="0069536E">
          <w:pPr>
            <w:pStyle w:val="TOC1"/>
            <w:tabs>
              <w:tab w:val="right" w:leader="dot" w:pos="9350"/>
            </w:tabs>
            <w:rPr>
              <w:noProof/>
              <w:lang w:eastAsia="en-US"/>
            </w:rPr>
          </w:pPr>
          <w:hyperlink w:anchor="_Toc394525585" w:history="1">
            <w:r w:rsidR="00F952FE" w:rsidRPr="00F952FE">
              <w:rPr>
                <w:rStyle w:val="Hyperlink"/>
                <w:rFonts w:asciiTheme="majorBidi" w:hAnsiTheme="majorBidi" w:cstheme="majorBidi"/>
                <w:noProof/>
                <w:sz w:val="24"/>
                <w:szCs w:val="24"/>
              </w:rPr>
              <w:t>Vita</w:t>
            </w:r>
            <w:r w:rsidR="00F952FE" w:rsidRPr="00F952FE">
              <w:rPr>
                <w:rFonts w:asciiTheme="majorBidi" w:hAnsiTheme="majorBidi" w:cstheme="majorBidi"/>
                <w:noProof/>
                <w:webHidden/>
                <w:sz w:val="24"/>
                <w:szCs w:val="24"/>
              </w:rPr>
              <w:tab/>
            </w:r>
            <w:r w:rsidR="00F952FE" w:rsidRPr="00F952FE">
              <w:rPr>
                <w:rFonts w:asciiTheme="majorBidi" w:hAnsiTheme="majorBidi" w:cstheme="majorBidi"/>
                <w:noProof/>
                <w:webHidden/>
                <w:sz w:val="24"/>
                <w:szCs w:val="24"/>
              </w:rPr>
              <w:fldChar w:fldCharType="begin"/>
            </w:r>
            <w:r w:rsidR="00F952FE" w:rsidRPr="00F952FE">
              <w:rPr>
                <w:rFonts w:asciiTheme="majorBidi" w:hAnsiTheme="majorBidi" w:cstheme="majorBidi"/>
                <w:noProof/>
                <w:webHidden/>
                <w:sz w:val="24"/>
                <w:szCs w:val="24"/>
              </w:rPr>
              <w:instrText xml:space="preserve"> PAGEREF _Toc394525585 \h </w:instrText>
            </w:r>
            <w:r w:rsidR="00F952FE" w:rsidRPr="00F952FE">
              <w:rPr>
                <w:rFonts w:asciiTheme="majorBidi" w:hAnsiTheme="majorBidi" w:cstheme="majorBidi"/>
                <w:noProof/>
                <w:webHidden/>
                <w:sz w:val="24"/>
                <w:szCs w:val="24"/>
              </w:rPr>
            </w:r>
            <w:r w:rsidR="00F952FE" w:rsidRPr="00F952FE">
              <w:rPr>
                <w:rFonts w:asciiTheme="majorBidi" w:hAnsiTheme="majorBidi" w:cstheme="majorBidi"/>
                <w:noProof/>
                <w:webHidden/>
                <w:sz w:val="24"/>
                <w:szCs w:val="24"/>
              </w:rPr>
              <w:fldChar w:fldCharType="separate"/>
            </w:r>
            <w:r w:rsidR="00F952FE" w:rsidRPr="00F952FE">
              <w:rPr>
                <w:rFonts w:asciiTheme="majorBidi" w:hAnsiTheme="majorBidi" w:cstheme="majorBidi"/>
                <w:noProof/>
                <w:webHidden/>
                <w:sz w:val="24"/>
                <w:szCs w:val="24"/>
              </w:rPr>
              <w:t>113</w:t>
            </w:r>
            <w:r w:rsidR="00F952FE" w:rsidRPr="00F952FE">
              <w:rPr>
                <w:rFonts w:asciiTheme="majorBidi" w:hAnsiTheme="majorBidi" w:cstheme="majorBidi"/>
                <w:noProof/>
                <w:webHidden/>
                <w:sz w:val="24"/>
                <w:szCs w:val="24"/>
              </w:rPr>
              <w:fldChar w:fldCharType="end"/>
            </w:r>
          </w:hyperlink>
        </w:p>
        <w:p w:rsidR="00FA3E83" w:rsidRPr="00854E06" w:rsidRDefault="00F41E6A" w:rsidP="00175D61">
          <w:pPr>
            <w:rPr>
              <w:rFonts w:cstheme="majorBidi"/>
            </w:rPr>
          </w:pPr>
          <w:r w:rsidRPr="00301EAB">
            <w:rPr>
              <w:rFonts w:eastAsiaTheme="minorEastAsia" w:cstheme="majorBidi"/>
              <w:lang w:eastAsia="ja-JP"/>
            </w:rPr>
            <w:fldChar w:fldCharType="end"/>
          </w:r>
          <w:r w:rsidR="00175D61" w:rsidRPr="00854E06">
            <w:rPr>
              <w:rFonts w:cstheme="majorBidi"/>
              <w:b/>
              <w:bCs/>
              <w:noProof/>
            </w:rPr>
            <w:t xml:space="preserve"> </w:t>
          </w:r>
        </w:p>
      </w:sdtContent>
    </w:sdt>
    <w:p w:rsidR="00F1486B" w:rsidRDefault="00F1486B">
      <w:pPr>
        <w:spacing w:after="200" w:line="276" w:lineRule="auto"/>
        <w:rPr>
          <w:rFonts w:cstheme="majorBidi"/>
          <w:b/>
          <w:bCs/>
          <w:i/>
        </w:rPr>
      </w:pPr>
      <w:r>
        <w:rPr>
          <w:rFonts w:cstheme="majorBidi"/>
          <w:b/>
          <w:bCs/>
          <w:i/>
        </w:rPr>
        <w:br w:type="page"/>
      </w:r>
    </w:p>
    <w:p w:rsidR="00F1486B" w:rsidRPr="00525A7E" w:rsidRDefault="00F1486B" w:rsidP="00525A7E">
      <w:pPr>
        <w:jc w:val="center"/>
        <w:rPr>
          <w:rFonts w:cstheme="majorBidi"/>
          <w:b/>
          <w:bCs/>
          <w:iCs/>
        </w:rPr>
      </w:pPr>
      <w:r w:rsidRPr="00525A7E">
        <w:rPr>
          <w:rFonts w:cstheme="majorBidi"/>
          <w:b/>
          <w:bCs/>
          <w:iCs/>
        </w:rPr>
        <w:lastRenderedPageBreak/>
        <w:t>List of tables</w:t>
      </w:r>
    </w:p>
    <w:p w:rsidR="00F1486B" w:rsidRPr="00854E06" w:rsidRDefault="00F1486B" w:rsidP="00F1486B">
      <w:pPr>
        <w:jc w:val="center"/>
        <w:rPr>
          <w:rFonts w:cstheme="majorBidi"/>
          <w:b/>
          <w:bCs/>
          <w:i/>
        </w:rPr>
      </w:pPr>
    </w:p>
    <w:p w:rsidR="00F1486B" w:rsidRPr="0070523D" w:rsidRDefault="00F1486B" w:rsidP="004F12D3">
      <w:pPr>
        <w:pStyle w:val="TableofFigures"/>
        <w:tabs>
          <w:tab w:val="right" w:leader="dot" w:pos="9350"/>
        </w:tabs>
        <w:spacing w:line="360" w:lineRule="auto"/>
        <w:ind w:left="720" w:hanging="720"/>
        <w:rPr>
          <w:rFonts w:asciiTheme="minorHAnsi" w:eastAsiaTheme="minorEastAsia" w:hAnsiTheme="minorHAnsi" w:cstheme="minorBidi"/>
          <w:noProof/>
          <w:sz w:val="22"/>
          <w:szCs w:val="22"/>
        </w:rPr>
      </w:pPr>
      <w:r w:rsidRPr="0070523D">
        <w:rPr>
          <w:rFonts w:cstheme="majorBidi"/>
          <w:i/>
        </w:rPr>
        <w:fldChar w:fldCharType="begin"/>
      </w:r>
      <w:r w:rsidRPr="0070523D">
        <w:rPr>
          <w:rFonts w:cstheme="majorBidi"/>
          <w:i/>
        </w:rPr>
        <w:instrText xml:space="preserve"> TOC \h \z \c "Table" </w:instrText>
      </w:r>
      <w:r w:rsidRPr="0070523D">
        <w:rPr>
          <w:rFonts w:cstheme="majorBidi"/>
          <w:i/>
        </w:rPr>
        <w:fldChar w:fldCharType="separate"/>
      </w:r>
      <w:hyperlink w:anchor="_Toc393799673" w:history="1">
        <w:r w:rsidRPr="0070523D">
          <w:rPr>
            <w:rStyle w:val="Hyperlink"/>
            <w:rFonts w:eastAsiaTheme="majorEastAsia" w:cstheme="majorBidi"/>
            <w:noProof/>
          </w:rPr>
          <w:t>Table 2</w:t>
        </w:r>
        <w:r w:rsidRPr="0070523D">
          <w:rPr>
            <w:rStyle w:val="Hyperlink"/>
            <w:rFonts w:eastAsiaTheme="majorEastAsia" w:cstheme="majorBidi"/>
            <w:noProof/>
          </w:rPr>
          <w:noBreakHyphen/>
          <w:t>1. K (soil erodibility) values for soils of different textures (Dion 2002)</w:t>
        </w:r>
        <w:r w:rsidRPr="0070523D">
          <w:rPr>
            <w:noProof/>
            <w:webHidden/>
          </w:rPr>
          <w:tab/>
        </w:r>
        <w:r w:rsidRPr="0070523D">
          <w:rPr>
            <w:noProof/>
            <w:webHidden/>
          </w:rPr>
          <w:fldChar w:fldCharType="begin"/>
        </w:r>
        <w:r w:rsidRPr="0070523D">
          <w:rPr>
            <w:noProof/>
            <w:webHidden/>
          </w:rPr>
          <w:instrText xml:space="preserve"> PAGEREF _Toc393799673 \h </w:instrText>
        </w:r>
        <w:r w:rsidRPr="0070523D">
          <w:rPr>
            <w:noProof/>
            <w:webHidden/>
          </w:rPr>
        </w:r>
        <w:r w:rsidRPr="0070523D">
          <w:rPr>
            <w:noProof/>
            <w:webHidden/>
          </w:rPr>
          <w:fldChar w:fldCharType="separate"/>
        </w:r>
        <w:r w:rsidR="00372367">
          <w:rPr>
            <w:noProof/>
            <w:webHidden/>
          </w:rPr>
          <w:t>6</w:t>
        </w:r>
        <w:r w:rsidRPr="0070523D">
          <w:rPr>
            <w:noProof/>
            <w:webHidden/>
          </w:rPr>
          <w:fldChar w:fldCharType="end"/>
        </w:r>
      </w:hyperlink>
    </w:p>
    <w:p w:rsidR="00F1486B" w:rsidRPr="0070523D" w:rsidRDefault="0069536E" w:rsidP="004F12D3">
      <w:pPr>
        <w:pStyle w:val="TableofFigures"/>
        <w:tabs>
          <w:tab w:val="right" w:leader="dot" w:pos="9350"/>
        </w:tabs>
        <w:spacing w:line="360" w:lineRule="auto"/>
        <w:ind w:left="720" w:hanging="720"/>
        <w:rPr>
          <w:noProof/>
        </w:rPr>
      </w:pPr>
      <w:hyperlink w:anchor="_Toc393799674" w:history="1">
        <w:r w:rsidR="00F1486B" w:rsidRPr="0070523D">
          <w:rPr>
            <w:rStyle w:val="Hyperlink"/>
            <w:rFonts w:eastAsiaTheme="majorEastAsia" w:cstheme="majorBidi"/>
            <w:noProof/>
          </w:rPr>
          <w:t>Table 3</w:t>
        </w:r>
        <w:r w:rsidR="00F1486B" w:rsidRPr="0070523D">
          <w:rPr>
            <w:rStyle w:val="Hyperlink"/>
            <w:rFonts w:eastAsiaTheme="majorEastAsia" w:cstheme="majorBidi"/>
            <w:noProof/>
          </w:rPr>
          <w:noBreakHyphen/>
          <w:t>1.Percentages of land cover in the UMRB in 1992</w:t>
        </w:r>
        <w:r w:rsidR="00F1486B" w:rsidRPr="0070523D">
          <w:rPr>
            <w:noProof/>
            <w:webHidden/>
          </w:rPr>
          <w:tab/>
        </w:r>
        <w:r w:rsidR="00F1486B" w:rsidRPr="0070523D">
          <w:rPr>
            <w:noProof/>
            <w:webHidden/>
          </w:rPr>
          <w:fldChar w:fldCharType="begin"/>
        </w:r>
        <w:r w:rsidR="00F1486B" w:rsidRPr="0070523D">
          <w:rPr>
            <w:noProof/>
            <w:webHidden/>
          </w:rPr>
          <w:instrText xml:space="preserve"> PAGEREF _Toc393799674 \h </w:instrText>
        </w:r>
        <w:r w:rsidR="00F1486B" w:rsidRPr="0070523D">
          <w:rPr>
            <w:noProof/>
            <w:webHidden/>
          </w:rPr>
        </w:r>
        <w:r w:rsidR="00F1486B" w:rsidRPr="0070523D">
          <w:rPr>
            <w:noProof/>
            <w:webHidden/>
          </w:rPr>
          <w:fldChar w:fldCharType="separate"/>
        </w:r>
        <w:r w:rsidR="00372367">
          <w:rPr>
            <w:noProof/>
            <w:webHidden/>
          </w:rPr>
          <w:t>28</w:t>
        </w:r>
        <w:r w:rsidR="00F1486B" w:rsidRPr="0070523D">
          <w:rPr>
            <w:noProof/>
            <w:webHidden/>
          </w:rPr>
          <w:fldChar w:fldCharType="end"/>
        </w:r>
      </w:hyperlink>
      <w:r w:rsidR="00F1486B" w:rsidRPr="0070523D">
        <w:rPr>
          <w:i/>
        </w:rPr>
        <w:fldChar w:fldCharType="end"/>
      </w:r>
      <w:r w:rsidR="00F1486B" w:rsidRPr="0070523D">
        <w:rPr>
          <w:i/>
        </w:rPr>
        <w:fldChar w:fldCharType="begin"/>
      </w:r>
      <w:r w:rsidR="00F1486B" w:rsidRPr="0070523D">
        <w:rPr>
          <w:i/>
        </w:rPr>
        <w:instrText xml:space="preserve"> TOC \h \z \c "Table 5 -" </w:instrText>
      </w:r>
      <w:r w:rsidR="00F1486B" w:rsidRPr="0070523D">
        <w:rPr>
          <w:i/>
        </w:rPr>
        <w:fldChar w:fldCharType="separate"/>
      </w:r>
    </w:p>
    <w:p w:rsidR="00F1486B" w:rsidRPr="0070523D" w:rsidRDefault="0069536E" w:rsidP="004F12D3">
      <w:pPr>
        <w:pStyle w:val="TableofFigures"/>
        <w:tabs>
          <w:tab w:val="right" w:leader="dot" w:pos="9350"/>
        </w:tabs>
        <w:spacing w:line="360" w:lineRule="auto"/>
        <w:ind w:left="720" w:hanging="720"/>
        <w:rPr>
          <w:rFonts w:asciiTheme="minorHAnsi" w:eastAsiaTheme="minorEastAsia" w:hAnsiTheme="minorHAnsi" w:cstheme="minorBidi"/>
          <w:noProof/>
          <w:sz w:val="22"/>
          <w:szCs w:val="22"/>
        </w:rPr>
      </w:pPr>
      <w:hyperlink w:anchor="_Toc394005467" w:history="1">
        <w:r w:rsidR="00F1486B" w:rsidRPr="0070523D">
          <w:rPr>
            <w:rStyle w:val="Hyperlink"/>
            <w:rFonts w:eastAsiaTheme="majorEastAsia" w:cstheme="majorBidi"/>
            <w:noProof/>
          </w:rPr>
          <w:t>Table 5 - 1. Descriptive statistics of the rating parameters at annual and monthly levels for 64 gauging stations in the UMRB</w:t>
        </w:r>
        <w:r w:rsidR="00F1486B" w:rsidRPr="0070523D">
          <w:rPr>
            <w:noProof/>
            <w:webHidden/>
          </w:rPr>
          <w:tab/>
        </w:r>
        <w:r w:rsidR="00F1486B" w:rsidRPr="0070523D">
          <w:rPr>
            <w:noProof/>
            <w:webHidden/>
          </w:rPr>
          <w:fldChar w:fldCharType="begin"/>
        </w:r>
        <w:r w:rsidR="00F1486B" w:rsidRPr="0070523D">
          <w:rPr>
            <w:noProof/>
            <w:webHidden/>
          </w:rPr>
          <w:instrText xml:space="preserve"> PAGEREF _Toc394005467 \h </w:instrText>
        </w:r>
        <w:r w:rsidR="00F1486B" w:rsidRPr="0070523D">
          <w:rPr>
            <w:noProof/>
            <w:webHidden/>
          </w:rPr>
        </w:r>
        <w:r w:rsidR="00F1486B" w:rsidRPr="0070523D">
          <w:rPr>
            <w:noProof/>
            <w:webHidden/>
          </w:rPr>
          <w:fldChar w:fldCharType="separate"/>
        </w:r>
        <w:r w:rsidR="00372367">
          <w:rPr>
            <w:noProof/>
            <w:webHidden/>
          </w:rPr>
          <w:t>44</w:t>
        </w:r>
        <w:r w:rsidR="00F1486B" w:rsidRPr="0070523D">
          <w:rPr>
            <w:noProof/>
            <w:webHidden/>
          </w:rPr>
          <w:fldChar w:fldCharType="end"/>
        </w:r>
      </w:hyperlink>
    </w:p>
    <w:p w:rsidR="00F1486B" w:rsidRPr="0070523D" w:rsidRDefault="0069536E" w:rsidP="004F12D3">
      <w:pPr>
        <w:pStyle w:val="TableofFigures"/>
        <w:tabs>
          <w:tab w:val="right" w:leader="dot" w:pos="9350"/>
        </w:tabs>
        <w:spacing w:line="360" w:lineRule="auto"/>
        <w:ind w:left="720" w:hanging="720"/>
        <w:rPr>
          <w:rFonts w:asciiTheme="minorHAnsi" w:eastAsiaTheme="minorEastAsia" w:hAnsiTheme="minorHAnsi" w:cstheme="minorBidi"/>
          <w:noProof/>
          <w:sz w:val="22"/>
          <w:szCs w:val="22"/>
        </w:rPr>
      </w:pPr>
      <w:hyperlink w:anchor="_Toc394005468" w:history="1">
        <w:r w:rsidR="00F1486B" w:rsidRPr="0070523D">
          <w:rPr>
            <w:rStyle w:val="Hyperlink"/>
            <w:rFonts w:eastAsiaTheme="majorEastAsia" w:cstheme="majorBidi"/>
            <w:noProof/>
          </w:rPr>
          <w:t>Table 5 - 2. The Global Moran’s I of the rating parameters at 64 gauging stations in the UMRB at annual and monthly levels</w:t>
        </w:r>
        <w:r w:rsidR="00F1486B" w:rsidRPr="0070523D">
          <w:rPr>
            <w:noProof/>
            <w:webHidden/>
          </w:rPr>
          <w:tab/>
        </w:r>
        <w:r w:rsidR="00F1486B" w:rsidRPr="0070523D">
          <w:rPr>
            <w:noProof/>
            <w:webHidden/>
          </w:rPr>
          <w:fldChar w:fldCharType="begin"/>
        </w:r>
        <w:r w:rsidR="00F1486B" w:rsidRPr="0070523D">
          <w:rPr>
            <w:noProof/>
            <w:webHidden/>
          </w:rPr>
          <w:instrText xml:space="preserve"> PAGEREF _Toc394005468 \h </w:instrText>
        </w:r>
        <w:r w:rsidR="00F1486B" w:rsidRPr="0070523D">
          <w:rPr>
            <w:noProof/>
            <w:webHidden/>
          </w:rPr>
        </w:r>
        <w:r w:rsidR="00F1486B" w:rsidRPr="0070523D">
          <w:rPr>
            <w:noProof/>
            <w:webHidden/>
          </w:rPr>
          <w:fldChar w:fldCharType="separate"/>
        </w:r>
        <w:r w:rsidR="00372367">
          <w:rPr>
            <w:noProof/>
            <w:webHidden/>
          </w:rPr>
          <w:t>45</w:t>
        </w:r>
        <w:r w:rsidR="00F1486B" w:rsidRPr="0070523D">
          <w:rPr>
            <w:noProof/>
            <w:webHidden/>
          </w:rPr>
          <w:fldChar w:fldCharType="end"/>
        </w:r>
      </w:hyperlink>
    </w:p>
    <w:p w:rsidR="00F1486B" w:rsidRPr="0070523D" w:rsidRDefault="0069536E" w:rsidP="004F12D3">
      <w:pPr>
        <w:pStyle w:val="TableofFigures"/>
        <w:tabs>
          <w:tab w:val="right" w:leader="dot" w:pos="9350"/>
        </w:tabs>
        <w:spacing w:line="360" w:lineRule="auto"/>
        <w:ind w:left="720" w:hanging="720"/>
        <w:rPr>
          <w:rFonts w:asciiTheme="minorHAnsi" w:eastAsiaTheme="minorEastAsia" w:hAnsiTheme="minorHAnsi" w:cstheme="minorBidi"/>
          <w:noProof/>
          <w:sz w:val="22"/>
          <w:szCs w:val="22"/>
        </w:rPr>
      </w:pPr>
      <w:hyperlink w:anchor="_Toc394005469" w:history="1">
        <w:r w:rsidR="00F1486B" w:rsidRPr="0070523D">
          <w:rPr>
            <w:rStyle w:val="Hyperlink"/>
            <w:rFonts w:eastAsiaTheme="majorEastAsia" w:cstheme="majorBidi"/>
            <w:noProof/>
          </w:rPr>
          <w:t xml:space="preserve">Table 5 - 3. Spearman correlation coefficients of </w:t>
        </w:r>
        <m:oMath>
          <m:r>
            <w:rPr>
              <w:rStyle w:val="Hyperlink"/>
              <w:rFonts w:ascii="Cambria Math" w:eastAsiaTheme="majorEastAsia" w:hAnsi="Cambria Math" w:cstheme="majorBidi"/>
              <w:noProof/>
            </w:rPr>
            <m:t>ln(a)</m:t>
          </m:r>
        </m:oMath>
        <w:r w:rsidR="00F1486B" w:rsidRPr="0070523D">
          <w:rPr>
            <w:rStyle w:val="Hyperlink"/>
            <w:rFonts w:eastAsiaTheme="majorEastAsia" w:cstheme="majorBidi"/>
            <w:noProof/>
          </w:rPr>
          <w:t xml:space="preserve"> and </w:t>
        </w:r>
        <m:oMath>
          <m:r>
            <w:rPr>
              <w:rStyle w:val="Hyperlink"/>
              <w:rFonts w:ascii="Cambria Math" w:eastAsiaTheme="majorEastAsia" w:hAnsi="Cambria Math" w:cstheme="majorBidi"/>
              <w:noProof/>
            </w:rPr>
            <m:t>b</m:t>
          </m:r>
        </m:oMath>
        <w:r w:rsidR="00F1486B" w:rsidRPr="0070523D">
          <w:rPr>
            <w:rStyle w:val="Hyperlink"/>
            <w:rFonts w:eastAsiaTheme="majorEastAsia" w:cstheme="majorBidi"/>
            <w:noProof/>
          </w:rPr>
          <w:t xml:space="preserve"> at annual and monthly levels, measured for all streams, large streams, and small streams.</w:t>
        </w:r>
        <w:r w:rsidR="00F1486B" w:rsidRPr="0070523D">
          <w:rPr>
            <w:noProof/>
            <w:webHidden/>
          </w:rPr>
          <w:tab/>
        </w:r>
        <w:r w:rsidR="00F1486B" w:rsidRPr="0070523D">
          <w:rPr>
            <w:noProof/>
            <w:webHidden/>
          </w:rPr>
          <w:fldChar w:fldCharType="begin"/>
        </w:r>
        <w:r w:rsidR="00F1486B" w:rsidRPr="0070523D">
          <w:rPr>
            <w:noProof/>
            <w:webHidden/>
          </w:rPr>
          <w:instrText xml:space="preserve"> PAGEREF _Toc394005469 \h </w:instrText>
        </w:r>
        <w:r w:rsidR="00F1486B" w:rsidRPr="0070523D">
          <w:rPr>
            <w:noProof/>
            <w:webHidden/>
          </w:rPr>
        </w:r>
        <w:r w:rsidR="00F1486B" w:rsidRPr="0070523D">
          <w:rPr>
            <w:noProof/>
            <w:webHidden/>
          </w:rPr>
          <w:fldChar w:fldCharType="separate"/>
        </w:r>
        <w:r w:rsidR="00372367">
          <w:rPr>
            <w:noProof/>
            <w:webHidden/>
          </w:rPr>
          <w:t>46</w:t>
        </w:r>
        <w:r w:rsidR="00F1486B" w:rsidRPr="0070523D">
          <w:rPr>
            <w:noProof/>
            <w:webHidden/>
          </w:rPr>
          <w:fldChar w:fldCharType="end"/>
        </w:r>
      </w:hyperlink>
    </w:p>
    <w:p w:rsidR="00F1486B" w:rsidRPr="0070523D" w:rsidRDefault="0069536E" w:rsidP="004F12D3">
      <w:pPr>
        <w:pStyle w:val="TableofFigures"/>
        <w:tabs>
          <w:tab w:val="right" w:leader="dot" w:pos="9350"/>
        </w:tabs>
        <w:spacing w:line="360" w:lineRule="auto"/>
        <w:ind w:left="720" w:hanging="720"/>
        <w:rPr>
          <w:rFonts w:asciiTheme="minorHAnsi" w:eastAsiaTheme="minorEastAsia" w:hAnsiTheme="minorHAnsi" w:cstheme="minorBidi"/>
          <w:noProof/>
          <w:sz w:val="22"/>
          <w:szCs w:val="22"/>
        </w:rPr>
      </w:pPr>
      <w:hyperlink w:anchor="_Toc394005470" w:history="1">
        <w:r w:rsidR="00F1486B" w:rsidRPr="0070523D">
          <w:rPr>
            <w:rStyle w:val="Hyperlink"/>
            <w:rFonts w:eastAsiaTheme="majorEastAsia" w:cstheme="majorBidi"/>
            <w:noProof/>
          </w:rPr>
          <w:t xml:space="preserve">Table 5 - 4. Spearman correlation coefficient of mean discharge versus </w:t>
        </w:r>
        <m:oMath>
          <m:r>
            <w:rPr>
              <w:rStyle w:val="Hyperlink"/>
              <w:rFonts w:ascii="Cambria Math" w:eastAsiaTheme="majorEastAsia" w:hAnsi="Cambria Math" w:cstheme="majorBidi"/>
              <w:noProof/>
            </w:rPr>
            <m:t>ln(a)</m:t>
          </m:r>
        </m:oMath>
        <w:r w:rsidR="00F1486B" w:rsidRPr="0070523D">
          <w:rPr>
            <w:rStyle w:val="Hyperlink"/>
            <w:rFonts w:eastAsiaTheme="majorEastAsia" w:cstheme="majorBidi"/>
            <w:noProof/>
          </w:rPr>
          <w:t xml:space="preserve"> and </w:t>
        </w:r>
        <m:oMath>
          <m:r>
            <w:rPr>
              <w:rStyle w:val="Hyperlink"/>
              <w:rFonts w:ascii="Cambria Math" w:eastAsiaTheme="majorEastAsia" w:hAnsi="Cambria Math" w:cstheme="majorBidi"/>
              <w:noProof/>
            </w:rPr>
            <m:t>b</m:t>
          </m:r>
        </m:oMath>
        <w:r w:rsidR="00F1486B" w:rsidRPr="0070523D">
          <w:rPr>
            <w:rStyle w:val="Hyperlink"/>
            <w:rFonts w:eastAsiaTheme="majorEastAsia" w:cstheme="majorBidi"/>
            <w:noProof/>
          </w:rPr>
          <w:t xml:space="preserve"> at annual and monthly levels</w:t>
        </w:r>
        <w:r w:rsidR="00F1486B" w:rsidRPr="0070523D">
          <w:rPr>
            <w:noProof/>
            <w:webHidden/>
          </w:rPr>
          <w:tab/>
        </w:r>
        <w:r w:rsidR="00F1486B" w:rsidRPr="0070523D">
          <w:rPr>
            <w:noProof/>
            <w:webHidden/>
          </w:rPr>
          <w:fldChar w:fldCharType="begin"/>
        </w:r>
        <w:r w:rsidR="00F1486B" w:rsidRPr="0070523D">
          <w:rPr>
            <w:noProof/>
            <w:webHidden/>
          </w:rPr>
          <w:instrText xml:space="preserve"> PAGEREF _Toc394005470 \h </w:instrText>
        </w:r>
        <w:r w:rsidR="00F1486B" w:rsidRPr="0070523D">
          <w:rPr>
            <w:noProof/>
            <w:webHidden/>
          </w:rPr>
        </w:r>
        <w:r w:rsidR="00F1486B" w:rsidRPr="0070523D">
          <w:rPr>
            <w:noProof/>
            <w:webHidden/>
          </w:rPr>
          <w:fldChar w:fldCharType="separate"/>
        </w:r>
        <w:r w:rsidR="00372367">
          <w:rPr>
            <w:noProof/>
            <w:webHidden/>
          </w:rPr>
          <w:t>47</w:t>
        </w:r>
        <w:r w:rsidR="00F1486B" w:rsidRPr="0070523D">
          <w:rPr>
            <w:noProof/>
            <w:webHidden/>
          </w:rPr>
          <w:fldChar w:fldCharType="end"/>
        </w:r>
      </w:hyperlink>
    </w:p>
    <w:p w:rsidR="00F1486B" w:rsidRPr="0070523D" w:rsidRDefault="0069536E" w:rsidP="004F12D3">
      <w:pPr>
        <w:pStyle w:val="TableofFigures"/>
        <w:tabs>
          <w:tab w:val="right" w:leader="dot" w:pos="9350"/>
        </w:tabs>
        <w:spacing w:line="360" w:lineRule="auto"/>
        <w:ind w:left="720" w:hanging="720"/>
        <w:rPr>
          <w:rFonts w:asciiTheme="minorHAnsi" w:eastAsiaTheme="minorEastAsia" w:hAnsiTheme="minorHAnsi" w:cstheme="minorBidi"/>
          <w:noProof/>
          <w:sz w:val="22"/>
          <w:szCs w:val="22"/>
        </w:rPr>
      </w:pPr>
      <w:hyperlink w:anchor="_Toc394005471" w:history="1">
        <w:r w:rsidR="00F1486B" w:rsidRPr="0070523D">
          <w:rPr>
            <w:rStyle w:val="Hyperlink"/>
            <w:rFonts w:eastAsiaTheme="majorEastAsia" w:cstheme="majorBidi"/>
            <w:noProof/>
          </w:rPr>
          <w:t>Table 5 - 5. Pre- and post-dam stations associated with the dams used in the study</w:t>
        </w:r>
        <w:r w:rsidR="00F1486B" w:rsidRPr="0070523D">
          <w:rPr>
            <w:noProof/>
            <w:webHidden/>
          </w:rPr>
          <w:tab/>
        </w:r>
        <w:r w:rsidR="00F1486B" w:rsidRPr="0070523D">
          <w:rPr>
            <w:noProof/>
            <w:webHidden/>
          </w:rPr>
          <w:fldChar w:fldCharType="begin"/>
        </w:r>
        <w:r w:rsidR="00F1486B" w:rsidRPr="0070523D">
          <w:rPr>
            <w:noProof/>
            <w:webHidden/>
          </w:rPr>
          <w:instrText xml:space="preserve"> PAGEREF _Toc394005471 \h </w:instrText>
        </w:r>
        <w:r w:rsidR="00F1486B" w:rsidRPr="0070523D">
          <w:rPr>
            <w:noProof/>
            <w:webHidden/>
          </w:rPr>
        </w:r>
        <w:r w:rsidR="00F1486B" w:rsidRPr="0070523D">
          <w:rPr>
            <w:noProof/>
            <w:webHidden/>
          </w:rPr>
          <w:fldChar w:fldCharType="separate"/>
        </w:r>
        <w:r w:rsidR="00372367">
          <w:rPr>
            <w:noProof/>
            <w:webHidden/>
          </w:rPr>
          <w:t>48</w:t>
        </w:r>
        <w:r w:rsidR="00F1486B" w:rsidRPr="0070523D">
          <w:rPr>
            <w:noProof/>
            <w:webHidden/>
          </w:rPr>
          <w:fldChar w:fldCharType="end"/>
        </w:r>
      </w:hyperlink>
    </w:p>
    <w:p w:rsidR="00F1486B" w:rsidRPr="0070523D" w:rsidRDefault="0069536E" w:rsidP="004F12D3">
      <w:pPr>
        <w:pStyle w:val="TableofFigures"/>
        <w:tabs>
          <w:tab w:val="right" w:leader="dot" w:pos="9350"/>
        </w:tabs>
        <w:spacing w:line="360" w:lineRule="auto"/>
        <w:ind w:left="720" w:hanging="720"/>
        <w:rPr>
          <w:rFonts w:cstheme="majorBidi"/>
          <w:i/>
        </w:rPr>
      </w:pPr>
      <w:hyperlink w:anchor="_Toc394005472" w:history="1">
        <w:r w:rsidR="00F1486B" w:rsidRPr="0070523D">
          <w:rPr>
            <w:rStyle w:val="Hyperlink"/>
            <w:rFonts w:eastAsiaTheme="majorEastAsia" w:cstheme="majorBidi"/>
            <w:noProof/>
          </w:rPr>
          <w:t>Table 5 - 6. Z scores of the comparison of the rating parameters between pre-dam and post-dam stations</w:t>
        </w:r>
        <w:r w:rsidR="00F1486B" w:rsidRPr="0070523D">
          <w:rPr>
            <w:noProof/>
            <w:webHidden/>
          </w:rPr>
          <w:tab/>
        </w:r>
        <w:r w:rsidR="00F1486B" w:rsidRPr="0070523D">
          <w:rPr>
            <w:noProof/>
            <w:webHidden/>
          </w:rPr>
          <w:fldChar w:fldCharType="begin"/>
        </w:r>
        <w:r w:rsidR="00F1486B" w:rsidRPr="0070523D">
          <w:rPr>
            <w:noProof/>
            <w:webHidden/>
          </w:rPr>
          <w:instrText xml:space="preserve"> PAGEREF _Toc394005472 \h </w:instrText>
        </w:r>
        <w:r w:rsidR="00F1486B" w:rsidRPr="0070523D">
          <w:rPr>
            <w:noProof/>
            <w:webHidden/>
          </w:rPr>
        </w:r>
        <w:r w:rsidR="00F1486B" w:rsidRPr="0070523D">
          <w:rPr>
            <w:noProof/>
            <w:webHidden/>
          </w:rPr>
          <w:fldChar w:fldCharType="separate"/>
        </w:r>
        <w:r w:rsidR="00372367">
          <w:rPr>
            <w:noProof/>
            <w:webHidden/>
          </w:rPr>
          <w:t>49</w:t>
        </w:r>
        <w:r w:rsidR="00F1486B" w:rsidRPr="0070523D">
          <w:rPr>
            <w:noProof/>
            <w:webHidden/>
          </w:rPr>
          <w:fldChar w:fldCharType="end"/>
        </w:r>
      </w:hyperlink>
      <w:r w:rsidR="00F1486B" w:rsidRPr="0070523D">
        <w:rPr>
          <w:rFonts w:cstheme="majorBidi"/>
          <w:i/>
        </w:rPr>
        <w:fldChar w:fldCharType="end"/>
      </w:r>
    </w:p>
    <w:p w:rsidR="00301EAB" w:rsidRDefault="0070523D" w:rsidP="004F12D3">
      <w:pPr>
        <w:pStyle w:val="TableofFigures"/>
        <w:tabs>
          <w:tab w:val="right" w:leader="dot" w:pos="9350"/>
        </w:tabs>
        <w:ind w:left="720" w:hanging="720"/>
        <w:rPr>
          <w:rFonts w:asciiTheme="minorHAnsi" w:eastAsiaTheme="minorEastAsia" w:hAnsiTheme="minorHAnsi" w:cstheme="minorBidi"/>
          <w:noProof/>
          <w:sz w:val="22"/>
          <w:szCs w:val="22"/>
        </w:rPr>
      </w:pPr>
      <w:r w:rsidRPr="0070523D">
        <w:fldChar w:fldCharType="begin"/>
      </w:r>
      <w:r w:rsidRPr="0070523D">
        <w:instrText xml:space="preserve"> TOC \h \z \c "Table 6 -" </w:instrText>
      </w:r>
      <w:r w:rsidRPr="0070523D">
        <w:fldChar w:fldCharType="separate"/>
      </w:r>
      <w:hyperlink w:anchor="_Toc394013067" w:history="1">
        <w:r w:rsidR="00301EAB" w:rsidRPr="00BF2792">
          <w:rPr>
            <w:rStyle w:val="Hyperlink"/>
            <w:rFonts w:eastAsiaTheme="majorEastAsia"/>
            <w:noProof/>
          </w:rPr>
          <w:t>Table 6 - 1. The rating parameters of some rivers in other studies and this study</w:t>
        </w:r>
        <w:r w:rsidR="00301EAB">
          <w:rPr>
            <w:noProof/>
            <w:webHidden/>
          </w:rPr>
          <w:tab/>
        </w:r>
        <w:r w:rsidR="00301EAB">
          <w:rPr>
            <w:noProof/>
            <w:webHidden/>
          </w:rPr>
          <w:fldChar w:fldCharType="begin"/>
        </w:r>
        <w:r w:rsidR="00301EAB">
          <w:rPr>
            <w:noProof/>
            <w:webHidden/>
          </w:rPr>
          <w:instrText xml:space="preserve"> PAGEREF _Toc394013067 \h </w:instrText>
        </w:r>
        <w:r w:rsidR="00301EAB">
          <w:rPr>
            <w:noProof/>
            <w:webHidden/>
          </w:rPr>
        </w:r>
        <w:r w:rsidR="00301EAB">
          <w:rPr>
            <w:noProof/>
            <w:webHidden/>
          </w:rPr>
          <w:fldChar w:fldCharType="separate"/>
        </w:r>
        <w:r w:rsidR="00372367">
          <w:rPr>
            <w:noProof/>
            <w:webHidden/>
          </w:rPr>
          <w:t>73</w:t>
        </w:r>
        <w:r w:rsidR="00301EAB">
          <w:rPr>
            <w:noProof/>
            <w:webHidden/>
          </w:rPr>
          <w:fldChar w:fldCharType="end"/>
        </w:r>
      </w:hyperlink>
    </w:p>
    <w:p w:rsidR="00F1486B" w:rsidRDefault="0070523D" w:rsidP="004F12D3">
      <w:pPr>
        <w:spacing w:line="360" w:lineRule="auto"/>
        <w:ind w:left="720" w:hanging="720"/>
      </w:pPr>
      <w:r w:rsidRPr="0070523D">
        <w:fldChar w:fldCharType="end"/>
      </w:r>
      <w:r w:rsidR="00F1486B">
        <w:br w:type="page"/>
      </w:r>
    </w:p>
    <w:p w:rsidR="00F440E8" w:rsidRPr="00525A7E" w:rsidRDefault="00F1486B" w:rsidP="004F12D3">
      <w:pPr>
        <w:pStyle w:val="TableofFigures"/>
        <w:tabs>
          <w:tab w:val="right" w:leader="dot" w:pos="9350"/>
        </w:tabs>
        <w:spacing w:line="360" w:lineRule="auto"/>
        <w:ind w:left="720" w:hanging="720"/>
        <w:jc w:val="center"/>
        <w:rPr>
          <w:iCs/>
          <w:noProof/>
        </w:rPr>
      </w:pPr>
      <w:r w:rsidRPr="00525A7E">
        <w:rPr>
          <w:rFonts w:cstheme="majorBidi"/>
          <w:b/>
          <w:bCs/>
          <w:iCs/>
        </w:rPr>
        <w:lastRenderedPageBreak/>
        <w:t>List of figures</w:t>
      </w:r>
      <w:r w:rsidR="00F41E6A" w:rsidRPr="00525A7E">
        <w:rPr>
          <w:iCs/>
        </w:rPr>
        <w:fldChar w:fldCharType="begin"/>
      </w:r>
      <w:r w:rsidR="00221A81" w:rsidRPr="00525A7E">
        <w:rPr>
          <w:iCs/>
        </w:rPr>
        <w:instrText xml:space="preserve"> TOC \h \z \c "Figure" </w:instrText>
      </w:r>
      <w:r w:rsidR="00F41E6A" w:rsidRPr="00525A7E">
        <w:rPr>
          <w:iCs/>
        </w:rPr>
        <w:fldChar w:fldCharType="separate"/>
      </w:r>
    </w:p>
    <w:p w:rsidR="00F440E8" w:rsidRPr="00525A7E"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iCs/>
          <w:noProof/>
          <w:sz w:val="22"/>
          <w:szCs w:val="22"/>
        </w:rPr>
      </w:pPr>
      <w:hyperlink w:anchor="_Toc393799581" w:history="1">
        <w:r w:rsidR="00F440E8" w:rsidRPr="00525A7E">
          <w:rPr>
            <w:rStyle w:val="Hyperlink"/>
            <w:rFonts w:eastAsiaTheme="majorEastAsia" w:cstheme="majorBidi"/>
            <w:iCs/>
            <w:noProof/>
          </w:rPr>
          <w:t>Figure 3</w:t>
        </w:r>
        <w:r w:rsidR="00F440E8" w:rsidRPr="00525A7E">
          <w:rPr>
            <w:rStyle w:val="Hyperlink"/>
            <w:rFonts w:eastAsiaTheme="majorEastAsia" w:cstheme="majorBidi"/>
            <w:iCs/>
            <w:noProof/>
          </w:rPr>
          <w:noBreakHyphen/>
          <w:t>1. The Upper Mississippi River Basin</w:t>
        </w:r>
        <w:r w:rsidR="00F440E8" w:rsidRPr="00525A7E">
          <w:rPr>
            <w:iCs/>
            <w:noProof/>
            <w:webHidden/>
          </w:rPr>
          <w:tab/>
        </w:r>
        <w:r w:rsidR="00F41E6A" w:rsidRPr="00525A7E">
          <w:rPr>
            <w:iCs/>
            <w:noProof/>
            <w:webHidden/>
          </w:rPr>
          <w:fldChar w:fldCharType="begin"/>
        </w:r>
        <w:r w:rsidR="00F440E8" w:rsidRPr="00525A7E">
          <w:rPr>
            <w:iCs/>
            <w:noProof/>
            <w:webHidden/>
          </w:rPr>
          <w:instrText xml:space="preserve"> PAGEREF _Toc393799581 \h </w:instrText>
        </w:r>
        <w:r w:rsidR="00F41E6A" w:rsidRPr="00525A7E">
          <w:rPr>
            <w:iCs/>
            <w:noProof/>
            <w:webHidden/>
          </w:rPr>
        </w:r>
        <w:r w:rsidR="00F41E6A" w:rsidRPr="00525A7E">
          <w:rPr>
            <w:iCs/>
            <w:noProof/>
            <w:webHidden/>
          </w:rPr>
          <w:fldChar w:fldCharType="separate"/>
        </w:r>
        <w:r w:rsidR="00372367">
          <w:rPr>
            <w:iCs/>
            <w:noProof/>
            <w:webHidden/>
          </w:rPr>
          <w:t>19</w:t>
        </w:r>
        <w:r w:rsidR="00F41E6A" w:rsidRPr="00525A7E">
          <w:rPr>
            <w:iCs/>
            <w:noProof/>
            <w:webHidden/>
          </w:rPr>
          <w:fldChar w:fldCharType="end"/>
        </w:r>
      </w:hyperlink>
    </w:p>
    <w:p w:rsidR="00F440E8" w:rsidRPr="00525A7E"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iCs/>
          <w:noProof/>
          <w:sz w:val="22"/>
          <w:szCs w:val="22"/>
        </w:rPr>
      </w:pPr>
      <w:hyperlink w:anchor="_Toc393799582" w:history="1">
        <w:r w:rsidR="00F440E8" w:rsidRPr="00525A7E">
          <w:rPr>
            <w:rStyle w:val="Hyperlink"/>
            <w:rFonts w:eastAsiaTheme="majorEastAsia" w:cstheme="majorBidi"/>
            <w:iCs/>
            <w:noProof/>
          </w:rPr>
          <w:t>Figure 3</w:t>
        </w:r>
        <w:r w:rsidR="00F440E8" w:rsidRPr="00525A7E">
          <w:rPr>
            <w:rStyle w:val="Hyperlink"/>
            <w:rFonts w:eastAsiaTheme="majorEastAsia" w:cstheme="majorBidi"/>
            <w:iCs/>
            <w:noProof/>
          </w:rPr>
          <w:noBreakHyphen/>
          <w:t>2. Physiographic regions of the UMRB</w:t>
        </w:r>
        <w:r w:rsidR="00F440E8" w:rsidRPr="00525A7E">
          <w:rPr>
            <w:iCs/>
            <w:noProof/>
            <w:webHidden/>
          </w:rPr>
          <w:tab/>
        </w:r>
        <w:r w:rsidR="00F41E6A" w:rsidRPr="00525A7E">
          <w:rPr>
            <w:iCs/>
            <w:noProof/>
            <w:webHidden/>
          </w:rPr>
          <w:fldChar w:fldCharType="begin"/>
        </w:r>
        <w:r w:rsidR="00F440E8" w:rsidRPr="00525A7E">
          <w:rPr>
            <w:iCs/>
            <w:noProof/>
            <w:webHidden/>
          </w:rPr>
          <w:instrText xml:space="preserve"> PAGEREF _Toc393799582 \h </w:instrText>
        </w:r>
        <w:r w:rsidR="00F41E6A" w:rsidRPr="00525A7E">
          <w:rPr>
            <w:iCs/>
            <w:noProof/>
            <w:webHidden/>
          </w:rPr>
        </w:r>
        <w:r w:rsidR="00F41E6A" w:rsidRPr="00525A7E">
          <w:rPr>
            <w:iCs/>
            <w:noProof/>
            <w:webHidden/>
          </w:rPr>
          <w:fldChar w:fldCharType="separate"/>
        </w:r>
        <w:r w:rsidR="00372367">
          <w:rPr>
            <w:iCs/>
            <w:noProof/>
            <w:webHidden/>
          </w:rPr>
          <w:t>20</w:t>
        </w:r>
        <w:r w:rsidR="00F41E6A" w:rsidRPr="00525A7E">
          <w:rPr>
            <w:iCs/>
            <w:noProof/>
            <w:webHidden/>
          </w:rPr>
          <w:fldChar w:fldCharType="end"/>
        </w:r>
      </w:hyperlink>
    </w:p>
    <w:p w:rsidR="00F440E8" w:rsidRPr="00525A7E"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iCs/>
          <w:noProof/>
          <w:sz w:val="22"/>
          <w:szCs w:val="22"/>
        </w:rPr>
      </w:pPr>
      <w:hyperlink w:anchor="_Toc393799583" w:history="1">
        <w:r w:rsidR="00F440E8" w:rsidRPr="00525A7E">
          <w:rPr>
            <w:rStyle w:val="Hyperlink"/>
            <w:rFonts w:eastAsiaTheme="majorEastAsia" w:cstheme="majorBidi"/>
            <w:iCs/>
            <w:noProof/>
          </w:rPr>
          <w:t>Figure 3</w:t>
        </w:r>
        <w:r w:rsidR="00F440E8" w:rsidRPr="00525A7E">
          <w:rPr>
            <w:rStyle w:val="Hyperlink"/>
            <w:rFonts w:eastAsiaTheme="majorEastAsia" w:cstheme="majorBidi"/>
            <w:iCs/>
            <w:noProof/>
          </w:rPr>
          <w:noBreakHyphen/>
          <w:t>3. Elevation in the UMRB</w:t>
        </w:r>
        <w:r w:rsidR="00F440E8" w:rsidRPr="00525A7E">
          <w:rPr>
            <w:iCs/>
            <w:noProof/>
            <w:webHidden/>
          </w:rPr>
          <w:tab/>
        </w:r>
        <w:r w:rsidR="00F41E6A" w:rsidRPr="00525A7E">
          <w:rPr>
            <w:iCs/>
            <w:noProof/>
            <w:webHidden/>
          </w:rPr>
          <w:fldChar w:fldCharType="begin"/>
        </w:r>
        <w:r w:rsidR="00F440E8" w:rsidRPr="00525A7E">
          <w:rPr>
            <w:iCs/>
            <w:noProof/>
            <w:webHidden/>
          </w:rPr>
          <w:instrText xml:space="preserve"> PAGEREF _Toc393799583 \h </w:instrText>
        </w:r>
        <w:r w:rsidR="00F41E6A" w:rsidRPr="00525A7E">
          <w:rPr>
            <w:iCs/>
            <w:noProof/>
            <w:webHidden/>
          </w:rPr>
        </w:r>
        <w:r w:rsidR="00F41E6A" w:rsidRPr="00525A7E">
          <w:rPr>
            <w:iCs/>
            <w:noProof/>
            <w:webHidden/>
          </w:rPr>
          <w:fldChar w:fldCharType="separate"/>
        </w:r>
        <w:r w:rsidR="00372367">
          <w:rPr>
            <w:iCs/>
            <w:noProof/>
            <w:webHidden/>
          </w:rPr>
          <w:t>20</w:t>
        </w:r>
        <w:r w:rsidR="00F41E6A" w:rsidRPr="00525A7E">
          <w:rPr>
            <w:iCs/>
            <w:noProof/>
            <w:webHidden/>
          </w:rPr>
          <w:fldChar w:fldCharType="end"/>
        </w:r>
      </w:hyperlink>
    </w:p>
    <w:p w:rsidR="00F440E8" w:rsidRPr="00525A7E"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iCs/>
          <w:noProof/>
          <w:sz w:val="22"/>
          <w:szCs w:val="22"/>
        </w:rPr>
      </w:pPr>
      <w:hyperlink w:anchor="_Toc393799584" w:history="1">
        <w:r w:rsidR="00F440E8" w:rsidRPr="00525A7E">
          <w:rPr>
            <w:rStyle w:val="Hyperlink"/>
            <w:rFonts w:eastAsiaTheme="majorEastAsia" w:cstheme="majorBidi"/>
            <w:iCs/>
            <w:noProof/>
          </w:rPr>
          <w:t>Figure 3</w:t>
        </w:r>
        <w:r w:rsidR="00F440E8" w:rsidRPr="00525A7E">
          <w:rPr>
            <w:rStyle w:val="Hyperlink"/>
            <w:rFonts w:eastAsiaTheme="majorEastAsia" w:cstheme="majorBidi"/>
            <w:iCs/>
            <w:noProof/>
          </w:rPr>
          <w:noBreakHyphen/>
          <w:t>4. Mean annual precipitation in the UMRB</w:t>
        </w:r>
        <w:r w:rsidR="00F440E8" w:rsidRPr="00525A7E">
          <w:rPr>
            <w:iCs/>
            <w:noProof/>
            <w:webHidden/>
          </w:rPr>
          <w:tab/>
        </w:r>
        <w:r w:rsidR="00F41E6A" w:rsidRPr="00525A7E">
          <w:rPr>
            <w:iCs/>
            <w:noProof/>
            <w:webHidden/>
          </w:rPr>
          <w:fldChar w:fldCharType="begin"/>
        </w:r>
        <w:r w:rsidR="00F440E8" w:rsidRPr="00525A7E">
          <w:rPr>
            <w:iCs/>
            <w:noProof/>
            <w:webHidden/>
          </w:rPr>
          <w:instrText xml:space="preserve"> PAGEREF _Toc393799584 \h </w:instrText>
        </w:r>
        <w:r w:rsidR="00F41E6A" w:rsidRPr="00525A7E">
          <w:rPr>
            <w:iCs/>
            <w:noProof/>
            <w:webHidden/>
          </w:rPr>
        </w:r>
        <w:r w:rsidR="00F41E6A" w:rsidRPr="00525A7E">
          <w:rPr>
            <w:iCs/>
            <w:noProof/>
            <w:webHidden/>
          </w:rPr>
          <w:fldChar w:fldCharType="separate"/>
        </w:r>
        <w:r w:rsidR="00372367">
          <w:rPr>
            <w:iCs/>
            <w:noProof/>
            <w:webHidden/>
          </w:rPr>
          <w:t>22</w:t>
        </w:r>
        <w:r w:rsidR="00F41E6A" w:rsidRPr="00525A7E">
          <w:rPr>
            <w:iCs/>
            <w:noProof/>
            <w:webHidden/>
          </w:rPr>
          <w:fldChar w:fldCharType="end"/>
        </w:r>
      </w:hyperlink>
    </w:p>
    <w:p w:rsidR="00F440E8" w:rsidRPr="00525A7E"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iCs/>
          <w:noProof/>
          <w:sz w:val="22"/>
          <w:szCs w:val="22"/>
        </w:rPr>
      </w:pPr>
      <w:hyperlink w:anchor="_Toc393799585" w:history="1">
        <w:r w:rsidR="00F440E8" w:rsidRPr="00525A7E">
          <w:rPr>
            <w:rStyle w:val="Hyperlink"/>
            <w:rFonts w:eastAsiaTheme="majorEastAsia" w:cstheme="majorBidi"/>
            <w:iCs/>
            <w:noProof/>
          </w:rPr>
          <w:t>Figure 3</w:t>
        </w:r>
        <w:r w:rsidR="00F440E8" w:rsidRPr="00525A7E">
          <w:rPr>
            <w:rStyle w:val="Hyperlink"/>
            <w:rFonts w:eastAsiaTheme="majorEastAsia" w:cstheme="majorBidi"/>
            <w:iCs/>
            <w:noProof/>
          </w:rPr>
          <w:noBreakHyphen/>
          <w:t>5. Monthly average precipitation (1985–1995) in five cities in the UMRB</w:t>
        </w:r>
        <w:r w:rsidR="00F440E8" w:rsidRPr="00525A7E">
          <w:rPr>
            <w:iCs/>
            <w:noProof/>
            <w:webHidden/>
          </w:rPr>
          <w:tab/>
        </w:r>
        <w:r w:rsidR="00F41E6A" w:rsidRPr="00525A7E">
          <w:rPr>
            <w:iCs/>
            <w:noProof/>
            <w:webHidden/>
          </w:rPr>
          <w:fldChar w:fldCharType="begin"/>
        </w:r>
        <w:r w:rsidR="00F440E8" w:rsidRPr="00525A7E">
          <w:rPr>
            <w:iCs/>
            <w:noProof/>
            <w:webHidden/>
          </w:rPr>
          <w:instrText xml:space="preserve"> PAGEREF _Toc393799585 \h </w:instrText>
        </w:r>
        <w:r w:rsidR="00F41E6A" w:rsidRPr="00525A7E">
          <w:rPr>
            <w:iCs/>
            <w:noProof/>
            <w:webHidden/>
          </w:rPr>
        </w:r>
        <w:r w:rsidR="00F41E6A" w:rsidRPr="00525A7E">
          <w:rPr>
            <w:iCs/>
            <w:noProof/>
            <w:webHidden/>
          </w:rPr>
          <w:fldChar w:fldCharType="separate"/>
        </w:r>
        <w:r w:rsidR="00372367">
          <w:rPr>
            <w:iCs/>
            <w:noProof/>
            <w:webHidden/>
          </w:rPr>
          <w:t>23</w:t>
        </w:r>
        <w:r w:rsidR="00F41E6A" w:rsidRPr="00525A7E">
          <w:rPr>
            <w:iCs/>
            <w:noProof/>
            <w:webHidden/>
          </w:rPr>
          <w:fldChar w:fldCharType="end"/>
        </w:r>
      </w:hyperlink>
    </w:p>
    <w:p w:rsidR="00F440E8" w:rsidRPr="00525A7E"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iCs/>
          <w:noProof/>
          <w:sz w:val="22"/>
          <w:szCs w:val="22"/>
        </w:rPr>
      </w:pPr>
      <w:hyperlink w:anchor="_Toc393799586" w:history="1">
        <w:r w:rsidR="00F440E8" w:rsidRPr="00525A7E">
          <w:rPr>
            <w:rStyle w:val="Hyperlink"/>
            <w:rFonts w:eastAsiaTheme="majorEastAsia" w:cstheme="majorBidi"/>
            <w:iCs/>
            <w:noProof/>
          </w:rPr>
          <w:t>Figure 3</w:t>
        </w:r>
        <w:r w:rsidR="00F440E8" w:rsidRPr="00525A7E">
          <w:rPr>
            <w:rStyle w:val="Hyperlink"/>
            <w:rFonts w:eastAsiaTheme="majorEastAsia" w:cstheme="majorBidi"/>
            <w:iCs/>
            <w:noProof/>
          </w:rPr>
          <w:noBreakHyphen/>
          <w:t>6. Monthly average discharge measured at five gauging stations in the UMRB</w:t>
        </w:r>
        <w:r w:rsidR="00F440E8" w:rsidRPr="00525A7E">
          <w:rPr>
            <w:iCs/>
            <w:noProof/>
            <w:webHidden/>
          </w:rPr>
          <w:tab/>
        </w:r>
        <w:r w:rsidR="00F41E6A" w:rsidRPr="00525A7E">
          <w:rPr>
            <w:iCs/>
            <w:noProof/>
            <w:webHidden/>
          </w:rPr>
          <w:fldChar w:fldCharType="begin"/>
        </w:r>
        <w:r w:rsidR="00F440E8" w:rsidRPr="00525A7E">
          <w:rPr>
            <w:iCs/>
            <w:noProof/>
            <w:webHidden/>
          </w:rPr>
          <w:instrText xml:space="preserve"> PAGEREF _Toc393799586 \h </w:instrText>
        </w:r>
        <w:r w:rsidR="00F41E6A" w:rsidRPr="00525A7E">
          <w:rPr>
            <w:iCs/>
            <w:noProof/>
            <w:webHidden/>
          </w:rPr>
        </w:r>
        <w:r w:rsidR="00F41E6A" w:rsidRPr="00525A7E">
          <w:rPr>
            <w:iCs/>
            <w:noProof/>
            <w:webHidden/>
          </w:rPr>
          <w:fldChar w:fldCharType="separate"/>
        </w:r>
        <w:r w:rsidR="00372367">
          <w:rPr>
            <w:iCs/>
            <w:noProof/>
            <w:webHidden/>
          </w:rPr>
          <w:t>24</w:t>
        </w:r>
        <w:r w:rsidR="00F41E6A" w:rsidRPr="00525A7E">
          <w:rPr>
            <w:iCs/>
            <w:noProof/>
            <w:webHidden/>
          </w:rPr>
          <w:fldChar w:fldCharType="end"/>
        </w:r>
      </w:hyperlink>
    </w:p>
    <w:p w:rsidR="00F440E8" w:rsidRPr="00525A7E" w:rsidRDefault="0069536E" w:rsidP="004F12D3">
      <w:pPr>
        <w:pStyle w:val="TableofFigures"/>
        <w:tabs>
          <w:tab w:val="right" w:leader="dot" w:pos="9350"/>
        </w:tabs>
        <w:spacing w:line="360" w:lineRule="auto"/>
        <w:ind w:left="720" w:hanging="720"/>
        <w:rPr>
          <w:rFonts w:asciiTheme="minorHAnsi" w:eastAsiaTheme="minorEastAsia" w:hAnsiTheme="minorHAnsi" w:cstheme="minorBidi"/>
          <w:iCs/>
          <w:noProof/>
          <w:sz w:val="22"/>
          <w:szCs w:val="22"/>
        </w:rPr>
      </w:pPr>
      <w:hyperlink w:anchor="_Toc393799587" w:history="1">
        <w:r w:rsidR="00F440E8" w:rsidRPr="00525A7E">
          <w:rPr>
            <w:rStyle w:val="Hyperlink"/>
            <w:rFonts w:eastAsiaTheme="majorEastAsia" w:cstheme="majorBidi"/>
            <w:iCs/>
            <w:noProof/>
          </w:rPr>
          <w:t>Figure 3</w:t>
        </w:r>
        <w:r w:rsidR="00F440E8" w:rsidRPr="00525A7E">
          <w:rPr>
            <w:rStyle w:val="Hyperlink"/>
            <w:rFonts w:eastAsiaTheme="majorEastAsia" w:cstheme="majorBidi"/>
            <w:iCs/>
            <w:noProof/>
          </w:rPr>
          <w:noBreakHyphen/>
          <w:t>7. Soil permeability and soil erodibility factor (K) in the UMRB (soil loss per erosion unit)</w:t>
        </w:r>
        <w:r w:rsidR="00F440E8" w:rsidRPr="00525A7E">
          <w:rPr>
            <w:rStyle w:val="Hyperlink"/>
            <w:rFonts w:ascii="Times New Roman" w:eastAsiaTheme="majorEastAsia" w:hAnsi="Times New Roman" w:cs="Times New Roman"/>
            <w:iCs/>
            <w:noProof/>
          </w:rPr>
          <w:t xml:space="preserve"> </w:t>
        </w:r>
        <w:r w:rsidR="00F440E8" w:rsidRPr="00525A7E">
          <w:rPr>
            <w:iCs/>
            <w:noProof/>
            <w:webHidden/>
          </w:rPr>
          <w:tab/>
        </w:r>
        <w:r w:rsidR="00F41E6A" w:rsidRPr="00525A7E">
          <w:rPr>
            <w:iCs/>
            <w:noProof/>
            <w:webHidden/>
          </w:rPr>
          <w:fldChar w:fldCharType="begin"/>
        </w:r>
        <w:r w:rsidR="00F440E8" w:rsidRPr="00525A7E">
          <w:rPr>
            <w:iCs/>
            <w:noProof/>
            <w:webHidden/>
          </w:rPr>
          <w:instrText xml:space="preserve"> PAGEREF _Toc393799587 \h </w:instrText>
        </w:r>
        <w:r w:rsidR="00F41E6A" w:rsidRPr="00525A7E">
          <w:rPr>
            <w:iCs/>
            <w:noProof/>
            <w:webHidden/>
          </w:rPr>
        </w:r>
        <w:r w:rsidR="00F41E6A" w:rsidRPr="00525A7E">
          <w:rPr>
            <w:iCs/>
            <w:noProof/>
            <w:webHidden/>
          </w:rPr>
          <w:fldChar w:fldCharType="separate"/>
        </w:r>
        <w:r w:rsidR="00372367">
          <w:rPr>
            <w:iCs/>
            <w:noProof/>
            <w:webHidden/>
          </w:rPr>
          <w:t>26</w:t>
        </w:r>
        <w:r w:rsidR="00F41E6A" w:rsidRPr="00525A7E">
          <w:rPr>
            <w:iCs/>
            <w:noProof/>
            <w:webHidden/>
          </w:rPr>
          <w:fldChar w:fldCharType="end"/>
        </w:r>
      </w:hyperlink>
    </w:p>
    <w:p w:rsidR="00F440E8" w:rsidRPr="00525A7E"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iCs/>
          <w:noProof/>
          <w:sz w:val="22"/>
          <w:szCs w:val="22"/>
        </w:rPr>
      </w:pPr>
      <w:hyperlink w:anchor="_Toc393799588" w:history="1">
        <w:r w:rsidR="00F440E8" w:rsidRPr="00525A7E">
          <w:rPr>
            <w:rStyle w:val="Hyperlink"/>
            <w:rFonts w:eastAsiaTheme="majorEastAsia" w:cstheme="majorBidi"/>
            <w:iCs/>
            <w:noProof/>
          </w:rPr>
          <w:t>Figure 3</w:t>
        </w:r>
        <w:r w:rsidR="00F440E8" w:rsidRPr="00525A7E">
          <w:rPr>
            <w:rStyle w:val="Hyperlink"/>
            <w:rFonts w:eastAsiaTheme="majorEastAsia" w:cstheme="majorBidi"/>
            <w:iCs/>
            <w:noProof/>
          </w:rPr>
          <w:noBreakHyphen/>
          <w:t>8 . Land cover in the UMRB in 1992</w:t>
        </w:r>
        <w:r w:rsidR="00F440E8" w:rsidRPr="00525A7E">
          <w:rPr>
            <w:iCs/>
            <w:noProof/>
            <w:webHidden/>
          </w:rPr>
          <w:tab/>
        </w:r>
        <w:r w:rsidR="00F41E6A" w:rsidRPr="00525A7E">
          <w:rPr>
            <w:iCs/>
            <w:noProof/>
            <w:webHidden/>
          </w:rPr>
          <w:fldChar w:fldCharType="begin"/>
        </w:r>
        <w:r w:rsidR="00F440E8" w:rsidRPr="00525A7E">
          <w:rPr>
            <w:iCs/>
            <w:noProof/>
            <w:webHidden/>
          </w:rPr>
          <w:instrText xml:space="preserve"> PAGEREF _Toc393799588 \h </w:instrText>
        </w:r>
        <w:r w:rsidR="00F41E6A" w:rsidRPr="00525A7E">
          <w:rPr>
            <w:iCs/>
            <w:noProof/>
            <w:webHidden/>
          </w:rPr>
        </w:r>
        <w:r w:rsidR="00F41E6A" w:rsidRPr="00525A7E">
          <w:rPr>
            <w:iCs/>
            <w:noProof/>
            <w:webHidden/>
          </w:rPr>
          <w:fldChar w:fldCharType="separate"/>
        </w:r>
        <w:r w:rsidR="00372367">
          <w:rPr>
            <w:iCs/>
            <w:noProof/>
            <w:webHidden/>
          </w:rPr>
          <w:t>30</w:t>
        </w:r>
        <w:r w:rsidR="00F41E6A" w:rsidRPr="00525A7E">
          <w:rPr>
            <w:iCs/>
            <w:noProof/>
            <w:webHidden/>
          </w:rPr>
          <w:fldChar w:fldCharType="end"/>
        </w:r>
      </w:hyperlink>
    </w:p>
    <w:p w:rsidR="00F440E8" w:rsidRPr="00F440E8" w:rsidRDefault="0069536E" w:rsidP="004F12D3">
      <w:pPr>
        <w:pStyle w:val="TableofFigures"/>
        <w:tabs>
          <w:tab w:val="right" w:leader="dot" w:pos="9350"/>
        </w:tabs>
        <w:spacing w:line="360" w:lineRule="auto"/>
        <w:ind w:left="720" w:hanging="720"/>
        <w:jc w:val="center"/>
        <w:rPr>
          <w:noProof/>
        </w:rPr>
      </w:pPr>
      <w:hyperlink w:anchor="_Toc393799589" w:history="1">
        <w:r w:rsidR="00F440E8" w:rsidRPr="00525A7E">
          <w:rPr>
            <w:rStyle w:val="Hyperlink"/>
            <w:rFonts w:eastAsiaTheme="majorEastAsia" w:cstheme="majorBidi"/>
            <w:iCs/>
            <w:noProof/>
          </w:rPr>
          <w:t>Figure 4</w:t>
        </w:r>
        <w:r w:rsidR="00F440E8" w:rsidRPr="00525A7E">
          <w:rPr>
            <w:rStyle w:val="Hyperlink"/>
            <w:rFonts w:eastAsiaTheme="majorEastAsia" w:cstheme="majorBidi"/>
            <w:iCs/>
            <w:noProof/>
          </w:rPr>
          <w:noBreakHyphen/>
          <w:t>1. Locations of monitoring stations and dams in the Upper Mississippi River Basin used in this study</w:t>
        </w:r>
        <w:r w:rsidR="00F440E8" w:rsidRPr="00525A7E">
          <w:rPr>
            <w:iCs/>
            <w:noProof/>
            <w:webHidden/>
          </w:rPr>
          <w:tab/>
        </w:r>
        <w:r w:rsidR="00F41E6A" w:rsidRPr="00525A7E">
          <w:rPr>
            <w:iCs/>
            <w:noProof/>
            <w:webHidden/>
          </w:rPr>
          <w:fldChar w:fldCharType="begin"/>
        </w:r>
        <w:r w:rsidR="00F440E8" w:rsidRPr="00525A7E">
          <w:rPr>
            <w:iCs/>
            <w:noProof/>
            <w:webHidden/>
          </w:rPr>
          <w:instrText xml:space="preserve"> PAGEREF _Toc393799589 \h </w:instrText>
        </w:r>
        <w:r w:rsidR="00F41E6A" w:rsidRPr="00525A7E">
          <w:rPr>
            <w:iCs/>
            <w:noProof/>
            <w:webHidden/>
          </w:rPr>
        </w:r>
        <w:r w:rsidR="00F41E6A" w:rsidRPr="00525A7E">
          <w:rPr>
            <w:iCs/>
            <w:noProof/>
            <w:webHidden/>
          </w:rPr>
          <w:fldChar w:fldCharType="separate"/>
        </w:r>
        <w:r w:rsidR="00372367">
          <w:rPr>
            <w:iCs/>
            <w:noProof/>
            <w:webHidden/>
          </w:rPr>
          <w:t>34</w:t>
        </w:r>
        <w:r w:rsidR="00F41E6A" w:rsidRPr="00525A7E">
          <w:rPr>
            <w:iCs/>
            <w:noProof/>
            <w:webHidden/>
          </w:rPr>
          <w:fldChar w:fldCharType="end"/>
        </w:r>
      </w:hyperlink>
      <w:r w:rsidR="00F41E6A" w:rsidRPr="00525A7E">
        <w:rPr>
          <w:rFonts w:cstheme="majorBidi"/>
          <w:iCs/>
        </w:rPr>
        <w:fldChar w:fldCharType="end"/>
      </w:r>
      <w:r w:rsidR="00F41E6A" w:rsidRPr="00F440E8">
        <w:rPr>
          <w:rFonts w:cstheme="majorBidi"/>
          <w:i/>
        </w:rPr>
        <w:fldChar w:fldCharType="begin"/>
      </w:r>
      <w:r w:rsidR="00221A81" w:rsidRPr="00F440E8">
        <w:rPr>
          <w:rFonts w:cstheme="majorBidi"/>
          <w:i/>
        </w:rPr>
        <w:instrText xml:space="preserve"> TOC \h \z \c "Figure 5 -" </w:instrText>
      </w:r>
      <w:r w:rsidR="00F41E6A" w:rsidRPr="00F440E8">
        <w:rPr>
          <w:rFonts w:cstheme="majorBidi"/>
          <w:i/>
        </w:rPr>
        <w:fldChar w:fldCharType="separate"/>
      </w:r>
    </w:p>
    <w:p w:rsidR="00F440E8" w:rsidRPr="00F440E8"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noProof/>
          <w:sz w:val="22"/>
          <w:szCs w:val="22"/>
        </w:rPr>
      </w:pPr>
      <w:hyperlink w:anchor="_Toc393799559" w:history="1">
        <w:r w:rsidR="00F440E8" w:rsidRPr="00F440E8">
          <w:rPr>
            <w:rStyle w:val="Hyperlink"/>
            <w:rFonts w:eastAsiaTheme="majorEastAsia" w:cstheme="majorBidi"/>
            <w:noProof/>
          </w:rPr>
          <w:t xml:space="preserve">Figure 5 - 1. Histogram of the annual </w:t>
        </w:r>
        <m:oMath>
          <m:r>
            <w:rPr>
              <w:rStyle w:val="Hyperlink"/>
              <w:rFonts w:ascii="Cambria Math" w:eastAsiaTheme="majorEastAsia" w:hAnsi="Cambria Math" w:cstheme="majorBidi"/>
              <w:noProof/>
            </w:rPr>
            <m:t>ln(a)</m:t>
          </m:r>
        </m:oMath>
        <w:r w:rsidR="00F440E8" w:rsidRPr="00F440E8">
          <w:rPr>
            <w:rStyle w:val="Hyperlink"/>
            <w:rFonts w:eastAsiaTheme="majorEastAsia" w:cstheme="majorBidi"/>
            <w:noProof/>
          </w:rPr>
          <w:t xml:space="preserve"> as measured at 64 gauging stations in the UMRB.</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_Toc393799559 \h </w:instrText>
        </w:r>
        <w:r w:rsidR="00F41E6A" w:rsidRPr="00F440E8">
          <w:rPr>
            <w:noProof/>
            <w:webHidden/>
          </w:rPr>
        </w:r>
        <w:r w:rsidR="00F41E6A" w:rsidRPr="00F440E8">
          <w:rPr>
            <w:noProof/>
            <w:webHidden/>
          </w:rPr>
          <w:fldChar w:fldCharType="separate"/>
        </w:r>
        <w:r w:rsidR="00372367">
          <w:rPr>
            <w:noProof/>
            <w:webHidden/>
          </w:rPr>
          <w:t>52</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rPr>
          <w:rFonts w:asciiTheme="minorHAnsi" w:eastAsiaTheme="minorEastAsia" w:hAnsiTheme="minorHAnsi" w:cstheme="minorBidi"/>
          <w:noProof/>
          <w:sz w:val="22"/>
          <w:szCs w:val="22"/>
        </w:rPr>
      </w:pPr>
      <w:hyperlink w:anchor="_Toc393799560" w:history="1">
        <w:r w:rsidR="00F440E8" w:rsidRPr="00F440E8">
          <w:rPr>
            <w:rStyle w:val="Hyperlink"/>
            <w:rFonts w:eastAsiaTheme="majorEastAsia" w:cstheme="majorBidi"/>
            <w:noProof/>
          </w:rPr>
          <w:t xml:space="preserve">Figure 5 - </w:t>
        </w:r>
        <w:r w:rsidR="00F440E8" w:rsidRPr="00F440E8">
          <w:rPr>
            <w:rStyle w:val="Hyperlink"/>
            <w:rFonts w:eastAsiaTheme="majorEastAsia"/>
            <w:noProof/>
          </w:rPr>
          <w:t>2</w:t>
        </w:r>
        <w:r w:rsidR="00F440E8" w:rsidRPr="00F440E8">
          <w:rPr>
            <w:rStyle w:val="Hyperlink"/>
            <w:rFonts w:eastAsiaTheme="majorEastAsia" w:cstheme="majorBidi"/>
            <w:noProof/>
          </w:rPr>
          <w:t xml:space="preserve">. Histogram of the annual exponent </w:t>
        </w:r>
        <m:oMath>
          <m:r>
            <w:rPr>
              <w:rStyle w:val="Hyperlink"/>
              <w:rFonts w:ascii="Cambria Math" w:eastAsiaTheme="majorEastAsia" w:hAnsi="Cambria Math" w:cstheme="majorBidi"/>
              <w:noProof/>
            </w:rPr>
            <m:t>b</m:t>
          </m:r>
        </m:oMath>
        <w:r w:rsidR="00F440E8" w:rsidRPr="00F440E8">
          <w:rPr>
            <w:rStyle w:val="Hyperlink"/>
            <w:rFonts w:eastAsiaTheme="majorEastAsia" w:cstheme="majorBidi"/>
            <w:noProof/>
          </w:rPr>
          <w:t xml:space="preserve"> as measured at 64 gauging stations in the UMRB.</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_Toc393799560 \h </w:instrText>
        </w:r>
        <w:r w:rsidR="00F41E6A" w:rsidRPr="00F440E8">
          <w:rPr>
            <w:noProof/>
            <w:webHidden/>
          </w:rPr>
        </w:r>
        <w:r w:rsidR="00F41E6A" w:rsidRPr="00F440E8">
          <w:rPr>
            <w:noProof/>
            <w:webHidden/>
          </w:rPr>
          <w:fldChar w:fldCharType="separate"/>
        </w:r>
        <w:r w:rsidR="00372367">
          <w:rPr>
            <w:noProof/>
            <w:webHidden/>
          </w:rPr>
          <w:t>52</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noProof/>
          <w:sz w:val="22"/>
          <w:szCs w:val="22"/>
        </w:rPr>
      </w:pPr>
      <w:hyperlink w:anchor="_Toc393799561" w:history="1">
        <w:r w:rsidR="00F440E8" w:rsidRPr="00F440E8">
          <w:rPr>
            <w:rStyle w:val="Hyperlink"/>
            <w:rFonts w:eastAsiaTheme="majorEastAsia"/>
            <w:noProof/>
          </w:rPr>
          <w:t xml:space="preserve">Figure 5 - </w:t>
        </w:r>
        <w:r w:rsidR="00F440E8" w:rsidRPr="00F440E8">
          <w:rPr>
            <w:rStyle w:val="Hyperlink"/>
            <w:rFonts w:eastAsiaTheme="majorEastAsia" w:cstheme="majorBidi"/>
            <w:noProof/>
          </w:rPr>
          <w:t>3</w:t>
        </w:r>
        <w:r w:rsidR="00F440E8" w:rsidRPr="00F440E8">
          <w:rPr>
            <w:rStyle w:val="Hyperlink"/>
            <w:rFonts w:eastAsiaTheme="majorEastAsia"/>
            <w:noProof/>
          </w:rPr>
          <w:t xml:space="preserve">. Histogram of the annual </w:t>
        </w:r>
        <m:oMath>
          <m:r>
            <w:rPr>
              <w:rStyle w:val="Hyperlink"/>
              <w:rFonts w:ascii="Cambria Math" w:eastAsiaTheme="majorEastAsia" w:hAnsi="Cambria Math"/>
              <w:noProof/>
            </w:rPr>
            <m:t>a</m:t>
          </m:r>
        </m:oMath>
        <w:r w:rsidR="00F440E8" w:rsidRPr="00F440E8">
          <w:rPr>
            <w:rStyle w:val="Hyperlink"/>
            <w:rFonts w:eastAsiaTheme="majorEastAsia"/>
            <w:noProof/>
          </w:rPr>
          <w:t xml:space="preserve"> as measured at 64 gauging stations in the UMRB.</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_Toc393799561 \h </w:instrText>
        </w:r>
        <w:r w:rsidR="00F41E6A" w:rsidRPr="00F440E8">
          <w:rPr>
            <w:noProof/>
            <w:webHidden/>
          </w:rPr>
        </w:r>
        <w:r w:rsidR="00F41E6A" w:rsidRPr="00F440E8">
          <w:rPr>
            <w:noProof/>
            <w:webHidden/>
          </w:rPr>
          <w:fldChar w:fldCharType="separate"/>
        </w:r>
        <w:r w:rsidR="00372367">
          <w:rPr>
            <w:noProof/>
            <w:webHidden/>
          </w:rPr>
          <w:t>53</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noProof/>
          <w:sz w:val="22"/>
          <w:szCs w:val="22"/>
        </w:rPr>
      </w:pPr>
      <w:hyperlink w:anchor="_Toc393799562" w:history="1">
        <w:r w:rsidR="00F440E8" w:rsidRPr="00F440E8">
          <w:rPr>
            <w:rStyle w:val="Hyperlink"/>
            <w:rFonts w:eastAsiaTheme="majorEastAsia" w:cstheme="majorBidi"/>
            <w:noProof/>
          </w:rPr>
          <w:t xml:space="preserve">Figure 5 - 4. Histograms of the monthly  </w:t>
        </w:r>
        <m:oMath>
          <m:r>
            <w:rPr>
              <w:rStyle w:val="Hyperlink"/>
              <w:rFonts w:ascii="Cambria Math" w:eastAsiaTheme="majorEastAsia" w:hAnsi="Cambria Math" w:cstheme="majorBidi"/>
              <w:noProof/>
            </w:rPr>
            <m:t>ln(a)</m:t>
          </m:r>
        </m:oMath>
        <w:r w:rsidR="00F440E8" w:rsidRPr="00F440E8">
          <w:rPr>
            <w:rStyle w:val="Hyperlink"/>
            <w:rFonts w:eastAsiaTheme="majorEastAsia" w:cstheme="majorBidi"/>
            <w:noProof/>
          </w:rPr>
          <w:t xml:space="preserve"> as measured at 64 gauging stations in the UMRB.</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_Toc393799562 \h </w:instrText>
        </w:r>
        <w:r w:rsidR="00F41E6A" w:rsidRPr="00F440E8">
          <w:rPr>
            <w:noProof/>
            <w:webHidden/>
          </w:rPr>
        </w:r>
        <w:r w:rsidR="00F41E6A" w:rsidRPr="00F440E8">
          <w:rPr>
            <w:noProof/>
            <w:webHidden/>
          </w:rPr>
          <w:fldChar w:fldCharType="separate"/>
        </w:r>
        <w:r w:rsidR="00372367">
          <w:rPr>
            <w:noProof/>
            <w:webHidden/>
          </w:rPr>
          <w:t>53</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rPr>
          <w:rFonts w:asciiTheme="minorHAnsi" w:eastAsiaTheme="minorEastAsia" w:hAnsiTheme="minorHAnsi" w:cstheme="minorBidi"/>
          <w:noProof/>
          <w:sz w:val="22"/>
          <w:szCs w:val="22"/>
        </w:rPr>
      </w:pPr>
      <w:hyperlink w:anchor="_Toc393799563" w:history="1">
        <w:r w:rsidR="00F440E8" w:rsidRPr="00F440E8">
          <w:rPr>
            <w:rStyle w:val="Hyperlink"/>
            <w:rFonts w:eastAsiaTheme="majorEastAsia" w:cstheme="majorBidi"/>
            <w:noProof/>
          </w:rPr>
          <w:t xml:space="preserve">Figure 5 - 5. Histogram of the monthly exponent </w:t>
        </w:r>
        <m:oMath>
          <m:r>
            <w:rPr>
              <w:rStyle w:val="Hyperlink"/>
              <w:rFonts w:ascii="Cambria Math" w:eastAsiaTheme="majorEastAsia" w:hAnsi="Cambria Math" w:cstheme="majorBidi"/>
              <w:noProof/>
            </w:rPr>
            <m:t>b</m:t>
          </m:r>
        </m:oMath>
        <w:r w:rsidR="00F440E8" w:rsidRPr="00F440E8">
          <w:rPr>
            <w:rStyle w:val="Hyperlink"/>
            <w:rFonts w:eastAsiaTheme="majorEastAsia" w:cstheme="majorBidi"/>
            <w:noProof/>
          </w:rPr>
          <w:t xml:space="preserve"> as measured at 64 gauging stations in the UMRB.</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_Toc393799563 \h </w:instrText>
        </w:r>
        <w:r w:rsidR="00F41E6A" w:rsidRPr="00F440E8">
          <w:rPr>
            <w:noProof/>
            <w:webHidden/>
          </w:rPr>
        </w:r>
        <w:r w:rsidR="00F41E6A" w:rsidRPr="00F440E8">
          <w:rPr>
            <w:noProof/>
            <w:webHidden/>
          </w:rPr>
          <w:fldChar w:fldCharType="separate"/>
        </w:r>
        <w:r w:rsidR="00372367">
          <w:rPr>
            <w:noProof/>
            <w:webHidden/>
          </w:rPr>
          <w:t>54</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noProof/>
          <w:sz w:val="22"/>
          <w:szCs w:val="22"/>
        </w:rPr>
      </w:pPr>
      <w:hyperlink w:anchor="_Toc393799564" w:history="1">
        <w:r w:rsidR="00F440E8" w:rsidRPr="00F440E8">
          <w:rPr>
            <w:rStyle w:val="Hyperlink"/>
            <w:rFonts w:eastAsiaTheme="majorEastAsia" w:cstheme="majorBidi"/>
            <w:noProof/>
          </w:rPr>
          <w:t xml:space="preserve">Figure 5 - 6. Histograms of the monthly  </w:t>
        </w:r>
        <m:oMath>
          <m:r>
            <w:rPr>
              <w:rStyle w:val="Hyperlink"/>
              <w:rFonts w:ascii="Cambria Math" w:eastAsiaTheme="majorEastAsia" w:hAnsi="Cambria Math" w:cstheme="majorBidi"/>
              <w:noProof/>
            </w:rPr>
            <m:t>a</m:t>
          </m:r>
        </m:oMath>
        <w:r w:rsidR="00F440E8" w:rsidRPr="00F440E8">
          <w:rPr>
            <w:rStyle w:val="Hyperlink"/>
            <w:rFonts w:eastAsiaTheme="majorEastAsia" w:cstheme="majorBidi"/>
            <w:noProof/>
          </w:rPr>
          <w:t xml:space="preserve"> as measured at 64 gauging stations in the UMRB.</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_Toc393799564 \h </w:instrText>
        </w:r>
        <w:r w:rsidR="00F41E6A" w:rsidRPr="00F440E8">
          <w:rPr>
            <w:noProof/>
            <w:webHidden/>
          </w:rPr>
        </w:r>
        <w:r w:rsidR="00F41E6A" w:rsidRPr="00F440E8">
          <w:rPr>
            <w:noProof/>
            <w:webHidden/>
          </w:rPr>
          <w:fldChar w:fldCharType="separate"/>
        </w:r>
        <w:r w:rsidR="00372367">
          <w:rPr>
            <w:noProof/>
            <w:webHidden/>
          </w:rPr>
          <w:t>55</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noProof/>
          <w:sz w:val="22"/>
          <w:szCs w:val="22"/>
        </w:rPr>
      </w:pPr>
      <w:hyperlink w:anchor="_Toc393799565" w:history="1">
        <w:r w:rsidR="00F440E8" w:rsidRPr="00F440E8">
          <w:rPr>
            <w:rStyle w:val="Hyperlink"/>
            <w:rFonts w:eastAsiaTheme="majorEastAsia" w:cstheme="majorBidi"/>
            <w:noProof/>
          </w:rPr>
          <w:t>Figure 5 - 7. Distribution of the shapes of the suspended sediment rating curve at annual level.</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_Toc393799565 \h </w:instrText>
        </w:r>
        <w:r w:rsidR="00F41E6A" w:rsidRPr="00F440E8">
          <w:rPr>
            <w:noProof/>
            <w:webHidden/>
          </w:rPr>
        </w:r>
        <w:r w:rsidR="00F41E6A" w:rsidRPr="00F440E8">
          <w:rPr>
            <w:noProof/>
            <w:webHidden/>
          </w:rPr>
          <w:fldChar w:fldCharType="separate"/>
        </w:r>
        <w:r w:rsidR="00372367">
          <w:rPr>
            <w:noProof/>
            <w:webHidden/>
          </w:rPr>
          <w:t>56</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noProof/>
          <w:sz w:val="22"/>
          <w:szCs w:val="22"/>
        </w:rPr>
      </w:pPr>
      <w:hyperlink w:anchor="_Toc393799566" w:history="1">
        <w:r w:rsidR="00F440E8" w:rsidRPr="00F440E8">
          <w:rPr>
            <w:rStyle w:val="Hyperlink"/>
            <w:rFonts w:eastAsiaTheme="majorEastAsia" w:cstheme="majorBidi"/>
            <w:noProof/>
          </w:rPr>
          <w:t xml:space="preserve">Figure 5 - 8. Map of the Local Moran’s I of the rating exponent </w:t>
        </w:r>
        <m:oMath>
          <m:r>
            <w:rPr>
              <w:rStyle w:val="Hyperlink"/>
              <w:rFonts w:ascii="Cambria Math" w:eastAsiaTheme="majorEastAsia" w:hAnsi="Cambria Math" w:cstheme="majorBidi"/>
              <w:noProof/>
            </w:rPr>
            <m:t>b</m:t>
          </m:r>
        </m:oMath>
        <w:r w:rsidR="00F440E8" w:rsidRPr="00F440E8">
          <w:rPr>
            <w:rStyle w:val="Hyperlink"/>
            <w:rFonts w:eastAsiaTheme="majorEastAsia" w:cstheme="majorBidi"/>
            <w:noProof/>
          </w:rPr>
          <w:t xml:space="preserve"> at the annual level.</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_Toc393799566 \h </w:instrText>
        </w:r>
        <w:r w:rsidR="00F41E6A" w:rsidRPr="00F440E8">
          <w:rPr>
            <w:noProof/>
            <w:webHidden/>
          </w:rPr>
        </w:r>
        <w:r w:rsidR="00F41E6A" w:rsidRPr="00F440E8">
          <w:rPr>
            <w:noProof/>
            <w:webHidden/>
          </w:rPr>
          <w:fldChar w:fldCharType="separate"/>
        </w:r>
        <w:r w:rsidR="00372367">
          <w:rPr>
            <w:noProof/>
            <w:webHidden/>
          </w:rPr>
          <w:t>57</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rPr>
          <w:rFonts w:asciiTheme="minorHAnsi" w:eastAsiaTheme="minorEastAsia" w:hAnsiTheme="minorHAnsi" w:cstheme="minorBidi"/>
          <w:noProof/>
          <w:sz w:val="22"/>
          <w:szCs w:val="22"/>
        </w:rPr>
      </w:pPr>
      <w:hyperlink w:anchor="_Toc393799567" w:history="1">
        <w:r w:rsidR="004F12D3">
          <w:rPr>
            <w:rStyle w:val="Hyperlink"/>
            <w:rFonts w:eastAsiaTheme="majorEastAsia" w:cstheme="majorBidi"/>
            <w:noProof/>
          </w:rPr>
          <w:t>F</w:t>
        </w:r>
        <w:r w:rsidR="00F440E8" w:rsidRPr="00F440E8">
          <w:rPr>
            <w:rStyle w:val="Hyperlink"/>
            <w:rFonts w:eastAsiaTheme="majorEastAsia" w:cstheme="majorBidi"/>
            <w:noProof/>
          </w:rPr>
          <w:t xml:space="preserve">igure 5 - 9. Scatterplot of </w:t>
        </w:r>
        <m:oMath>
          <m:r>
            <w:rPr>
              <w:rStyle w:val="Hyperlink"/>
              <w:rFonts w:ascii="Cambria Math" w:eastAsiaTheme="majorEastAsia" w:hAnsi="Cambria Math" w:cstheme="majorBidi"/>
              <w:noProof/>
            </w:rPr>
            <m:t>ln(a)</m:t>
          </m:r>
        </m:oMath>
        <w:r w:rsidR="00F440E8" w:rsidRPr="00F440E8">
          <w:rPr>
            <w:rStyle w:val="Hyperlink"/>
            <w:rFonts w:eastAsiaTheme="majorEastAsia" w:cstheme="majorBidi"/>
            <w:noProof/>
          </w:rPr>
          <w:t xml:space="preserve"> and </w:t>
        </w:r>
        <m:oMath>
          <m:r>
            <w:rPr>
              <w:rStyle w:val="Hyperlink"/>
              <w:rFonts w:ascii="Cambria Math" w:eastAsiaTheme="majorEastAsia" w:hAnsi="Cambria Math" w:cstheme="majorBidi"/>
              <w:noProof/>
            </w:rPr>
            <m:t>b</m:t>
          </m:r>
        </m:oMath>
        <w:r w:rsidR="00F440E8" w:rsidRPr="00F440E8">
          <w:rPr>
            <w:rStyle w:val="Hyperlink"/>
            <w:rFonts w:eastAsiaTheme="majorEastAsia" w:cstheme="majorBidi"/>
            <w:noProof/>
          </w:rPr>
          <w:t xml:space="preserve"> as measured at 64 gauging stations in the UMRB at the annual level.</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_Toc393799567 \h </w:instrText>
        </w:r>
        <w:r w:rsidR="00F41E6A" w:rsidRPr="00F440E8">
          <w:rPr>
            <w:noProof/>
            <w:webHidden/>
          </w:rPr>
        </w:r>
        <w:r w:rsidR="00F41E6A" w:rsidRPr="00F440E8">
          <w:rPr>
            <w:noProof/>
            <w:webHidden/>
          </w:rPr>
          <w:fldChar w:fldCharType="separate"/>
        </w:r>
        <w:r w:rsidR="00372367">
          <w:rPr>
            <w:noProof/>
            <w:webHidden/>
          </w:rPr>
          <w:t>58</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noProof/>
          <w:sz w:val="22"/>
          <w:szCs w:val="22"/>
        </w:rPr>
      </w:pPr>
      <w:hyperlink w:anchor="_Toc393799568" w:history="1">
        <w:r w:rsidR="00F440E8" w:rsidRPr="00F440E8">
          <w:rPr>
            <w:rStyle w:val="Hyperlink"/>
            <w:rFonts w:eastAsiaTheme="majorEastAsia" w:cstheme="majorBidi"/>
            <w:noProof/>
          </w:rPr>
          <w:t xml:space="preserve">Figure 5 - 10. Scatterplots of </w:t>
        </w:r>
        <m:oMath>
          <m:r>
            <w:rPr>
              <w:rStyle w:val="Hyperlink"/>
              <w:rFonts w:ascii="Cambria Math" w:eastAsiaTheme="majorEastAsia" w:hAnsi="Cambria Math" w:cstheme="majorBidi"/>
              <w:noProof/>
            </w:rPr>
            <m:t>ln(a)</m:t>
          </m:r>
        </m:oMath>
        <w:r w:rsidR="00F440E8" w:rsidRPr="00F440E8">
          <w:rPr>
            <w:rStyle w:val="Hyperlink"/>
            <w:rFonts w:eastAsiaTheme="majorEastAsia" w:cstheme="majorBidi"/>
            <w:noProof/>
          </w:rPr>
          <w:t xml:space="preserve"> and </w:t>
        </w:r>
        <m:oMath>
          <m:r>
            <w:rPr>
              <w:rStyle w:val="Hyperlink"/>
              <w:rFonts w:ascii="Cambria Math" w:eastAsiaTheme="majorEastAsia" w:hAnsi="Cambria Math" w:cstheme="majorBidi"/>
              <w:noProof/>
            </w:rPr>
            <m:t>b</m:t>
          </m:r>
        </m:oMath>
        <w:r w:rsidR="00F440E8" w:rsidRPr="00F440E8">
          <w:rPr>
            <w:rStyle w:val="Hyperlink"/>
            <w:rFonts w:eastAsiaTheme="majorEastAsia" w:cstheme="majorBidi"/>
            <w:noProof/>
          </w:rPr>
          <w:t xml:space="preserve"> as measured at 64 gauging stations in the UMRB.</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_Toc393799568 \h </w:instrText>
        </w:r>
        <w:r w:rsidR="00F41E6A" w:rsidRPr="00F440E8">
          <w:rPr>
            <w:noProof/>
            <w:webHidden/>
          </w:rPr>
        </w:r>
        <w:r w:rsidR="00F41E6A" w:rsidRPr="00F440E8">
          <w:rPr>
            <w:noProof/>
            <w:webHidden/>
          </w:rPr>
          <w:fldChar w:fldCharType="separate"/>
        </w:r>
        <w:r w:rsidR="00372367">
          <w:rPr>
            <w:noProof/>
            <w:webHidden/>
          </w:rPr>
          <w:t>59</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rPr>
          <w:rFonts w:asciiTheme="minorHAnsi" w:eastAsiaTheme="minorEastAsia" w:hAnsiTheme="minorHAnsi" w:cstheme="minorBidi"/>
          <w:noProof/>
          <w:sz w:val="22"/>
          <w:szCs w:val="22"/>
        </w:rPr>
      </w:pPr>
      <w:hyperlink w:anchor="_Toc393799569" w:history="1">
        <w:r w:rsidR="00F440E8" w:rsidRPr="00F440E8">
          <w:rPr>
            <w:rStyle w:val="Hyperlink"/>
            <w:rFonts w:eastAsiaTheme="majorEastAsia" w:cstheme="majorBidi"/>
            <w:noProof/>
          </w:rPr>
          <w:t xml:space="preserve">Figure 5 - 11. Scatterplots of </w:t>
        </w:r>
        <m:oMath>
          <m:r>
            <w:rPr>
              <w:rStyle w:val="Hyperlink"/>
              <w:rFonts w:ascii="Cambria Math" w:eastAsiaTheme="majorEastAsia" w:hAnsi="Cambria Math" w:cstheme="majorBidi"/>
              <w:noProof/>
            </w:rPr>
            <m:t>ln(a)</m:t>
          </m:r>
        </m:oMath>
        <w:r w:rsidR="00F440E8" w:rsidRPr="00F440E8">
          <w:rPr>
            <w:rStyle w:val="Hyperlink"/>
            <w:rFonts w:eastAsiaTheme="majorEastAsia" w:cstheme="majorBidi"/>
            <w:noProof/>
          </w:rPr>
          <w:t xml:space="preserve"> and </w:t>
        </w:r>
        <m:oMath>
          <m:r>
            <w:rPr>
              <w:rStyle w:val="Hyperlink"/>
              <w:rFonts w:ascii="Cambria Math" w:eastAsiaTheme="majorEastAsia" w:hAnsi="Cambria Math" w:cstheme="majorBidi"/>
              <w:noProof/>
            </w:rPr>
            <m:t>b</m:t>
          </m:r>
        </m:oMath>
        <w:r w:rsidR="00F440E8" w:rsidRPr="00F440E8">
          <w:rPr>
            <w:rStyle w:val="Hyperlink"/>
            <w:rFonts w:eastAsiaTheme="majorEastAsia" w:cstheme="majorBidi"/>
            <w:noProof/>
          </w:rPr>
          <w:t xml:space="preserve"> in large streams and small streams at the annual level.</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_Toc393799569 \h </w:instrText>
        </w:r>
        <w:r w:rsidR="00F41E6A" w:rsidRPr="00F440E8">
          <w:rPr>
            <w:noProof/>
            <w:webHidden/>
          </w:rPr>
        </w:r>
        <w:r w:rsidR="00F41E6A" w:rsidRPr="00F440E8">
          <w:rPr>
            <w:noProof/>
            <w:webHidden/>
          </w:rPr>
          <w:fldChar w:fldCharType="separate"/>
        </w:r>
        <w:r w:rsidR="00372367">
          <w:rPr>
            <w:noProof/>
            <w:webHidden/>
          </w:rPr>
          <w:t>60</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noProof/>
          <w:sz w:val="22"/>
          <w:szCs w:val="22"/>
        </w:rPr>
      </w:pPr>
      <w:hyperlink w:anchor="_Toc393799570" w:history="1">
        <w:r w:rsidR="00F440E8" w:rsidRPr="00F440E8">
          <w:rPr>
            <w:rStyle w:val="Hyperlink"/>
            <w:rFonts w:eastAsiaTheme="majorEastAsia" w:cstheme="majorBidi"/>
            <w:noProof/>
          </w:rPr>
          <w:t xml:space="preserve">Figure 5 - 12. Scatterplot between </w:t>
        </w:r>
        <m:oMath>
          <m:r>
            <w:rPr>
              <w:rStyle w:val="Hyperlink"/>
              <w:rFonts w:ascii="Cambria Math" w:eastAsiaTheme="majorEastAsia" w:hAnsi="Cambria Math" w:cstheme="majorBidi"/>
              <w:noProof/>
            </w:rPr>
            <m:t>ln(a)</m:t>
          </m:r>
        </m:oMath>
        <w:r w:rsidR="00F440E8" w:rsidRPr="00F440E8">
          <w:rPr>
            <w:rStyle w:val="Hyperlink"/>
            <w:rFonts w:eastAsiaTheme="majorEastAsia" w:cstheme="majorBidi"/>
            <w:noProof/>
          </w:rPr>
          <w:t xml:space="preserve"> and </w:t>
        </w:r>
        <m:oMath>
          <m:r>
            <w:rPr>
              <w:rStyle w:val="Hyperlink"/>
              <w:rFonts w:ascii="Cambria Math" w:eastAsiaTheme="majorEastAsia" w:hAnsi="Cambria Math" w:cstheme="majorBidi"/>
              <w:noProof/>
            </w:rPr>
            <m:t>b</m:t>
          </m:r>
        </m:oMath>
        <w:r w:rsidR="00F440E8" w:rsidRPr="00F440E8">
          <w:rPr>
            <w:rStyle w:val="Hyperlink"/>
            <w:rFonts w:eastAsiaTheme="majorEastAsia" w:cstheme="majorBidi"/>
            <w:noProof/>
          </w:rPr>
          <w:t xml:space="preserve"> in large streams at the monthly level.</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_Toc393799570 \h </w:instrText>
        </w:r>
        <w:r w:rsidR="00F41E6A" w:rsidRPr="00F440E8">
          <w:rPr>
            <w:noProof/>
            <w:webHidden/>
          </w:rPr>
        </w:r>
        <w:r w:rsidR="00F41E6A" w:rsidRPr="00F440E8">
          <w:rPr>
            <w:noProof/>
            <w:webHidden/>
          </w:rPr>
          <w:fldChar w:fldCharType="separate"/>
        </w:r>
        <w:r w:rsidR="00372367">
          <w:rPr>
            <w:noProof/>
            <w:webHidden/>
          </w:rPr>
          <w:t>61</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noProof/>
          <w:sz w:val="22"/>
          <w:szCs w:val="22"/>
        </w:rPr>
      </w:pPr>
      <w:hyperlink w:anchor="_Toc393799571" w:history="1">
        <w:r w:rsidR="00F440E8" w:rsidRPr="00F440E8">
          <w:rPr>
            <w:rStyle w:val="Hyperlink"/>
            <w:rFonts w:eastAsiaTheme="majorEastAsia" w:cstheme="majorBidi"/>
            <w:noProof/>
          </w:rPr>
          <w:t xml:space="preserve">Figure 5 - 13. Scatterplot of </w:t>
        </w:r>
        <m:oMath>
          <m:r>
            <w:rPr>
              <w:rStyle w:val="Hyperlink"/>
              <w:rFonts w:ascii="Cambria Math" w:eastAsiaTheme="majorEastAsia" w:hAnsi="Cambria Math" w:cstheme="majorBidi"/>
              <w:noProof/>
            </w:rPr>
            <m:t>ln(a)</m:t>
          </m:r>
        </m:oMath>
        <w:r w:rsidR="00F440E8" w:rsidRPr="00F440E8">
          <w:rPr>
            <w:rStyle w:val="Hyperlink"/>
            <w:rFonts w:eastAsiaTheme="majorEastAsia" w:cstheme="majorBidi"/>
            <w:noProof/>
          </w:rPr>
          <w:t xml:space="preserve"> and </w:t>
        </w:r>
        <m:oMath>
          <m:r>
            <w:rPr>
              <w:rStyle w:val="Hyperlink"/>
              <w:rFonts w:ascii="Cambria Math" w:eastAsiaTheme="majorEastAsia" w:hAnsi="Cambria Math" w:cstheme="majorBidi"/>
              <w:noProof/>
            </w:rPr>
            <m:t>b</m:t>
          </m:r>
        </m:oMath>
        <w:r w:rsidR="00F440E8" w:rsidRPr="00F440E8">
          <w:rPr>
            <w:rStyle w:val="Hyperlink"/>
            <w:rFonts w:eastAsiaTheme="majorEastAsia" w:cstheme="majorBidi"/>
            <w:noProof/>
          </w:rPr>
          <w:t xml:space="preserve"> in small streams at the monthly level.</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_Toc393799571 \h </w:instrText>
        </w:r>
        <w:r w:rsidR="00F41E6A" w:rsidRPr="00F440E8">
          <w:rPr>
            <w:noProof/>
            <w:webHidden/>
          </w:rPr>
        </w:r>
        <w:r w:rsidR="00F41E6A" w:rsidRPr="00F440E8">
          <w:rPr>
            <w:noProof/>
            <w:webHidden/>
          </w:rPr>
          <w:fldChar w:fldCharType="separate"/>
        </w:r>
        <w:r w:rsidR="00372367">
          <w:rPr>
            <w:noProof/>
            <w:webHidden/>
          </w:rPr>
          <w:t>62</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rPr>
          <w:rFonts w:asciiTheme="minorHAnsi" w:eastAsiaTheme="minorEastAsia" w:hAnsiTheme="minorHAnsi" w:cstheme="minorBidi"/>
          <w:noProof/>
          <w:sz w:val="22"/>
          <w:szCs w:val="22"/>
        </w:rPr>
      </w:pPr>
      <w:hyperlink w:anchor="_Toc393799572" w:history="1">
        <w:r w:rsidR="00F440E8" w:rsidRPr="00F440E8">
          <w:rPr>
            <w:rStyle w:val="Hyperlink"/>
            <w:rFonts w:eastAsiaTheme="majorEastAsia" w:cstheme="majorBidi"/>
            <w:noProof/>
          </w:rPr>
          <w:t xml:space="preserve">Figure 5 - 14. Scatterplot of mean annual stream discharge versus the annual coefficient </w:t>
        </w:r>
        <m:oMath>
          <m:r>
            <w:rPr>
              <w:rStyle w:val="Hyperlink"/>
              <w:rFonts w:ascii="Cambria Math" w:eastAsiaTheme="majorEastAsia" w:hAnsi="Cambria Math" w:cstheme="majorBidi"/>
              <w:noProof/>
            </w:rPr>
            <m:t>a</m:t>
          </m:r>
        </m:oMath>
        <w:r w:rsidR="00F440E8" w:rsidRPr="00F440E8">
          <w:rPr>
            <w:rStyle w:val="Hyperlink"/>
            <w:rFonts w:eastAsiaTheme="majorEastAsia" w:cstheme="majorBidi"/>
            <w:noProof/>
          </w:rPr>
          <w:t xml:space="preserve"> and the annual exponent </w:t>
        </w:r>
        <m:oMath>
          <m:r>
            <w:rPr>
              <w:rStyle w:val="Hyperlink"/>
              <w:rFonts w:ascii="Cambria Math" w:eastAsiaTheme="majorEastAsia" w:hAnsi="Cambria Math" w:cstheme="majorBidi"/>
              <w:noProof/>
            </w:rPr>
            <m:t>b</m:t>
          </m:r>
        </m:oMath>
        <w:r w:rsidR="00F440E8" w:rsidRPr="00F440E8">
          <w:rPr>
            <w:rStyle w:val="Hyperlink"/>
            <w:rFonts w:eastAsiaTheme="majorEastAsia" w:cstheme="majorBidi"/>
            <w:noProof/>
          </w:rPr>
          <w:t>.</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_Toc393799572 \h </w:instrText>
        </w:r>
        <w:r w:rsidR="00F41E6A" w:rsidRPr="00F440E8">
          <w:rPr>
            <w:noProof/>
            <w:webHidden/>
          </w:rPr>
        </w:r>
        <w:r w:rsidR="00F41E6A" w:rsidRPr="00F440E8">
          <w:rPr>
            <w:noProof/>
            <w:webHidden/>
          </w:rPr>
          <w:fldChar w:fldCharType="separate"/>
        </w:r>
        <w:r w:rsidR="00372367">
          <w:rPr>
            <w:noProof/>
            <w:webHidden/>
          </w:rPr>
          <w:t>63</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rPr>
          <w:rFonts w:asciiTheme="minorHAnsi" w:eastAsiaTheme="minorEastAsia" w:hAnsiTheme="minorHAnsi" w:cstheme="minorBidi"/>
          <w:noProof/>
          <w:sz w:val="22"/>
          <w:szCs w:val="22"/>
        </w:rPr>
      </w:pPr>
      <w:hyperlink w:anchor="_Toc393799573" w:history="1">
        <w:r w:rsidR="00F440E8" w:rsidRPr="00F440E8">
          <w:rPr>
            <w:rStyle w:val="Hyperlink"/>
            <w:rFonts w:eastAsiaTheme="majorEastAsia" w:cstheme="majorBidi"/>
            <w:noProof/>
          </w:rPr>
          <w:t xml:space="preserve">Figure 5 - 15. Scatterplot of mean annual stream discharge versus the annual coefficient </w:t>
        </w:r>
        <m:oMath>
          <m:r>
            <w:rPr>
              <w:rStyle w:val="Hyperlink"/>
              <w:rFonts w:ascii="Cambria Math" w:eastAsiaTheme="majorEastAsia" w:hAnsi="Cambria Math" w:cstheme="majorBidi"/>
              <w:noProof/>
            </w:rPr>
            <m:t>a</m:t>
          </m:r>
        </m:oMath>
        <w:r w:rsidR="00F440E8" w:rsidRPr="00F440E8">
          <w:rPr>
            <w:rStyle w:val="Hyperlink"/>
            <w:rFonts w:eastAsiaTheme="majorEastAsia" w:cstheme="majorBidi"/>
            <w:noProof/>
          </w:rPr>
          <w:t xml:space="preserve"> in logarithmic forms</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_Toc393799573 \h </w:instrText>
        </w:r>
        <w:r w:rsidR="00F41E6A" w:rsidRPr="00F440E8">
          <w:rPr>
            <w:noProof/>
            <w:webHidden/>
          </w:rPr>
        </w:r>
        <w:r w:rsidR="00F41E6A" w:rsidRPr="00F440E8">
          <w:rPr>
            <w:noProof/>
            <w:webHidden/>
          </w:rPr>
          <w:fldChar w:fldCharType="separate"/>
        </w:r>
        <w:r w:rsidR="00372367">
          <w:rPr>
            <w:noProof/>
            <w:webHidden/>
          </w:rPr>
          <w:t>64</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noProof/>
          <w:sz w:val="22"/>
          <w:szCs w:val="22"/>
        </w:rPr>
      </w:pPr>
      <w:hyperlink w:anchor="_Toc393799574" w:history="1">
        <w:r w:rsidR="00F440E8" w:rsidRPr="00F440E8">
          <w:rPr>
            <w:rStyle w:val="Hyperlink"/>
            <w:rFonts w:eastAsiaTheme="majorEastAsia" w:cstheme="majorBidi"/>
            <w:noProof/>
          </w:rPr>
          <w:t xml:space="preserve">Figure 5 - 16.  Scatterplot of mean monthly stream discharge versus monthly coefficient </w:t>
        </w:r>
        <m:oMath>
          <m:r>
            <w:rPr>
              <w:rStyle w:val="Hyperlink"/>
              <w:rFonts w:ascii="Cambria Math" w:eastAsiaTheme="majorEastAsia" w:hAnsi="Cambria Math" w:cstheme="majorBidi"/>
              <w:noProof/>
            </w:rPr>
            <m:t>a</m:t>
          </m:r>
        </m:oMath>
        <w:r w:rsidR="00F440E8" w:rsidRPr="00F440E8">
          <w:rPr>
            <w:rStyle w:val="Hyperlink"/>
            <w:rFonts w:eastAsiaTheme="majorEastAsia" w:cstheme="majorBidi"/>
            <w:noProof/>
          </w:rPr>
          <w:t>.</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_Toc393799574 \h </w:instrText>
        </w:r>
        <w:r w:rsidR="00F41E6A" w:rsidRPr="00F440E8">
          <w:rPr>
            <w:noProof/>
            <w:webHidden/>
          </w:rPr>
        </w:r>
        <w:r w:rsidR="00F41E6A" w:rsidRPr="00F440E8">
          <w:rPr>
            <w:noProof/>
            <w:webHidden/>
          </w:rPr>
          <w:fldChar w:fldCharType="separate"/>
        </w:r>
        <w:r w:rsidR="00372367">
          <w:rPr>
            <w:noProof/>
            <w:webHidden/>
          </w:rPr>
          <w:t>65</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rPr>
          <w:rFonts w:asciiTheme="minorHAnsi" w:eastAsiaTheme="minorEastAsia" w:hAnsiTheme="minorHAnsi" w:cstheme="minorBidi"/>
          <w:noProof/>
          <w:sz w:val="22"/>
          <w:szCs w:val="22"/>
        </w:rPr>
      </w:pPr>
      <w:hyperlink w:anchor="_Toc393799575" w:history="1">
        <w:r w:rsidR="00F440E8" w:rsidRPr="00F440E8">
          <w:rPr>
            <w:rStyle w:val="Hyperlink"/>
            <w:rFonts w:eastAsiaTheme="majorEastAsia"/>
            <w:noProof/>
          </w:rPr>
          <w:t xml:space="preserve">Figure 5 - 17. Scatterplot of mean monthly stream discharge versus monthly coefficient </w:t>
        </w:r>
        <m:oMath>
          <m:r>
            <w:rPr>
              <w:rStyle w:val="Hyperlink"/>
              <w:rFonts w:ascii="Cambria Math" w:eastAsiaTheme="majorEastAsia" w:hAnsi="Cambria Math"/>
              <w:noProof/>
            </w:rPr>
            <m:t>a</m:t>
          </m:r>
        </m:oMath>
        <w:r w:rsidR="00F440E8" w:rsidRPr="00F440E8">
          <w:rPr>
            <w:rStyle w:val="Hyperlink"/>
            <w:rFonts w:eastAsiaTheme="majorEastAsia"/>
            <w:noProof/>
          </w:rPr>
          <w:t xml:space="preserve"> in logarithmic form.</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_Toc393799575 \h </w:instrText>
        </w:r>
        <w:r w:rsidR="00F41E6A" w:rsidRPr="00F440E8">
          <w:rPr>
            <w:noProof/>
            <w:webHidden/>
          </w:rPr>
        </w:r>
        <w:r w:rsidR="00F41E6A" w:rsidRPr="00F440E8">
          <w:rPr>
            <w:noProof/>
            <w:webHidden/>
          </w:rPr>
          <w:fldChar w:fldCharType="separate"/>
        </w:r>
        <w:r w:rsidR="00372367">
          <w:rPr>
            <w:noProof/>
            <w:webHidden/>
          </w:rPr>
          <w:t>66</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noProof/>
          <w:sz w:val="22"/>
          <w:szCs w:val="22"/>
        </w:rPr>
      </w:pPr>
      <w:hyperlink w:anchor="_Toc393799576" w:history="1">
        <w:r w:rsidR="00F440E8" w:rsidRPr="00F440E8">
          <w:rPr>
            <w:rStyle w:val="Hyperlink"/>
            <w:rFonts w:eastAsiaTheme="majorEastAsia" w:cstheme="majorBidi"/>
            <w:noProof/>
          </w:rPr>
          <w:t xml:space="preserve">Figure 5 - 18. Scatterplot of mean monthly stream discharge versus monthly exponent </w:t>
        </w:r>
        <m:oMath>
          <m:r>
            <w:rPr>
              <w:rStyle w:val="Hyperlink"/>
              <w:rFonts w:ascii="Cambria Math" w:eastAsiaTheme="majorEastAsia" w:hAnsi="Cambria Math" w:cstheme="majorBidi"/>
              <w:noProof/>
            </w:rPr>
            <m:t>b</m:t>
          </m:r>
        </m:oMath>
        <w:r w:rsidR="00F440E8" w:rsidRPr="00F440E8">
          <w:rPr>
            <w:rStyle w:val="Hyperlink"/>
            <w:rFonts w:eastAsiaTheme="majorEastAsia" w:cstheme="majorBidi"/>
            <w:noProof/>
          </w:rPr>
          <w:t>.</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_Toc393799576 \h </w:instrText>
        </w:r>
        <w:r w:rsidR="00F41E6A" w:rsidRPr="00F440E8">
          <w:rPr>
            <w:noProof/>
            <w:webHidden/>
          </w:rPr>
        </w:r>
        <w:r w:rsidR="00F41E6A" w:rsidRPr="00F440E8">
          <w:rPr>
            <w:noProof/>
            <w:webHidden/>
          </w:rPr>
          <w:fldChar w:fldCharType="separate"/>
        </w:r>
        <w:r w:rsidR="00372367">
          <w:rPr>
            <w:noProof/>
            <w:webHidden/>
          </w:rPr>
          <w:t>67</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noProof/>
          <w:sz w:val="22"/>
          <w:szCs w:val="22"/>
        </w:rPr>
      </w:pPr>
      <w:hyperlink w:anchor="_Toc393799577" w:history="1">
        <w:r w:rsidR="00F440E8" w:rsidRPr="00F440E8">
          <w:rPr>
            <w:rStyle w:val="Hyperlink"/>
            <w:rFonts w:eastAsiaTheme="majorEastAsia" w:cstheme="majorBidi"/>
            <w:noProof/>
          </w:rPr>
          <w:t>Figure 5 - 19. Distribution of the shapes of the suspended sediment rating curve at the monthly level.</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_Toc393799577 \h </w:instrText>
        </w:r>
        <w:r w:rsidR="00F41E6A" w:rsidRPr="00F440E8">
          <w:rPr>
            <w:noProof/>
            <w:webHidden/>
          </w:rPr>
        </w:r>
        <w:r w:rsidR="00F41E6A" w:rsidRPr="00F440E8">
          <w:rPr>
            <w:noProof/>
            <w:webHidden/>
          </w:rPr>
          <w:fldChar w:fldCharType="separate"/>
        </w:r>
        <w:r w:rsidR="00372367">
          <w:rPr>
            <w:noProof/>
            <w:webHidden/>
          </w:rPr>
          <w:t>68</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noProof/>
          <w:sz w:val="22"/>
          <w:szCs w:val="22"/>
        </w:rPr>
      </w:pPr>
      <w:hyperlink w:anchor="_Toc393799578" w:history="1">
        <w:r w:rsidR="00F440E8" w:rsidRPr="00F440E8">
          <w:rPr>
            <w:rStyle w:val="Hyperlink"/>
            <w:rFonts w:eastAsiaTheme="majorEastAsia" w:cstheme="majorBidi"/>
            <w:noProof/>
          </w:rPr>
          <w:t xml:space="preserve">Figure 5 - 20. Map of the Local Moran’s I of the rating exponent </w:t>
        </w:r>
        <m:oMath>
          <m:r>
            <w:rPr>
              <w:rStyle w:val="Hyperlink"/>
              <w:rFonts w:ascii="Cambria Math" w:eastAsiaTheme="majorEastAsia" w:hAnsi="Cambria Math" w:cstheme="majorBidi"/>
              <w:noProof/>
            </w:rPr>
            <m:t>b</m:t>
          </m:r>
        </m:oMath>
        <w:r w:rsidR="00F440E8" w:rsidRPr="00F440E8">
          <w:rPr>
            <w:rStyle w:val="Hyperlink"/>
            <w:rFonts w:eastAsiaTheme="majorEastAsia" w:cstheme="majorBidi"/>
            <w:noProof/>
          </w:rPr>
          <w:t xml:space="preserve"> at the monthly level.</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_Toc393799578 \h </w:instrText>
        </w:r>
        <w:r w:rsidR="00F41E6A" w:rsidRPr="00F440E8">
          <w:rPr>
            <w:noProof/>
            <w:webHidden/>
          </w:rPr>
        </w:r>
        <w:r w:rsidR="00F41E6A" w:rsidRPr="00F440E8">
          <w:rPr>
            <w:noProof/>
            <w:webHidden/>
          </w:rPr>
          <w:fldChar w:fldCharType="separate"/>
        </w:r>
        <w:r w:rsidR="00372367">
          <w:rPr>
            <w:noProof/>
            <w:webHidden/>
          </w:rPr>
          <w:t>69</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rPr>
          <w:rFonts w:asciiTheme="minorHAnsi" w:eastAsiaTheme="minorEastAsia" w:hAnsiTheme="minorHAnsi" w:cstheme="minorBidi"/>
          <w:noProof/>
          <w:sz w:val="22"/>
          <w:szCs w:val="22"/>
        </w:rPr>
      </w:pPr>
      <w:hyperlink w:anchor="_Toc393799579" w:history="1">
        <w:r w:rsidR="00F440E8" w:rsidRPr="00F440E8">
          <w:rPr>
            <w:rStyle w:val="Hyperlink"/>
            <w:rFonts w:eastAsiaTheme="majorEastAsia" w:cstheme="majorBidi"/>
            <w:noProof/>
          </w:rPr>
          <w:t xml:space="preserve">Figure 5 - 21. The number of significant differences in the monthly values of </w:t>
        </w:r>
        <m:oMath>
          <m:r>
            <w:rPr>
              <w:rStyle w:val="Hyperlink"/>
              <w:rFonts w:ascii="Cambria Math" w:eastAsiaTheme="majorEastAsia" w:hAnsi="Cambria Math" w:cstheme="majorBidi"/>
              <w:noProof/>
            </w:rPr>
            <m:t>ln(a)</m:t>
          </m:r>
        </m:oMath>
        <w:r w:rsidR="00F440E8" w:rsidRPr="00F440E8">
          <w:rPr>
            <w:rStyle w:val="Hyperlink"/>
            <w:rFonts w:eastAsiaTheme="majorEastAsia" w:cstheme="majorBidi"/>
            <w:noProof/>
          </w:rPr>
          <w:t xml:space="preserve"> between pairs of seasons.</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_Toc393799579 \h </w:instrText>
        </w:r>
        <w:r w:rsidR="00F41E6A" w:rsidRPr="00F440E8">
          <w:rPr>
            <w:noProof/>
            <w:webHidden/>
          </w:rPr>
        </w:r>
        <w:r w:rsidR="00F41E6A" w:rsidRPr="00F440E8">
          <w:rPr>
            <w:noProof/>
            <w:webHidden/>
          </w:rPr>
          <w:fldChar w:fldCharType="separate"/>
        </w:r>
        <w:r w:rsidR="00372367">
          <w:rPr>
            <w:noProof/>
            <w:webHidden/>
          </w:rPr>
          <w:t>70</w:t>
        </w:r>
        <w:r w:rsidR="00F41E6A" w:rsidRPr="00F440E8">
          <w:rPr>
            <w:noProof/>
            <w:webHidden/>
          </w:rPr>
          <w:fldChar w:fldCharType="end"/>
        </w:r>
      </w:hyperlink>
    </w:p>
    <w:p w:rsidR="00F440E8" w:rsidRPr="00F440E8" w:rsidRDefault="0069536E" w:rsidP="004F12D3">
      <w:pPr>
        <w:pStyle w:val="TableofFigures"/>
        <w:tabs>
          <w:tab w:val="right" w:leader="dot" w:pos="9350"/>
        </w:tabs>
        <w:spacing w:line="360" w:lineRule="auto"/>
        <w:ind w:left="720" w:hanging="720"/>
        <w:jc w:val="center"/>
        <w:rPr>
          <w:rFonts w:asciiTheme="minorHAnsi" w:eastAsiaTheme="minorEastAsia" w:hAnsiTheme="minorHAnsi" w:cstheme="minorBidi"/>
          <w:noProof/>
          <w:sz w:val="22"/>
          <w:szCs w:val="22"/>
        </w:rPr>
      </w:pPr>
      <w:hyperlink w:anchor="_Toc393799580" w:history="1">
        <w:r w:rsidR="00F440E8" w:rsidRPr="00F440E8">
          <w:rPr>
            <w:rStyle w:val="Hyperlink"/>
            <w:rFonts w:eastAsiaTheme="majorEastAsia" w:cstheme="majorBidi"/>
            <w:noProof/>
          </w:rPr>
          <w:t xml:space="preserve">Figure 5 - 22. The number of significant differences in the monthly values of </w:t>
        </w:r>
        <m:oMath>
          <m:r>
            <w:rPr>
              <w:rStyle w:val="Hyperlink"/>
              <w:rFonts w:ascii="Cambria Math" w:eastAsiaTheme="majorEastAsia" w:hAnsi="Cambria Math" w:cstheme="majorBidi"/>
              <w:noProof/>
            </w:rPr>
            <m:t>b</m:t>
          </m:r>
        </m:oMath>
        <w:r w:rsidR="00F440E8" w:rsidRPr="00F440E8">
          <w:rPr>
            <w:rStyle w:val="Hyperlink"/>
            <w:rFonts w:eastAsiaTheme="majorEastAsia" w:cstheme="majorBidi"/>
            <w:noProof/>
          </w:rPr>
          <w:t xml:space="preserve"> between pairs of seasons.</w:t>
        </w:r>
        <w:r w:rsidR="00F440E8" w:rsidRPr="00F440E8">
          <w:rPr>
            <w:noProof/>
            <w:webHidden/>
          </w:rPr>
          <w:tab/>
        </w:r>
        <w:r w:rsidR="00F41E6A" w:rsidRPr="00F440E8">
          <w:rPr>
            <w:noProof/>
            <w:webHidden/>
          </w:rPr>
          <w:fldChar w:fldCharType="begin"/>
        </w:r>
        <w:r w:rsidR="00F440E8" w:rsidRPr="00F440E8">
          <w:rPr>
            <w:noProof/>
            <w:webHidden/>
          </w:rPr>
          <w:instrText xml:space="preserve"> PAGEREF _Toc393799580 \h </w:instrText>
        </w:r>
        <w:r w:rsidR="00F41E6A" w:rsidRPr="00F440E8">
          <w:rPr>
            <w:noProof/>
            <w:webHidden/>
          </w:rPr>
        </w:r>
        <w:r w:rsidR="00F41E6A" w:rsidRPr="00F440E8">
          <w:rPr>
            <w:noProof/>
            <w:webHidden/>
          </w:rPr>
          <w:fldChar w:fldCharType="separate"/>
        </w:r>
        <w:r w:rsidR="00372367">
          <w:rPr>
            <w:noProof/>
            <w:webHidden/>
          </w:rPr>
          <w:t>71</w:t>
        </w:r>
        <w:r w:rsidR="00F41E6A" w:rsidRPr="00F440E8">
          <w:rPr>
            <w:noProof/>
            <w:webHidden/>
          </w:rPr>
          <w:fldChar w:fldCharType="end"/>
        </w:r>
      </w:hyperlink>
    </w:p>
    <w:p w:rsidR="004D548F" w:rsidRPr="00854E06" w:rsidRDefault="00F41E6A" w:rsidP="004F12D3">
      <w:pPr>
        <w:pStyle w:val="TableofFigures"/>
        <w:tabs>
          <w:tab w:val="right" w:leader="dot" w:pos="9350"/>
        </w:tabs>
        <w:spacing w:line="360" w:lineRule="auto"/>
        <w:ind w:left="720" w:hanging="720"/>
        <w:rPr>
          <w:rFonts w:cstheme="majorBidi"/>
          <w:i/>
        </w:rPr>
      </w:pPr>
      <w:r w:rsidRPr="00F440E8">
        <w:rPr>
          <w:rFonts w:cstheme="majorBidi"/>
          <w:i/>
        </w:rPr>
        <w:fldChar w:fldCharType="end"/>
      </w:r>
    </w:p>
    <w:p w:rsidR="004D548F" w:rsidRPr="00854E06" w:rsidRDefault="004D548F" w:rsidP="00F1486B">
      <w:pPr>
        <w:rPr>
          <w:rFonts w:cstheme="majorBidi"/>
          <w:i/>
        </w:rPr>
      </w:pPr>
    </w:p>
    <w:p w:rsidR="00301EAB" w:rsidRDefault="00301EAB" w:rsidP="004D548F">
      <w:pPr>
        <w:sectPr w:rsidR="00301EAB" w:rsidSect="00301EAB">
          <w:footerReference w:type="even" r:id="rId9"/>
          <w:footerReference w:type="default" r:id="rId10"/>
          <w:pgSz w:w="12240" w:h="15840"/>
          <w:pgMar w:top="1440" w:right="1440" w:bottom="1440" w:left="1440" w:header="720" w:footer="720" w:gutter="0"/>
          <w:pgNumType w:fmt="lowerRoman" w:start="1"/>
          <w:cols w:space="720"/>
          <w:titlePg/>
          <w:docGrid w:linePitch="360"/>
        </w:sectPr>
      </w:pPr>
    </w:p>
    <w:p w:rsidR="00C40FBF" w:rsidRPr="00854E06" w:rsidRDefault="00C40FBF" w:rsidP="002B764C">
      <w:pPr>
        <w:pStyle w:val="Heading1"/>
      </w:pPr>
      <w:bookmarkStart w:id="3" w:name="_Toc394525538"/>
      <w:r w:rsidRPr="00854E06">
        <w:lastRenderedPageBreak/>
        <w:t>Introduction</w:t>
      </w:r>
      <w:bookmarkEnd w:id="3"/>
    </w:p>
    <w:p w:rsidR="00496A72" w:rsidRPr="00854E06" w:rsidRDefault="00496A72" w:rsidP="00496A72">
      <w:pPr>
        <w:spacing w:before="120" w:after="120" w:line="480" w:lineRule="auto"/>
        <w:ind w:firstLine="720"/>
        <w:jc w:val="both"/>
        <w:rPr>
          <w:rFonts w:cstheme="majorBidi"/>
        </w:rPr>
      </w:pPr>
      <w:r w:rsidRPr="00854E06">
        <w:rPr>
          <w:rFonts w:cstheme="majorBidi"/>
        </w:rPr>
        <w:t xml:space="preserve">Suspended sediment in streams is one of the most </w:t>
      </w:r>
      <w:r>
        <w:rPr>
          <w:rFonts w:cstheme="majorBidi"/>
        </w:rPr>
        <w:t>ubiquitous</w:t>
      </w:r>
      <w:r w:rsidRPr="00854E06">
        <w:rPr>
          <w:rFonts w:cstheme="majorBidi"/>
        </w:rPr>
        <w:t xml:space="preserve"> water pollutants</w:t>
      </w:r>
      <w:r>
        <w:rPr>
          <w:rFonts w:cstheme="majorBidi"/>
        </w:rPr>
        <w:t xml:space="preserve"> causing degradation of water quality and riverine ecosystems</w:t>
      </w:r>
      <w:r w:rsidRPr="00854E06">
        <w:rPr>
          <w:rFonts w:cstheme="majorBidi"/>
        </w:rPr>
        <w:t xml:space="preserve"> </w:t>
      </w:r>
      <w:r w:rsidR="00F41E6A" w:rsidRPr="00854E06">
        <w:rPr>
          <w:rFonts w:cstheme="majorBidi"/>
        </w:rPr>
        <w:fldChar w:fldCharType="begin"/>
      </w:r>
      <w:r w:rsidRPr="00854E06">
        <w:rPr>
          <w:rFonts w:cstheme="majorBidi"/>
        </w:rPr>
        <w:instrText xml:space="preserve"> ADDIN ZOTERO_ITEM CSL_CITATION {"citationID":"zSr8O5j2","properties":{"formattedCitation":"(US EPA 2005; Julien and Vensel 2005; Davinroy, Hendrickson, and Steffen 2006; UMRBA and FTN Associates 2007)","plainCitation":"(US EPA 2005; Julien and Vensel 2005; Davinroy, Hendrickson, and Steffen 2006; UMRBA and FTN Associates 2007)"},"citationItems":[{"id":3,"uris":["http://zotero.org/users/1706519/items/247HHMJZ"],"uri":["http://zotero.org/users/1706519/items/247HHMJZ"],"itemData":{"id":3,"type":"article","title":"National Management Measures to Control Nonpoint Source Pollution from Forestry","publisher":"US EPA","source":"EPA 841-B-05-001","URL":"http://www.epa.gov/owow/nps/forestrymgmt/","note":"page summary.","language":"en","author":[{"family":"US EPA","given":"Office of Wetlands"}],"issued":{"date-parts":[["2005",5]]},"accessed":{"date-parts":[["2013",11,11]]}}},{"id":47,"uris":["http://zotero.org/users/1706519/items/AWEMXXW7"],"uri":["http://zotero.org/users/1706519/items/AWEMXXW7"],"itemData":{"id":47,"type":"report","title":"Review of Sedimentation Issues on the Mississippi River","publisher":"Dept. of Civil and Environmental Engineering","genre":"Report Presented to the UNESCO: ISI","author":[{"family":"Julien","given":"Pierre Y."},{"family":"Vensel","given":"Chad W."}],"issued":{"date-parts":[["2005",11]]}}},{"id":38,"uris":["http://zotero.org/users/1706519/items/96BN98KH"],"uri":["http://zotero.org/users/1706519/items/96BN98KH"],"itemData":{"id":38,"type":"report","title":"Sedimentation in the Upper Mississippi River Basin","publisher":"US Army Corps of Engineers","publisher-place":"St. Louis District","page":"143","event-place":"St. Louis District","author":[{"family":"Davinroy","given":"Rob"},{"family":"Hendrickson","given":"Jon"},{"family":"Steffen","given":"Lyle"}],"issued":{"date-parts":[["2006",3]]}}},{"id":26,"uris":["http://zotero.org/users/1706519/items/7729W5ID"],"uri":["http://zotero.org/users/1706519/items/7729W5ID"],"itemData":{"id":26,"type":"report","title":"Sediment-Related Water Quality Criteria for the Upper Mississippi River","page":"98","author":[{"family":"UMRBA","given":""},{"family":"FTN Associates","given":""}],"issued":{"date-parts":[["2007",2]]}}}],"schema":"https://github.com/citation-style-language/schema/raw/master/csl-citation.json"} </w:instrText>
      </w:r>
      <w:r w:rsidR="00F41E6A" w:rsidRPr="00854E06">
        <w:rPr>
          <w:rFonts w:cstheme="majorBidi"/>
        </w:rPr>
        <w:fldChar w:fldCharType="separate"/>
      </w:r>
      <w:r w:rsidRPr="00854E06">
        <w:rPr>
          <w:rFonts w:cstheme="majorBidi"/>
        </w:rPr>
        <w:t>(US EPA 2005; Julien and Vensel 2005; Davinroy et al. 2006; UMRBA and FTN Associates 2007)</w:t>
      </w:r>
      <w:r w:rsidR="00F41E6A" w:rsidRPr="00854E06">
        <w:rPr>
          <w:rFonts w:cstheme="majorBidi"/>
        </w:rPr>
        <w:fldChar w:fldCharType="end"/>
      </w:r>
      <w:r w:rsidRPr="00854E06">
        <w:rPr>
          <w:rFonts w:cstheme="majorBidi"/>
        </w:rPr>
        <w:t xml:space="preserve">. Suspended sediment carried in streams comprises not only fine particles, but also toxic chemicals attached or adsorbed to particle surfaces </w:t>
      </w:r>
      <w:r w:rsidR="00F41E6A" w:rsidRPr="00854E06">
        <w:rPr>
          <w:rFonts w:cstheme="majorBidi"/>
        </w:rPr>
        <w:fldChar w:fldCharType="begin"/>
      </w:r>
      <w:r w:rsidRPr="00854E06">
        <w:rPr>
          <w:rFonts w:cstheme="majorBidi"/>
        </w:rPr>
        <w:instrText xml:space="preserve"> ADDIN ZOTERO_ITEM CSL_CITATION {"citationID":"Rx7GvTfs","properties":{"formattedCitation":"{\\rtf (O\\uc0\\u8217{}Conner, D.A., and J.A. 1976; Auld and J.R. 1978; Gregory 1990)}","plainCitation":"(O’Conner, D.A., and J.A. 1976; Auld and J.R. 1978; Gregory 1990)"},"citationItems":[{"id":94,"uris":["http://zotero.org/users/1706519/items/MWZHNMNX"],"uri":["http://zotero.org/users/1706519/items/MWZHNMNX"],"itemData":{"id":94,"type":"article","title":"Lethal effects of suspended sediments on estuarine fish.","publisher":"U.S. Coastal Engineering Research Technical Paper","archive":"76(20):1-38","author":[{"family":"O'Conner","given":"J.M."},{"family":"D.A.","given":"Newmann"},{"family":"J.A.","given":"Sheck"}],"issued":{"date-parts":[["1976"]]}}},{"id":229,"uris":["http://zotero.org/users/1706519/items/GMIDKXTD"],"uri":["http://zotero.org/users/1706519/items/GMIDKXTD"],"itemData":{"id":229,"type":"article-journal","title":"Effects of suspended sediment on fish eggs and larvae: a laboratory assessment","container-title":"Estuarine and Coastal Marine Science","page":"153-164","volume":"6","author":[{"family":"Auld","given":"A. H."},{"family":"J.R.","given":"Schubel"}],"issued":{"date-parts":[["1978"]]}}},{"id":140,"uris":["http://zotero.org/users/1706519/items/X2IWKMN9"],"uri":["http://zotero.org/users/1706519/items/X2IWKMN9"],"itemData":{"id":140,"type":"speech","title":"Effects of turbidity on benthic foraging and predation risk in juvenile chinook salmon","publisher-place":"University of Washington and Washington Sea Grant Program. Seattle, Washington.","event":"Effects of dredging on anadromous Pacific coast fishes: workshop proceedings.","event-place":"University of Washington and Washington Sea Grant Program. Seattle, Washington.","author":[{"family":"Gregory","given":"R. S."}],"issued":{"date-parts":[["1990"]]}}}],"schema":"https://github.com/citation-style-language/schema/raw/master/csl-citation.json"} </w:instrText>
      </w:r>
      <w:r w:rsidR="00F41E6A" w:rsidRPr="00854E06">
        <w:rPr>
          <w:rFonts w:cstheme="majorBidi"/>
        </w:rPr>
        <w:fldChar w:fldCharType="separate"/>
      </w:r>
      <w:r w:rsidRPr="00854E06">
        <w:rPr>
          <w:rFonts w:cstheme="majorBidi"/>
        </w:rPr>
        <w:t>(O’Conner et al. 1976; Auld and Shubel 1978; Gregory 1990)</w:t>
      </w:r>
      <w:r w:rsidR="00F41E6A" w:rsidRPr="00854E06">
        <w:rPr>
          <w:rFonts w:cstheme="majorBidi"/>
        </w:rPr>
        <w:fldChar w:fldCharType="end"/>
      </w:r>
      <w:r w:rsidRPr="00854E06">
        <w:rPr>
          <w:rFonts w:cstheme="majorBidi"/>
        </w:rPr>
        <w:t xml:space="preserve">. Furthermore, changes in sediment regimes also change the habitats and food sources of aquatic species. For example, a study by Auld and </w:t>
      </w:r>
      <w:proofErr w:type="spellStart"/>
      <w:r w:rsidRPr="00854E06">
        <w:rPr>
          <w:rFonts w:cstheme="majorBidi"/>
        </w:rPr>
        <w:t>Shubel</w:t>
      </w:r>
      <w:proofErr w:type="spellEnd"/>
      <w:r w:rsidRPr="00854E06">
        <w:rPr>
          <w:rFonts w:cstheme="majorBidi"/>
        </w:rPr>
        <w:t xml:space="preserve"> (1978) showed that suspended sediment with concentrations of 1000 mg/l significantly reduced the hatching success ratio of white perch and striped bass. Those </w:t>
      </w:r>
      <w:r>
        <w:rPr>
          <w:rFonts w:cstheme="majorBidi"/>
        </w:rPr>
        <w:t xml:space="preserve">fish </w:t>
      </w:r>
      <w:r w:rsidRPr="00854E06">
        <w:rPr>
          <w:rFonts w:cstheme="majorBidi"/>
        </w:rPr>
        <w:t xml:space="preserve">species may suffer from lack of oxygen or lack of food </w:t>
      </w:r>
      <w:r w:rsidR="00F41E6A" w:rsidRPr="00854E06">
        <w:rPr>
          <w:rFonts w:cstheme="majorBidi"/>
        </w:rPr>
        <w:fldChar w:fldCharType="begin"/>
      </w:r>
      <w:r w:rsidRPr="00854E06">
        <w:rPr>
          <w:rFonts w:cstheme="majorBidi"/>
        </w:rPr>
        <w:instrText xml:space="preserve"> ADDIN ZOTERO_ITEM CSL_CITATION {"citationID":"9tTccqub","properties":{"formattedCitation":"(Dougherty and Hall 1995)","plainCitation":"(Dougherty and Hall 1995)"},"citationItems":[{"id":57,"uris":["http://zotero.org/users/1706519/items/CWR73KCH"],"uri":["http://zotero.org/users/1706519/items/CWR73KCH"],"itemData":{"id":57,"type":"report","title":"Environmental Impact Assessment of Irrigation and Drainage Projects","publisher":"FAO","number":"FAO Irrigation and Drainage Paper 53","author":[{"family":"Dougherty","given":"T.C"},{"family":"Hall","given":"A.W."}],"issued":{"date-parts":[["1995"]]}}}],"schema":"https://github.com/citation-style-language/schema/raw/master/csl-citation.json"} </w:instrText>
      </w:r>
      <w:r w:rsidR="00F41E6A" w:rsidRPr="00854E06">
        <w:rPr>
          <w:rFonts w:cstheme="majorBidi"/>
        </w:rPr>
        <w:fldChar w:fldCharType="separate"/>
      </w:r>
      <w:r w:rsidRPr="00854E06">
        <w:rPr>
          <w:rFonts w:cstheme="majorBidi"/>
        </w:rPr>
        <w:t>(Dougherty and Hall 1995)</w:t>
      </w:r>
      <w:r w:rsidR="00F41E6A" w:rsidRPr="00854E06">
        <w:rPr>
          <w:rFonts w:cstheme="majorBidi"/>
        </w:rPr>
        <w:fldChar w:fldCharType="end"/>
      </w:r>
      <w:r w:rsidRPr="00854E06">
        <w:rPr>
          <w:rFonts w:cstheme="majorBidi"/>
        </w:rPr>
        <w:t xml:space="preserve">. </w:t>
      </w:r>
      <w:r w:rsidR="00F41E6A" w:rsidRPr="00854E06">
        <w:rPr>
          <w:rFonts w:cstheme="majorBidi"/>
        </w:rPr>
        <w:fldChar w:fldCharType="begin"/>
      </w:r>
      <w:r w:rsidRPr="00854E06">
        <w:rPr>
          <w:rFonts w:cstheme="majorBidi"/>
        </w:rPr>
        <w:instrText xml:space="preserve"> ADDIN ZOTERO_ITEM CSL_CITATION {"citationID":"wnuIqRWT","properties":{"formattedCitation":"(Box and Mossa 1999)","plainCitation":"(Box and Mossa 1999)"},"citationItems":[{"id":109,"uris":["http://zotero.org/users/1706519/items/QHNTX35F"],"uri":["http://zotero.org/users/1706519/items/QHNTX35F"],"itemData":{"id":109,"type":"article-journal","title":"Sediment, Land Use, and Freshwater Mussels: Prospects and Problems","container-title":"Journal of the North American Benthological Society","page":"99-117","volume":"18","issue":"1","source":"JSTOR","abstract":"The decline in freshwater mussel populations in many river basins throughout North America has been attributed, in part, to land-use modifications that cause changes in sediment regimes. However, the specific associations that mussels have with stream sediments are poorly understood, making it difficult to assess the impacts of changes in sedimentation rates on unionid mussels. Both bed and suspended materials, and concomitant changes in channel form associated with changes in sediment supply, may affect mussels in numerous ways at various stages in their life cycle. Considerable debate and uncertainty remains regarding the strength of associations between sediments and mussels, including whether increased sedimentation is a cause of recent mussel declines. It is important to be aware of appropriate procedures for sampling and analyzing fluvial sediments, and the nature of sediment sources, to adequately assess relationships between unionid mussels and fluvial sediments.","DOI":"10.2307/1468011","ISSN":"0887-3593","note":"ArticleType: research-article / Full publication date: Mar., 1999 / Copyright © 1999 Society for Freshwater Science","shortTitle":"Sediment, Land Use, and Freshwater Mussels","journalAbbreviation":"Journal of the North American Benthological Society","author":[{"family":"Box","given":"Jayne Brim"},{"family":"Mossa","given":"Joann"}],"issued":{"date-parts":[["1999",3,1]]},"accessed":{"date-parts":[["2013",12,6]]}}}],"schema":"https://github.com/citation-style-language/schema/raw/master/csl-citation.json"} </w:instrText>
      </w:r>
      <w:r w:rsidR="00F41E6A" w:rsidRPr="00854E06">
        <w:rPr>
          <w:rFonts w:cstheme="majorBidi"/>
        </w:rPr>
        <w:fldChar w:fldCharType="separate"/>
      </w:r>
      <w:r w:rsidRPr="00854E06">
        <w:rPr>
          <w:rFonts w:cstheme="majorBidi"/>
        </w:rPr>
        <w:t>Box and Mossa (1999)</w:t>
      </w:r>
      <w:r w:rsidR="00F41E6A" w:rsidRPr="00854E06">
        <w:rPr>
          <w:rFonts w:cstheme="majorBidi"/>
        </w:rPr>
        <w:fldChar w:fldCharType="end"/>
      </w:r>
      <w:r w:rsidRPr="00854E06">
        <w:rPr>
          <w:rFonts w:cstheme="majorBidi"/>
        </w:rPr>
        <w:t xml:space="preserve"> showed that the decline of the freshwater mussel population in many river</w:t>
      </w:r>
      <w:r>
        <w:rPr>
          <w:rFonts w:cstheme="majorBidi"/>
        </w:rPr>
        <w:t>s</w:t>
      </w:r>
      <w:r w:rsidRPr="00854E06">
        <w:rPr>
          <w:rFonts w:cstheme="majorBidi"/>
        </w:rPr>
        <w:t xml:space="preserve"> in North America is due to land-use modifications that change sediment regimes. In the context of water supply, higher sediment concentrations are associated with higher water treatment costs for operation and maintenance, as pumps and turbines can be worn by sediment </w:t>
      </w:r>
      <w:r w:rsidR="00F41E6A" w:rsidRPr="00854E06">
        <w:rPr>
          <w:rFonts w:cstheme="majorBidi"/>
        </w:rPr>
        <w:fldChar w:fldCharType="begin"/>
      </w:r>
      <w:r w:rsidRPr="00854E06">
        <w:rPr>
          <w:rFonts w:cstheme="majorBidi"/>
        </w:rPr>
        <w:instrText xml:space="preserve"> ADDIN ZOTERO_ITEM CSL_CITATION {"citationID":"JOysq6S2","properties":{"formattedCitation":"(US EPA 1994)","plainCitation":"(US EPA 1994)"},"citationItems":[{"id":418,"uris":["http://zotero.org/users/1706519/items/KZGW5H45"],"uri":["http://zotero.org/users/1706519/items/KZGW5H45"],"itemData":{"id":418,"type":"report","title":"Assessment and Remediation of Contaminated Sediments (ARCS) Program - Chapter 6","publisher":"US Environmental Protection Agency","publisher-place":"Chicago, Ill.: Great Lakes National Program Office","event-place":"Chicago, Ill.: Great Lakes National Program Office","URL":"http://epa.gov/glnpo/arcs/EPA-905-B94-003/B94-003.ch6.html","number":"EPA 905-B94-003","language":"en","author":[{"family":"US EPA","given":""}],"issued":{"date-parts":[["1994"]]},"accessed":{"date-parts":[["2014",1,30]],"season":"22:19:46"}}}],"schema":"https://github.com/citation-style-language/schema/raw/master/csl-citation.json"} </w:instrText>
      </w:r>
      <w:r w:rsidR="00F41E6A" w:rsidRPr="00854E06">
        <w:rPr>
          <w:rFonts w:cstheme="majorBidi"/>
        </w:rPr>
        <w:fldChar w:fldCharType="separate"/>
      </w:r>
      <w:r w:rsidRPr="00854E06">
        <w:rPr>
          <w:rFonts w:cstheme="majorBidi"/>
        </w:rPr>
        <w:t>(US EPA 1994)</w:t>
      </w:r>
      <w:r w:rsidR="00F41E6A" w:rsidRPr="00854E06">
        <w:rPr>
          <w:rFonts w:cstheme="majorBidi"/>
        </w:rPr>
        <w:fldChar w:fldCharType="end"/>
      </w:r>
      <w:r w:rsidRPr="00854E06">
        <w:rPr>
          <w:rFonts w:cstheme="majorBidi"/>
        </w:rPr>
        <w:t>. Furthermore, sediment can reduce the capacity of a reservoir to store water for power generation and other uses.</w:t>
      </w:r>
    </w:p>
    <w:p w:rsidR="00496A72" w:rsidRPr="00854E06" w:rsidRDefault="00496A72" w:rsidP="00496A72">
      <w:pPr>
        <w:spacing w:before="120" w:after="120" w:line="480" w:lineRule="auto"/>
        <w:ind w:firstLine="720"/>
        <w:jc w:val="both"/>
        <w:rPr>
          <w:rFonts w:cstheme="majorBidi"/>
        </w:rPr>
      </w:pPr>
      <w:r w:rsidRPr="00854E06">
        <w:rPr>
          <w:rFonts w:cstheme="majorBidi"/>
        </w:rPr>
        <w:t>In the Upper Mississippi River Basin (UMRB), the problem of suspended sediment has been one of the greatest concerns of water managers</w:t>
      </w:r>
      <w:r>
        <w:rPr>
          <w:rFonts w:cstheme="majorBidi"/>
        </w:rPr>
        <w:t xml:space="preserve"> </w:t>
      </w:r>
      <w:r w:rsidR="00F41E6A">
        <w:rPr>
          <w:rFonts w:cstheme="majorBidi"/>
        </w:rPr>
        <w:fldChar w:fldCharType="begin"/>
      </w:r>
      <w:r>
        <w:rPr>
          <w:rFonts w:cstheme="majorBidi"/>
        </w:rPr>
        <w:instrText xml:space="preserve"> ADDIN ZOTERO_ITEM CSL_CITATION {"citationID":"mSjAGqXq","properties":{"formattedCitation":"(Davinroy, Hendrickson, and Steffen 2006)","plainCitation":"(Davinroy, Hendrickson, and Steffen 2006)"},"citationItems":[{"id":38,"uris":["http://zotero.org/users/1706519/items/96BN98KH"],"uri":["http://zotero.org/users/1706519/items/96BN98KH"],"itemData":{"id":38,"type":"report","title":"Sedimentation in the Upper Mississippi River Basin","publisher":"US Army Corps of Engineers","publisher-place":"St. Louis District","page":"143","event-place":"St. Louis District","author":[{"family":"Davinroy","given":"Rob"},{"family":"Hendrickson","given":"Jon"},{"family":"Steffen","given":"Lyle"}],"issued":{"date-parts":[["2006",3]]}}}],"schema":"https://github.com/citation-style-language/schema/raw/master/csl-citation.json"} </w:instrText>
      </w:r>
      <w:r w:rsidR="00F41E6A">
        <w:rPr>
          <w:rFonts w:cstheme="majorBidi"/>
        </w:rPr>
        <w:fldChar w:fldCharType="separate"/>
      </w:r>
      <w:r w:rsidRPr="008275AE">
        <w:rPr>
          <w:rFonts w:ascii="Times New Roman" w:hAnsi="Times New Roman" w:cs="Times New Roman"/>
        </w:rPr>
        <w:t>(Da</w:t>
      </w:r>
      <w:r>
        <w:rPr>
          <w:rFonts w:ascii="Times New Roman" w:hAnsi="Times New Roman" w:cs="Times New Roman"/>
        </w:rPr>
        <w:t>vinroy et al.</w:t>
      </w:r>
      <w:r w:rsidRPr="008275AE">
        <w:rPr>
          <w:rFonts w:ascii="Times New Roman" w:hAnsi="Times New Roman" w:cs="Times New Roman"/>
        </w:rPr>
        <w:t xml:space="preserve"> 2006)</w:t>
      </w:r>
      <w:r w:rsidR="00F41E6A">
        <w:rPr>
          <w:rFonts w:cstheme="majorBidi"/>
        </w:rPr>
        <w:fldChar w:fldCharType="end"/>
      </w:r>
      <w:r w:rsidRPr="00854E06">
        <w:rPr>
          <w:rFonts w:cstheme="majorBidi"/>
        </w:rPr>
        <w:t xml:space="preserve">. </w:t>
      </w:r>
      <w:r>
        <w:rPr>
          <w:rFonts w:cstheme="majorBidi"/>
        </w:rPr>
        <w:t xml:space="preserve">The suspended sediment yield  has gradually declined </w:t>
      </w:r>
      <w:r w:rsidRPr="00854E06">
        <w:rPr>
          <w:rFonts w:cstheme="majorBidi"/>
        </w:rPr>
        <w:t xml:space="preserve">in the past 50 years due to changes of river structure and flow regime, which have resulted from human activities such as </w:t>
      </w:r>
      <w:r>
        <w:rPr>
          <w:rFonts w:cstheme="majorBidi"/>
        </w:rPr>
        <w:t>engineering structures</w:t>
      </w:r>
      <w:r w:rsidRPr="00854E06">
        <w:rPr>
          <w:rFonts w:cstheme="majorBidi"/>
        </w:rPr>
        <w:t xml:space="preserve"> and </w:t>
      </w:r>
      <w:r>
        <w:rPr>
          <w:rFonts w:cstheme="majorBidi"/>
        </w:rPr>
        <w:t xml:space="preserve">conservation practices on </w:t>
      </w:r>
      <w:r w:rsidRPr="00854E06">
        <w:rPr>
          <w:rFonts w:cstheme="majorBidi"/>
        </w:rPr>
        <w:t>agricultural land use</w:t>
      </w:r>
      <w:r>
        <w:rPr>
          <w:rFonts w:cstheme="majorBidi"/>
        </w:rPr>
        <w:t xml:space="preserve"> </w:t>
      </w:r>
      <w:r w:rsidR="00F41E6A">
        <w:rPr>
          <w:rFonts w:cstheme="majorBidi"/>
        </w:rPr>
        <w:fldChar w:fldCharType="begin"/>
      </w:r>
      <w:r>
        <w:rPr>
          <w:rFonts w:cstheme="majorBidi"/>
        </w:rPr>
        <w:instrText xml:space="preserve"> ADDIN ZOTERO_ITEM CSL_CITATION {"citationID":"RCJCLbsO","properties":{"formattedCitation":"(Meade 1995; Meade and Moody 2010; Horowitz 2010; Heimann, Sprague, and Blevins 2011)","plainCitation":"(Meade 1995; Meade and Moody 2010; Horowitz 2010; Heimann, Sprague, and Blevins 2011)"},"citationItems":[{"id":9,"uris":["http://zotero.org/users/1706519/items/3QGV7FDT"],"uri":["http://zotero.org/users/1706519/items/3QGV7FDT"],"itemData":{"id":9,"type":"report","title":"Contaminants in the Mississippi River, 1987-92","publisher":"U.S. Geological Survey","URL":"http://pubs.usgs.gov/circ/circ1133/","number":"U.S. Geological Survey Circular 1133","author":[{"family":"Meade","given":"Robert H."}],"issued":{"date-parts":[["1995"]]},"accessed":{"date-parts":[["2014",1,19]],"season":"20:50:25"}}},{"id":524,"uris":["http://zotero.org/users/1706519/items/455DZDWG"],"uri":["http://zotero.org/users/1706519/items/455DZDWG"],"itemData":{"id":524,"type":"article-journal","title":"Causes for the decline of suspended-sediment discharge in the Mississippi River system, 1940–2007","container-title":"Hydrological Processes","page":"35–49","volume":"24","issue":"1","source":"Wiley Online Library","abstract":"Before 1900, the Missouri–Mississippi River system transported an estimated 400 million metric tons per year of sediment from the interior of the United States to coastal Louisiana. During the last two decades (1987–2006), this transport has averaged 145 million metric tons per year. The cause for this substantial decrease in sediment has been attributed to the trapping characteristics of dams constructed on the muddy part of the Missouri River during the 1950s. However, reexamination of more than 60 years of water- and sediment-discharge data indicates that the dams alone are not the sole cause. These dams trap about 100–150 million metric tons per year, which represent about half the decrease in sediment discharge near the mouth of the Mississippi. Changes in relations between water discharge and suspended-sediment concentration suggest that the Missouri–Mississippi has been transformed from a transport-limited to a supply-limited system. Thus, other engineering activities such as meander cutoffs, river-training structures, and bank revetments as well as soil erosion controls have trapped sediment, eliminated sediment sources, or protected sediment that was once available for transport episodically throughout the year. Removing major engineering structures such as dams probably would not restore sediment discharges to pre-1900 state, mainly because of the numerous smaller engineering structures and other soil-retention works throughout the Missouri–Mississippi system. Published in 2009 by John Wiley &amp; Sons, Ltd.","DOI":"10.1002/hyp.7477","ISSN":"1099-1085","language":"en","author":[{"family":"Meade","given":"Robert H."},{"family":"Moody","given":"John A."}],"issued":{"date-parts":[["2010"]]},"accessed":{"date-parts":[["2014",3,10]]}}},{"id":521,"uris":["http://zotero.org/users/1706519/items/JPU3HZ2M"],"uri":["http://zotero.org/users/1706519/items/JPU3HZ2M"],"itemData":{"id":521,"type":"article-journal","title":"A quarter century of declining suspended sediment fluxes in the Mississippi River and the effect of the 1993 flood","container-title":"Hydrological Processes","page":"13–34","volume":"24","issue":"1","source":"Wiley Online Library","abstract":"Annual fluxes, flow-weighted concentrations and linear least squares trendline calculations for a number of long-term Mississippi River Basin (MRB) sampling sites covering 1981 through 2007, whilst somewhat ‘noisy’, display long-term patterns of decline. Annual flow-weighted concentration plots display the same long-term patterns of decline, but are less noisy because they reduce/eliminate variations due to interannual discharge differences. The declines appear greatest in the middle MRB, but also are evident elsewhere. The pattern for the lower Ohio River differs and may reflect ongoing construction at the Olmsted lock and dam that began in 1993 and currently is ongoing. The ‘Great Flood of 1993’ appears to have superimposed a step function (a sharp drop) on the long-term rate of decline in suspended sediment concentrations (SSC), annual fluxes and flow-weighted concentrations in the middle MRB at St Louis and Thebes, Missouri and Vicksburg, Mississippi, and in the lower MRB at St Francisville, Louisiana. Evidence for a step function at other sites is less substantial, but may have occurred. The step function appears to have resulted from losses in available (erodible) sediment, rather than to a reduction in discharge; hence, the MRB appears to be supply limited rather than discharge limited. These evaluations support the need for daily discharge and SSC data collections in the MRB to better address questions regarding long-term trends in sediment-related issues. This is apparent when the results for the Mississippi River at Thebes and St Louis sites are compared with those from other MRB sites where intensive (daily) data collections are lacking. Published in 2009 by John Wiley &amp; Sons, Ltd.","DOI":"10.1002/hyp.7425","ISSN":"1099-1085","language":"en","author":[{"family":"Horowitz","given":"Arthur J."}],"issued":{"date-parts":[["2010"]]},"accessed":{"date-parts":[["2014",3,10]]}}},{"id":118,"uris":["http://zotero.org/users/1706519/items/T3CT4QJ5"],"uri":["http://zotero.org/users/1706519/items/T3CT4QJ5"],"itemData":{"id":118,"type":"report","title":"USGS Scientific Investigations Report 2011–5200: Trends in Suspended-Sediment Loads and Concentrations in the Mississippi River Basin, 1950–2009","publisher":"US Geological Survey","abstract":"Trends in loads and concentrations of suspended sediment and suspended sand generally were downward for stations within the Mississippi River Basin during the 60-, 34-, and 12-year periods analyzed. Sediment transport in the lower Mississippi River has historically been, and continues to be, most closely correlative to sediment contributions from the Missouri River, which generally carried the largest annual suspended-sediment load of the major Mississippi River subbasins. The closure of Fort Randall Dam in the upper Missouri River in 1952 was the single largest event in the recorded historical decline of suspended-sediment loads in the Mississippi River Basin. Impoundments on tributaries and sediment reductions as a result of implementation of agricultural conservation practices throughout the basin likely account for much of the remaining Mississippi River sediment transport decline. Scour of the main-stem channel downstream from the upper Missouri River impoundments is likely the largest source of suspended sand in the lower Missouri River. The Ohio River was second to the Missouri River in terms of sediment contributions, followed by the upper Mississippi and Arkansas Rivers. Declines in sediment loads and concentrations continued through the most recent analysis period (1998–2009) at available Mississippi River Basin stations. Analyses of flow-adjusted concentrations of suspended sediment indicate the recent downward temporal changes generally can be explained by corresponding decreases in streamflows.","URL":"http://pubs.usgs.gov/sir/2011/5200/","author":[{"family":"Heimann","given":"David C."},{"family":"Sprague","given":"Lori A."},{"family":"Blevins","given":"Dale W."}],"issued":{"date-parts":[["2011",11]]},"accessed":{"date-parts":[["2014",1,1]],"season":"14:14:11"}}}],"schema":"https://github.com/citation-style-language/schema/raw/master/csl-citation.json"} </w:instrText>
      </w:r>
      <w:r w:rsidR="00F41E6A">
        <w:rPr>
          <w:rFonts w:cstheme="majorBidi"/>
        </w:rPr>
        <w:fldChar w:fldCharType="separate"/>
      </w:r>
      <w:r w:rsidRPr="000D3CCC">
        <w:rPr>
          <w:rFonts w:ascii="Times New Roman" w:hAnsi="Times New Roman" w:cs="Times New Roman"/>
        </w:rPr>
        <w:t>(Meade 1995; Meade and Moody 2010; Horowitz 20</w:t>
      </w:r>
      <w:r>
        <w:rPr>
          <w:rFonts w:ascii="Times New Roman" w:hAnsi="Times New Roman" w:cs="Times New Roman"/>
        </w:rPr>
        <w:t>10; Heimann et al.</w:t>
      </w:r>
      <w:r w:rsidRPr="000D3CCC">
        <w:rPr>
          <w:rFonts w:ascii="Times New Roman" w:hAnsi="Times New Roman" w:cs="Times New Roman"/>
        </w:rPr>
        <w:t xml:space="preserve"> 2011)</w:t>
      </w:r>
      <w:r w:rsidR="00F41E6A">
        <w:rPr>
          <w:rFonts w:cstheme="majorBidi"/>
        </w:rPr>
        <w:fldChar w:fldCharType="end"/>
      </w:r>
      <w:r w:rsidRPr="00854E06">
        <w:rPr>
          <w:rFonts w:cstheme="majorBidi"/>
        </w:rPr>
        <w:t xml:space="preserve">. </w:t>
      </w:r>
      <w:r>
        <w:rPr>
          <w:rFonts w:cstheme="majorBidi"/>
        </w:rPr>
        <w:t xml:space="preserve">Researchers are interested in collecting more data for studies of </w:t>
      </w:r>
      <w:r>
        <w:rPr>
          <w:rFonts w:cstheme="majorBidi"/>
        </w:rPr>
        <w:lastRenderedPageBreak/>
        <w:t>suspended sediment transport; however, monitoring suspended sediment concentration is prohibitively expensive.</w:t>
      </w:r>
      <w:r w:rsidRPr="00854E06">
        <w:rPr>
          <w:rFonts w:cstheme="majorBidi"/>
        </w:rPr>
        <w:t xml:space="preserve"> </w:t>
      </w:r>
      <w:r>
        <w:rPr>
          <w:rFonts w:cstheme="majorBidi"/>
        </w:rPr>
        <w:t xml:space="preserve">An alternative method is to develop the sediment rating curve based on observed data of sediment concentration and discharge </w:t>
      </w:r>
      <w:r w:rsidR="00F41E6A">
        <w:rPr>
          <w:rFonts w:cstheme="majorBidi"/>
        </w:rPr>
        <w:fldChar w:fldCharType="begin"/>
      </w:r>
      <w:r>
        <w:rPr>
          <w:rFonts w:cstheme="majorBidi"/>
        </w:rPr>
        <w:instrText xml:space="preserve"> ADDIN ZOTERO_ITEM CSL_CITATION {"citationID":"V2DBr44R","properties":{"formattedCitation":"(L. B. Leopold and Maddock 1953; Colby 1956; Horowitz 2003)","plainCitation":"(L. B. Leopold and Maddock 1953; Colby 1956; Horowitz 2003)"},"citationItems":[{"id":25,"uris":["http://zotero.org/users/1706519/items/6UR5RVN5"],"uri":["http://zotero.org/users/1706519/items/6UR5RVN5"],"itemData":{"id":25,"type":"report","title":"The hydraulic geometry of stream channels and some physiographic implications","publisher":"United States Geological Survey","source":"pubs.er.usgs.gov","URL":"http://pubs.er.usgs.gov/publication/pp252","number":"PP - 252","author":[{"family":"Leopold","given":"L. B."},{"family":"Maddock","given":"Thomas"}],"issued":{"date-parts":[["1953"]]},"accessed":{"date-parts":[["2013",11,3]]}}},{"id":126,"uris":["http://zotero.org/users/1706519/items/TWQTQTSD"],"uri":["http://zotero.org/users/1706519/items/TWQTQTSD"],"itemData":{"id":126,"type":"report","title":"Relationship of sediment discharge to streamflow","publisher":"United States Geological Survey","source":"pubs.er.usgs.gov","abstract":"The relationship between rate of sediment discharge and rate of water discharge at a cross section of a stream is frequently expressed by an average curve. This curve is the sediment rating curve. It has been widely used in the computation of average sediment discharge from water discharge for periods when sediment samples were not collected. This report discusses primarily the applications of sediment rating curves for periods during which at least occasional sediment samples were collected. Because sediment rating curves are of many kinds, the selection of the correct kind for each use is important. Each curve should be carefully prepared. In particular, the correct dependent variable must be used or the slope of the sediment rating curve may be incorrect for computing sediment discharges. Sediment rating curves and their applications were studied for the following gaging stations: 1. Niobrara River near Cody, Nebr. 2. Colorado River near Grand Canyon, Ariz. 3. Rio Grande at San Martial, N. Mex. 4. Rio Puerto near Bernardo, N. Mex. 5. White River near Kadoka, S. Dak. 6. Sandusky River near Fremont, Ohio Except for the Sandusky River and the Rio Puerco, which transport mostly fine sediment, one instantaneous sediment rating curve was prepared for the discharge of suspended sands, at each station, and another for the discharge of sediment finer than 0.082 millimeter. Each curve was studied separately, and by trial-end-error multiple correlation some of the factors that cause scatter from the sediment rating curves were determined. Average velocity at the cross section, Water temperature, and erratic fluctuations in concentration seemed to be the three major factors that caused departures from the sediment rating curves for suspended sands. The concentration of suspended sands varied with about the 2.8 power of the mean velocity for the four sediment, rating curves for suspended sands. The effect of water temperature was not so consistent as that of velocity and theoretically should vary considerably with differences in the size composition of the suspended sands. Scatter from the sediment rating curves for sediments finer than 0.082 millimeter seemed to be caused by changes in supply of these sediments. Some of the scatter could be explained by seasonal variations, by a pattern of change in concentration of fine sediment following a rise, or by source of the runoff as indicated by the measured relative flows of certain tributaries. Daily or instantaneous sediment rating curves adjusted for factors that account for some of the scatter from an average curve often can be used to compute approximate daily, monthly, and annual sediment discharges. Accuracy of the computed sediment discharges should be better than average for streams that transport mostly sands rather than fine sediments and for some ephemeral or intermittent streams, such as Rio Puerco, in semiarid regions. Accuracy of computed sediment discharges can be much improved for many streams by shifting the sediment rating curve on the basis of 2 or 4 measurements of sediment discharge per month. Of 26 annual sediment discharges that were computed by shifting sediment rating curves to either 2 or 4 measured sediment discharges per month, 18 were within I0 percent of the annual-sediment discharges that were computed on the basis of a daily sampling program. Monthly and daily sediment discharges computed from daily or instantaneous sediment rating curves, either shifted or unshifted, were less accurate than similarly computed annual sediment discharges. Even so, the difference in cost between occasional sediment samples and daily samples is so great that the added accuracy from daily sampling may not Justify the added cost. Monthly and annual sediment-rating curves can be applied simply, with adjustments if required, to compute monthly and annual sediment discharges with reasonably good accuracy for gaging stations like the Rio Puerco near Bernardo,","URL":"http://pubs.er.usgs.gov/publication/ofr5627","number":"OFR - 56-27","author":[{"family":"Colby","given":"B. R."}],"issued":{"date-parts":[["1956"]]},"accessed":{"date-parts":[["2013",8,15]]}}},{"id":90,"uris":["http://zotero.org/users/1706519/items/MFGG38JT"],"uri":["http://zotero.org/users/1706519/items/MFGG38JT"],"itemData":{"id":90,"type":"article-journal","title":"An evaluation of sediment rating curves for estimating suspended sediment concentrations for subsequent flux calculations","container-title":"Hydrological Processes","page":"3387-3409","volume":"17","abstract":"In the absence of actual suspended sediment concentration (SSC) measurements, hydrologists have used sediment\nrating (sediment transport) curves to estimate (predict) SSCs for subsequent ﬂux calculations. Various evaluations of\nthe sediment rating-curve method were made using data from long-term, daily sediment-measuring sites within large\n(&gt;1 000 000 km2\n), medium (&lt;1 000 000 to &gt;1000 km2\n), and small (&lt;1000 km2\n) river basins in the USA and Europe\nrelative to the estimation of suspended sediment ﬂuxes. The evaluations address such issues as the accuracy of ﬂux\nestimations for various levels of temporal resolution as well as the impact of sampling frequency on the magnitude of\nﬂux estimation errors.\nThe sediment rating-curve method tends to underpredict high, and overpredict low SSCs. As such, the range of\nerrors associated with concomitant ﬂux estimates for relatively short time-frames (e.g. daily, weekly) are likely to\nbe substantially larger than those associated with longer time-frames (e.g. quarterly, annually) because the over- and\nunderpredictions do not have sufﬁcient time to balance each other. Hence, when error limits must be kept under š20%,\ntemporal resolution probably should be limited to quarterly or greater.\nThe evaluations indicate that over periods of 20 or more years, errors of &lt;1% can be achieved using a single\nsediment rating curve based on data spanning the entire period. However, somewhat better estimates for the entire\nperiod, and markedly better annual estimates within the period, can be obtained if individual annual sediment rating\ncurves are used instead. Relatively accurate (errors &lt;š20%) annual suspended sediment ﬂuxes can be obtained from\nhydrologically based monthly measurements/samples. For 5-year periods or longer, similar results can be obtained\nfrom measurements/samples collected once every 2 months. In either case, hydrologically based sampling, as opposed\nto calendar-based sampling is likely to limit the magnitude of ﬂux estimation errors. Published in 2003 by John Wiley\n&amp; Sons, Ltd.\nKEY WORDS sediment rating curves; suspended sediment concentration; suspended sediment ﬂux estimates","author":[{"family":"Horowitz","given":"Arthur J."}],"issued":{"date-parts":[["2003",8,21]]}}}],"schema":"https://github.com/citation-style-language/schema/raw/master/csl-citation.json"} </w:instrText>
      </w:r>
      <w:r w:rsidR="00F41E6A">
        <w:rPr>
          <w:rFonts w:cstheme="majorBidi"/>
        </w:rPr>
        <w:fldChar w:fldCharType="separate"/>
      </w:r>
      <w:r w:rsidRPr="00474CFB">
        <w:rPr>
          <w:rFonts w:ascii="Times New Roman" w:hAnsi="Times New Roman" w:cs="Times New Roman"/>
        </w:rPr>
        <w:t>(</w:t>
      </w:r>
      <w:r w:rsidRPr="00854E06">
        <w:rPr>
          <w:rFonts w:ascii="Times New Roman" w:hAnsi="Times New Roman" w:cs="Times New Roman"/>
        </w:rPr>
        <w:t>Colby 1956; Asselman 1999; Asselman 2000</w:t>
      </w:r>
      <w:r w:rsidRPr="00C23FC8">
        <w:rPr>
          <w:rFonts w:ascii="Times New Roman" w:hAnsi="Times New Roman" w:cs="Times New Roman"/>
        </w:rPr>
        <w:t xml:space="preserve"> Horowitz 2003)</w:t>
      </w:r>
      <w:r w:rsidR="00F41E6A">
        <w:rPr>
          <w:rFonts w:cstheme="majorBidi"/>
        </w:rPr>
        <w:fldChar w:fldCharType="end"/>
      </w:r>
      <w:r>
        <w:rPr>
          <w:rFonts w:cstheme="majorBidi"/>
        </w:rPr>
        <w:t xml:space="preserve">. The rating curve is used to estimate sediment concentrations (mass per volume of water) at known discharges, which can later be used to calculate the sediment load (mass per time) </w:t>
      </w:r>
      <w:r w:rsidR="00F41E6A">
        <w:rPr>
          <w:rFonts w:cstheme="majorBidi"/>
        </w:rPr>
        <w:fldChar w:fldCharType="begin"/>
      </w:r>
      <w:r>
        <w:rPr>
          <w:rFonts w:cstheme="majorBidi"/>
        </w:rPr>
        <w:instrText xml:space="preserve"> ADDIN ZOTERO_ITEM CSL_CITATION {"citationID":"qTzx1G6H","properties":{"formattedCitation":"(Walling 1977; Horowitz, Elrick, and Smith 2001)","plainCitation":"(Walling 1977; Horowitz, Elrick, and Smith 2001)"},"citationItems":[{"id":51,"uris":["http://zotero.org/users/1706519/items/C2C9AGXB"],"uri":["http://zotero.org/users/1706519/items/C2C9AGXB"],"itemData":{"id":51,"type":"article-journal","title":"Assessing the accuracy of suspended sediment rating curves for a small basin","container-title":"Water Resources Research","page":"531–538","volume":"13","issue":"3","source":"Wiley Online Library","abstract":"Sediment rating curves are often used to estimate suspended sediment loads where the sampling program is insufficient to define the continuous record of sediment concentration. Use of this technique will involve errors in the values of sediment load produced, and comparison with measured daily values has been employed by several workers to assess the magnitude of these errors. Comparisons are more difficult for small- and medium-sized catchments because of the general lack of direct measurements of loads. Recording turbidity meters could be employed to provide a continuous record of sediment concentration which can be used to calculate sediment loads. Results are presented for the river Creedy in which the values of sediment load calculated from the continuous concentration record have been compared with estimates derived from rating curves. The rating-curve data have been grouped according to season and stage tendency to provide various rating relationships. Values of annual sediment load estimated by using a rating curve could involve errors of up to +280%, whereas the errors for monthly loads could range between +900% and −90%. Careful consideration should be given to possible error terms before rating-curve estimates of sediment load are used in statistical and other analyses.","DOI":"10.1029/WR013i003p00531","ISSN":"1944-7973","language":"en","author":[{"family":"Walling","given":"D. E."}],"issued":{"date-parts":[["1977"]]},"accessed":{"date-parts":[["2013",9,8]]}}},{"id":429,"uris":["http://zotero.org/users/1706519/items/P74D836E"],"uri":["http://zotero.org/users/1706519/items/P74D836E"],"itemData":{"id":429,"type":"article-journal","title":"Estimating suspended sediment and trace element fluxes in large river basins: methodological considerations as applied to the NASQAN programme","container-title":"Hydrological Processes","page":"1107–1132","volume":"15","issue":"7","source":"Wiley Online Library","abstract":"In 1994, the NASQAN (National Stream Quality Accounting Network) programme was redesigned as a flux-based water-quality monitoring network for the Mississippi, Columbia, Colorado, and Rio Grande Basins. As the new programme represented a departure from the original, new sampling, processing, analytical, and data handling procedures had to be selected/developed to provide data on discharge, suspended sediment concentration, and the concentrations of suspended sediment and dissolved trace elements.Annual suspended sediment fluxes were estimated by summing daily instantaneous fluxes based on predicted suspended sediment concentrations derived from discharge-based log–log regression (rating-curve) models. The models were developed using both historical and current site-specific discharge and suspended sediment concentrations. Errors using this approach typically are less than ±10% for the 3-year reporting period; however, the magnitude of the errors increases substantially for temporal spans shorter than 1 year.Total, rather than total-recoverable, suspended sediment-associated trace element concentrations were determined by direct analysis of material dewatered from large-volume whole-water samples. Site-specific intra- and inter-annual suspended sediment-associated chemical variations were less (typically by no more than a factor of two) than those for either discharge or suspended sediment concentrations (usually more than 10-fold). The concentrations, hence the annual fluxes, for suspended sediment-associated phosphorus and organic carbon, determined by direct analyses, were higher than those determined using a more traditional paired, whole-water/filtered-water approach (by factors ranging from 1·5- to 10-fold). This may be important for such issues as eutrophication and coastal productivity.Filtered water-associated (dissolved) trace element concentrations were markedly lower than those determined during the historical NASQAN programme; many were below their respective detection limits. This resulted from the use of clean sampling, processing, and analytical protocols. Hence, the fluxes for filtered water-associated (dissolved) Ag, Pb, Co, V, Be, Sb, and Se, as well as the total (filtered water plus suspended sediment-associated) fluxes for these constituents, could not be estimated. Published in 2001 by John Wiley &amp; Sons, Ltd.","DOI":"10.1002/hyp.206","ISSN":"1099-1085","shortTitle":"Estimating suspended sediment and trace element fluxes in large river basins","language":"en","author":[{"family":"Horowitz","given":"Arthur J."},{"family":"Elrick","given":"Kent A."},{"family":"Smith","given":"James J."}],"issued":{"date-parts":[["2001"]]},"accessed":{"date-parts":[["2014",2,4]]}}}],"schema":"https://github.com/citation-style-language/schema/raw/master/csl-citation.json"} </w:instrText>
      </w:r>
      <w:r w:rsidR="00F41E6A">
        <w:rPr>
          <w:rFonts w:cstheme="majorBidi"/>
        </w:rPr>
        <w:fldChar w:fldCharType="separate"/>
      </w:r>
      <w:r w:rsidRPr="000D3CCC">
        <w:rPr>
          <w:rFonts w:ascii="Times New Roman" w:hAnsi="Times New Roman" w:cs="Times New Roman"/>
        </w:rPr>
        <w:t>(</w:t>
      </w:r>
      <w:r>
        <w:rPr>
          <w:rFonts w:ascii="Times New Roman" w:hAnsi="Times New Roman" w:cs="Times New Roman"/>
        </w:rPr>
        <w:t>Walling 1977; Horowitz et al.</w:t>
      </w:r>
      <w:r w:rsidRPr="000D3CCC">
        <w:rPr>
          <w:rFonts w:ascii="Times New Roman" w:hAnsi="Times New Roman" w:cs="Times New Roman"/>
        </w:rPr>
        <w:t xml:space="preserve"> 2001)</w:t>
      </w:r>
      <w:r w:rsidR="00F41E6A">
        <w:rPr>
          <w:rFonts w:cstheme="majorBidi"/>
        </w:rPr>
        <w:fldChar w:fldCharType="end"/>
      </w:r>
      <w:r>
        <w:rPr>
          <w:rFonts w:cstheme="majorBidi"/>
        </w:rPr>
        <w:t xml:space="preserve">. Alternatively, the sediment rating curve can be similarly generated with the record of suspended sediment load </w:t>
      </w:r>
      <w:r w:rsidR="00F41E6A">
        <w:rPr>
          <w:rFonts w:cstheme="majorBidi"/>
        </w:rPr>
        <w:fldChar w:fldCharType="begin"/>
      </w:r>
      <w:r>
        <w:rPr>
          <w:rFonts w:cstheme="majorBidi"/>
        </w:rPr>
        <w:instrText xml:space="preserve"> ADDIN ZOTERO_ITEM CSL_CITATION {"citationID":"tI7Be6zN","properties":{"formattedCitation":"(L. B. Leopold and Maddock 1953; J. P. M. Syvitski, Burrell, and Skei 1987; J. P. Syvitski et al. 2000)","plainCitation":"(L. B. Leopold and Maddock 1953; J. P. M. Syvitski, Burrell, and Skei 1987; J. P. Syvitski et al. 2000)"},"citationItems":[{"id":25,"uris":["http://zotero.org/users/1706519/items/6UR5RVN5"],"uri":["http://zotero.org/users/1706519/items/6UR5RVN5"],"itemData":{"id":25,"type":"report","title":"The hydraulic geometry of stream channels and some physiographic implications","publisher":"United States Geological Survey","source":"pubs.er.usgs.gov","URL":"http://pubs.er.usgs.gov/publication/pp252","number":"PP - 252","author":[{"family":"Leopold","given":"L. B."},{"family":"Maddock","given":"Thomas"}],"issued":{"date-parts":[["1953"]]},"accessed":{"date-parts":[["2013",11,3]]}}},{"id":488,"uris":["http://zotero.org/users/1706519/items/JKNM6DIA"],"uri":["http://zotero.org/users/1706519/items/JKNM6DIA"],"itemData":{"id":488,"type":"book","title":"Fjords: processes and products","publisher":"Springer-Verlag","number-of-pages":"400","ISBN":"9780387963426","shortTitle":"Fjords","language":"en","author":[{"family":"Syvitski","given":"James P. M."},{"family":"Burrell","given":"David C."},{"family":"Skei","given":"Jens M."}],"issued":{"date-parts":[["1987"]]}}},{"id":478,"uris":["http://zotero.org/users/1706519/items/GEFUKJJ9"],"uri":["http://zotero.org/users/1706519/items/GEFUKJJ9"],"itemData":{"id":478,"type":"article-journal","title":"Estimating fluvial sediment transport: The rating parameters","container-title":"Water Resources Research","page":"2747–2760","volume":"36","issue":"9","source":"Wiley Online Library","abstract":"Correlations between suspended sediment load rating parameters, river basin morphology, and climate provide information about the physical controls on the sediment load in rivers and are used to create predictive equations for the sediment rating parameters. Long-term time-averaged values of discharge, suspended load, flow duration, flow peakedness, and temporally averaged values of precipitation, temperature, and range in temperature were coupled with the drainage area and basin relief to establish statistical relationships with the sediment rating parameters for 59 gauging stations. Rating parameters (a and b) are defined by a power law relating daily discharge values of a river (Q) and its sediment concentration Cs, where Cs = aQb. The rating coefficient a (the mathematical concentration at Q = 1 m3/s) is inversely proportional to the long-term mean discharge and is secondarily related to the average air temperature and the basin's topographic relief. The rating exponent b (the log-log slope of the power law) correlates most strongly with the average air temperature and basin relief and has lesser correlations with the long-term load of the river (which is related to basin relief and drainage area). The rating equation describes the long-term character of the suspended sediment load in a river. Each river undergoes higher-frequency variability (decadal, interannual, and storm event) around this characteristic response, controlled by weather patterns and channel recovery from extreme precipitation events.","DOI":"10.1029/2000WR900133","ISSN":"1944-7973","shortTitle":"Estimating fluvial sediment transport","language":"en","author":[{"family":"Syvitski","given":"James P."},{"family":"Morehead","given":"Mark D."},{"family":"Bahr","given":"David B."},{"family":"Mulder","given":"Thierry"}],"issued":{"date-parts":[["2000"]]},"accessed":{"date-parts":[["2014",2,19]]}}}],"schema":"https://github.com/citation-style-language/schema/raw/master/csl-citation.json"} </w:instrText>
      </w:r>
      <w:r w:rsidR="00F41E6A">
        <w:rPr>
          <w:rFonts w:cstheme="majorBidi"/>
        </w:rPr>
        <w:fldChar w:fldCharType="separate"/>
      </w:r>
      <w:r>
        <w:rPr>
          <w:rFonts w:ascii="Times New Roman" w:hAnsi="Times New Roman" w:cs="Times New Roman"/>
        </w:rPr>
        <w:t>(</w:t>
      </w:r>
      <w:r w:rsidRPr="007F59F8">
        <w:rPr>
          <w:rFonts w:ascii="Times New Roman" w:hAnsi="Times New Roman" w:cs="Times New Roman"/>
        </w:rPr>
        <w:t xml:space="preserve">Leopold and Maddock 1953; </w:t>
      </w:r>
      <w:r>
        <w:rPr>
          <w:rFonts w:ascii="Times New Roman" w:hAnsi="Times New Roman" w:cs="Times New Roman"/>
        </w:rPr>
        <w:t>Syvitski et al.</w:t>
      </w:r>
      <w:r w:rsidRPr="007F59F8">
        <w:rPr>
          <w:rFonts w:ascii="Times New Roman" w:hAnsi="Times New Roman" w:cs="Times New Roman"/>
        </w:rPr>
        <w:t xml:space="preserve"> 1987; Syvitski et al. 2000)</w:t>
      </w:r>
      <w:r w:rsidR="00F41E6A">
        <w:rPr>
          <w:rFonts w:cstheme="majorBidi"/>
        </w:rPr>
        <w:fldChar w:fldCharType="end"/>
      </w:r>
      <w:r>
        <w:rPr>
          <w:rFonts w:cstheme="majorBidi"/>
        </w:rPr>
        <w:t xml:space="preserve">. The details of the rating curve and the difference between using concentration and load to generate the curve will be discussed in detail in the literature review. </w:t>
      </w:r>
      <w:r w:rsidRPr="007F59F8">
        <w:rPr>
          <w:rFonts w:cstheme="majorBidi"/>
        </w:rPr>
        <w:t xml:space="preserve">In this </w:t>
      </w:r>
      <w:r>
        <w:rPr>
          <w:rFonts w:cstheme="majorBidi"/>
        </w:rPr>
        <w:t>study, I used the sediment rating curve derived from estimates</w:t>
      </w:r>
      <w:r w:rsidR="0070523D">
        <w:rPr>
          <w:rFonts w:cstheme="majorBidi"/>
        </w:rPr>
        <w:t xml:space="preserve"> </w:t>
      </w:r>
      <w:r>
        <w:rPr>
          <w:rFonts w:cstheme="majorBidi"/>
        </w:rPr>
        <w:t>of suspended load and stream discharge.</w:t>
      </w:r>
    </w:p>
    <w:p w:rsidR="00496A72" w:rsidRPr="00854E06" w:rsidRDefault="00496A72" w:rsidP="00496A72">
      <w:pPr>
        <w:spacing w:before="120" w:after="120" w:line="480" w:lineRule="auto"/>
        <w:ind w:firstLine="720"/>
        <w:jc w:val="both"/>
        <w:rPr>
          <w:rFonts w:cstheme="majorBidi"/>
        </w:rPr>
      </w:pPr>
      <w:r w:rsidRPr="00854E06">
        <w:rPr>
          <w:rFonts w:cstheme="majorBidi"/>
        </w:rPr>
        <w:t xml:space="preserve">The purpose of this thesis is to </w:t>
      </w:r>
      <w:r>
        <w:rPr>
          <w:rFonts w:cstheme="majorBidi"/>
        </w:rPr>
        <w:t xml:space="preserve">derive the rating curve parameters </w:t>
      </w:r>
      <w:r w:rsidR="0094533A">
        <w:rPr>
          <w:rFonts w:cstheme="majorBidi"/>
        </w:rPr>
        <w:t>for</w:t>
      </w:r>
      <w:r>
        <w:rPr>
          <w:rFonts w:cstheme="majorBidi"/>
        </w:rPr>
        <w:t xml:space="preserve"> 6</w:t>
      </w:r>
      <w:r w:rsidR="00E06476">
        <w:rPr>
          <w:rFonts w:cstheme="majorBidi"/>
        </w:rPr>
        <w:t>4</w:t>
      </w:r>
      <w:r>
        <w:rPr>
          <w:rFonts w:cstheme="majorBidi"/>
        </w:rPr>
        <w:t xml:space="preserve"> gauging stations in the UMRB to examine the relationships between suspended load and stream discharge at annual and monthly time levels at each individual station, and to explore other factors that might affect these relationships.  </w:t>
      </w:r>
      <w:r w:rsidRPr="00854E06">
        <w:rPr>
          <w:rFonts w:cstheme="majorBidi"/>
        </w:rPr>
        <w:t>The primary questions are:</w:t>
      </w:r>
    </w:p>
    <w:p w:rsidR="00496A72" w:rsidRPr="00854E06" w:rsidRDefault="00496A72" w:rsidP="00496A72">
      <w:pPr>
        <w:pStyle w:val="ListParagraph"/>
        <w:numPr>
          <w:ilvl w:val="0"/>
          <w:numId w:val="12"/>
        </w:numPr>
        <w:spacing w:before="120" w:after="120" w:line="480" w:lineRule="auto"/>
        <w:ind w:left="360"/>
        <w:contextualSpacing w:val="0"/>
        <w:jc w:val="both"/>
        <w:rPr>
          <w:rFonts w:asciiTheme="majorBidi" w:hAnsiTheme="majorBidi" w:cstheme="majorBidi"/>
          <w:sz w:val="24"/>
          <w:szCs w:val="24"/>
        </w:rPr>
      </w:pPr>
      <w:r w:rsidRPr="00854E06">
        <w:rPr>
          <w:rFonts w:asciiTheme="majorBidi" w:hAnsiTheme="majorBidi" w:cstheme="majorBidi"/>
          <w:sz w:val="24"/>
          <w:szCs w:val="24"/>
        </w:rPr>
        <w:t xml:space="preserve">What are the values of the rating coefficients </w:t>
      </w:r>
      <m:oMath>
        <m:r>
          <w:rPr>
            <w:rFonts w:ascii="Cambria Math" w:hAnsi="Cambria Math" w:cstheme="majorBidi"/>
            <w:sz w:val="24"/>
            <w:szCs w:val="24"/>
          </w:rPr>
          <m:t>a</m:t>
        </m:r>
        <m:r>
          <m:rPr>
            <m:sty m:val="p"/>
          </m:rPr>
          <w:rPr>
            <w:rFonts w:ascii="Cambria Math" w:hAnsi="Cambria Math" w:cstheme="majorBidi"/>
            <w:sz w:val="24"/>
            <w:szCs w:val="24"/>
          </w:rPr>
          <m:t xml:space="preserve"> </m:t>
        </m:r>
      </m:oMath>
      <w:r w:rsidRPr="00854E06">
        <w:rPr>
          <w:rFonts w:asciiTheme="majorBidi" w:eastAsiaTheme="minorEastAsia" w:hAnsiTheme="majorBidi" w:cstheme="majorBidi"/>
          <w:sz w:val="24"/>
          <w:szCs w:val="24"/>
        </w:rPr>
        <w:t>and the rating exponents</w:t>
      </w:r>
      <m:oMath>
        <m:r>
          <m:rPr>
            <m:sty m:val="p"/>
          </m:rPr>
          <w:rPr>
            <w:rFonts w:ascii="Cambria Math" w:hAnsi="Cambria Math" w:cstheme="majorBidi"/>
            <w:sz w:val="24"/>
            <w:szCs w:val="24"/>
          </w:rPr>
          <m:t xml:space="preserve"> </m:t>
        </m:r>
        <m:r>
          <w:rPr>
            <w:rFonts w:ascii="Cambria Math" w:hAnsi="Cambria Math" w:cstheme="majorBidi"/>
            <w:sz w:val="24"/>
            <w:szCs w:val="24"/>
          </w:rPr>
          <m:t>b</m:t>
        </m:r>
      </m:oMath>
      <w:r w:rsidRPr="00854E06">
        <w:rPr>
          <w:rFonts w:asciiTheme="majorBidi" w:hAnsiTheme="majorBidi" w:cstheme="majorBidi"/>
          <w:sz w:val="24"/>
          <w:szCs w:val="24"/>
        </w:rPr>
        <w:t xml:space="preserve"> at 6</w:t>
      </w:r>
      <w:r w:rsidR="00E06476">
        <w:rPr>
          <w:rFonts w:asciiTheme="majorBidi" w:hAnsiTheme="majorBidi" w:cstheme="majorBidi"/>
          <w:sz w:val="24"/>
          <w:szCs w:val="24"/>
        </w:rPr>
        <w:t>4</w:t>
      </w:r>
      <w:r w:rsidRPr="00854E06">
        <w:rPr>
          <w:rFonts w:asciiTheme="majorBidi" w:hAnsiTheme="majorBidi" w:cstheme="majorBidi"/>
          <w:sz w:val="24"/>
          <w:szCs w:val="24"/>
        </w:rPr>
        <w:t xml:space="preserve"> gauging stations in the UMRB, as calculated at annual and monthly levels?</w:t>
      </w:r>
    </w:p>
    <w:p w:rsidR="00496A72" w:rsidRPr="00854E06" w:rsidRDefault="00496A72" w:rsidP="00496A72">
      <w:pPr>
        <w:pStyle w:val="ListParagraph"/>
        <w:numPr>
          <w:ilvl w:val="0"/>
          <w:numId w:val="12"/>
        </w:numPr>
        <w:spacing w:before="120" w:after="120" w:line="480" w:lineRule="auto"/>
        <w:ind w:left="360"/>
        <w:contextualSpacing w:val="0"/>
        <w:jc w:val="both"/>
        <w:rPr>
          <w:rFonts w:asciiTheme="majorBidi" w:hAnsiTheme="majorBidi" w:cstheme="majorBidi"/>
          <w:sz w:val="24"/>
          <w:szCs w:val="24"/>
        </w:rPr>
      </w:pPr>
      <w:r w:rsidRPr="00854E06">
        <w:rPr>
          <w:rFonts w:asciiTheme="majorBidi" w:hAnsiTheme="majorBidi" w:cstheme="majorBidi"/>
          <w:sz w:val="24"/>
          <w:szCs w:val="24"/>
        </w:rPr>
        <w:t xml:space="preserve">Are </w:t>
      </w:r>
      <m:oMath>
        <m:r>
          <w:rPr>
            <w:rFonts w:ascii="Cambria Math" w:eastAsiaTheme="minorEastAsia" w:hAnsi="Cambria Math" w:cstheme="majorBidi"/>
            <w:sz w:val="24"/>
            <w:szCs w:val="24"/>
          </w:rPr>
          <m:t>ln(a)</m:t>
        </m:r>
      </m:oMath>
      <w:r w:rsidRPr="00854E06">
        <w:rPr>
          <w:rFonts w:asciiTheme="majorBidi" w:eastAsiaTheme="minorEastAsia" w:hAnsiTheme="majorBidi" w:cstheme="majorBidi"/>
          <w:sz w:val="24"/>
          <w:szCs w:val="24"/>
        </w:rPr>
        <w:t xml:space="preserve"> and the exponent </w:t>
      </w:r>
      <m:oMath>
        <m:r>
          <w:rPr>
            <w:rFonts w:ascii="Cambria Math" w:eastAsiaTheme="minorEastAsia" w:hAnsi="Cambria Math" w:cstheme="majorBidi"/>
            <w:sz w:val="24"/>
            <w:szCs w:val="24"/>
          </w:rPr>
          <m:t>b</m:t>
        </m:r>
      </m:oMath>
      <w:r w:rsidRPr="00854E06">
        <w:rPr>
          <w:rFonts w:asciiTheme="majorBidi" w:eastAsiaTheme="minorEastAsia" w:hAnsiTheme="majorBidi" w:cstheme="majorBidi"/>
          <w:sz w:val="24"/>
          <w:szCs w:val="24"/>
        </w:rPr>
        <w:t xml:space="preserve"> correlated with each other at annual or monthly levels?</w:t>
      </w:r>
    </w:p>
    <w:p w:rsidR="00496A72" w:rsidRPr="00854E06" w:rsidRDefault="00496A72" w:rsidP="00496A72">
      <w:pPr>
        <w:pStyle w:val="ListParagraph"/>
        <w:numPr>
          <w:ilvl w:val="0"/>
          <w:numId w:val="12"/>
        </w:numPr>
        <w:spacing w:before="120" w:after="120" w:line="480" w:lineRule="auto"/>
        <w:ind w:left="360"/>
        <w:contextualSpacing w:val="0"/>
        <w:jc w:val="both"/>
        <w:rPr>
          <w:rFonts w:asciiTheme="majorBidi" w:hAnsiTheme="majorBidi" w:cstheme="majorBidi"/>
          <w:sz w:val="24"/>
          <w:szCs w:val="24"/>
        </w:rPr>
      </w:pPr>
      <w:r w:rsidRPr="00854E06">
        <w:rPr>
          <w:rFonts w:asciiTheme="majorBidi" w:hAnsiTheme="majorBidi" w:cstheme="majorBidi"/>
          <w:sz w:val="24"/>
          <w:szCs w:val="24"/>
        </w:rPr>
        <w:t>Are the annual and monthly rating parameters correlated with stream discharge?</w:t>
      </w:r>
    </w:p>
    <w:p w:rsidR="00496A72" w:rsidRPr="00854E06" w:rsidRDefault="00496A72" w:rsidP="00496A72">
      <w:pPr>
        <w:pStyle w:val="ListParagraph"/>
        <w:numPr>
          <w:ilvl w:val="0"/>
          <w:numId w:val="12"/>
        </w:numPr>
        <w:spacing w:before="120" w:after="120" w:line="480" w:lineRule="auto"/>
        <w:ind w:left="360"/>
        <w:contextualSpacing w:val="0"/>
        <w:jc w:val="both"/>
        <w:rPr>
          <w:rFonts w:asciiTheme="majorBidi" w:hAnsiTheme="majorBidi" w:cstheme="majorBidi"/>
          <w:sz w:val="24"/>
          <w:szCs w:val="24"/>
        </w:rPr>
      </w:pPr>
      <w:r w:rsidRPr="00854E06">
        <w:rPr>
          <w:rFonts w:asciiTheme="majorBidi" w:hAnsiTheme="majorBidi" w:cstheme="majorBidi"/>
          <w:sz w:val="24"/>
          <w:szCs w:val="24"/>
        </w:rPr>
        <w:t xml:space="preserve">What are the seasonal patterns of </w:t>
      </w:r>
      <w:r>
        <w:rPr>
          <w:rFonts w:asciiTheme="majorBidi" w:hAnsiTheme="majorBidi" w:cstheme="majorBidi"/>
          <w:sz w:val="24"/>
          <w:szCs w:val="24"/>
        </w:rPr>
        <w:t xml:space="preserve">the </w:t>
      </w:r>
      <w:r w:rsidRPr="00854E06">
        <w:rPr>
          <w:rFonts w:asciiTheme="majorBidi" w:hAnsiTheme="majorBidi" w:cstheme="majorBidi"/>
          <w:sz w:val="24"/>
          <w:szCs w:val="24"/>
        </w:rPr>
        <w:t>monthly values of the rating parameters?</w:t>
      </w:r>
    </w:p>
    <w:p w:rsidR="00496A72" w:rsidRPr="00854E06" w:rsidRDefault="00496A72" w:rsidP="00496A72">
      <w:pPr>
        <w:pStyle w:val="ListParagraph"/>
        <w:numPr>
          <w:ilvl w:val="0"/>
          <w:numId w:val="12"/>
        </w:numPr>
        <w:spacing w:before="120" w:after="120" w:line="480" w:lineRule="auto"/>
        <w:ind w:left="360"/>
        <w:contextualSpacing w:val="0"/>
        <w:jc w:val="both"/>
        <w:rPr>
          <w:rFonts w:asciiTheme="majorBidi" w:hAnsiTheme="majorBidi" w:cstheme="majorBidi"/>
          <w:sz w:val="24"/>
          <w:szCs w:val="24"/>
        </w:rPr>
      </w:pPr>
      <w:r w:rsidRPr="00854E06">
        <w:rPr>
          <w:rFonts w:asciiTheme="majorBidi" w:hAnsiTheme="majorBidi" w:cstheme="majorBidi"/>
          <w:sz w:val="24"/>
          <w:szCs w:val="24"/>
        </w:rPr>
        <w:t xml:space="preserve">What are the effects of navigational constructions (i.e. locks and dams) on the annual and monthly values of the sediment rating parameters? </w:t>
      </w:r>
    </w:p>
    <w:p w:rsidR="00496A72" w:rsidRPr="00854E06" w:rsidRDefault="00496A72" w:rsidP="00496A72">
      <w:pPr>
        <w:pStyle w:val="ListParagraph"/>
        <w:numPr>
          <w:ilvl w:val="0"/>
          <w:numId w:val="12"/>
        </w:numPr>
        <w:spacing w:before="120" w:after="120" w:line="480" w:lineRule="auto"/>
        <w:ind w:left="360"/>
        <w:contextualSpacing w:val="0"/>
        <w:jc w:val="both"/>
        <w:rPr>
          <w:rFonts w:asciiTheme="majorBidi" w:hAnsiTheme="majorBidi" w:cstheme="majorBidi"/>
          <w:sz w:val="24"/>
          <w:szCs w:val="24"/>
        </w:rPr>
      </w:pPr>
      <w:r w:rsidRPr="00854E06">
        <w:rPr>
          <w:rFonts w:asciiTheme="majorBidi" w:hAnsiTheme="majorBidi" w:cstheme="majorBidi"/>
          <w:sz w:val="24"/>
          <w:szCs w:val="24"/>
        </w:rPr>
        <w:lastRenderedPageBreak/>
        <w:t xml:space="preserve">What are the effects of land use on the annual values of the sediment rating parameters? </w:t>
      </w:r>
    </w:p>
    <w:p w:rsidR="00496A72" w:rsidRPr="00854E06" w:rsidRDefault="00496A72" w:rsidP="00496A72">
      <w:pPr>
        <w:spacing w:before="120" w:after="120" w:line="480" w:lineRule="auto"/>
        <w:ind w:firstLine="720"/>
        <w:jc w:val="both"/>
        <w:rPr>
          <w:rFonts w:cstheme="majorBidi"/>
        </w:rPr>
      </w:pPr>
      <w:r w:rsidRPr="00854E06">
        <w:rPr>
          <w:rFonts w:cstheme="majorBidi"/>
        </w:rPr>
        <w:t xml:space="preserve">This thesis is organized into </w:t>
      </w:r>
      <w:r>
        <w:rPr>
          <w:rFonts w:cstheme="majorBidi"/>
        </w:rPr>
        <w:t>seven</w:t>
      </w:r>
      <w:r w:rsidRPr="00854E06">
        <w:rPr>
          <w:rFonts w:cstheme="majorBidi"/>
        </w:rPr>
        <w:t xml:space="preserve"> chapters. Chapter II introduce</w:t>
      </w:r>
      <w:r>
        <w:rPr>
          <w:rFonts w:cstheme="majorBidi"/>
        </w:rPr>
        <w:t>s</w:t>
      </w:r>
      <w:r w:rsidRPr="00854E06">
        <w:rPr>
          <w:rFonts w:cstheme="majorBidi"/>
        </w:rPr>
        <w:t xml:space="preserve"> the overall mechanism of sedimentation, the sediment rating curve, and the effect of navigational construction on suspended sediment transport. Chapter III introduces the study area, which is the UMRB. It contains information about the natural characteristics and the current state of land use and navigation constructions in the basin. Chapter IV describes the data used in the thesis as well as the methods used to analyze the data. Chapter V displays the results of the analysis. Chapters VI and VII contain the discussion and conclusions from my study, respectively.</w:t>
      </w:r>
    </w:p>
    <w:p w:rsidR="00E1570D" w:rsidRPr="00854E06" w:rsidRDefault="00E1570D" w:rsidP="00E23213">
      <w:pPr>
        <w:spacing w:line="480" w:lineRule="auto"/>
        <w:rPr>
          <w:rFonts w:cstheme="majorBidi"/>
        </w:rPr>
      </w:pPr>
      <w:r w:rsidRPr="00854E06">
        <w:rPr>
          <w:rFonts w:cstheme="majorBidi"/>
        </w:rPr>
        <w:br w:type="page"/>
      </w:r>
    </w:p>
    <w:p w:rsidR="00FC6922" w:rsidRPr="00854E06" w:rsidRDefault="001A1716" w:rsidP="00012DCD">
      <w:pPr>
        <w:pStyle w:val="Heading1"/>
        <w:rPr>
          <w:i/>
        </w:rPr>
      </w:pPr>
      <w:r w:rsidRPr="00854E06">
        <w:lastRenderedPageBreak/>
        <w:t xml:space="preserve"> </w:t>
      </w:r>
      <w:bookmarkStart w:id="4" w:name="_Toc394525539"/>
      <w:r w:rsidR="0048565A" w:rsidRPr="00854E06">
        <w:t>Literature Review</w:t>
      </w:r>
      <w:bookmarkEnd w:id="4"/>
      <w:r w:rsidR="00400452" w:rsidRPr="00854E06">
        <w:t xml:space="preserve"> </w:t>
      </w:r>
    </w:p>
    <w:p w:rsidR="00A25F96" w:rsidRPr="00523FFD" w:rsidRDefault="000F56B3" w:rsidP="00523FFD">
      <w:pPr>
        <w:pStyle w:val="Heading2"/>
        <w:numPr>
          <w:ilvl w:val="0"/>
          <w:numId w:val="42"/>
        </w:numPr>
        <w:ind w:left="360"/>
      </w:pPr>
      <w:bookmarkStart w:id="5" w:name="_Toc394525540"/>
      <w:r w:rsidRPr="00523FFD">
        <w:t>Sources of sediment</w:t>
      </w:r>
      <w:bookmarkEnd w:id="5"/>
    </w:p>
    <w:p w:rsidR="00496A72" w:rsidRPr="00496A72" w:rsidRDefault="00496A72" w:rsidP="00496A72">
      <w:pPr>
        <w:spacing w:before="240" w:after="240" w:line="480" w:lineRule="auto"/>
        <w:ind w:firstLine="720"/>
        <w:jc w:val="both"/>
        <w:rPr>
          <w:rFonts w:cstheme="majorBidi"/>
        </w:rPr>
      </w:pPr>
      <w:r w:rsidRPr="00496A72">
        <w:rPr>
          <w:rFonts w:cstheme="majorBidi"/>
        </w:rPr>
        <w:t xml:space="preserve">Sediment enters streams through various sources. Because the UMRB is a large basin, the sources of sediment in the basin are widespread and differ in different stream segments. The Upper Mississippi River – main stem of the basin – receives sediment from its tributaries and also from erosion due to runoff from the landscape, bank erosion, and re-suspension from the streambed </w:t>
      </w:r>
      <w:r w:rsidR="00F41E6A" w:rsidRPr="00496A72">
        <w:rPr>
          <w:rFonts w:cstheme="majorBidi"/>
        </w:rPr>
        <w:fldChar w:fldCharType="begin"/>
      </w:r>
      <w:r w:rsidRPr="00496A72">
        <w:rPr>
          <w:rFonts w:cstheme="majorBidi"/>
        </w:rPr>
        <w:instrText xml:space="preserve"> ADDIN ZOTERO_ITEM CSL_CITATION {"citationID":"Ow1NtiK4","properties":{"formattedCitation":"(UMRBA 1993)","plainCitation":"(UMRBA 1993)"},"citationItems":[{"id":11,"uris":["http://zotero.org/users/1706519/items/3ZW9ENZT"],"uri":["http://zotero.org/users/1706519/items/3ZW9ENZT"],"itemData":{"id":11,"type":"report","title":"Upper Mississippi River Water Quality Initiative: Report of the Sedimentation Workshop","publisher":"Upper Mississippi River Basin Association","publisher-place":"St. Paul, MN","event-place":"St. Paul, MN","author":[{"family":"UMRBA","given":""}],"issued":{"date-parts":[["1993"]]}}}],"schema":"https://github.com/citation-style-language/schema/raw/master/csl-citation.json"} </w:instrText>
      </w:r>
      <w:r w:rsidR="00F41E6A" w:rsidRPr="00496A72">
        <w:rPr>
          <w:rFonts w:cstheme="majorBidi"/>
        </w:rPr>
        <w:fldChar w:fldCharType="separate"/>
      </w:r>
      <w:r w:rsidRPr="00496A72">
        <w:rPr>
          <w:rFonts w:cstheme="majorBidi"/>
        </w:rPr>
        <w:t>(UMRBA 1993)</w:t>
      </w:r>
      <w:r w:rsidR="00F41E6A" w:rsidRPr="00496A72">
        <w:rPr>
          <w:rFonts w:cstheme="majorBidi"/>
        </w:rPr>
        <w:fldChar w:fldCharType="end"/>
      </w:r>
      <w:r w:rsidRPr="00496A72">
        <w:rPr>
          <w:rFonts w:cstheme="majorBidi"/>
        </w:rPr>
        <w:t>. The amount of sediment from these sources is controlled by the characteristics of the soil and sediment; the erosive forces; and external factors, including climate and land use/land cover. These factors are discussed in the sections below.</w:t>
      </w:r>
    </w:p>
    <w:p w:rsidR="00A84D7A" w:rsidRPr="00854E06" w:rsidRDefault="00175D61" w:rsidP="00175D61">
      <w:pPr>
        <w:pStyle w:val="Heading3"/>
        <w:numPr>
          <w:ilvl w:val="1"/>
          <w:numId w:val="19"/>
        </w:numPr>
        <w:ind w:left="360"/>
        <w:rPr>
          <w:rFonts w:cstheme="majorBidi"/>
          <w:szCs w:val="24"/>
        </w:rPr>
      </w:pPr>
      <w:r w:rsidRPr="00854E06">
        <w:rPr>
          <w:rFonts w:cstheme="majorBidi"/>
          <w:szCs w:val="24"/>
        </w:rPr>
        <w:t xml:space="preserve"> </w:t>
      </w:r>
      <w:bookmarkStart w:id="6" w:name="_Toc394525541"/>
      <w:r w:rsidR="00A84D7A" w:rsidRPr="00854E06">
        <w:rPr>
          <w:rFonts w:cstheme="majorBidi"/>
          <w:szCs w:val="24"/>
        </w:rPr>
        <w:t>Upland erosion</w:t>
      </w:r>
      <w:bookmarkEnd w:id="6"/>
      <w:r w:rsidR="00A84D7A" w:rsidRPr="00854E06">
        <w:rPr>
          <w:rFonts w:cstheme="majorBidi"/>
          <w:szCs w:val="24"/>
        </w:rPr>
        <w:t xml:space="preserve"> </w:t>
      </w:r>
    </w:p>
    <w:p w:rsidR="0082379C" w:rsidRPr="0082379C" w:rsidRDefault="0082379C" w:rsidP="0082379C">
      <w:pPr>
        <w:spacing w:line="480" w:lineRule="auto"/>
        <w:ind w:firstLine="720"/>
        <w:jc w:val="both"/>
        <w:rPr>
          <w:rFonts w:cstheme="majorBidi"/>
          <w:b/>
        </w:rPr>
      </w:pPr>
      <w:r w:rsidRPr="0082379C">
        <w:rPr>
          <w:rFonts w:cstheme="majorBidi"/>
        </w:rPr>
        <w:t xml:space="preserve">Soil erosion is the detachment and transport of soil particles. Erosion occurs when the forces applied to soil by wind or water </w:t>
      </w:r>
      <w:proofErr w:type="gramStart"/>
      <w:r w:rsidRPr="0082379C">
        <w:rPr>
          <w:rFonts w:cstheme="majorBidi"/>
        </w:rPr>
        <w:t>exceed</w:t>
      </w:r>
      <w:proofErr w:type="gramEnd"/>
      <w:r w:rsidRPr="0082379C">
        <w:rPr>
          <w:rFonts w:cstheme="majorBidi"/>
        </w:rPr>
        <w:t xml:space="preserve"> the resistance of the soil to these forces. In the sub-humid continental climate of the UMRB, upland erosion is primarily caused by moving water </w:t>
      </w:r>
      <w:r w:rsidR="00F41E6A" w:rsidRPr="0082379C">
        <w:rPr>
          <w:rFonts w:cstheme="majorBidi"/>
        </w:rPr>
        <w:fldChar w:fldCharType="begin"/>
      </w:r>
      <w:r w:rsidRPr="0082379C">
        <w:rPr>
          <w:rFonts w:cstheme="majorBidi"/>
        </w:rPr>
        <w:instrText xml:space="preserve"> ADDIN ZOTERO_ITEM CSL_CITATION {"citationID":"4zVwydYP","properties":{"formattedCitation":"(Lorenz et al. 2009)","plainCitation":"(Lorenz et al. 2009)"},"citationItems":[{"id":72,"uris":["http://zotero.org/users/1706519/items/GMRJAIK2"],"uri":["http://zotero.org/users/1706519/items/GMRJAIK2"],"itemData":{"id":72,"type":"report","title":"USGS Scientific Investigations Report 2008–5213: Trends in Streamflow and Nutrient and Suspended-Sediment Concentrations and Loads in the Upper Mississippi, Ohio, Red, and Great Lakes River Basins, 1975–2004","page":"81","abstract":"Many actions have been taken to reduce nutrient and suspended-sediment concentrations and the amount of nutrients and sediment transported in streams as a result of the Clean Water Act and subsequent regulations. This report assesses how nutrient and suspended-sediment concentrations and loads in selected streams have changed during recent years to determine if these actions have been successful.\n\nFlow-adjusted and overall trends in concentrations and trends in loads from 1993 to 2004 were computed for total nitrogen, dissolved ammonia, total organic nitrogen plus ammonia, dissolved nitrite plus nitrate, total phosphorus, dissolved phosphorus, total suspended material (total suspended solids or suspended sediment), and total suspended sediment for 49 sites in the Upper Mississippi, Ohio, Red, and Great Lakes Basins. Changes in total nitrogen, total phosphorus, and total suspended-material loads were examined from 1975 to 2003 at six sites to provide a longer term context for the data examined from 1993 to 2004.\n\nFlow-adjusted trends in total nitrogen concentrations at 19 of 24 sites showed tendency toward increasing concentrations, and overall trends in total nitrogen concentrations at 16 of the 24 sites showed a general tendency toward increasing concentrations. The trends in these flow-adjusted total nitrogen concentrations are related to the changes in fertilizer nitrogen applications. Flow-adjusted trends in dissolved ammonia concentrations from 1993 to 2004 showed a widespread tendency toward decreasing concentrations. The widespread, downward trends in dissolved ammonia concentrations indicate that some of the ammonia reduction goals of the Clean Water Act are being met. Flow-adjusted and overall trends in total organic plus ammonia nitrogen concentrations from 1993 to 2004 did not show a distinct spatial pattern. Flow-adjusted and overall trends in dissolved nitrite plus nitrate concentrations from 1993 to 2004 also did not show a distinct spatial pattern. Flow-adjusted trends in total phosphorus concentrations were upward at 24 of 40 sites. Overall trends in total phosphorus concentrations were mixed and showed no spatial pattern. Flow-adjusted and overall trends in dissolved phosphorus concentrations were consistently downward at all of the sites in the eastern part of the basins studied. The reduction in phosphorus fertilizer use and manure production east of the Mississippi River could explain most of the observed trends in dissolved phosphorus.\n\nFlow-adjusted trends in total suspended-material concentrations showed distinct spatial patterns of increasing tendencies throughout the western part of the basins studied and in Illinois and decreasing concentrations throughout most of Wisconsin, Iowa, and in the eastern part of the basins studied. Flow-adjusted trends in total phosphorus were strongly related to the flow-adjusted trends in suspended materials. The trends in the flow-adjusted suspended-sediment concentrations from 1993 to 2004 resembled those for suspended materials.\n\nThe long-term, nonmonotonic trends in total nitrogen, total phosphorus, and suspended-material loads for 1975 to 2003 were described by local regression, LOESS, smoothing for six sites. The statistical significance of those trends cannot be determined; however, the long-term changes found for annual streamflow and load data indicate that the monotonic trends from 1993 to 2004 should not be extrapolated backward in time.","URL":"http://pubs.usgs.gov/sir/2008/5213/","number":"2008-5213","author":[{"family":"Lorenz","given":"David L"},{"family":"Robertson","given":"Dale M."},{"family":"Hall","given":"David W."},{"family":"Saad","given":"David A."}],"issued":{"date-parts":[["2009"]]},"accessed":{"date-parts":[["2013",8,24]]}}}],"schema":"https://github.com/citation-style-language/schema/raw/master/csl-citation.json"} </w:instrText>
      </w:r>
      <w:r w:rsidR="00F41E6A" w:rsidRPr="0082379C">
        <w:rPr>
          <w:rFonts w:cstheme="majorBidi"/>
        </w:rPr>
        <w:fldChar w:fldCharType="separate"/>
      </w:r>
      <w:r w:rsidRPr="0082379C">
        <w:rPr>
          <w:rFonts w:ascii="Times New Roman" w:hAnsi="Times New Roman" w:cs="Times New Roman"/>
        </w:rPr>
        <w:t>(Lorenz et al. 2009)</w:t>
      </w:r>
      <w:r w:rsidR="00F41E6A" w:rsidRPr="0082379C">
        <w:rPr>
          <w:rFonts w:cstheme="majorBidi"/>
        </w:rPr>
        <w:fldChar w:fldCharType="end"/>
      </w:r>
      <w:r w:rsidRPr="0082379C">
        <w:rPr>
          <w:rFonts w:cstheme="majorBidi"/>
        </w:rPr>
        <w:t xml:space="preserve">. The following sections discuss the environmental conditions of climate, soil, topography, and land use/land cover, which determine the types and rates of soil erosion at a particular location. </w:t>
      </w:r>
    </w:p>
    <w:p w:rsidR="00A84D7A" w:rsidRPr="00854E06" w:rsidRDefault="00A84D7A" w:rsidP="00175D61">
      <w:pPr>
        <w:pStyle w:val="Heading4"/>
        <w:numPr>
          <w:ilvl w:val="2"/>
          <w:numId w:val="19"/>
        </w:numPr>
        <w:ind w:left="720"/>
      </w:pPr>
      <w:bookmarkStart w:id="7" w:name="_Toc394525542"/>
      <w:r w:rsidRPr="00854E06">
        <w:t>Climate</w:t>
      </w:r>
      <w:bookmarkEnd w:id="7"/>
    </w:p>
    <w:p w:rsidR="0082379C" w:rsidRPr="0082379C" w:rsidRDefault="0082379C" w:rsidP="0082379C">
      <w:pPr>
        <w:spacing w:line="480" w:lineRule="auto"/>
        <w:ind w:firstLine="720"/>
        <w:jc w:val="both"/>
        <w:rPr>
          <w:rFonts w:cstheme="majorBidi"/>
        </w:rPr>
      </w:pPr>
      <w:r w:rsidRPr="0082379C">
        <w:rPr>
          <w:rFonts w:cstheme="majorBidi"/>
        </w:rPr>
        <w:t xml:space="preserve">Rainfall dislodges soil particles through the forces exerted by raindrops striking soil and by the moving water of rainfall runoff </w:t>
      </w:r>
      <w:r w:rsidR="00F41E6A" w:rsidRPr="0082379C">
        <w:rPr>
          <w:rFonts w:cstheme="majorBidi"/>
        </w:rPr>
        <w:fldChar w:fldCharType="begin"/>
      </w:r>
      <w:r w:rsidRPr="0082379C">
        <w:rPr>
          <w:rFonts w:cstheme="majorBidi"/>
        </w:rPr>
        <w:instrText xml:space="preserve"> ADDIN ZOTERO_ITEM CSL_CITATION {"citationID":"xo5nDYAC","properties":{"formattedCitation":"(Toy, Foster, and Renard 2001)","plainCitation":"(Toy, Foster, and Renard 2001)"},"citationItems":[{"id":106,"uris":["http://zotero.org/users/1706519/items/PBS484D2"],"uri":["http://zotero.org/users/1706519/items/PBS484D2"],"itemData":{"id":106,"type":"book","title":"Soil Erosion Processes, prediction, measurement, and control","publisher":"John Wiley &amp; Sons","ISBN":"0-471-38369-4","language":"English","author":[{"family":"Toy","given":"Terrence J."},{"family":"Foster","given":"George R."},{"family":"Renard","given":"Kenneth G."}],"issued":{"date-parts":[["2001"]]}}}],"schema":"https://github.com/citation-style-language/schema/raw/master/csl-citation.json"} </w:instrText>
      </w:r>
      <w:r w:rsidR="00F41E6A" w:rsidRPr="0082379C">
        <w:rPr>
          <w:rFonts w:cstheme="majorBidi"/>
        </w:rPr>
        <w:fldChar w:fldCharType="separate"/>
      </w:r>
      <w:r w:rsidRPr="0082379C">
        <w:rPr>
          <w:rFonts w:cstheme="majorBidi"/>
        </w:rPr>
        <w:t>(Toy et al. 2001)</w:t>
      </w:r>
      <w:r w:rsidR="00F41E6A" w:rsidRPr="0082379C">
        <w:rPr>
          <w:rFonts w:cstheme="majorBidi"/>
        </w:rPr>
        <w:fldChar w:fldCharType="end"/>
      </w:r>
      <w:r w:rsidRPr="0082379C">
        <w:rPr>
          <w:rFonts w:cstheme="majorBidi"/>
        </w:rPr>
        <w:t xml:space="preserve">. The characteristics of rainfall in a region affect the potential for rain to cause soil erosion. Variables used to describe the </w:t>
      </w:r>
      <w:proofErr w:type="spellStart"/>
      <w:r w:rsidRPr="0082379C">
        <w:rPr>
          <w:rFonts w:cstheme="majorBidi"/>
        </w:rPr>
        <w:t>erosivity</w:t>
      </w:r>
      <w:proofErr w:type="spellEnd"/>
      <w:r w:rsidRPr="0082379C">
        <w:rPr>
          <w:rFonts w:cstheme="majorBidi"/>
        </w:rPr>
        <w:t xml:space="preserve"> of rainfall are rainfall amount, rainfall intensity, and kinetic energy of the rain </w:t>
      </w:r>
      <w:r w:rsidR="00F41E6A" w:rsidRPr="0082379C">
        <w:rPr>
          <w:rFonts w:cstheme="majorBidi"/>
        </w:rPr>
        <w:fldChar w:fldCharType="begin"/>
      </w:r>
      <w:r w:rsidRPr="0082379C">
        <w:rPr>
          <w:rFonts w:cstheme="majorBidi"/>
        </w:rPr>
        <w:instrText xml:space="preserve"> ADDIN ZOTERO_ITEM CSL_CITATION {"citationID":"XX42OdD8","properties":{"formattedCitation":"(Foster, F. Lombardi, and W. C. Moldenhauer 1982)","plainCitation":"(Foster, F. Lombardi, and W. C. Moldenhauer 1982)"},"citationItems":[{"id":144,"uris":["http://zotero.org/users/1706519/items/XCZQ3NSE"],"uri":["http://zotero.org/users/1706519/items/XCZQ3NSE"],"itemData":{"id":144,"type":"article-journal","title":"Evaluation of Rainfall-Runoff Erosivity Factors for Individual Storms","container-title":"Transactions of the ASAE","page":"0124-0129","volume":"25","issue":"1","source":"CrossRef","DOI":"10.13031/2013.33490","ISSN":"2151-0059","author":[{"family":"Foster","given":""},{"family":"F. Lombardi","given":""},{"family":"W. C. Moldenhauer","given":""}],"issued":{"date-parts":[["1982"]]},"accessed":{"date-parts":[["2014",1,12]],"season":"15:31:55"}}}],"schema":"https://github.com/citation-style-language/schema/raw/master/csl-citation.json"} </w:instrText>
      </w:r>
      <w:r w:rsidR="00F41E6A" w:rsidRPr="0082379C">
        <w:rPr>
          <w:rFonts w:cstheme="majorBidi"/>
        </w:rPr>
        <w:fldChar w:fldCharType="separate"/>
      </w:r>
      <w:r w:rsidRPr="0082379C">
        <w:rPr>
          <w:rFonts w:ascii="Times New Roman" w:hAnsi="Times New Roman" w:cs="Times New Roman"/>
        </w:rPr>
        <w:t>(Foster et al. 1982)</w:t>
      </w:r>
      <w:r w:rsidR="00F41E6A" w:rsidRPr="0082379C">
        <w:rPr>
          <w:rFonts w:cstheme="majorBidi"/>
        </w:rPr>
        <w:fldChar w:fldCharType="end"/>
      </w:r>
      <w:r w:rsidRPr="0082379C">
        <w:rPr>
          <w:rFonts w:cstheme="majorBidi"/>
        </w:rPr>
        <w:t xml:space="preserve">. </w:t>
      </w:r>
      <w:r w:rsidRPr="0082379C">
        <w:rPr>
          <w:rFonts w:cstheme="majorBidi"/>
        </w:rPr>
        <w:lastRenderedPageBreak/>
        <w:t xml:space="preserve">Rainfall intensity is measured as the rate of precipitation (mm per hour) </w:t>
      </w:r>
      <w:r w:rsidR="00F41E6A" w:rsidRPr="0082379C">
        <w:rPr>
          <w:rFonts w:cstheme="majorBidi"/>
        </w:rPr>
        <w:fldChar w:fldCharType="begin"/>
      </w:r>
      <w:r w:rsidRPr="0082379C">
        <w:rPr>
          <w:rFonts w:cstheme="majorBidi"/>
        </w:rPr>
        <w:instrText xml:space="preserve"> ADDIN ZOTERO_ITEM CSL_CITATION {"citationID":"WhgPXt66","properties":{"formattedCitation":"(Ackerman and Knox 2011)","plainCitation":"(Ackerman and Knox 2011)"},"citationItems":[{"id":608,"uris":["http://zotero.org/users/1706519/items/P3MSA9MW"],"uri":["http://zotero.org/users/1706519/items/P3MSA9MW"],"itemData":{"id":608,"type":"book","title":"Meteorology: Understanding the atmosphere","publisher":"Johes and Barlett Learning","publisher-place":"580","event-place":"580","URL":"http://www.barnesandnoble.com/w/meteorology-steven-a-ackerman/1100116211","ISBN":"1449631754","author":[{"family":"Ackerman","given":"Steven A."},{"family":"Knox","given":"John A."}],"issued":{"date-parts":[["2011",4]]},"accessed":{"date-parts":[["2014",7,12]]}}}],"schema":"https://github.com/citation-style-language/schema/raw/master/csl-citation.json"} </w:instrText>
      </w:r>
      <w:r w:rsidR="00F41E6A" w:rsidRPr="0082379C">
        <w:rPr>
          <w:rFonts w:cstheme="majorBidi"/>
        </w:rPr>
        <w:fldChar w:fldCharType="separate"/>
      </w:r>
      <w:r w:rsidRPr="0082379C">
        <w:rPr>
          <w:rFonts w:ascii="Times New Roman" w:hAnsi="Times New Roman" w:cs="Times New Roman"/>
        </w:rPr>
        <w:t>(Ackerman and Knox 2011)</w:t>
      </w:r>
      <w:r w:rsidR="00F41E6A" w:rsidRPr="0082379C">
        <w:rPr>
          <w:rFonts w:cstheme="majorBidi"/>
        </w:rPr>
        <w:fldChar w:fldCharType="end"/>
      </w:r>
      <w:r w:rsidRPr="0082379C">
        <w:rPr>
          <w:rFonts w:cstheme="majorBidi"/>
        </w:rPr>
        <w:t>.</w:t>
      </w:r>
    </w:p>
    <w:p w:rsidR="0082379C" w:rsidRPr="0082379C" w:rsidRDefault="0082379C" w:rsidP="0082379C">
      <w:pPr>
        <w:spacing w:line="480" w:lineRule="auto"/>
        <w:ind w:firstLine="720"/>
        <w:jc w:val="both"/>
        <w:rPr>
          <w:rFonts w:cstheme="majorBidi"/>
        </w:rPr>
      </w:pPr>
      <w:r w:rsidRPr="0082379C">
        <w:rPr>
          <w:rFonts w:cstheme="majorBidi"/>
        </w:rPr>
        <w:t>Erosion by raindrop impact is caused by raindrops that fall on the land surface and generate a shear stress that dislodges soil particles from their original positions. The kinetic energy of the raindrop is expressed in the equation:</w:t>
      </w:r>
    </w:p>
    <w:p w:rsidR="0082379C" w:rsidRPr="0082379C" w:rsidRDefault="0082379C" w:rsidP="0082379C">
      <w:pPr>
        <w:spacing w:line="480" w:lineRule="auto"/>
        <w:ind w:firstLine="720"/>
        <w:jc w:val="center"/>
        <w:rPr>
          <w:rFonts w:eastAsiaTheme="minorEastAsia" w:cstheme="majorBidi"/>
        </w:rPr>
      </w:pPr>
      <m:oMath>
        <m:r>
          <w:rPr>
            <w:rFonts w:ascii="Cambria Math" w:hAnsi="Cambria Math" w:cstheme="majorBidi"/>
          </w:rPr>
          <m:t xml:space="preserve">E= </m:t>
        </m:r>
        <m:f>
          <m:fPr>
            <m:ctrlPr>
              <w:rPr>
                <w:rFonts w:ascii="Cambria Math" w:hAnsi="Cambria Math" w:cstheme="majorBidi"/>
                <w:i/>
              </w:rPr>
            </m:ctrlPr>
          </m:fPr>
          <m:num>
            <m:r>
              <w:rPr>
                <w:rFonts w:ascii="Cambria Math" w:hAnsi="Cambria Math" w:cstheme="majorBidi"/>
              </w:rPr>
              <m:t>1</m:t>
            </m:r>
          </m:num>
          <m:den>
            <m:r>
              <w:rPr>
                <w:rFonts w:ascii="Cambria Math" w:hAnsi="Cambria Math" w:cstheme="majorBidi"/>
              </w:rPr>
              <m:t>2</m:t>
            </m:r>
          </m:den>
        </m:f>
        <m:r>
          <w:rPr>
            <w:rFonts w:ascii="Cambria Math" w:hAnsi="Cambria Math" w:cstheme="majorBidi"/>
          </w:rPr>
          <m:t>m</m:t>
        </m:r>
        <m:sSup>
          <m:sSupPr>
            <m:ctrlPr>
              <w:rPr>
                <w:rFonts w:ascii="Cambria Math" w:hAnsi="Cambria Math" w:cstheme="majorBidi"/>
                <w:i/>
              </w:rPr>
            </m:ctrlPr>
          </m:sSupPr>
          <m:e>
            <m:r>
              <w:rPr>
                <w:rFonts w:ascii="Cambria Math" w:hAnsi="Cambria Math" w:cstheme="majorBidi"/>
              </w:rPr>
              <m:t>v</m:t>
            </m:r>
          </m:e>
          <m:sup>
            <m:r>
              <w:rPr>
                <w:rFonts w:ascii="Cambria Math" w:hAnsi="Cambria Math" w:cstheme="majorBidi"/>
              </w:rPr>
              <m:t>2</m:t>
            </m:r>
          </m:sup>
        </m:sSup>
      </m:oMath>
      <w:r w:rsidRPr="0082379C">
        <w:rPr>
          <w:rFonts w:eastAsiaTheme="minorEastAsia" w:cstheme="majorBidi"/>
        </w:rPr>
        <w:t xml:space="preserve">               (1)</w:t>
      </w:r>
    </w:p>
    <w:p w:rsidR="0082379C" w:rsidRPr="0082379C" w:rsidRDefault="0082379C" w:rsidP="0082379C">
      <w:pPr>
        <w:spacing w:line="480" w:lineRule="auto"/>
        <w:ind w:firstLine="720"/>
        <w:jc w:val="both"/>
        <w:rPr>
          <w:rFonts w:cstheme="majorBidi"/>
        </w:rPr>
      </w:pPr>
      <w:r w:rsidRPr="0082379C">
        <w:rPr>
          <w:rFonts w:cstheme="majorBidi"/>
        </w:rPr>
        <w:t xml:space="preserve">According to equation (1), larger raindrops deliver more energy to the soil surface than smaller raindrops </w:t>
      </w:r>
      <w:r w:rsidR="00F41E6A" w:rsidRPr="0082379C">
        <w:rPr>
          <w:rFonts w:cstheme="majorBidi"/>
        </w:rPr>
        <w:fldChar w:fldCharType="begin"/>
      </w:r>
      <w:r w:rsidRPr="0082379C">
        <w:rPr>
          <w:rFonts w:cstheme="majorBidi"/>
        </w:rPr>
        <w:instrText xml:space="preserve"> ADDIN ZOTERO_ITEM CSL_CITATION {"citationID":"2JzCVEhl","properties":{"formattedCitation":"(Caracciolo et al. 2012)","plainCitation":"(Caracciolo et al. 2012)"},"citationItems":[{"id":120,"uris":["http://zotero.org/users/1706519/items/TCXTFKEV"],"uri":["http://zotero.org/users/1706519/items/TCXTFKEV"],"itemData":{"id":120,"type":"article-journal","title":"Raindrop Size Distribution and Soil Erosion","container-title":"Journal of Irrigation and Drainage Engineering","page":"461-469","volume":"138","issue":"5","source":"ASCE","abstract":"Abstract Soil erosion is caused, at least in part, by the effect of kinetic energy on the soil during rainfall. Therefore, a better knowledge of rain parameters is useful. To assess the influence of rain on the amount of soil loss, an experimental site was set up in the Chianti hills (central Italy). Tipping-bucket rain gauges and the Joss-Waldvogel disdrometers were used. A colocated system of gauges provided soil loss and runoff measurements for rainfall events that occurred between September 2006 and June 2007. The reliability of a widely used rainfall erosion index was also assessed and the effect of kinetic energy, computed by the measured drop size distribution, evaluated. The results highlighted the potential of the physical approach in computing the kinetic energy developed by the rain drops to the soil, especially for higher rainrates and when the hydrological balance is positive or slightly negative. The kinetic energy estimate from the rain rate well reproduces the measured values only below , whereas an underestimation is present for higher rainrates, because of the contribution of large drops.","DOI":"10.1061/(ASCE)IR.1943-4774.0000412","ISSN":"0733-9437","author":[{"family":"Caracciolo","given":"C."},{"family":"Napoli","given":"M."},{"family":"Porcù","given":"F."},{"family":"Prodi","given":"F."},{"family":"Dietrich","given":"S."},{"family":"Zanchi","given":"C."},{"family":"Orlandini","given":"S."}],"issued":{"date-parts":[["2012"]]},"accessed":{"date-parts":[["2014",1,8]],"season":"00:43:18"}}}],"schema":"https://github.com/citation-style-language/schema/raw/master/csl-citation.json"} </w:instrText>
      </w:r>
      <w:r w:rsidR="00F41E6A" w:rsidRPr="0082379C">
        <w:rPr>
          <w:rFonts w:cstheme="majorBidi"/>
        </w:rPr>
        <w:fldChar w:fldCharType="separate"/>
      </w:r>
      <w:r w:rsidRPr="0082379C">
        <w:rPr>
          <w:rFonts w:cstheme="majorBidi"/>
        </w:rPr>
        <w:t>(Caracciolo et al. 2012)</w:t>
      </w:r>
      <w:r w:rsidR="00F41E6A" w:rsidRPr="0082379C">
        <w:rPr>
          <w:rFonts w:cstheme="majorBidi"/>
        </w:rPr>
        <w:fldChar w:fldCharType="end"/>
      </w:r>
      <w:r w:rsidRPr="0082379C">
        <w:rPr>
          <w:rFonts w:cstheme="majorBidi"/>
        </w:rPr>
        <w:t xml:space="preserve">. Larger raindrop mass (m) is usually associated with higher rainfall intensity. </w:t>
      </w:r>
    </w:p>
    <w:p w:rsidR="0082379C" w:rsidRPr="0082379C" w:rsidRDefault="0082379C" w:rsidP="0082379C">
      <w:pPr>
        <w:spacing w:line="480" w:lineRule="auto"/>
        <w:ind w:firstLine="720"/>
        <w:jc w:val="both"/>
        <w:rPr>
          <w:rFonts w:cstheme="majorBidi"/>
        </w:rPr>
      </w:pPr>
      <w:r w:rsidRPr="0082379C">
        <w:rPr>
          <w:rFonts w:cstheme="majorBidi"/>
        </w:rPr>
        <w:t xml:space="preserve">Soil erosion caused by the energy transferred to soil particles by surface runoff is related to the rate and amount of runoff generated. The rate of runoff generation depends on the rainfall intensity and the infiltration capacity of the soil. The location and intensity of erosion by rainfall runoff are affected by the </w:t>
      </w:r>
      <w:proofErr w:type="spellStart"/>
      <w:r w:rsidRPr="0082379C">
        <w:rPr>
          <w:rFonts w:cstheme="majorBidi"/>
        </w:rPr>
        <w:t>microtopography</w:t>
      </w:r>
      <w:proofErr w:type="spellEnd"/>
      <w:r w:rsidRPr="0082379C">
        <w:rPr>
          <w:rFonts w:cstheme="majorBidi"/>
        </w:rPr>
        <w:t xml:space="preserve"> of the </w:t>
      </w:r>
      <w:proofErr w:type="spellStart"/>
      <w:r w:rsidRPr="0082379C">
        <w:rPr>
          <w:rFonts w:cstheme="majorBidi"/>
        </w:rPr>
        <w:t>hillslope</w:t>
      </w:r>
      <w:proofErr w:type="spellEnd"/>
      <w:r w:rsidRPr="0082379C">
        <w:rPr>
          <w:rFonts w:cstheme="majorBidi"/>
        </w:rPr>
        <w:t xml:space="preserve"> surface, which channels the runoff into rills of faster, higher-energy flow. Rill erosion is more intense on cultivated landscapes where tillage operations have formed the initial pattern of channels on the surface </w:t>
      </w:r>
      <w:r w:rsidR="00F41E6A" w:rsidRPr="0082379C">
        <w:rPr>
          <w:rFonts w:cstheme="majorBidi"/>
        </w:rPr>
        <w:fldChar w:fldCharType="begin"/>
      </w:r>
      <w:r w:rsidRPr="0082379C">
        <w:rPr>
          <w:rFonts w:cstheme="majorBidi"/>
        </w:rPr>
        <w:instrText xml:space="preserve"> ADDIN ZOTERO_ITEM CSL_CITATION {"citationID":"w4qBIuXw","properties":{"formattedCitation":"(Maynord and Martin 1996)","plainCitation":"(Maynord and Martin 1996)"},"citationItems":[{"id":111,"uris":["http://zotero.org/users/1706519/items/R6JZCEUS"],"uri":["http://zotero.org/users/1706519/items/R6JZCEUS"],"itemData":{"id":111,"type":"report","title":"Upper Mississippi River System: Navigation/Sedimentation Study","publisher":"US Army Corps of Engineers","page":"95","number":"HL-96-10","author":[{"family":"Maynord","given":"Stephen T."},{"family":"Martin","given":"Sandra K."}],"issued":{"date-parts":[["1996",8]]}}}],"schema":"https://github.com/citation-style-language/schema/raw/master/csl-citation.json"} </w:instrText>
      </w:r>
      <w:r w:rsidR="00F41E6A" w:rsidRPr="0082379C">
        <w:rPr>
          <w:rFonts w:cstheme="majorBidi"/>
        </w:rPr>
        <w:fldChar w:fldCharType="separate"/>
      </w:r>
      <w:r w:rsidRPr="0082379C">
        <w:rPr>
          <w:rFonts w:cstheme="majorBidi"/>
        </w:rPr>
        <w:t>(Maynord and Martin 1996)</w:t>
      </w:r>
      <w:r w:rsidR="00F41E6A" w:rsidRPr="0082379C">
        <w:rPr>
          <w:rFonts w:cstheme="majorBidi"/>
        </w:rPr>
        <w:fldChar w:fldCharType="end"/>
      </w:r>
      <w:r w:rsidRPr="0082379C">
        <w:rPr>
          <w:rFonts w:cstheme="majorBidi"/>
        </w:rPr>
        <w:t xml:space="preserve">. Tillage activities also loosen soil particles, which accelerates the erosion process. </w:t>
      </w:r>
    </w:p>
    <w:p w:rsidR="0082379C" w:rsidRPr="0082379C" w:rsidRDefault="0082379C" w:rsidP="0082379C">
      <w:pPr>
        <w:spacing w:line="480" w:lineRule="auto"/>
        <w:ind w:firstLine="720"/>
        <w:jc w:val="both"/>
        <w:rPr>
          <w:rFonts w:cstheme="majorBidi"/>
        </w:rPr>
      </w:pPr>
      <w:r w:rsidRPr="0082379C">
        <w:rPr>
          <w:rFonts w:cstheme="majorBidi"/>
        </w:rPr>
        <w:t xml:space="preserve">The type of precipitation also affects soil erosion. Snowfall does not cause soil erosion, but, in winter, when the subsoil is frozen, rainfall on thawing soil can cause a high rate of soil erosion because water that cannot infiltrate into frozen soil produces surface runoff. This phenomenon has been reported in the Northwestern United States </w:t>
      </w:r>
      <w:r w:rsidR="00F41E6A" w:rsidRPr="0082379C">
        <w:rPr>
          <w:rFonts w:cstheme="majorBidi"/>
        </w:rPr>
        <w:fldChar w:fldCharType="begin"/>
      </w:r>
      <w:r w:rsidRPr="0082379C">
        <w:rPr>
          <w:rFonts w:cstheme="majorBidi"/>
        </w:rPr>
        <w:instrText xml:space="preserve"> ADDIN ZOTERO_ITEM CSL_CITATION {"citationID":"QLznDJYI","properties":{"formattedCitation":"(Renard et al. 1997)","plainCitation":"(Renard et al. 1997)"},"citationItems":[{"id":125,"uris":["http://zotero.org/users/1706519/items/TWAFZB6X"],"uri":["http://zotero.org/users/1706519/items/TWAFZB6X"],"itemData":{"id":125,"type":"book","title":"Predicting Soil Erosion by Water: A Guide to Conservation Planning with the Revised Universal Soil Loss Equation (RUSLE)","publisher":"USDA Agricultural Handbook 703","publisher-place":"U.S Government Priting Office, Washington, DC","event-place":"U.S Government Priting Office, Washington, DC","author":[{"family":"Renard","given":"K.G"},{"family":"G.R.","given":"Foster"},{"family":"G.A.","given":"Weesies"},{"family":"D.K.","given":"McCool"},{"family":"D.C.","given":"Yoder"}],"issued":{"date-parts":[["1997"]]}}}],"schema":"https://github.com/citation-style-language/schema/raw/master/csl-citation.json"} </w:instrText>
      </w:r>
      <w:r w:rsidR="00F41E6A" w:rsidRPr="0082379C">
        <w:rPr>
          <w:rFonts w:cstheme="majorBidi"/>
        </w:rPr>
        <w:fldChar w:fldCharType="separate"/>
      </w:r>
      <w:r w:rsidRPr="0082379C">
        <w:rPr>
          <w:rFonts w:cstheme="majorBidi"/>
        </w:rPr>
        <w:t>(Renard et al. 1997)</w:t>
      </w:r>
      <w:r w:rsidR="00F41E6A" w:rsidRPr="0082379C">
        <w:rPr>
          <w:rFonts w:cstheme="majorBidi"/>
        </w:rPr>
        <w:fldChar w:fldCharType="end"/>
      </w:r>
      <w:r w:rsidRPr="0082379C">
        <w:rPr>
          <w:rFonts w:cstheme="majorBidi"/>
        </w:rPr>
        <w:t>, and can occur in other locations where rain</w:t>
      </w:r>
      <w:r w:rsidR="006E42BC">
        <w:rPr>
          <w:rFonts w:cstheme="majorBidi"/>
        </w:rPr>
        <w:t xml:space="preserve"> </w:t>
      </w:r>
      <w:r w:rsidRPr="0082379C">
        <w:rPr>
          <w:rFonts w:cstheme="majorBidi"/>
        </w:rPr>
        <w:t xml:space="preserve">falls on thawing soil.  </w:t>
      </w:r>
    </w:p>
    <w:p w:rsidR="00D55427" w:rsidRPr="00854E06" w:rsidRDefault="00D55427" w:rsidP="00012DCD">
      <w:pPr>
        <w:spacing w:line="480" w:lineRule="auto"/>
        <w:ind w:firstLine="720"/>
        <w:jc w:val="both"/>
        <w:rPr>
          <w:rFonts w:cstheme="majorBidi"/>
        </w:rPr>
      </w:pPr>
      <w:r w:rsidRPr="00854E06">
        <w:rPr>
          <w:rFonts w:cstheme="majorBidi"/>
        </w:rPr>
        <w:t xml:space="preserve"> </w:t>
      </w:r>
    </w:p>
    <w:p w:rsidR="00A84D7A" w:rsidRPr="00854E06" w:rsidRDefault="00A84D7A" w:rsidP="00175D61">
      <w:pPr>
        <w:pStyle w:val="Heading4"/>
        <w:numPr>
          <w:ilvl w:val="2"/>
          <w:numId w:val="19"/>
        </w:numPr>
        <w:ind w:left="720"/>
      </w:pPr>
      <w:bookmarkStart w:id="8" w:name="_Toc394525543"/>
      <w:r w:rsidRPr="00854E06">
        <w:lastRenderedPageBreak/>
        <w:t>Soil</w:t>
      </w:r>
      <w:bookmarkEnd w:id="8"/>
    </w:p>
    <w:p w:rsidR="0082379C" w:rsidRPr="0082379C" w:rsidRDefault="0082379C" w:rsidP="0082379C">
      <w:pPr>
        <w:spacing w:line="480" w:lineRule="auto"/>
        <w:ind w:firstLine="720"/>
        <w:jc w:val="both"/>
        <w:rPr>
          <w:rFonts w:cstheme="majorBidi"/>
        </w:rPr>
      </w:pPr>
      <w:r w:rsidRPr="0082379C">
        <w:rPr>
          <w:rFonts w:cstheme="majorBidi"/>
        </w:rPr>
        <w:t xml:space="preserve">The infiltration capacity of soil has an important impact on the erosion process. At the early stage of a rain event, water is easily infiltrated into unsaturated soil. When the rainfall intensity exceeds the soil’s infiltration capacity, or when the soil becomes saturated, runoff will occur. Different soil types have different infiltration capacities. Soils with coarser textures, such as those with high proportions of sand and silt, absorb water more rapidly, while clay soil absorbs water more slowly </w:t>
      </w:r>
      <w:r w:rsidR="00F41E6A" w:rsidRPr="0082379C">
        <w:rPr>
          <w:rFonts w:cstheme="majorBidi"/>
        </w:rPr>
        <w:fldChar w:fldCharType="begin"/>
      </w:r>
      <w:r w:rsidRPr="0082379C">
        <w:rPr>
          <w:rFonts w:cstheme="majorBidi"/>
        </w:rPr>
        <w:instrText xml:space="preserve"> ADDIN ZOTERO_ITEM CSL_CITATION {"citationID":"xY0gmXSS","properties":{"formattedCitation":"(Page 1952)","plainCitation":"(Page 1952)"},"citationItems":[{"id":39,"uris":["http://zotero.org/users/1706519/items/97WTN45C"],"uri":["http://zotero.org/users/1706519/items/97WTN45C"],"itemData":{"id":39,"type":"article-journal","title":"Role of Physical Properties of Clays in Soil Science","container-title":"Clays and Clay Minerals","page":"167-176","volume":"1","issue":"1","source":"CrossRef","DOI":"10.1346/CCMN.1952.0010119","ISSN":"0009-8604","author":[{"family":"Page","given":"J. B."}],"issued":{"date-parts":[["1952"]]},"accessed":{"date-parts":[["2014",1,8]],"season":"02:45:46"}}}],"schema":"https://github.com/citation-style-language/schema/raw/master/csl-citation.json"} </w:instrText>
      </w:r>
      <w:r w:rsidR="00F41E6A" w:rsidRPr="0082379C">
        <w:rPr>
          <w:rFonts w:cstheme="majorBidi"/>
        </w:rPr>
        <w:fldChar w:fldCharType="separate"/>
      </w:r>
      <w:r w:rsidRPr="0082379C">
        <w:rPr>
          <w:rFonts w:cstheme="majorBidi"/>
        </w:rPr>
        <w:t>(Page 1952)</w:t>
      </w:r>
      <w:r w:rsidR="00F41E6A" w:rsidRPr="0082379C">
        <w:rPr>
          <w:rFonts w:cstheme="majorBidi"/>
        </w:rPr>
        <w:fldChar w:fldCharType="end"/>
      </w:r>
      <w:r w:rsidRPr="0082379C">
        <w:rPr>
          <w:rFonts w:cstheme="majorBidi"/>
        </w:rPr>
        <w:t xml:space="preserve">. Therefore, runoff is more likely to occur on clay soil than on sandy soil.  </w:t>
      </w:r>
    </w:p>
    <w:p w:rsidR="0082379C" w:rsidRPr="0082379C" w:rsidRDefault="0082379C" w:rsidP="0082379C">
      <w:pPr>
        <w:spacing w:line="480" w:lineRule="auto"/>
        <w:ind w:firstLine="720"/>
        <w:jc w:val="both"/>
        <w:rPr>
          <w:rFonts w:cstheme="majorBidi"/>
        </w:rPr>
      </w:pPr>
      <w:r w:rsidRPr="0082379C">
        <w:rPr>
          <w:rFonts w:cstheme="majorBidi"/>
        </w:rPr>
        <w:t xml:space="preserve">Soil </w:t>
      </w:r>
      <w:proofErr w:type="spellStart"/>
      <w:r w:rsidRPr="0082379C">
        <w:rPr>
          <w:rFonts w:cstheme="majorBidi"/>
        </w:rPr>
        <w:t>erodibility</w:t>
      </w:r>
      <w:proofErr w:type="spellEnd"/>
      <w:r w:rsidRPr="0082379C">
        <w:rPr>
          <w:rFonts w:cstheme="majorBidi"/>
        </w:rPr>
        <w:t xml:space="preserve"> also depends on soil texture. As the cohesive forces of clays are higher than those of other particle-size classes, particles of clay soil are harder to detach. Hen</w:t>
      </w:r>
      <w:r w:rsidR="00751ED8">
        <w:rPr>
          <w:rFonts w:cstheme="majorBidi"/>
        </w:rPr>
        <w:t>ce, soil with clay texture has</w:t>
      </w:r>
      <w:r w:rsidRPr="0082379C">
        <w:rPr>
          <w:rFonts w:cstheme="majorBidi"/>
        </w:rPr>
        <w:t xml:space="preserve"> low soil </w:t>
      </w:r>
      <w:proofErr w:type="spellStart"/>
      <w:r w:rsidRPr="0082379C">
        <w:rPr>
          <w:rFonts w:cstheme="majorBidi"/>
        </w:rPr>
        <w:t>erodibility</w:t>
      </w:r>
      <w:proofErr w:type="spellEnd"/>
      <w:r w:rsidRPr="0082379C">
        <w:rPr>
          <w:rFonts w:cstheme="majorBidi"/>
        </w:rPr>
        <w:t xml:space="preserve">. Meanwhile, even though particles of sandy soil can be easily detached, sandy soils do not often generate runoff; therefore, this type of soil also has a low </w:t>
      </w:r>
      <w:proofErr w:type="spellStart"/>
      <w:r w:rsidRPr="0082379C">
        <w:rPr>
          <w:rFonts w:cstheme="majorBidi"/>
        </w:rPr>
        <w:t>erodibility</w:t>
      </w:r>
      <w:proofErr w:type="spellEnd"/>
      <w:r w:rsidRPr="0082379C">
        <w:rPr>
          <w:rFonts w:cstheme="majorBidi"/>
        </w:rPr>
        <w:t xml:space="preserve">. The soil </w:t>
      </w:r>
      <w:proofErr w:type="spellStart"/>
      <w:r w:rsidRPr="0082379C">
        <w:rPr>
          <w:rFonts w:cstheme="majorBidi"/>
        </w:rPr>
        <w:t>erodibility</w:t>
      </w:r>
      <w:proofErr w:type="spellEnd"/>
      <w:r w:rsidRPr="0082379C">
        <w:rPr>
          <w:rFonts w:cstheme="majorBidi"/>
        </w:rPr>
        <w:t xml:space="preserve"> factor (K factor from USLE; </w:t>
      </w:r>
      <w:r w:rsidR="00F41E6A" w:rsidRPr="0082379C">
        <w:rPr>
          <w:rFonts w:cstheme="majorBidi"/>
        </w:rPr>
        <w:fldChar w:fldCharType="begin"/>
      </w:r>
      <w:r w:rsidRPr="0082379C">
        <w:rPr>
          <w:rFonts w:cstheme="majorBidi"/>
        </w:rPr>
        <w:instrText xml:space="preserve"> ADDIN ZOTERO_ITEM CSL_CITATION {"citationID":"3xko2khG","properties":{"formattedCitation":"(Wischmeier and Smith 1960)","plainCitation":"(Wischmeier and Smith 1960)"},"citationItems":[{"id":613,"uris":["http://zotero.org/users/1706519/items/GDBGSKKJ"],"uri":["http://zotero.org/users/1706519/items/GDBGSKKJ"],"itemData":{"id":613,"type":"article-journal","title":"A universal soil-loss equation to guide conservation farm planning.","container-title":"Transactions 7th int. Congr. Soil Sci.","page":"418-425","volume":"1","source":"CABI - CAB Abstracts","archive":"CABDirect2","abstract":"The equation is A = RKLSCP, where A is the average annual soil loss, R the expected annual value of the rainfall erosion index, K a measure of soil erodability, L and S factors for length and gradient of slope, C a management factor, and P a factor for erosion-control practices.","journalAbbreviation":"Transactions 7th int. Congr. Soil Sci.","language":"English","author":[{"family":"Wischmeier","given":"W. H."},{"family":"Smith","given":"D. D."}],"issued":{"date-parts":[["1960"]]}}}],"schema":"https://github.com/citation-style-language/schema/raw/master/csl-citation.json"} </w:instrText>
      </w:r>
      <w:r w:rsidR="00F41E6A" w:rsidRPr="0082379C">
        <w:rPr>
          <w:rFonts w:cstheme="majorBidi"/>
        </w:rPr>
        <w:fldChar w:fldCharType="separate"/>
      </w:r>
      <w:r w:rsidRPr="0082379C">
        <w:rPr>
          <w:rFonts w:ascii="Times New Roman" w:hAnsi="Times New Roman" w:cs="Times New Roman"/>
        </w:rPr>
        <w:t>Wischmeier and Smith 1960)</w:t>
      </w:r>
      <w:r w:rsidR="00F41E6A" w:rsidRPr="0082379C">
        <w:rPr>
          <w:rFonts w:cstheme="majorBidi"/>
        </w:rPr>
        <w:fldChar w:fldCharType="end"/>
      </w:r>
      <w:r w:rsidRPr="0082379C">
        <w:rPr>
          <w:rFonts w:cstheme="majorBidi"/>
        </w:rPr>
        <w:t xml:space="preserve"> is high for medium-textured soils, since both runoff generation and soil particle detachability are high. The </w:t>
      </w:r>
      <w:proofErr w:type="spellStart"/>
      <w:r w:rsidRPr="0082379C">
        <w:rPr>
          <w:rFonts w:cstheme="majorBidi"/>
        </w:rPr>
        <w:t>erodibility</w:t>
      </w:r>
      <w:proofErr w:type="spellEnd"/>
      <w:r w:rsidRPr="0082379C">
        <w:rPr>
          <w:rFonts w:cstheme="majorBidi"/>
        </w:rPr>
        <w:t xml:space="preserve"> of a soil increases as the silt proportion increases (Table 2-1).</w:t>
      </w:r>
    </w:p>
    <w:p w:rsidR="0082379C" w:rsidRPr="00854E06" w:rsidRDefault="0082379C" w:rsidP="004F12D3">
      <w:pPr>
        <w:pStyle w:val="Caption"/>
        <w:spacing w:before="240"/>
        <w:ind w:firstLine="720"/>
        <w:jc w:val="center"/>
        <w:rPr>
          <w:rFonts w:cstheme="majorBidi"/>
          <w:color w:val="auto"/>
          <w:sz w:val="24"/>
          <w:szCs w:val="24"/>
        </w:rPr>
      </w:pPr>
      <w:bookmarkStart w:id="9" w:name="_Toc388304415"/>
      <w:bookmarkStart w:id="10" w:name="_Toc393799673"/>
      <w:proofErr w:type="gramStart"/>
      <w:r w:rsidRPr="00854E06">
        <w:rPr>
          <w:rFonts w:cstheme="majorBidi"/>
          <w:color w:val="auto"/>
          <w:sz w:val="24"/>
          <w:szCs w:val="24"/>
        </w:rPr>
        <w:t>Table 2</w:t>
      </w:r>
      <w:r w:rsidRPr="00854E06">
        <w:rPr>
          <w:rFonts w:cstheme="majorBidi"/>
          <w:color w:val="auto"/>
          <w:sz w:val="24"/>
          <w:szCs w:val="24"/>
        </w:rPr>
        <w:noBreakHyphen/>
      </w:r>
      <w:r w:rsidR="00F41E6A" w:rsidRPr="00854E06">
        <w:rPr>
          <w:rFonts w:cstheme="majorBidi"/>
          <w:color w:val="auto"/>
          <w:sz w:val="24"/>
          <w:szCs w:val="24"/>
        </w:rPr>
        <w:fldChar w:fldCharType="begin"/>
      </w:r>
      <w:r w:rsidRPr="00854E06">
        <w:rPr>
          <w:rFonts w:cstheme="majorBidi"/>
          <w:color w:val="auto"/>
          <w:sz w:val="24"/>
          <w:szCs w:val="24"/>
        </w:rPr>
        <w:instrText xml:space="preserve"> SEQ Table \* ARABIC \s 1 </w:instrText>
      </w:r>
      <w:r w:rsidR="00F41E6A" w:rsidRPr="00854E06">
        <w:rPr>
          <w:rFonts w:cstheme="majorBidi"/>
          <w:color w:val="auto"/>
          <w:sz w:val="24"/>
          <w:szCs w:val="24"/>
        </w:rPr>
        <w:fldChar w:fldCharType="separate"/>
      </w:r>
      <w:r w:rsidR="008E2F67">
        <w:rPr>
          <w:rFonts w:cstheme="majorBidi"/>
          <w:noProof/>
          <w:color w:val="auto"/>
          <w:sz w:val="24"/>
          <w:szCs w:val="24"/>
        </w:rPr>
        <w:t>1</w:t>
      </w:r>
      <w:r w:rsidR="00F41E6A" w:rsidRPr="00854E06">
        <w:rPr>
          <w:rFonts w:cstheme="majorBidi"/>
          <w:color w:val="auto"/>
          <w:sz w:val="24"/>
          <w:szCs w:val="24"/>
        </w:rPr>
        <w:fldChar w:fldCharType="end"/>
      </w:r>
      <w:r w:rsidRPr="00854E06">
        <w:rPr>
          <w:rFonts w:cstheme="majorBidi"/>
          <w:color w:val="auto"/>
          <w:sz w:val="24"/>
          <w:szCs w:val="24"/>
        </w:rPr>
        <w:t>.</w:t>
      </w:r>
      <w:proofErr w:type="gramEnd"/>
      <w:r w:rsidRPr="00854E06">
        <w:rPr>
          <w:rFonts w:cstheme="majorBidi"/>
          <w:color w:val="auto"/>
          <w:sz w:val="24"/>
          <w:szCs w:val="24"/>
        </w:rPr>
        <w:t xml:space="preserve"> K (soil </w:t>
      </w:r>
      <w:proofErr w:type="spellStart"/>
      <w:r w:rsidRPr="00854E06">
        <w:rPr>
          <w:rFonts w:cstheme="majorBidi"/>
          <w:color w:val="auto"/>
          <w:sz w:val="24"/>
          <w:szCs w:val="24"/>
        </w:rPr>
        <w:t>erodibility</w:t>
      </w:r>
      <w:proofErr w:type="spellEnd"/>
      <w:r w:rsidRPr="00854E06">
        <w:rPr>
          <w:rFonts w:cstheme="majorBidi"/>
          <w:color w:val="auto"/>
          <w:sz w:val="24"/>
          <w:szCs w:val="24"/>
        </w:rPr>
        <w:t xml:space="preserve">) values for soils </w:t>
      </w:r>
      <w:r w:rsidRPr="00993C9D">
        <w:rPr>
          <w:rFonts w:cstheme="majorBidi"/>
          <w:color w:val="auto"/>
          <w:sz w:val="24"/>
          <w:szCs w:val="24"/>
        </w:rPr>
        <w:t xml:space="preserve">of </w:t>
      </w:r>
      <w:r w:rsidRPr="00854E06">
        <w:rPr>
          <w:rFonts w:cstheme="majorBidi"/>
          <w:color w:val="auto"/>
          <w:sz w:val="24"/>
          <w:szCs w:val="24"/>
        </w:rPr>
        <w:t>different textures</w:t>
      </w:r>
      <w:bookmarkEnd w:id="9"/>
      <w:r w:rsidRPr="00212061">
        <w:rPr>
          <w:rFonts w:cstheme="majorBidi"/>
          <w:color w:val="auto"/>
          <w:sz w:val="24"/>
          <w:szCs w:val="24"/>
        </w:rPr>
        <w:t xml:space="preserve"> (</w:t>
      </w:r>
      <w:r w:rsidR="00F41E6A" w:rsidRPr="00212061">
        <w:rPr>
          <w:rFonts w:cstheme="majorBidi"/>
          <w:bCs w:val="0"/>
          <w:color w:val="auto"/>
          <w:sz w:val="24"/>
          <w:szCs w:val="24"/>
        </w:rPr>
        <w:fldChar w:fldCharType="begin"/>
      </w:r>
      <w:r w:rsidRPr="00212061">
        <w:rPr>
          <w:rFonts w:cstheme="majorBidi"/>
          <w:bCs w:val="0"/>
          <w:color w:val="auto"/>
          <w:sz w:val="24"/>
          <w:szCs w:val="24"/>
        </w:rPr>
        <w:instrText xml:space="preserve"> ADDIN ZOTERO_ITEM CSL_CITATION {"citationID":"uZCuTI6e","properties":{"formattedCitation":"(Dion 2002)","plainCitation":"(Dion 2002)"},"citationItems":[{"id":69,"uris":["http://zotero.org/users/1706519/items/GF5GXF9X"],"uri":["http://zotero.org/users/1706519/items/GF5GXF9X"],"itemData":{"id":69,"type":"book","title":"Land development for civil engineers","publisher":"Wiley","publisher-place":"New York","source":"Open WorldCat","event-place":"New York","ISBN":"0471435007  9780471435006","language":"English","author":[{"family":"Dion","given":"Thomas R"}],"issued":{"date-parts":[["2002"]]}}}],"schema":"https://github.com/citation-style-language/schema/raw/master/csl-citation.json"} </w:instrText>
      </w:r>
      <w:r w:rsidR="00F41E6A" w:rsidRPr="00212061">
        <w:rPr>
          <w:rFonts w:cstheme="majorBidi"/>
          <w:bCs w:val="0"/>
          <w:color w:val="auto"/>
          <w:sz w:val="24"/>
          <w:szCs w:val="24"/>
        </w:rPr>
        <w:fldChar w:fldCharType="separate"/>
      </w:r>
      <w:r w:rsidRPr="00212061">
        <w:rPr>
          <w:rFonts w:cstheme="majorBidi"/>
          <w:bCs w:val="0"/>
          <w:color w:val="auto"/>
          <w:sz w:val="24"/>
          <w:szCs w:val="24"/>
        </w:rPr>
        <w:t>Dion 2002)</w:t>
      </w:r>
      <w:bookmarkEnd w:id="10"/>
      <w:r w:rsidR="00F41E6A" w:rsidRPr="00212061">
        <w:rPr>
          <w:rFonts w:cstheme="majorBidi"/>
          <w:bCs w:val="0"/>
          <w:color w:val="auto"/>
          <w:sz w:val="24"/>
          <w:szCs w:val="24"/>
        </w:rPr>
        <w:fldChar w:fldCharType="end"/>
      </w:r>
    </w:p>
    <w:tbl>
      <w:tblPr>
        <w:tblW w:w="838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8"/>
        <w:gridCol w:w="1890"/>
      </w:tblGrid>
      <w:tr w:rsidR="0082379C" w:rsidRPr="00854E06">
        <w:tc>
          <w:tcPr>
            <w:tcW w:w="6498" w:type="dxa"/>
          </w:tcPr>
          <w:p w:rsidR="0082379C" w:rsidRPr="0082379C" w:rsidRDefault="0082379C" w:rsidP="0082379C">
            <w:pPr>
              <w:spacing w:line="480" w:lineRule="auto"/>
              <w:ind w:right="72"/>
              <w:rPr>
                <w:rFonts w:cstheme="majorBidi"/>
                <w:b/>
                <w:bCs/>
                <w:color w:val="000000"/>
              </w:rPr>
            </w:pPr>
            <w:r w:rsidRPr="0082379C">
              <w:rPr>
                <w:rFonts w:cstheme="majorBidi"/>
                <w:b/>
                <w:bCs/>
                <w:color w:val="000000"/>
              </w:rPr>
              <w:t>Texture</w:t>
            </w:r>
          </w:p>
        </w:tc>
        <w:tc>
          <w:tcPr>
            <w:tcW w:w="1890" w:type="dxa"/>
          </w:tcPr>
          <w:p w:rsidR="0082379C" w:rsidRPr="0082379C" w:rsidRDefault="0082379C" w:rsidP="0082379C">
            <w:pPr>
              <w:spacing w:line="480" w:lineRule="auto"/>
              <w:rPr>
                <w:rFonts w:cstheme="majorBidi"/>
                <w:b/>
                <w:bCs/>
              </w:rPr>
            </w:pPr>
            <w:r w:rsidRPr="0082379C">
              <w:rPr>
                <w:rFonts w:cstheme="majorBidi"/>
                <w:b/>
                <w:bCs/>
              </w:rPr>
              <w:t xml:space="preserve">K values </w:t>
            </w:r>
            <w:proofErr w:type="spellStart"/>
            <w:r w:rsidRPr="0082379C">
              <w:rPr>
                <w:rFonts w:cstheme="majorBidi"/>
                <w:b/>
                <w:bCs/>
                <w:vertAlign w:val="superscript"/>
              </w:rPr>
              <w:t>a,b</w:t>
            </w:r>
            <w:proofErr w:type="spellEnd"/>
          </w:p>
        </w:tc>
      </w:tr>
      <w:tr w:rsidR="0082379C" w:rsidRPr="00854E06">
        <w:tc>
          <w:tcPr>
            <w:tcW w:w="6498" w:type="dxa"/>
          </w:tcPr>
          <w:p w:rsidR="0082379C" w:rsidRPr="0082379C" w:rsidRDefault="0082379C" w:rsidP="0082379C">
            <w:pPr>
              <w:spacing w:line="480" w:lineRule="auto"/>
              <w:ind w:right="72"/>
              <w:rPr>
                <w:rFonts w:cstheme="majorBidi"/>
              </w:rPr>
            </w:pPr>
            <w:r w:rsidRPr="0082379C">
              <w:rPr>
                <w:rFonts w:cstheme="majorBidi"/>
                <w:color w:val="000000"/>
              </w:rPr>
              <w:t>Sandy, fine sand, loamy, sand                     </w:t>
            </w:r>
          </w:p>
        </w:tc>
        <w:tc>
          <w:tcPr>
            <w:tcW w:w="1890" w:type="dxa"/>
          </w:tcPr>
          <w:p w:rsidR="0082379C" w:rsidRPr="0082379C" w:rsidRDefault="0082379C" w:rsidP="0082379C">
            <w:pPr>
              <w:spacing w:line="480" w:lineRule="auto"/>
              <w:rPr>
                <w:rFonts w:cstheme="majorBidi"/>
              </w:rPr>
            </w:pPr>
            <w:r w:rsidRPr="0082379C">
              <w:rPr>
                <w:rFonts w:cstheme="majorBidi"/>
              </w:rPr>
              <w:t>0.10</w:t>
            </w:r>
          </w:p>
        </w:tc>
      </w:tr>
      <w:tr w:rsidR="0082379C" w:rsidRPr="00854E06">
        <w:tc>
          <w:tcPr>
            <w:tcW w:w="6498" w:type="dxa"/>
          </w:tcPr>
          <w:p w:rsidR="0082379C" w:rsidRPr="0082379C" w:rsidRDefault="0082379C" w:rsidP="0082379C">
            <w:pPr>
              <w:spacing w:line="480" w:lineRule="auto"/>
              <w:rPr>
                <w:rFonts w:cstheme="majorBidi"/>
              </w:rPr>
            </w:pPr>
            <w:r w:rsidRPr="0082379C">
              <w:rPr>
                <w:rFonts w:cstheme="majorBidi"/>
                <w:color w:val="000000"/>
              </w:rPr>
              <w:t xml:space="preserve">Loamy sand, loamy fine sand, sandy loam, loamy, </w:t>
            </w:r>
            <w:proofErr w:type="spellStart"/>
            <w:r w:rsidRPr="0082379C">
              <w:rPr>
                <w:rFonts w:cstheme="majorBidi"/>
                <w:color w:val="000000"/>
              </w:rPr>
              <w:t>silty</w:t>
            </w:r>
            <w:proofErr w:type="spellEnd"/>
            <w:r w:rsidRPr="0082379C">
              <w:rPr>
                <w:rFonts w:cstheme="majorBidi"/>
                <w:color w:val="000000"/>
              </w:rPr>
              <w:t xml:space="preserve"> loam</w:t>
            </w:r>
          </w:p>
        </w:tc>
        <w:tc>
          <w:tcPr>
            <w:tcW w:w="1890" w:type="dxa"/>
          </w:tcPr>
          <w:p w:rsidR="0082379C" w:rsidRPr="0082379C" w:rsidRDefault="0082379C" w:rsidP="0082379C">
            <w:pPr>
              <w:spacing w:line="480" w:lineRule="auto"/>
              <w:rPr>
                <w:rFonts w:cstheme="majorBidi"/>
              </w:rPr>
            </w:pPr>
            <w:r w:rsidRPr="0082379C">
              <w:rPr>
                <w:rFonts w:cstheme="majorBidi"/>
              </w:rPr>
              <w:t>0.15</w:t>
            </w:r>
          </w:p>
        </w:tc>
      </w:tr>
      <w:tr w:rsidR="0082379C" w:rsidRPr="00854E06">
        <w:tc>
          <w:tcPr>
            <w:tcW w:w="6498" w:type="dxa"/>
          </w:tcPr>
          <w:p w:rsidR="0082379C" w:rsidRPr="0082379C" w:rsidRDefault="0082379C" w:rsidP="0082379C">
            <w:pPr>
              <w:spacing w:line="480" w:lineRule="auto"/>
              <w:rPr>
                <w:rFonts w:cstheme="majorBidi"/>
              </w:rPr>
            </w:pPr>
            <w:r w:rsidRPr="0082379C">
              <w:rPr>
                <w:rFonts w:cstheme="majorBidi"/>
                <w:color w:val="000000"/>
              </w:rPr>
              <w:t xml:space="preserve">Loamy, </w:t>
            </w:r>
            <w:proofErr w:type="spellStart"/>
            <w:r w:rsidRPr="0082379C">
              <w:rPr>
                <w:rFonts w:cstheme="majorBidi"/>
                <w:color w:val="000000"/>
              </w:rPr>
              <w:t>silty</w:t>
            </w:r>
            <w:proofErr w:type="spellEnd"/>
            <w:r w:rsidRPr="0082379C">
              <w:rPr>
                <w:rFonts w:cstheme="majorBidi"/>
                <w:color w:val="000000"/>
              </w:rPr>
              <w:t xml:space="preserve"> loam, sandy clay loam, fine sandy loam</w:t>
            </w:r>
          </w:p>
        </w:tc>
        <w:tc>
          <w:tcPr>
            <w:tcW w:w="1890" w:type="dxa"/>
          </w:tcPr>
          <w:p w:rsidR="0082379C" w:rsidRPr="0082379C" w:rsidRDefault="0082379C" w:rsidP="0082379C">
            <w:pPr>
              <w:spacing w:line="480" w:lineRule="auto"/>
              <w:rPr>
                <w:rFonts w:cstheme="majorBidi"/>
              </w:rPr>
            </w:pPr>
            <w:r w:rsidRPr="0082379C">
              <w:rPr>
                <w:rFonts w:cstheme="majorBidi"/>
              </w:rPr>
              <w:t>0.24</w:t>
            </w:r>
          </w:p>
        </w:tc>
      </w:tr>
      <w:tr w:rsidR="0082379C" w:rsidRPr="00854E06">
        <w:tc>
          <w:tcPr>
            <w:tcW w:w="6498" w:type="dxa"/>
          </w:tcPr>
          <w:p w:rsidR="0082379C" w:rsidRPr="0082379C" w:rsidRDefault="0082379C" w:rsidP="0082379C">
            <w:pPr>
              <w:spacing w:line="480" w:lineRule="auto"/>
              <w:ind w:right="-18"/>
              <w:rPr>
                <w:rFonts w:cstheme="majorBidi"/>
              </w:rPr>
            </w:pPr>
            <w:proofErr w:type="spellStart"/>
            <w:r w:rsidRPr="0082379C">
              <w:rPr>
                <w:rFonts w:cstheme="majorBidi"/>
                <w:color w:val="000000"/>
              </w:rPr>
              <w:t>Silty</w:t>
            </w:r>
            <w:proofErr w:type="spellEnd"/>
            <w:r w:rsidRPr="0082379C">
              <w:rPr>
                <w:rFonts w:cstheme="majorBidi"/>
                <w:color w:val="000000"/>
              </w:rPr>
              <w:t xml:space="preserve"> clay loam, </w:t>
            </w:r>
            <w:proofErr w:type="spellStart"/>
            <w:r w:rsidRPr="0082379C">
              <w:rPr>
                <w:rFonts w:cstheme="majorBidi"/>
                <w:color w:val="000000"/>
              </w:rPr>
              <w:t>silty</w:t>
            </w:r>
            <w:proofErr w:type="spellEnd"/>
            <w:r w:rsidRPr="0082379C">
              <w:rPr>
                <w:rFonts w:cstheme="majorBidi"/>
                <w:color w:val="000000"/>
              </w:rPr>
              <w:t xml:space="preserve"> clay, clay, clay loam, loam</w:t>
            </w:r>
          </w:p>
        </w:tc>
        <w:tc>
          <w:tcPr>
            <w:tcW w:w="1890" w:type="dxa"/>
          </w:tcPr>
          <w:p w:rsidR="0082379C" w:rsidRPr="0082379C" w:rsidRDefault="0082379C" w:rsidP="0082379C">
            <w:pPr>
              <w:spacing w:line="480" w:lineRule="auto"/>
              <w:rPr>
                <w:rFonts w:cstheme="majorBidi"/>
              </w:rPr>
            </w:pPr>
            <w:r w:rsidRPr="0082379C">
              <w:rPr>
                <w:rFonts w:cstheme="majorBidi"/>
              </w:rPr>
              <w:t>0.28</w:t>
            </w:r>
          </w:p>
        </w:tc>
      </w:tr>
    </w:tbl>
    <w:p w:rsidR="0082379C" w:rsidRPr="0082379C" w:rsidRDefault="0082379C" w:rsidP="0082379C">
      <w:pPr>
        <w:ind w:firstLine="720"/>
        <w:rPr>
          <w:rFonts w:cstheme="majorBidi"/>
          <w:bCs/>
        </w:rPr>
      </w:pPr>
      <w:proofErr w:type="spellStart"/>
      <w:proofErr w:type="gramStart"/>
      <w:r w:rsidRPr="0082379C">
        <w:rPr>
          <w:rFonts w:cstheme="majorBidi"/>
          <w:bCs/>
          <w:vertAlign w:val="superscript"/>
        </w:rPr>
        <w:t>a</w:t>
      </w:r>
      <w:r w:rsidRPr="0082379C">
        <w:rPr>
          <w:rFonts w:cstheme="majorBidi"/>
          <w:bCs/>
        </w:rPr>
        <w:t>Unit</w:t>
      </w:r>
      <w:proofErr w:type="spellEnd"/>
      <w:proofErr w:type="gramEnd"/>
      <w:r w:rsidRPr="0082379C">
        <w:rPr>
          <w:rFonts w:cstheme="majorBidi"/>
          <w:bCs/>
        </w:rPr>
        <w:t xml:space="preserve"> of K (from Dion 2002): soil loss rate per erosion unit index</w:t>
      </w:r>
    </w:p>
    <w:p w:rsidR="0082379C" w:rsidRPr="0082379C" w:rsidRDefault="0082379C" w:rsidP="0082379C">
      <w:pPr>
        <w:spacing w:line="360" w:lineRule="auto"/>
        <w:ind w:firstLine="720"/>
      </w:pPr>
      <w:proofErr w:type="spellStart"/>
      <w:r w:rsidRPr="0082379C">
        <w:rPr>
          <w:rFonts w:cstheme="majorBidi"/>
          <w:bCs/>
          <w:vertAlign w:val="superscript"/>
        </w:rPr>
        <w:t>b</w:t>
      </w:r>
      <w:r w:rsidRPr="0082379C">
        <w:rPr>
          <w:rFonts w:cstheme="majorBidi"/>
          <w:bCs/>
        </w:rPr>
        <w:t>Unit</w:t>
      </w:r>
      <w:proofErr w:type="spellEnd"/>
      <w:r w:rsidRPr="0082379C">
        <w:rPr>
          <w:rFonts w:cstheme="majorBidi"/>
          <w:bCs/>
        </w:rPr>
        <w:t xml:space="preserve"> of K from USLE (</w:t>
      </w:r>
      <w:r w:rsidR="00F41E6A" w:rsidRPr="0082379C">
        <w:rPr>
          <w:rFonts w:cstheme="majorBidi"/>
          <w:bCs/>
        </w:rPr>
        <w:fldChar w:fldCharType="begin"/>
      </w:r>
      <w:r w:rsidRPr="0082379C">
        <w:rPr>
          <w:rFonts w:cstheme="majorBidi"/>
          <w:bCs/>
        </w:rPr>
        <w:instrText xml:space="preserve"> ADDIN ZOTERO_ITEM CSL_CITATION {"citationID":"UvGn0t8N","properties":{"formattedCitation":"(Foster, G.R., McCool, D.K., Renard, K.G., Moldenhauer 1981)","plainCitation":"(Foster, G.R., McCool, D.K., Renard, K.G., Moldenhauer 1981)"},"citationItems":[{"id":617,"uris":["http://zotero.org/users/1706519/items/A6RQBS4U"],"uri":["http://zotero.org/users/1706519/items/A6RQBS4U"],"itemData":{"id":617,"type":"article-journal","title":"Conversion of the universal soil loss equation to SI metric units.","container-title":"Journal of Soil &amp; Water Conservation","page":"355-359","volume":"36","issue":"6","abstract":"Conversion factors were derived by considering the dimensions of each variable of the USLE factors. These conversion factors may be used to convert USLE factor values given in US customary units to SI units. However, when basic data for the USLE factors are already in SI units, values for the USLE factors can be computed directly in SI units without conversion from US customary units.-from Authors","note":"cited By (since 1996) 113","author":[{"family":"Foster, G.R., McCool, D.K., Renard, K.G., Moldenhauer","given":"W.C."}],"issued":{"date-parts":[["1981"]]}}}],"schema":"https://github.com/citation-style-language/schema/raw/master/csl-citation.json"} </w:instrText>
      </w:r>
      <w:r w:rsidR="00F41E6A" w:rsidRPr="0082379C">
        <w:rPr>
          <w:rFonts w:cstheme="majorBidi"/>
          <w:bCs/>
        </w:rPr>
        <w:fldChar w:fldCharType="separate"/>
      </w:r>
      <w:r w:rsidRPr="0082379C">
        <w:rPr>
          <w:rFonts w:ascii="Times New Roman" w:hAnsi="Times New Roman" w:cs="Times New Roman"/>
        </w:rPr>
        <w:t>Foster et al. 1981)</w:t>
      </w:r>
      <w:r w:rsidR="00F41E6A" w:rsidRPr="0082379C">
        <w:rPr>
          <w:rFonts w:cstheme="majorBidi"/>
          <w:bCs/>
        </w:rPr>
        <w:fldChar w:fldCharType="end"/>
      </w:r>
      <w:r w:rsidRPr="0082379C">
        <w:rPr>
          <w:rFonts w:cstheme="majorBidi"/>
          <w:bCs/>
        </w:rPr>
        <w:t xml:space="preserve">: </w:t>
      </w:r>
      <m:oMath>
        <m:f>
          <m:fPr>
            <m:ctrlPr>
              <w:rPr>
                <w:rFonts w:ascii="Cambria Math" w:hAnsi="Cambria Math" w:cstheme="majorBidi"/>
                <w:bCs/>
                <w:i/>
                <w:sz w:val="28"/>
                <w:szCs w:val="28"/>
              </w:rPr>
            </m:ctrlPr>
          </m:fPr>
          <m:num>
            <m:r>
              <w:rPr>
                <w:rFonts w:ascii="Cambria Math" w:hAnsi="Cambria Math" w:cstheme="majorBidi"/>
                <w:sz w:val="28"/>
                <w:szCs w:val="28"/>
              </w:rPr>
              <m:t xml:space="preserve">ton × </m:t>
            </m:r>
            <m:r>
              <w:rPr>
                <w:rFonts w:ascii="Lucida Sans Unicode" w:hAnsi="Lucida Sans Unicode" w:cs="Lucida Sans Unicode"/>
                <w:sz w:val="28"/>
                <w:szCs w:val="28"/>
              </w:rPr>
              <m:t>h</m:t>
            </m:r>
            <m:r>
              <w:rPr>
                <w:rFonts w:ascii="Cambria Math" w:hAnsi="Cambria Math" w:cstheme="majorBidi"/>
                <w:sz w:val="28"/>
                <w:szCs w:val="28"/>
              </w:rPr>
              <m:t xml:space="preserve">a × </m:t>
            </m:r>
            <m:r>
              <w:rPr>
                <w:rFonts w:ascii="Lucida Sans Unicode" w:hAnsi="Lucida Sans Unicode" w:cs="Lucida Sans Unicode"/>
                <w:sz w:val="28"/>
                <w:szCs w:val="28"/>
              </w:rPr>
              <m:t>h</m:t>
            </m:r>
            <m:r>
              <w:rPr>
                <w:rFonts w:ascii="Cambria Math" w:hAnsi="Cambria Math" w:cstheme="majorBidi"/>
                <w:sz w:val="28"/>
                <w:szCs w:val="28"/>
              </w:rPr>
              <m:t>our</m:t>
            </m:r>
          </m:num>
          <m:den>
            <m:r>
              <w:rPr>
                <w:rFonts w:ascii="Lucida Sans Unicode" w:hAnsi="Lucida Sans Unicode" w:cs="Lucida Sans Unicode"/>
                <w:sz w:val="28"/>
                <w:szCs w:val="28"/>
              </w:rPr>
              <m:t>h</m:t>
            </m:r>
            <m:r>
              <w:rPr>
                <w:rFonts w:ascii="Cambria Math" w:hAnsi="Cambria Math" w:cstheme="majorBidi"/>
                <w:sz w:val="28"/>
                <w:szCs w:val="28"/>
              </w:rPr>
              <m:t>a × megajoulle × mm</m:t>
            </m:r>
          </m:den>
        </m:f>
      </m:oMath>
    </w:p>
    <w:p w:rsidR="00A84D7A" w:rsidRPr="00854E06" w:rsidRDefault="00A84D7A" w:rsidP="004E042D">
      <w:pPr>
        <w:pStyle w:val="Heading4"/>
        <w:numPr>
          <w:ilvl w:val="2"/>
          <w:numId w:val="19"/>
        </w:numPr>
        <w:ind w:left="720"/>
      </w:pPr>
      <w:bookmarkStart w:id="11" w:name="_Toc394525544"/>
      <w:r w:rsidRPr="00854E06">
        <w:lastRenderedPageBreak/>
        <w:t>Topography</w:t>
      </w:r>
      <w:bookmarkEnd w:id="11"/>
    </w:p>
    <w:p w:rsidR="0082379C" w:rsidRPr="0082379C" w:rsidRDefault="0082379C" w:rsidP="0082379C">
      <w:pPr>
        <w:spacing w:line="480" w:lineRule="auto"/>
        <w:ind w:firstLine="720"/>
        <w:jc w:val="both"/>
        <w:rPr>
          <w:rFonts w:cstheme="majorBidi"/>
          <w:b/>
        </w:rPr>
      </w:pPr>
      <w:r w:rsidRPr="0082379C">
        <w:rPr>
          <w:rFonts w:cstheme="majorBidi"/>
        </w:rPr>
        <w:t xml:space="preserve">Another factor affecting soil erosion is topography, the geometry of the land surface. Topographic metrics include slope length and steepness, and the shapes of landforms in profile view and plan view. Soil erosion at a location on a slope is a function of the distance traveled by the surface runoff and the steepness of that location </w:t>
      </w:r>
      <w:r w:rsidR="00F41E6A" w:rsidRPr="0082379C">
        <w:rPr>
          <w:rFonts w:cstheme="majorBidi"/>
        </w:rPr>
        <w:fldChar w:fldCharType="begin"/>
      </w:r>
      <w:r w:rsidRPr="0082379C">
        <w:rPr>
          <w:rFonts w:cstheme="majorBidi"/>
        </w:rPr>
        <w:instrText xml:space="preserve"> ADDIN ZOTERO_ITEM CSL_CITATION {"citationID":"FBBzoZ2f","properties":{"formattedCitation":"(Toy, Foster, and Renard 2001)","plainCitation":"(Toy, Foster, and Renard 2001)"},"citationItems":[{"id":106,"uris":["http://zotero.org/users/1706519/items/PBS484D2"],"uri":["http://zotero.org/users/1706519/items/PBS484D2"],"itemData":{"id":106,"type":"book","title":"Soil Erosion Processes, prediction, measurement, and control","publisher":"John Wiley &amp; Sons","ISBN":"0-471-38369-4","language":"English","author":[{"family":"Toy","given":"Terrence J."},{"family":"Foster","given":"George R."},{"family":"Renard","given":"Kenneth G."}],"issued":{"date-parts":[["2001"]]}}}],"schema":"https://github.com/citation-style-language/schema/raw/master/csl-citation.json"} </w:instrText>
      </w:r>
      <w:r w:rsidR="00F41E6A" w:rsidRPr="0082379C">
        <w:rPr>
          <w:rFonts w:cstheme="majorBidi"/>
        </w:rPr>
        <w:fldChar w:fldCharType="separate"/>
      </w:r>
      <w:r w:rsidRPr="0082379C">
        <w:rPr>
          <w:rFonts w:cstheme="majorBidi"/>
        </w:rPr>
        <w:t>(Toy et al. 2001)</w:t>
      </w:r>
      <w:r w:rsidR="00F41E6A" w:rsidRPr="0082379C">
        <w:rPr>
          <w:rFonts w:cstheme="majorBidi"/>
        </w:rPr>
        <w:fldChar w:fldCharType="end"/>
      </w:r>
      <w:r w:rsidRPr="0082379C">
        <w:rPr>
          <w:rFonts w:cstheme="majorBidi"/>
        </w:rPr>
        <w:t xml:space="preserve">. Sediment available for transport at a location on the slope is related to the amount of soil eroded upslope that has been deposited at that location. </w:t>
      </w:r>
    </w:p>
    <w:p w:rsidR="0082379C" w:rsidRPr="0082379C" w:rsidRDefault="0082379C" w:rsidP="0094533A">
      <w:pPr>
        <w:spacing w:line="480" w:lineRule="auto"/>
        <w:ind w:firstLine="720"/>
        <w:jc w:val="both"/>
        <w:rPr>
          <w:rFonts w:cstheme="majorBidi"/>
        </w:rPr>
      </w:pPr>
      <w:r w:rsidRPr="0082379C">
        <w:rPr>
          <w:rFonts w:cstheme="majorBidi"/>
        </w:rPr>
        <w:t xml:space="preserve">The effect of topography on soil erosion is greater where soil is more susceptible to erosion by runoff than by raindrop impact, for example, at tree-canopied areas </w:t>
      </w:r>
      <w:r w:rsidR="00F41E6A" w:rsidRPr="0082379C">
        <w:rPr>
          <w:rFonts w:cstheme="majorBidi"/>
        </w:rPr>
        <w:fldChar w:fldCharType="begin"/>
      </w:r>
      <w:r w:rsidRPr="0082379C">
        <w:rPr>
          <w:rFonts w:cstheme="majorBidi"/>
        </w:rPr>
        <w:instrText xml:space="preserve"> ADDIN ZOTERO_ITEM CSL_CITATION {"citationID":"6mtlCokD","properties":{"formattedCitation":"(Mannering and Meyer 1963)","plainCitation":"(Mannering and Meyer 1963)"},"citationItems":[{"id":370,"uris":["http://zotero.org/users/1706519/items/8RGP5HWP"],"uri":["http://zotero.org/users/1706519/items/8RGP5HWP"],"itemData":{"id":370,"type":"article-journal","title":"The Effects of Various Rates of Surface Mulch on Infiltration and Erosion1","container-title":"Soil Science Society of America Journal","page":"84","volume":"27","issue":"1","source":"CrossRef","DOI":"10.2136/sssaj1963.03615995002700010029x","ISSN":"0361-5995","author":[{"family":"Mannering","given":"J. V."},{"family":"Meyer","given":"L. D."}],"issued":{"date-parts":[["1963"]]},"accessed":{"date-parts":[["2014",1,27]],"season":"17:58:21"}}}],"schema":"https://github.com/citation-style-language/schema/raw/master/csl-citation.json"} </w:instrText>
      </w:r>
      <w:r w:rsidR="00F41E6A" w:rsidRPr="0082379C">
        <w:rPr>
          <w:rFonts w:cstheme="majorBidi"/>
        </w:rPr>
        <w:fldChar w:fldCharType="separate"/>
      </w:r>
      <w:r w:rsidRPr="0082379C">
        <w:rPr>
          <w:rFonts w:cstheme="majorBidi"/>
        </w:rPr>
        <w:t>(Mannering and Meyer 1963)</w:t>
      </w:r>
      <w:r w:rsidR="00F41E6A" w:rsidRPr="0082379C">
        <w:rPr>
          <w:rFonts w:cstheme="majorBidi"/>
        </w:rPr>
        <w:fldChar w:fldCharType="end"/>
      </w:r>
      <w:r w:rsidRPr="0082379C">
        <w:rPr>
          <w:rFonts w:cstheme="majorBidi"/>
        </w:rPr>
        <w:t xml:space="preserve">. In addition to the direct controls on the velocity of overland flow by the length and steepness of the slope, topography also has indirect effects on erosion through its relationship to soil moisture. Because water flows downhill, soil moisture tends to be higher at the base of a slope than at the upper hill slope </w:t>
      </w:r>
      <w:r w:rsidR="00F41E6A" w:rsidRPr="0082379C">
        <w:rPr>
          <w:rFonts w:cstheme="majorBidi"/>
        </w:rPr>
        <w:fldChar w:fldCharType="begin"/>
      </w:r>
      <w:r w:rsidRPr="0082379C">
        <w:rPr>
          <w:rFonts w:cstheme="majorBidi"/>
        </w:rPr>
        <w:instrText xml:space="preserve"> ADDIN ZOTERO_ITEM CSL_CITATION {"citationID":"8NTkXq2q","properties":{"formattedCitation":"(Weltz, Kidwell, and Fox 2006)","plainCitation":"(Weltz, Kidwell, and Fox 2006)"},"citationItems":[{"id":413,"uris":["http://zotero.org/users/1706519/items/TWEF4NQT"],"uri":["http://zotero.org/users/1706519/items/TWEF4NQT"],"itemData":{"id":413,"type":"article-journal","title":"Influence of abiotic and biotic factors in measuring and modeling soil erosion on rangelands: state of knowledge.","container-title":"Journal of Range Management Archives","page":"482-495","volume":"51","issue":"5","source":"journals.uair.arizona.edu","abstract":"Influence of abiotic and biotic factors in measuring and modeling soil erosion on rangelands: state of knowledge.","ISSN":"0022-409X","note":"The first standardized soil erosion prediction equation used on rangelands was the Universal Soil Loss Eguation (USLE). The Revised Universal Soil Loss Equation (RUSLE) was developed to address deficiencies in the USLE by accounting for temporal changes in soil erodibility and plant factors which were not originally considered. Improvements were also made to the rainfall, length, slope, and management practice factors of the original USLE model. The Water Erosion Prediction Project (WEPP) model was developed to estimate soil erosion from single events, long-term soil loss from hillslopes, and sediment yield from small watersheds. Temporal changes in biomass, soil erodibility, and land management practices, and to a limited extent, spatial distribution of soil, vegetation, and land use are addressed in the WEPP model. To apply new process-based erosion prediction technology, basic research must be conducted to better model the interactions and feedback mechanisms of plant communities and landscape ecology. Thresholds at which accelerated soil erosion results in unstable plant communities must be identified. Research is needed to determine the confidence limits for erosion predictions generated by simulation models so that the probability of meeting specified soil loss values (kg ha-1 yr-1) for given management systems can be calculated at specific significance levels. As the technology for modeling soil erosion on rangelands has improved, limitations with the techniques of parameter estimation have been encountered. Improvements in model parameterization techniques and national databases that incorporate vegetation and soil variability are required before existing erosion prediction models can be implemented.","shortTitle":"Influence of abiotic and biotic factors in measuring and modeling soil erosion on rangelands","author":[{"family":"Weltz","given":"M. A."},{"family":"Kidwell","given":"M. R."},{"family":"Fox","given":"H. D."}],"issued":{"date-parts":[["2006",6,19]]},"accessed":{"date-parts":[["2014",1,30]],"season":"17:18:44"}}}],"schema":"https://github.com/citation-style-language/schema/raw/master/csl-citation.json"} </w:instrText>
      </w:r>
      <w:r w:rsidR="00F41E6A" w:rsidRPr="0082379C">
        <w:rPr>
          <w:rFonts w:cstheme="majorBidi"/>
        </w:rPr>
        <w:fldChar w:fldCharType="separate"/>
      </w:r>
      <w:r w:rsidRPr="0082379C">
        <w:rPr>
          <w:rFonts w:cstheme="majorBidi"/>
        </w:rPr>
        <w:t>(Weltz et al. 2006)</w:t>
      </w:r>
      <w:r w:rsidR="00F41E6A" w:rsidRPr="0082379C">
        <w:rPr>
          <w:rFonts w:cstheme="majorBidi"/>
        </w:rPr>
        <w:fldChar w:fldCharType="end"/>
      </w:r>
      <w:r w:rsidRPr="0082379C">
        <w:rPr>
          <w:rFonts w:cstheme="majorBidi"/>
        </w:rPr>
        <w:t xml:space="preserve">. </w:t>
      </w:r>
      <w:r w:rsidR="0094533A">
        <w:t xml:space="preserve">Spatial differences in soil moisture and consequent differences in vegetation density contribute to the spatial variability of soil erosion rates over a landscape </w:t>
      </w:r>
      <w:r w:rsidR="00F41E6A" w:rsidRPr="0082379C">
        <w:rPr>
          <w:rFonts w:cstheme="majorBidi"/>
        </w:rPr>
        <w:fldChar w:fldCharType="begin"/>
      </w:r>
      <w:r w:rsidRPr="0082379C">
        <w:rPr>
          <w:rFonts w:cstheme="majorBidi"/>
        </w:rPr>
        <w:instrText xml:space="preserve"> ADDIN ZOTERO_ITEM CSL_CITATION {"citationID":"YhH386A3","properties":{"formattedCitation":"(G. R. Foster, F. Lombardi, and W. C. Moldenhauer 1982)","plainCitation":"(G. R. Foster, F. Lombardi, and W. C. Moldenhauer 1982)","dontUpdate":true},"citationItems":[{"id":144,"uris":["http://zotero.org/users/1706519/items/XCZQ3NSE"],"uri":["http://zotero.org/users/1706519/items/XCZQ3NSE"],"itemData":{"id":144,"type":"article-journal","title":"Evaluation of Rainfall-Runoff Erosivity Factors for Individual Storms","container-title":"Transactions of the ASAE","page":"0124-0129","volume":"25","issue":"1","source":"CrossRef","DOI":"10.13031/2013.33490","ISSN":"2151-0059","author":[{"family":"Foster","given":""},{"family":"F. Lombardi","given":""},{"family":"W. C. Moldenhauer","given":""}],"issued":{"date-parts":[["1982"]]},"accessed":{"date-parts":[["2014",1,12]],"season":"15:31:55"}}}],"schema":"https://github.com/citation-style-language/schema/raw/master/csl-citation.json"} </w:instrText>
      </w:r>
      <w:r w:rsidR="00F41E6A" w:rsidRPr="0082379C">
        <w:rPr>
          <w:rFonts w:cstheme="majorBidi"/>
        </w:rPr>
        <w:fldChar w:fldCharType="separate"/>
      </w:r>
      <w:r w:rsidRPr="0082379C">
        <w:rPr>
          <w:rFonts w:cstheme="majorBidi"/>
        </w:rPr>
        <w:t>(Foster et al. 1982)</w:t>
      </w:r>
      <w:r w:rsidR="00F41E6A" w:rsidRPr="0082379C">
        <w:rPr>
          <w:rFonts w:cstheme="majorBidi"/>
        </w:rPr>
        <w:fldChar w:fldCharType="end"/>
      </w:r>
      <w:r w:rsidRPr="0082379C">
        <w:rPr>
          <w:rFonts w:cstheme="majorBidi"/>
        </w:rPr>
        <w:t>.</w:t>
      </w:r>
    </w:p>
    <w:p w:rsidR="00A84D7A" w:rsidRPr="00854E06" w:rsidRDefault="00A84D7A" w:rsidP="004E042D">
      <w:pPr>
        <w:pStyle w:val="Heading4"/>
        <w:numPr>
          <w:ilvl w:val="2"/>
          <w:numId w:val="19"/>
        </w:numPr>
        <w:ind w:left="720"/>
      </w:pPr>
      <w:bookmarkStart w:id="12" w:name="_Toc394525545"/>
      <w:r w:rsidRPr="00854E06">
        <w:t>Land use/ Land cover</w:t>
      </w:r>
      <w:bookmarkEnd w:id="12"/>
    </w:p>
    <w:p w:rsidR="0082379C" w:rsidRPr="0082379C" w:rsidRDefault="0082379C" w:rsidP="0082379C">
      <w:pPr>
        <w:spacing w:line="480" w:lineRule="auto"/>
        <w:ind w:firstLine="720"/>
        <w:jc w:val="both"/>
        <w:rPr>
          <w:rFonts w:cstheme="majorBidi"/>
        </w:rPr>
      </w:pPr>
      <w:r w:rsidRPr="0082379C">
        <w:rPr>
          <w:rFonts w:cstheme="majorBidi"/>
        </w:rPr>
        <w:t>Land use, which affects patterns of vegetative cover and the infiltration characteristics of the land surface, has an important effect on soil erosion. Land use and land management can enhance or decrease erosion rates. Land use is generally categorized as urban land, agricultural land, forest</w:t>
      </w:r>
      <w:r w:rsidR="00C41A41">
        <w:rPr>
          <w:rFonts w:cstheme="majorBidi"/>
        </w:rPr>
        <w:t xml:space="preserve"> </w:t>
      </w:r>
      <w:r w:rsidRPr="0082379C">
        <w:rPr>
          <w:rFonts w:cstheme="majorBidi"/>
        </w:rPr>
        <w:t xml:space="preserve">land, or wetland </w:t>
      </w:r>
      <w:r w:rsidR="00F41E6A" w:rsidRPr="0082379C">
        <w:rPr>
          <w:rFonts w:cstheme="majorBidi"/>
        </w:rPr>
        <w:fldChar w:fldCharType="begin"/>
      </w:r>
      <w:r w:rsidRPr="0082379C">
        <w:rPr>
          <w:rFonts w:cstheme="majorBidi"/>
        </w:rPr>
        <w:instrText xml:space="preserve"> ADDIN ZOTERO_ITEM CSL_CITATION {"citationID":"gXCD3WPv","properties":{"formattedCitation":"(Fry et al. 2011)","plainCitation":"(Fry et al. 2011)"},"citationItems":[{"id":123,"uris":["http://zotero.org/users/1706519/items/TTRC7E4D"],"uri":["http://zotero.org/users/1706519/items/TTRC7E4D"],"itemData":{"id":123,"type":"article-journal","title":"Completion of the 2006 National Land Cover Database for the Conterminous United States","container-title":"PE&amp;RS","page":"858-864","volume":"77","issue":"9","author":[{"family":"Fry","given":"J."},{"family":"Xian","given":"G."},{"family":"Jin","given":"S."},{"family":"Dewitz","given":"J."},{"family":"Homer","given":"C."},{"family":"Yang","given":"L."},{"family":"Barnes","given":"C."},{"family":"Herold","given":"N."},{"family":"Wickham","given":"J."}],"issued":{"date-parts":[["2011"]]},"accessed":{"date-parts":[["2014",1,6]],"season":"01:42:08"}}}],"schema":"https://github.com/citation-style-language/schema/raw/master/csl-citation.json"} </w:instrText>
      </w:r>
      <w:r w:rsidR="00F41E6A" w:rsidRPr="0082379C">
        <w:rPr>
          <w:rFonts w:cstheme="majorBidi"/>
        </w:rPr>
        <w:fldChar w:fldCharType="separate"/>
      </w:r>
      <w:r w:rsidRPr="0082379C">
        <w:rPr>
          <w:rFonts w:cstheme="majorBidi"/>
        </w:rPr>
        <w:t>(Fry et al. 2011)</w:t>
      </w:r>
      <w:r w:rsidR="00F41E6A" w:rsidRPr="0082379C">
        <w:rPr>
          <w:rFonts w:cstheme="majorBidi"/>
        </w:rPr>
        <w:fldChar w:fldCharType="end"/>
      </w:r>
      <w:r w:rsidRPr="0082379C">
        <w:rPr>
          <w:rFonts w:cstheme="majorBidi"/>
        </w:rPr>
        <w:t xml:space="preserve">. The presence of vegetation is one of the main factors affecting the impact of land use on soil erosion. Vegetation provides canopy, which intercepts the energy from raindrops before they hit the surface, and organic matter, which increases the water-holding capacity of soil and decreases soil </w:t>
      </w:r>
      <w:proofErr w:type="spellStart"/>
      <w:r w:rsidRPr="0082379C">
        <w:rPr>
          <w:rFonts w:cstheme="majorBidi"/>
        </w:rPr>
        <w:t>erodibility</w:t>
      </w:r>
      <w:proofErr w:type="spellEnd"/>
      <w:r w:rsidRPr="0082379C">
        <w:rPr>
          <w:rFonts w:cstheme="majorBidi"/>
        </w:rPr>
        <w:t xml:space="preserve">. At areas not covered </w:t>
      </w:r>
      <w:r w:rsidRPr="0082379C">
        <w:rPr>
          <w:rFonts w:cstheme="majorBidi"/>
        </w:rPr>
        <w:lastRenderedPageBreak/>
        <w:t>by plants, bare soil is vulnerable to erosion.</w:t>
      </w:r>
      <w:r w:rsidRPr="0082379C" w:rsidDel="00FC09B6">
        <w:rPr>
          <w:rFonts w:cstheme="majorBidi"/>
        </w:rPr>
        <w:t xml:space="preserve"> </w:t>
      </w:r>
      <w:r w:rsidR="00F41E6A" w:rsidRPr="0082379C">
        <w:rPr>
          <w:rFonts w:cstheme="majorBidi"/>
        </w:rPr>
        <w:fldChar w:fldCharType="begin"/>
      </w:r>
      <w:r w:rsidRPr="0082379C">
        <w:rPr>
          <w:rFonts w:cstheme="majorBidi"/>
        </w:rPr>
        <w:instrText xml:space="preserve"> ADDIN ZOTERO_ITEM CSL_CITATION {"citationID":"EjVNf0qM","properties":{"formattedCitation":"(Lopes, Ffolliott, and Baker Jr. 2001)","plainCitation":"(Lopes, Ffolliott, and Baker Jr. 2001)"},"citationItems":[{"id":550,"uris":["http://zotero.org/users/1706519/items/KFD776GA"],"uri":["http://zotero.org/users/1706519/items/KFD776GA"],"itemData":{"id":550,"type":"article-journal","title":"Impacts of Vegetative Practices on Suspended Sediment from Watersheds of Arizona","container-title":"Journal of Water Resources Planning and Management","page":"41-47","volume":"127","issue":"1","source":"ASCE","abstract":"Effects of vegetative practices on suspended sediment discharge from ponderosa pine forests and -juniper woodlands in north-central Arizona are examined. Sediment-rating curves were developed to analyze the impacts. Disturbance from vegetative practices generally increased suspended sediment transport above those of control (reference) watersheds. Completely cleared and strip-cut ponderosa pine watersheds produced higher sediment concentrations than did a control watershed. Likewise, cabled and herbicide-treated -juniper watersheds yielded higher sediment-laden streamflows than did a control. Sediment transport regimes are also related to streamflow-generation mechanisms and hydrograph stages. Although about 85% of the data analyzed represented snowmelt-runoff events in both vegetative types, derivation of sediment-rating curves based on streamflow-generation mechanisms improved the sensitivity of the analysis. Sediment data collected during rising and falling hydrograph stages varied between the two vegetative types. Sediment concentrations were generally higher in the rising stage than in the falling stage for ponderosa pine watersheds. There was no clear evidence of higher sediment concentrations in the rising stage of the hydrograph as compared to the falling stage in the -juniper watersheds.","DOI":"10.1061/(ASCE)0733-9496(2001)127:1(41)","ISSN":"0733-9496","author":[{"family":"Lopes","given":"V."},{"family":"Ffolliott","given":"P."},{"family":"Baker Jr.","given":"M."}],"issued":{"date-parts":[["2001"]]},"accessed":{"date-parts":[["2014",5,2]]}}}],"schema":"https://github.com/citation-style-language/schema/raw/master/csl-citation.json"} </w:instrText>
      </w:r>
      <w:r w:rsidR="00F41E6A" w:rsidRPr="0082379C">
        <w:rPr>
          <w:rFonts w:cstheme="majorBidi"/>
        </w:rPr>
        <w:fldChar w:fldCharType="separate"/>
      </w:r>
      <w:r w:rsidRPr="0082379C">
        <w:rPr>
          <w:rFonts w:ascii="Times New Roman" w:hAnsi="Times New Roman" w:cs="Times New Roman"/>
        </w:rPr>
        <w:t>Lopes et al. (2001)</w:t>
      </w:r>
      <w:r w:rsidR="00F41E6A" w:rsidRPr="0082379C">
        <w:rPr>
          <w:rFonts w:cstheme="majorBidi"/>
        </w:rPr>
        <w:fldChar w:fldCharType="end"/>
      </w:r>
      <w:r w:rsidRPr="0082379C">
        <w:rPr>
          <w:rFonts w:cstheme="majorBidi"/>
        </w:rPr>
        <w:t xml:space="preserve"> studied the effect of vegetati</w:t>
      </w:r>
      <w:r w:rsidR="0094533A">
        <w:rPr>
          <w:rFonts w:cstheme="majorBidi"/>
        </w:rPr>
        <w:t>on management</w:t>
      </w:r>
      <w:r w:rsidRPr="0082379C">
        <w:rPr>
          <w:rFonts w:cstheme="majorBidi"/>
        </w:rPr>
        <w:t xml:space="preserve"> practices on the suspended sediment concentrations of three forested watersheds in Arizona. Their study area included a cleared watershed, a strip-cut watershed, and an undisturbed, control watershed. They found that the suspended sediment concentration in the stream draining from the cleared watershed was the highest, while the strip-cut watershed yielded more suspended sediment to the river than the control watershed. </w:t>
      </w:r>
    </w:p>
    <w:p w:rsidR="00AC100E" w:rsidRPr="0082379C" w:rsidRDefault="0082379C" w:rsidP="0082379C">
      <w:pPr>
        <w:spacing w:line="480" w:lineRule="auto"/>
        <w:ind w:firstLine="720"/>
        <w:jc w:val="both"/>
        <w:rPr>
          <w:rFonts w:cstheme="majorBidi"/>
        </w:rPr>
      </w:pPr>
      <w:r w:rsidRPr="0082379C">
        <w:rPr>
          <w:rFonts w:cstheme="majorBidi"/>
        </w:rPr>
        <w:t xml:space="preserve">Human activities involving agriculture and construction also affect the amount of suspended sediment transported to the streams. Agricultural landscapes are sensitive to soil erosion because tillage and grazing activities reduce water infiltration, hence increase rates of surface runoff </w:t>
      </w:r>
      <w:r w:rsidR="00F41E6A" w:rsidRPr="0082379C">
        <w:rPr>
          <w:rFonts w:cstheme="majorBidi"/>
        </w:rPr>
        <w:fldChar w:fldCharType="begin"/>
      </w:r>
      <w:r w:rsidRPr="0082379C">
        <w:rPr>
          <w:rFonts w:cstheme="majorBidi"/>
        </w:rPr>
        <w:instrText xml:space="preserve"> ADDIN ZOTERO_ITEM CSL_CITATION {"citationID":"hBNKASGz","properties":{"formattedCitation":"(Julien and Vensel 2005)","plainCitation":"(Julien and Vensel 2005)"},"citationItems":[{"id":47,"uris":["http://zotero.org/users/1706519/items/AWEMXXW7"],"uri":["http://zotero.org/users/1706519/items/AWEMXXW7"],"itemData":{"id":47,"type":"report","title":"Review of Sedimentation Issues on the Mississippi River","publisher":"Dept. of Civil and Environmental Engineering","genre":"Report Presented to the UNESCO: ISI","author":[{"family":"Julien","given":"Pierre Y."},{"family":"Vensel","given":"Chad W."}],"issued":{"date-parts":[["2005",11]]}}}],"schema":"https://github.com/citation-style-language/schema/raw/master/csl-citation.json"} </w:instrText>
      </w:r>
      <w:r w:rsidR="00F41E6A" w:rsidRPr="0082379C">
        <w:rPr>
          <w:rFonts w:cstheme="majorBidi"/>
        </w:rPr>
        <w:fldChar w:fldCharType="separate"/>
      </w:r>
      <w:r w:rsidRPr="0082379C">
        <w:rPr>
          <w:rFonts w:cstheme="majorBidi"/>
        </w:rPr>
        <w:t>(Julien and Vensel 2005)</w:t>
      </w:r>
      <w:r w:rsidR="00F41E6A" w:rsidRPr="0082379C">
        <w:rPr>
          <w:rFonts w:cstheme="majorBidi"/>
        </w:rPr>
        <w:fldChar w:fldCharType="end"/>
      </w:r>
      <w:r w:rsidRPr="0082379C">
        <w:rPr>
          <w:rFonts w:cstheme="majorBidi"/>
        </w:rPr>
        <w:t xml:space="preserve">. Furthermore, agricultural activities create large patches of bare soil which are vulnerable to erosion </w:t>
      </w:r>
      <w:r w:rsidR="00F41E6A" w:rsidRPr="0082379C">
        <w:rPr>
          <w:rFonts w:cstheme="majorBidi"/>
        </w:rPr>
        <w:fldChar w:fldCharType="begin"/>
      </w:r>
      <w:r w:rsidRPr="0082379C">
        <w:rPr>
          <w:rFonts w:cstheme="majorBidi"/>
        </w:rPr>
        <w:instrText xml:space="preserve"> ADDIN ZOTERO_ITEM CSL_CITATION {"citationID":"9f64k14k","properties":{"formattedCitation":"(Toy, Foster, and Renard 2001)","plainCitation":"(Toy, Foster, and Renard 2001)"},"citationItems":[{"id":106,"uris":["http://zotero.org/users/1706519/items/PBS484D2"],"uri":["http://zotero.org/users/1706519/items/PBS484D2"],"itemData":{"id":106,"type":"book","title":"Soil Erosion Processes, prediction, measurement, and control","publisher":"John Wiley &amp; Sons","ISBN":"0-471-38369-4","language":"English","author":[{"family":"Toy","given":"Terrence J."},{"family":"Foster","given":"George R."},{"family":"Renard","given":"Kenneth G."}],"issued":{"date-parts":[["2001"]]}}}],"schema":"https://github.com/citation-style-language/schema/raw/master/csl-citation.json"} </w:instrText>
      </w:r>
      <w:r w:rsidR="00F41E6A" w:rsidRPr="0082379C">
        <w:rPr>
          <w:rFonts w:cstheme="majorBidi"/>
        </w:rPr>
        <w:fldChar w:fldCharType="separate"/>
      </w:r>
      <w:r w:rsidRPr="0082379C">
        <w:rPr>
          <w:rFonts w:ascii="Times New Roman" w:hAnsi="Times New Roman" w:cs="Times New Roman"/>
        </w:rPr>
        <w:t>(Toy et al. 2001)</w:t>
      </w:r>
      <w:r w:rsidR="00F41E6A" w:rsidRPr="0082379C">
        <w:rPr>
          <w:rFonts w:cstheme="majorBidi"/>
        </w:rPr>
        <w:fldChar w:fldCharType="end"/>
      </w:r>
      <w:r w:rsidRPr="0082379C">
        <w:rPr>
          <w:rFonts w:cstheme="majorBidi"/>
        </w:rPr>
        <w:t xml:space="preserve">. Soil erosion from farms has been considered the greatest upland source of sediment in the UMRB, </w:t>
      </w:r>
      <w:r w:rsidR="00C41A41">
        <w:rPr>
          <w:rFonts w:cstheme="majorBidi"/>
        </w:rPr>
        <w:t>one</w:t>
      </w:r>
      <w:r w:rsidRPr="0082379C">
        <w:rPr>
          <w:rFonts w:cstheme="majorBidi"/>
        </w:rPr>
        <w:t xml:space="preserve"> of the most agriculturally active areas in the world </w:t>
      </w:r>
      <w:r w:rsidR="00F41E6A" w:rsidRPr="0082379C">
        <w:rPr>
          <w:rFonts w:cstheme="majorBidi"/>
        </w:rPr>
        <w:fldChar w:fldCharType="begin"/>
      </w:r>
      <w:r w:rsidRPr="0082379C">
        <w:rPr>
          <w:rFonts w:cstheme="majorBidi"/>
        </w:rPr>
        <w:instrText xml:space="preserve"> ADDIN ZOTERO_ITEM CSL_CITATION {"citationID":"g4QtjnNW","properties":{"formattedCitation":"(UMRBA 1993)","plainCitation":"(UMRBA 1993)"},"citationItems":[{"id":11,"uris":["http://zotero.org/users/1706519/items/3ZW9ENZT"],"uri":["http://zotero.org/users/1706519/items/3ZW9ENZT"],"itemData":{"id":11,"type":"report","title":"Upper Mississippi River Water Quality Initiative: Report of the Sedimentation Workshop","publisher":"Upper Mississippi River Basin Association","publisher-place":"St. Paul, MN","event-place":"St. Paul, MN","author":[{"family":"UMRBA","given":""}],"issued":{"date-parts":[["1993"]]}}}],"schema":"https://github.com/citation-style-language/schema/raw/master/csl-citation.json"} </w:instrText>
      </w:r>
      <w:r w:rsidR="00F41E6A" w:rsidRPr="0082379C">
        <w:rPr>
          <w:rFonts w:cstheme="majorBidi"/>
        </w:rPr>
        <w:fldChar w:fldCharType="separate"/>
      </w:r>
      <w:r w:rsidRPr="0082379C">
        <w:rPr>
          <w:rFonts w:cstheme="majorBidi"/>
        </w:rPr>
        <w:t>(UMRBA 1993)</w:t>
      </w:r>
      <w:r w:rsidR="00F41E6A" w:rsidRPr="0082379C">
        <w:rPr>
          <w:rFonts w:cstheme="majorBidi"/>
        </w:rPr>
        <w:fldChar w:fldCharType="end"/>
      </w:r>
      <w:r w:rsidRPr="0082379C">
        <w:rPr>
          <w:rFonts w:cstheme="majorBidi"/>
        </w:rPr>
        <w:t xml:space="preserve">.  </w:t>
      </w:r>
    </w:p>
    <w:p w:rsidR="00A84D7A" w:rsidRPr="00854E06" w:rsidRDefault="000C5821" w:rsidP="00523FFD">
      <w:pPr>
        <w:pStyle w:val="Heading3"/>
        <w:numPr>
          <w:ilvl w:val="1"/>
          <w:numId w:val="19"/>
        </w:numPr>
        <w:ind w:left="540" w:hanging="540"/>
        <w:rPr>
          <w:rFonts w:cstheme="majorBidi"/>
          <w:szCs w:val="24"/>
        </w:rPr>
      </w:pPr>
      <w:r w:rsidRPr="00854E06">
        <w:rPr>
          <w:rFonts w:cstheme="majorBidi"/>
          <w:szCs w:val="24"/>
        </w:rPr>
        <w:t xml:space="preserve"> </w:t>
      </w:r>
      <w:bookmarkStart w:id="13" w:name="_Toc394525546"/>
      <w:r w:rsidRPr="00854E06">
        <w:rPr>
          <w:rFonts w:cstheme="majorBidi"/>
          <w:szCs w:val="24"/>
        </w:rPr>
        <w:t>Stream</w:t>
      </w:r>
      <w:r w:rsidR="00E64A97" w:rsidRPr="00854E06">
        <w:rPr>
          <w:rFonts w:cstheme="majorBidi"/>
          <w:szCs w:val="24"/>
        </w:rPr>
        <w:t>-</w:t>
      </w:r>
      <w:r w:rsidRPr="00854E06">
        <w:rPr>
          <w:rFonts w:cstheme="majorBidi"/>
          <w:szCs w:val="24"/>
        </w:rPr>
        <w:t>b</w:t>
      </w:r>
      <w:r w:rsidR="00A84D7A" w:rsidRPr="00854E06">
        <w:rPr>
          <w:rFonts w:cstheme="majorBidi"/>
          <w:szCs w:val="24"/>
        </w:rPr>
        <w:t>ank erosion</w:t>
      </w:r>
      <w:bookmarkEnd w:id="13"/>
    </w:p>
    <w:p w:rsidR="0082379C" w:rsidRPr="0082379C" w:rsidRDefault="0082379C" w:rsidP="0082379C">
      <w:pPr>
        <w:spacing w:line="480" w:lineRule="auto"/>
        <w:ind w:firstLine="720"/>
        <w:jc w:val="both"/>
        <w:rPr>
          <w:rFonts w:cstheme="majorBidi"/>
        </w:rPr>
      </w:pPr>
      <w:r w:rsidRPr="0082379C">
        <w:rPr>
          <w:rFonts w:cstheme="majorBidi"/>
        </w:rPr>
        <w:t>Stream-bank erosion is one of the major contributors of sediment (</w:t>
      </w:r>
      <w:r w:rsidR="00F41E6A" w:rsidRPr="0082379C">
        <w:rPr>
          <w:rFonts w:cstheme="majorBidi"/>
        </w:rPr>
        <w:fldChar w:fldCharType="begin"/>
      </w:r>
      <w:r w:rsidRPr="0082379C">
        <w:rPr>
          <w:rFonts w:cstheme="majorBidi"/>
        </w:rPr>
        <w:instrText xml:space="preserve"> ADDIN ZOTERO_ITEM CSL_CITATION {"citationID":"xElwjf99","properties":{"formattedCitation":"(UMRBA and FTN Associates 2007)","plainCitation":"(UMRBA and FTN Associates 2007)"},"citationItems":[{"id":26,"uris":["http://zotero.org/users/1706519/items/7729W5ID"],"uri":["http://zotero.org/users/1706519/items/7729W5ID"],"itemData":{"id":26,"type":"report","title":"Sediment-Related Water Quality Criteria for the Upper Mississippi River","page":"98","author":[{"family":"UMRBA","given":""},{"family":"FTN Associates","given":""}],"issued":{"date-parts":[["2007",2]]}}}],"schema":"https://github.com/citation-style-language/schema/raw/master/csl-citation.json"} </w:instrText>
      </w:r>
      <w:r w:rsidR="00F41E6A" w:rsidRPr="0082379C">
        <w:rPr>
          <w:rFonts w:cstheme="majorBidi"/>
        </w:rPr>
        <w:fldChar w:fldCharType="separate"/>
      </w:r>
      <w:r w:rsidRPr="0082379C">
        <w:rPr>
          <w:rFonts w:cstheme="majorBidi"/>
        </w:rPr>
        <w:t>UMRBA and FTN Associates 2007)</w:t>
      </w:r>
      <w:r w:rsidR="00F41E6A" w:rsidRPr="0082379C">
        <w:rPr>
          <w:rFonts w:cstheme="majorBidi"/>
        </w:rPr>
        <w:fldChar w:fldCharType="end"/>
      </w:r>
      <w:r w:rsidRPr="0082379C">
        <w:rPr>
          <w:rFonts w:cstheme="majorBidi"/>
        </w:rPr>
        <w:t xml:space="preserve">. The mechanism and causes of </w:t>
      </w:r>
      <w:r w:rsidR="0094533A">
        <w:rPr>
          <w:rFonts w:cstheme="majorBidi"/>
        </w:rPr>
        <w:t>stream-</w:t>
      </w:r>
      <w:r w:rsidRPr="0082379C">
        <w:rPr>
          <w:rFonts w:cstheme="majorBidi"/>
        </w:rPr>
        <w:t>bank erosion have been the</w:t>
      </w:r>
      <w:r w:rsidR="00E74205">
        <w:rPr>
          <w:rFonts w:cstheme="majorBidi"/>
        </w:rPr>
        <w:t xml:space="preserve"> subjects of numerous studies. </w:t>
      </w:r>
      <w:r w:rsidRPr="0082379C">
        <w:rPr>
          <w:rFonts w:cstheme="majorBidi"/>
        </w:rPr>
        <w:t xml:space="preserve">Bank erosion consists of the processes of internal failure, soil particle displacement, and transport of displaced and failed soil from the channel banks </w:t>
      </w:r>
      <w:r w:rsidR="00F41E6A" w:rsidRPr="0082379C">
        <w:rPr>
          <w:rFonts w:cstheme="majorBidi"/>
          <w:b/>
          <w:bCs/>
          <w:i/>
          <w:iCs/>
        </w:rPr>
        <w:fldChar w:fldCharType="begin"/>
      </w:r>
      <w:r w:rsidRPr="0082379C">
        <w:rPr>
          <w:rFonts w:cstheme="majorBidi"/>
          <w:b/>
          <w:bCs/>
          <w:i/>
          <w:iCs/>
        </w:rPr>
        <w:instrText xml:space="preserve"> ADDIN ZOTERO_ITEM CSL_CITATION {"citationID":"0ZDqP1oR","properties":{"formattedCitation":"(USACE 1981)","plainCitation":"(USACE 1981)"},"citationItems":[{"id":374,"uris":["http://zotero.org/users/1706519/items/QEA6S8D4"],"uri":["http://zotero.org/users/1706519/items/QEA6S8D4"],"itemData":{"id":374,"type":"book","title":"Final report to Congress, The Streambank Erosion Control Evaluation and Demonstration Act of 1974, Section 32, Public Law 93-251: Main report, supplemented by appendices A-H in separate volumes","publisher":"The Corps","number-of-pages":"1408","source":"Google Books","shortTitle":"Final report to Congress, The Streambank Erosion Control Evaluation and Demonstration Act of 1974, Section 32, Public Law 93-251","language":"en","author":[{"family":"USACE","given":""}],"issued":{"date-parts":[["1981"]]}}}],"schema":"https://github.com/citation-style-language/schema/raw/master/csl-citation.json"} </w:instrText>
      </w:r>
      <w:r w:rsidR="00F41E6A" w:rsidRPr="0082379C">
        <w:rPr>
          <w:rFonts w:cstheme="majorBidi"/>
          <w:b/>
          <w:bCs/>
          <w:i/>
          <w:iCs/>
        </w:rPr>
        <w:fldChar w:fldCharType="separate"/>
      </w:r>
      <w:r w:rsidRPr="0082379C">
        <w:rPr>
          <w:rFonts w:cstheme="majorBidi"/>
        </w:rPr>
        <w:t>(USACE 1981)</w:t>
      </w:r>
      <w:r w:rsidR="00F41E6A" w:rsidRPr="0082379C">
        <w:rPr>
          <w:rFonts w:cstheme="majorBidi"/>
          <w:b/>
          <w:bCs/>
          <w:i/>
          <w:iCs/>
        </w:rPr>
        <w:fldChar w:fldCharType="end"/>
      </w:r>
      <w:r w:rsidRPr="0082379C">
        <w:rPr>
          <w:rFonts w:cstheme="majorBidi"/>
        </w:rPr>
        <w:t xml:space="preserve">. The internal failure process occurs due to wet/dry or freeze/thaw condition cycling, or seepage and piping underneath the surface soil. These phenomena weaken the bank soil and make it more vulnerable to displacement </w:t>
      </w:r>
      <w:r w:rsidR="00F41E6A" w:rsidRPr="0082379C">
        <w:rPr>
          <w:rFonts w:cstheme="majorBidi"/>
        </w:rPr>
        <w:fldChar w:fldCharType="begin"/>
      </w:r>
      <w:r w:rsidRPr="0082379C">
        <w:rPr>
          <w:rFonts w:cstheme="majorBidi"/>
        </w:rPr>
        <w:instrText xml:space="preserve"> ADDIN ZOTERO_ITEM CSL_CITATION {"citationID":"7FsmmoRB","properties":{"formattedCitation":"(Thorne and Tovey 1981)","plainCitation":"(Thorne and Tovey 1981)"},"citationItems":[{"id":77,"uris":["http://zotero.org/users/1706519/items/I6V57AVK"],"uri":["http://zotero.org/users/1706519/items/I6V57AVK"],"itemData":{"id":77,"type":"article-journal","title":"Stability of composite river banks","container-title":"Earth Surface Processes and Landforms","page":"469–484","volume":"6","issue":"5","source":"Wiley Online Library","abstract":"The stability of a river bank depends on the balance of forces, motive and resistive, associated with the most critical mechanism of failure. Many mechanisms are possible and the likelihood of failure occurring by any particular one depends on the size, geometry and structure of the bank, the engineering properties of the bank material, the hydraulics of flow in the adjacent channel and climatic conditions.Rivers flowing through alluvial deposits often have a composite structure of cohesionless sand and gravel overlain by cohesive silt/clay. Bank erosion occurs by fluvial entrainment of material from the lower, cohesionless bank at a much higher rate than material from the upper, cohesive bank. This leads to undermining that produces cantilevers of cohesive material. Upper bank retreat takes place predominantly by the failure of these cantilevers. Three mechanisms of failure have been identified: shear, beam and tensile failure.The stability of a cantilever may be analysed using static equilibrium and beam theory, and dimensionless charts for cantilever stability constructed. Application of the charts requires only a few simple measurements of cantilever geometry and soil properties. In this analysis the effects of cracks and fissures in the soil must be taken into account. These cracks seriously weaken the soil and can invalidate a stability analysis by affecting the shape of the failure surface.Following mechanical failure, blocks of soil must be removed from the basal area by fluvial entrainment if rapid undermining and cantilever generation are to continue. Hence, the rate of bank retreat is fluvially controlled, even though the mechanism of failure of the upper bank is not directly fluvial in nature.This cycle of bank erosion: undermining, cantilever failure and fluvial scour of the toe, operates over several flood events and has important implications for river engineering, channel changes, and the movement of sediment through fluvial systems.","DOI":"10.1002/esp.3290060507","ISSN":"1096-9837","language":"en","author":[{"family":"Thorne","given":"Colin R."},{"family":"Tovey","given":"N. Keith"}],"issued":{"date-parts":[["1981"]]},"accessed":{"date-parts":[["2014",1,14]],"season":"02:49:16"}}}],"schema":"https://github.com/citation-style-language/schema/raw/master/csl-citation.json"} </w:instrText>
      </w:r>
      <w:r w:rsidR="00F41E6A" w:rsidRPr="0082379C">
        <w:rPr>
          <w:rFonts w:cstheme="majorBidi"/>
        </w:rPr>
        <w:fldChar w:fldCharType="separate"/>
      </w:r>
      <w:r w:rsidRPr="0082379C">
        <w:rPr>
          <w:rFonts w:cstheme="majorBidi"/>
        </w:rPr>
        <w:t>(Thorne and Tovey 1981)</w:t>
      </w:r>
      <w:r w:rsidR="00F41E6A" w:rsidRPr="0082379C">
        <w:rPr>
          <w:rFonts w:cstheme="majorBidi"/>
        </w:rPr>
        <w:fldChar w:fldCharType="end"/>
      </w:r>
      <w:r w:rsidRPr="0082379C">
        <w:rPr>
          <w:rFonts w:cstheme="majorBidi"/>
        </w:rPr>
        <w:t xml:space="preserve">. On the Illinois River, piping was found to be the primary cause of bank erosion </w:t>
      </w:r>
      <w:r w:rsidR="00F41E6A" w:rsidRPr="0082379C">
        <w:rPr>
          <w:rFonts w:cstheme="majorBidi"/>
        </w:rPr>
        <w:fldChar w:fldCharType="begin"/>
      </w:r>
      <w:r w:rsidRPr="0082379C">
        <w:rPr>
          <w:rFonts w:cstheme="majorBidi"/>
        </w:rPr>
        <w:instrText xml:space="preserve"> ADDIN ZOTERO_ITEM CSL_CITATION {"citationID":"NZMyRZqY","properties":{"formattedCitation":"(D. J. Hagerty and Spoor 1989)","plainCitation":"(D. J. Hagerty and Spoor 1989)"},"citationItems":[{"id":345,"uris":["http://zotero.org/users/1706519/items/XDSWFQEA"],"uri":["http://zotero.org/users/1706519/items/XDSWFQEA"],"itemData":{"id":345,"type":"paper-conference","title":"Alluvial stream bank erosion-a ten year study","publisher":"American Society of Civil Engineers","publisher-place":"New Orleans","page":"594-599","event":"Proceedings of the international symposium, sediment transport modeling","event-place":"New Orleans","author":[{"family":"Hagerty","given":"D. J."},{"family":"Spoor","given":"M.F."}],"issued":{"date-parts":[["1989",8,14]]}}}],"schema":"https://github.com/citation-style-language/schema/raw/master/csl-citation.json"} </w:instrText>
      </w:r>
      <w:r w:rsidR="00F41E6A" w:rsidRPr="0082379C">
        <w:rPr>
          <w:rFonts w:cstheme="majorBidi"/>
        </w:rPr>
        <w:fldChar w:fldCharType="separate"/>
      </w:r>
      <w:r w:rsidRPr="0082379C">
        <w:rPr>
          <w:rFonts w:cstheme="majorBidi"/>
        </w:rPr>
        <w:t>(Hagerty and Spoor 1989)</w:t>
      </w:r>
      <w:r w:rsidR="00F41E6A" w:rsidRPr="0082379C">
        <w:rPr>
          <w:rFonts w:cstheme="majorBidi"/>
        </w:rPr>
        <w:fldChar w:fldCharType="end"/>
      </w:r>
      <w:r w:rsidRPr="0082379C">
        <w:rPr>
          <w:rFonts w:cstheme="majorBidi"/>
        </w:rPr>
        <w:t xml:space="preserve">. </w:t>
      </w:r>
      <w:r w:rsidR="002323F6" w:rsidRPr="0082379C">
        <w:rPr>
          <w:rFonts w:cstheme="majorBidi"/>
        </w:rPr>
        <w:t>Displace</w:t>
      </w:r>
      <w:r w:rsidR="002323F6">
        <w:rPr>
          <w:rFonts w:cstheme="majorBidi"/>
        </w:rPr>
        <w:t>ment of</w:t>
      </w:r>
      <w:r w:rsidR="002323F6" w:rsidRPr="0082379C">
        <w:rPr>
          <w:rFonts w:cstheme="majorBidi"/>
        </w:rPr>
        <w:t xml:space="preserve"> </w:t>
      </w:r>
      <w:r w:rsidRPr="0082379C">
        <w:rPr>
          <w:rFonts w:cstheme="majorBidi"/>
        </w:rPr>
        <w:t xml:space="preserve">soil particles </w:t>
      </w:r>
      <w:r w:rsidRPr="0082379C">
        <w:rPr>
          <w:rFonts w:cstheme="majorBidi"/>
        </w:rPr>
        <w:lastRenderedPageBreak/>
        <w:t xml:space="preserve">by undercutting can lead to basal scour, which </w:t>
      </w:r>
      <w:r w:rsidR="002323F6" w:rsidRPr="0082379C">
        <w:rPr>
          <w:rFonts w:cstheme="majorBidi"/>
        </w:rPr>
        <w:t>destabilize</w:t>
      </w:r>
      <w:r w:rsidR="002323F6">
        <w:rPr>
          <w:rFonts w:cstheme="majorBidi"/>
        </w:rPr>
        <w:t>s</w:t>
      </w:r>
      <w:r w:rsidR="002323F6" w:rsidRPr="0082379C">
        <w:rPr>
          <w:rFonts w:cstheme="majorBidi"/>
        </w:rPr>
        <w:t xml:space="preserve"> </w:t>
      </w:r>
      <w:r w:rsidRPr="0082379C">
        <w:rPr>
          <w:rFonts w:cstheme="majorBidi"/>
        </w:rPr>
        <w:t xml:space="preserve">the bank and leads to bank failure caused by gravity </w:t>
      </w:r>
      <w:r w:rsidR="00F41E6A" w:rsidRPr="0082379C">
        <w:rPr>
          <w:rFonts w:cstheme="majorBidi"/>
        </w:rPr>
        <w:fldChar w:fldCharType="begin"/>
      </w:r>
      <w:r w:rsidRPr="0082379C">
        <w:rPr>
          <w:rFonts w:cstheme="majorBidi"/>
        </w:rPr>
        <w:instrText xml:space="preserve"> ADDIN ZOTERO_ITEM CSL_CITATION {"citationID":"rF6ss8EN","properties":{"formattedCitation":"(Maynord and Martin 1996)","plainCitation":"(Maynord and Martin 1996)"},"citationItems":[{"id":111,"uris":["http://zotero.org/users/1706519/items/R6JZCEUS"],"uri":["http://zotero.org/users/1706519/items/R6JZCEUS"],"itemData":{"id":111,"type":"report","title":"Upper Mississippi River System: Navigation/Sedimentation Study","publisher":"US Army Corps of Engineers","page":"95","number":"HL-96-10","author":[{"family":"Maynord","given":"Stephen T."},{"family":"Martin","given":"Sandra K."}],"issued":{"date-parts":[["1996",8]]}}}],"schema":"https://github.com/citation-style-language/schema/raw/master/csl-citation.json"} </w:instrText>
      </w:r>
      <w:r w:rsidR="00F41E6A" w:rsidRPr="0082379C">
        <w:rPr>
          <w:rFonts w:cstheme="majorBidi"/>
        </w:rPr>
        <w:fldChar w:fldCharType="separate"/>
      </w:r>
      <w:r w:rsidRPr="0082379C">
        <w:rPr>
          <w:rFonts w:cstheme="majorBidi"/>
        </w:rPr>
        <w:t>(Maynord and Martin 1996)</w:t>
      </w:r>
      <w:r w:rsidR="00F41E6A" w:rsidRPr="0082379C">
        <w:rPr>
          <w:rFonts w:cstheme="majorBidi"/>
        </w:rPr>
        <w:fldChar w:fldCharType="end"/>
      </w:r>
      <w:r w:rsidRPr="0082379C">
        <w:rPr>
          <w:rFonts w:cstheme="majorBidi"/>
        </w:rPr>
        <w:t xml:space="preserve">. </w:t>
      </w:r>
    </w:p>
    <w:p w:rsidR="0082379C" w:rsidRPr="0082379C" w:rsidRDefault="0082379C" w:rsidP="0094533A">
      <w:pPr>
        <w:spacing w:line="480" w:lineRule="auto"/>
        <w:ind w:firstLine="720"/>
        <w:jc w:val="both"/>
        <w:rPr>
          <w:rFonts w:cstheme="majorBidi"/>
        </w:rPr>
      </w:pPr>
      <w:r w:rsidRPr="0082379C">
        <w:rPr>
          <w:rFonts w:cstheme="majorBidi"/>
        </w:rPr>
        <w:t xml:space="preserve">The process of bank erosion depends on channel size and geometry, structure of stream banks, properties of the bank materials, hydraulics of stream flow, and climatic characteristics </w:t>
      </w:r>
      <w:r w:rsidR="00F41E6A" w:rsidRPr="0082379C">
        <w:rPr>
          <w:rFonts w:cstheme="majorBidi"/>
        </w:rPr>
        <w:fldChar w:fldCharType="begin"/>
      </w:r>
      <w:r w:rsidRPr="0082379C">
        <w:rPr>
          <w:rFonts w:cstheme="majorBidi"/>
        </w:rPr>
        <w:instrText xml:space="preserve"> ADDIN ZOTERO_ITEM CSL_CITATION {"citationID":"1MepDz1C","properties":{"formattedCitation":"(Thorne and Tovey 1981)","plainCitation":"(Thorne and Tovey 1981)"},"citationItems":[{"id":77,"uris":["http://zotero.org/users/1706519/items/I6V57AVK"],"uri":["http://zotero.org/users/1706519/items/I6V57AVK"],"itemData":{"id":77,"type":"article-journal","title":"Stability of composite river banks","container-title":"Earth Surface Processes and Landforms","page":"469–484","volume":"6","issue":"5","source":"Wiley Online Library","abstract":"The stability of a river bank depends on the balance of forces, motive and resistive, associated with the most critical mechanism of failure. Many mechanisms are possible and the likelihood of failure occurring by any particular one depends on the size, geometry and structure of the bank, the engineering properties of the bank material, the hydraulics of flow in the adjacent channel and climatic conditions.Rivers flowing through alluvial deposits often have a composite structure of cohesionless sand and gravel overlain by cohesive silt/clay. Bank erosion occurs by fluvial entrainment of material from the lower, cohesionless bank at a much higher rate than material from the upper, cohesive bank. This leads to undermining that produces cantilevers of cohesive material. Upper bank retreat takes place predominantly by the failure of these cantilevers. Three mechanisms of failure have been identified: shear, beam and tensile failure.The stability of a cantilever may be analysed using static equilibrium and beam theory, and dimensionless charts for cantilever stability constructed. Application of the charts requires only a few simple measurements of cantilever geometry and soil properties. In this analysis the effects of cracks and fissures in the soil must be taken into account. These cracks seriously weaken the soil and can invalidate a stability analysis by affecting the shape of the failure surface.Following mechanical failure, blocks of soil must be removed from the basal area by fluvial entrainment if rapid undermining and cantilever generation are to continue. Hence, the rate of bank retreat is fluvially controlled, even though the mechanism of failure of the upper bank is not directly fluvial in nature.This cycle of bank erosion: undermining, cantilever failure and fluvial scour of the toe, operates over several flood events and has important implications for river engineering, channel changes, and the movement of sediment through fluvial systems.","DOI":"10.1002/esp.3290060507","ISSN":"1096-9837","language":"en","author":[{"family":"Thorne","given":"Colin R."},{"family":"Tovey","given":"N. Keith"}],"issued":{"date-parts":[["1981"]]},"accessed":{"date-parts":[["2014",1,14]],"season":"02:49:16"}}}],"schema":"https://github.com/citation-style-language/schema/raw/master/csl-citation.json"} </w:instrText>
      </w:r>
      <w:r w:rsidR="00F41E6A" w:rsidRPr="0082379C">
        <w:rPr>
          <w:rFonts w:cstheme="majorBidi"/>
        </w:rPr>
        <w:fldChar w:fldCharType="separate"/>
      </w:r>
      <w:r w:rsidRPr="0082379C">
        <w:rPr>
          <w:rFonts w:ascii="Times New Roman" w:hAnsi="Times New Roman" w:cs="Times New Roman"/>
        </w:rPr>
        <w:t>(Thorne and Tovey 1981)</w:t>
      </w:r>
      <w:r w:rsidR="00F41E6A" w:rsidRPr="0082379C">
        <w:rPr>
          <w:rFonts w:cstheme="majorBidi"/>
        </w:rPr>
        <w:fldChar w:fldCharType="end"/>
      </w:r>
      <w:r w:rsidRPr="0082379C">
        <w:rPr>
          <w:rFonts w:cstheme="majorBidi"/>
        </w:rPr>
        <w:t xml:space="preserve">. The main stream in the UMRB, the Upper Mississippi River, is a classic meandering river with a wide floodplain </w:t>
      </w:r>
      <w:r w:rsidR="00F41E6A" w:rsidRPr="0082379C">
        <w:rPr>
          <w:rFonts w:cstheme="majorBidi"/>
        </w:rPr>
        <w:fldChar w:fldCharType="begin"/>
      </w:r>
      <w:r w:rsidRPr="0082379C">
        <w:rPr>
          <w:rFonts w:cstheme="majorBidi"/>
        </w:rPr>
        <w:instrText xml:space="preserve"> ADDIN ZOTERO_ITEM CSL_CITATION {"citationID":"Wmh3h3RE","properties":{"formattedCitation":"(Fisk 1947)","plainCitation":"(Fisk 1947)"},"citationItems":[{"id":348,"uris":["http://zotero.org/users/1706519/items/4DJSSQ6T"],"uri":["http://zotero.org/users/1706519/items/4DJSSQ6T"],"itemData":{"id":348,"type":"book","title":"Fine-grained Alluvial Deposits and Their Effects on Mississippi River Activity","publisher":"Waterways Experiment Station","number-of-pages":"104","source":"Google Books","language":"en","author":[{"family":"Fisk","given":"Harold Norman"}],"issued":{"date-parts":[["1947"]]}}}],"schema":"https://github.com/citation-style-language/schema/raw/master/csl-citation.json"} </w:instrText>
      </w:r>
      <w:r w:rsidR="00F41E6A" w:rsidRPr="0082379C">
        <w:rPr>
          <w:rFonts w:cstheme="majorBidi"/>
        </w:rPr>
        <w:fldChar w:fldCharType="separate"/>
      </w:r>
      <w:r w:rsidRPr="0082379C">
        <w:rPr>
          <w:rFonts w:cstheme="majorBidi"/>
        </w:rPr>
        <w:t>(Fisk 1947)</w:t>
      </w:r>
      <w:r w:rsidR="00F41E6A" w:rsidRPr="0082379C">
        <w:rPr>
          <w:rFonts w:cstheme="majorBidi"/>
        </w:rPr>
        <w:fldChar w:fldCharType="end"/>
      </w:r>
      <w:r w:rsidRPr="0082379C">
        <w:rPr>
          <w:rFonts w:cstheme="majorBidi"/>
        </w:rPr>
        <w:t xml:space="preserve">. Naturally, meandering rivers migrate laterally in floodplains by eroding the outer banks and depositing sediment on point bars. Meandering, which is both a cause and a result of the erosion and sedimentation process, affects the spatial variation in bank erosion rates </w:t>
      </w:r>
      <w:r w:rsidR="00F41E6A" w:rsidRPr="0082379C">
        <w:rPr>
          <w:rFonts w:cstheme="majorBidi"/>
        </w:rPr>
        <w:fldChar w:fldCharType="begin"/>
      </w:r>
      <w:r w:rsidRPr="0082379C">
        <w:rPr>
          <w:rFonts w:cstheme="majorBidi"/>
        </w:rPr>
        <w:instrText xml:space="preserve"> ADDIN ZOTERO_ITEM CSL_CITATION {"citationID":"cmfyVekS","properties":{"formattedCitation":"(Hooke 1979)","plainCitation":"(Hooke 1979)"},"citationItems":[{"id":376,"uris":["http://zotero.org/users/1706519/items/F8F7VHAX"],"uri":["http://zotero.org/users/1706519/items/F8F7VHAX"],"itemData":{"id":376,"type":"article-journal","title":"An analysis of the processes of river bank erosion","container-title":"Journal of Hydrology","page":"39-62","volume":"42","issue":"1–2","source":"ScienceDirect","abstract":"Measurements of erosion have been made on sections of river banks in Devon, England over a period of 2.5 yr. Erosion pins were used and found to be satisfactory. Data of the hydrological and meteorological conditions during each erosion period were collected; these were incorporated into a stepwise multiple regression analysis of the conditions controlling the amount and distribution of river bank erosion. Field observations are shown to aid considerably in understanding the processes of removal of material. Two main methods of bank erosion are identified, corrasion and slumping, and these appear to be associated with the influence of river flow levels and antecedent precipitation conditions, respectively. Antecedent precipitation index emerges as the variable providing highest explanation of the erosion characteristics but the diversity of results from different sites illustrates the complex combinations of conditions related to erosion events. A tentative grouping of the sites according to the types and amounts of erosion and the variables explaining their distribution is suggested.","DOI":"10.1016/0022-1694(79)90005-2","ISSN":"0022-1694","journalAbbreviation":"Journal of Hydrology","author":[{"family":"Hooke","given":"J. M."}],"issued":{"date-parts":[["1979",6]]},"accessed":{"date-parts":[["2014",1,27]],"season":"21:18:49"}}}],"schema":"https://github.com/citation-style-language/schema/raw/master/csl-citation.json"} </w:instrText>
      </w:r>
      <w:r w:rsidR="00F41E6A" w:rsidRPr="0082379C">
        <w:rPr>
          <w:rFonts w:cstheme="majorBidi"/>
        </w:rPr>
        <w:fldChar w:fldCharType="separate"/>
      </w:r>
      <w:r w:rsidRPr="0082379C">
        <w:rPr>
          <w:rFonts w:cstheme="majorBidi"/>
        </w:rPr>
        <w:t>(Hooke 1979)</w:t>
      </w:r>
      <w:r w:rsidR="00F41E6A" w:rsidRPr="0082379C">
        <w:rPr>
          <w:rFonts w:cstheme="majorBidi"/>
        </w:rPr>
        <w:fldChar w:fldCharType="end"/>
      </w:r>
      <w:r w:rsidRPr="0082379C">
        <w:rPr>
          <w:rFonts w:cstheme="majorBidi"/>
        </w:rPr>
        <w:t xml:space="preserve">. High flow is another factor that induces stream bank erosion. Many authors have concluded that tractive force caused by high flow was not the most important factor causing bank erosion (e.g. </w:t>
      </w:r>
      <w:r w:rsidR="00F41E6A" w:rsidRPr="0082379C">
        <w:rPr>
          <w:rFonts w:cstheme="majorBidi"/>
        </w:rPr>
        <w:fldChar w:fldCharType="begin"/>
      </w:r>
      <w:r w:rsidRPr="0082379C">
        <w:rPr>
          <w:rFonts w:cstheme="majorBidi"/>
        </w:rPr>
        <w:instrText xml:space="preserve"> ADDIN ZOTERO_ITEM CSL_CITATION {"citationID":"JJouss8h","properties":{"formattedCitation":"(Schumm 1973; Hughes 1977; Thorne and Tovey 1981)","plainCitation":"(Schumm 1973; Hughes 1977; Thorne and Tovey 1981)"},"citationItems":[{"id":603,"uris":["http://zotero.org/users/1706519/items/RJ3FUV4J"],"uri":["http://zotero.org/users/1706519/items/RJ3FUV4J"],"itemData":{"id":603,"type":"paper-conference","title":"Geomorphic thresholds and complex response of drainage systems","container-title":"Proceedings of symposia, fluvial geomorphology","publisher-place":"Binghamton, New York","page":"299-310","event-place":"Binghamton, New York","author":[{"family":"Schumm","given":"S.A."}],"issued":{"date-parts":[["1973"]]}}},{"id":602,"uris":["http://zotero.org/users/1706519/items/W3VG9CNQ"],"uri":["http://zotero.org/users/1706519/items/W3VG9CNQ"],"itemData":{"id":602,"type":"chapter","title":"Rates of erosion on meander arcs","container-title":"River Channel Changes","publisher":"John Wiley","publisher-place":"London","page":"193-205","edition":"K.L. Gregory ed.","event-place":"London","author":[{"family":"Hughes","given":"D.J."}],"issued":{"date-parts":[["1977"]]}}},{"id":77,"uris":["http://zotero.org/users/1706519/items/I6V57AVK"],"uri":["http://zotero.org/users/1706519/items/I6V57AVK"],"itemData":{"id":77,"type":"article-journal","title":"Stability of composite river banks","container-title":"Earth Surface Processes and Landforms","page":"469–484","volume":"6","issue":"5","source":"Wiley Online Library","abstract":"The stability of a river bank depends on the balance of forces, motive and resistive, associated with the most critical mechanism of failure. Many mechanisms are possible and the likelihood of failure occurring by any particular one depends on the size, geometry and structure of the bank, the engineering properties of the bank material, the hydraulics of flow in the adjacent channel and climatic conditions.Rivers flowing through alluvial deposits often have a composite structure of cohesionless sand and gravel overlain by cohesive silt/clay. Bank erosion occurs by fluvial entrainment of material from the lower, cohesionless bank at a much higher rate than material from the upper, cohesive bank. This leads to undermining that produces cantilevers of cohesive material. Upper bank retreat takes place predominantly by the failure of these cantilevers. Three mechanisms of failure have been identified: shear, beam and tensile failure.The stability of a cantilever may be analysed using static equilibrium and beam theory, and dimensionless charts for cantilever stability constructed. Application of the charts requires only a few simple measurements of cantilever geometry and soil properties. In this analysis the effects of cracks and fissures in the soil must be taken into account. These cracks seriously weaken the soil and can invalidate a stability analysis by affecting the shape of the failure surface.Following mechanical failure, blocks of soil must be removed from the basal area by fluvial entrainment if rapid undermining and cantilever generation are to continue. Hence, the rate of bank retreat is fluvially controlled, even though the mechanism of failure of the upper bank is not directly fluvial in nature.This cycle of bank erosion: undermining, cantilever failure and fluvial scour of the toe, operates over several flood events and has important implications for river engineering, channel changes, and the movement of sediment through fluvial systems.","DOI":"10.1002/esp.3290060507","ISSN":"1096-9837","language":"en","author":[{"family":"Thorne","given":"Colin R."},{"family":"Tovey","given":"N. Keith"}],"issued":{"date-parts":[["1981"]]},"accessed":{"date-parts":[["2014",1,14]],"season":"02:49:16"}}}],"schema":"https://github.com/citation-style-language/schema/raw/master/csl-citation.json"} </w:instrText>
      </w:r>
      <w:r w:rsidR="00F41E6A" w:rsidRPr="0082379C">
        <w:rPr>
          <w:rFonts w:cstheme="majorBidi"/>
        </w:rPr>
        <w:fldChar w:fldCharType="separate"/>
      </w:r>
      <w:r w:rsidRPr="0082379C">
        <w:rPr>
          <w:rFonts w:ascii="Times New Roman" w:hAnsi="Times New Roman" w:cs="Times New Roman"/>
        </w:rPr>
        <w:t>Schumm 1973; Hughes 1977; Thorne and Tovey 1981)</w:t>
      </w:r>
      <w:r w:rsidR="00F41E6A" w:rsidRPr="0082379C">
        <w:rPr>
          <w:rFonts w:cstheme="majorBidi"/>
        </w:rPr>
        <w:fldChar w:fldCharType="end"/>
      </w:r>
      <w:r w:rsidRPr="0082379C">
        <w:rPr>
          <w:rFonts w:cstheme="majorBidi"/>
        </w:rPr>
        <w:t xml:space="preserve">. High water levels enhance water infiltration into the bank. This process softens the soil, reduces its cohesion, and makes it more vulnerable to bank failure </w:t>
      </w:r>
      <w:r w:rsidR="00F41E6A" w:rsidRPr="0082379C">
        <w:rPr>
          <w:rFonts w:cstheme="majorBidi"/>
        </w:rPr>
        <w:fldChar w:fldCharType="begin"/>
      </w:r>
      <w:r w:rsidRPr="0082379C">
        <w:rPr>
          <w:rFonts w:cstheme="majorBidi"/>
        </w:rPr>
        <w:instrText xml:space="preserve"> ADDIN ZOTERO_ITEM CSL_CITATION {"citationID":"DWi4RZ6W","properties":{"formattedCitation":"(Luna Bergere Leopold 1994)","plainCitation":"(Luna Bergere Leopold 1994)"},"citationItems":[{"id":382,"uris":["http://zotero.org/users/1706519/items/2KABIBNB"],"uri":["http://zotero.org/users/1706519/items/2KABIBNB"],"itemData":{"id":382,"type":"book","title":"A View of the River","publisher":"Harvard University Press","number-of-pages":"316","source":"Google Books","abstract":"With the Midwest under water, America had a chance to see how effectively it had \"improved\" its rivers. We've straightened and dredged them, revetted and rerouted them, made massive efforts to control them, yet our actions have been less than successful. Too often, physical changes made to a river conflict with natural processes, resulting in--rather than alleviating--damage. Applying available knowledge on how rivers form and act could prevent such problems. In this book, Luna Leopold seeks to organize such knowledge. Widely regarded as the most creative scholar in the field of river morphology, Leopold presents a coherent description of the river, its shape, size, organization, and action, along with a consistent theory that explains much of the observed character of channels.The laws of physics that govern rivers allow for variations, many of them dictated by random chance. Thus, a river's adaptation, as Leopold describes it, tends toward the most probable form, the one with the least variance among hydraulic parameters. We see how this probabilistic tendency plays out as Leopold views the river as a whole from headwater to mouth, in the drainage net, in the behavior of meanders, and in aspects of sediment transport.Grounded in hydraulics, geomorphology, and surveying, as well as in extensive fieldwork on rivers in the eastern and Rocky Mountain states, Leopold's view of a river is at once technical and personal, providing both a firm foundation for understanding the behavior of rivers--including instructions for getting started in backyard hydrology--and a wealth of firsthand observations by a thoughtful and experienced scientist. It will be of immediate interest and great use as we seek to develop, preserve, and appreciate our most fluid natural resource.","ISBN":"9780674937321","language":"en","author":[{"family":"Leopold","given":"Luna Bergere"}],"issued":{"date-parts":[["1994"]]}}}],"schema":"https://github.com/citation-style-language/schema/raw/master/csl-citation.json"} </w:instrText>
      </w:r>
      <w:r w:rsidR="00F41E6A" w:rsidRPr="0082379C">
        <w:rPr>
          <w:rFonts w:cstheme="majorBidi"/>
        </w:rPr>
        <w:fldChar w:fldCharType="separate"/>
      </w:r>
      <w:r w:rsidRPr="0082379C">
        <w:rPr>
          <w:rFonts w:cstheme="majorBidi"/>
        </w:rPr>
        <w:t>(Leopold 1994)</w:t>
      </w:r>
      <w:r w:rsidR="00F41E6A" w:rsidRPr="0082379C">
        <w:rPr>
          <w:rFonts w:cstheme="majorBidi"/>
        </w:rPr>
        <w:fldChar w:fldCharType="end"/>
      </w:r>
      <w:r w:rsidRPr="0082379C">
        <w:rPr>
          <w:rFonts w:cstheme="majorBidi"/>
        </w:rPr>
        <w:t xml:space="preserve">. When the water level falls, seepage flows occur through the non-cohesive layers in the river banks </w:t>
      </w:r>
      <w:r w:rsidR="00F41E6A" w:rsidRPr="0082379C">
        <w:rPr>
          <w:rFonts w:cstheme="majorBidi"/>
        </w:rPr>
        <w:fldChar w:fldCharType="begin"/>
      </w:r>
      <w:r w:rsidRPr="0082379C">
        <w:rPr>
          <w:rFonts w:cstheme="majorBidi"/>
        </w:rPr>
        <w:instrText xml:space="preserve"> ADDIN ZOTERO_ITEM CSL_CITATION {"citationID":"Dh1JdAVN","properties":{"formattedCitation":"(US AED 1977; D. Hagerty 1991a; D. Hagerty 1991b)","plainCitation":"(US AED 1977; D. Hagerty 1991a; D. Hagerty 1991b)"},"citationItems":[{"id":390,"uris":["http://zotero.org/users/1706519/items/HGTAT9QI"],"uri":["http://zotero.org/users/1706519/items/HGTAT9QI"],"itemData":{"id":390,"type":"report","title":"Ohio River bank erosion","publisher":"The Division Engineer's Steering Committee, Cincinnati, OH","author":[{"family":"US AED","given":"Ohio River"}],"issued":{"date-parts":[["1977"]]}}},{"id":384,"uris":["http://zotero.org/users/1706519/items/R36KXR2B"],"uri":["http://zotero.org/users/1706519/items/R36KXR2B"],"itemData":{"id":384,"type":"article-journal","title":"Piping/Sapping Erosion. I: Basic Considerations","container-title":"Journal of Hydraulic Engineering","page":"991-1008","volume":"117","issue":"8","source":"ASCE","abstract":"Erosion of streambanks and shorelines by exfiltrating seepage is called sapping or piping (because tubular cavities are produced). This mechanism is widespread in occurrence and is very significant to bank and shore stability, but is rarely recognized. The mechanism is complex and acts in concert with other processes of bank and shore erosion and deposition. Operation of those other mechanisms often masks the processes and products of the piping/sapping mechanism. Furthermore, failures caused by this mechanism may occur during periods of stream inactivity long after storm and/or flood events have ended. This paper describes and illustrates characteristic features of piping/sapping erosion and attendant instability. Situations typical of sites where piping/sapping is significant are illustrated. Conditions necessary (but not necessarily sufficient) to cause piping/sapping are presented. Diagnostic procedures are presented in a companion paper. The purpose of this paper is to present the fundamental aspects of this erosion mechanism and to identify those combinations of circumstances under which piping/sapping is likely to be an important process affecting bank or shoreline stability.","DOI":"10.1061/(ASCE)0733-9429(1991)117:8(991)","ISSN":"0733-9429","shortTitle":"Piping/Sapping Erosion. I","author":[{"family":"Hagerty","given":"D."}],"issued":{"date-parts":[["1991"]]},"accessed":{"date-parts":[["2014",1,27]],"season":"21:30:59"}}},{"id":387,"uris":["http://zotero.org/users/1706519/items/848CCGAH"],"uri":["http://zotero.org/users/1706519/items/848CCGAH"],"itemData":{"id":387,"type":"article-journal","title":"Piping/Sapping Erosion. II: Identification</w:instrText>
      </w:r>
      <w:r w:rsidRPr="0082379C">
        <w:rPr>
          <w:rFonts w:ascii="Cambria Math" w:hAnsi="Cambria Math" w:cs="Cambria Math"/>
        </w:rPr>
        <w:instrText>‐</w:instrText>
      </w:r>
      <w:r w:rsidRPr="0082379C">
        <w:rPr>
          <w:rFonts w:cstheme="majorBidi"/>
        </w:rPr>
        <w:instrText>Diagnosis","container-title":"Journal of Hydraulic Engineering","page":"1009-1025","volume":"117","issue":"8","source":"ASCE","abstract":"Although erosion of streambanks and other shorelines by emergent seepage is widespread, this erosion mechanism (termed piping or sapping) has not been recognized as important to the overall erosion process. The mechanism is complex, and interactions with other bank and shore processes tend to mask the effects of piping/sapping. Direct evidence (water emerging from a soil face and carrying away soil particles) is rarely encountered. Several types of indirect evidence are presented and illustrated in this paper, including cavities formed by piping, deposits of dislocated particles below piping zones, blind gullies, staining produced by persistent seepage outflow, and particular types of localized failures (slab toppling, block shearing, and tensile falls caused by undercutting due to piping/sapping). The interactions of this erosion mechanism with other erosion</w:instrText>
      </w:r>
      <w:r w:rsidRPr="0082379C">
        <w:rPr>
          <w:rFonts w:ascii="Cambria Math" w:hAnsi="Cambria Math" w:cs="Cambria Math"/>
        </w:rPr>
        <w:instrText>‐</w:instrText>
      </w:r>
      <w:r w:rsidRPr="0082379C">
        <w:rPr>
          <w:rFonts w:cstheme="majorBidi"/>
        </w:rPr>
        <w:instrText xml:space="preserve">deposition processes are described. The purpose of this paper is to facilitate identification and evaluation of piping/sapping erosion, particularly for relatively inexperienced field investigators.","DOI":"10.1061/(ASCE)0733-9429(1991)117:8(1009)","ISSN":"0733-9429","shortTitle":"Piping/Sapping Erosion. II","author":[{"family":"Hagerty","given":"D."}],"issued":{"date-parts":[["1991"]]},"accessed":{"date-parts":[["2014",1,27]],"season":"21:31:31"}}}],"schema":"https://github.com/citation-style-language/schema/raw/master/csl-citation.json"} </w:instrText>
      </w:r>
      <w:r w:rsidR="00F41E6A" w:rsidRPr="0082379C">
        <w:rPr>
          <w:rFonts w:cstheme="majorBidi"/>
        </w:rPr>
        <w:fldChar w:fldCharType="separate"/>
      </w:r>
      <w:r w:rsidRPr="0082379C">
        <w:rPr>
          <w:rFonts w:cstheme="majorBidi"/>
        </w:rPr>
        <w:t>(US AED 1977; Hagerty 1991a; Hagerty 1991b)</w:t>
      </w:r>
      <w:r w:rsidR="00F41E6A" w:rsidRPr="0082379C">
        <w:rPr>
          <w:rFonts w:cstheme="majorBidi"/>
        </w:rPr>
        <w:fldChar w:fldCharType="end"/>
      </w:r>
      <w:r w:rsidRPr="0082379C">
        <w:rPr>
          <w:rFonts w:cstheme="majorBidi"/>
        </w:rPr>
        <w:t xml:space="preserve">. Loss of material in non-cohesive layers by seepage flows can destabilize an upper cohesive layer, which, in turn, causes more severe bank erosion </w:t>
      </w:r>
      <w:r w:rsidR="00F41E6A" w:rsidRPr="0082379C">
        <w:rPr>
          <w:rFonts w:cstheme="majorBidi"/>
        </w:rPr>
        <w:fldChar w:fldCharType="begin"/>
      </w:r>
      <w:r w:rsidRPr="0082379C">
        <w:rPr>
          <w:rFonts w:cstheme="majorBidi"/>
        </w:rPr>
        <w:instrText xml:space="preserve"> ADDIN ZOTERO_ITEM CSL_CITATION {"citationID":"dcQH5143","properties":{"formattedCitation":"(Simons et al. 1979; Browne 1980; Ullrich, Hagerty, and Holmberg 1986; Keller et al. 1990)","plainCitation":"(Simons et al. 1979; Browne 1980; Ullrich, Hagerty, and Holmberg 1986; Keller et al. 1990)"},"citationItems":[{"id":379,"uris":["http://zotero.org/users/1706519/items/KTPEFNTP"],"uri":["http://zotero.org/users/1706519/items/KTPEFNTP"],"itemData":{"id":379,"type":"report","title":"Report on: Connecticut River Streambank Erosion Study, Massachusetts, New Hampshire and Vermont.","publisher":"Non Paid ADAS","page":"274","genre":"Technical Report","URL":"http://www.ntis.gov/search/product.aspx?ABBR=ADA080466","author":[{"family":"Simons","given":"D.B."},{"family":"Andrew","given":"J.W."},{"family":"Alawady","given":"M.A."},{"family":"Li","given":"R.M."}],"issued":{"date-parts":[["1979",11]]},"accessed":{"date-parts":[["2014",1,27]],"season":"21:23:12"}}},{"id":391,"uris":["http://zotero.org/users/1706519/items/BGRWTPUV"],"uri":["http://zotero.org/users/1706519/items/BGRWTPUV"],"itemData":{"id":391,"type":"paper-conference","title":"Effect of navigation dams on banks of the Ohio River","container-title":"Proceedings of the National Waterways Roundtable","publisher-place":"U.S. Army Engineer Water Resources Support Center, Fort Belvoir, VA.","event-place":"U.S. Army Engineer Water Resources Support Center, Fort Belvoir, VA.","author":[{"family":"Browne","given":"W. H."}],"issued":{"date-parts":[["1980",4,22]]}}},{"id":394,"uris":["http://zotero.org/users/1706519/items/BN6VMFHD"],"uri":["http://zotero.org/users/1706519/items/BN6VMFHD"],"itemData":{"id":394,"type":"article-journal","title":"Surficial failures of alluvial stream banks","container-title":"Canadian Geotechnical Journal","page":"304-316","volume":"23","issue":"3","source":"NRC Research Press","abstract":"Erosion of alluvial stream banks is of scientific and economic significance. The principal focus of this investigation was stream bank erosion caused by piping of sand seams, which leads to collapse of overlying strata. Analyses were performed to determine which parameters of the riverbank system are most important in controlling the amount and rate at which piping occurs. Among the failure mechanisms studied were wedge failure of large masses and surficial shearing (slabbing failure) of bank faces. Analyses showed that the most important factors governing piping were permeability and capillary suction in sand seams, slope of sand seams, and water in tension cracks behind the bank face. Flood hydrograph parameters (height of rise and duration of event) were less important, though significant. Whereas unit weight, cohesion, angle of internal friction, and water in tension cracks influenced wedge failures, only unit weight and cohesion directly influenced slabbing failures; however, those parameters influen..., L'érosion des berges alluvionnaires des cours d'eau est importante du point de vue scientifique et économique. L'intérêt principal de cette étude a été concentré sur l'érosion causée par la formation de renards dans les lits de sable qui résultent en un affaissement des strates sus-jacentes. Des analyses ont été faites pour déterminer quels paramètres du système rivière-berge sont les plus importants pour contrôler la quantité et la vitesse de formation des renards. Parmi les mécanismes de rupture étudiés, l'on retrouve les ruptures de coins de masses importantes, et le cisaillement de surface (rupture de plaque) des faces de la berge. Les analyses ont démontré que les facteurs les plus importants dans le contrôle des renards sont la perméabilité et la suction capillaire dans les lits de sable, la pente des lits de sable, et l'eau dans les fissures de traction à l'arrière de la berge. Les paramètres des hydrographes de crues (hauteur et durée de crue) sont moins importants quoique significatifs. Bien que ...","DOI":"10.1139/t86-044","ISSN":"0008-3674","journalAbbreviation":"Can. Geotech. J.","author":[{"family":"Ullrich","given":"C. Robert"},{"family":"Hagerty","given":"D. Joseph"},{"family":"Holmberg","given":"Ronald W."}],"issued":{"date-parts":[["1986",8,1]]},"accessed":{"date-parts":[["2014",1,27]],"season":"21:55:21"}}},{"id":392,"uris":["http://zotero.org/users/1706519/items/PP7XQE7T"],"uri":["http://zotero.org/users/1706519/items/PP7XQE7T"],"itemData":{"id":392,"type":"chapter","title":"Chapter 15. Groundwater and fluvial processes; Selected observations","container-title":"Geological Society of America Special Papers","publisher":"Geological Society of America","page":"319-340","volume":"252","source":"CrossRef","URL":"http://specialpapers.gsapubs.org/content/252/319.full.pdf+html","ISBN":"0-8137-2252-7","author":[{"family":"Keller","given":"Edward A."},{"family":"Kondolf","given":"G. Mathias"},{"family":"Hagerty","given":"D. J."},{"family":"Kondolf","given":"G. Mathias"}],"issued":{"date-parts":[["1990",1,1]]},"accessed":{"date-parts":[["2014",1,27]],"season":"21:53:43"}}}],"schema":"https://github.com/citation-style-language/schema/raw/master/csl-citation.json"} </w:instrText>
      </w:r>
      <w:r w:rsidR="00F41E6A" w:rsidRPr="0082379C">
        <w:rPr>
          <w:rFonts w:cstheme="majorBidi"/>
        </w:rPr>
        <w:fldChar w:fldCharType="separate"/>
      </w:r>
      <w:r w:rsidRPr="0082379C">
        <w:rPr>
          <w:rFonts w:cstheme="majorBidi"/>
        </w:rPr>
        <w:t>(Simons et al. 1979; Browne 1980; Ullrich et al. 1986; Keller et al. 1990)</w:t>
      </w:r>
      <w:r w:rsidR="00F41E6A" w:rsidRPr="0082379C">
        <w:rPr>
          <w:rFonts w:cstheme="majorBidi"/>
        </w:rPr>
        <w:fldChar w:fldCharType="end"/>
      </w:r>
      <w:r w:rsidRPr="0082379C">
        <w:rPr>
          <w:rFonts w:cstheme="majorBidi"/>
        </w:rPr>
        <w:t xml:space="preserve">. Hill (1973), who studied the erosion of river banks composed of glacial till in Ireland, showed that in summer, when the </w:t>
      </w:r>
      <w:r w:rsidR="00145388">
        <w:rPr>
          <w:rFonts w:cstheme="majorBidi"/>
        </w:rPr>
        <w:t xml:space="preserve">bank </w:t>
      </w:r>
      <w:r w:rsidRPr="0082379C">
        <w:rPr>
          <w:rFonts w:cstheme="majorBidi"/>
        </w:rPr>
        <w:t xml:space="preserve">soil </w:t>
      </w:r>
      <w:r w:rsidR="00751ED8">
        <w:rPr>
          <w:rFonts w:cstheme="majorBidi"/>
        </w:rPr>
        <w:t>wa</w:t>
      </w:r>
      <w:r w:rsidRPr="0082379C">
        <w:rPr>
          <w:rFonts w:cstheme="majorBidi"/>
        </w:rPr>
        <w:t xml:space="preserve">s dry, major rises of stream discharge did not result in severe erosion of stream banks, as compared to similar flood events in winter, when bank soil </w:t>
      </w:r>
      <w:r w:rsidR="003F7B62">
        <w:rPr>
          <w:rFonts w:cstheme="majorBidi"/>
        </w:rPr>
        <w:t>had been</w:t>
      </w:r>
      <w:r w:rsidR="003F7B62" w:rsidRPr="0082379C">
        <w:rPr>
          <w:rFonts w:cstheme="majorBidi"/>
        </w:rPr>
        <w:t xml:space="preserve"> </w:t>
      </w:r>
      <w:r w:rsidRPr="0082379C">
        <w:rPr>
          <w:rFonts w:cstheme="majorBidi"/>
        </w:rPr>
        <w:t>loosen</w:t>
      </w:r>
      <w:r w:rsidR="003F7B62">
        <w:rPr>
          <w:rFonts w:cstheme="majorBidi"/>
        </w:rPr>
        <w:t>ed</w:t>
      </w:r>
      <w:r w:rsidRPr="0082379C">
        <w:rPr>
          <w:rFonts w:cstheme="majorBidi"/>
        </w:rPr>
        <w:t xml:space="preserve"> </w:t>
      </w:r>
      <w:r w:rsidR="003F7B62">
        <w:rPr>
          <w:rFonts w:cstheme="majorBidi"/>
        </w:rPr>
        <w:t>by</w:t>
      </w:r>
      <w:r w:rsidRPr="0082379C">
        <w:rPr>
          <w:rFonts w:cstheme="majorBidi"/>
        </w:rPr>
        <w:t xml:space="preserve"> frost.</w:t>
      </w:r>
    </w:p>
    <w:p w:rsidR="0082379C" w:rsidRPr="0082379C" w:rsidRDefault="0082379C" w:rsidP="0082379C">
      <w:pPr>
        <w:spacing w:line="480" w:lineRule="auto"/>
        <w:ind w:firstLine="720"/>
        <w:jc w:val="both"/>
        <w:rPr>
          <w:rFonts w:cstheme="majorBidi"/>
        </w:rPr>
      </w:pPr>
      <w:r w:rsidRPr="0082379C">
        <w:rPr>
          <w:rFonts w:cstheme="majorBidi"/>
        </w:rPr>
        <w:t xml:space="preserve"> </w:t>
      </w:r>
      <w:r w:rsidRPr="0082379C">
        <w:rPr>
          <w:rFonts w:cstheme="majorBidi"/>
          <w:bCs/>
        </w:rPr>
        <w:t xml:space="preserve">In the UMRB, erosion of sediment from the river bank results, not only from natural processes, but also from the activities of vessels on the river </w:t>
      </w:r>
      <w:r w:rsidR="00F41E6A" w:rsidRPr="0082379C">
        <w:rPr>
          <w:rFonts w:cstheme="majorBidi"/>
          <w:bCs/>
        </w:rPr>
        <w:fldChar w:fldCharType="begin"/>
      </w:r>
      <w:r w:rsidRPr="0082379C">
        <w:rPr>
          <w:rFonts w:cstheme="majorBidi"/>
          <w:bCs/>
        </w:rPr>
        <w:instrText xml:space="preserve"> ADDIN ZOTERO_ITEM CSL_CITATION {"citationID":"GXjZ8q0Z","properties":{"formattedCitation":"(Maynord and Martin 1996)","plainCitation":"(Maynord and Martin 1996)"},"citationItems":[{"id":111,"uris":["http://zotero.org/users/1706519/items/R6JZCEUS"],"uri":["http://zotero.org/users/1706519/items/R6JZCEUS"],"itemData":{"id":111,"type":"report","title":"Upper Mississippi River System: Navigation/Sedimentation Study","publisher":"US Army Corps of Engineers","page":"95","number":"HL-96-10","author":[{"family":"Maynord","given":"Stephen T."},{"family":"Martin","given":"Sandra K."}],"issued":{"date-parts":[["1996",8]]}}}],"schema":"https://github.com/citation-style-language/schema/raw/master/csl-citation.json"} </w:instrText>
      </w:r>
      <w:r w:rsidR="00F41E6A" w:rsidRPr="0082379C">
        <w:rPr>
          <w:rFonts w:cstheme="majorBidi"/>
          <w:bCs/>
        </w:rPr>
        <w:fldChar w:fldCharType="separate"/>
      </w:r>
      <w:r w:rsidRPr="0082379C">
        <w:rPr>
          <w:rFonts w:cstheme="majorBidi"/>
        </w:rPr>
        <w:t>(Maynord and Martin 1996)</w:t>
      </w:r>
      <w:r w:rsidR="00F41E6A" w:rsidRPr="0082379C">
        <w:rPr>
          <w:rFonts w:cstheme="majorBidi"/>
          <w:bCs/>
        </w:rPr>
        <w:fldChar w:fldCharType="end"/>
      </w:r>
      <w:r w:rsidRPr="0082379C">
        <w:rPr>
          <w:rFonts w:cstheme="majorBidi"/>
          <w:bCs/>
        </w:rPr>
        <w:t xml:space="preserve">. </w:t>
      </w:r>
      <w:r w:rsidRPr="0082379C">
        <w:rPr>
          <w:rFonts w:cstheme="majorBidi"/>
          <w:bCs/>
        </w:rPr>
        <w:lastRenderedPageBreak/>
        <w:t xml:space="preserve">According to </w:t>
      </w:r>
      <w:r w:rsidR="00F41E6A" w:rsidRPr="0082379C">
        <w:rPr>
          <w:rFonts w:cstheme="majorBidi"/>
          <w:bCs/>
        </w:rPr>
        <w:fldChar w:fldCharType="begin"/>
      </w:r>
      <w:r w:rsidRPr="0082379C">
        <w:rPr>
          <w:rFonts w:cstheme="majorBidi"/>
          <w:bCs/>
        </w:rPr>
        <w:instrText xml:space="preserve"> ADDIN ZOTERO_ITEM CSL_CITATION {"citationID":"agorwGZk","properties":{"formattedCitation":"(Karaki and Van Hoften 1975)","plainCitation":"(Karaki and Van Hoften 1975)"},"citationItems":[{"id":398,"uris":["http://zotero.org/users/1706519/items/9552QIFR"],"uri":["http://zotero.org/users/1706519/items/9552QIFR"],"itemData":{"id":398,"type":"book","title":"Resuspension of Bed Material and Wave Effects on the Illinois and Upper Mississippi Rivers Caused by Boat Traffic","publisher":"Defense Technical Information Center","number-of-pages":"36","source":"Google Books","abstract":"The purpose of this study is to analyze, qualitatively, the effects of waterborne traffic on the Illinois and Upper Mississippi Rivers with regard to the resuspension of bed sediments caused by boat passage and to estimate the increase in turbidity due to an increase in river traffic. The generation of turbulence by tow boats and other surface crafts is considered. The generation of waves by boats with consequent erosion of the banks is also discussed. Aerial color infrared photographs and published information were examined to aid the analysis.","language":"en","author":[{"family":"Karaki","given":"S."},{"family":"Van Hoften","given":"J."}],"issued":{"date-parts":[["1975"]]}}}],"schema":"https://github.com/citation-style-language/schema/raw/master/csl-citation.json"} </w:instrText>
      </w:r>
      <w:r w:rsidR="00F41E6A" w:rsidRPr="0082379C">
        <w:rPr>
          <w:rFonts w:cstheme="majorBidi"/>
          <w:bCs/>
        </w:rPr>
        <w:fldChar w:fldCharType="separate"/>
      </w:r>
      <w:r w:rsidRPr="0082379C">
        <w:rPr>
          <w:rFonts w:cstheme="majorBidi"/>
        </w:rPr>
        <w:t>Karaki and Van Hoften (1975)</w:t>
      </w:r>
      <w:r w:rsidR="00F41E6A" w:rsidRPr="0082379C">
        <w:rPr>
          <w:rFonts w:cstheme="majorBidi"/>
          <w:bCs/>
        </w:rPr>
        <w:fldChar w:fldCharType="end"/>
      </w:r>
      <w:r w:rsidRPr="0082379C">
        <w:rPr>
          <w:rFonts w:cstheme="majorBidi"/>
          <w:bCs/>
        </w:rPr>
        <w:t xml:space="preserve">, the impact of wave wash from boats varies from location to location, depending on the river bank stability and form.  Their study also showed that river banks that have been eroded by waves are more vulnerable to this kind of erosion and that fast-moving vessels are more erosive than slow-moving vessels.  </w:t>
      </w:r>
    </w:p>
    <w:p w:rsidR="00A84D7A" w:rsidRPr="00854E06" w:rsidRDefault="00743766" w:rsidP="00523FFD">
      <w:pPr>
        <w:pStyle w:val="Heading3"/>
        <w:numPr>
          <w:ilvl w:val="1"/>
          <w:numId w:val="19"/>
        </w:numPr>
        <w:ind w:left="540" w:hanging="540"/>
        <w:rPr>
          <w:rFonts w:cstheme="majorBidi"/>
          <w:szCs w:val="24"/>
        </w:rPr>
      </w:pPr>
      <w:r w:rsidRPr="00854E06">
        <w:rPr>
          <w:rFonts w:cstheme="majorBidi"/>
          <w:szCs w:val="24"/>
        </w:rPr>
        <w:t xml:space="preserve"> </w:t>
      </w:r>
      <w:bookmarkStart w:id="14" w:name="_Toc394525547"/>
      <w:r w:rsidR="00A84D7A" w:rsidRPr="00854E06">
        <w:rPr>
          <w:rFonts w:cstheme="majorBidi"/>
          <w:szCs w:val="24"/>
        </w:rPr>
        <w:t>Streambed re-suspension</w:t>
      </w:r>
      <w:bookmarkEnd w:id="14"/>
    </w:p>
    <w:p w:rsidR="0082379C" w:rsidRPr="0082379C" w:rsidRDefault="0082379C" w:rsidP="0082379C">
      <w:pPr>
        <w:spacing w:line="480" w:lineRule="auto"/>
        <w:ind w:firstLine="720"/>
        <w:jc w:val="both"/>
        <w:rPr>
          <w:rFonts w:cstheme="majorBidi"/>
          <w:bCs/>
        </w:rPr>
      </w:pPr>
      <w:r w:rsidRPr="0082379C">
        <w:rPr>
          <w:rFonts w:cstheme="majorBidi"/>
          <w:bCs/>
        </w:rPr>
        <w:t xml:space="preserve">In-stream sources of sediment, namely re-suspension of bed materials, have become more important as the improvement in channel-bank and soil-surface conservation techniques have prevented upland sediment from entering the Mississippi River and its tributaries and as river traffic has increased on the Mississippi River. </w:t>
      </w:r>
      <w:r w:rsidR="00F41E6A" w:rsidRPr="0082379C">
        <w:rPr>
          <w:rFonts w:cstheme="majorBidi"/>
          <w:bCs/>
        </w:rPr>
        <w:fldChar w:fldCharType="begin"/>
      </w:r>
      <w:r w:rsidRPr="0082379C">
        <w:rPr>
          <w:rFonts w:cstheme="majorBidi"/>
          <w:bCs/>
        </w:rPr>
        <w:instrText xml:space="preserve"> ADDIN ZOTERO_ITEM CSL_CITATION {"citationID":"IFwr53j0","properties":{"formattedCitation":"(Wuebben et al. 1983)","plainCitation":"(Wuebben et al. 1983)"},"citationItems":[{"id":586,"uris":["http://zotero.org/users/1706519/items/ADB37PKW"],"uri":["http://zotero.org/users/1706519/items/ADB37PKW"],"itemData":{"id":586,"type":"book","title":"Effect of Vessel Size on Shoreline and Shore Structure Damage Along the Great Lakes Connecting Channels","publisher":"U.S. Army Cold Regions Research &amp; Engineering Laboratory","number-of-pages":"69","source":"Google Books","abstract":"In conjunction with the Great Lakes connecting channels and harbors study, this report examines the potential damage to the shore and shore structures due to an increase in vessel size. The areas considered in this report are the United States shorelines along the St. Marys, St. Clair and Detroit rivers. The potential for shoreline or shore structure damage due to an increase in vessel size was reviewed on both a conceptual and site-specific basis. Ship-induced waves were ruled out as a damage mechanism since the analysis showed that the contemplated increases in vessel size would not significantly affect wave heights in the nearshore zone. Propeller wash was discounted for similar reasons. Ship-induced drawdown was determined to be the major potential damage mechanism. While larger ships potentially produce more damage, this potential is significant only in severely restricted channel sections for the size increase considered here. By far the most significant factor in ship-related damage potential is vessel speed. In almost all areas, the effect of an increase in vessel size could be eliminated by a reduction in vessel speed of 1-2 mph. (Author).In conjunction with the Great Lakes connecting channels and harbors study, this report examines the potential damage to the shore and shore structures due to an increase in vessel size. The areas considered in this report are the United States shorelines along the St. Marys, St. Clair and Detroit rivers. The potential for shoreline or shore structure damage due to an increase in vessel size was reviewed on both a conceptual and site-specific basis. Ship-induced waves were ruled out as a damage mechanism since the analysis showed that the contemplated increases in vessel size would not significantly affect wave heights in the nearshore zone. Propeller wash was discounted for similar reasons. Ship-induced drawdown was determined to be the major potential damage mechanism. While larger ships potentially produce more damage, this potential is significant only in severely restricted channel sections for the size increase considered here. By far the most significant factor in ship-related damage potential is vessel speed. In almost all areas, the effect of an increase in vessel size could be eliminated by a reduction in vessel speed of 1-2 mph. (Author).","language":"en","author":[{"family":"Wuebben","given":"James L."},{"family":"Laboratory","given":"United States Department of the Army Cold Regions Research and Engineering"},{"family":"NH","given":"COLD REGIONS RESEARCH AND ENGINEERING LAB HANOVER"},{"family":"District","given":"United States Army Corps of Engineers Detroit"}],"issued":{"date-parts":[["1983"]]}}}],"schema":"https://github.com/citation-style-language/schema/raw/master/csl-citation.json"} </w:instrText>
      </w:r>
      <w:r w:rsidR="00F41E6A" w:rsidRPr="0082379C">
        <w:rPr>
          <w:rFonts w:cstheme="majorBidi"/>
          <w:bCs/>
        </w:rPr>
        <w:fldChar w:fldCharType="separate"/>
      </w:r>
      <w:r w:rsidRPr="0082379C">
        <w:rPr>
          <w:rFonts w:ascii="Times New Roman" w:hAnsi="Times New Roman" w:cs="Times New Roman"/>
        </w:rPr>
        <w:t>Wuebben et al. (1983)</w:t>
      </w:r>
      <w:r w:rsidR="00F41E6A" w:rsidRPr="0082379C">
        <w:rPr>
          <w:rFonts w:cstheme="majorBidi"/>
          <w:bCs/>
        </w:rPr>
        <w:fldChar w:fldCharType="end"/>
      </w:r>
      <w:r w:rsidRPr="0082379C">
        <w:rPr>
          <w:rFonts w:cstheme="majorBidi"/>
          <w:bCs/>
        </w:rPr>
        <w:t xml:space="preserve"> studied the effect of boat traffic on the re-suspension of streambed materials. They used the term “explosive liquefaction” to describe the saltation of bottom sediment caused by the imbalance between the pore pressure in the bed soil and water pressure on the riverbed. This mechanism repeated whenever a vessel passed, causing re-suspension of sediment. </w:t>
      </w:r>
    </w:p>
    <w:p w:rsidR="00A25F96" w:rsidRPr="00523FFD" w:rsidRDefault="00A25F96" w:rsidP="00523FFD">
      <w:pPr>
        <w:pStyle w:val="Heading2"/>
        <w:numPr>
          <w:ilvl w:val="0"/>
          <w:numId w:val="19"/>
        </w:numPr>
        <w:ind w:left="360"/>
      </w:pPr>
      <w:bookmarkStart w:id="15" w:name="_Toc394525548"/>
      <w:r w:rsidRPr="00523FFD">
        <w:t>Sediment transport</w:t>
      </w:r>
      <w:bookmarkEnd w:id="15"/>
    </w:p>
    <w:p w:rsidR="0082379C" w:rsidRPr="0082379C" w:rsidRDefault="0082379C" w:rsidP="0082379C">
      <w:pPr>
        <w:spacing w:line="480" w:lineRule="auto"/>
        <w:ind w:firstLine="720"/>
        <w:jc w:val="both"/>
        <w:rPr>
          <w:rFonts w:cstheme="majorBidi"/>
        </w:rPr>
      </w:pPr>
      <w:r w:rsidRPr="0082379C">
        <w:rPr>
          <w:rFonts w:cstheme="majorBidi"/>
        </w:rPr>
        <w:t xml:space="preserve">Suspended sediment </w:t>
      </w:r>
      <w:r w:rsidR="00007308">
        <w:rPr>
          <w:rFonts w:cstheme="majorBidi"/>
        </w:rPr>
        <w:t>consists of</w:t>
      </w:r>
      <w:r w:rsidR="00007308" w:rsidRPr="0082379C">
        <w:rPr>
          <w:rFonts w:cstheme="majorBidi"/>
        </w:rPr>
        <w:t xml:space="preserve"> </w:t>
      </w:r>
      <w:r w:rsidRPr="0082379C">
        <w:rPr>
          <w:rFonts w:cstheme="majorBidi"/>
        </w:rPr>
        <w:t xml:space="preserve">particles suspended in the flow, in the water column. The suspension of a particle is maintained by the lift force generated by pressure differences on the top and bottom sides of the particle </w:t>
      </w:r>
      <w:r w:rsidR="00F41E6A" w:rsidRPr="0082379C">
        <w:rPr>
          <w:rFonts w:cstheme="majorBidi"/>
        </w:rPr>
        <w:fldChar w:fldCharType="begin"/>
      </w:r>
      <w:r w:rsidRPr="0082379C">
        <w:rPr>
          <w:rFonts w:cstheme="majorBidi"/>
        </w:rPr>
        <w:instrText xml:space="preserve"> ADDIN ZOTERO_ITEM CSL_CITATION {"citationID":"OkjBBi1w","properties":{"formattedCitation":"(Jeffreys 1929)","plainCitation":"(Jeffreys 1929)"},"citationItems":[{"id":149,"uris":["http://zotero.org/users/1706519/items/Z2AR5RUN"],"uri":["http://zotero.org/users/1706519/items/Z2AR5RUN"],"itemData":{"id":149,"type":"article-journal","title":"On the transport of sediments in streams","container-title":"Proc. Cambridge Philo. Soc.","volume":"25","author":[{"family":"Jeffreys","given":"H."}],"issued":{"date-parts":[["1929"]]}}}],"schema":"https://github.com/citation-style-language/schema/raw/master/csl-citation.json"} </w:instrText>
      </w:r>
      <w:r w:rsidR="00F41E6A" w:rsidRPr="0082379C">
        <w:rPr>
          <w:rFonts w:cstheme="majorBidi"/>
        </w:rPr>
        <w:fldChar w:fldCharType="separate"/>
      </w:r>
      <w:r w:rsidRPr="0082379C">
        <w:rPr>
          <w:rFonts w:cstheme="majorBidi"/>
        </w:rPr>
        <w:t>(Jeffreys 1929)</w:t>
      </w:r>
      <w:r w:rsidR="00F41E6A" w:rsidRPr="0082379C">
        <w:rPr>
          <w:rFonts w:cstheme="majorBidi"/>
        </w:rPr>
        <w:fldChar w:fldCharType="end"/>
      </w:r>
      <w:r w:rsidRPr="0082379C">
        <w:rPr>
          <w:rFonts w:cstheme="majorBidi"/>
        </w:rPr>
        <w:t xml:space="preserve">. The amount and size of sediment moving through a river channel are determined by two factors: capacity, and sediment supply </w:t>
      </w:r>
      <w:r w:rsidR="00F41E6A" w:rsidRPr="0082379C">
        <w:rPr>
          <w:rFonts w:cstheme="majorBidi"/>
        </w:rPr>
        <w:fldChar w:fldCharType="begin"/>
      </w:r>
      <w:r w:rsidRPr="0082379C">
        <w:rPr>
          <w:rFonts w:cstheme="majorBidi"/>
        </w:rPr>
        <w:instrText xml:space="preserve"> ADDIN ZOTERO_ITEM CSL_CITATION {"citationID":"pVdcks7s","properties":{"formattedCitation":"(Hickin 1995)","plainCitation":"(Hickin 1995)"},"citationItems":[{"id":604,"uris":["http://zotero.org/users/1706519/items/3NG9XHQP"],"uri":["http://zotero.org/users/1706519/items/3NG9XHQP"],"itemData":{"id":604,"type":"book","title":"River geomorphology","publisher":"Wiley","number-of-pages":"280","source":"Google Books","abstract":"Contains a selection of 12 river studies that are extremely current and includes recently completed and ongoing original research. Fluvial sediment production and transport, overbank sedimentation, channel scour and hydraulic geometry, human impacts on river systems and the dynamics of large-scale river geomorphology recorded by satellite imagery are among the issues covered. Although the collection is thematic, it also reflects the rich diversity of perspectives and interests of international river scientists.","ISBN":"9780471955313","language":"en","author":[{"family":"Hickin","given":"Edward J."}],"issued":{"date-parts":[["1995",6,20]]}}}],"schema":"https://github.com/citation-style-language/schema/raw/master/csl-citation.json"} </w:instrText>
      </w:r>
      <w:r w:rsidR="00F41E6A" w:rsidRPr="0082379C">
        <w:rPr>
          <w:rFonts w:cstheme="majorBidi"/>
        </w:rPr>
        <w:fldChar w:fldCharType="separate"/>
      </w:r>
      <w:r w:rsidRPr="0082379C">
        <w:rPr>
          <w:rFonts w:ascii="Times New Roman" w:hAnsi="Times New Roman" w:cs="Times New Roman"/>
        </w:rPr>
        <w:t>(Hickin 1995)</w:t>
      </w:r>
      <w:r w:rsidR="00F41E6A" w:rsidRPr="0082379C">
        <w:rPr>
          <w:rFonts w:cstheme="majorBidi"/>
        </w:rPr>
        <w:fldChar w:fldCharType="end"/>
      </w:r>
      <w:r w:rsidRPr="0082379C">
        <w:rPr>
          <w:rFonts w:cstheme="majorBidi"/>
        </w:rPr>
        <w:t>. Capacity transport of a river refers to the maximum amount of sediment of a given size that the rive</w:t>
      </w:r>
      <w:r w:rsidR="003B3858">
        <w:rPr>
          <w:rFonts w:cstheme="majorBidi"/>
        </w:rPr>
        <w:t>r can transport in its channel.</w:t>
      </w:r>
      <w:r w:rsidRPr="0082379C">
        <w:rPr>
          <w:rFonts w:cstheme="majorBidi"/>
        </w:rPr>
        <w:t xml:space="preserve"> Capacity transport, given the case of unlimited sediment supply, depends on the channel gradient, discharge, and sediment grain size. Capacity transport is higher for fine sediment and lower for coarse sediment, and it can only reach its maximum when sediment supply, the amount and grain size of sediment that is present in the </w:t>
      </w:r>
      <w:r w:rsidRPr="0082379C">
        <w:rPr>
          <w:rFonts w:cstheme="majorBidi"/>
        </w:rPr>
        <w:lastRenderedPageBreak/>
        <w:t xml:space="preserve">channel, is not limiting. Sediment supply and hydraulic limitations of the flow are two constraints used to distinguish supply-limited and transport-limited (also called capacity-limited) conditions for sediment transport. River channels are typically supply-limited for fine sediment and transport-limited (capacity-limited) for coarser material </w:t>
      </w:r>
      <w:r w:rsidR="00F41E6A" w:rsidRPr="0082379C">
        <w:rPr>
          <w:rFonts w:cstheme="majorBidi"/>
        </w:rPr>
        <w:fldChar w:fldCharType="begin"/>
      </w:r>
      <w:r w:rsidRPr="0082379C">
        <w:rPr>
          <w:rFonts w:cstheme="majorBidi"/>
        </w:rPr>
        <w:instrText xml:space="preserve"> ADDIN ZOTERO_ITEM CSL_CITATION {"citationID":"TkSwFIP1","properties":{"formattedCitation":"(Hickin 1995)","plainCitation":"(Hickin 1995)"},"citationItems":[{"id":604,"uris":["http://zotero.org/users/1706519/items/3NG9XHQP"],"uri":["http://zotero.org/users/1706519/items/3NG9XHQP"],"itemData":{"id":604,"type":"book","title":"River geomorphology","publisher":"Wiley","number-of-pages":"280","source":"Google Books","abstract":"Contains a selection of 12 river studies that are extremely current and includes recently completed and ongoing original research. Fluvial sediment production and transport, overbank sedimentation, channel scour and hydraulic geometry, human impacts on river systems and the dynamics of large-scale river geomorphology recorded by satellite imagery are among the issues covered. Although the collection is thematic, it also reflects the rich diversity of perspectives and interests of international river scientists.","ISBN":"9780471955313","language":"en","author":[{"family":"Hickin","given":"Edward J."}],"issued":{"date-parts":[["1995",6,20]]}}}],"schema":"https://github.com/citation-style-language/schema/raw/master/csl-citation.json"} </w:instrText>
      </w:r>
      <w:r w:rsidR="00F41E6A" w:rsidRPr="0082379C">
        <w:rPr>
          <w:rFonts w:cstheme="majorBidi"/>
        </w:rPr>
        <w:fldChar w:fldCharType="separate"/>
      </w:r>
      <w:r w:rsidRPr="0082379C">
        <w:rPr>
          <w:rFonts w:ascii="Times New Roman" w:hAnsi="Times New Roman" w:cs="Times New Roman"/>
        </w:rPr>
        <w:t>(Hickin 1995)</w:t>
      </w:r>
      <w:r w:rsidR="00F41E6A" w:rsidRPr="0082379C">
        <w:rPr>
          <w:rFonts w:cstheme="majorBidi"/>
        </w:rPr>
        <w:fldChar w:fldCharType="end"/>
      </w:r>
      <w:r w:rsidRPr="0082379C">
        <w:rPr>
          <w:rFonts w:cstheme="majorBidi"/>
        </w:rPr>
        <w:t xml:space="preserve">. </w:t>
      </w:r>
    </w:p>
    <w:p w:rsidR="00AC100E" w:rsidRPr="0082379C" w:rsidRDefault="0082379C" w:rsidP="0082379C">
      <w:pPr>
        <w:spacing w:line="480" w:lineRule="auto"/>
        <w:ind w:firstLine="720"/>
        <w:jc w:val="both"/>
        <w:rPr>
          <w:rFonts w:cstheme="majorBidi"/>
        </w:rPr>
      </w:pPr>
      <w:r w:rsidRPr="0082379C">
        <w:rPr>
          <w:rFonts w:cstheme="majorBidi"/>
        </w:rPr>
        <w:t xml:space="preserve">Particles remain in suspension until the lift force caused by the turbulent motion of water falls below the force of gravity on the particle, and gravitational settling occurs. Deposition processes are directly related to flow velocity and grain size </w:t>
      </w:r>
      <w:r w:rsidR="00F41E6A" w:rsidRPr="0082379C">
        <w:rPr>
          <w:rFonts w:cstheme="majorBidi"/>
        </w:rPr>
        <w:fldChar w:fldCharType="begin"/>
      </w:r>
      <w:r w:rsidRPr="0082379C">
        <w:rPr>
          <w:rFonts w:cstheme="majorBidi"/>
        </w:rPr>
        <w:instrText xml:space="preserve"> ADDIN ZOTERO_ITEM CSL_CITATION {"citationID":"t2sCQ1ul","properties":{"formattedCitation":"{\\rtf (Hjulstro\\uc0\\u776{}m 1935)}","plainCitation":"(Hjulström 1935)"},"citationItems":[{"id":589,"uris":["http://zotero.org/users/1706519/items/FEBKGAG5"],"uri":["http://zotero.org/users/1706519/items/FEBKGAG5"],"itemData":{"id":589,"type":"thesis","title":"Studies of the morphological activity of rivers as illustrated by the River Fyris. Inaugural dissertation,","publisher":"Almqvist &amp; Wiksells","publisher-place":"Uppsala","source":"Open WorldCat","event-place":"Uppsala","language":"English","author":[{"family":"Hjulström","given":"Filip"}],"issued":{"date-parts":[["1935"]]}}}],"schema":"https://github.com/citation-style-language/schema/raw/master/csl-citation.json"} </w:instrText>
      </w:r>
      <w:r w:rsidR="00F41E6A" w:rsidRPr="0082379C">
        <w:rPr>
          <w:rFonts w:cstheme="majorBidi"/>
        </w:rPr>
        <w:fldChar w:fldCharType="separate"/>
      </w:r>
      <w:r w:rsidRPr="0082379C">
        <w:rPr>
          <w:rFonts w:ascii="Times New Roman" w:hAnsi="Times New Roman" w:cs="Times New Roman"/>
        </w:rPr>
        <w:t>(Hjulström 1935)</w:t>
      </w:r>
      <w:r w:rsidR="00F41E6A" w:rsidRPr="0082379C">
        <w:rPr>
          <w:rFonts w:cstheme="majorBidi"/>
        </w:rPr>
        <w:fldChar w:fldCharType="end"/>
      </w:r>
      <w:r w:rsidRPr="0082379C">
        <w:rPr>
          <w:rFonts w:cstheme="majorBidi"/>
        </w:rPr>
        <w:t xml:space="preserve">. The deposition of suspended sediment aggrades channel margin surfaces and forms floodplains and deltas </w:t>
      </w:r>
      <w:r w:rsidR="00F41E6A" w:rsidRPr="0082379C">
        <w:rPr>
          <w:rFonts w:cstheme="majorBidi"/>
        </w:rPr>
        <w:fldChar w:fldCharType="begin"/>
      </w:r>
      <w:r w:rsidRPr="0082379C">
        <w:rPr>
          <w:rFonts w:cstheme="majorBidi"/>
        </w:rPr>
        <w:instrText xml:space="preserve"> ADDIN ZOTERO_ITEM CSL_CITATION {"citationID":"qDE2gYae","properties":{"formattedCitation":"(Bourke 2002)","plainCitation":"(Bourke 2002)"},"citationItems":[{"id":113,"uris":["http://zotero.org/users/1706519/items/RUVHE2CM"],"uri":["http://zotero.org/users/1706519/items/RUVHE2CM"],"itemData":{"id":113,"type":"article-journal","title":"Suspended sediment concentrations and geomorphic effect of sub-bankfull flow in a central Australian stream","container-title":"The Structure, Function and Management Implications of Fluvial Sedimentary Systems","page":"315-324","author":[{"family":"Bourke","given":"M. C."}],"issued":{"date-parts":[["2002"]]}}}],"schema":"https://github.com/citation-style-language/schema/raw/master/csl-citation.json"} </w:instrText>
      </w:r>
      <w:r w:rsidR="00F41E6A" w:rsidRPr="0082379C">
        <w:rPr>
          <w:rFonts w:cstheme="majorBidi"/>
        </w:rPr>
        <w:fldChar w:fldCharType="separate"/>
      </w:r>
      <w:r w:rsidRPr="0082379C">
        <w:rPr>
          <w:rFonts w:cstheme="majorBidi"/>
        </w:rPr>
        <w:t>(Bourke 2002)</w:t>
      </w:r>
      <w:r w:rsidR="00F41E6A" w:rsidRPr="0082379C">
        <w:rPr>
          <w:rFonts w:cstheme="majorBidi"/>
        </w:rPr>
        <w:fldChar w:fldCharType="end"/>
      </w:r>
      <w:r w:rsidRPr="0082379C">
        <w:rPr>
          <w:rFonts w:cstheme="majorBidi"/>
        </w:rPr>
        <w:t>, as well as in-channel deposits.</w:t>
      </w:r>
    </w:p>
    <w:p w:rsidR="00A25F96" w:rsidRPr="00523FFD" w:rsidRDefault="004A7207" w:rsidP="00523FFD">
      <w:pPr>
        <w:pStyle w:val="Heading2"/>
        <w:numPr>
          <w:ilvl w:val="0"/>
          <w:numId w:val="19"/>
        </w:numPr>
        <w:ind w:left="360"/>
      </w:pPr>
      <w:bookmarkStart w:id="16" w:name="_Toc394525549"/>
      <w:r w:rsidRPr="00523FFD">
        <w:t>Using discharge to estimate suspended sediment load</w:t>
      </w:r>
      <w:bookmarkEnd w:id="16"/>
    </w:p>
    <w:p w:rsidR="00A84D7A" w:rsidRPr="00854E06" w:rsidRDefault="00A84D7A" w:rsidP="00145388">
      <w:pPr>
        <w:pStyle w:val="Heading3"/>
        <w:numPr>
          <w:ilvl w:val="1"/>
          <w:numId w:val="19"/>
        </w:numPr>
        <w:ind w:left="540" w:hanging="540"/>
        <w:rPr>
          <w:rFonts w:cstheme="majorBidi"/>
          <w:szCs w:val="24"/>
        </w:rPr>
      </w:pPr>
      <w:bookmarkStart w:id="17" w:name="_Toc394525550"/>
      <w:r w:rsidRPr="00854E06">
        <w:rPr>
          <w:rFonts w:cstheme="majorBidi"/>
          <w:szCs w:val="24"/>
        </w:rPr>
        <w:t>Sediment rating curve</w:t>
      </w:r>
      <w:bookmarkEnd w:id="17"/>
    </w:p>
    <w:p w:rsidR="00E63DA3" w:rsidRPr="00E63DA3" w:rsidRDefault="00E63DA3" w:rsidP="00E63DA3">
      <w:pPr>
        <w:spacing w:line="480" w:lineRule="auto"/>
        <w:ind w:firstLine="720"/>
        <w:jc w:val="both"/>
        <w:rPr>
          <w:rFonts w:cstheme="majorBidi"/>
        </w:rPr>
      </w:pPr>
      <w:r w:rsidRPr="00E63DA3">
        <w:rPr>
          <w:rFonts w:cstheme="majorBidi"/>
        </w:rPr>
        <w:t xml:space="preserve">Researchers have long been interested in studying fluvial suspended sediment transport to evaluate various issues such as contaminant transport, water-quality trends, soil erosion and loss, or reservoir sedimentation </w:t>
      </w:r>
      <w:r w:rsidR="00F41E6A" w:rsidRPr="00E63DA3">
        <w:rPr>
          <w:rFonts w:cstheme="majorBidi"/>
        </w:rPr>
        <w:fldChar w:fldCharType="begin"/>
      </w:r>
      <w:r w:rsidRPr="00E63DA3">
        <w:rPr>
          <w:rFonts w:cstheme="majorBidi"/>
        </w:rPr>
        <w:instrText xml:space="preserve"> ADDIN ZOTERO_ITEM CSL_CITATION {"citationID":"iHJdLYmk","properties":{"formattedCitation":"(Colby 1956; Ferguson 1986; Horowitz, Elrick, and Smith 2001)","plainCitation":"(Colby 1956; Ferguson 1986; Horowitz, Elrick, and Smith 2001)"},"citationItems":[{"id":126,"uris":["http://zotero.org/users/1706519/items/TWQTQTSD"],"uri":["http://zotero.org/users/1706519/items/TWQTQTSD"],"itemData":{"id":126,"type":"report","title":"Relationship of sediment discharge to streamflow","publisher":"United States Geological Survey","source":"pubs.er.usgs.gov","abstract":"The relationship between rate of sediment discharge and rate of water discharge at a cross section of a stream is frequently expressed by an average curve. This curve is the sediment rating curve. It has been widely used in the computation of average sediment discharge from water discharge for periods when sediment samples were not collected. This report discusses primarily the applications of sediment rating curves for periods during which at least occasional sediment samples were collected. Because sediment rating curves are of many kinds, the selection of the correct kind for each use is important. Each curve should be carefully prepared. In particular, the correct dependent variable must be used or the slope of the sediment rating curve may be incorrect for computing sediment discharges. Sediment rating curves and their applications were studied for the following gaging stations: 1. Niobrara River near Cody, Nebr. 2. Colorado River near Grand Canyon, Ariz. 3. Rio Grande at San Martial, N. Mex. 4. Rio Puerto near Bernardo, N. Mex. 5. White River near Kadoka, S. Dak. 6. Sandusky River near Fremont, Ohio Except for the Sandusky River and the Rio Puerco, which transport mostly fine sediment, one instantaneous sediment rating curve was prepared for the discharge of suspended sands, at each station, and another for the discharge of sediment finer than 0.082 millimeter. Each curve was studied separately, and by trial-end-error multiple correlation some of the factors that cause scatter from the sediment rating curves were determined. Average velocity at the cross section, Water temperature, and erratic fluctuations in concentration seemed to be the three major factors that caused departures from the sediment rating curves for suspended sands. The concentration of suspended sands varied with about the 2.8 power of the mean velocity for the four sediment, rating curves for suspended sands. The effect of water temperature was not so consistent as that of velocity and theoretically should vary considerably with differences in the size composition of the suspended sands. Scatter from the sediment rating curves for sediments finer than 0.082 millimeter seemed to be caused by changes in supply of these sediments. Some of the scatter could be explained by seasonal variations, by a pattern of change in concentration of fine sediment following a rise, or by source of the runoff as indicated by the measured relative flows of certain tributaries. Daily or instantaneous sediment rating curves adjusted for factors that account for some of the scatter from an average curve often can be used to compute approximate daily, monthly, and annual sediment discharges. Accuracy of the computed sediment discharges should be better than average for streams that transport mostly sands rather than fine sediments and for some ephemeral or intermittent streams, such as Rio Puerco, in semiarid regions. Accuracy of computed sediment discharges can be much improved for many streams by shifting the sediment rating curve on the basis of 2 or 4 measurements of sediment discharge per month. Of 26 annual sediment discharges that were computed by shifting sediment rating curves to either 2 or 4 measured sediment discharges per month, 18 were within I0 percent of the annual-sediment discharges that were computed on the basis of a daily sampling program. Monthly and daily sediment discharges computed from daily or instantaneous sediment rating curves, either shifted or unshifted, were less accurate than similarly computed annual sediment discharges. Even so, the difference in cost between occasional sediment samples and daily samples is so great that the added accuracy from daily sampling may not Justify the added cost. Monthly and annual sediment-rating curves can be applied simply, with adjustments if required, to compute monthly and annual sediment discharges with reasonably good accuracy for gaging stations like the Rio Puerco near Bernardo,","URL":"http://pubs.er.usgs.gov/publication/ofr5627","number":"OFR - 56-27","author":[{"family":"Colby","given":"B. R."}],"issued":{"date-parts":[["1956"]]},"accessed":{"date-parts":[["2013",8,15]]}}},{"id":73,"uris":["http://zotero.org/users/1706519/items/GZ626CRN"],"uri":["http://zotero.org/users/1706519/items/GZ626CRN"],"itemData":{"id":73,"type":"article-journal","title":"River Loads Underestimated by Rating Curves","container-title":"Water Resources Research","page":"74–76","volume":"22","issue":"1","source":"Wiley Online Library","abstract":"Statistical considerations show that the sediment, solute, or pollutant load of a river is likely to be underestimated by methods in which unmeasured concentrations are estimated from discharge using a least squares regression for the logarithm of concentration. The degree of underestimation increases with the degree of scatter about the rating curve and can reach 50%. A simple correction factor is proposed and tested successfully on simulated and real data sets.","DOI":"10.1029/WR022i001p00074","ISSN":"1944-7973","language":"en","author":[{"family":"Ferguson","given":"R. I."}],"issued":{"date-parts":[["1986"]]},"accessed":{"date-parts":[["2013",9,8]]}}},{"id":429,"uris":["http://zotero.org/users/1706519/items/P74D836E"],"uri":["http://zotero.org/users/1706519/items/P74D836E"],"itemData":{"id":429,"type":"article-journal","title":"Estimating suspended sediment and trace element fluxes in large river basins: methodological considerations as applied to the NASQAN programme","container-title":"Hydrological Processes","page":"1107–1132","volume":"15","issue":"7","source":"Wiley Online Library","abstract":"In 1994, the NASQAN (National Stream Quality Accounting Network) programme was redesigned as a flux-based water-quality monitoring network for the Mississippi, Columbia, Colorado, and Rio Grande Basins. As the new programme represented a departure from the original, new sampling, processing, analytical, and data handling procedures had to be selected/developed to provide data on discharge, suspended sediment concentration, and the concentrations of suspended sediment and dissolved trace elements.Annual suspended sediment fluxes were estimated by summing daily instantaneous fluxes based on predicted suspended sediment concentrations derived from discharge-based log–log regression (rating-curve) models. The models were developed using both historical and current site-specific discharge and suspended sediment concentrations. Errors using this approach typically are less than ±10% for the 3-year reporting period; however, the magnitude of the errors increases substantially for temporal spans shorter than 1 year.Total, rather than total-recoverable, suspended sediment-associated trace element concentrations were determined by direct analysis of material dewatered from large-volume whole-water samples. Site-specific intra- and inter-annual suspended sediment-associated chemical variations were less (typically by no more than a factor of two) than those for either discharge or suspended sediment concentrations (usually more than 10-fold). The concentrations, hence the annual fluxes, for suspended sediment-associated phosphorus and organic carbon, determined by direct analyses, were higher than those determined using a more traditional paired, whole-water/filtered-water approach (by factors ranging from 1·5- to 10-fold). This may be important for such issues as eutrophication and coastal productivity.Filtered water-associated (dissolved) trace element concentrations were markedly lower than those determined during the historical NASQAN programme; many were below their respective detection limits. This resulted from the use of clean sampling, processing, and analytical protocols. Hence, the fluxes for filtered water-associated (dissolved) Ag, Pb, Co, V, Be, Sb, and Se, as well as the total (filtered water plus suspended sediment-associated) fluxes for these constituents, could not be estimated. Published in 2001 by John Wiley &amp; Sons, Ltd.","DOI":"10.1002/hyp.206","ISSN":"1099-1085","shortTitle":"Estimating suspended sediment and trace element fluxes in large river basins","language":"en","author":[{"family":"Horowitz","given":"Arthur J."},{"family":"Elrick","given":"Kent A."},{"family":"Smith","given":"James J."}],"issued":{"date-parts":[["2001"]]},"accessed":{"date-parts":[["2014",2,4]]}}}],"schema":"https://github.com/citation-style-language/schema/raw/master/csl-citation.json"} </w:instrText>
      </w:r>
      <w:r w:rsidR="00F41E6A" w:rsidRPr="00E63DA3">
        <w:rPr>
          <w:rFonts w:cstheme="majorBidi"/>
        </w:rPr>
        <w:fldChar w:fldCharType="separate"/>
      </w:r>
      <w:r w:rsidRPr="00E63DA3">
        <w:rPr>
          <w:rFonts w:cstheme="majorBidi"/>
        </w:rPr>
        <w:t>(e.g., Colby 1956; Ferguson 1986; Horowitz et al. 2001)</w:t>
      </w:r>
      <w:r w:rsidR="00F41E6A" w:rsidRPr="00E63DA3">
        <w:rPr>
          <w:rFonts w:cstheme="majorBidi"/>
        </w:rPr>
        <w:fldChar w:fldCharType="end"/>
      </w:r>
      <w:r w:rsidRPr="00E63DA3">
        <w:rPr>
          <w:rFonts w:cstheme="majorBidi"/>
        </w:rPr>
        <w:t xml:space="preserve">. However, due to the lack of continuous suspended sediment concentration records, suspended sediment loads cannot be directly calculated </w:t>
      </w:r>
      <w:r w:rsidR="00F41E6A" w:rsidRPr="00E63DA3">
        <w:rPr>
          <w:rFonts w:cstheme="majorBidi"/>
        </w:rPr>
        <w:fldChar w:fldCharType="begin"/>
      </w:r>
      <w:r w:rsidRPr="00E63DA3">
        <w:rPr>
          <w:rFonts w:cstheme="majorBidi"/>
        </w:rPr>
        <w:instrText xml:space="preserve"> ADDIN ZOTERO_ITEM CSL_CITATION {"citationID":"gaJ01Rkd","properties":{"formattedCitation":"(Phillips et al. 1999)","plainCitation":"(Phillips et al. 1999)"},"citationItems":[{"id":432,"uris":["http://zotero.org/users/1706519/items/MB8VXEF6"],"uri":["http://zotero.org/users/1706519/items/MB8VXEF6"],"itemData":{"id":432,"type":"article-journal","title":"Estimating the suspended sediment loads of rivers in the LOIS study area using infrequent samples","container-title":"Hydrological Processes","page":"1035-1050","volume":"13","source":"NASA ADS","abstract":"A central objective of the LOIS Community Research Programme is to \nprovide estimates of the land-ocean flux of suspended sediment from the\nLOIS study area. While high frequency (15-minute interval) suspended\nsediment concentration data are recorded within the programme at six\ntidal limit sites, infrequent (weekly-monthly) sampling undertaken by\nthe Harmonized Monitoring (HM) Programme provides additional\nconcentration data for 23 tidal limit sites in the LOIS study area. In\norder that these infrequent data can be used to generate sediment flux\nestimates, the accuracy and precision of 22 load estimation procedures\nare assessed in the context of sampling frequency (weekly, fortnightly\nand monthly) and basin scales representative of the LOIS study area.\nSampling frequency is demonstrated to exert a significant influence on\nthe precision of the individual procedures, with precision being\ninversely related to sampling frequency. Accuracy is less clearly\ninfluenced by sampling frequency, although different procedures were\nidentified as being the most accurate at the three sampling frequencies.\nBasin scale is shown to exert a significant influence upon accuracy and\nprecision, with the performance of the load estimation procedures being\ninversely related to basin scale. For one interpolation procedure, an\nerror correction procedure is developed, based on the strong\nrelationship identified in this study between the error associated with\nindividual flux estimates and the ratio of mean sampled discharge to the\nmean discharge obtained from the high frequency record. This relatively\nhigh resolution error correction method is applied to HM data from eight\ntidal limit sites in the LOIS area, and corrects the initial annual load\nestimates to provide values that are considered to be more\nrepresentative of rivers from the LOIS study area.","DOI":"10.1002/(SICI)1099-1085(199905)13:7&lt;1035::AID-HYP788&gt;3.0.CO;2-K","ISSN":"0885-6087","journalAbbreviation":"Hydrological Processes","author":[{"family":"Phillips","given":"J. M."},{"family":"Webb","given":"B. W."},{"family":"Walling","given":"D. E."},{"family":"Leeks","given":"G. J. L."}],"issued":{"date-parts":[["1999",5,1]]},"accessed":{"date-parts":[["2014",2,4]]}}}],"schema":"https://github.com/citation-style-language/schema/raw/master/csl-citation.json"} </w:instrText>
      </w:r>
      <w:r w:rsidR="00F41E6A" w:rsidRPr="00E63DA3">
        <w:rPr>
          <w:rFonts w:cstheme="majorBidi"/>
        </w:rPr>
        <w:fldChar w:fldCharType="separate"/>
      </w:r>
      <w:r w:rsidRPr="00E63DA3">
        <w:rPr>
          <w:rFonts w:cstheme="majorBidi"/>
        </w:rPr>
        <w:t>(Phillips et al. 1999)</w:t>
      </w:r>
      <w:r w:rsidR="00F41E6A" w:rsidRPr="00E63DA3">
        <w:rPr>
          <w:rFonts w:cstheme="majorBidi"/>
        </w:rPr>
        <w:fldChar w:fldCharType="end"/>
      </w:r>
      <w:r w:rsidRPr="00E63DA3">
        <w:rPr>
          <w:rFonts w:cstheme="majorBidi"/>
        </w:rPr>
        <w:t xml:space="preserve">. Suspended sediment moves at a velocity that is closely to flow velocity </w:t>
      </w:r>
      <w:r w:rsidR="00F41E6A" w:rsidRPr="00E63DA3">
        <w:rPr>
          <w:rFonts w:cstheme="majorBidi"/>
        </w:rPr>
        <w:fldChar w:fldCharType="begin"/>
      </w:r>
      <w:r w:rsidRPr="00E63DA3">
        <w:rPr>
          <w:rFonts w:cstheme="majorBidi"/>
        </w:rPr>
        <w:instrText xml:space="preserve"> ADDIN ZOTERO_ITEM CSL_CITATION {"citationID":"uh9FtdRv","properties":{"formattedCitation":"(McMahon, Finlayson, and Gippel 2004)","plainCitation":"(McMahon, Finlayson, and Gippel 2004)"},"citationItems":[{"id":42,"uris":["http://zotero.org/users/1706519/items/9MIT4KHX"],"uri":["http://zotero.org/users/1706519/items/9MIT4KHX"],"itemData":{"id":42,"type":"book","title":"Stream Hydrology: An Introduction for Ecologists","publisher":"John Wiley and Sons","number-of-pages":"448","source":"Google Books","abstract":"Water plays an important part in today's environmental concerns. Since the publication of the first edition there have been rapid developments in the application of hydrology, geomorphology and ecology to stream management. In particular, growth has occurred in the areas of stream rehabilitation and the evaluation of environmental flow needs. The concept of stream health has been adopted as a way of assessing stream resources and setting management goals.Stream Hydrology: An Introduction for Ecologists Second Edition documents recent research and practice in these areas. Chapters provide information on sampling, field techniques, stream analysis, the hydrodynamics of moving water, channel form, sediment transport and commonly used statistical methods such as flow duration and flood frequency analysis. Methods are presented from engineering hydrology, fluvial geomorphology and hydraulics with examples of their biological implications. This book demonstrates how these fields are linked and utilised in modern, scientific river management.Emphasis on applications, from collecting and analysing field measurements to using data and tools in stream management.Updated to include new sections on environmental flows, rehabilitation, measuring stream health and stream classification.Critical reviews of the successes and failures of implementation.Revised and updated windows-based software.This book is essential reading for 2nd/3rd year undergraduates and postgraduates of hydrology, stream ecology and fisheries science in Departments of Physical Geography, Biology, Environmental Science, Landscape Ecology, Environmental Engineering and Limnology. It would be valuable reading for professionals working in stream ecology, fisheries science and habitat management, environmental consultants and engineers.","ISBN":"9780470843574","shortTitle":"Stream Hydrology","language":"en","author":[{"family":"McMahon","given":"Thomas A."},{"family":"Finlayson","given":"Brian L."},{"family":"Gippel","given":"Christopher J."}],"issued":{"date-parts":[["2004",6,18]]}}}],"schema":"https://github.com/citation-style-language/schema/raw/master/csl-citation.json"} </w:instrText>
      </w:r>
      <w:r w:rsidR="00F41E6A" w:rsidRPr="00E63DA3">
        <w:rPr>
          <w:rFonts w:cstheme="majorBidi"/>
        </w:rPr>
        <w:fldChar w:fldCharType="separate"/>
      </w:r>
      <w:r w:rsidRPr="00E63DA3">
        <w:rPr>
          <w:rFonts w:cstheme="majorBidi"/>
        </w:rPr>
        <w:t>(McMahon et al. 2004)</w:t>
      </w:r>
      <w:r w:rsidR="00F41E6A" w:rsidRPr="00E63DA3">
        <w:rPr>
          <w:rFonts w:cstheme="majorBidi"/>
        </w:rPr>
        <w:fldChar w:fldCharType="end"/>
      </w:r>
      <w:r w:rsidRPr="00E63DA3">
        <w:rPr>
          <w:rFonts w:cstheme="majorBidi"/>
        </w:rPr>
        <w:t xml:space="preserve">. As suspended sediment load is a function of water discharge, many studies have used stream discharge to estimate the suspended sediment load </w:t>
      </w:r>
      <w:r w:rsidR="00F41E6A" w:rsidRPr="00E63DA3">
        <w:rPr>
          <w:rFonts w:cstheme="majorBidi"/>
        </w:rPr>
        <w:fldChar w:fldCharType="begin"/>
      </w:r>
      <w:r w:rsidRPr="00E63DA3">
        <w:rPr>
          <w:rFonts w:cstheme="majorBidi"/>
        </w:rPr>
        <w:instrText xml:space="preserve"> ADDIN ZOTERO_ITEM CSL_CITATION {"citationID":"CZIudhL5","properties":{"formattedCitation":"(L. B. Leopold and Maddock 1953; Walling 1977; Ferguson 1986; Walling and Webb 1988; Sichingabula 1998; N.E.M. Asselman 2000; Horowitz 2003; Hu et al. 2011)","plainCitation":"(L. B. Leopold and Maddock 1953; Walling 1977; Ferguson 1986; Walling and Webb 1988; Sichingabula 1998; N.E.M. Asselman 2000; Horowitz 2003; Hu et al. 2011)","dontUpdate":true},"citationItems":[{"id":25,"uris":["http://zotero.org/users/1706519/items/6UR5RVN5"],"uri":["http://zotero.org/users/1706519/items/6UR5RVN5"],"itemData":{"id":25,"type":"report","title":"The hydraulic geometry of stream channels and some physiographic implications","publisher":"United States Geological Survey","source":"pubs.er.usgs.gov","URL":"http://pubs.er.usgs.gov/publication/pp252","number":"PP - 252","author":[{"family":"Leopold","given":"L. B."},{"family":"Maddock","given":"Thomas"}],"issued":{"date-parts":[["1953"]]},"accessed":{"date-parts":[["2013",11,3]]}}},{"id":51,"uris":["http://zotero.org/users/1706519/items/C2C9AGXB"],"uri":["http://zotero.org/users/1706519/items/C2C9AGXB"],"itemData":{"id":51,"type":"article-journal","title":"Assessing the accuracy of suspended sediment rating curves for a small basin","container-title":"Water Resources Research","page":"531–538","volume":"13","issue":"3","source":"Wiley Online Library","abstract":"Sediment rating curves are often used to estimate suspended sediment loads where the sampling program is insufficient to define the continuous record of sediment concentration. Use of this technique will involve errors in the values of sediment load produced, and comparison with measured daily values has been employed by several workers to assess the magnitude of these errors. Comparisons are more difficult for small- and medium-sized catchments because of the general lack of direct measurements of loads. Recording turbidity meters could be employed to provide a continuous record of sediment concentration which can be used to calculate sediment loads. Results are presented for the river Creedy in which the values of sediment load calculated from the continuous concentration record have been compared with estimates derived from rating curves. The rating-curve data have been grouped according to season and stage tendency to provide various rating relationships. Values of annual sediment load estimated by using a rating curve could involve errors of up to +280%, whereas the errors for monthly loads could range between +900% and −90%. Careful consideration should be given to possible error terms before rating-curve estimates of sediment load are used in statistical and other analyses.","DOI":"10.1029/WR013i003p00531","ISSN":"1944-7973","language":"en","author":[{"family":"Walling","given":"D. E."}],"issued":{"date-parts":[["1977"]]},"accessed":{"date-parts":[["2013",9,8]]}}},{"id":73,"uris":["http://zotero.org/users/1706519/items/GZ626CRN"],"uri":["http://zotero.org/users/1706519/items/GZ626CRN"],"itemData":{"id":73,"type":"article-journal","title":"River Loads Underestimated by Rating Curves","container-title":"Water Resources Research","page":"74–76","volume":"22","issue":"1","source":"Wiley Online Library","abstract":"Statistical considerations show that the sediment, solute, or pollutant load of a river is likely to be underestimated by methods in which unmeasured concentrations are estimated from discharge using a least squares regression for the logarithm of concentration. The degree of underestimation increases with the degree of scatter about the rating curve and can reach 50%. A simple correction factor is proposed and tested successfully on simulated and real data sets.","DOI":"10.1029/WR022i001p00074","ISSN":"1944-7973","language":"en","author":[{"family":"Ferguson","given":"R. I."}],"issued":{"date-parts":[["1986"]]},"accessed":{"date-parts":[["2013",9,8]]}}},{"id":40,"uris":["http://zotero.org/users/1706519/items/9G2KPFGP"],"uri":["http://zotero.org/users/1706519/items/9G2KPFGP"],"itemData":{"id":40,"type":"article-journal","title":"The reliability of rating curve estimates of suspended sediment yield: some further comments","container-title":"Sediment budgets","page":"337-350","volume":"IAHS Publication No. 1974","abstract":"A number of recent papers have suggested that the \nunderestimation bias inherent in the use of log-transformed \nregression to derive suspended sediment rating relationships is a \nmajor cause of the error commonly associated with rating curve \nestimates of suspended sediment yield, and that this bias can be \nlargely removed by applying simple correction factors. However, \nthere is conflicting evidence as to the extent to which \nbias-corrected rating estimates provide reliable values of \nsediment yield. In order to investigate this uncertainty \nfurther, the authors have assembled continuous records of \nsuspended sediment concentration and discharge for three \nrivers in Devon, UK. These records have been used to \ncalculate actual loads and to synthesize a variety of replicate \ndata sets, representing different manual sampling strategies, for \nrating curve derivation. The resulting load estimates obtained \nusing rating curves and bias-corrected rating curves have been \ncompared with the actual loads. The results indicate that \nbias-correction procedures do not provide accurate estimates for \nthese rivers and that other sources of error associated with \nrating curves are more important in producing inaccurate \nestimates.","author":[{"family":"Walling","given":"D. E."},{"family":"Webb","given":"B.W."}],"issued":{"date-parts":[["1988"]]}}},{"id":119,"uris":["http://zotero.org/users/1706519/items/T7BE928X"],"uri":["http://zotero.org/users/1706519/items/T7BE928X"],"itemData":{"id":119,"type":"article-journal","title":"Factors controlling variations in suspended sediment concentration for single-valued sediment rating curves, Fraser River, British Columbia, Canada","container-title":"Hydrological Processes","page":"1869–1894","volume":"12","issue":"12","source":"Wiley Online Library","abstract":"Functional (regression) and cause-and-effect analytical methods were employed in the investigation of factors controlling single-value sediment–discharge relationships for individual hydrological events in the Fraser River Basin. Of 1025 hydrological events identified in the 97 years of the 9-stations discharge record monitored by the Water Survey of Canada (1960–1988), 49 were associated with linear, non-linear (concave and convex) sediment rating curves. Analysis revealed that time of events offered a partial explanation for the occurrence of single-valued curves because events occurring in isolation or in quick succession did not always produce single-valued curves owing to variations in hydrograph characteristics and temporal and spatial peak attenuation factors. Hydrologically, linear and non-linear sediment rating curves were distinguished by the influence of preceding discharge or antecedent moisture, which tends to generate quick or delayed runoff, thereby causing rapid or slow increases in sediment concentration in concert with discharge changes. Hydraulically, linear curves were shown to be controlled by rates of stream bed scour (rising stage) similar to those for channel filling (falling stage); concave curves by rates of scouring (rising stage) similar to those of filling but different from those of rescouring (falling stage); and convex curves by rates of filling and scouring (rising stage) different from those of filling and rescouring (falling stages), all in relation to the timing of the exceedance of the threshold discharge for stream bed scour. Meteorologically, bed scour and fill approximately coincided with the timing of precipitation, if any, on the rising and/or falling stages under subzero (T≤0 °C), low (1≤T≤9 °C) and moderate (10≤T≤19 °C) temperature conditions. It is concluded that a combination of temporal, spatial, hydrological, hydraulic and meteorological factors control variations in sediment concentration during single hydrological events on the Fraser River in a complex fashion. Multivariate analysis of these factors should greatly improve prediction of sediment transport in the Fraser River Basin. © 1998 John Wiley &amp; Sons, Ltd.","DOI":"10.1002/(SICI)1099-1085(19981015)12:12&lt;1869::AID-HYP648&gt;3.0.CO;2-G","ISSN":"1099-1085","language":"en","author":[{"family":"Sichingabula","given":"Henry M."}],"issued":{"date-parts":[["1998"]]},"accessed":{"date-parts":[["2013",8,13]]}}},{"id":135,"uris":["http://zotero.org/users/1706519/items/VK5GWIIQ"],"uri":["http://zotero.org/users/1706519/items/VK5GWIIQ"],"itemData":{"id":135,"type":"article-journal","title":"Fitting and interpretation of sediment rating curves","container-title":"Journal of Hydrology","page":"228-248","volume":"234","issue":"3–4","source":"ScienceDirect","abstract":"A large part of the sediment in lowland rivers is transported as wash load. As wash load is a non-capacity load it often is modelled using empirical relations, such as the rating curve technique. Sediment rating curves in the form of a power function are derived for several locations along the river Rhine and its main tributaries, using different fitting procedures. Inaccuracies in estimated sediment loads are analysed, and spatial differences in the shapes of the fitted rating curves are related to watershed characteristics.\n\nRating curves obtained by least squares regression on logarithmic transformed data underestimate long-term sediment transport rates by 10–50%. Better estimates are obtained when nonlinear least squares regression is applied. The steepness of the fitted rating curves decreases along the main channel of the Rhine in a downstream direction. Contrary to what is generally believed this is not related to changes in the sediment transport regime. A better indication of the sediment transport regime is obtained when the slope/intercept pairs of the fitted rating curves are plotted in a graph. All locations that plot on the same line have a common discharge-concentration value and appear to be characterised by a similar sediment transport regime. At locations of which the slope/intercept pairs plot on higher lines, a larger part of the annual sediment load is transported during high discharge.","DOI":"10.1016/S0022-1694(00)00253-5","ISSN":"0022-1694","journalAbbreviation":"Journal of Hydrology","author":[{"family":"Asselman","given":"N.E.M."}],"issued":{"date-parts":[["2000",7,1]]},"accessed":{"date-parts":[["2013",8,13]]}}},{"id":90,"uris":["http://zotero.org/users/1706519/items/MFGG38JT"],"uri":["http://zotero.org/users/1706519/items/MFGG38JT"],"itemData":{"id":90,"type":"article-journal","title":"An evaluation of sediment rating curves for estimating suspended sediment concentrations for subsequent flux calculations","container-title":"Hydrological Processes","page":"3387-3409","volume":"17","abstract":"In the absence of actual suspended sediment concentration (SSC) measurements, hydrologists have used sediment\nrating (sediment transport) curves to estimate (predict) SSCs for subsequent ﬂux calculations. Various evaluations of\nthe sediment rating-curve method were made using data from long-term, daily sediment-measuring sites within large\n(&gt;1 000 000 km2\n), medium (&lt;1 000 000 to &gt;1000 km2\n), and small (&lt;1000 km2\n) river basins in the USA and Europe\nrelative to the estimation of suspended sediment ﬂuxes. The evaluations address such issues as the accuracy of ﬂux\nestimations for various levels of temporal resolution as well as the impact of sampling frequency on the magnitude of\nﬂux estimation errors.\nThe sediment rating-curve method tends to underpredict high, and overpredict low SSCs. As such, the range of\nerrors associated with concomitant ﬂux estimates for relatively short time-frames (e.g. daily, weekly) are likely to\nbe substantially larger than those associated with longer time-frames (e.g. quarterly, annually) because the over- and\nunderpredictions do not have sufﬁcient time to balance each other. Hence, when error limits must be kept under š20%,\ntemporal resolution probably should be limited to quarterly or greater.\nThe evaluations indicate that over periods of 20 or more years, errors of &lt;1% can be achieved using a single\nsediment rating curve based on data spanning the entire period. However, somewhat better estimates for the entire\nperiod, and markedly better annual estimates within the period, can be obtained if individual annual sediment rating\ncurves are used instead. Relatively accurate (errors &lt;š20%) annual suspended sediment ﬂuxes can be obtained from\nhydrologically based monthly measurements/samples. For 5-year periods or longer, similar results can be obtained\nfrom measurements/samples collected once every 2 months. In either case, hydrologically based sampling, as opposed\nto calendar-based sampling is likely to limit the magnitude of ﬂux estimation errors. Published in 2003 by John Wiley\n&amp; Sons, Ltd.\nKEY WORDS sediment rating curves; suspended sediment concentration; suspended sediment ﬂux estimates","author":[{"family":"Horowitz","given":"Arthur J."}],"issued":{"date-parts":[["2003",8,21]]}}},{"id":13,"uris":["http://zotero.org/users/1706519/items/46DM75PA"],"uri":["http://zotero.org/users/1706519/items/46DM75PA"],"itemData":{"id":13,"type":"article-journal","title":"Temporal and spatial variations of sediment rating curves in the Changjiang (Yangtze River) basin and their implications","container-title":"Quaternary International","page":"34-43","volume":"230","issue":"1–2","source":"ScienceDirect","abstract":"The natural hydrologic regime of the Changjiang (Yangtze River) in China has been disturbed considerably by intensified human activities over the past five decades. In this study, sediment rating curves were analyzed based on monthly data of water discharge and suspended-sediment concentration at stations in the upper (Yichang station), middle (Hankou station) and lower (Datong station) reaches of the Changjiang in different periods from 1955 to 2007. Temporal and spatial variations of the sediment rating curves were analyzed with respect to the impact of human activities and watershed characteristics. Results indicate that human disturbances have had a substantial impact on sediment rating parameters, with the magnitude of the impact related to the scale of the river sections. As indicated by the sediment rating parameters, the sediment transport regimes between the upper and the mid-lower reaches differ significantly. In particular, the impoundment of the Three Gorges Dam in 2003 changed the sediment transport regimes in the upper and mid-lower reaches of Changjiang into similar regimes characterized by a decrease in the sediment transport capacity of high water discharge. Furthermore, the sediment rating curve at the Datong station in 1955–1968 was applied to estimate the potential sediment load (1969–2007) in the absence of human influences. The mean annual sediment deficit caused by human activities has increased from 80 Mt/yr (1969–1985) to 250 Mt/yr (2003–2007). This indicates that intensified human activities in the Changjiang basin, especially the construction of the Three Gorges Dam, have altered the natural sediment transport process, and have thus become a dominant force in Changjiang sediment delivery to the sea.","DOI":"10.1016/j.quaint.2009.08.018","ISSN":"1040-6182","shortTitle":"Quaternary Sea Level and Palaeoenvironmental Reconstructions in the Coastal Zone of East and Southeast Asia","journalAbbreviation":"Quaternary International","author":[{"family":"Hu","given":"Bangqi"},{"family":"Wang","given":"Houjie"},{"family":"Yang","given":"Zuosheng"},{"family":"Sun","given":"Xiaoxia"}],"issued":{"date-parts":[["2011",1,15]]},"accessed":{"date-parts":[["2013",8,10]]}}}],"schema":"https://github.com/citation-style-language/schema/raw/master/csl-citation.json"} </w:instrText>
      </w:r>
      <w:r w:rsidR="00F41E6A" w:rsidRPr="00E63DA3">
        <w:rPr>
          <w:rFonts w:cstheme="majorBidi"/>
        </w:rPr>
        <w:fldChar w:fldCharType="separate"/>
      </w:r>
      <w:r w:rsidRPr="00E63DA3">
        <w:rPr>
          <w:rFonts w:cstheme="majorBidi"/>
        </w:rPr>
        <w:t>(Leopold and Maddock 1953; Walling 1977; Ferguson 1986; Walling and Webb 1988; Sichingabula 1998; Asselman 2000; Horowitz 2003; Hu et al. 2011)</w:t>
      </w:r>
      <w:r w:rsidR="00F41E6A" w:rsidRPr="00E63DA3">
        <w:rPr>
          <w:rFonts w:cstheme="majorBidi"/>
        </w:rPr>
        <w:fldChar w:fldCharType="end"/>
      </w:r>
      <w:r w:rsidRPr="00E63DA3">
        <w:rPr>
          <w:rFonts w:cstheme="majorBidi"/>
        </w:rPr>
        <w:t xml:space="preserve">. The relationship between suspended sediment concentration or load, and stream discharge is displayed by the sediment rating curve </w:t>
      </w:r>
      <w:r w:rsidR="00F41E6A" w:rsidRPr="00E63DA3">
        <w:rPr>
          <w:rFonts w:cstheme="majorBidi"/>
        </w:rPr>
        <w:fldChar w:fldCharType="begin"/>
      </w:r>
      <w:r w:rsidRPr="00E63DA3">
        <w:rPr>
          <w:rFonts w:cstheme="majorBidi"/>
        </w:rPr>
        <w:instrText xml:space="preserve"> ADDIN ZOTERO_ITEM CSL_CITATION {"citationID":"uHIAY9KS","properties":{"formattedCitation":"(Campbell and Bauder 1940; Walling 1977; N.E.M. Asselman 2000)","plainCitation":"(Campbell and Bauder 1940; Walling 1977; N.E.M. Asselman 2000)","dontUpdate":true},"citationItems":[{"id":36,"uris":["http://zotero.org/users/1706519/items/8ZZEXCG7"],"uri":["http://zotero.org/users/1706519/items/8ZZEXCG7"],"itemData":{"id":36,"type":"article-journal","title":"A rating-curve method for determining silt-discharge of streams","container-title":"Transactions, American Geophysical Union","page":"603-607","volume":"21","source":"NASA ADS","abstract":"During the course of investigations of the probable rate of silting which should take place in the proposed Denison Reservoir, an attempt was made to secure a correlation between suspended load of the Red River near Denison and the discharge. Observations of the silt-content had been made at intervals since 1930, both by the United States Department of Agriculture and the United States Engineer Offices. The United States Geological Survey has operated a stream-gaging station on the Red River continuously since October 9, 1923. Moreover, the United States Weather Bureau has maintained daily river-stages since 1906 and the daily discharge-record has been extended to provide a 33-year record. A correlation between silt-discharge in tons per second and\nwater-discharge in cubic feet per second would permit a long-time record of silt-discharge to be established. By plotting the observations on logarithmic paper a straight-line relationship was found to exist between the two variables. The graph may be called a silt-rating curve. Such a rating curve for the Red River near Denison is shown on Figure 1. The method is presented with the hope that it may be found applicable to other streams. If such be the case, the utility of the scheme would be found in (a) the extension of the silt-record prior to the time of beginning observations and (b) the substitution of periodic silt-sampling for daily sampling. Either application involves the use of daily discharge-records. The silt-and-water-discharge relationship may also be a step toward the general solution of the problem of sediment-discharge of natural streams.","DOI":"10.1029/TR021i002p00603","journalAbbreviation":"Transactions, American Geophysical Union","author":[{"family":"Campbell","given":"F. B."},{"family":"Bauder","given":"H. A."}],"issued":{"date-parts":[["1940"]]},"accessed":{"date-parts":[["2013",11,11]]}}},{"id":51,"uris":["http://zotero.org/users/1706519/items/C2C9AGXB"],"uri":["http://zotero.org/users/1706519/items/C2C9AGXB"],"itemData":{"id":51,"type":"article-journal","title":"Assessing the accuracy of suspended sediment rating curves for a small basin","container-title":"Water Resources Research","page":"531–538","volume":"13","issue":"3","source":"Wiley Online Library","abstract":"Sediment rating curves are often used to estimate suspended sediment loads where the sampling program is insufficient to define the continuous record of sediment concentration. Use of this technique will involve errors in the values of sediment load produced, and comparison with measured daily values has been employed by several workers to assess the magnitude of these errors. Comparisons are more difficult for small- and medium-sized catchments because of the general lack of direct measurements of loads. Recording turbidity meters could be employed to provide a continuous record of sediment concentration which can be used to calculate sediment loads. Results are presented for the river Creedy in which the values of sediment load calculated from the continuous concentration record have been compared with estimates derived from rating curves. The rating-curve data have been grouped according to season and stage tendency to provide various rating relationships. Values of annual sediment load estimated by using a rating curve could involve errors of up to +280%, whereas the errors for monthly loads could range between +900% and −90%. Careful consideration should be given to possible error terms before rating-curve estimates of sediment load are used in statistical and other analyses.","DOI":"10.1029/WR013i003p00531","ISSN":"1944-7973","language":"en","author":[{"family":"Walling","given":"D. E."}],"issued":{"date-parts":[["1977"]]},"accessed":{"date-parts":[["2013",9,8]]}}},{"id":135,"uris":["http://zotero.org/users/1706519/items/VK5GWIIQ"],"uri":["http://zotero.org/users/1706519/items/VK5GWIIQ"],"itemData":{"id":135,"type":"article-journal","title":"Fitting and interpretation of sediment rating curves","container-title":"Journal of Hydrology","page":"228-248","volume":"234","issue":"3–4","source":"ScienceDirect","abstract":"A large part of the sediment in lowland rivers is transported as wash load. As wash load is a non-capacity load it often is modelled using empirical relations, such as the rating curve technique. Sediment rating curves in the form of a power function are derived for several locations along the river Rhine and its main tributaries, using different fitting procedures. Inaccuracies in estimated sediment loads are analysed, and spatial differences in the shapes of the fitted rating curves are related to watershed characteristics.\n\nRating curves obtained by least squares regression on logarithmic transformed data underestimate long-term sediment transport rates by 10–50%. Better estimates are obtained when nonlinear least squares regression is applied. The steepness of the fitted rating curves decreases along the main channel of the Rhine in a downstream direction. Contrary to what is generally believed this is not related to changes in the sediment transport regime. A better indication of the sediment transport regime is obtained when the slope/intercept pairs of the fitted rating curves are plotted in a graph. All locations that plot on the same line have a common discharge-concentration value and appear to be characterised by a similar sediment transport regime. At locations of which the slope/intercept pairs plot on higher lines, a larger part of the annual sediment load is transported during high discharge.","DOI":"10.1016/S0022-1694(00)00253-5","ISSN":"0022-1694","journalAbbreviation":"Journal of Hydrology","author":[{"family":"Asselman","given":"N.E.M."}],"issued":{"date-parts":[["2000",7,1]]},"accessed":{"date-parts":[["2013",8,13]]}}}],"schema":"https://github.com/citation-style-language/schema/raw/master/csl-citation.json"} </w:instrText>
      </w:r>
      <w:r w:rsidR="00F41E6A" w:rsidRPr="00E63DA3">
        <w:rPr>
          <w:rFonts w:cstheme="majorBidi"/>
        </w:rPr>
        <w:fldChar w:fldCharType="separate"/>
      </w:r>
      <w:r w:rsidRPr="00E63DA3">
        <w:rPr>
          <w:rFonts w:cstheme="majorBidi"/>
        </w:rPr>
        <w:t>(Campbell and Bauder 1940; Walling 1977; Asselman 2000)</w:t>
      </w:r>
      <w:r w:rsidR="00F41E6A" w:rsidRPr="00E63DA3">
        <w:rPr>
          <w:rFonts w:cstheme="majorBidi"/>
        </w:rPr>
        <w:fldChar w:fldCharType="end"/>
      </w:r>
      <w:r w:rsidRPr="00E63DA3">
        <w:rPr>
          <w:rFonts w:cstheme="majorBidi"/>
        </w:rPr>
        <w:t xml:space="preserve">. The basic form of the </w:t>
      </w:r>
      <w:r w:rsidRPr="00E63DA3">
        <w:rPr>
          <w:rFonts w:cstheme="majorBidi"/>
        </w:rPr>
        <w:lastRenderedPageBreak/>
        <w:t>sediment rating curve was developed for suspended sediment load (</w:t>
      </w:r>
      <m:oMath>
        <m:r>
          <w:rPr>
            <w:rFonts w:ascii="Cambria Math" w:hAnsi="Cambria Math" w:cstheme="majorBidi"/>
          </w:rPr>
          <m:t>Load</m:t>
        </m:r>
      </m:oMath>
      <w:r w:rsidRPr="00E63DA3">
        <w:rPr>
          <w:rFonts w:cstheme="majorBidi"/>
        </w:rPr>
        <w:t>) and water discharge (</w:t>
      </w:r>
      <m:oMath>
        <m:r>
          <w:rPr>
            <w:rFonts w:ascii="Cambria Math" w:hAnsi="Cambria Math" w:cstheme="majorBidi"/>
          </w:rPr>
          <m:t>Q</m:t>
        </m:r>
      </m:oMath>
      <w:r w:rsidRPr="00E63DA3">
        <w:rPr>
          <w:rFonts w:cstheme="majorBidi"/>
        </w:rPr>
        <w:t xml:space="preserve">), as shown below </w:t>
      </w:r>
      <w:r w:rsidR="00F41E6A" w:rsidRPr="00E63DA3">
        <w:rPr>
          <w:rFonts w:cstheme="majorBidi"/>
        </w:rPr>
        <w:fldChar w:fldCharType="begin"/>
      </w:r>
      <w:r w:rsidRPr="00E63DA3">
        <w:rPr>
          <w:rFonts w:cstheme="majorBidi"/>
        </w:rPr>
        <w:instrText xml:space="preserve"> ADDIN ZOTERO_ITEM CSL_CITATION {"citationID":"RrYwBAEI","properties":{"formattedCitation":"(L. B. Leopold and Maddock 1953)","plainCitation":"(L. B. Leopold and Maddock 1953)"},"citationItems":[{"id":25,"uris":["http://zotero.org/users/1706519/items/6UR5RVN5"],"uri":["http://zotero.org/users/1706519/items/6UR5RVN5"],"itemData":{"id":25,"type":"report","title":"The hydraulic geometry of stream channels and some physiographic implications","publisher":"United States Geological Survey","source":"pubs.er.usgs.gov","URL":"http://pubs.er.usgs.gov/publication/pp252","number":"PP - 252","author":[{"family":"Leopold","given":"L. B."},{"family":"Maddock","given":"Thomas"}],"issued":{"date-parts":[["1953"]]},"accessed":{"date-parts":[["2013",11,3]]}}}],"schema":"https://github.com/citation-style-language/schema/raw/master/csl-citation.json"} </w:instrText>
      </w:r>
      <w:r w:rsidR="00F41E6A" w:rsidRPr="00E63DA3">
        <w:rPr>
          <w:rFonts w:cstheme="majorBidi"/>
        </w:rPr>
        <w:fldChar w:fldCharType="separate"/>
      </w:r>
      <w:r w:rsidRPr="00E63DA3">
        <w:rPr>
          <w:rFonts w:cstheme="majorBidi"/>
        </w:rPr>
        <w:t>(Leopold and Maddock 1953)</w:t>
      </w:r>
      <w:r w:rsidR="00F41E6A" w:rsidRPr="00E63DA3">
        <w:rPr>
          <w:rFonts w:cstheme="majorBidi"/>
        </w:rPr>
        <w:fldChar w:fldCharType="end"/>
      </w:r>
      <w:r w:rsidRPr="00E63DA3">
        <w:rPr>
          <w:rFonts w:cstheme="majorBidi"/>
        </w:rPr>
        <w:t xml:space="preserve">: </w:t>
      </w:r>
    </w:p>
    <w:p w:rsidR="00E63DA3" w:rsidRPr="00E63DA3" w:rsidRDefault="00E63DA3" w:rsidP="00E63DA3">
      <w:pPr>
        <w:spacing w:line="480" w:lineRule="auto"/>
        <w:ind w:firstLine="720"/>
        <w:jc w:val="center"/>
        <w:rPr>
          <w:rFonts w:cstheme="majorBidi"/>
        </w:rPr>
      </w:pPr>
      <m:oMath>
        <m:r>
          <w:rPr>
            <w:rFonts w:ascii="Cambria Math" w:hAnsi="Cambria Math" w:cstheme="majorBidi"/>
          </w:rPr>
          <m:t>Load=a</m:t>
        </m:r>
        <m:sSup>
          <m:sSupPr>
            <m:ctrlPr>
              <w:rPr>
                <w:rFonts w:ascii="Cambria Math" w:hAnsi="Cambria Math" w:cstheme="majorBidi"/>
                <w:i/>
              </w:rPr>
            </m:ctrlPr>
          </m:sSupPr>
          <m:e>
            <m:r>
              <w:rPr>
                <w:rFonts w:ascii="Cambria Math" w:hAnsi="Cambria Math" w:cstheme="majorBidi"/>
              </w:rPr>
              <m:t>Q</m:t>
            </m:r>
          </m:e>
          <m:sup>
            <m:r>
              <w:rPr>
                <w:rFonts w:ascii="Cambria Math" w:hAnsi="Cambria Math" w:cstheme="majorBidi"/>
              </w:rPr>
              <m:t>b</m:t>
            </m:r>
          </m:sup>
        </m:sSup>
      </m:oMath>
      <w:r w:rsidRPr="00E63DA3">
        <w:rPr>
          <w:rFonts w:cstheme="majorBidi"/>
        </w:rPr>
        <w:tab/>
      </w:r>
      <w:r w:rsidRPr="00E63DA3">
        <w:rPr>
          <w:rFonts w:cstheme="majorBidi"/>
        </w:rPr>
        <w:tab/>
        <w:t>(2)</w:t>
      </w:r>
    </w:p>
    <w:p w:rsidR="00E63DA3" w:rsidRPr="00E63DA3" w:rsidRDefault="00E63DA3" w:rsidP="00B82B67">
      <w:pPr>
        <w:spacing w:line="480" w:lineRule="auto"/>
        <w:rPr>
          <w:rFonts w:cstheme="majorBidi"/>
        </w:rPr>
      </w:pPr>
      <w:proofErr w:type="gramStart"/>
      <w:r w:rsidRPr="00E63DA3">
        <w:rPr>
          <w:rFonts w:cstheme="majorBidi"/>
        </w:rPr>
        <w:t>where</w:t>
      </w:r>
      <w:proofErr w:type="gramEnd"/>
      <w:r w:rsidRPr="00E63DA3">
        <w:rPr>
          <w:rFonts w:cstheme="majorBidi"/>
        </w:rPr>
        <w:t xml:space="preserve"> </w:t>
      </w:r>
      <m:oMath>
        <m:r>
          <w:rPr>
            <w:rFonts w:ascii="Cambria Math" w:hAnsi="Cambria Math" w:cstheme="majorBidi"/>
          </w:rPr>
          <m:t>a</m:t>
        </m:r>
      </m:oMath>
      <w:r w:rsidRPr="00E63DA3">
        <w:rPr>
          <w:rFonts w:cstheme="majorBidi"/>
        </w:rPr>
        <w:t xml:space="preserve"> and </w:t>
      </w:r>
      <m:oMath>
        <m:r>
          <w:rPr>
            <w:rFonts w:ascii="Cambria Math" w:hAnsi="Cambria Math" w:cstheme="majorBidi"/>
          </w:rPr>
          <m:t>b</m:t>
        </m:r>
      </m:oMath>
      <w:r w:rsidRPr="00E63DA3">
        <w:rPr>
          <w:rFonts w:cstheme="majorBidi"/>
        </w:rPr>
        <w:t xml:space="preserve"> are empirical parameters. The sediment rating curve can also be developed for suspended sediment concentration (</w:t>
      </w:r>
      <m:oMath>
        <m:r>
          <w:rPr>
            <w:rFonts w:ascii="Cambria Math" w:hAnsi="Cambria Math" w:cstheme="majorBidi"/>
          </w:rPr>
          <m:t>C</m:t>
        </m:r>
      </m:oMath>
      <w:r w:rsidRPr="00E63DA3">
        <w:rPr>
          <w:rFonts w:cstheme="majorBidi"/>
        </w:rPr>
        <w:t>) and water discharge, yielding the equation</w:t>
      </w:r>
      <w:r w:rsidR="00B82B67">
        <w:rPr>
          <w:rFonts w:cstheme="majorBidi"/>
        </w:rPr>
        <w:t>:</w:t>
      </w:r>
      <w:r w:rsidRPr="00E63DA3">
        <w:rPr>
          <w:rFonts w:cstheme="majorBidi"/>
        </w:rPr>
        <w:t xml:space="preserve"> </w:t>
      </w:r>
    </w:p>
    <w:p w:rsidR="00E63DA3" w:rsidRPr="00E63DA3" w:rsidRDefault="00E63DA3" w:rsidP="00E63DA3">
      <w:pPr>
        <w:spacing w:line="480" w:lineRule="auto"/>
        <w:ind w:firstLine="720"/>
        <w:jc w:val="center"/>
        <w:rPr>
          <w:rFonts w:ascii="Cambria Math" w:hAnsi="Cambria Math" w:cstheme="majorBidi"/>
          <w:oMath/>
        </w:rPr>
      </w:pPr>
      <m:oMath>
        <m:r>
          <w:rPr>
            <w:rFonts w:ascii="Cambria Math" w:hAnsi="Cambria Math" w:cstheme="majorBidi"/>
          </w:rPr>
          <m:t>C = a</m:t>
        </m:r>
        <m:sSup>
          <m:sSupPr>
            <m:ctrlPr>
              <w:rPr>
                <w:rFonts w:ascii="Cambria Math" w:hAnsi="Cambria Math" w:cstheme="majorBidi"/>
                <w:i/>
              </w:rPr>
            </m:ctrlPr>
          </m:sSupPr>
          <m:e>
            <m:r>
              <w:rPr>
                <w:rFonts w:ascii="Cambria Math" w:hAnsi="Cambria Math" w:cstheme="majorBidi"/>
              </w:rPr>
              <m:t>Q</m:t>
            </m:r>
          </m:e>
          <m:sup>
            <m:r>
              <w:rPr>
                <w:rFonts w:ascii="Cambria Math" w:hAnsi="Cambria Math" w:cstheme="majorBidi"/>
              </w:rPr>
              <m:t>b-1</m:t>
            </m:r>
          </m:sup>
        </m:sSup>
      </m:oMath>
      <w:r w:rsidRPr="00E63DA3">
        <w:rPr>
          <w:rFonts w:cstheme="majorBidi"/>
        </w:rPr>
        <w:tab/>
      </w:r>
      <w:r w:rsidR="00A336DB">
        <w:rPr>
          <w:rFonts w:cstheme="majorBidi"/>
        </w:rPr>
        <w:t xml:space="preserve">            </w:t>
      </w:r>
      <w:r w:rsidRPr="00E63DA3">
        <w:rPr>
          <w:rFonts w:cstheme="majorBidi"/>
        </w:rPr>
        <w:t>(3)</w:t>
      </w:r>
    </w:p>
    <w:p w:rsidR="00E63DA3" w:rsidRPr="00E63DA3" w:rsidRDefault="00E63DA3" w:rsidP="00E63DA3">
      <w:pPr>
        <w:spacing w:line="480" w:lineRule="auto"/>
        <w:ind w:firstLine="720"/>
        <w:rPr>
          <w:rFonts w:cstheme="majorBidi"/>
        </w:rPr>
      </w:pPr>
      <w:r w:rsidRPr="00E63DA3">
        <w:rPr>
          <w:rFonts w:cstheme="majorBidi"/>
        </w:rPr>
        <w:t xml:space="preserve">Many studies have used equation (3) to develop the sediment rating curve </w:t>
      </w:r>
      <w:r w:rsidR="00F41E6A" w:rsidRPr="00E63DA3">
        <w:rPr>
          <w:rFonts w:cstheme="majorBidi"/>
        </w:rPr>
        <w:fldChar w:fldCharType="begin"/>
      </w:r>
      <w:r w:rsidRPr="00E63DA3">
        <w:rPr>
          <w:rFonts w:cstheme="majorBidi"/>
        </w:rPr>
        <w:instrText xml:space="preserve"> ADDIN ZOTERO_ITEM CSL_CITATION {"citationID":"KA1bezeW","properties":{"formattedCitation":"(Walling 1977; Thomas 1988; Asselman 1999; Hu et al. 2011; Zhang et al. 2012)","plainCitation":"(Walling 1977; Thomas 1988; Asselman 1999; Hu et al. 2011; Zhang et al. 2012)"},"citationItems":[{"id":51,"uris":["http://zotero.org/users/1706519/items/C2C9AGXB"],"uri":["http://zotero.org/users/1706519/items/C2C9AGXB"],"itemData":{"id":51,"type":"article-journal","title":"Assessing the accuracy of suspended sediment rating curves for a small basin","container-title":"Water Resources Research","page":"531–538","volume":"13","issue":"3","source":"Wiley Online Library","abstract":"Sediment rating curves are often used to estimate suspended sediment loads where the sampling program is insufficient to define the continuous record of sediment concentration. Use of this technique will involve errors in the values of sediment load produced, and comparison with measured daily values has been employed by several workers to assess the magnitude of these errors. Comparisons are more difficult for small- and medium-sized catchments because of the general lack of direct measurements of loads. Recording turbidity meters could be employed to provide a continuous record of sediment concentration which can be used to calculate sediment loads. Results are presented for the river Creedy in which the values of sediment load calculated from the continuous concentration record have been compared with estimates derived from rating curves. The rating-curve data have been grouped according to season and stage tendency to provide various rating relationships. Values of annual sediment load estimated by using a rating curve could involve errors of up to +280%, whereas the errors for monthly loads could range between +900% and −90%. Careful consideration should be given to possible error terms before rating-curve estimates of sediment load are used in statistical and other analyses.","DOI":"10.1029/WR013i003p00531","ISSN":"1944-7973","language":"en","author":[{"family":"Walling","given":"D. E."}],"issued":{"date-parts":[["1977"]]},"accessed":{"date-parts":[["2013",9,8]]}}},{"id":229,"uris":["http://zotero.org/users/1706519/items/A2H9BACF"],"uri":["http://zotero.org/users/1706519/items/A2H9BACF"],"itemData":{"id":229,"type":"article-journal","title":"Monitoring baseline suspended sediment in forested basins: the effects of sampling on suspended sediment rating curves","container-title":"Hydrological Sciences Journal","page":"499-514","volume":"33","issue":"5","source":"CrossRef","DOI":"10.1080/02626668809491277","ISSN":"0262-6667, 2150-3435","shortTitle":"Monitoring baseline suspended sediment in forested basins","language":"en","author":[{"family":"Thomas","given":"Robert B."}],"issued":{"date-parts":[["1988",10]]},"accessed":{"date-parts":[["2014",4,10]]}}},{"id":420,"uris":["http://zotero.org/users/1706519/items/DGGNRI8I"],"uri":["http://zotero.org/users/1706519/items/DGGNRI8I"],"itemData":{"id":420,"type":"article-journal","title":"Suspended sediment dynamics in a large drainage basin: the River Rhine","container-title":"Hydrological Processes","page":"1437–1450","volume":"13","issue":"10","source":"Wiley Online Library","abstract":"The behaviour of suspended sediment in rivers is often a function of energy conditions, i.e. sediment is stored at low flow and transported under high discharge conditions. The timing of maximum sediment transport can, however, also be related to mixing and routing of water and sediment from different sources. In this study suspended sediment transport was studied in the River Rhine between Kaub and the German–Dutch border. As concentrations decrease over a runoff season and as the relationship between water discharge and suspended sediment concentrations during most floods is characterized by clockwise hysteresis, it is concluded that sediment depletion occurs during a hydrological year and during individual floods. However, analyses of the sediment contribution from the River Mosel indicate that clockwise hysteresis may result from sediment depletion as well as from early sediment supply from a tributary. Thus, although the suspended sediment behaviour in the downstream part of the River Rhine is partly a transport phenomenon related to energy conditions, mixing and routing of water from different sources also plays an important role.Suspended sediment transport during floods was modelled using a ‘supply-based’ model. Addition of a sediment supply term to the sediment rating curve leads to a model that produces better estimates of instantaneous suspended sediment concentrations during high discharge events. A major constriction of the model is that it cannot be used to predict suspended sediment concentrations as long as the amount of sediment in storage and the timing of sediment supply are unknown. Copyright © 1999 John Wiley &amp; Sons, Ltd.","DOI":"10.1002/(SICI)1099-1085(199907)13:10&lt;1437::AID-HYP821&gt;3.0.CO;2-J","ISSN":"1099-1085","shortTitle":"Suspended sediment dynamics in a large drainage basin","language":"en","author":[{"family":"Asselman","given":"N. E. M."}],"issued":{"date-parts":[["1999"]]},"accessed":{"date-parts":[["2014",1,31]],"season":"00:15:06"}}},{"id":13,"uris":["http://zotero.org/users/1706519/items/46DM75PA"],"uri":["http://zotero.org/users/1706519/items/46DM75PA"],"itemData":{"id":13,"type":"article-journal","title":"Temporal and spatial variations of sediment rating curves in the Changjiang (Yangtze River) basin and their implications","container-title":"Quaternary International","page":"34-43","volume":"230","issue":"1–2","source":"ScienceDirect","abstract":"The natural hydrologic regime of the Changjiang (Yangtze River) in China has been disturbed considerably by intensified human activities over the past five decades. In this study, sediment rating curves were analyzed based on monthly data of water discharge and suspended-sediment concentration at stations in the upper (Yichang station), middle (Hankou station) and lower (Datong station) reaches of the Changjiang in different periods from 1955 to 2007. Temporal and spatial variations of the sediment rating curves were analyzed with respect to the impact of human activities and watershed characteristics. Results indicate that human disturbances have had a substantial impact on sediment rating parameters, with the magnitude of the impact related to the scale of the river sections. As indicated by the sediment rating parameters, the sediment transport regimes between the upper and the mid-lower reaches differ significantly. In particular, the impoundment of the Three Gorges Dam in 2003 changed the sediment transport regimes in the upper and mid-lower reaches of Changjiang into similar regimes characterized by a decrease in the sediment transport capacity of high water discharge. Furthermore, the sediment rating curve at the Datong station in 1955–1968 was applied to estimate the potential sediment load (1969–2007) in the absence of human influences. The mean annual sediment deficit caused by human activities has increased from 80 Mt/yr (1969–1985) to 250 Mt/yr (2003–2007). This indicates that intensified human activities in the Changjiang basin, especially the construction of the Three Gorges Dam, have altered the natural sediment transport process, and have thus become a dominant force in Changjiang sediment delivery to the sea.","DOI":"10.1016/j.quaint.2009.08.018","ISSN":"1040-6182","shortTitle":"Quaternary Sea Level and Palaeoenvironmental Reconstructions in the Coastal Zone of East and Southeast Asia","journalAbbreviation":"Quaternary International","author":[{"family":"Hu","given":"Bangqi"},{"family":"Wang","given":"Houjie"},{"family":"Yang","given":"Zuosheng"},{"family":"Sun","given":"Xiaoxia"}],"issued":{"date-parts":[["2011",1,15]]},"accessed":{"date-parts":[["2013",8,10]]}}},{"id":85,"uris":["http://zotero.org/users/1706519/items/KF6EV8JR"],"uri":["http://zotero.org/users/1706519/items/KF6EV8JR"],"itemData":{"id":85,"type":"article-journal","title":"Estimating suspended sediment loads in the Pearl River Delta region using sediment rating curves","container-title":"Continental Shelf Research","page":"35-46","volume":"38","source":"ScienceDirect","abstract":"In this study, sediment rating curves are employed to study the variations in relationships between water discharge and suspended sediment concentration based on the recent 50 years of monthly data set in the three major rivers of the Pearl River Delta. Results show that sediment rating parameters vary with time. The lowest rating coefficient, ln ( a ) , and the highest rating exponent, b, mostly occur in the 1980s, indicating that sediment transport reached its peak in this decade at the same level as water discharge. This upward shift of sediment load is probably caused by exacerbated karst rocky desertification in the upper reaches of the Pearl River. However, since the beginning of the 1990s sediment loads from the Pearl River to its estuary began to show a dramatically decreasing trend, which is attributed mainly to deposition in the reservoirs, leading to an increase of ln ( a ) and a decrease of b. Furthermore, the sediment rating curve in 1957 to1970 is applied to estimate potential sediment load (1971 to 2006) in the absence of human influences. It is also estimated quantitatively by the sediment rating curves that in the 1980s, the annual sediment load decreased by 7.59×106 t/yr because of natural factors, while sediment increase induced by human activities was 20.07×106 t/yr, which resulted in an actual increased sediment load of 12.47×106 t/yr compared with the reference level in 1957 to 1970. In the last two decades, the difference between measured and estimated sediment loads became considerable, and the annual deficit sharply increased to 26.80×106 t/yr in the 1990s, and 50.46×106 t/yr in the 2000s, indicating that human activities, mainly referring to dam and reservoir construction, play a dominant role in the decrease of sediment load. The decrease in sediment supply from the Pearl River should be paid special attention because it may cause serious impacts on the river delta and the coastal ocean.","DOI":"10.1016/j.csr.2012.02.017","ISSN":"0278-4343","journalAbbreviation":"Continental Shelf Research","author":[{"family":"Zhang","given":"Wei"},{"family":"Wei","given":"Xiaoyan"},{"family":"Jinhai","given":"Zheng"},{"family":"Yuliang","given":"Zhu"},{"family":"Zhang","given":"Yanjing"}],"issued":{"date-parts":[["2012",4,15]]},"accessed":{"date-parts":[["2013",8,10]]}}}],"schema":"https://github.com/citation-style-language/schema/raw/master/csl-citation.json"} </w:instrText>
      </w:r>
      <w:r w:rsidR="00F41E6A" w:rsidRPr="00E63DA3">
        <w:rPr>
          <w:rFonts w:cstheme="majorBidi"/>
        </w:rPr>
        <w:fldChar w:fldCharType="separate"/>
      </w:r>
      <w:r w:rsidRPr="00E63DA3">
        <w:rPr>
          <w:rFonts w:ascii="Times New Roman" w:hAnsi="Times New Roman" w:cs="Times New Roman"/>
        </w:rPr>
        <w:t>(Walling 1977; Thomas 1988; Asselman 1999; Hu et al. 2011; Zhang et al. 2012)</w:t>
      </w:r>
      <w:r w:rsidR="00F41E6A" w:rsidRPr="00E63DA3">
        <w:rPr>
          <w:rFonts w:cstheme="majorBidi"/>
        </w:rPr>
        <w:fldChar w:fldCharType="end"/>
      </w:r>
      <w:r w:rsidRPr="00E63DA3">
        <w:rPr>
          <w:rFonts w:cstheme="majorBidi"/>
        </w:rPr>
        <w:t xml:space="preserve">. More complicated forms of sediment rating curve have been developed, </w:t>
      </w:r>
      <w:r w:rsidR="00485D90">
        <w:rPr>
          <w:rFonts w:cstheme="majorBidi"/>
        </w:rPr>
        <w:t>to account</w:t>
      </w:r>
      <w:r w:rsidRPr="00E63DA3">
        <w:rPr>
          <w:rFonts w:cstheme="majorBidi"/>
        </w:rPr>
        <w:t xml:space="preserve"> for the effect of seasonality in sediment transport, the hydrological periods of a flood event (i.e. rising limb/ falling limb of a hydrograph), to enhance the accuracy of load estimates </w:t>
      </w:r>
      <w:r w:rsidR="00F41E6A" w:rsidRPr="00E63DA3">
        <w:rPr>
          <w:rFonts w:cstheme="majorBidi"/>
        </w:rPr>
        <w:fldChar w:fldCharType="begin"/>
      </w:r>
      <w:r w:rsidRPr="00E63DA3">
        <w:rPr>
          <w:rFonts w:cstheme="majorBidi"/>
        </w:rPr>
        <w:instrText xml:space="preserve"> ADDIN ZOTERO_ITEM CSL_CITATION {"citationID":"FUVVwkm7","properties":{"formattedCitation":"(Thomas 1988; Asselman 1999; Hu et al. 2011; Zhang et al. 2012)","plainCitation":"(Thomas 1988; Asselman 1999; Hu et al. 2011; Zhang et al. 2012)"},"citationItems":[{"id":229,"uris":["http://zotero.org/users/1706519/items/A2H9BACF"],"uri":["http://zotero.org/users/1706519/items/A2H9BACF"],"itemData":{"id":229,"type":"article-journal","title":"Monitoring baseline suspended sediment in forested basins: the effects of sampling on suspended sediment rating curves","container-title":"Hydrological Sciences Journal","page":"499-514","volume":"33","issue":"5","source":"CrossRef","DOI":"10.1080/02626668809491277","ISSN":"0262-6667, 2150-3435","shortTitle":"Monitoring baseline suspended sediment in forested basins","language":"en","author":[{"family":"Thomas","given":"Robert B."}],"issued":{"date-parts":[["1988",10]]},"accessed":{"date-parts":[["2014",4,10]]}}},{"id":420,"uris":["http://zotero.org/users/1706519/items/DGGNRI8I"],"uri":["http://zotero.org/users/1706519/items/DGGNRI8I"],"itemData":{"id":420,"type":"article-journal","title":"Suspended sediment dynamics in a large drainage basin: the River Rhine","container-title":"Hydrological Processes","page":"1437–1450","volume":"13","issue":"10","source":"Wiley Online Library","abstract":"The behaviour of suspended sediment in rivers is often a function of energy conditions, i.e. sediment is stored at low flow and transported under high discharge conditions. The timing of maximum sediment transport can, however, also be related to mixing and routing of water and sediment from different sources. In this study suspended sediment transport was studied in the River Rhine between Kaub and the German–Dutch border. As concentrations decrease over a runoff season and as the relationship between water discharge and suspended sediment concentrations during most floods is characterized by clockwise hysteresis, it is concluded that sediment depletion occurs during a hydrological year and during individual floods. However, analyses of the sediment contribution from the River Mosel indicate that clockwise hysteresis may result from sediment depletion as well as from early sediment supply from a tributary. Thus, although the suspended sediment behaviour in the downstream part of the River Rhine is partly a transport phenomenon related to energy conditions, mixing and routing of water from different sources also plays an important role.Suspended sediment transport during floods was modelled using a ‘supply-based’ model. Addition of a sediment supply term to the sediment rating curve leads to a model that produces better estimates of instantaneous suspended sediment concentrations during high discharge events. A major constriction of the model is that it cannot be used to predict suspended sediment concentrations as long as the amount of sediment in storage and the timing of sediment supply are unknown. Copyright © 1999 John Wiley &amp; Sons, Ltd.","DOI":"10.1002/(SICI)1099-1085(199907)13:10&lt;1437::AID-HYP821&gt;3.0.CO;2-J","ISSN":"1099-1085","shortTitle":"Suspended sediment dynamics in a large drainage basin","language":"en","author":[{"family":"Asselman","given":"N. E. M."}],"issued":{"date-parts":[["1999"]]},"accessed":{"date-parts":[["2014",1,31]],"season":"00:15:06"}}},{"id":13,"uris":["http://zotero.org/users/1706519/items/46DM75PA"],"uri":["http://zotero.org/users/1706519/items/46DM75PA"],"itemData":{"id":13,"type":"article-journal","title":"Temporal and spatial variations of sediment rating curves in the Changjiang (Yangtze River) basin and their implications","container-title":"Quaternary International","page":"34-43","volume":"230","issue":"1–2","source":"ScienceDirect","abstract":"The natural hydrologic regime of the Changjiang (Yangtze River) in China has been disturbed considerably by intensified human activities over the past five decades. In this study, sediment rating curves were analyzed based on monthly data of water discharge and suspended-sediment concentration at stations in the upper (Yichang station), middle (Hankou station) and lower (Datong station) reaches of the Changjiang in different periods from 1955 to 2007. Temporal and spatial variations of the sediment rating curves were analyzed with respect to the impact of human activities and watershed characteristics. Results indicate that human disturbances have had a substantial impact on sediment rating parameters, with the magnitude of the impact related to the scale of the river sections. As indicated by the sediment rating parameters, the sediment transport regimes between the upper and the mid-lower reaches differ significantly. In particular, the impoundment of the Three Gorges Dam in 2003 changed the sediment transport regimes in the upper and mid-lower reaches of Changjiang into similar regimes characterized by a decrease in the sediment transport capacity of high water discharge. Furthermore, the sediment rating curve at the Datong station in 1955–1968 was applied to estimate the potential sediment load (1969–2007) in the absence of human influences. The mean annual sediment deficit caused by human activities has increased from 80 Mt/yr (1969–1985) to 250 Mt/yr (2003–2007). This indicates that intensified human activities in the Changjiang basin, especially the construction of the Three Gorges Dam, have altered the natural sediment transport process, and have thus become a dominant force in Changjiang sediment delivery to the sea.","DOI":"10.1016/j.quaint.2009.08.018","ISSN":"1040-6182","shortTitle":"Quaternary Sea Level and Palaeoenvironmental Reconstructions in the Coastal Zone of East and Southeast Asia","journalAbbreviation":"Quaternary International","author":[{"family":"Hu","given":"Bangqi"},{"family":"Wang","given":"Houjie"},{"family":"Yang","given":"Zuosheng"},{"family":"Sun","given":"Xiaoxia"}],"issued":{"date-parts":[["2011",1,15]]},"accessed":{"date-parts":[["2013",8,10]]}}},{"id":85,"uris":["http://zotero.org/users/1706519/items/KF6EV8JR"],"uri":["http://zotero.org/users/1706519/items/KF6EV8JR"],"itemData":{"id":85,"type":"article-journal","title":"Estimating suspended sediment loads in the Pearl River Delta region using sediment rating curves","container-title":"Continental Shelf Research","page":"35-46","volume":"38","source":"ScienceDirect","abstract":"In this study, sediment rating curves are employed to study the variations in relationships between water discharge and suspended sediment concentration based on the recent 50 years of monthly data set in the three major rivers of the Pearl River Delta. Results show that sediment rating parameters vary with time. The lowest rating coefficient, ln ( a ) , and the highest rating exponent, b, mostly occur in the 1980s, indicating that sediment transport reached its peak in this decade at the same level as water discharge. This upward shift of sediment load is probably caused by exacerbated karst rocky desertification in the upper reaches of the Pearl River. However, since the beginning of the 1990s sediment loads from the Pearl River to its estuary began to show a dramatically decreasing trend, which is attributed mainly to deposition in the reservoirs, leading to an increase of ln ( a ) and a decrease of b. Furthermore, the sediment rating curve in 1957 to1970 is applied to estimate potential sediment load (1971 to 2006) in the absence of human influences. It is also estimated quantitatively by the sediment rating curves that in the 1980s, the annual sediment load decreased by 7.59×106 t/yr because of natural factors, while sediment increase induced by human activities was 20.07×106 t/yr, which resulted in an actual increased sediment load of 12.47×106 t/yr compared with the reference level in 1957 to 1970. In the last two decades, the difference between measured and estimated sediment loads became considerable, and the annual deficit sharply increased to 26.80×106 t/yr in the 1990s, and 50.46×106 t/yr in the 2000s, indicating that human activities, mainly referring to dam and reservoir construction, play a dominant role in the decrease of sediment load. The decrease in sediment supply from the Pearl River should be paid special attention because it may cause serious impacts on the river delta and the coastal ocean.","DOI":"10.1016/j.csr.2012.02.017","ISSN":"0278-4343","journalAbbreviation":"Continental Shelf Research","author":[{"family":"Zhang","given":"Wei"},{"family":"Wei","given":"Xiaoyan"},{"family":"Jinhai","given":"Zheng"},{"family":"Yuliang","given":"Zhu"},{"family":"Zhang","given":"Yanjing"}],"issued":{"date-parts":[["2012",4,15]]},"accessed":{"date-parts":[["2013",8,10]]}}}],"schema":"https://github.com/citation-style-language/schema/raw/master/csl-citation.json"} </w:instrText>
      </w:r>
      <w:r w:rsidR="00F41E6A" w:rsidRPr="00E63DA3">
        <w:rPr>
          <w:rFonts w:cstheme="majorBidi"/>
        </w:rPr>
        <w:fldChar w:fldCharType="separate"/>
      </w:r>
      <w:r w:rsidRPr="00E63DA3">
        <w:rPr>
          <w:rFonts w:ascii="Times New Roman" w:hAnsi="Times New Roman" w:cs="Times New Roman"/>
        </w:rPr>
        <w:t>(Crawford 1998; Morehead et al. 2003; Runkel et al.  2004)</w:t>
      </w:r>
      <w:r w:rsidR="00F41E6A" w:rsidRPr="00E63DA3">
        <w:rPr>
          <w:rFonts w:cstheme="majorBidi"/>
        </w:rPr>
        <w:fldChar w:fldCharType="end"/>
      </w:r>
      <w:r w:rsidRPr="00E63DA3">
        <w:rPr>
          <w:rFonts w:cstheme="majorBidi"/>
        </w:rPr>
        <w:t xml:space="preserve">.  </w:t>
      </w:r>
    </w:p>
    <w:p w:rsidR="0041659E" w:rsidRPr="00854E06" w:rsidRDefault="0041659E" w:rsidP="00485D90">
      <w:pPr>
        <w:pStyle w:val="Heading3"/>
        <w:numPr>
          <w:ilvl w:val="1"/>
          <w:numId w:val="19"/>
        </w:numPr>
        <w:ind w:left="540" w:hanging="540"/>
        <w:rPr>
          <w:rFonts w:cstheme="majorBidi"/>
          <w:szCs w:val="24"/>
        </w:rPr>
      </w:pPr>
      <w:bookmarkStart w:id="18" w:name="_Toc394525551"/>
      <w:r w:rsidRPr="00854E06">
        <w:rPr>
          <w:rFonts w:cstheme="majorBidi"/>
          <w:szCs w:val="24"/>
        </w:rPr>
        <w:t xml:space="preserve">Interpreting </w:t>
      </w:r>
      <w:r w:rsidR="001C0F0B" w:rsidRPr="00854E06">
        <w:rPr>
          <w:rFonts w:cstheme="majorBidi"/>
          <w:szCs w:val="24"/>
        </w:rPr>
        <w:t>the sediment rating parameters</w:t>
      </w:r>
      <w:bookmarkEnd w:id="18"/>
    </w:p>
    <w:p w:rsidR="00E63DA3" w:rsidRDefault="00E63DA3" w:rsidP="00E63DA3">
      <w:pPr>
        <w:spacing w:line="480" w:lineRule="auto"/>
        <w:ind w:firstLine="720"/>
        <w:jc w:val="both"/>
        <w:rPr>
          <w:rFonts w:eastAsiaTheme="minorEastAsia" w:cstheme="majorBidi"/>
        </w:rPr>
      </w:pPr>
      <w:r w:rsidRPr="00854E06">
        <w:rPr>
          <w:rFonts w:cstheme="majorBidi"/>
        </w:rPr>
        <w:t xml:space="preserve">While a few researchers argue that the rating parameters </w:t>
      </w:r>
      <m:oMath>
        <m:r>
          <w:rPr>
            <w:rFonts w:ascii="Cambria Math" w:hAnsi="Cambria Math" w:cstheme="majorBidi"/>
          </w:rPr>
          <m:t>a</m:t>
        </m:r>
      </m:oMath>
      <w:r w:rsidRPr="00854E06">
        <w:rPr>
          <w:rFonts w:cstheme="majorBidi"/>
        </w:rPr>
        <w:t xml:space="preserve"> and </w:t>
      </w:r>
      <m:oMath>
        <m:r>
          <w:rPr>
            <w:rFonts w:ascii="Cambria Math" w:hAnsi="Cambria Math" w:cstheme="majorBidi"/>
          </w:rPr>
          <m:t>b</m:t>
        </m:r>
      </m:oMath>
      <w:r w:rsidRPr="00854E06">
        <w:rPr>
          <w:rFonts w:cstheme="majorBidi"/>
        </w:rPr>
        <w:t xml:space="preserve"> have no physical meaning </w:t>
      </w:r>
      <w:r w:rsidR="00F41E6A" w:rsidRPr="00854E06">
        <w:rPr>
          <w:rFonts w:cstheme="majorBidi"/>
        </w:rPr>
        <w:fldChar w:fldCharType="begin"/>
      </w:r>
      <w:r w:rsidRPr="00854E06">
        <w:rPr>
          <w:rFonts w:cstheme="majorBidi"/>
        </w:rPr>
        <w:instrText xml:space="preserve"> ADDIN ZOTERO_ITEM CSL_CITATION {"citationID":"t2qVCC5v","properties":{"formattedCitation":"(Colby 1956; Ferguson 1986)","plainCitation":"(Colby 1956; Ferguson 1986)"},"citationItems":[{"id":126,"uris":["http://zotero.org/users/1706519/items/TWQTQTSD"],"uri":["http://zotero.org/users/1706519/items/TWQTQTSD"],"itemData":{"id":126,"type":"report","title":"Relationship of sediment discharge to streamflow","publisher":"United States Geological Survey","source":"pubs.er.usgs.gov","abstract":"The relationship between rate of sediment discharge and rate of water discharge at a cross section of a stream is frequently expressed by an average curve. This curve is the sediment rating curve. It has been widely used in the computation of average sediment discharge from water discharge for periods when sediment samples were not collected. This report discusses primarily the applications of sediment rating curves for periods during which at least occasional sediment samples were collected. Because sediment rating curves are of many kinds, the selection of the correct kind for each use is important. Each curve should be carefully prepared. In particular, the correct dependent variable must be used or the slope of the sediment rating curve may be incorrect for computing sediment discharges. Sediment rating curves and their applications were studied for the following gaging stations: 1. Niobrara River near Cody, Nebr. 2. Colorado River near Grand Canyon, Ariz. 3. Rio Grande at San Martial, N. Mex. 4. Rio Puerto near Bernardo, N. Mex. 5. White River near Kadoka, S. Dak. 6. Sandusky River near Fremont, Ohio Except for the Sandusky River and the Rio Puerco, which transport mostly fine sediment, one instantaneous sediment rating curve was prepared for the discharge of suspended sands, at each station, and another for the discharge of sediment finer than 0.082 millimeter. Each curve was studied separately, and by trial-end-error multiple correlation some of the factors that cause scatter from the sediment rating curves were determined. Average velocity at the cross section, Water temperature, and erratic fluctuations in concentration seemed to be the three major factors that caused departures from the sediment rating curves for suspended sands. The concentration of suspended sands varied with about the 2.8 power of the mean velocity for the four sediment, rating curves for suspended sands. The effect of water temperature was not so consistent as that of velocity and theoretically should vary considerably with differences in the size composition of the suspended sands. Scatter from the sediment rating curves for sediments finer than 0.082 millimeter seemed to be caused by changes in supply of these sediments. Some of the scatter could be explained by seasonal variations, by a pattern of change in concentration of fine sediment following a rise, or by source of the runoff as indicated by the measured relative flows of certain tributaries. Daily or instantaneous sediment rating curves adjusted for factors that account for some of the scatter from an average curve often can be used to compute approximate daily, monthly, and annual sediment discharges. Accuracy of the computed sediment discharges should be better than average for streams that transport mostly sands rather than fine sediments and for some ephemeral or intermittent streams, such as Rio Puerco, in semiarid regions. Accuracy of computed sediment discharges can be much improved for many streams by shifting the sediment rating curve on the basis of 2 or 4 measurements of sediment discharge per month. Of 26 annual sediment discharges that were computed by shifting sediment rating curves to either 2 or 4 measured sediment discharges per month, 18 were within I0 percent of the annual-sediment discharges that were computed on the basis of a daily sampling program. Monthly and daily sediment discharges computed from daily or instantaneous sediment rating curves, either shifted or unshifted, were less accurate than similarly computed annual sediment discharges. Even so, the difference in cost between occasional sediment samples and daily samples is so great that the added accuracy from daily sampling may not Justify the added cost. Monthly and annual sediment-rating curves can be applied simply, with adjustments if required, to compute monthly and annual sediment discharges with reasonably good accuracy for gaging stations like the Rio Puerco near Bernardo,","URL":"http://pubs.er.usgs.gov/publication/ofr5627","number":"OFR - 56-27","author":[{"family":"Colby","given":"B. R."}],"issued":{"date-parts":[["1956"]]},"accessed":{"date-parts":[["2013",8,15]]}}},{"id":73,"uris":["http://zotero.org/users/1706519/items/GZ626CRN"],"uri":["http://zotero.org/users/1706519/items/GZ626CRN"],"itemData":{"id":73,"type":"article-journal","title":"River Loads Underestimated by Rating Curves","container-title":"Water Resources Research","page":"74–76","volume":"22","issue":"1","source":"Wiley Online Library","abstract":"Statistical considerations show that the sediment, solute, or pollutant load of a river is likely to be underestimated by methods in which unmeasured concentrations are estimated from discharge using a least squares regression for the logarithm of concentration. The degree of underestimation increases with the degree of scatter about the rating curve and can reach 50%. A simple correction factor is proposed and tested successfully on simulated and real data sets.","DOI":"10.1029/WR022i001p00074","ISSN":"1944-7973","language":"en","author":[{"family":"Ferguson","given":"R. I."}],"issued":{"date-parts":[["1986"]]},"accessed":{"date-parts":[["2013",9,8]]}}}],"schema":"https://github.com/citation-style-language/schema/raw/master/csl-citation.json"} </w:instrText>
      </w:r>
      <w:r w:rsidR="00F41E6A" w:rsidRPr="00854E06">
        <w:rPr>
          <w:rFonts w:cstheme="majorBidi"/>
        </w:rPr>
        <w:fldChar w:fldCharType="separate"/>
      </w:r>
      <w:r w:rsidRPr="00854E06">
        <w:rPr>
          <w:rFonts w:cstheme="majorBidi"/>
        </w:rPr>
        <w:t>(Colby 1956; Ferguson 1986)</w:t>
      </w:r>
      <w:r w:rsidR="00F41E6A" w:rsidRPr="00854E06">
        <w:rPr>
          <w:rFonts w:cstheme="majorBidi"/>
        </w:rPr>
        <w:fldChar w:fldCharType="end"/>
      </w:r>
      <w:r w:rsidRPr="00854E06">
        <w:rPr>
          <w:rFonts w:cstheme="majorBidi"/>
        </w:rPr>
        <w:t xml:space="preserve">, others claim that these coefficients have physical interpretation </w:t>
      </w:r>
      <w:r w:rsidR="00F41E6A" w:rsidRPr="00854E06">
        <w:rPr>
          <w:rFonts w:cstheme="majorBidi"/>
        </w:rPr>
        <w:fldChar w:fldCharType="begin"/>
      </w:r>
      <w:r w:rsidRPr="00854E06">
        <w:rPr>
          <w:rFonts w:cstheme="majorBidi"/>
        </w:rPr>
        <w:instrText xml:space="preserve"> ADDIN ZOTERO_ITEM CSL_CITATION {"citationID":"JchE1FsH","properties":{"formattedCitation":"(Walling 1974; Morgan 1995; Asselman 2000; Morehead et al. 2003)","plainCitation":"(Walling 1974; Morgan 1995; Asselman 2000; Morehead et al. 2003)"},"citationItems":[{"id":95,"uris":["http://zotero.org/users/1706519/items/N529G6P7"],"uri":["http://zotero.org/users/1706519/items/N529G6P7"],"itemData":{"id":95,"type":"book","title":"Suspended sediment and solube yield from a small catchment prior to urbanization. In Gregory, K.J and Walling, D.E (eds) Fluvial Processes in Instrumented Watersheds","publisher":"Institute of British Geographers Special Publication 6, IBG","number-of-pages":"169-192","source":"Google Books","ISBN":"9781845930295","shortTitle":"Soil Erosion and Sediment Redistribution in River Catchments","language":"en","author":[{"family":"Walling","given":"D. E."}],"issued":{"date-parts":[["1974"]]}}},{"id":4,"uris":["http://zotero.org/users/1706519/items/28DCSSF5"],"uri":["http://zotero.org/users/1706519/items/28DCSSF5"],"itemData":{"id":4,"type":"book","title":"Soil erosion and conservation","publisher":"Longman, London","edition":"2nd","author":[{"family":"Morgan","given":"R. P. C."}],"issued":{"date-parts":[["1995"]]}}},{"id":135,"uris":["http://zotero.org/users/1706519/items/VK5GWIIQ"],"uri":["http://zotero.org/users/1706519/items/VK5GWIIQ"],"itemData":{"id":135,"type":"article-journal","title":"Fitting and interpretation of sediment rating curves","container-title":"Journal of Hydrology","page":"228-248","volume":"234","issue":"3–4","source":"ScienceDirect","abstract":"A large part of the sediment in lowland rivers is transported as wash load. As wash load is a non-capacity load it often is modelled using empirical relations, such as the rating curve technique. Sediment rating curves in the form of a power function are derived for several locations along the river Rhine and its main tributaries, using different fitting procedures. Inaccuracies in estimated sediment loads are analysed, and spatial differences in the shapes of the fitted rating curves are related to watershed characteristics.\n\nRating curves obtained by least squares regression on logarithmic transformed data underestimate long-term sediment transport rates by 10–50%. Better estimates are obtained when nonlinear least squares regression is applied. The steepness of the fitted rating curves decreases along the main channel of the Rhine in a downstream direction. Contrary to what is generally believed this is not related to changes in the sediment transport regime. A better indication of the sediment transport regime is obtained when the slope/intercept pairs of the fitted rating curves are plotted in a graph. All locations that plot on the same line have a common discharge-concentration value and appear to be characterised by a similar sediment transport regime. At locations of which the slope/intercept pairs plot on higher lines, a larger part of the annual sediment load is transported during high discharge.","DOI":"10.1016/S0022-1694(00)00253-5","ISSN":"0022-1694","journalAbbreviation":"Journal of Hydrology","author":[{"family":"Asselman","given":"N.E.M."}],"issued":{"date-parts":[["2000",7,1]]},"accessed":{"date-parts":[["2013",8,13]]}}},{"id":63,"uris":["http://zotero.org/users/1706519/items/DUMHX828"],"uri":["http://zotero.org/users/1706519/items/DUMHX828"],"itemData":{"id":63,"type":"article-journal","title":"Modeling the temporal variability in the flux of sediment from ungauged river basins","container-title":"Global and Planetary Change","page":"95-110","volume":"39","issue":"1–2","source":"ScienceDirect","abstract":"The suspended sediment load carried by rivers is highly variable in space and time. On a given river, the suspended sediment load is generally related to the discharge. However, at any given discharge on a specific river the suspended sediment load can vary by a couple of orders of magnitude. The temporal variations can be due to many factors including: varying water sources through a season (i.e., rain versus snowmelt), variability in the amount of easily mobilized sediment stored in the channel, changing channel morphology due to intermittent events or changing climate, and variations in erosional processes supplying sediment to the river. Many studies have looked at the causes of the temporal variability in suspended sediment load on a particular river over specific time periods and created models to simulate the variability. A review of the physical mechanisms responsible for the variability in suspended sediment load reveals the necessary components of a general suspended sediment model for ungauged (and gauged) basins. A generally applicable model is presented that accounts for the inter- and intra-annual variability of suspended sediment load of rivers. The strength of this new model is that the coefficients have strong trends between river basins that can be related to drainage basin parameters. The model accounts for basin wide characteristics through a mean exponent. A variable exponent captures the annual variability and is related to the size of the river basin. The inter-annual variability is accounted for by a variable coefficient, which has large values on small rivers. This is a result of small rivers having larger changes in the intra-annual flows and large rivers tending to have less variability.","DOI":"10.1016/S0921-8181(03)00019-5","ISSN":"0921-8181","journalAbbreviation":"Global and Planetary Change","author":[{"family":"Morehead","given":"Mark D."},{"family":"Syvitski","given":"James P."},{"family":"Hutton","given":"Eric W.H."},{"family":"Peckham","given":"Scott D."}],"issued":{"date-parts":[["2003",10]]},"accessed":{"date-parts":[["2013",10,1]]}}}],"schema":"https://github.com/citation-style-language/schema/raw/master/csl-citation.json"} </w:instrText>
      </w:r>
      <w:r w:rsidR="00F41E6A" w:rsidRPr="00854E06">
        <w:rPr>
          <w:rFonts w:cstheme="majorBidi"/>
        </w:rPr>
        <w:fldChar w:fldCharType="separate"/>
      </w:r>
      <w:r w:rsidRPr="00854E06">
        <w:rPr>
          <w:rFonts w:ascii="Times New Roman" w:hAnsi="Times New Roman" w:cs="Times New Roman"/>
        </w:rPr>
        <w:t>(Walling 1974; Morgan 1995; Asselman 2000; Morehead et al. 2003)</w:t>
      </w:r>
      <w:r w:rsidR="00F41E6A" w:rsidRPr="00854E06">
        <w:rPr>
          <w:rFonts w:cstheme="majorBidi"/>
        </w:rPr>
        <w:fldChar w:fldCharType="end"/>
      </w:r>
      <w:r w:rsidRPr="00854E06">
        <w:rPr>
          <w:rFonts w:cstheme="majorBidi"/>
        </w:rPr>
        <w:t xml:space="preserve">. </w:t>
      </w:r>
      <w:r w:rsidRPr="00854E06">
        <w:rPr>
          <w:rFonts w:eastAsiaTheme="minorEastAsia" w:cstheme="majorBidi"/>
        </w:rPr>
        <w:t xml:space="preserve">The rating coefficient </w:t>
      </w:r>
      <m:oMath>
        <m:r>
          <w:rPr>
            <w:rFonts w:ascii="Cambria Math" w:eastAsiaTheme="minorEastAsia" w:hAnsi="Cambria Math" w:cstheme="majorBidi"/>
          </w:rPr>
          <m:t>a</m:t>
        </m:r>
      </m:oMath>
      <w:r w:rsidRPr="00854E06">
        <w:rPr>
          <w:rFonts w:eastAsiaTheme="minorEastAsia" w:cstheme="majorBidi"/>
        </w:rPr>
        <w:t xml:space="preserve"> represents the sediment concentration at unit discharge</w:t>
      </w:r>
      <w:r>
        <w:rPr>
          <w:rFonts w:eastAsiaTheme="minorEastAsia" w:cstheme="majorBidi"/>
        </w:rPr>
        <w:t xml:space="preserve">, which depends on the </w:t>
      </w:r>
      <w:r w:rsidRPr="00854E06">
        <w:rPr>
          <w:rFonts w:eastAsiaTheme="minorEastAsia" w:cstheme="majorBidi"/>
        </w:rPr>
        <w:t>availability of sediment in the area contributing to the site of measurement</w:t>
      </w:r>
      <w:r>
        <w:rPr>
          <w:rFonts w:eastAsiaTheme="minorEastAsia" w:cstheme="majorBidi"/>
        </w:rPr>
        <w:t xml:space="preserve"> </w:t>
      </w:r>
      <w:r w:rsidRPr="00854E06">
        <w:rPr>
          <w:rFonts w:eastAsiaTheme="minorEastAsia" w:cstheme="majorBidi"/>
        </w:rPr>
        <w:t xml:space="preserve">and whether </w:t>
      </w:r>
      <w:r>
        <w:rPr>
          <w:rFonts w:eastAsiaTheme="minorEastAsia" w:cstheme="majorBidi"/>
        </w:rPr>
        <w:t>the sediment</w:t>
      </w:r>
      <w:r w:rsidRPr="00854E06">
        <w:rPr>
          <w:rFonts w:eastAsiaTheme="minorEastAsia" w:cstheme="majorBidi"/>
        </w:rPr>
        <w:t xml:space="preserve"> is easily eroded and transported by stream flow. This coefficient, therefore, is influenced by the soil </w:t>
      </w:r>
      <w:proofErr w:type="spellStart"/>
      <w:r w:rsidRPr="00854E06">
        <w:rPr>
          <w:rFonts w:eastAsiaTheme="minorEastAsia" w:cstheme="majorBidi"/>
        </w:rPr>
        <w:t>erodibility</w:t>
      </w:r>
      <w:proofErr w:type="spellEnd"/>
      <w:r w:rsidRPr="00854E06">
        <w:rPr>
          <w:rFonts w:eastAsiaTheme="minorEastAsia" w:cstheme="majorBidi"/>
        </w:rPr>
        <w:t xml:space="preserve"> and suspended sediment input in the </w:t>
      </w:r>
      <w:r>
        <w:rPr>
          <w:rFonts w:eastAsiaTheme="minorEastAsia" w:cstheme="majorBidi"/>
        </w:rPr>
        <w:t xml:space="preserve">basin </w:t>
      </w:r>
      <w:r w:rsidRPr="00854E06">
        <w:rPr>
          <w:rFonts w:eastAsiaTheme="minorEastAsia" w:cstheme="majorBidi"/>
        </w:rPr>
        <w:t xml:space="preserve">upstream of the gauging site </w:t>
      </w:r>
      <w:r w:rsidR="00F41E6A" w:rsidRPr="00854E06">
        <w:rPr>
          <w:rFonts w:eastAsiaTheme="minorEastAsia" w:cstheme="majorBidi"/>
        </w:rPr>
        <w:fldChar w:fldCharType="begin"/>
      </w:r>
      <w:r w:rsidRPr="00854E06">
        <w:rPr>
          <w:rFonts w:eastAsiaTheme="minorEastAsia" w:cstheme="majorBidi"/>
        </w:rPr>
        <w:instrText xml:space="preserve"> ADDIN ZOTERO_ITEM CSL_CITATION {"citationID":"lschFLqI","properties":{"formattedCitation":"(Asselman 2000)","plainCitation":"(Asselman 2000)"},"citationItems":[{"id":135,"uris":["http://zotero.org/users/1706519/items/VK5GWIIQ"],"uri":["http://zotero.org/users/1706519/items/VK5GWIIQ"],"itemData":{"id":135,"type":"article-journal","title":"Fitting and interpretation of sediment rating curves","container-title":"Journal of Hydrology","page":"228-248","volume":"234","issue":"3–4","source":"ScienceDirect","abstract":"A large part of the sediment in lowland rivers is transported as wash load. As wash load is a non-capacity load it often is modelled using empirical relations, such as the rating curve technique. Sediment rating curves in the form of a power function are derived for several locations along the river Rhine and its main tributaries, using different fitting procedures. Inaccuracies in estimated sediment loads are analysed, and spatial differences in the shapes of the fitted rating curves are related to watershed characteristics.\n\nRating curves obtained by least squares regression on logarithmic transformed data underestimate long-term sediment transport rates by 10–50%. Better estimates are obtained when nonlinear least squares regression is applied. The steepness of the fitted rating curves decreases along the main channel of the Rhine in a downstream direction. Contrary to what is generally believed this is not related to changes in the sediment transport regime. A better indication of the sediment transport regime is obtained when the slope/intercept pairs of the fitted rating curves are plotted in a graph. All locations that plot on the same line have a common discharge-concentration value and appear to be characterised by a similar sediment transport regime. At locations of which the slope/intercept pairs plot on higher lines, a larger part of the annual sediment load is transported during high discharge.","DOI":"10.1016/S0022-1694(00)00253-5","ISSN":"0022-1694","journalAbbreviation":"Journal of Hydrology","author":[{"family":"Asselman","given":"N.E.M."}],"issued":{"date-parts":[["2000",7,1]]},"accessed":{"date-parts":[["2013",8,13]]}}}],"schema":"https://github.com/citation-style-language/schema/raw/master/csl-citation.json"} </w:instrText>
      </w:r>
      <w:r w:rsidR="00F41E6A" w:rsidRPr="00854E06">
        <w:rPr>
          <w:rFonts w:eastAsiaTheme="minorEastAsia" w:cstheme="majorBidi"/>
        </w:rPr>
        <w:fldChar w:fldCharType="separate"/>
      </w:r>
      <w:r w:rsidRPr="00854E06">
        <w:rPr>
          <w:rFonts w:ascii="Times New Roman" w:eastAsiaTheme="minorEastAsia" w:hAnsi="Times New Roman" w:cs="Times New Roman"/>
        </w:rPr>
        <w:t>(Morgan 1995; Asselman 2000)</w:t>
      </w:r>
      <w:r w:rsidR="00F41E6A" w:rsidRPr="00854E06">
        <w:rPr>
          <w:rFonts w:eastAsiaTheme="minorEastAsia" w:cstheme="majorBidi"/>
        </w:rPr>
        <w:fldChar w:fldCharType="end"/>
      </w:r>
      <w:r w:rsidRPr="00854E06">
        <w:rPr>
          <w:rFonts w:eastAsiaTheme="minorEastAsia" w:cstheme="majorBidi"/>
        </w:rPr>
        <w:t xml:space="preserve">. The rating coefficient </w:t>
      </w:r>
      <m:oMath>
        <m:r>
          <w:rPr>
            <w:rFonts w:ascii="Cambria Math" w:eastAsiaTheme="minorEastAsia" w:hAnsi="Cambria Math" w:cstheme="majorBidi"/>
          </w:rPr>
          <m:t>a</m:t>
        </m:r>
      </m:oMath>
      <w:r w:rsidRPr="00854E06">
        <w:rPr>
          <w:rFonts w:eastAsiaTheme="minorEastAsia" w:cstheme="majorBidi"/>
        </w:rPr>
        <w:t xml:space="preserve"> has multiple units and varies with the value of the </w:t>
      </w:r>
      <w:proofErr w:type="gramStart"/>
      <w:r w:rsidRPr="00854E06">
        <w:rPr>
          <w:rFonts w:eastAsiaTheme="minorEastAsia" w:cstheme="majorBidi"/>
        </w:rPr>
        <w:t xml:space="preserve">exponent </w:t>
      </w:r>
      <w:proofErr w:type="gramEnd"/>
      <m:oMath>
        <m:r>
          <w:rPr>
            <w:rFonts w:ascii="Cambria Math" w:eastAsiaTheme="minorEastAsia" w:hAnsi="Cambria Math" w:cstheme="majorBidi"/>
          </w:rPr>
          <m:t>b</m:t>
        </m:r>
      </m:oMath>
      <w:r>
        <w:rPr>
          <w:rFonts w:eastAsiaTheme="minorEastAsia" w:cstheme="majorBidi"/>
        </w:rPr>
        <w:t xml:space="preserve">: </w:t>
      </w:r>
      <w:r w:rsidRPr="00854E06">
        <w:rPr>
          <w:rFonts w:eastAsiaTheme="minorEastAsia" w:cstheme="majorBidi"/>
        </w:rPr>
        <w:t>(kg/s)(s/m</w:t>
      </w:r>
      <w:r w:rsidRPr="00854E06">
        <w:rPr>
          <w:rFonts w:eastAsiaTheme="minorEastAsia" w:cstheme="majorBidi"/>
          <w:vertAlign w:val="superscript"/>
        </w:rPr>
        <w:t>3</w:t>
      </w:r>
      <w:r w:rsidRPr="00854E06">
        <w:rPr>
          <w:rFonts w:eastAsiaTheme="minorEastAsia" w:cstheme="majorBidi"/>
        </w:rPr>
        <w:t>)</w:t>
      </w:r>
      <w:r w:rsidRPr="00854E06">
        <w:rPr>
          <w:rFonts w:eastAsiaTheme="minorEastAsia" w:cstheme="majorBidi"/>
          <w:vertAlign w:val="superscript"/>
        </w:rPr>
        <w:t>b</w:t>
      </w:r>
      <w:r w:rsidRPr="00854E06">
        <w:rPr>
          <w:rFonts w:eastAsiaTheme="minorEastAsia" w:cstheme="majorBidi"/>
        </w:rPr>
        <w:t xml:space="preserve">.  </w:t>
      </w:r>
    </w:p>
    <w:p w:rsidR="00E63DA3" w:rsidRPr="00854E06" w:rsidRDefault="00E63DA3" w:rsidP="00E63DA3">
      <w:pPr>
        <w:spacing w:line="480" w:lineRule="auto"/>
        <w:ind w:firstLine="720"/>
        <w:jc w:val="both"/>
        <w:rPr>
          <w:rFonts w:eastAsiaTheme="minorEastAsia" w:cstheme="majorBidi"/>
        </w:rPr>
      </w:pPr>
      <w:r w:rsidRPr="00854E06">
        <w:rPr>
          <w:rFonts w:eastAsiaTheme="minorEastAsia" w:cstheme="majorBidi"/>
        </w:rPr>
        <w:lastRenderedPageBreak/>
        <w:t xml:space="preserve">The rating exponent </w:t>
      </w:r>
      <m:oMath>
        <m:r>
          <w:rPr>
            <w:rFonts w:ascii="Cambria Math" w:eastAsiaTheme="minorEastAsia" w:hAnsi="Cambria Math" w:cstheme="majorBidi"/>
          </w:rPr>
          <m:t>b</m:t>
        </m:r>
      </m:oMath>
      <w:r w:rsidRPr="00854E06">
        <w:rPr>
          <w:rFonts w:eastAsiaTheme="minorEastAsia" w:cstheme="majorBidi"/>
        </w:rPr>
        <w:t xml:space="preserve"> indicates the changing rate of the suspended sediment load per change of unit water discharge</w:t>
      </w:r>
      <w:r>
        <w:rPr>
          <w:rFonts w:eastAsiaTheme="minorEastAsia" w:cstheme="majorBidi"/>
        </w:rPr>
        <w:t xml:space="preserve">. </w:t>
      </w:r>
      <w:r w:rsidRPr="00854E06">
        <w:rPr>
          <w:rFonts w:eastAsiaTheme="minorEastAsia" w:cstheme="majorBidi"/>
        </w:rPr>
        <w:t xml:space="preserve">There are three possibilities for the range of values for the exponent </w:t>
      </w:r>
      <m:oMath>
        <m:r>
          <w:rPr>
            <w:rFonts w:ascii="Cambria Math" w:eastAsiaTheme="minorEastAsia" w:hAnsi="Cambria Math" w:cstheme="majorBidi"/>
          </w:rPr>
          <m:t>b</m:t>
        </m:r>
      </m:oMath>
      <w:r w:rsidRPr="00854E06">
        <w:rPr>
          <w:rFonts w:eastAsiaTheme="minorEastAsia" w:cstheme="majorBidi"/>
        </w:rPr>
        <w:t xml:space="preserve"> </w:t>
      </w:r>
      <w:r w:rsidR="00F41E6A" w:rsidRPr="00854E06">
        <w:rPr>
          <w:rFonts w:eastAsiaTheme="minorEastAsia" w:cstheme="majorBidi"/>
        </w:rPr>
        <w:fldChar w:fldCharType="begin"/>
      </w:r>
      <w:r w:rsidRPr="00854E06">
        <w:rPr>
          <w:rFonts w:eastAsiaTheme="minorEastAsia" w:cstheme="majorBidi"/>
        </w:rPr>
        <w:instrText xml:space="preserve"> ADDIN ZOTERO_ITEM CSL_CITATION {"citationID":"btBUIunf","properties":{"formattedCitation":"(Asselman 2000; Morehead et al. 2003)","plainCitation":"(Asselman 2000; Morehead et al. 2003)"},"citationItems":[{"id":135,"uris":["http://zotero.org/users/1706519/items/VK5GWIIQ"],"uri":["http://zotero.org/users/1706519/items/VK5GWIIQ"],"itemData":{"id":135,"type":"article-journal","title":"Fitting and interpretation of sediment rating curves","container-title":"Journal of Hydrology","page":"228-248","volume":"234","issue":"3–4","source":"ScienceDirect","abstract":"A large part of the sediment in lowland rivers is transported as wash load. As wash load is a non-capacity load it often is modelled using empirical relations, such as the rating curve technique. Sediment rating curves in the form of a power function are derived for several locations along the river Rhine and its main tributaries, using different fitting procedures. Inaccuracies in estimated sediment loads are analysed, and spatial differences in the shapes of the fitted rating curves are related to watershed characteristics.\n\nRating curves obtained by least squares regression on logarithmic transformed data underestimate long-term sediment transport rates by 10–50%. Better estimates are obtained when nonlinear least squares regression is applied. The steepness of the fitted rating curves decreases along the main channel of the Rhine in a downstream direction. Contrary to what is generally believed this is not related to changes in the sediment transport regime. A better indication of the sediment transport regime is obtained when the slope/intercept pairs of the fitted rating curves are plotted in a graph. All locations that plot on the same line have a common discharge-concentration value and appear to be characterised by a similar sediment transport regime. At locations of which the slope/intercept pairs plot on higher lines, a larger part of the annual sediment load is transported during high discharge.","DOI":"10.1016/S0022-1694(00)00253-5","ISSN":"0022-1694","journalAbbreviation":"Journal of Hydrology","author":[{"family":"Asselman","given":"N.E.M."}],"issued":{"date-parts":[["2000",7,1]]},"accessed":{"date-parts":[["2013",8,13]]}}},{"id":63,"uris":["http://zotero.org/users/1706519/items/DUMHX828"],"uri":["http://zotero.org/users/1706519/items/DUMHX828"],"itemData":{"id":63,"type":"article-journal","title":"Modeling the temporal variability in the flux of sediment from ungauged river basins","container-title":"Global and Planetary Change","page":"95-110","volume":"39","issue":"1–2","source":"ScienceDirect","abstract":"The suspended sediment load carried by rivers is highly variable in space and time. On a given river, the suspended sediment load is generally related to the discharge. However, at any given discharge on a specific river the suspended sediment load can vary by a couple of orders of magnitude. The temporal variations can be due to many factors including: varying water sources through a season (i.e., rain versus snowmelt), variability in the amount of easily mobilized sediment stored in the channel, changing channel morphology due to intermittent events or changing climate, and variations in erosional processes supplying sediment to the river. Many studies have looked at the causes of the temporal variability in suspended sediment load on a particular river over specific time periods and created models to simulate the variability. A review of the physical mechanisms responsible for the variability in suspended sediment load reveals the necessary components of a general suspended sediment model for ungauged (and gauged) basins. A generally applicable model is presented that accounts for the inter- and intra-annual variability of suspended sediment load of rivers. The strength of this new model is that the coefficients have strong trends between river basins that can be related to drainage basin parameters. The model accounts for basin wide characteristics through a mean exponent. A variable exponent captures the annual variability and is related to the size of the river basin. The inter-annual variability is accounted for by a variable coefficient, which has large values on small rivers. This is a result of small rivers having larger changes in the intra-annual flows and large rivers tending to have less variability.","DOI":"10.1016/S0921-8181(03)00019-5","ISSN":"0921-8181","journalAbbreviation":"Global and Planetary Change","author":[{"family":"Morehead","given":"Mark D."},{"family":"Syvitski","given":"James P."},{"family":"Hutton","given":"Eric W.H."},{"family":"Peckham","given":"Scott D."}],"issued":{"date-parts":[["2003",10]]},"accessed":{"date-parts":[["2013",10,1]]}}}],"schema":"https://github.com/citation-style-language/schema/raw/master/csl-citation.json"} </w:instrText>
      </w:r>
      <w:r w:rsidR="00F41E6A" w:rsidRPr="00854E06">
        <w:rPr>
          <w:rFonts w:eastAsiaTheme="minorEastAsia" w:cstheme="majorBidi"/>
        </w:rPr>
        <w:fldChar w:fldCharType="separate"/>
      </w:r>
      <w:r w:rsidRPr="00854E06">
        <w:rPr>
          <w:rFonts w:ascii="Times New Roman" w:hAnsi="Times New Roman" w:cs="Times New Roman"/>
        </w:rPr>
        <w:t>(Asselman 2000; Morehead et al. 2003)</w:t>
      </w:r>
      <w:r w:rsidR="00F41E6A" w:rsidRPr="00854E06">
        <w:rPr>
          <w:rFonts w:eastAsiaTheme="minorEastAsia" w:cstheme="majorBidi"/>
        </w:rPr>
        <w:fldChar w:fldCharType="end"/>
      </w:r>
      <w:r w:rsidRPr="00854E06">
        <w:rPr>
          <w:rFonts w:eastAsiaTheme="minorEastAsia" w:cstheme="majorBidi"/>
        </w:rPr>
        <w:t xml:space="preserve">: </w:t>
      </w:r>
    </w:p>
    <w:p w:rsidR="00E63DA3" w:rsidRPr="00854E06" w:rsidRDefault="00E63DA3" w:rsidP="00E63DA3">
      <w:pPr>
        <w:pStyle w:val="ListParagraph"/>
        <w:numPr>
          <w:ilvl w:val="0"/>
          <w:numId w:val="1"/>
        </w:numPr>
        <w:spacing w:after="0" w:line="480" w:lineRule="auto"/>
        <w:contextualSpacing w:val="0"/>
        <w:jc w:val="both"/>
        <w:rPr>
          <w:rFonts w:asciiTheme="majorBidi" w:eastAsiaTheme="minorEastAsia" w:hAnsiTheme="majorBidi" w:cstheme="majorBidi"/>
          <w:sz w:val="24"/>
          <w:szCs w:val="24"/>
        </w:rPr>
      </w:pPr>
      <m:oMath>
        <m:r>
          <w:rPr>
            <w:rFonts w:ascii="Cambria Math" w:eastAsiaTheme="minorEastAsia" w:hAnsi="Cambria Math" w:cstheme="majorBidi"/>
            <w:sz w:val="24"/>
            <w:szCs w:val="24"/>
          </w:rPr>
          <m:t>b</m:t>
        </m:r>
      </m:oMath>
      <w:r w:rsidRPr="00854E06">
        <w:rPr>
          <w:rFonts w:asciiTheme="majorBidi" w:eastAsiaTheme="minorEastAsia" w:hAnsiTheme="majorBidi" w:cstheme="majorBidi"/>
          <w:sz w:val="24"/>
          <w:szCs w:val="24"/>
        </w:rPr>
        <w:t xml:space="preserve"> = 1: </w:t>
      </w:r>
      <w:r>
        <w:rPr>
          <w:rFonts w:asciiTheme="majorBidi" w:eastAsiaTheme="minorEastAsia" w:hAnsiTheme="majorBidi" w:cstheme="majorBidi"/>
          <w:sz w:val="24"/>
          <w:szCs w:val="24"/>
        </w:rPr>
        <w:t xml:space="preserve">The </w:t>
      </w:r>
      <w:r w:rsidRPr="00854E06">
        <w:rPr>
          <w:rFonts w:asciiTheme="majorBidi" w:eastAsiaTheme="minorEastAsia" w:hAnsiTheme="majorBidi" w:cstheme="majorBidi"/>
          <w:sz w:val="24"/>
          <w:szCs w:val="24"/>
        </w:rPr>
        <w:t xml:space="preserve">suspended sediment load </w:t>
      </w:r>
      <w:r>
        <w:rPr>
          <w:rFonts w:asciiTheme="majorBidi" w:eastAsiaTheme="minorEastAsia" w:hAnsiTheme="majorBidi" w:cstheme="majorBidi"/>
          <w:sz w:val="24"/>
          <w:szCs w:val="24"/>
        </w:rPr>
        <w:t>increases in a linear fashion with the increase of</w:t>
      </w:r>
      <w:r w:rsidRPr="00854E06">
        <w:rPr>
          <w:rFonts w:asciiTheme="majorBidi" w:eastAsiaTheme="minorEastAsia" w:hAnsiTheme="majorBidi" w:cstheme="majorBidi"/>
          <w:sz w:val="24"/>
          <w:szCs w:val="24"/>
        </w:rPr>
        <w:t xml:space="preserve"> stream </w:t>
      </w:r>
      <w:r>
        <w:rPr>
          <w:rFonts w:asciiTheme="majorBidi" w:eastAsiaTheme="minorEastAsia" w:hAnsiTheme="majorBidi" w:cstheme="majorBidi"/>
          <w:sz w:val="24"/>
          <w:szCs w:val="24"/>
        </w:rPr>
        <w:t>discharge</w:t>
      </w:r>
      <w:r w:rsidRPr="00854E06">
        <w:rPr>
          <w:rFonts w:asciiTheme="majorBidi" w:eastAsiaTheme="minorEastAsia" w:hAnsiTheme="majorBidi" w:cstheme="majorBidi"/>
          <w:sz w:val="24"/>
          <w:szCs w:val="24"/>
        </w:rPr>
        <w:t xml:space="preserve">. The </w:t>
      </w:r>
      <w:r>
        <w:rPr>
          <w:rFonts w:asciiTheme="majorBidi" w:eastAsiaTheme="minorEastAsia" w:hAnsiTheme="majorBidi" w:cstheme="majorBidi"/>
          <w:sz w:val="24"/>
          <w:szCs w:val="24"/>
        </w:rPr>
        <w:t xml:space="preserve">shape of the </w:t>
      </w:r>
      <w:r w:rsidRPr="00854E06">
        <w:rPr>
          <w:rFonts w:asciiTheme="majorBidi" w:eastAsiaTheme="minorEastAsia" w:hAnsiTheme="majorBidi" w:cstheme="majorBidi"/>
          <w:sz w:val="24"/>
          <w:szCs w:val="24"/>
        </w:rPr>
        <w:t>rating curve with this exponent value is a straight line.</w:t>
      </w:r>
    </w:p>
    <w:p w:rsidR="00E63DA3" w:rsidRPr="00854E06" w:rsidRDefault="00E63DA3" w:rsidP="00E63DA3">
      <w:pPr>
        <w:pStyle w:val="ListParagraph"/>
        <w:numPr>
          <w:ilvl w:val="0"/>
          <w:numId w:val="1"/>
        </w:numPr>
        <w:spacing w:after="0" w:line="480" w:lineRule="auto"/>
        <w:contextualSpacing w:val="0"/>
        <w:jc w:val="both"/>
        <w:rPr>
          <w:rFonts w:asciiTheme="majorBidi" w:eastAsiaTheme="minorEastAsia" w:hAnsiTheme="majorBidi" w:cstheme="majorBidi"/>
          <w:sz w:val="24"/>
          <w:szCs w:val="24"/>
        </w:rPr>
      </w:pPr>
      <w:r w:rsidRPr="00854E06">
        <w:rPr>
          <w:rFonts w:asciiTheme="majorBidi" w:eastAsiaTheme="minorEastAsia" w:hAnsiTheme="majorBidi" w:cstheme="majorBidi"/>
          <w:sz w:val="24"/>
          <w:szCs w:val="24"/>
        </w:rPr>
        <w:t xml:space="preserve">0 &lt; </w:t>
      </w:r>
      <m:oMath>
        <m:r>
          <w:rPr>
            <w:rFonts w:ascii="Cambria Math" w:eastAsiaTheme="minorEastAsia" w:hAnsi="Cambria Math" w:cstheme="majorBidi"/>
            <w:sz w:val="24"/>
            <w:szCs w:val="24"/>
          </w:rPr>
          <m:t>b</m:t>
        </m:r>
      </m:oMath>
      <w:r w:rsidRPr="00854E06">
        <w:rPr>
          <w:rFonts w:asciiTheme="majorBidi" w:eastAsiaTheme="minorEastAsia" w:hAnsiTheme="majorBidi" w:cstheme="majorBidi"/>
          <w:sz w:val="24"/>
          <w:szCs w:val="24"/>
        </w:rPr>
        <w:t xml:space="preserve"> &lt; 1: </w:t>
      </w:r>
      <w:r>
        <w:rPr>
          <w:rFonts w:asciiTheme="majorBidi" w:eastAsiaTheme="minorEastAsia" w:hAnsiTheme="majorBidi" w:cstheme="majorBidi"/>
          <w:sz w:val="24"/>
          <w:szCs w:val="24"/>
        </w:rPr>
        <w:t xml:space="preserve">The suspended load increases in a diminishing rate with the increase of discharge. In this case, the rating curve has a concave shape. Rivers with this kind of rating curve are </w:t>
      </w:r>
      <w:r w:rsidRPr="00854E06">
        <w:rPr>
          <w:rFonts w:asciiTheme="majorBidi" w:eastAsiaTheme="minorEastAsia" w:hAnsiTheme="majorBidi" w:cstheme="majorBidi"/>
          <w:sz w:val="24"/>
          <w:szCs w:val="24"/>
        </w:rPr>
        <w:t>supply-limited</w:t>
      </w:r>
      <w:r>
        <w:rPr>
          <w:rFonts w:asciiTheme="majorBidi" w:eastAsiaTheme="minorEastAsia" w:hAnsiTheme="majorBidi" w:cstheme="majorBidi"/>
          <w:sz w:val="24"/>
          <w:szCs w:val="24"/>
        </w:rPr>
        <w:t xml:space="preserve">, which means that the amount of sediment transported is constrained by the amount of sediment available </w:t>
      </w:r>
      <w:r w:rsidR="00F41E6A">
        <w:rPr>
          <w:rFonts w:asciiTheme="majorBidi" w:eastAsiaTheme="minorEastAsia" w:hAnsiTheme="majorBidi" w:cstheme="majorBidi"/>
          <w:sz w:val="24"/>
          <w:szCs w:val="24"/>
        </w:rPr>
        <w:fldChar w:fldCharType="begin"/>
      </w:r>
      <w:r>
        <w:rPr>
          <w:rFonts w:asciiTheme="majorBidi" w:eastAsiaTheme="minorEastAsia" w:hAnsiTheme="majorBidi" w:cstheme="majorBidi"/>
          <w:sz w:val="24"/>
          <w:szCs w:val="24"/>
        </w:rPr>
        <w:instrText xml:space="preserve"> ADDIN ZOTERO_ITEM CSL_CITATION {"citationID":"CkTLTn1p","properties":{"formattedCitation":"(Hickin 1995; Meade and Moody 2010)","plainCitation":"(Hickin 1995; Meade and Moody 2010)"},"citationItems":[{"id":604,"uris":["http://zotero.org/users/1706519/items/3NG9XHQP"],"uri":["http://zotero.org/users/1706519/items/3NG9XHQP"],"itemData":{"id":604,"type":"book","title":"River geomorphology","publisher":"Wiley","number-of-pages":"280","source":"Google Books","abstract":"Contains a selection of 12 river studies that are extremely current and includes recently completed and ongoing original research. Fluvial sediment production and transport, overbank sedimentation, channel scour and hydraulic geometry, human impacts on river systems and the dynamics of large-scale river geomorphology recorded by satellite imagery are among the issues covered. Although the collection is thematic, it also reflects the rich diversity of perspectives and interests of international river scientists.","ISBN":"9780471955313","language":"en","author":[{"family":"Hickin","given":"Edward J."}],"issued":{"date-parts":[["1995",6,20]]}}},{"id":524,"uris":["http://zotero.org/users/1706519/items/455DZDWG"],"uri":["http://zotero.org/users/1706519/items/455DZDWG"],"itemData":{"id":524,"type":"article-journal","title":"Causes for the decline of suspended-sediment discharge in the Mississippi River system, 1940–2007","container-title":"Hydrological Processes","page":"35–49","volume":"24","issue":"1","source":"Wiley Online Library","abstract":"Before 1900, the Missouri–Mississippi River system transported an estimated 400 million metric tons per year of sediment from the interior of the United States to coastal Louisiana. During the last two decades (1987–2006), this transport has averaged 145 million metric tons per year. The cause for this substantial decrease in sediment has been attributed to the trapping characteristics of dams constructed on the muddy part of the Missouri River during the 1950s. However, reexamination of more than 60 years of water- and sediment-discharge data indicates that the dams alone are not the sole cause. These dams trap about 100–150 million metric tons per year, which represent about half the decrease in sediment discharge near the mouth of the Mississippi. Changes in relations between water discharge and suspended-sediment concentration suggest that the Missouri–Mississippi has been transformed from a transport-limited to a supply-limited system. Thus, other engineering activities such as meander cutoffs, river-training structures, and bank revetments as well as soil erosion controls have trapped sediment, eliminated sediment sources, or protected sediment that was once available for transport episodically throughout the year. Removing major engineering structures such as dams probably would not restore sediment discharges to pre-1900 state, mainly because of the numerous smaller engineering structures and other soil-retention works throughout the Missouri–Mississippi system. Published in 2009 by John Wiley &amp; Sons, Ltd.","DOI":"10.1002/hyp.7477","ISSN":"1099-1085","language":"en","author":[{"family":"Meade","given":"Robert H."},{"family":"Moody","given":"John A."}],"issued":{"date-parts":[["2010"]]},"accessed":{"date-parts":[["2014",3,10]]}}}],"schema":"https://github.com/citation-style-language/schema/raw/master/csl-citation.json"} </w:instrText>
      </w:r>
      <w:r w:rsidR="00F41E6A">
        <w:rPr>
          <w:rFonts w:asciiTheme="majorBidi" w:eastAsiaTheme="minorEastAsia" w:hAnsiTheme="majorBidi" w:cstheme="majorBidi"/>
          <w:sz w:val="24"/>
          <w:szCs w:val="24"/>
        </w:rPr>
        <w:fldChar w:fldCharType="separate"/>
      </w:r>
      <w:r w:rsidRPr="00463E01">
        <w:rPr>
          <w:rFonts w:ascii="Times New Roman" w:hAnsi="Times New Roman" w:cs="Times New Roman"/>
          <w:sz w:val="24"/>
        </w:rPr>
        <w:t>(Hickin 1995; Meade and Moody 2010)</w:t>
      </w:r>
      <w:r w:rsidR="00F41E6A">
        <w:rPr>
          <w:rFonts w:asciiTheme="majorBidi" w:eastAsiaTheme="minorEastAsia" w:hAnsiTheme="majorBidi" w:cstheme="majorBidi"/>
          <w:sz w:val="24"/>
          <w:szCs w:val="24"/>
        </w:rPr>
        <w:fldChar w:fldCharType="end"/>
      </w:r>
      <w:r>
        <w:rPr>
          <w:rFonts w:asciiTheme="majorBidi" w:eastAsiaTheme="minorEastAsia" w:hAnsiTheme="majorBidi" w:cstheme="majorBidi"/>
          <w:sz w:val="24"/>
          <w:szCs w:val="24"/>
        </w:rPr>
        <w:t xml:space="preserve">.  </w:t>
      </w:r>
      <w:r w:rsidRPr="00854E06">
        <w:rPr>
          <w:rFonts w:asciiTheme="majorBidi" w:eastAsiaTheme="minorEastAsia" w:hAnsiTheme="majorBidi" w:cstheme="majorBidi"/>
          <w:sz w:val="24"/>
          <w:szCs w:val="24"/>
        </w:rPr>
        <w:t xml:space="preserve"> </w:t>
      </w:r>
    </w:p>
    <w:p w:rsidR="00E63DA3" w:rsidRPr="00854E06" w:rsidRDefault="00E63DA3" w:rsidP="00E63DA3">
      <w:pPr>
        <w:pStyle w:val="ListParagraph"/>
        <w:numPr>
          <w:ilvl w:val="0"/>
          <w:numId w:val="1"/>
        </w:numPr>
        <w:spacing w:after="0" w:line="480" w:lineRule="auto"/>
        <w:contextualSpacing w:val="0"/>
        <w:jc w:val="both"/>
        <w:rPr>
          <w:rFonts w:asciiTheme="majorBidi" w:eastAsiaTheme="minorEastAsia" w:hAnsiTheme="majorBidi" w:cstheme="majorBidi"/>
          <w:sz w:val="24"/>
          <w:szCs w:val="24"/>
        </w:rPr>
      </w:pPr>
      <m:oMath>
        <m:r>
          <w:rPr>
            <w:rFonts w:ascii="Cambria Math" w:eastAsiaTheme="minorEastAsia" w:hAnsi="Cambria Math" w:cstheme="majorBidi"/>
            <w:sz w:val="24"/>
            <w:szCs w:val="24"/>
          </w:rPr>
          <m:t>b</m:t>
        </m:r>
      </m:oMath>
      <w:r w:rsidRPr="00854E06">
        <w:rPr>
          <w:rFonts w:asciiTheme="majorBidi" w:eastAsiaTheme="minorEastAsia" w:hAnsiTheme="majorBidi" w:cstheme="majorBidi"/>
          <w:sz w:val="24"/>
          <w:szCs w:val="24"/>
        </w:rPr>
        <w:t xml:space="preserve"> &gt; 1: </w:t>
      </w:r>
      <w:r>
        <w:rPr>
          <w:rFonts w:asciiTheme="majorBidi" w:eastAsiaTheme="minorEastAsia" w:hAnsiTheme="majorBidi" w:cstheme="majorBidi"/>
          <w:sz w:val="24"/>
          <w:szCs w:val="24"/>
        </w:rPr>
        <w:t xml:space="preserve">The suspended load increases at an increasing rate with the increase of discharge. The shape of the rating curve in this case is convex. Rivers of this kind of rating curve are expected to be </w:t>
      </w:r>
      <w:r w:rsidRPr="00854E06">
        <w:rPr>
          <w:rFonts w:asciiTheme="majorBidi" w:eastAsiaTheme="minorEastAsia" w:hAnsiTheme="majorBidi" w:cstheme="majorBidi"/>
          <w:sz w:val="24"/>
          <w:szCs w:val="24"/>
        </w:rPr>
        <w:t>transport</w:t>
      </w:r>
      <w:r>
        <w:rPr>
          <w:rFonts w:asciiTheme="majorBidi" w:eastAsiaTheme="minorEastAsia" w:hAnsiTheme="majorBidi" w:cstheme="majorBidi"/>
          <w:sz w:val="24"/>
          <w:szCs w:val="24"/>
        </w:rPr>
        <w:t xml:space="preserve"> (capacity) </w:t>
      </w:r>
      <w:r w:rsidRPr="00854E06">
        <w:rPr>
          <w:rFonts w:asciiTheme="majorBidi" w:eastAsiaTheme="minorEastAsia" w:hAnsiTheme="majorBidi" w:cstheme="majorBidi"/>
          <w:sz w:val="24"/>
          <w:szCs w:val="24"/>
        </w:rPr>
        <w:t>limited</w:t>
      </w:r>
      <w:r>
        <w:rPr>
          <w:rFonts w:asciiTheme="majorBidi" w:eastAsiaTheme="minorEastAsia" w:hAnsiTheme="majorBidi" w:cstheme="majorBidi"/>
          <w:sz w:val="24"/>
          <w:szCs w:val="24"/>
        </w:rPr>
        <w:t xml:space="preserve"> </w:t>
      </w:r>
      <w:r w:rsidR="00F41E6A">
        <w:rPr>
          <w:rFonts w:asciiTheme="majorBidi" w:eastAsiaTheme="minorEastAsia" w:hAnsiTheme="majorBidi" w:cstheme="majorBidi"/>
          <w:sz w:val="24"/>
          <w:szCs w:val="24"/>
        </w:rPr>
        <w:fldChar w:fldCharType="begin"/>
      </w:r>
      <w:r>
        <w:rPr>
          <w:rFonts w:asciiTheme="majorBidi" w:eastAsiaTheme="minorEastAsia" w:hAnsiTheme="majorBidi" w:cstheme="majorBidi"/>
          <w:sz w:val="24"/>
          <w:szCs w:val="24"/>
        </w:rPr>
        <w:instrText xml:space="preserve"> ADDIN ZOTERO_ITEM CSL_CITATION {"citationID":"IHO90F1Y","properties":{"formattedCitation":"(Asselman 2000)","plainCitation":"(Asselman 2000)"},"citationItems":[{"id":135,"uris":["http://zotero.org/users/1706519/items/VK5GWIIQ"],"uri":["http://zotero.org/users/1706519/items/VK5GWIIQ"],"itemData":{"id":135,"type":"article-journal","title":"Fitting and interpretation of sediment rating curves","container-title":"Journal of Hydrology","page":"228-248","volume":"234","issue":"3–4","source":"ScienceDirect","abstract":"A large part of the sediment in lowland rivers is transported as wash load. As wash load is a non-capacity load it often is modelled using empirical relations, such as the rating curve technique. Sediment rating curves in the form of a power function are derived for several locations along the river Rhine and its main tributaries, using different fitting procedures. Inaccuracies in estimated sediment loads are analysed, and spatial differences in the shapes of the fitted rating curves are related to watershed characteristics.\n\nRating curves obtained by least squares regression on logarithmic transformed data underestimate long-term sediment transport rates by 10–50%. Better estimates are obtained when nonlinear least squares regression is applied. The steepness of the fitted rating curves decreases along the main channel of the Rhine in a downstream direction. Contrary to what is generally believed this is not related to changes in the sediment transport regime. A better indication of the sediment transport regime is obtained when the slope/intercept pairs of the fitted rating curves are plotted in a graph. All locations that plot on the same line have a common discharge-concentration value and appear to be characterised by a similar sediment transport regime. At locations of which the slope/intercept pairs plot on higher lines, a larger part of the annual sediment load is transported during high discharge.","DOI":"10.1016/S0022-1694(00)00253-5","ISSN":"0022-1694","journalAbbreviation":"Journal of Hydrology","author":[{"family":"Asselman","given":"N.E.M."}],"issued":{"date-parts":[["2000",7,1]]},"accessed":{"date-parts":[["2013",8,13]]}}}],"schema":"https://github.com/citation-style-language/schema/raw/master/csl-citation.json"} </w:instrText>
      </w:r>
      <w:r w:rsidR="00F41E6A">
        <w:rPr>
          <w:rFonts w:asciiTheme="majorBidi" w:eastAsiaTheme="minorEastAsia" w:hAnsiTheme="majorBidi" w:cstheme="majorBidi"/>
          <w:sz w:val="24"/>
          <w:szCs w:val="24"/>
        </w:rPr>
        <w:fldChar w:fldCharType="separate"/>
      </w:r>
      <w:r w:rsidRPr="0096449D">
        <w:rPr>
          <w:rFonts w:ascii="Times New Roman" w:hAnsi="Times New Roman" w:cs="Times New Roman"/>
          <w:sz w:val="24"/>
        </w:rPr>
        <w:t>(Asselman 2000)</w:t>
      </w:r>
      <w:r w:rsidR="00F41E6A">
        <w:rPr>
          <w:rFonts w:asciiTheme="majorBidi" w:eastAsiaTheme="minorEastAsia" w:hAnsiTheme="majorBidi" w:cstheme="majorBidi"/>
          <w:sz w:val="24"/>
          <w:szCs w:val="24"/>
        </w:rPr>
        <w:fldChar w:fldCharType="end"/>
      </w:r>
      <w:r>
        <w:rPr>
          <w:rFonts w:asciiTheme="majorBidi" w:eastAsiaTheme="minorEastAsia" w:hAnsiTheme="majorBidi" w:cstheme="majorBidi"/>
          <w:sz w:val="24"/>
          <w:szCs w:val="24"/>
        </w:rPr>
        <w:t xml:space="preserve">. This condition would occur in a river with coarse material </w:t>
      </w:r>
      <w:r w:rsidR="00F41E6A">
        <w:rPr>
          <w:rFonts w:asciiTheme="majorBidi" w:eastAsiaTheme="minorEastAsia" w:hAnsiTheme="majorBidi" w:cstheme="majorBidi"/>
          <w:sz w:val="24"/>
          <w:szCs w:val="24"/>
        </w:rPr>
        <w:fldChar w:fldCharType="begin"/>
      </w:r>
      <w:r>
        <w:rPr>
          <w:rFonts w:asciiTheme="majorBidi" w:eastAsiaTheme="minorEastAsia" w:hAnsiTheme="majorBidi" w:cstheme="majorBidi"/>
          <w:sz w:val="24"/>
          <w:szCs w:val="24"/>
        </w:rPr>
        <w:instrText xml:space="preserve"> ADDIN ZOTERO_ITEM CSL_CITATION {"citationID":"Z2lKu2XJ","properties":{"formattedCitation":"(Hickin 1995)","plainCitation":"(Hickin 1995)"},"citationItems":[{"id":604,"uris":["http://zotero.org/users/1706519/items/3NG9XHQP"],"uri":["http://zotero.org/users/1706519/items/3NG9XHQP"],"itemData":{"id":604,"type":"book","title":"River geomorphology","publisher":"Wiley","number-of-pages":"280","source":"Google Books","abstract":"Contains a selection of 12 river studies that are extremely current and includes recently completed and ongoing original research. Fluvial sediment production and transport, overbank sedimentation, channel scour and hydraulic geometry, human impacts on river systems and the dynamics of large-scale river geomorphology recorded by satellite imagery are among the issues covered. Although the collection is thematic, it also reflects the rich diversity of perspectives and interests of international river scientists.","ISBN":"9780471955313","language":"en","author":[{"family":"Hickin","given":"Edward J."}],"issued":{"date-parts":[["1995",6,20]]}}}],"schema":"https://github.com/citation-style-language/schema/raw/master/csl-citation.json"} </w:instrText>
      </w:r>
      <w:r w:rsidR="00F41E6A">
        <w:rPr>
          <w:rFonts w:asciiTheme="majorBidi" w:eastAsiaTheme="minorEastAsia" w:hAnsiTheme="majorBidi" w:cstheme="majorBidi"/>
          <w:sz w:val="24"/>
          <w:szCs w:val="24"/>
        </w:rPr>
        <w:fldChar w:fldCharType="separate"/>
      </w:r>
      <w:r w:rsidRPr="005815FB">
        <w:rPr>
          <w:rFonts w:ascii="Times New Roman" w:hAnsi="Times New Roman" w:cs="Times New Roman"/>
          <w:sz w:val="24"/>
        </w:rPr>
        <w:t>(Hickin 1995)</w:t>
      </w:r>
      <w:r w:rsidR="00F41E6A">
        <w:rPr>
          <w:rFonts w:asciiTheme="majorBidi" w:eastAsiaTheme="minorEastAsia" w:hAnsiTheme="majorBidi" w:cstheme="majorBidi"/>
          <w:sz w:val="24"/>
          <w:szCs w:val="24"/>
        </w:rPr>
        <w:fldChar w:fldCharType="end"/>
      </w:r>
      <w:r>
        <w:rPr>
          <w:rFonts w:asciiTheme="majorBidi" w:eastAsiaTheme="minorEastAsia" w:hAnsiTheme="majorBidi" w:cstheme="majorBidi"/>
          <w:sz w:val="24"/>
          <w:szCs w:val="24"/>
        </w:rPr>
        <w:t xml:space="preserve">, or in which stream discharge reaches a threshold that is competent to suspend  the available sediment </w:t>
      </w:r>
      <w:r w:rsidR="00F41E6A">
        <w:rPr>
          <w:rFonts w:asciiTheme="majorBidi" w:eastAsiaTheme="minorEastAsia" w:hAnsiTheme="majorBidi" w:cstheme="majorBidi"/>
          <w:sz w:val="24"/>
          <w:szCs w:val="24"/>
        </w:rPr>
        <w:fldChar w:fldCharType="begin"/>
      </w:r>
      <w:r>
        <w:rPr>
          <w:rFonts w:asciiTheme="majorBidi" w:eastAsiaTheme="minorEastAsia" w:hAnsiTheme="majorBidi" w:cstheme="majorBidi"/>
          <w:sz w:val="24"/>
          <w:szCs w:val="24"/>
        </w:rPr>
        <w:instrText xml:space="preserve"> ADDIN ZOTERO_ITEM CSL_CITATION {"citationID":"vnLtqTxS","properties":{"formattedCitation":"(Asselman 2000)","plainCitation":"(Asselman 2000)"},"citationItems":[{"id":135,"uris":["http://zotero.org/users/1706519/items/VK5GWIIQ"],"uri":["http://zotero.org/users/1706519/items/VK5GWIIQ"],"itemData":{"id":135,"type":"article-journal","title":"Fitting and interpretation of sediment rating curves","container-title":"Journal of Hydrology","page":"228-248","volume":"234","issue":"3–4","source":"ScienceDirect","abstract":"A large part of the sediment in lowland rivers is transported as wash load. As wash load is a non-capacity load it often is modelled using empirical relations, such as the rating curve technique. Sediment rating curves in the form of a power function are derived for several locations along the river Rhine and its main tributaries, using different fitting procedures. Inaccuracies in estimated sediment loads are analysed, and spatial differences in the shapes of the fitted rating curves are related to watershed characteristics.\n\nRating curves obtained by least squares regression on logarithmic transformed data underestimate long-term sediment transport rates by 10–50%. Better estimates are obtained when nonlinear least squares regression is applied. The steepness of the fitted rating curves decreases along the main channel of the Rhine in a downstream direction. Contrary to what is generally believed this is not related to changes in the sediment transport regime. A better indication of the sediment transport regime is obtained when the slope/intercept pairs of the fitted rating curves are plotted in a graph. All locations that plot on the same line have a common discharge-concentration value and appear to be characterised by a similar sediment transport regime. At locations of which the slope/intercept pairs plot on higher lines, a larger part of the annual sediment load is transported during high discharge.","DOI":"10.1016/S0022-1694(00)00253-5","ISSN":"0022-1694","journalAbbreviation":"Journal of Hydrology","author":[{"family":"Asselman","given":"N.E.M."}],"issued":{"date-parts":[["2000",7,1]]},"accessed":{"date-parts":[["2013",8,13]]}}}],"schema":"https://github.com/citation-style-language/schema/raw/master/csl-citation.json"} </w:instrText>
      </w:r>
      <w:r w:rsidR="00F41E6A">
        <w:rPr>
          <w:rFonts w:asciiTheme="majorBidi" w:eastAsiaTheme="minorEastAsia" w:hAnsiTheme="majorBidi" w:cstheme="majorBidi"/>
          <w:sz w:val="24"/>
          <w:szCs w:val="24"/>
        </w:rPr>
        <w:fldChar w:fldCharType="separate"/>
      </w:r>
      <w:r w:rsidRPr="0096449D">
        <w:rPr>
          <w:rFonts w:ascii="Times New Roman" w:hAnsi="Times New Roman" w:cs="Times New Roman"/>
          <w:sz w:val="24"/>
        </w:rPr>
        <w:t>(Asselman 2000)</w:t>
      </w:r>
      <w:r w:rsidR="00F41E6A">
        <w:rPr>
          <w:rFonts w:asciiTheme="majorBidi" w:eastAsiaTheme="minorEastAsia" w:hAnsiTheme="majorBidi" w:cstheme="majorBidi"/>
          <w:sz w:val="24"/>
          <w:szCs w:val="24"/>
        </w:rPr>
        <w:fldChar w:fldCharType="end"/>
      </w:r>
      <w:r>
        <w:rPr>
          <w:rFonts w:asciiTheme="majorBidi" w:eastAsiaTheme="minorEastAsia" w:hAnsiTheme="majorBidi" w:cstheme="majorBidi"/>
          <w:sz w:val="24"/>
          <w:szCs w:val="24"/>
        </w:rPr>
        <w:t xml:space="preserve">.  </w:t>
      </w:r>
    </w:p>
    <w:p w:rsidR="00E63DA3" w:rsidRPr="00854E06" w:rsidRDefault="00E63DA3" w:rsidP="00485D90">
      <w:pPr>
        <w:pStyle w:val="ListParagraph"/>
        <w:spacing w:line="480" w:lineRule="auto"/>
        <w:ind w:left="0" w:firstLine="720"/>
        <w:contextualSpacing w:val="0"/>
        <w:jc w:val="both"/>
        <w:rPr>
          <w:rFonts w:asciiTheme="majorBidi" w:hAnsiTheme="majorBidi" w:cstheme="majorBidi"/>
          <w:b/>
          <w:sz w:val="24"/>
          <w:szCs w:val="24"/>
        </w:rPr>
      </w:pPr>
      <w:r w:rsidRPr="00854E06">
        <w:rPr>
          <w:rFonts w:asciiTheme="majorBidi" w:hAnsiTheme="majorBidi" w:cstheme="majorBidi"/>
          <w:sz w:val="24"/>
          <w:szCs w:val="24"/>
        </w:rPr>
        <w:t>To estimate suspended sediment concentration from stream discharge, scientists have applied equation (</w:t>
      </w:r>
      <w:r w:rsidR="00145388">
        <w:rPr>
          <w:rFonts w:asciiTheme="majorBidi" w:hAnsiTheme="majorBidi" w:cstheme="majorBidi"/>
          <w:sz w:val="24"/>
          <w:szCs w:val="24"/>
        </w:rPr>
        <w:t>2</w:t>
      </w:r>
      <w:r w:rsidRPr="00854E06">
        <w:rPr>
          <w:rFonts w:asciiTheme="majorBidi" w:hAnsiTheme="majorBidi" w:cstheme="majorBidi"/>
          <w:sz w:val="24"/>
          <w:szCs w:val="24"/>
        </w:rPr>
        <w:t>) or (3) for particular rivers over different scales of time</w:t>
      </w:r>
      <w:r>
        <w:rPr>
          <w:rFonts w:asciiTheme="majorBidi" w:hAnsiTheme="majorBidi" w:cstheme="majorBidi"/>
          <w:sz w:val="24"/>
          <w:szCs w:val="24"/>
        </w:rPr>
        <w:t>,</w:t>
      </w:r>
      <w:r w:rsidRPr="00854E06">
        <w:rPr>
          <w:rFonts w:asciiTheme="majorBidi" w:hAnsiTheme="majorBidi" w:cstheme="majorBidi"/>
          <w:sz w:val="24"/>
          <w:szCs w:val="24"/>
        </w:rPr>
        <w:t xml:space="preserve"> such as for a single flood event, for annual data, or for </w:t>
      </w:r>
      <w:proofErr w:type="spellStart"/>
      <w:r w:rsidRPr="00854E06">
        <w:rPr>
          <w:rFonts w:asciiTheme="majorBidi" w:hAnsiTheme="majorBidi" w:cstheme="majorBidi"/>
          <w:sz w:val="24"/>
          <w:szCs w:val="24"/>
        </w:rPr>
        <w:t>interannual</w:t>
      </w:r>
      <w:proofErr w:type="spellEnd"/>
      <w:r w:rsidRPr="00854E06">
        <w:rPr>
          <w:rFonts w:asciiTheme="majorBidi" w:hAnsiTheme="majorBidi" w:cstheme="majorBidi"/>
          <w:sz w:val="24"/>
          <w:szCs w:val="24"/>
        </w:rPr>
        <w:t xml:space="preserve"> discharge</w:t>
      </w:r>
      <w:r w:rsidR="00485D90">
        <w:rPr>
          <w:rFonts w:asciiTheme="majorBidi" w:hAnsiTheme="majorBidi" w:cstheme="majorBidi"/>
          <w:sz w:val="24"/>
          <w:szCs w:val="24"/>
        </w:rPr>
        <w:t xml:space="preserve"> </w:t>
      </w:r>
      <w:proofErr w:type="spellStart"/>
      <w:r w:rsidR="00485D90" w:rsidRPr="00854E06">
        <w:rPr>
          <w:rFonts w:asciiTheme="majorBidi" w:hAnsiTheme="majorBidi" w:cstheme="majorBidi"/>
          <w:sz w:val="24"/>
          <w:szCs w:val="24"/>
        </w:rPr>
        <w:t>discharge</w:t>
      </w:r>
      <w:proofErr w:type="spellEnd"/>
      <w:r w:rsidR="00485D90" w:rsidRPr="00854E06">
        <w:rPr>
          <w:rFonts w:asciiTheme="majorBidi" w:hAnsiTheme="majorBidi" w:cstheme="majorBidi"/>
          <w:sz w:val="24"/>
          <w:szCs w:val="24"/>
        </w:rPr>
        <w:t xml:space="preserve"> </w:t>
      </w:r>
      <w:r w:rsidR="00485D90" w:rsidRPr="00854E06">
        <w:rPr>
          <w:rFonts w:asciiTheme="majorBidi" w:hAnsiTheme="majorBidi" w:cstheme="majorBidi"/>
          <w:sz w:val="24"/>
          <w:szCs w:val="24"/>
        </w:rPr>
        <w:fldChar w:fldCharType="begin"/>
      </w:r>
      <w:r w:rsidR="00485D90" w:rsidRPr="00854E06">
        <w:rPr>
          <w:rFonts w:asciiTheme="majorBidi" w:hAnsiTheme="majorBidi" w:cstheme="majorBidi"/>
          <w:sz w:val="24"/>
          <w:szCs w:val="24"/>
        </w:rPr>
        <w:instrText xml:space="preserve"> ADDIN ZOTERO_ITEM CSL_CITATION {"citationID":"Ci1uOYOQ","properties":{"formattedCitation":"(Horowitz 2008; Hu et al. 2011; Zhang et al. 2012; Araujo et al.; Wang and Tian 2013)","plainCitation":"(Horowitz 2008; Hu et al. 2011; Zhang et al. 2012; Araujo et al.; Wang and Tian 2013)"},"citationItems":[{"id":102,"uris":["http://zotero.org/users/1706519/items/NMT4GCCZ"],"uri":["http://zotero.org/users/1706519/items/NMT4GCCZ"],"itemData":{"id":102,"type":"article-journal","title":"Determining annual suspended sediment and sediment-associated trace element and nutrient fluxes","container-title":"Science of The Total Environment","page":"315-343","volume":"400","issue":"1–3","source":"ScienceDirect","abstract":"Suspended sediment is a major factor in the biological and geochemical cycling of trace elements and nutrients in aquatic systems. The design of effective studies involving the collection, processing, and subsequent chemical analysis of suspended sediment requires a clear understanding of the problems associated with using this sample medium. This review summarizes the current state of knowledge relative to the various issues/problems associated with the collection of representative suspended sediment samples in fluvial systems. It also addresses issues associated with accurately determining the concentrations and fluxes of sediment-associated trace elements and nutrients.","DOI":"10.1016/j.scitotenv.2008.04.022","ISSN":"0048-9697","journalAbbreviation":"Science of The Total Environment","author":[{"family":"Horowitz","given":"Arthur J."}],"issued":{"date-parts":[["2008",8,1]]},"accessed":{"date-parts":[["2013",9,8]]}}},{"id":13,"uris":["http://zotero.org/users/1706519/items/46DM75PA"],"uri":["http://zotero.org/users/1706519/items/46DM75PA"],"itemData":{"id":13,"type":"article-journal","title":"Temporal and spatial variations of sediment rating curves in the Changjiang (Yangtze River) basin and their implications","container-title":"Quaternary International","page":"34-43","volume":"230","issue":"1–2","source":"ScienceDirect","abstract":"The natural hydrologic regime of the Changjiang (Yangtze River) in China has been disturbed considerably by intensified human activities over the past five decades. In this study, sediment rating curves were analyzed based on monthly data of water discharge and suspended-sediment concentration at stations in the upper (Yichang station), middle (Hankou station) and lower (Datong station) reaches of the Changjiang in different periods from 1955 to 2007. Temporal and spatial variations of the sediment rating curves were analyzed with respect to the impact of human activities and watershed characteristics. Results indicate that human disturbances have had a substantial impact on sediment rating parameters, with the magnitude of the impact related to the scale of the river sections. As indicated by the sediment rating parameters, the sediment transport regimes between the upper and the mid-lower reaches differ significantly. In particular, the impoundment of the Three Gorges Dam in 2003 changed the sediment transport regimes in the upper and mid-lower reaches of Changjiang into similar regimes characterized by a decrease in the sediment transport capacity of high water discharge. Furthermore, the sediment rating curve at the Datong station in 1955–1968 was applied to estimate the potential sediment load (1969–2007) in the absence of human influences. The mean annual sediment deficit caused by human activities has increased from 80 Mt/yr (1969–1985) to 250 Mt/yr (2003–2007). This indicates that intensified human activities in the Changjiang basin, especially the construction of the Three Gorges Dam, have altered the natural sediment transport process, and have thus become a dominant force in Changjiang sediment delivery to the sea.","DOI":"10.1016/j.quaint.2009.08.018","ISSN":"1040-6182","shortTitle":"Quaternary Sea Level and Palaeoenvironmental Reconstructions in the Coastal Zone of East and Southeast Asia","journalAbbreviation":"Quaternary International","author":[{"family":"Hu","given":"Bangqi"},{"family":"Wang","given":"Houjie"},{"family":"Yang","given":"Zuosheng"},{"family":"Sun","given":"Xiaoxia"}],"issued":{"date-parts":[["2011",1,15]]},"accessed":{"date-parts":[["2013",8,10]]}}},{"id":85,"uris":["http://zotero.org/users/1706519/items/KF6EV8JR"],"uri":["http://zotero.org/users/1706519/items/KF6EV8JR"],"itemData":{"id":85,"type":"article-journal","title":"Estimating suspended sediment loads in the Pearl River Delta region using sediment rating curves","container-title":"Continental Shelf Research","page":"35-46","volume":"38","source":"ScienceDirect","abstract":"In this study, sediment rating curves are employed to study the variations in relationships between water discharge and suspended sediment concentration based on the recent 50 years of monthly data set in the three major rivers of the Pearl River Delta. Results show that sediment rating parameters vary with time. The lowest rating coefficient, ln ( a ) , and the highest rating exponent, b, mostly occur in the 1980s, indicating that sediment transport reached its peak in this decade at the same level as water discharge. This upward shift of sediment load is probably caused by exacerbated karst rocky desertification in the upper reaches of the Pearl River. However, since the beginning of the 1990s sediment loads from the Pearl River to its estuary began to show a dramatically decreasing trend, which is attributed mainly to deposition in the reservoirs, leading to an increase of ln ( a ) and a decrease of b. Furthermore, the sediment rating curve in 1957 to1970 is applied to estimate potential sediment load (1971 to 2006) in the absence of human influences. It is also estimated quantitatively by the sediment rating curves that in the 1980s, the annual sediment load decreased by 7.59×106 t/yr because of natural factors, while sediment increase induced by human activities was 20.07×106 t/yr, which resulted in an actual increased sediment load of 12.47×106 t/yr compared with the reference level in 1957 to 1970. In the last two decades, the difference between measured and estimated sediment loads became considerable, and the annual deficit sharply increased to 26.80×106 t/yr in the 1990s, and 50.46×106 t/yr in the 2000s, indicating that human activities, mainly referring to dam and reservoir construction, play a dominant role in the decrease of sediment load. The decrease in sediment supply from the Pearl River should be paid special attention because it may cause serious impacts on the river delta and the coastal ocean.","DOI":"10.1016/j.csr.2012.02.017","ISSN":"0278-4343","journalAbbreviation":"Continental Shelf Research","author":[{"family":"Zhang","given":"Wei"},{"family":"Wei","given":"Xiaoyan"},{"family":"Jinhai","given":"Zheng"},{"family":"Yuliang","given":"Zhu"},{"family":"Zhang","given":"Yanjing"}],"issued":{"date-parts":[["2012",4,15]]},"accessed":{"date-parts":[["2013",8,10]]}}},{"id":109,"uris":["http://zotero.org/users/1706519/items/CSHDMIVU"],"uri":["http://zotero.org/users/1706519/items/CSHDMIVU"],"itemData":{"id":109,"type":"article-journal","title":"Estimating suspended sediment concentrations in areas with limited hydrological data using a mixed-effects model","container-title":"Hydrological Processes","author":[{"family":"Araujo","given":"H. Andres"},{"family":"Cooper","given":"Andrew B."},{"family":"Hassan","given":"Marwan A."},{"family":"Venditti","given":"Jeremy"}]}},{"id":34,"uris":["http://zotero.org/users/1706519/items/8UH3UTVD"],"uri":["http://zotero.org/users/1706519/items/8UH3UTVD"],"itemData":{"id":34,"type":"article-journal","title":"Sediment concentration prediction and statistical evaluation for annual load estimation","container-title":"Journal of Hydrology","page":"69-78","volume":"482","source":"ScienceDirect","abstract":"Summary\nWe consider the development of statistical models for prediction of constituent concentration of riverine pollutants, which is a key step in load estimation from frequent flow rate data and less frequently collected concentration data. We consider how to capture the impacts of past flow patterns via the average discounted flow (ADF) which discounts the past flux based on the time lapsed – more recent fluxes are given more weight. However, the effectiveness of ADF depends critically on the choice of the discount factor which reflects the unknown environmental cumulating process of the concentration compounds. We propose to choose the discount factor by maximizing the adjusted R2 values or the Nash–Sutcliffe model efficiency coefficient. The R2 values are also adjusted to take account of the number of parameters in the model fit. The resulting optimal discount factor can be interpreted as a measure of constituent exhaustion rate during flood events. To evaluate the performance of the proposed regression estimators, we examine two different sampling scenarios by resampling fortnightly and opportunistically from two real daily datasets, which come from two United States Geological Survey (USGS) gaging stations located in Des Plaines River and Illinois River basin. The generalized rating-curve approach produces biased estimates of the total sediment loads by −30% to 83%, whereas the new approaches produce relatively much lower biases, ranging from −24% to 35%. This substantial improvement in the estimates of the total load is due to the fact that predictability of concentration is greatly improved by the additional predictors.","DOI":"10.1016/j.jhydrol.2012.12.043","ISSN":"0022-1694","journalAbbreviation":"Journal of Hydrology","author":[{"family":"Wang","given":"You-Gan"},{"family":"Tian","given":"Ting"}],"issued":{"date-parts":[["2013",3,4]]},"accessed":{"date-parts":[["2013",8,14]]}}}],"schema":"https://github.com/citation-style-language/schema/raw/master/csl-citation.json"} </w:instrText>
      </w:r>
      <w:r w:rsidR="00485D90" w:rsidRPr="00854E06">
        <w:rPr>
          <w:rFonts w:asciiTheme="majorBidi" w:hAnsiTheme="majorBidi" w:cstheme="majorBidi"/>
          <w:sz w:val="24"/>
          <w:szCs w:val="24"/>
        </w:rPr>
        <w:fldChar w:fldCharType="separate"/>
      </w:r>
      <w:r w:rsidR="00485D90" w:rsidRPr="00854E06">
        <w:rPr>
          <w:rFonts w:asciiTheme="majorBidi" w:hAnsiTheme="majorBidi" w:cstheme="majorBidi"/>
          <w:sz w:val="24"/>
          <w:szCs w:val="24"/>
        </w:rPr>
        <w:t>(Horowitz 2008; Hu et al. 2011; Zhang et al. 2012; Araujo et al.; Wang and Tian 2013)</w:t>
      </w:r>
      <w:r w:rsidR="00485D90" w:rsidRPr="00854E06">
        <w:rPr>
          <w:rFonts w:asciiTheme="majorBidi" w:hAnsiTheme="majorBidi" w:cstheme="majorBidi"/>
          <w:sz w:val="24"/>
          <w:szCs w:val="24"/>
        </w:rPr>
        <w:fldChar w:fldCharType="end"/>
      </w:r>
      <w:r w:rsidRPr="00854E06">
        <w:rPr>
          <w:rFonts w:asciiTheme="majorBidi" w:hAnsiTheme="majorBidi" w:cstheme="majorBidi"/>
          <w:sz w:val="24"/>
          <w:szCs w:val="24"/>
        </w:rPr>
        <w:t xml:space="preserve">. Other studies have found that the rating parameters are also associated with factors such as river channel morphology, </w:t>
      </w:r>
      <w:r>
        <w:rPr>
          <w:rFonts w:asciiTheme="majorBidi" w:hAnsiTheme="majorBidi" w:cstheme="majorBidi"/>
          <w:sz w:val="24"/>
          <w:szCs w:val="24"/>
        </w:rPr>
        <w:t xml:space="preserve">surface air </w:t>
      </w:r>
      <w:r w:rsidRPr="00854E06">
        <w:rPr>
          <w:rFonts w:asciiTheme="majorBidi" w:hAnsiTheme="majorBidi" w:cstheme="majorBidi"/>
          <w:sz w:val="24"/>
          <w:szCs w:val="24"/>
        </w:rPr>
        <w:t xml:space="preserve">temperature, and basin relief </w:t>
      </w:r>
      <w:r w:rsidR="00F41E6A" w:rsidRPr="00854E06">
        <w:rPr>
          <w:rFonts w:asciiTheme="majorBidi" w:hAnsiTheme="majorBidi" w:cstheme="majorBidi"/>
          <w:sz w:val="24"/>
          <w:szCs w:val="24"/>
        </w:rPr>
        <w:fldChar w:fldCharType="begin"/>
      </w:r>
      <w:r w:rsidRPr="00854E06">
        <w:rPr>
          <w:rFonts w:asciiTheme="majorBidi" w:hAnsiTheme="majorBidi" w:cstheme="majorBidi"/>
          <w:sz w:val="24"/>
          <w:szCs w:val="24"/>
        </w:rPr>
        <w:instrText xml:space="preserve"> ADDIN ZOTERO_ITEM CSL_CITATION {"citationID":"LoSZvpDd","properties":{"formattedCitation":"(J. P. Syvitski et al. 2000; Yang et al. 2007)","plainCitation":"(J. P. Syvitski et al. 2000; Yang et al. 2007)"},"citationItems":[{"id":478,"uris":["http://zotero.org/users/1706519/items/GEFUKJJ9"],"uri":["http://zotero.org/users/1706519/items/GEFUKJJ9"],"itemData":{"id":478,"type":"article-journal","title":"Estimating fluvial sediment transport: The rating parameters","container-title":"Water Resources Research","page":"2747–2760","volume":"36","issue":"9","source":"Wiley Online Library","abstract":"Correlations between suspended sediment load rating parameters, river basin morphology, and climate provide information about the physical controls on the sediment load in rivers and are used to create predictive equations for the sediment rating parameters. Long-term time-averaged values of discharge, suspended load, flow duration, flow peakedness, and temporally averaged values of precipitation, temperature, and range in temperature were coupled with the drainage area and basin relief to establish statistical relationships with the sediment rating parameters for 59 gauging stations. Rating parameters (a and b) are defined by a power law relating daily discharge values of a river (Q) and its sediment concentration Cs, where Cs = aQb. The rating coefficient a (the mathematical concentration at Q = 1 m3/s) is inversely proportional to the long-term mean discharge and is secondarily related to the average air temperature and the basin's topographic relief. The rating exponent b (the log-log slope of the power law) correlates most strongly with the average air temperature and basin relief and has lesser correlations with the long-term load of the river (which is related to basin relief and drainage area). The rating equation describes the long-term character of the suspended sediment load in a river. Each river undergoes higher-frequency variability (decadal, interannual, and storm event) around this characteristic response, controlled by weather patterns and channel recovery from extreme precipitation events.","DOI":"10.1029/2000WR900133","ISSN":"1944-7973","shortTitle":"Estimating fluvial sediment transport","language":"en","author":[{"family":"Syvitski","given":"James P."},{"family":"Morehead","given":"Mark D."},{"family":"Bahr","given":"David B."},{"family":"Mulder","given":"Thierry"}],"issued":{"date-parts":[["2000"]]},"accessed":{"date-parts":[["2014",2,19]]}}},{"id":560,"uris":["http://zotero.org/users/1706519/items/8RHJASFK"],"uri":["http://zotero.org/users/1706519/items/8RHJASFK"],"itemData":{"id":560,"type":"article-journal","title":"Sediment rating parameters and their implications: Yangtze River, China","container-title":"Geomorphology","collection-title":"Monsoon Rivers of Asia","page":"166-175","volume":"85","issue":"3–4","source":"ScienceDirect","abstract":"This study examines the characteristics of sediment rating parameters recorded at various gauging stations in the Yangtze Basin in relation to their controls. Our findings indicate that the parameters are associated with river channel morphology of the selected reaches. High b-values (&gt; 1.600) and low log(a) values (&lt; − 4.000) occur in the upper course of the steep rock-confined river, characterizing high unit stream power flows. Low b-values (&lt; 0.900) and high log(a) values (&gt; − 1.000) occur in the middle and lower Yangtze River associated with meandering reaches over low gradients, and can be taken to imply aggradation in these reaches with low stream power. Higher b-values (0.900–1.600) and lower log(a)-values (− 4.000 to − 1.000) characterize the reaches between Yichang and Xinchang, immediately below the Three Gorges. These values indicate channel erosion and bed instability that result from changes in channel gradient from the upstream steep valley to downstream low slope flood plain settings. Differences in channel morphology accompany these changes. Confined, V-shaped valleys occur upstream and are replaced downstream by broad U-shaped channels. The middle and lower Yangtze shows an apparent increase in channel instability over the past 40 years. This inference is based on sediment rating parameters from various gauging stations that record increasing b-values against decreasing log(a)-values over that time. Analysis of the sediment load data also reveals a strong correlation between changes in sediment rating curve parameters and reduction of annual sediment budget (4.70 × 108 t to 3.50 × 108 t/year, from the 1950s to 1990s), largely due to the damming of the Yangtze and sediment load depletion through siltation in the Dongting Lake. Short-term deviations from the general trends in the sediment rating parameters are related to hydroclimatic events. Extreme low b-values and high log(a)-values signify the major flood years, while the reverse indicates drought events. When compared with rivers from other climate settings, it is evident that the wide range of values of the Yangtze rating parameters reflects the huge discharge driven by the monsoon precipitation regime of eastern China.","DOI":"10.1016/j.geomorph.2006.03.016","ISSN":"0169-555X","shortTitle":"Sediment rating parameters and their implications","journalAbbreviation":"Geomorphology","author":[{"family":"Yang","given":"Guifang"},{"family":"Chen","given":"Zhongyuan"},{"family":"Yu","given":"Fengling"},{"family":"Wang","given":"Zhanghua"},{"family":"Zhao","given":"Yiwen"},{"family":"Wang","given":"Zhangqiao"}],"issued":{"date-parts":[["2007",3,30]]},"accessed":{"date-parts":[["2014",5,6]]}}}],"schema":"https://github.com/citation-style-language/schema/raw/master/csl-citation.json"} </w:instrText>
      </w:r>
      <w:r w:rsidR="00F41E6A" w:rsidRPr="00854E06">
        <w:rPr>
          <w:rFonts w:asciiTheme="majorBidi" w:hAnsiTheme="majorBidi" w:cstheme="majorBidi"/>
          <w:sz w:val="24"/>
          <w:szCs w:val="24"/>
        </w:rPr>
        <w:fldChar w:fldCharType="separate"/>
      </w:r>
      <w:r w:rsidRPr="00854E06">
        <w:rPr>
          <w:rFonts w:ascii="Times New Roman" w:hAnsi="Times New Roman" w:cs="Times New Roman"/>
          <w:sz w:val="24"/>
        </w:rPr>
        <w:t>(Syvitski et al. 2000; Yang et al. 2007)</w:t>
      </w:r>
      <w:r w:rsidR="00F41E6A" w:rsidRPr="00854E06">
        <w:rPr>
          <w:rFonts w:asciiTheme="majorBidi" w:hAnsiTheme="majorBidi" w:cstheme="majorBidi"/>
          <w:sz w:val="24"/>
          <w:szCs w:val="24"/>
        </w:rPr>
        <w:fldChar w:fldCharType="end"/>
      </w:r>
      <w:r w:rsidRPr="00854E06">
        <w:rPr>
          <w:rFonts w:asciiTheme="majorBidi" w:hAnsiTheme="majorBidi" w:cstheme="majorBidi"/>
          <w:sz w:val="24"/>
          <w:szCs w:val="24"/>
        </w:rPr>
        <w:t xml:space="preserve">.  </w:t>
      </w:r>
    </w:p>
    <w:p w:rsidR="0041659E" w:rsidRPr="00854E06" w:rsidRDefault="0041659E" w:rsidP="00742711">
      <w:pPr>
        <w:pStyle w:val="ListParagraph"/>
        <w:spacing w:line="480" w:lineRule="auto"/>
        <w:ind w:left="0" w:firstLine="720"/>
        <w:contextualSpacing w:val="0"/>
        <w:jc w:val="both"/>
        <w:rPr>
          <w:rFonts w:asciiTheme="majorBidi" w:hAnsiTheme="majorBidi" w:cstheme="majorBidi"/>
          <w:b/>
          <w:sz w:val="24"/>
          <w:szCs w:val="24"/>
        </w:rPr>
      </w:pPr>
      <w:r w:rsidRPr="00854E06">
        <w:rPr>
          <w:rFonts w:asciiTheme="majorBidi" w:hAnsiTheme="majorBidi" w:cstheme="majorBidi"/>
          <w:sz w:val="24"/>
          <w:szCs w:val="24"/>
        </w:rPr>
        <w:t xml:space="preserve"> </w:t>
      </w:r>
    </w:p>
    <w:p w:rsidR="00A84D7A" w:rsidRPr="00854E06" w:rsidRDefault="00463E01" w:rsidP="00523FFD">
      <w:pPr>
        <w:pStyle w:val="Heading3"/>
        <w:numPr>
          <w:ilvl w:val="1"/>
          <w:numId w:val="19"/>
        </w:numPr>
        <w:ind w:left="540" w:hanging="540"/>
        <w:rPr>
          <w:rFonts w:cstheme="majorBidi"/>
          <w:szCs w:val="24"/>
        </w:rPr>
      </w:pPr>
      <w:bookmarkStart w:id="19" w:name="_Toc394525552"/>
      <w:r>
        <w:rPr>
          <w:rFonts w:cstheme="majorBidi"/>
          <w:szCs w:val="24"/>
        </w:rPr>
        <w:lastRenderedPageBreak/>
        <w:t>Issues</w:t>
      </w:r>
      <w:r w:rsidR="00A84D7A" w:rsidRPr="00854E06">
        <w:rPr>
          <w:rFonts w:cstheme="majorBidi"/>
          <w:szCs w:val="24"/>
        </w:rPr>
        <w:t xml:space="preserve"> in </w:t>
      </w:r>
      <w:r w:rsidR="006D5E66">
        <w:rPr>
          <w:rFonts w:cstheme="majorBidi"/>
          <w:szCs w:val="24"/>
        </w:rPr>
        <w:t>using sediment rating curve for</w:t>
      </w:r>
      <w:r w:rsidR="00B30AE1" w:rsidRPr="00854E06">
        <w:rPr>
          <w:rFonts w:cstheme="majorBidi"/>
          <w:szCs w:val="24"/>
        </w:rPr>
        <w:t xml:space="preserve"> </w:t>
      </w:r>
      <w:r w:rsidR="004471B4" w:rsidRPr="00854E06">
        <w:rPr>
          <w:rFonts w:cstheme="majorBidi"/>
          <w:szCs w:val="24"/>
        </w:rPr>
        <w:t xml:space="preserve">load </w:t>
      </w:r>
      <w:r w:rsidR="00B30AE1" w:rsidRPr="00854E06">
        <w:rPr>
          <w:rFonts w:cstheme="majorBidi"/>
          <w:szCs w:val="24"/>
        </w:rPr>
        <w:t>estimation</w:t>
      </w:r>
      <w:bookmarkEnd w:id="19"/>
    </w:p>
    <w:p w:rsidR="00E63DA3" w:rsidRPr="00E63DA3" w:rsidRDefault="00E63DA3" w:rsidP="00E63DA3">
      <w:pPr>
        <w:spacing w:line="480" w:lineRule="auto"/>
        <w:ind w:firstLine="720"/>
        <w:jc w:val="both"/>
        <w:rPr>
          <w:rFonts w:cstheme="majorBidi"/>
        </w:rPr>
      </w:pPr>
      <w:r w:rsidRPr="00E63DA3">
        <w:rPr>
          <w:rFonts w:cstheme="majorBidi"/>
        </w:rPr>
        <w:t>The mechanics of sediment particle suspension are complex due to the interacti</w:t>
      </w:r>
      <w:r w:rsidR="001E7A0C">
        <w:rPr>
          <w:rFonts w:cstheme="majorBidi"/>
        </w:rPr>
        <w:t xml:space="preserve">on of various external factors </w:t>
      </w:r>
      <w:r w:rsidRPr="00E63DA3">
        <w:rPr>
          <w:rFonts w:cstheme="majorBidi"/>
        </w:rPr>
        <w:t xml:space="preserve">(e.g. climate and land-use effects on the availability of sediment sources, channel geometry). Although many scientists have attempted to estimate suspended sediment load from stream discharge, there is still a high degree of scatter on the plot of sediment load and discharge at a station due to the lack of a unique relationship between these parameters </w:t>
      </w:r>
      <w:r w:rsidR="00F41E6A" w:rsidRPr="00E63DA3">
        <w:rPr>
          <w:rFonts w:cstheme="majorBidi"/>
        </w:rPr>
        <w:fldChar w:fldCharType="begin"/>
      </w:r>
      <w:r w:rsidRPr="00E63DA3">
        <w:rPr>
          <w:rFonts w:cstheme="majorBidi"/>
        </w:rPr>
        <w:instrText xml:space="preserve"> ADDIN ZOTERO_ITEM CSL_CITATION {"citationID":"MUud0iZl","properties":{"formattedCitation":"(Kim and Ivanov 2014)","plainCitation":"(Kim and Ivanov 2014)"},"citationItems":[{"id":592,"uris":["http://zotero.org/users/1706519/items/GTDVFIKE"],"uri":["http://zotero.org/users/1706519/items/GTDVFIKE"],"itemData":{"id":592,"type":"article-journal","title":"On the nonuniqueness of sediment yield at the catchment scale: The effects of soil antecedent conditions and surface shield","container-title":"Water Resources Research","page":"1025-1045","volume":"50","issue":"2","source":"Wiley Online Library","abstract":"The understanding of reasons leading to nonuniqueness of soil erosion susceptibility is still inadequate, yet indispensable for establishing general relations between runoff volume and sediment yield. To obtain relevant insights, we performed a series of numerical simulations with a detailed hydrodynamic model using synthetic storms of varying intensity, duration, and lag time between events as representations of different hydrologic response conditions in a zero-order catchment. The design targeted to generate surface flow and “perturb” soil substrate by a first rainfall event, creating a set of initial conditions in terms of flow and deposited sediment prior to the onset of a subsequent rainfall event. Due to the differential effect of (re)detachment and (re)entrainment processes on soil particles of varying sizes, the deposited sediment mass formed shielding layer. One of the essential results is that unless the initial condition of flow and sediment is identical, the same volume of runoff can generate different total sediment yields and their variation can reach up to </w:instrText>
      </w:r>
      <w:r w:rsidRPr="00E63DA3">
        <w:rPr>
          <w:rFonts w:ascii="Monaco" w:hAnsi="Monaco" w:cs="Monaco"/>
        </w:rPr>
        <w:instrText>∼</w:instrText>
      </w:r>
      <w:r w:rsidRPr="00E63DA3">
        <w:rPr>
          <w:rFonts w:cstheme="majorBidi"/>
        </w:rPr>
        <w:instrText xml:space="preserve">200%. The effect is attributed to two major conflicting effects exerted by the deposited “initialization” (soil antecedent condition) sediment mass: erosion enhancement, because of supply of highly erodible sediment, and erosion impediment, because of constrain on the availability of lighter particles by heavier sediment. Consistently with this inference, long-term simulations with continuous rainfall show that a peculiar feature of sediment yield series is the existence of maximum before the steady state is reached. The two characteristic time scales, the time to peak and the time to steady state, separate three characteristic periods that correspond to flow-limited, source-limited, and steady-state regimes. These time scales are log linearly and negatively related to the spatially averaged Shields parameter: the smaller the rainfall input and the heavier a given particle is, the larger the two scales are. The results provide insights on how the existence of shield operates on erosion processes, possibly implying that accurate short-term predictions of geomorphic events from headwater areas may never become a tractable problem: the latter would require a detailed spatial characterization of particle size distribution prior to precipitation events.","DOI":"10.1002/2013WR014580","ISSN":"1944-7973","shortTitle":"On the nonuniqueness of sediment yield at the catchment scale","journalAbbreviation":"Water Resour. Res.","language":"en","author":[{"family":"Kim","given":"Jongho"},{"family":"Ivanov","given":"Valeriy Y."}],"issued":{"date-parts":[["2014",2,1]]},"accessed":{"date-parts":[["2014",6,15]]}}}],"schema":"https://github.com/citation-style-language/schema/raw/master/csl-citation.json"} </w:instrText>
      </w:r>
      <w:r w:rsidR="00F41E6A" w:rsidRPr="00E63DA3">
        <w:rPr>
          <w:rFonts w:cstheme="majorBidi"/>
        </w:rPr>
        <w:fldChar w:fldCharType="separate"/>
      </w:r>
      <w:r w:rsidRPr="00E63DA3">
        <w:rPr>
          <w:rFonts w:ascii="Times New Roman" w:hAnsi="Times New Roman" w:cs="Times New Roman"/>
        </w:rPr>
        <w:t>(Kim and Ivanov 2014)</w:t>
      </w:r>
      <w:r w:rsidR="00F41E6A" w:rsidRPr="00E63DA3">
        <w:rPr>
          <w:rFonts w:cstheme="majorBidi"/>
        </w:rPr>
        <w:fldChar w:fldCharType="end"/>
      </w:r>
      <w:r w:rsidRPr="00E63DA3">
        <w:rPr>
          <w:rFonts w:cstheme="majorBidi"/>
        </w:rPr>
        <w:t>.</w:t>
      </w:r>
    </w:p>
    <w:p w:rsidR="00E63DA3" w:rsidRPr="00E63DA3" w:rsidRDefault="00E63DA3" w:rsidP="00E63DA3">
      <w:pPr>
        <w:spacing w:line="480" w:lineRule="auto"/>
        <w:ind w:firstLine="720"/>
        <w:jc w:val="both"/>
        <w:rPr>
          <w:rFonts w:cstheme="majorBidi"/>
        </w:rPr>
      </w:pPr>
      <w:r w:rsidRPr="00E63DA3">
        <w:rPr>
          <w:rFonts w:cstheme="majorBidi"/>
        </w:rPr>
        <w:t xml:space="preserve">Because stream discharge is used as a surrogate for the measure of shear stress and stream power, errors in load estimation using </w:t>
      </w:r>
      <w:r w:rsidR="007671B4">
        <w:rPr>
          <w:rFonts w:cstheme="majorBidi"/>
        </w:rPr>
        <w:t xml:space="preserve">a </w:t>
      </w:r>
      <w:r w:rsidRPr="00E63DA3">
        <w:rPr>
          <w:rFonts w:cstheme="majorBidi"/>
        </w:rPr>
        <w:t xml:space="preserve">sediment rating curve can be expected when there are inequalities between discharge and stream power </w:t>
      </w:r>
      <w:r w:rsidR="00F41E6A" w:rsidRPr="00E63DA3">
        <w:rPr>
          <w:rFonts w:cstheme="majorBidi"/>
        </w:rPr>
        <w:fldChar w:fldCharType="begin"/>
      </w:r>
      <w:r w:rsidRPr="00E63DA3">
        <w:rPr>
          <w:rFonts w:cstheme="majorBidi"/>
        </w:rPr>
        <w:instrText xml:space="preserve"> ADDIN ZOTERO_ITEM CSL_CITATION {"citationID":"CJuJVabB","properties":{"formattedCitation":"(Hickin 1995)","plainCitation":"(Hickin 1995)"},"citationItems":[{"id":604,"uris":["http://zotero.org/users/1706519/items/3NG9XHQP"],"uri":["http://zotero.org/users/1706519/items/3NG9XHQP"],"itemData":{"id":604,"type":"book","title":"River geomorphology","publisher":"Wiley","number-of-pages":"280","source":"Google Books","abstract":"Contains a selection of 12 river studies that are extremely current and includes recently completed and ongoing original research. Fluvial sediment production and transport, overbank sedimentation, channel scour and hydraulic geometry, human impacts on river systems and the dynamics of large-scale river geomorphology recorded by satellite imagery are among the issues covered. Although the collection is thematic, it also reflects the rich diversity of perspectives and interests of international river scientists.","ISBN":"9780471955313","language":"en","author":[{"family":"Hickin","given":"Edward J."}],"issued":{"date-parts":[["1995",6,20]]}}}],"schema":"https://github.com/citation-style-language/schema/raw/master/csl-citation.json"} </w:instrText>
      </w:r>
      <w:r w:rsidR="00F41E6A" w:rsidRPr="00E63DA3">
        <w:rPr>
          <w:rFonts w:cstheme="majorBidi"/>
        </w:rPr>
        <w:fldChar w:fldCharType="separate"/>
      </w:r>
      <w:r w:rsidRPr="00E63DA3">
        <w:rPr>
          <w:rFonts w:ascii="Times New Roman" w:hAnsi="Times New Roman" w:cs="Times New Roman"/>
        </w:rPr>
        <w:t>(Hickin 1995)</w:t>
      </w:r>
      <w:r w:rsidR="00F41E6A" w:rsidRPr="00E63DA3">
        <w:rPr>
          <w:rFonts w:cstheme="majorBidi"/>
        </w:rPr>
        <w:fldChar w:fldCharType="end"/>
      </w:r>
      <w:r w:rsidRPr="00E63DA3">
        <w:rPr>
          <w:rFonts w:cstheme="majorBidi"/>
        </w:rPr>
        <w:t xml:space="preserve">. Such inequalities occur when there are discontinuities in the fluid mechanics, such as a sudden change in turbulence in rapids, and changes in the form of the channel bed. Furthermore, most rivers transport sediment according to the sediment supply. However, sediment enters the stream from various sources; hence, it is impossible to predict the amount and timing of sediment delivered to the stream </w:t>
      </w:r>
      <w:r w:rsidR="00F41E6A" w:rsidRPr="00E63DA3">
        <w:rPr>
          <w:rFonts w:cstheme="majorBidi"/>
        </w:rPr>
        <w:fldChar w:fldCharType="begin"/>
      </w:r>
      <w:r w:rsidRPr="00E63DA3">
        <w:rPr>
          <w:rFonts w:cstheme="majorBidi"/>
        </w:rPr>
        <w:instrText xml:space="preserve"> ADDIN ZOTERO_ITEM CSL_CITATION {"citationID":"WlycVRJk","properties":{"formattedCitation":"(Hickin 1995; Sichingabula 1998; Asselman 2000)","plainCitation":"(Hickin 1995; Sichingabula 1998; Asselman 2000)"},"citationItems":[{"id":604,"uris":["http://zotero.org/users/1706519/items/3NG9XHQP"],"uri":["http://zotero.org/users/1706519/items/3NG9XHQP"],"itemData":{"id":604,"type":"book","title":"River geomorphology","publisher":"Wiley","number-of-pages":"280","source":"Google Books","abstract":"Contains a selection of 12 river studies that are extremely current and includes recently completed and ongoing original research. Fluvial sediment production and transport, overbank sedimentation, channel scour and hydraulic geometry, human impacts on river systems and the dynamics of large-scale river geomorphology recorded by satellite imagery are among the issues covered. Although the collection is thematic, it also reflects the rich diversity of perspectives and interests of international river scientists.","ISBN":"9780471955313","language":"en","author":[{"family":"Hickin","given":"Edward J."}],"issued":{"date-parts":[["1995",6,20]]}}},{"id":119,"uris":["http://zotero.org/users/1706519/items/T7BE928X"],"uri":["http://zotero.org/users/1706519/items/T7BE928X"],"itemData":{"id":119,"type":"article-journal","title":"Factors controlling variations in suspended sediment concentration for single-valued sediment rating curves, Fraser River, British Columbia, Canada","container-title":"Hydrological Processes","page":"1869–1894","volume":"12","issue":"12","source":"Wiley Online Library","abstract":"Functional (regression) and cause-and-effect analytical methods were employed in the investigation of factors controlling single-value sediment–discharge relationships for individual hydrological events in the Fraser River Basin. Of 1025 hydrological events identified in the 97 years of the 9-stations discharge record monitored by the Water Survey of Canada (1960–1988), 49 were associated with linear, non-linear (concave and convex) sediment rating curves. Analysis revealed that time of events offered a partial explanation for the occurrence of single-valued curves because events occurring in isolation or in quick succession did not always produce single-valued curves owing to variations in hydrograph characteristics and temporal and spatial peak attenuation factors. Hydrologically, linear and non-linear sediment rating curves were distinguished by the influence of preceding discharge or antecedent moisture, which tends to generate quick or delayed runoff, thereby causing rapid or slow increases in sediment concentration in concert with discharge changes. Hydraulically, linear curves were shown to be controlled by rates of stream bed scour (rising stage) similar to those for channel filling (falling stage); concave curves by rates of scouring (rising stage) similar to those of filling but different from those of rescouring (falling stage); and convex curves by rates of filling and scouring (rising stage) different from those of filling and rescouring (falling stages), all in relation to the timing of the exceedance of the threshold discharge for stream bed scour. Meteorologically, bed scour and fill approximately coincided with the timing of precipitation, if any, on the rising and/or falling stages under subzero (T≤0 °C), low (1≤T≤9 °C) and moderate (10≤T≤19 °C) temperature conditions. It is concluded that a combination of temporal, spatial, hydrological, hydraulic and meteorological factors control variations in sediment concentration during single hydrological events on the Fraser River in a complex fashion. Multivariate analysis of these factors should greatly improve prediction of sediment transport in the Fraser River Basin. © 1998 John Wiley &amp; Sons, Ltd.","DOI":"10.1002/(SICI)1099-1085(19981015)12:12&lt;1869::AID-HYP648&gt;3.0.CO;2-G","ISSN":"1099-1085","language":"en","author":[{"family":"Sichingabula","given":"Henry M."}],"issued":{"date-parts":[["1998"]]},"accessed":{"date-parts":[["2013",8,13]]}}},{"id":135,"uris":["http://zotero.org/users/1706519/items/VK5GWIIQ"],"uri":["http://zotero.org/users/1706519/items/VK5GWIIQ"],"itemData":{"id":135,"type":"article-journal","title":"Fitting and interpretation of sediment rating curves","container-title":"Journal of Hydrology","page":"228-248","volume":"234","issue":"3–4","source":"ScienceDirect","abstract":"A large part of the sediment in lowland rivers is transported as wash load. As wash load is a non-capacity load it often is modelled using empirical relations, such as the rating curve technique. Sediment rating curves in the form of a power function are derived for several locations along the river Rhine and its main tributaries, using different fitting procedures. Inaccuracies in estimated sediment loads are analysed, and spatial differences in the shapes of the fitted rating curves are related to watershed characteristics.\n\nRating curves obtained by least squares regression on logarithmic transformed data underestimate long-term sediment transport rates by 10–50%. Better estimates are obtained when nonlinear least squares regression is applied. The steepness of the fitted rating curves decreases along the main channel of the Rhine in a downstream direction. Contrary to what is generally believed this is not related to changes in the sediment transport regime. A better indication of the sediment transport regime is obtained when the slope/intercept pairs of the fitted rating curves are plotted in a graph. All locations that plot on the same line have a common discharge-concentration value and appear to be characterised by a similar sediment transport regime. At locations of which the slope/intercept pairs plot on higher lines, a larger part of the annual sediment load is transported during high discharge.","DOI":"10.1016/S0022-1694(00)00253-5","ISSN":"0022-1694","journalAbbreviation":"Journal of Hydrology","author":[{"family":"Asselman","given":"N.E.M."}],"issued":{"date-parts":[["2000",7,1]]},"accessed":{"date-parts":[["2013",8,13]]}}}],"schema":"https://github.com/citation-style-language/schema/raw/master/csl-citation.json"} </w:instrText>
      </w:r>
      <w:r w:rsidR="00F41E6A" w:rsidRPr="00E63DA3">
        <w:rPr>
          <w:rFonts w:cstheme="majorBidi"/>
        </w:rPr>
        <w:fldChar w:fldCharType="separate"/>
      </w:r>
      <w:r w:rsidRPr="00E63DA3">
        <w:rPr>
          <w:rFonts w:ascii="Times New Roman" w:hAnsi="Times New Roman" w:cs="Times New Roman"/>
        </w:rPr>
        <w:t>(Hickin 1995; Sichingabula 1998; Asselman 2000)</w:t>
      </w:r>
      <w:r w:rsidR="00F41E6A" w:rsidRPr="00E63DA3">
        <w:rPr>
          <w:rFonts w:cstheme="majorBidi"/>
        </w:rPr>
        <w:fldChar w:fldCharType="end"/>
      </w:r>
      <w:r w:rsidRPr="00E63DA3">
        <w:rPr>
          <w:rFonts w:cstheme="majorBidi"/>
        </w:rPr>
        <w:t xml:space="preserve">. </w:t>
      </w:r>
    </w:p>
    <w:p w:rsidR="00E63DA3" w:rsidRPr="00E63DA3" w:rsidRDefault="00E63DA3" w:rsidP="00E63DA3">
      <w:pPr>
        <w:spacing w:line="480" w:lineRule="auto"/>
        <w:ind w:firstLine="720"/>
        <w:jc w:val="both"/>
        <w:rPr>
          <w:rFonts w:cstheme="majorBidi"/>
        </w:rPr>
      </w:pPr>
      <w:r w:rsidRPr="00E63DA3">
        <w:rPr>
          <w:rFonts w:cstheme="majorBidi"/>
        </w:rPr>
        <w:t xml:space="preserve">The scatter around the sediment rating curve can be a result of the hysteresis effect. For a flood event, the interrelation of suspended load and discharge can be better described as a loop, rather than a single rating curve, because the availability of sediment is different before and after the peak discharge </w:t>
      </w:r>
      <w:r w:rsidR="00F41E6A" w:rsidRPr="00E63DA3">
        <w:rPr>
          <w:rFonts w:cstheme="majorBidi"/>
        </w:rPr>
        <w:fldChar w:fldCharType="begin"/>
      </w:r>
      <w:r w:rsidRPr="00E63DA3">
        <w:rPr>
          <w:rFonts w:cstheme="majorBidi"/>
        </w:rPr>
        <w:instrText xml:space="preserve"> ADDIN ZOTERO_ITEM CSL_CITATION {"citationID":"zWYVf1ge","properties":{"formattedCitation":"(Horowitz 2003; Morehead et al. 2003)","plainCitation":"(Horowitz 2003; Morehead et al. 2003)"},"citationItems":[{"id":90,"uris":["http://zotero.org/users/1706519/items/MFGG38JT"],"uri":["http://zotero.org/users/1706519/items/MFGG38JT"],"itemData":{"id":90,"type":"article-journal","title":"An evaluation of sediment rating curves for estimating suspended sediment concentrations for subsequent flux calculations","container-title":"Hydrological Processes","page":"3387-3409","volume":"17","abstract":"In the absence of actual suspended sediment concentration (SSC) measurements, hydrologists have used sediment\nrating (sediment transport) curves to estimate (predict) SSCs for subsequent ﬂux calculations. Various evaluations of\nthe sediment rating-curve method were made using data from long-term, daily sediment-measuring sites within large\n(&gt;1 000 000 km2\n), medium (&lt;1 000 000 to &gt;1000 km2\n), and small (&lt;1000 km2\n) river basins in the USA and Europe\nrelative to the estimation of suspended sediment ﬂuxes. The evaluations address such issues as the accuracy of ﬂux\nestimations for various levels of temporal resolution as well as the impact of sampling frequency on the magnitude of\nﬂux estimation errors.\nThe sediment rating-curve method tends to underpredict high, and overpredict low SSCs. As such, the range of\nerrors associated with concomitant ﬂux estimates for relatively short time-frames (e.g. daily, weekly) are likely to\nbe substantially larger than those associated with longer time-frames (e.g. quarterly, annually) because the over- and\nunderpredictions do not have sufﬁcient time to balance each other. Hence, when error limits must be kept under š20%,\ntemporal resolution probably should be limited to quarterly or greater.\nThe evaluations indicate that over periods of 20 or more years, errors of &lt;1% can be achieved using a single\nsediment rating curve based on data spanning the entire period. However, somewhat better estimates for the entire\nperiod, and markedly better annual estimates within the period, can be obtained if individual annual sediment rating\ncurves are used instead. Relatively accurate (errors &lt;š20%) annual suspended sediment ﬂuxes can be obtained from\nhydrologically based monthly measurements/samples. For 5-year periods or longer, similar results can be obtained\nfrom measurements/samples collected once every 2 months. In either case, hydrologically based sampling, as opposed\nto calendar-based sampling is likely to limit the magnitude of ﬂux estimation errors. Published in 2003 by John Wiley\n&amp; Sons, Ltd.\nKEY WORDS sediment rating curves; suspended sediment concentration; suspended sediment ﬂux estimates","author":[{"family":"Horowitz","given":"Arthur J."}],"issued":{"date-parts":[["2003",8,21]]}}},{"id":63,"uris":["http://zotero.org/users/1706519/items/DUMHX828"],"uri":["http://zotero.org/users/1706519/items/DUMHX828"],"itemData":{"id":63,"type":"article-journal","title":"Modeling the temporal variability in the flux of sediment from ungauged river basins","container-title":"Global and Planetary Change","page":"95-110","volume":"39","issue":"1–2","source":"ScienceDirect","abstract":"The suspended sediment load carried by rivers is highly variable in space and time. On a given river, the suspended sediment load is generally related to the discharge. However, at any given discharge on a specific river the suspended sediment load can vary by a couple of orders of magnitude. The temporal variations can be due to many factors including: varying water sources through a season (i.e., rain versus snowmelt), variability in the amount of easily mobilized sediment stored in the channel, changing channel morphology due to intermittent events or changing climate, and variations in erosional processes supplying sediment to the river. Many studies have looked at the causes of the temporal variability in suspended sediment load on a particular river over specific time periods and created models to simulate the variability. A review of the physical mechanisms responsible for the variability in suspended sediment load reveals the necessary components of a general suspended sediment model for ungauged (and gauged) basins. A generally applicable model is presented that accounts for the inter- and intra-annual variability of suspended sediment load of rivers. The strength of this new model is that the coefficients have strong trends between river basins that can be related to drainage basin parameters. The model accounts for basin wide characteristics through a mean exponent. A variable exponent captures the annual variability and is related to the size of the river basin. The inter-annual variability is accounted for by a variable coefficient, which has large values on small rivers. This is a result of small rivers having larger changes in the intra-annual flows and large rivers tending to have less variability.","DOI":"10.1016/S0921-8181(03)00019-5","ISSN":"0921-8181","journalAbbreviation":"Global and Planetary Change","author":[{"family":"Morehead","given":"Mark D."},{"family":"Syvitski","given":"James P."},{"family":"Hutton","given":"Eric W.H."},{"family":"Peckham","given":"Scott D."}],"issued":{"date-parts":[["2003",10]]},"accessed":{"date-parts":[["2013",10,1]]}}}],"schema":"https://github.com/citation-style-language/schema/raw/master/csl-citation.json"} </w:instrText>
      </w:r>
      <w:r w:rsidR="00F41E6A" w:rsidRPr="00E63DA3">
        <w:rPr>
          <w:rFonts w:cstheme="majorBidi"/>
        </w:rPr>
        <w:fldChar w:fldCharType="separate"/>
      </w:r>
      <w:r w:rsidRPr="00E63DA3">
        <w:rPr>
          <w:rFonts w:ascii="Times New Roman" w:hAnsi="Times New Roman" w:cs="Times New Roman"/>
        </w:rPr>
        <w:t>(Horowitz 2003; Morehead et al. 2003)</w:t>
      </w:r>
      <w:r w:rsidR="00F41E6A" w:rsidRPr="00E63DA3">
        <w:rPr>
          <w:rFonts w:cstheme="majorBidi"/>
        </w:rPr>
        <w:fldChar w:fldCharType="end"/>
      </w:r>
      <w:r w:rsidRPr="00E63DA3">
        <w:rPr>
          <w:rFonts w:cstheme="majorBidi"/>
        </w:rPr>
        <w:t xml:space="preserve">. Sediment concentration is usually higher on the rising limb of the flood hydrograph, when sediments are still available, than on the falling limb, when sediment sources are no longer accessible </w:t>
      </w:r>
      <w:r w:rsidR="00F41E6A" w:rsidRPr="00E63DA3">
        <w:rPr>
          <w:rFonts w:cstheme="majorBidi"/>
        </w:rPr>
        <w:fldChar w:fldCharType="begin"/>
      </w:r>
      <w:r w:rsidRPr="00E63DA3">
        <w:rPr>
          <w:rFonts w:cstheme="majorBidi"/>
        </w:rPr>
        <w:instrText xml:space="preserve"> ADDIN ZOTERO_ITEM CSL_CITATION {"citationID":"jeSAlwYj","properties":{"formattedCitation":"(Pye 1994)","plainCitation":"(Pye 1994)"},"citationItems":[{"id":61,"uris":["http://zotero.org/users/1706519/items/DBCCRT6N"],"uri":["http://zotero.org/users/1706519/items/DBCCRT6N"],"itemData":{"id":61,"type":"book","title":"Sediment Transport and Depositional Processes","publisher":"Blackwell Scientific Publication","ISBN":"0-632-03112-3","author":[{"family":"Pye","given":"Kenneth"}],"issued":{"date-parts":[["1994"]]}}}],"schema":"https://github.com/citation-style-language/schema/raw/master/csl-citation.json"} </w:instrText>
      </w:r>
      <w:r w:rsidR="00F41E6A" w:rsidRPr="00E63DA3">
        <w:rPr>
          <w:rFonts w:cstheme="majorBidi"/>
        </w:rPr>
        <w:fldChar w:fldCharType="separate"/>
      </w:r>
      <w:r w:rsidRPr="00E63DA3">
        <w:rPr>
          <w:rFonts w:cstheme="majorBidi"/>
        </w:rPr>
        <w:t>(Pye 1994)</w:t>
      </w:r>
      <w:r w:rsidR="00F41E6A" w:rsidRPr="00E63DA3">
        <w:rPr>
          <w:rFonts w:cstheme="majorBidi"/>
        </w:rPr>
        <w:fldChar w:fldCharType="end"/>
      </w:r>
      <w:r w:rsidRPr="00E63DA3">
        <w:rPr>
          <w:rFonts w:cstheme="majorBidi"/>
        </w:rPr>
        <w:t xml:space="preserve">. </w:t>
      </w:r>
    </w:p>
    <w:p w:rsidR="00E63DA3" w:rsidRPr="00E63DA3" w:rsidRDefault="00E63DA3" w:rsidP="00E63DA3">
      <w:pPr>
        <w:spacing w:line="480" w:lineRule="auto"/>
        <w:ind w:firstLine="720"/>
        <w:jc w:val="both"/>
        <w:rPr>
          <w:rFonts w:eastAsiaTheme="minorEastAsia" w:cstheme="majorBidi"/>
        </w:rPr>
      </w:pPr>
      <w:r w:rsidRPr="00E63DA3">
        <w:rPr>
          <w:rFonts w:cstheme="majorBidi"/>
        </w:rPr>
        <w:t xml:space="preserve">Another problem in estimating suspended load using a sediment rating curve is a mathematical one. The power function between discharge and suspended load is commonly solved with ordinary least squares regression, which requires a logarithmic transformation. The </w:t>
      </w:r>
      <w:r w:rsidRPr="00E63DA3">
        <w:rPr>
          <w:rFonts w:cstheme="majorBidi"/>
        </w:rPr>
        <w:lastRenderedPageBreak/>
        <w:t xml:space="preserve">geometric mean of the antilog is always smaller than the arithmetic mean of the load in log form. </w:t>
      </w:r>
      <w:r w:rsidRPr="00E63DA3">
        <w:rPr>
          <w:rFonts w:eastAsiaTheme="minorEastAsia" w:cstheme="majorBidi"/>
        </w:rPr>
        <w:t xml:space="preserve">Therefore, the estimated </w:t>
      </w:r>
      <m:oMath>
        <m:r>
          <w:rPr>
            <w:rFonts w:ascii="Cambria Math" w:hAnsi="Cambria Math" w:cstheme="majorBidi"/>
          </w:rPr>
          <m:t>Load</m:t>
        </m:r>
      </m:oMath>
      <w:r w:rsidRPr="00E63DA3">
        <w:rPr>
          <w:rFonts w:eastAsiaTheme="minorEastAsia" w:cstheme="majorBidi"/>
        </w:rPr>
        <w:t xml:space="preserve"> is always lower than the real value, which causes the biased estimation in this method </w:t>
      </w:r>
      <w:r w:rsidR="00F41E6A" w:rsidRPr="00E63DA3">
        <w:rPr>
          <w:rFonts w:eastAsiaTheme="minorEastAsia" w:cstheme="majorBidi"/>
        </w:rPr>
        <w:fldChar w:fldCharType="begin"/>
      </w:r>
      <w:r w:rsidRPr="00E63DA3">
        <w:rPr>
          <w:rFonts w:eastAsiaTheme="minorEastAsia" w:cstheme="majorBidi"/>
        </w:rPr>
        <w:instrText xml:space="preserve"> ADDIN ZOTERO_ITEM CSL_CITATION {"citationID":"ffnGsFpO","properties":{"formattedCitation":"(Ferguson 1986; Ferguson 1987)","plainCitation":"(Ferguson 1986; Ferguson 1987)"},"citationItems":[{"id":73,"uris":["http://zotero.org/users/1706519/items/GZ626CRN"],"uri":["http://zotero.org/users/1706519/items/GZ626CRN"],"itemData":{"id":73,"type":"article-journal","title":"River Loads Underestimated by Rating Curves","container-title":"Water Resources Research","page":"74–76","volume":"22","issue":"1","source":"Wiley Online Library","abstract":"Statistical considerations show that the sediment, solute, or pollutant load of a river is likely to be underestimated by methods in which unmeasured concentrations are estimated from discharge using a least squares regression for the logarithm of concentration. The degree of underestimation increases with the degree of scatter about the rating curve and can reach 50%. A simple correction factor is proposed and tested successfully on simulated and real data sets.","DOI":"10.1029/WR022i001p00074","ISSN":"1944-7973","language":"en","author":[{"family":"Ferguson","given":"R. I."}],"issued":{"date-parts":[["1986"]]},"accessed":{"date-parts":[["2013",9,8]]}}},{"id":108,"uris":["http://zotero.org/users/1706519/items/Q8SHKUMF"],"uri":["http://zotero.org/users/1706519/items/Q8SHKUMF"],"itemData":{"id":108,"type":"article-journal","title":"Accuracy and precision of methods for estimating river loads","container-title":"Earth Surface Processes and Landforms","page":"95–104","volume":"12","issue":"1","source":"Wiley Online Library","abstract":"River loads often have to be estimated from continuous discharge data but relatively infrequent sampling of sediment, solute, or pollutant concentrations. Two standard ways of doing this are to multiply mean concentration by mean discharge, and to use a rating curve to predict unmeasured concentrations. Both methods are known from previous empirical studies to underestimate true load. Statistical considerations explain these biases and yield correction factors which can be used to obtain unbiased estimates of load. Simulation experiments with normally-distributed scatter about log-linear trends, and sampling experiments using a natural data set, show that the corrected rating curve method has lower sampling variability than other unbiased methods based on average instantaneous load and is thus the recommended procedure when the rating plot is of the assumed form. The precision of all methods increases with sample size and decreases with increasing rating-curve slope and scatter.","DOI":"10.1002/esp.3290120111","ISSN":"1096-9837","language":"en","author":[{"family":"Ferguson","given":"R. I."}],"issued":{"date-parts":[["1987"]]},"accessed":{"date-parts":[["2013",11,12]]}}}],"schema":"https://github.com/citation-style-language/schema/raw/master/csl-citation.json"} </w:instrText>
      </w:r>
      <w:r w:rsidR="00F41E6A" w:rsidRPr="00E63DA3">
        <w:rPr>
          <w:rFonts w:eastAsiaTheme="minorEastAsia" w:cstheme="majorBidi"/>
        </w:rPr>
        <w:fldChar w:fldCharType="separate"/>
      </w:r>
      <w:r w:rsidRPr="00E63DA3">
        <w:rPr>
          <w:rFonts w:cstheme="majorBidi"/>
        </w:rPr>
        <w:t>(Ferguson 1986; Ferguson 1987)</w:t>
      </w:r>
      <w:r w:rsidR="00F41E6A" w:rsidRPr="00E63DA3">
        <w:rPr>
          <w:rFonts w:eastAsiaTheme="minorEastAsia" w:cstheme="majorBidi"/>
        </w:rPr>
        <w:fldChar w:fldCharType="end"/>
      </w:r>
      <w:r w:rsidRPr="00E63DA3">
        <w:rPr>
          <w:rFonts w:eastAsiaTheme="minorEastAsia" w:cstheme="majorBidi"/>
        </w:rPr>
        <w:t xml:space="preserve">. On the other hand, values of the exponent </w:t>
      </w:r>
      <m:oMath>
        <m:r>
          <w:rPr>
            <w:rFonts w:ascii="Cambria Math" w:eastAsiaTheme="minorEastAsia" w:hAnsi="Cambria Math" w:cstheme="majorBidi"/>
          </w:rPr>
          <m:t>b</m:t>
        </m:r>
      </m:oMath>
      <w:r w:rsidRPr="00E63DA3">
        <w:rPr>
          <w:rFonts w:eastAsiaTheme="minorEastAsia" w:cstheme="majorBidi"/>
        </w:rPr>
        <w:t xml:space="preserve"> are also underestimated because plots of discharge and suspended load have a high degree of scatter, especially at large discharge, due to the amplification of external factors during periods of high discharge.</w:t>
      </w:r>
    </w:p>
    <w:p w:rsidR="00A25F96" w:rsidRPr="00523FFD" w:rsidRDefault="00A25F96" w:rsidP="00523FFD">
      <w:pPr>
        <w:pStyle w:val="Heading2"/>
        <w:numPr>
          <w:ilvl w:val="0"/>
          <w:numId w:val="19"/>
        </w:numPr>
        <w:ind w:left="360"/>
      </w:pPr>
      <w:bookmarkStart w:id="20" w:name="_Toc394525553"/>
      <w:r w:rsidRPr="00523FFD">
        <w:t>Impact of</w:t>
      </w:r>
      <w:r w:rsidR="009B525C" w:rsidRPr="00523FFD">
        <w:t xml:space="preserve"> locks and dams</w:t>
      </w:r>
      <w:r w:rsidRPr="00523FFD">
        <w:t xml:space="preserve"> on sediment transport</w:t>
      </w:r>
      <w:bookmarkEnd w:id="20"/>
    </w:p>
    <w:p w:rsidR="00E63DA3" w:rsidRPr="00E63DA3" w:rsidRDefault="00E63DA3" w:rsidP="00E63DA3">
      <w:pPr>
        <w:spacing w:line="480" w:lineRule="auto"/>
        <w:ind w:firstLine="720"/>
        <w:jc w:val="both"/>
        <w:rPr>
          <w:rFonts w:cstheme="majorBidi"/>
        </w:rPr>
      </w:pPr>
      <w:r w:rsidRPr="00E63DA3">
        <w:rPr>
          <w:rFonts w:cstheme="majorBidi"/>
        </w:rPr>
        <w:t xml:space="preserve">The Upper Mississippi River is influenced by the system of locks and dams between Minneapolis and St. Louis, which create impoundments that alter the sediment transport </w:t>
      </w:r>
      <w:r w:rsidR="00F41E6A" w:rsidRPr="00E63DA3">
        <w:rPr>
          <w:rFonts w:cstheme="majorBidi"/>
        </w:rPr>
        <w:fldChar w:fldCharType="begin"/>
      </w:r>
      <w:r w:rsidRPr="00E63DA3">
        <w:rPr>
          <w:rFonts w:cstheme="majorBidi"/>
        </w:rPr>
        <w:instrText xml:space="preserve"> ADDIN ZOTERO_ITEM CSL_CITATION {"citationID":"rFrSKHgW","properties":{"formattedCitation":"(US EPA 1999)","plainCitation":"(US EPA 1999)"},"citationItems":[{"id":402,"uris":["http://zotero.org/users/1706519/items/NRIAAPDG"],"uri":["http://zotero.org/users/1706519/items/NRIAAPDG"],"itemData":{"id":402,"type":"book","title":"Protocol for Developing Sediment TMDLs","publisher":"U.S. Environmental Protection Agency, Office of Water","publisher-place":"Washington DC.","number-of-pages":"234","event-place":"Washington DC.","language":"English","author":[{"family":"US EPA","given":""}],"issued":{"date-parts":[["1999"]]}}}],"schema":"https://github.com/citation-style-language/schema/raw/master/csl-citation.json"} </w:instrText>
      </w:r>
      <w:r w:rsidR="00F41E6A" w:rsidRPr="00E63DA3">
        <w:rPr>
          <w:rFonts w:cstheme="majorBidi"/>
        </w:rPr>
        <w:fldChar w:fldCharType="separate"/>
      </w:r>
      <w:r w:rsidRPr="00E63DA3">
        <w:rPr>
          <w:rFonts w:cstheme="majorBidi"/>
        </w:rPr>
        <w:t>(US EPA 1999)</w:t>
      </w:r>
      <w:r w:rsidR="00F41E6A" w:rsidRPr="00E63DA3">
        <w:rPr>
          <w:rFonts w:cstheme="majorBidi"/>
        </w:rPr>
        <w:fldChar w:fldCharType="end"/>
      </w:r>
      <w:r w:rsidRPr="00E63DA3">
        <w:rPr>
          <w:rFonts w:cstheme="majorBidi"/>
        </w:rPr>
        <w:t xml:space="preserve">. Reservoirs formed by the dams cause sediment to be deposited, as water flows into these reservoirs at a lower velocity compared to the velocity of unregulated flow. According to </w:t>
      </w:r>
      <w:r w:rsidR="00F41E6A" w:rsidRPr="00E63DA3">
        <w:rPr>
          <w:rFonts w:cstheme="majorBidi"/>
          <w:b/>
          <w:bCs/>
          <w:i/>
          <w:iCs/>
        </w:rPr>
        <w:fldChar w:fldCharType="begin"/>
      </w:r>
      <w:r w:rsidRPr="00E63DA3">
        <w:rPr>
          <w:rFonts w:cstheme="majorBidi"/>
          <w:b/>
          <w:bCs/>
          <w:i/>
          <w:iCs/>
        </w:rPr>
        <w:instrText xml:space="preserve"> ADDIN ZOTERO_ITEM CSL_CITATION {"citationID":"vTEFU7K5","properties":{"formattedCitation":"(Bhowmik and Adams 1989)","plainCitation":"(Bhowmik and Adams 1989)"},"citationItems":[{"id":405,"uris":["http://zotero.org/users/1706519/items/FR5DSA5I"],"uri":["http://zotero.org/users/1706519/items/FR5DSA5I"],"itemData":{"id":405,"type":"chapter","title":"Successional changes in habitat caused by sedimentation in navigation pools","container-title":"Sediment/Water Interactions","collection-title":"Developments in Hydrobiology","collection-number":"50","publisher":"Springer Netherlands","page":"17-27","source":"link.springer.com","abstract":"Upstream of St. Louis, Missouri, navigation on the Upper Mississippi River is made possible by a series of lock and dam structures. Many of the pools formed by these navigation dams have nearly reached a new equilibrium condition for scour and deposition of sediment. Several pools with extensive backwater or channel border areas are still accumulating sediment at rates similar to those for man-made lakes. The original open-water habitats in these pools are changing to aquatic macrophyte beds and then to marsh or terrestrial floodplain conditions because of sediment deposition. Two pools are used as examples of this phenomenon. 1) Pool 19 on the Mississippi River was formed when the lock, dam, and power house at Keokuk, Iowa were completed in 1913; and 2) Peoria Lake which has been affected by the diversion of Lake Michigan water into the Illinois River in 1900 and the construction of a lock and dam in 1939. Both pools have had well over 50 percent of their original volume filled with sediment. Three areas in Pool 19 illustrate the successional changes that occur as sedimentation raises the river bottom into the photic zone. Sedimentation has made boating impossible on large areas of both pools. The continuing process is likely to change open waters to floodplains. Peoria Lake lacks aquatic plant beds because of excessive turbidity and frequent resuspension of bed material by wind- or boat-generated waves. It seems likely that these river reaches will become a narrow channel without any broad and highly productive channel borders.","URL":"http://link.springer.com/chapter/10.1007/978-94-009-2376-8_3","ISBN":"978-94-010-9007-0, 978-94-009-2376-8","language":"en","author":[{"family":"Bhowmik","given":"Nani G."},{"family":"Adams","given":"J. Rodger"}],"editor":[{"family":"Sly","given":"Peter G."},{"family":"Hart","given":"Barry T."}],"issued":{"date-parts":[["1989",1,1]]},"accessed":{"date-parts":[["2014",1,27]],"season":"23:51:13"}}}],"schema":"https://github.com/citation-style-language/schema/raw/master/csl-citation.json"} </w:instrText>
      </w:r>
      <w:r w:rsidR="00F41E6A" w:rsidRPr="00E63DA3">
        <w:rPr>
          <w:rFonts w:cstheme="majorBidi"/>
          <w:b/>
          <w:bCs/>
          <w:i/>
          <w:iCs/>
        </w:rPr>
        <w:fldChar w:fldCharType="separate"/>
      </w:r>
      <w:r w:rsidRPr="00E63DA3">
        <w:rPr>
          <w:rFonts w:cstheme="majorBidi"/>
        </w:rPr>
        <w:t>Bhowmik and Adams (1989)</w:t>
      </w:r>
      <w:r w:rsidR="00F41E6A" w:rsidRPr="00E63DA3">
        <w:rPr>
          <w:rFonts w:cstheme="majorBidi"/>
          <w:b/>
          <w:bCs/>
          <w:i/>
          <w:iCs/>
        </w:rPr>
        <w:fldChar w:fldCharType="end"/>
      </w:r>
      <w:r w:rsidRPr="00E63DA3">
        <w:rPr>
          <w:rFonts w:cstheme="majorBidi"/>
        </w:rPr>
        <w:t xml:space="preserve">, the sedimentation regime of Peoria Lake (Illinois) was shifted by the closure of the Peoria lock dam in 1939. Prior to 1939, the sedimentation rate of this lake was 0.63%/year. After 1939, the sedimentation rate doubled to 1.44%/year. The rate, by far, has been the highest among the lakes and reservoirs in Illinois. The creation of artificial islands by selective dredging of certain areas is considered to have increased the sedimentation problems of Peoria Lake </w:t>
      </w:r>
      <w:r w:rsidR="00F41E6A" w:rsidRPr="00E63DA3">
        <w:rPr>
          <w:rFonts w:cstheme="majorBidi"/>
        </w:rPr>
        <w:fldChar w:fldCharType="begin"/>
      </w:r>
      <w:r w:rsidRPr="00E63DA3">
        <w:rPr>
          <w:rFonts w:cstheme="majorBidi"/>
        </w:rPr>
        <w:instrText xml:space="preserve"> ADDIN ZOTERO_ITEM CSL_CITATION {"citationID":"uhCMSBCt","properties":{"formattedCitation":"(Demissie 1989)","plainCitation":"(Demissie 1989)"},"citationItems":[{"id":408,"uris":["http://zotero.org/users/1706519/items/ZBVFUUXB"],"uri":["http://zotero.org/users/1706519/items/ZBVFUUXB"],"itemData":{"id":408,"type":"paper-conference","title":"Peoria Lake sedimentation and proposed artificial islands","publisher":"University of Illinois Water Resources Center Special Report No. 18","page":"46-57","event":"Second Conference on the Management of the Illinois River System: The 1990s and Beyond","author":[{"family":"Demissie","given":"M."}],"issued":{"date-parts":[["1989"]]}}}],"schema":"https://github.com/citation-style-language/schema/raw/master/csl-citation.json"} </w:instrText>
      </w:r>
      <w:r w:rsidR="00F41E6A" w:rsidRPr="00E63DA3">
        <w:rPr>
          <w:rFonts w:cstheme="majorBidi"/>
        </w:rPr>
        <w:fldChar w:fldCharType="separate"/>
      </w:r>
      <w:r w:rsidRPr="00E63DA3">
        <w:rPr>
          <w:rFonts w:cstheme="majorBidi"/>
        </w:rPr>
        <w:t>(Demissie 1989)</w:t>
      </w:r>
      <w:r w:rsidR="00F41E6A" w:rsidRPr="00E63DA3">
        <w:rPr>
          <w:rFonts w:cstheme="majorBidi"/>
        </w:rPr>
        <w:fldChar w:fldCharType="end"/>
      </w:r>
      <w:r w:rsidRPr="00E63DA3">
        <w:rPr>
          <w:rFonts w:cstheme="majorBidi"/>
        </w:rPr>
        <w:t xml:space="preserve">. Furthermore, dams attenuate the peak annual discharge, which accounts for a large amount of sediment transported </w:t>
      </w:r>
      <w:r w:rsidR="00F41E6A" w:rsidRPr="00E63DA3">
        <w:rPr>
          <w:rFonts w:cstheme="majorBidi"/>
        </w:rPr>
        <w:fldChar w:fldCharType="begin"/>
      </w:r>
      <w:r w:rsidRPr="00E63DA3">
        <w:rPr>
          <w:rFonts w:cstheme="majorBidi"/>
        </w:rPr>
        <w:instrText xml:space="preserve"> ADDIN ZOTERO_ITEM CSL_CITATION {"citationID":"cGJxR9QO","properties":{"formattedCitation":"(Alexander, Wilson, and Green 2012)","plainCitation":"(Alexander, Wilson, and Green 2012)"},"citationItems":[{"id":145,"uris":["http://zotero.org/users/1706519/items/XFZV5JWN"],"uri":["http://zotero.org/users/1706519/items/XFZV5JWN"],"itemData":{"id":145,"type":"report","title":"USGS Circular 1375: A Brief History and Summary of the Effects of River Engineering and Dams on the Mississippi River System and Delta","page":"43","URL":"http://pubs.usgs.gov/circ/1375/","author":[{"family":"Alexander","given":"Jason S."},{"family":"Wilson","given":"Richard C."},{"family":"Green","given":"W. Reed"}],"issued":{"date-parts":[["2012",6,6]]},"accessed":{"date-parts":[["2013",11,10]]}}}],"schema":"https://github.com/citation-style-language/schema/raw/master/csl-citation.json"} </w:instrText>
      </w:r>
      <w:r w:rsidR="00F41E6A" w:rsidRPr="00E63DA3">
        <w:rPr>
          <w:rFonts w:cstheme="majorBidi"/>
        </w:rPr>
        <w:fldChar w:fldCharType="separate"/>
      </w:r>
      <w:r w:rsidRPr="00E63DA3">
        <w:rPr>
          <w:rFonts w:ascii="Times New Roman" w:hAnsi="Times New Roman" w:cs="Times New Roman"/>
        </w:rPr>
        <w:t>(Alexander et al. 2012)</w:t>
      </w:r>
      <w:r w:rsidR="00F41E6A" w:rsidRPr="00E63DA3">
        <w:rPr>
          <w:rFonts w:cstheme="majorBidi"/>
        </w:rPr>
        <w:fldChar w:fldCharType="end"/>
      </w:r>
      <w:r w:rsidRPr="00E63DA3">
        <w:rPr>
          <w:rFonts w:cstheme="majorBidi"/>
        </w:rPr>
        <w:t xml:space="preserve">. At a broad scale, dams on the Mississippi River intercept sediment from upstream, causing a downstream decline in the sediment yield of the river </w:t>
      </w:r>
      <w:r w:rsidR="00F41E6A" w:rsidRPr="00E63DA3">
        <w:rPr>
          <w:rFonts w:cstheme="majorBidi"/>
        </w:rPr>
        <w:fldChar w:fldCharType="begin"/>
      </w:r>
      <w:r w:rsidRPr="00E63DA3">
        <w:rPr>
          <w:rFonts w:cstheme="majorBidi"/>
        </w:rPr>
        <w:instrText xml:space="preserve"> ADDIN ZOTERO_ITEM CSL_CITATION {"citationID":"eRb3RjBq","properties":{"formattedCitation":"(Meade 1995)","plainCitation":"(Meade 1995)"},"citationItems":[{"id":9,"uris":["http://zotero.org/users/1706519/items/3QGV7FDT"],"uri":["http://zotero.org/users/1706519/items/3QGV7FDT"],"itemData":{"id":9,"type":"report","title":"Contaminants in the Mississippi River, 1987-92","publisher":"U.S. Geological Survey","URL":"http://pubs.usgs.gov/circ/circ1133/","number":"U.S. Geological Survey Circular 1133","author":[{"family":"Meade","given":"Robert H."}],"issued":{"date-parts":[["1995"]]},"accessed":{"date-parts":[["2014",1,19]],"season":"20:50:25"}}}],"schema":"https://github.com/citation-style-language/schema/raw/master/csl-citation.json"} </w:instrText>
      </w:r>
      <w:r w:rsidR="00F41E6A" w:rsidRPr="00E63DA3">
        <w:rPr>
          <w:rFonts w:cstheme="majorBidi"/>
        </w:rPr>
        <w:fldChar w:fldCharType="separate"/>
      </w:r>
      <w:r w:rsidRPr="00E63DA3">
        <w:rPr>
          <w:rFonts w:ascii="Times New Roman" w:hAnsi="Times New Roman" w:cs="Times New Roman"/>
        </w:rPr>
        <w:t>(Meade 1995)</w:t>
      </w:r>
      <w:r w:rsidR="00F41E6A" w:rsidRPr="00E63DA3">
        <w:rPr>
          <w:rFonts w:cstheme="majorBidi"/>
        </w:rPr>
        <w:fldChar w:fldCharType="end"/>
      </w:r>
      <w:r w:rsidRPr="00E63DA3">
        <w:rPr>
          <w:rFonts w:cstheme="majorBidi"/>
        </w:rPr>
        <w:t>.</w:t>
      </w:r>
    </w:p>
    <w:p w:rsidR="002B764C" w:rsidRPr="00E63DA3" w:rsidRDefault="00E63DA3" w:rsidP="00E63DA3">
      <w:pPr>
        <w:spacing w:line="480" w:lineRule="auto"/>
        <w:ind w:firstLine="720"/>
        <w:rPr>
          <w:rFonts w:eastAsiaTheme="minorHAnsi"/>
        </w:rPr>
      </w:pPr>
      <w:r w:rsidRPr="00E63DA3">
        <w:rPr>
          <w:rFonts w:cstheme="majorBidi"/>
        </w:rPr>
        <w:t xml:space="preserve">Over time, large rivers respond to natural stressors (e.g. climate), and adjust their geometries (channel size and shape); over space, they traverse a variety of landscapes with local and regional geologic, climatic, and biologic changes that influence the geometry and hydraulics </w:t>
      </w:r>
      <w:r w:rsidRPr="00E63DA3">
        <w:rPr>
          <w:rFonts w:cstheme="majorBidi"/>
        </w:rPr>
        <w:lastRenderedPageBreak/>
        <w:t xml:space="preserve">of the channel and floodplain </w:t>
      </w:r>
      <w:r w:rsidR="00F41E6A" w:rsidRPr="00E63DA3">
        <w:rPr>
          <w:rFonts w:cstheme="majorBidi"/>
        </w:rPr>
        <w:fldChar w:fldCharType="begin"/>
      </w:r>
      <w:r w:rsidRPr="00E63DA3">
        <w:rPr>
          <w:rFonts w:cstheme="majorBidi"/>
        </w:rPr>
        <w:instrText xml:space="preserve"> ADDIN ZOTERO_ITEM CSL_CITATION {"citationID":"AVYH2DPW","properties":{"formattedCitation":"(Alexander, Wilson, and Green 2012)","plainCitation":"(Alexander, Wilson, and Green 2012)"},"citationItems":[{"id":145,"uris":["http://zotero.org/users/1706519/items/XFZV5JWN"],"uri":["http://zotero.org/users/1706519/items/XFZV5JWN"],"itemData":{"id":145,"type":"report","title":"USGS Circular 1375: A Brief History and Summary of the Effects of River Engineering and Dams on the Mississippi River System and Delta","page":"43","URL":"http://pubs.usgs.gov/circ/1375/","author":[{"family":"Alexander","given":"Jason S."},{"family":"Wilson","given":"Richard C."},{"family":"Green","given":"W. Reed"}],"issued":{"date-parts":[["2012",6,6]]},"accessed":{"date-parts":[["2013",11,10]]}}}],"schema":"https://github.com/citation-style-language/schema/raw/master/csl-citation.json"} </w:instrText>
      </w:r>
      <w:r w:rsidR="00F41E6A" w:rsidRPr="00E63DA3">
        <w:rPr>
          <w:rFonts w:cstheme="majorBidi"/>
        </w:rPr>
        <w:fldChar w:fldCharType="separate"/>
      </w:r>
      <w:r w:rsidRPr="00E63DA3">
        <w:rPr>
          <w:rFonts w:cstheme="majorBidi"/>
        </w:rPr>
        <w:t>(Alexander et al. 2012)</w:t>
      </w:r>
      <w:r w:rsidR="00F41E6A" w:rsidRPr="00E63DA3">
        <w:rPr>
          <w:rFonts w:cstheme="majorBidi"/>
        </w:rPr>
        <w:fldChar w:fldCharType="end"/>
      </w:r>
      <w:r w:rsidRPr="00E63DA3">
        <w:rPr>
          <w:rFonts w:cstheme="majorBidi"/>
        </w:rPr>
        <w:t xml:space="preserve">. Changes of sediment regime have affected channel stability. For instance, streambed degradation of up to 3.6 meters, measured on the Missouri River, altered the magnitude, frequency, and temporal distribution of flows in the river </w:t>
      </w:r>
      <w:r w:rsidR="00F41E6A" w:rsidRPr="00E63DA3">
        <w:rPr>
          <w:rFonts w:cstheme="majorBidi"/>
        </w:rPr>
        <w:fldChar w:fldCharType="begin"/>
      </w:r>
      <w:r w:rsidRPr="00E63DA3">
        <w:rPr>
          <w:rFonts w:cstheme="majorBidi"/>
        </w:rPr>
        <w:instrText xml:space="preserve"> ADDIN ZOTERO_ITEM CSL_CITATION {"citationID":"gJHi5VdF","properties":{"formattedCitation":"(Mellema and Wei 1986; Curini et al. 2002)","plainCitation":"(Mellema and Wei 1986; Curini et al. 2002)"},"citationItems":[{"id":412,"uris":["http://zotero.org/users/1706519/items/CA7MW9NB"],"uri":["http://zotero.org/users/1706519/items/CA7MW9NB"],"itemData":{"id":412,"type":"paper-conference","title":"Missouri River Aggradation and Degradation Trends","container-title":"Proceedings of the Fourth Federal Interagency Sedimentation Conference","publisher-place":"Army Engineer District, Omaha","page":"421-430","event-place":"Army Engineer District, Omaha","author":[{"family":"Mellema","given":"W.J."},{"family":"Wei","given":"T.C."}],"issued":{"date-parts":[["1986"]]}}},{"id":409,"uris":["http://zotero.org/users/1706519/items/RP536GJR"],"uri":["http://zotero.org/users/1706519/items/RP536GJR"],"itemData":{"id":409,"type":"article-journal","title":"Case Study: Channel Stability of the Missouri River, Eastern Montana","container-title":"Journal of Hydraulic Engineering","page":"880-890","volume":"128","issue":"10","source":"ASCE","abstract":"The construction of Fort Peck Dam in the 1930s on the Missouri River, eastern Montana, initiated a series of changes in hydrologic conditions and channel morphology downstream from the dam that impacted channel stability. Impacts included streambed degradation of up to 3.6 m and substantially altered magnitude, frequency, and temporal distribution of flows. To investigate the effects of the altered flow regime and bed degradation on bank stability, two independent bank-stability analyses (one for planar failures, the other for rotational failures) were performed on 17 outside meanders. Both included the effects of matric suction and positive pore-water pressures, confining pressures, and layering. Instability occurred from the loss of matric suction and the generation of positive pore-water pressures. In this semiarid region, such hydrologic conditions are most likely to occur from the maintenance of moderate and high flows (greater than 425–566 m3/s) for extended periods (5–10 days or more), thereby providing a mechanism for saturation of the streambank. For the postdam period, average annual frequencies of flows maintained above 566 m3/s for 5- and 10-day durations are 149 and 257% greater, respectively. The analyses indicated that 30% of the sites were susceptible to planar failures while 53% of the sites were susceptible to rotational failures under sustained moderate- and high-flow conditions, while under a worst-case rapid drawdown scenario, 80% of the banks were susceptible to failure. Despite the negative effects of the altered flow regime, analysis of maps and aerial photographs shows that closure of Fort Peck Dam has resulted in a fourfold reduction of the average rate of long-term channel migration between the dam and the North Dakota border.","DOI":"10.1061/(ASCE)0733-9429(2002)128:10(880)","ISSN":"0733-9429","shortTitle":"Case Study","author":[{"family":"Curini","given":"A."},{"family":"Simon","given":"A."},{"family":"Thomas","given":"R."},{"family":"Shields","given":"F."}],"issued":{"date-parts":[["2002"]]},"accessed":{"date-parts":[["2014",1,27]],"season":"23:56:26"}}}],"schema":"https://github.com/citation-style-language/schema/raw/master/csl-citation.json"} </w:instrText>
      </w:r>
      <w:r w:rsidR="00F41E6A" w:rsidRPr="00E63DA3">
        <w:rPr>
          <w:rFonts w:cstheme="majorBidi"/>
        </w:rPr>
        <w:fldChar w:fldCharType="separate"/>
      </w:r>
      <w:r w:rsidRPr="00E63DA3">
        <w:rPr>
          <w:rFonts w:cstheme="majorBidi"/>
        </w:rPr>
        <w:t>(Mellema and Wei 1986; Curini et al. 2002)</w:t>
      </w:r>
      <w:r w:rsidR="00F41E6A" w:rsidRPr="00E63DA3">
        <w:rPr>
          <w:rFonts w:cstheme="majorBidi"/>
        </w:rPr>
        <w:fldChar w:fldCharType="end"/>
      </w:r>
      <w:r w:rsidRPr="00E63DA3">
        <w:rPr>
          <w:rFonts w:cstheme="majorBidi"/>
        </w:rPr>
        <w:t xml:space="preserve">. Along with locks and dams, engineers have used revetments and levees to prevent riverbank erosion. Revetments prevent bank erosion by armoring the bank, </w:t>
      </w:r>
      <w:r w:rsidR="00485D90">
        <w:rPr>
          <w:rFonts w:cstheme="majorBidi"/>
        </w:rPr>
        <w:t>while levees confine sediment to</w:t>
      </w:r>
      <w:r w:rsidRPr="00E63DA3">
        <w:rPr>
          <w:rFonts w:cstheme="majorBidi"/>
        </w:rPr>
        <w:t xml:space="preserve"> the channel, instead of letting it be deposited onto the surrounding land. These changes affect the sources of sediment in the Upper Mississippi River.</w:t>
      </w:r>
      <w:r w:rsidR="002B764C" w:rsidRPr="00854E06">
        <w:br w:type="page"/>
      </w:r>
    </w:p>
    <w:p w:rsidR="002B764C" w:rsidRPr="00854E06" w:rsidRDefault="002B764C" w:rsidP="002B764C">
      <w:pPr>
        <w:pStyle w:val="Heading1"/>
      </w:pPr>
      <w:bookmarkStart w:id="21" w:name="_Toc394525554"/>
      <w:r w:rsidRPr="00854E06">
        <w:lastRenderedPageBreak/>
        <w:t>Study Area</w:t>
      </w:r>
      <w:bookmarkEnd w:id="21"/>
    </w:p>
    <w:p w:rsidR="002B764C" w:rsidRPr="00854E06" w:rsidRDefault="002B764C" w:rsidP="004F12D3">
      <w:pPr>
        <w:spacing w:before="120" w:after="120" w:line="480" w:lineRule="auto"/>
        <w:ind w:firstLine="720"/>
        <w:jc w:val="both"/>
        <w:rPr>
          <w:rFonts w:ascii="Times New Roman" w:hAnsi="Times New Roman" w:cs="Times New Roman"/>
        </w:rPr>
      </w:pPr>
      <w:r w:rsidRPr="00854E06">
        <w:rPr>
          <w:rFonts w:ascii="Times New Roman" w:hAnsi="Times New Roman" w:cs="Times New Roman"/>
        </w:rPr>
        <w:t>The UMRB encompasses an area of 492,000 km</w:t>
      </w:r>
      <w:r w:rsidRPr="00854E06">
        <w:rPr>
          <w:rFonts w:ascii="Times New Roman" w:hAnsi="Times New Roman" w:cs="Times New Roman"/>
          <w:vertAlign w:val="superscript"/>
        </w:rPr>
        <w:t>2</w:t>
      </w:r>
      <w:r w:rsidRPr="00854E06">
        <w:rPr>
          <w:rFonts w:ascii="Times New Roman" w:hAnsi="Times New Roman" w:cs="Times New Roman"/>
        </w:rPr>
        <w:t xml:space="preserve"> in the headwaters of Mississippi River and extends southward to the confluence of the Mississippi River with the Ohio River near Cairo, Illinois. The UMRB covers parts of seven states: Minnesota, Wisconsin, Iowa, Missouri, Illinois, and Indiana (Fig</w:t>
      </w:r>
      <w:r w:rsidR="008D23E0" w:rsidRPr="00854E06">
        <w:rPr>
          <w:rFonts w:ascii="Times New Roman" w:hAnsi="Times New Roman" w:cs="Times New Roman"/>
        </w:rPr>
        <w:t>ure 3</w:t>
      </w:r>
      <w:r w:rsidRPr="00854E06">
        <w:rPr>
          <w:rFonts w:ascii="Times New Roman" w:hAnsi="Times New Roman" w:cs="Times New Roman"/>
        </w:rPr>
        <w:t xml:space="preserve">.1).  The Mississippi River serves as the backbone of the UMRB. It provides habitats for many aquatic species and drinking water for more than 18 million people living in the basin </w:t>
      </w:r>
      <w:r w:rsidR="00F41E6A" w:rsidRPr="00854E06">
        <w:rPr>
          <w:rFonts w:ascii="Times New Roman" w:hAnsi="Times New Roman" w:cs="Times New Roman"/>
        </w:rPr>
        <w:fldChar w:fldCharType="begin"/>
      </w:r>
      <w:r w:rsidRPr="00854E06">
        <w:rPr>
          <w:rFonts w:ascii="Times New Roman" w:hAnsi="Times New Roman" w:cs="Times New Roman"/>
        </w:rPr>
        <w:instrText xml:space="preserve"> ADDIN ZOTERO_ITEM CSL_CITATION {"citationID":"NLL7UPJp","properties":{"formattedCitation":"(Meade 1995)","plainCitation":"(Meade 1995)"},"citationItems":[{"id":9,"uris":["http://zotero.org/users/1706519/items/3QGV7FDT"],"uri":["http://zotero.org/users/1706519/items/3QGV7FDT"],"itemData":{"id":9,"type":"report","title":"Contaminants in the Mississippi River, 1987-92","publisher":"U.S. Geological Survey","URL":"http://pubs.usgs.gov/circ/circ1133/","number":"U.S. Geological Survey Circular 1133","author":[{"family":"Meade","given":"Robert H."}],"issued":{"date-parts":[["1995"]]},"accessed":{"date-parts":[["2014",1,19]],"season":"20:50:25"}}}],"schema":"https://github.com/citation-style-language/schema/raw/master/csl-citation.json"} </w:instrText>
      </w:r>
      <w:r w:rsidR="00F41E6A" w:rsidRPr="00854E06">
        <w:rPr>
          <w:rFonts w:ascii="Times New Roman" w:hAnsi="Times New Roman" w:cs="Times New Roman"/>
        </w:rPr>
        <w:fldChar w:fldCharType="separate"/>
      </w:r>
      <w:r w:rsidRPr="00854E06">
        <w:rPr>
          <w:rFonts w:ascii="Times New Roman" w:hAnsi="Times New Roman" w:cs="Times New Roman"/>
        </w:rPr>
        <w:t>(Meade 1995)</w:t>
      </w:r>
      <w:r w:rsidR="00F41E6A" w:rsidRPr="00854E06">
        <w:rPr>
          <w:rFonts w:ascii="Times New Roman" w:hAnsi="Times New Roman" w:cs="Times New Roman"/>
        </w:rPr>
        <w:fldChar w:fldCharType="end"/>
      </w:r>
      <w:r w:rsidRPr="00854E06">
        <w:rPr>
          <w:rFonts w:ascii="Times New Roman" w:hAnsi="Times New Roman" w:cs="Times New Roman"/>
        </w:rPr>
        <w:t xml:space="preserve">. The main contributors of water and sediment to the Upper Mississippi River are the large tributaries, including the Minnesota River, the Missouri River, and </w:t>
      </w:r>
      <w:r w:rsidR="0014396E" w:rsidRPr="00854E06">
        <w:rPr>
          <w:rFonts w:ascii="Times New Roman" w:hAnsi="Times New Roman" w:cs="Times New Roman"/>
        </w:rPr>
        <w:t xml:space="preserve">the </w:t>
      </w:r>
      <w:r w:rsidRPr="00854E06">
        <w:rPr>
          <w:rFonts w:ascii="Times New Roman" w:hAnsi="Times New Roman" w:cs="Times New Roman"/>
        </w:rPr>
        <w:t xml:space="preserve">Des Moines, Illinois, Iowa Rivers </w:t>
      </w:r>
      <w:r w:rsidR="00F41E6A" w:rsidRPr="00854E06">
        <w:rPr>
          <w:rFonts w:ascii="Times New Roman" w:hAnsi="Times New Roman" w:cs="Times New Roman"/>
        </w:rPr>
        <w:fldChar w:fldCharType="begin"/>
      </w:r>
      <w:r w:rsidRPr="00854E06">
        <w:rPr>
          <w:rFonts w:ascii="Times New Roman" w:hAnsi="Times New Roman" w:cs="Times New Roman"/>
        </w:rPr>
        <w:instrText xml:space="preserve"> ADDIN ZOTERO_ITEM CSL_CITATION {"citationID":"7aoGuy90","properties":{"formattedCitation":"(Julien and Vensel 2005)","plainCitation":"(Julien and Vensel 2005)"},"citationItems":[{"id":47,"uris":["http://zotero.org/users/1706519/items/AWEMXXW7"],"uri":["http://zotero.org/users/1706519/items/AWEMXXW7"],"itemData":{"id":47,"type":"report","title":"Review of Sedimentation Issues on the Mississippi River","publisher":"Dept. of Civil and Environmental Engineering","genre":"Report Presented to the UNESCO: ISI","author":[{"family":"Julien","given":"Pierre Y."},{"family":"Vensel","given":"Chad W."}],"issued":{"date-parts":[["2005",11]]}}}],"schema":"https://github.com/citation-style-language/schema/raw/master/csl-citation.json"} </w:instrText>
      </w:r>
      <w:r w:rsidR="00F41E6A" w:rsidRPr="00854E06">
        <w:rPr>
          <w:rFonts w:ascii="Times New Roman" w:hAnsi="Times New Roman" w:cs="Times New Roman"/>
        </w:rPr>
        <w:fldChar w:fldCharType="separate"/>
      </w:r>
      <w:r w:rsidRPr="00854E06">
        <w:rPr>
          <w:rFonts w:ascii="Times New Roman" w:hAnsi="Times New Roman" w:cs="Times New Roman"/>
        </w:rPr>
        <w:t>(Julien and Vensel 2005)</w:t>
      </w:r>
      <w:r w:rsidR="00F41E6A" w:rsidRPr="00854E06">
        <w:rPr>
          <w:rFonts w:ascii="Times New Roman" w:hAnsi="Times New Roman" w:cs="Times New Roman"/>
        </w:rPr>
        <w:fldChar w:fldCharType="end"/>
      </w:r>
      <w:r w:rsidRPr="00854E06">
        <w:rPr>
          <w:rFonts w:ascii="Times New Roman" w:hAnsi="Times New Roman" w:cs="Times New Roman"/>
        </w:rPr>
        <w:t>.</w:t>
      </w:r>
    </w:p>
    <w:p w:rsidR="002B764C" w:rsidRPr="00523FFD" w:rsidRDefault="002B764C" w:rsidP="00523FFD">
      <w:pPr>
        <w:pStyle w:val="Heading2"/>
        <w:numPr>
          <w:ilvl w:val="0"/>
          <w:numId w:val="41"/>
        </w:numPr>
        <w:ind w:left="360"/>
      </w:pPr>
      <w:bookmarkStart w:id="22" w:name="_Toc394525555"/>
      <w:r w:rsidRPr="00523FFD">
        <w:t>Physiography and geology</w:t>
      </w:r>
      <w:bookmarkEnd w:id="22"/>
    </w:p>
    <w:p w:rsidR="00E63DA3" w:rsidRPr="00E63DA3" w:rsidRDefault="00E63DA3" w:rsidP="00E63DA3">
      <w:pPr>
        <w:spacing w:before="120" w:after="120" w:line="480" w:lineRule="auto"/>
        <w:ind w:firstLine="720"/>
        <w:jc w:val="both"/>
        <w:rPr>
          <w:rFonts w:ascii="Times New Roman" w:hAnsi="Times New Roman" w:cs="Times New Roman"/>
        </w:rPr>
      </w:pPr>
      <w:r w:rsidRPr="00E63DA3">
        <w:rPr>
          <w:rFonts w:ascii="Times New Roman" w:hAnsi="Times New Roman" w:cs="Times New Roman"/>
        </w:rPr>
        <w:t xml:space="preserve">The UMRB is located on the oldest bedrock of the United States </w:t>
      </w:r>
      <w:r w:rsidR="00F41E6A"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{"citationID":"6FqcVP8d","properties":{"formattedCitation":"(Davinroy, Hendrickson, and Steffen 2006)","plainCitation":"(Davinroy, Hendrickson, and Steffen 2006)"},"citationItems":[{"id":38,"uris":["http://zotero.org/users/1706519/items/96BN98KH"],"uri":["http://zotero.org/users/1706519/items/96BN98KH"],"itemData":{"id":38,"type":"report","title":"Sedimentation in the Upper Mississippi River Basin","publisher":"US Army Corps of Engineers","publisher-place":"St. Louis District","page":"143","event-place":"St. Louis District","author":[{"family":"Davinroy","given":"Rob"},{"family":"Hendrickson","given":"Jon"},{"family":"Steffen","given":"Lyle"}],"issued":{"date-parts":[["2006",3]]}}}],"schema":"https://github.com/citation-style-language/schema/raw/master/csl-citation.json"} </w:instrText>
      </w:r>
      <w:r w:rsidR="00F41E6A" w:rsidRPr="00E63DA3">
        <w:rPr>
          <w:rFonts w:ascii="Times New Roman" w:hAnsi="Times New Roman" w:cs="Times New Roman"/>
        </w:rPr>
        <w:fldChar w:fldCharType="separate"/>
      </w:r>
      <w:r w:rsidRPr="00E63DA3">
        <w:rPr>
          <w:rFonts w:ascii="Times New Roman" w:hAnsi="Times New Roman" w:cs="Times New Roman"/>
        </w:rPr>
        <w:t>(Davinroy et al. 2006)</w:t>
      </w:r>
      <w:r w:rsidR="00F41E6A" w:rsidRPr="00E63DA3">
        <w:rPr>
          <w:rFonts w:ascii="Times New Roman" w:hAnsi="Times New Roman" w:cs="Times New Roman"/>
        </w:rPr>
        <w:fldChar w:fldCharType="end"/>
      </w:r>
      <w:r w:rsidRPr="00E63DA3">
        <w:rPr>
          <w:rFonts w:ascii="Times New Roman" w:hAnsi="Times New Roman" w:cs="Times New Roman"/>
        </w:rPr>
        <w:t xml:space="preserve">. The center and northern parts of the UMRB are in the Superior Upland and Central Lowland physiographic regions, while the southern tip of the basin falls into the Ozark Plateaus, Coastal Plain, and Interior Low Plateaus </w:t>
      </w:r>
      <w:r w:rsidR="00F41E6A"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{"citationID":"GLSFVSdS","properties":{"formattedCitation":"(Vigil, Pike, and Howell 2000)","plainCitation":"(Vigil, Pike, and Howell 2000)"},"citationItems":[{"id":456,"uris":["http://zotero.org/users/1706519/items/43MHDXMG"],"uri":["http://zotero.org/users/1706519/items/43MHDXMG"],"itemData":{"id":456,"type":"report","title":"A Tapestry of Time and Terrain","publisher":"US Geological Survey","genre":"Investigation Series 2720","URL":"http://tapestry.usgs.gov/","author":[{"family":"Vigil","given":"Jose F."},{"family":"Pike","given":"Richard J."},{"family":"Howell","given":"David"}],"issued":{"date-parts":[["2000"]]}}}],"schema":"https://github.com/citation-style-language/schema/raw/master/csl-citation.json"} </w:instrText>
      </w:r>
      <w:r w:rsidR="00F41E6A" w:rsidRPr="00E63DA3">
        <w:rPr>
          <w:rFonts w:ascii="Times New Roman" w:hAnsi="Times New Roman" w:cs="Times New Roman"/>
        </w:rPr>
        <w:fldChar w:fldCharType="separate"/>
      </w:r>
      <w:r w:rsidRPr="00E63DA3">
        <w:rPr>
          <w:rFonts w:ascii="Times New Roman" w:hAnsi="Times New Roman" w:cs="Times New Roman"/>
        </w:rPr>
        <w:t>(Vigil et al. 2000)</w:t>
      </w:r>
      <w:r w:rsidR="00F41E6A" w:rsidRPr="00E63DA3">
        <w:rPr>
          <w:rFonts w:ascii="Times New Roman" w:hAnsi="Times New Roman" w:cs="Times New Roman"/>
        </w:rPr>
        <w:fldChar w:fldCharType="end"/>
      </w:r>
      <w:r w:rsidRPr="00E63DA3">
        <w:rPr>
          <w:rFonts w:ascii="Times New Roman" w:hAnsi="Times New Roman" w:cs="Times New Roman"/>
        </w:rPr>
        <w:t xml:space="preserve"> (Fig. 3.2). The bedrock under the basin is mostly of Paleozoic and Cambrian age. The Central Lowlands are composed of old sedimentary rock from material eroded from the Appalachian Mountains and upland areas of the Great Lakes </w:t>
      </w:r>
      <w:r w:rsidR="00F41E6A"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{"citationID":"zMrvqXgn","properties":{"formattedCitation":"(Lew 2014)","plainCitation":"(Lew 2014)","dontUpdate":true},"citationItems":[{"id":450,"uris":["http://zotero.org/users/1706519/items/3HQKWSNX"],"uri":["http://zotero.org/users/1706519/items/3HQKWSNX"],"itemData":{"id":450,"type":"book","title":"Geography USA : A Virtual Textbook","publisher":"Northern Arizona University","URL":"http://www.geog.nau.edu/courses/alew/gsp220/text/chapters/","author":[{"family":"Lew","given":"Alan"}],"issued":{"date-parts":[["2009"]]},"accessed":{"date-parts":[["2014",2,12]]}}}],"schema":"https://github.com/citation-style-language/schema/raw/master/csl-citation.json"} </w:instrText>
      </w:r>
      <w:r w:rsidR="00F41E6A" w:rsidRPr="00E63DA3">
        <w:rPr>
          <w:rFonts w:ascii="Times New Roman" w:hAnsi="Times New Roman" w:cs="Times New Roman"/>
        </w:rPr>
        <w:fldChar w:fldCharType="separate"/>
      </w:r>
      <w:r w:rsidRPr="00E63DA3">
        <w:rPr>
          <w:rFonts w:ascii="Times New Roman" w:hAnsi="Times New Roman" w:cs="Times New Roman"/>
        </w:rPr>
        <w:t>(Lew 2009)</w:t>
      </w:r>
      <w:r w:rsidR="00F41E6A" w:rsidRPr="00E63DA3">
        <w:rPr>
          <w:rFonts w:ascii="Times New Roman" w:hAnsi="Times New Roman" w:cs="Times New Roman"/>
        </w:rPr>
        <w:fldChar w:fldCharType="end"/>
      </w:r>
      <w:r w:rsidRPr="00E63DA3">
        <w:rPr>
          <w:rFonts w:ascii="Times New Roman" w:hAnsi="Times New Roman" w:cs="Times New Roman"/>
        </w:rPr>
        <w:t xml:space="preserve">. On the other hand, the Superior Upland, a part of the Canadian Shield, is composed of metamorphic rocks, which have been the source of important industrial materials </w:t>
      </w:r>
      <w:r w:rsidR="00F41E6A"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{"citationID":"rtHorBtC","properties":{"formattedCitation":"(Vigil, Pike, and Howell 2000)","plainCitation":"(Vigil, Pike, and Howell 2000)"},"citationItems":[{"id":456,"uris":["http://zotero.org/users/1706519/items/43MHDXMG"],"uri":["http://zotero.org/users/1706519/items/43MHDXMG"],"itemData":{"id":456,"type":"report","title":"A Tapestry of Time and Terrain","publisher":"US Geological Survey","genre":"Investigation Series 2720","URL":"http://tapestry.usgs.gov/","author":[{"family":"Vigil","given":"Jose F."},{"family":"Pike","given":"Richard J."},{"family":"Howell","given":"David"}],"issued":{"date-parts":[["2000"]]}}}],"schema":"https://github.com/citation-style-language/schema/raw/master/csl-citation.json"} </w:instrText>
      </w:r>
      <w:r w:rsidR="00F41E6A" w:rsidRPr="00E63DA3">
        <w:rPr>
          <w:rFonts w:ascii="Times New Roman" w:hAnsi="Times New Roman" w:cs="Times New Roman"/>
        </w:rPr>
        <w:fldChar w:fldCharType="separate"/>
      </w:r>
      <w:r w:rsidRPr="00E63DA3">
        <w:rPr>
          <w:rFonts w:ascii="Times New Roman" w:hAnsi="Times New Roman" w:cs="Times New Roman"/>
        </w:rPr>
        <w:t>(Vigil et al. 2000)</w:t>
      </w:r>
      <w:r w:rsidR="00F41E6A" w:rsidRPr="00E63DA3">
        <w:rPr>
          <w:rFonts w:ascii="Times New Roman" w:hAnsi="Times New Roman" w:cs="Times New Roman"/>
        </w:rPr>
        <w:fldChar w:fldCharType="end"/>
      </w:r>
      <w:r w:rsidRPr="00E63DA3">
        <w:rPr>
          <w:rFonts w:ascii="Times New Roman" w:hAnsi="Times New Roman" w:cs="Times New Roman"/>
        </w:rPr>
        <w:t xml:space="preserve">. </w:t>
      </w:r>
    </w:p>
    <w:p w:rsidR="00E63DA3" w:rsidRPr="00E63DA3" w:rsidRDefault="00E63DA3" w:rsidP="001E7A0C">
      <w:pPr>
        <w:spacing w:before="120" w:after="120" w:line="480" w:lineRule="auto"/>
        <w:ind w:firstLine="720"/>
        <w:jc w:val="both"/>
        <w:rPr>
          <w:rFonts w:ascii="Times New Roman" w:hAnsi="Times New Roman" w:cs="Times New Roman"/>
        </w:rPr>
      </w:pPr>
      <w:r w:rsidRPr="00E63DA3">
        <w:rPr>
          <w:rFonts w:ascii="Times New Roman" w:hAnsi="Times New Roman" w:cs="Times New Roman"/>
        </w:rPr>
        <w:t xml:space="preserve">The surfaces of the UMRB landscape were formed by glacial and fluvial processes. During the Pleistocene Epoch, the northern area of the UMRB was glaciated. The Pleistocene Glacial River Warren was the predecessor of the Minnesota River </w:t>
      </w:r>
      <w:r w:rsidR="00F41E6A"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{"citationID":"yPJkU1ad","properties":{"formattedCitation":"(Meade 1995)","plainCitation":"(Meade 1995)"},"citationItems":[{"id":9,"uris":["http://zotero.org/users/1706519/items/3QGV7FDT"],"uri":["http://zotero.org/users/1706519/items/3QGV7FDT"],"itemData":{"id":9,"type":"report","title":"Contaminants in the Mississippi River, 1987-92","publisher":"U.S. Geological Survey","URL":"http://pubs.usgs.gov/circ/circ1133/","number":"U.S. Geological Survey Circular 1133","author":[{"family":"Meade","given":"Robert H."}],"issued":{"date-parts":[["1995"]]},"accessed":{"date-parts":[["2014",1,19]],"season":"20:50:25"}}}],"schema":"https://github.com/citation-style-language/schema/raw/master/csl-citation.json"} </w:instrText>
      </w:r>
      <w:r w:rsidR="00F41E6A" w:rsidRPr="00E63DA3">
        <w:rPr>
          <w:rFonts w:ascii="Times New Roman" w:hAnsi="Times New Roman" w:cs="Times New Roman"/>
        </w:rPr>
        <w:fldChar w:fldCharType="separate"/>
      </w:r>
      <w:r w:rsidRPr="00E63DA3">
        <w:rPr>
          <w:rFonts w:ascii="Times New Roman" w:hAnsi="Times New Roman" w:cs="Times New Roman"/>
        </w:rPr>
        <w:t>(Meade 1995)</w:t>
      </w:r>
      <w:r w:rsidR="00F41E6A" w:rsidRPr="00E63DA3">
        <w:rPr>
          <w:rFonts w:ascii="Times New Roman" w:hAnsi="Times New Roman" w:cs="Times New Roman"/>
        </w:rPr>
        <w:fldChar w:fldCharType="end"/>
      </w:r>
      <w:r w:rsidRPr="00E63DA3">
        <w:rPr>
          <w:rFonts w:ascii="Times New Roman" w:hAnsi="Times New Roman" w:cs="Times New Roman"/>
        </w:rPr>
        <w:t xml:space="preserve">. Landforms and landscapes of the basin affect the rainfall runoff rate and the infiltration rate of soil. The UMRB </w:t>
      </w:r>
      <w:r w:rsidRPr="00E63DA3">
        <w:rPr>
          <w:rFonts w:ascii="Times New Roman" w:hAnsi="Times New Roman" w:cs="Times New Roman"/>
        </w:rPr>
        <w:lastRenderedPageBreak/>
        <w:t xml:space="preserve">is on the low plateau portion of the larger Mississippi River basin. The land surface of the Mississippi River basin is mostly covered by glacial outwash, which consists of silts, clays, and gravels </w:t>
      </w:r>
      <w:r w:rsidR="00F41E6A"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{"citationID":"spVUZW3y","properties":{"formattedCitation":"(Davinroy, Hendrickson, and Steffen 2006)","plainCitation":"(Davinroy, Hendrickson, and Steffen 2006)"},"citationItems":[{"id":38,"uris":["http://zotero.org/users/1706519/items/96BN98KH"],"uri":["http://zotero.org/users/1706519/items/96BN98KH"],"itemData":{"id":38,"type":"report","title":"Sedimentation in the Upper Mississippi River Basin","publisher":"US Army Corps of Engineers","publisher-place":"St. Louis District","page":"143","event-place":"St. Louis District","author":[{"family":"Davinroy","given":"Rob"},{"family":"Hendrickson","given":"Jon"},{"family":"Steffen","given":"Lyle"}],"issued":{"date-parts":[["2006",3]]}}}],"schema":"https://github.com/citation-style-language/schema/raw/master/csl-citation.json"} </w:instrText>
      </w:r>
      <w:r w:rsidR="00F41E6A" w:rsidRPr="00E63DA3">
        <w:rPr>
          <w:rFonts w:ascii="Times New Roman" w:hAnsi="Times New Roman" w:cs="Times New Roman"/>
        </w:rPr>
        <w:fldChar w:fldCharType="separate"/>
      </w:r>
      <w:r w:rsidRPr="00E63DA3">
        <w:rPr>
          <w:rFonts w:ascii="Times New Roman" w:hAnsi="Times New Roman" w:cs="Times New Roman"/>
        </w:rPr>
        <w:t>(Davinroy et al. 2006)</w:t>
      </w:r>
      <w:r w:rsidR="00F41E6A" w:rsidRPr="00E63DA3">
        <w:rPr>
          <w:rFonts w:ascii="Times New Roman" w:hAnsi="Times New Roman" w:cs="Times New Roman"/>
        </w:rPr>
        <w:fldChar w:fldCharType="end"/>
      </w:r>
      <w:r w:rsidRPr="00E63DA3">
        <w:rPr>
          <w:rFonts w:ascii="Times New Roman" w:hAnsi="Times New Roman" w:cs="Times New Roman"/>
        </w:rPr>
        <w:t xml:space="preserve">. More than 50% of the landforms of the southern UMRB are flat plains or gently rolling moraines </w:t>
      </w:r>
      <w:r w:rsidR="00F41E6A"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{"citationID":"o81aiU9K","properties":{"formattedCitation":"(NRC 2008)","plainCitation":"(NRC 2008)"},"citationItems":[{"id":447,"uris":["http://zotero.org/users/1706519/items/WWH84AXZ"],"uri":["http://zotero.org/users/1706519/items/WWH84AXZ"],"itemData":{"id":447,"type":"book","title":"Mississippi River Water Quality and the Clean Water Act: Progress, Challenges, and Opportunities","publisher":"National Research Council, The National Academies Press","publisher-place":"Washington DC.","event-place":"Washington DC.","abstract":"The Mississippi River is, in many ways, the nation's best known and most important river system. Mississippi River water quality is of paramount importance for sustaining the many uses of the river including drinking water, recreational and commercial activities, and support for the river's ecosystems and the environmental goods and services they provide. The Clean Water Act, passed by Congress in 1972, is the cornerstone of surface water quality protection in the United States, employing regulatory and nonregulatory measures designed to reduce direct pollutant discharges into waterways. The Clean Water Act has reduced much pollution in the Mississippi River from","URL":"http://www.nap.edu/openbook.php?record_id=12051","shortTitle":"Mississippi River Water Quality and the Clean Water Act","author":[{"family":"NRC","given":""}],"issued":{"date-parts":[["2008"]]},"accessed":{"date-parts":[["2014",2,12]]}}}],"schema":"https://github.com/citation-style-language/schema/raw/master/csl-citation.json"} </w:instrText>
      </w:r>
      <w:r w:rsidR="00F41E6A" w:rsidRPr="00E63DA3">
        <w:rPr>
          <w:rFonts w:ascii="Times New Roman" w:hAnsi="Times New Roman" w:cs="Times New Roman"/>
        </w:rPr>
        <w:fldChar w:fldCharType="separate"/>
      </w:r>
      <w:r w:rsidRPr="00E63DA3">
        <w:rPr>
          <w:rFonts w:ascii="Times New Roman" w:hAnsi="Times New Roman" w:cs="Times New Roman"/>
        </w:rPr>
        <w:t>(NRC 2008)</w:t>
      </w:r>
      <w:r w:rsidR="00F41E6A" w:rsidRPr="00E63DA3">
        <w:rPr>
          <w:rFonts w:ascii="Times New Roman" w:hAnsi="Times New Roman" w:cs="Times New Roman"/>
        </w:rPr>
        <w:fldChar w:fldCharType="end"/>
      </w:r>
      <w:r w:rsidRPr="00E63DA3">
        <w:rPr>
          <w:rFonts w:ascii="Times New Roman" w:hAnsi="Times New Roman" w:cs="Times New Roman"/>
        </w:rPr>
        <w:t xml:space="preserve">. The remaining landforms consist of hills and low mountains in the north of the basin </w:t>
      </w:r>
      <w:r w:rsidR="00F41E6A"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{"citationID":"KD4FiJDB","properties":{"formattedCitation":"(Davinroy, Hendrickson, and Steffen 2006)","plainCitation":"(Davinroy, Hendrickson, and Steffen 2006)"},"citationItems":[{"id":38,"uris":["http://zotero.org/users/1706519/items/96BN98KH"],"uri":["http://zotero.org/users/1706519/items/96BN98KH"],"itemData":{"id":38,"type":"report","title":"Sedimentation in the Upper Mississippi River Basin","publisher":"US Army Corps of Engineers","publisher-place":"St. Louis District","page":"143","event-place":"St. Louis District","author":[{"family":"Davinroy","given":"Rob"},{"family":"Hendrickson","given":"Jon"},{"family":"Steffen","given":"Lyle"}],"issued":{"date-parts":[["2006",3]]}}}],"schema":"https://github.com/citation-style-language/schema/raw/master/csl-citation.json"} </w:instrText>
      </w:r>
      <w:r w:rsidR="00F41E6A" w:rsidRPr="00E63DA3">
        <w:rPr>
          <w:rFonts w:ascii="Times New Roman" w:hAnsi="Times New Roman" w:cs="Times New Roman"/>
        </w:rPr>
        <w:fldChar w:fldCharType="separate"/>
      </w:r>
      <w:r w:rsidRPr="00E63DA3">
        <w:rPr>
          <w:rFonts w:ascii="Times New Roman" w:hAnsi="Times New Roman" w:cs="Times New Roman"/>
        </w:rPr>
        <w:t>(Davinroy et al. 2006)</w:t>
      </w:r>
      <w:r w:rsidR="00F41E6A" w:rsidRPr="00E63DA3">
        <w:rPr>
          <w:rFonts w:ascii="Times New Roman" w:hAnsi="Times New Roman" w:cs="Times New Roman"/>
        </w:rPr>
        <w:fldChar w:fldCharType="end"/>
      </w:r>
      <w:r w:rsidRPr="00E63DA3">
        <w:rPr>
          <w:rFonts w:ascii="Times New Roman" w:hAnsi="Times New Roman" w:cs="Times New Roman"/>
        </w:rPr>
        <w:t xml:space="preserve">. Figure 3.3 shows elevations of the UMRB. Overall, the elevation of the basin decreases from north to south. While the southern part of the basin is lower and flatter, the northern part is higher, with more steep slopes. </w:t>
      </w:r>
    </w:p>
    <w:p w:rsidR="00E63DA3" w:rsidRPr="00E63DA3" w:rsidRDefault="00E63DA3" w:rsidP="00E63DA3">
      <w:pPr>
        <w:spacing w:before="120" w:after="120" w:line="480" w:lineRule="auto"/>
        <w:ind w:firstLine="720"/>
        <w:jc w:val="both"/>
        <w:rPr>
          <w:rFonts w:ascii="Times New Roman" w:hAnsi="Times New Roman" w:cs="Times New Roman"/>
        </w:rPr>
      </w:pPr>
      <w:r w:rsidRPr="00E63DA3">
        <w:rPr>
          <w:rFonts w:ascii="Times New Roman" w:hAnsi="Times New Roman" w:cs="Times New Roman"/>
        </w:rPr>
        <w:t xml:space="preserve">Pleistocene glaciation left large areas of wetlands and lakes in the north of the basin. These wetlands slow runoff and trap pollutants from the northern upland before they reach the Mississippi River </w:t>
      </w:r>
      <w:r w:rsidR="00F41E6A"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{"citationID":"Lrh5HMoo","properties":{"formattedCitation":"(NRC 2008)","plainCitation":"(NRC 2008)"},"citationItems":[{"id":447,"uris":["http://zotero.org/users/1706519/items/WWH84AXZ"],"uri":["http://zotero.org/users/1706519/items/WWH84AXZ"],"itemData":{"id":447,"type":"book","title":"Mississippi River Water Quality and the Clean Water Act: Progress, Challenges, and Opportunities","publisher":"National Research Council, The National Academies Press","publisher-place":"Washington DC.","event-place":"Washington DC.","abstract":"The Mississippi River is, in many ways, the nation's best known and most important river system. Mississippi River water quality is of paramount importance for sustaining the many uses of the river including drinking water, recreational and commercial activities, and support for the river's ecosystems and the environmental goods and services they provide. The Clean Water Act, passed by Congress in 1972, is the cornerstone of surface water quality protection in the United States, employing regulatory and nonregulatory measures designed to reduce direct pollutant discharges into waterways. The Clean Water Act has reduced much pollution in the Mississippi River from","URL":"http://www.nap.edu/openbook.php?record_id=12051","shortTitle":"Mississippi River Water Quality and the Clean Water Act","author":[{"family":"NRC","given":""}],"issued":{"date-parts":[["2008"]]},"accessed":{"date-parts":[["2014",2,12]]}}}],"schema":"https://github.com/citation-style-language/schema/raw/master/csl-citation.json"} </w:instrText>
      </w:r>
      <w:r w:rsidR="00F41E6A" w:rsidRPr="00E63DA3">
        <w:rPr>
          <w:rFonts w:ascii="Times New Roman" w:hAnsi="Times New Roman" w:cs="Times New Roman"/>
        </w:rPr>
        <w:fldChar w:fldCharType="separate"/>
      </w:r>
      <w:r w:rsidRPr="00E63DA3">
        <w:rPr>
          <w:rFonts w:ascii="Times New Roman" w:hAnsi="Times New Roman" w:cs="Times New Roman"/>
        </w:rPr>
        <w:t>(NRC 2008)</w:t>
      </w:r>
      <w:r w:rsidR="00F41E6A" w:rsidRPr="00E63DA3">
        <w:rPr>
          <w:rFonts w:ascii="Times New Roman" w:hAnsi="Times New Roman" w:cs="Times New Roman"/>
        </w:rPr>
        <w:fldChar w:fldCharType="end"/>
      </w:r>
      <w:r w:rsidRPr="00E63DA3">
        <w:rPr>
          <w:rFonts w:ascii="Times New Roman" w:hAnsi="Times New Roman" w:cs="Times New Roman"/>
        </w:rPr>
        <w:t xml:space="preserve">. However, due to the demand for agricultural land and urban development, wetlands have been transformed to croplands over the past 150 years </w:t>
      </w:r>
      <w:r w:rsidR="00F41E6A"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{"citationID":"cUpUe3zH","properties":{"formattedCitation":"(Prince 1998)","plainCitation":"(Prince 1998)"},"citationItems":[{"id":452,"uris":["http://zotero.org/users/1706519/items/7686IM9F"],"uri":["http://zotero.org/users/1706519/items/7686IM9F"],"itemData":{"id":452,"type":"book","title":"Wetlands of the American Midwest: A Historical Geography of Changing Attitudes","publisher":"The University of Chicago Press","source":"www.press.uchicago.edu","abstract":"&lt;div&gt;How people perceive wetlands has always played a crucial role in determining how people act toward them. In this readable and objective account, Hugh Prince examines literary evidence as well as government and scientific documents to uncover the history of changing attitudes toward wetlands in the American Midwest.&lt;br&gt;&lt;br&gt;As attitudes changed, so did scientific research agendas, government policies, and farmers' strategies for managing their land. Originally viewed as bountiful sources of wildlife by indigenous peoples, wet areas called \"wet prairies,\" \"swamps,\" or \"bogs\" in the late nineteenth and early twentieth centuries were considered productive only when drained for agricultural use. Beginning in the 1950s, many came to see these renamed \"wetlands\" as valuable for wildlife and soil conservation.&lt;br&gt;&lt;br&gt;Prince's book will appeal to a wide readership, ranging from geographers and environmental historians to the many government and private agencies and individuals concerned with wetland research, management, and preservation.&lt;/div&gt;","URL":"http://www.press.uchicago.edu/ucp/books/book/chicago/W/bo3633450.html","ISBN":"9780226682839","author":[{"family":"Prince","given":"Hugh"}],"issued":{"date-parts":[["1998",1]]},"accessed":{"date-parts":[["2014",2,12]]}}}],"schema":"https://github.com/citation-style-language/schema/raw/master/csl-citation.json"} </w:instrText>
      </w:r>
      <w:r w:rsidR="00F41E6A" w:rsidRPr="00E63DA3">
        <w:rPr>
          <w:rFonts w:ascii="Times New Roman" w:hAnsi="Times New Roman" w:cs="Times New Roman"/>
        </w:rPr>
        <w:fldChar w:fldCharType="separate"/>
      </w:r>
      <w:r w:rsidRPr="00E63DA3">
        <w:rPr>
          <w:rFonts w:ascii="Times New Roman" w:hAnsi="Times New Roman" w:cs="Times New Roman"/>
        </w:rPr>
        <w:t>(Prince 1998)</w:t>
      </w:r>
      <w:r w:rsidR="00F41E6A" w:rsidRPr="00E63DA3">
        <w:rPr>
          <w:rFonts w:ascii="Times New Roman" w:hAnsi="Times New Roman" w:cs="Times New Roman"/>
        </w:rPr>
        <w:fldChar w:fldCharType="end"/>
      </w:r>
      <w:r w:rsidRPr="00E63DA3">
        <w:rPr>
          <w:rFonts w:ascii="Times New Roman" w:hAnsi="Times New Roman" w:cs="Times New Roman"/>
        </w:rPr>
        <w:t xml:space="preserve">. Silt, which was deposited in glacial outwash across surfaces of the plains, made soils of this area suitable for agricultural activities. </w:t>
      </w:r>
    </w:p>
    <w:p w:rsidR="002B764C" w:rsidRPr="00854E06" w:rsidRDefault="002B764C" w:rsidP="002B764C">
      <w:pPr>
        <w:pStyle w:val="ListParagraph"/>
        <w:spacing w:before="120" w:after="120" w:line="480" w:lineRule="auto"/>
        <w:ind w:left="0" w:firstLine="720"/>
        <w:contextualSpacing w:val="0"/>
        <w:jc w:val="both"/>
        <w:rPr>
          <w:rFonts w:ascii="Times New Roman" w:hAnsi="Times New Roman" w:cs="Times New Roman"/>
          <w:sz w:val="24"/>
          <w:szCs w:val="24"/>
        </w:rPr>
      </w:pPr>
    </w:p>
    <w:p w:rsidR="002B764C" w:rsidRPr="00854E06" w:rsidRDefault="002B764C" w:rsidP="002B764C">
      <w:pPr>
        <w:pStyle w:val="ListParagraph"/>
        <w:spacing w:before="120" w:after="120" w:line="480" w:lineRule="auto"/>
        <w:ind w:left="0" w:firstLine="720"/>
        <w:contextualSpacing w:val="0"/>
        <w:jc w:val="both"/>
        <w:rPr>
          <w:rFonts w:ascii="Times New Roman" w:hAnsi="Times New Roman" w:cs="Times New Roman"/>
          <w:sz w:val="24"/>
          <w:szCs w:val="24"/>
        </w:rPr>
        <w:sectPr w:rsidR="002B764C" w:rsidRPr="00854E06" w:rsidSect="00301EAB">
          <w:pgSz w:w="12240" w:h="15840"/>
          <w:pgMar w:top="1440" w:right="1440" w:bottom="1440" w:left="1440" w:header="720" w:footer="720" w:gutter="0"/>
          <w:pgNumType w:start="1"/>
          <w:cols w:space="720"/>
          <w:docGrid w:linePitch="360"/>
        </w:sectPr>
      </w:pPr>
    </w:p>
    <w:p w:rsidR="002B764C" w:rsidRPr="00854E06" w:rsidRDefault="00654F9F" w:rsidP="002B764C">
      <w:pPr>
        <w:keepNext/>
        <w:spacing w:before="120" w:after="120" w:line="480" w:lineRule="auto"/>
        <w:jc w:val="center"/>
      </w:pPr>
      <w:r>
        <w:rPr>
          <w:rFonts w:ascii="Times New Roman" w:hAnsi="Times New Roman" w:cs="Times New Roman"/>
          <w:b/>
          <w:noProof/>
        </w:rPr>
        <w:lastRenderedPageBreak/>
        <mc:AlternateContent>
          <mc:Choice Requires="wps">
            <w:drawing>
              <wp:anchor distT="0" distB="0" distL="114300" distR="114300" simplePos="0" relativeHeight="251661312" behindDoc="0" locked="0" layoutInCell="1" allowOverlap="1" wp14:anchorId="54CF665F" wp14:editId="339727CC">
                <wp:simplePos x="0" y="0"/>
                <wp:positionH relativeFrom="column">
                  <wp:posOffset>4028536</wp:posOffset>
                </wp:positionH>
                <wp:positionV relativeFrom="paragraph">
                  <wp:posOffset>2820838</wp:posOffset>
                </wp:positionV>
                <wp:extent cx="1707540" cy="2311879"/>
                <wp:effectExtent l="0" t="0" r="26035" b="31750"/>
                <wp:wrapNone/>
                <wp:docPr id="38"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07540" cy="2311879"/>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26"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7.2pt,222.1pt" to="451.65pt,40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" strokecolor="black [3213]">
                <o:lock v:ext="edit" shapetype="f"/>
              </v:line>
            </w:pict>
          </mc:Fallback>
        </mc:AlternateContent>
      </w:r>
      <w:r>
        <w:rPr>
          <w:rFonts w:ascii="Times New Roman" w:hAnsi="Times New Roman" w:cs="Times New Roman"/>
          <w:b/>
          <w:noProof/>
        </w:rPr>
        <mc:AlternateContent>
          <mc:Choice Requires="wps">
            <w:drawing>
              <wp:anchor distT="0" distB="0" distL="114300" distR="114300" simplePos="0" relativeHeight="251660288" behindDoc="0" locked="0" layoutInCell="1" allowOverlap="1" wp14:anchorId="48DE9C6B" wp14:editId="1F239083">
                <wp:simplePos x="0" y="0"/>
                <wp:positionH relativeFrom="column">
                  <wp:posOffset>4028440</wp:posOffset>
                </wp:positionH>
                <wp:positionV relativeFrom="paragraph">
                  <wp:posOffset>0</wp:posOffset>
                </wp:positionV>
                <wp:extent cx="1483360" cy="2174240"/>
                <wp:effectExtent l="0" t="0" r="21590" b="16510"/>
                <wp:wrapNone/>
                <wp:docPr id="37"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483360" cy="217424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 o:spid="_x0000_s1026" style="position:absolute;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7.2pt,0" to="434pt,17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" strokecolor="black [3213]">
                <o:lock v:ext="edit" shapetype="f"/>
              </v:line>
            </w:pict>
          </mc:Fallback>
        </mc:AlternateContent>
      </w:r>
      <w:r w:rsidRPr="00854E06">
        <w:rPr>
          <w:rFonts w:ascii="Times New Roman" w:hAnsi="Times New Roman" w:cs="Times New Roman"/>
          <w:b/>
          <w:noProof/>
        </w:rPr>
        <w:drawing>
          <wp:anchor distT="0" distB="0" distL="114300" distR="114300" simplePos="0" relativeHeight="251656704" behindDoc="0" locked="0" layoutInCell="1" allowOverlap="1" wp14:anchorId="326BAAB0" wp14:editId="677FE525">
            <wp:simplePos x="0" y="0"/>
            <wp:positionH relativeFrom="column">
              <wp:posOffset>350520</wp:posOffset>
            </wp:positionH>
            <wp:positionV relativeFrom="paragraph">
              <wp:posOffset>-1270</wp:posOffset>
            </wp:positionV>
            <wp:extent cx="3674745" cy="5135245"/>
            <wp:effectExtent l="57150" t="57150" r="116205" b="1225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7_map_mainstate.jpg"/>
                    <pic:cNvPicPr/>
                  </pic:nvPicPr>
                  <pic:blipFill rotWithShape="1">
                    <a:blip r:embed="rId11">
                      <a:extLst>
                        <a:ext uri="{28A0092B-C50C-407E-A947-70E740481C1C}">
                          <a14:useLocalDpi xmlns:a14="http://schemas.microsoft.com/office/drawing/2010/main" val="0"/>
                        </a:ext>
                      </a:extLst>
                    </a:blip>
                    <a:srcRect r="36794"/>
                    <a:stretch/>
                  </pic:blipFill>
                  <pic:spPr bwMode="auto">
                    <a:xfrm>
                      <a:off x="0" y="0"/>
                      <a:ext cx="3674745" cy="5135245"/>
                    </a:xfrm>
                    <a:prstGeom prst="rect">
                      <a:avLst/>
                    </a:prstGeom>
                    <a:ln>
                      <a:solidFill>
                        <a:schemeClr val="tx1"/>
                      </a:solidFill>
                    </a:ln>
                    <a:effectLst>
                      <a:outerShdw blurRad="50800" dist="38100" dir="2700000" algn="tl" rotWithShape="0">
                        <a:prstClr val="black">
                          <a:alpha val="40000"/>
                        </a:prstClr>
                      </a:outerShdw>
                    </a:effectLst>
                    <a:extLst>
                      <a:ext uri="{53640926-AAD7-44D8-BBD7-CCE9431645EC}">
                        <a14:shadowObscured xmlns:a14="http://schemas.microsoft.com/office/drawing/2010/main"/>
                      </a:ext>
                    </a:extLst>
                  </pic:spPr>
                </pic:pic>
              </a:graphicData>
            </a:graphic>
          </wp:anchor>
        </w:drawing>
      </w:r>
      <w:r>
        <w:rPr>
          <w:noProof/>
        </w:rPr>
        <w:drawing>
          <wp:inline distT="0" distB="0" distL="0" distR="0" wp14:anchorId="3086BA06" wp14:editId="3B9B3C24">
            <wp:extent cx="6811031" cy="5367647"/>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7_map_mainstate2.jpg"/>
                    <pic:cNvPicPr/>
                  </pic:nvPicPr>
                  <pic:blipFill rotWithShape="1">
                    <a:blip r:embed="rId12">
                      <a:extLst>
                        <a:ext uri="{28A0092B-C50C-407E-A947-70E740481C1C}">
                          <a14:useLocalDpi xmlns:a14="http://schemas.microsoft.com/office/drawing/2010/main" val="0"/>
                        </a:ext>
                      </a:extLst>
                    </a:blip>
                    <a:srcRect l="3906" t="7471" r="9677" b="4395"/>
                    <a:stretch/>
                  </pic:blipFill>
                  <pic:spPr bwMode="auto">
                    <a:xfrm>
                      <a:off x="0" y="0"/>
                      <a:ext cx="6824047" cy="5377905"/>
                    </a:xfrm>
                    <a:prstGeom prst="rect">
                      <a:avLst/>
                    </a:prstGeom>
                    <a:ln>
                      <a:noFill/>
                    </a:ln>
                    <a:extLst>
                      <a:ext uri="{53640926-AAD7-44D8-BBD7-CCE9431645EC}">
                        <a14:shadowObscured xmlns:a14="http://schemas.microsoft.com/office/drawing/2010/main"/>
                      </a:ext>
                    </a:extLst>
                  </pic:spPr>
                </pic:pic>
              </a:graphicData>
            </a:graphic>
          </wp:inline>
        </w:drawing>
      </w:r>
    </w:p>
    <w:p w:rsidR="002B764C" w:rsidRPr="00854E06" w:rsidRDefault="002B764C" w:rsidP="008D23E0">
      <w:pPr>
        <w:pStyle w:val="Caption"/>
        <w:jc w:val="center"/>
        <w:rPr>
          <w:rFonts w:cstheme="majorBidi"/>
          <w:b w:val="0"/>
          <w:color w:val="auto"/>
          <w:sz w:val="24"/>
          <w:szCs w:val="24"/>
        </w:rPr>
      </w:pPr>
      <w:bookmarkStart w:id="23" w:name="_Toc387129041"/>
      <w:bookmarkStart w:id="24" w:name="_Toc393799581"/>
      <w:proofErr w:type="gramStart"/>
      <w:r w:rsidRPr="00854E06">
        <w:rPr>
          <w:rFonts w:cstheme="majorBidi"/>
          <w:color w:val="auto"/>
          <w:sz w:val="24"/>
          <w:szCs w:val="24"/>
        </w:rPr>
        <w:t xml:space="preserve">Figure </w:t>
      </w:r>
      <w:r w:rsidR="007C1325" w:rsidRPr="00854E06">
        <w:rPr>
          <w:rFonts w:cstheme="majorBidi"/>
          <w:color w:val="auto"/>
          <w:sz w:val="24"/>
          <w:szCs w:val="24"/>
        </w:rPr>
        <w:t>3</w:t>
      </w:r>
      <w:r w:rsidR="0035342E" w:rsidRPr="00854E06">
        <w:rPr>
          <w:rFonts w:cstheme="majorBidi"/>
          <w:color w:val="auto"/>
          <w:sz w:val="24"/>
          <w:szCs w:val="24"/>
        </w:rPr>
        <w:noBreakHyphen/>
      </w:r>
      <w:r w:rsidR="00F41E6A" w:rsidRPr="00854E06">
        <w:rPr>
          <w:rFonts w:cstheme="majorBidi"/>
          <w:color w:val="auto"/>
          <w:sz w:val="24"/>
          <w:szCs w:val="24"/>
        </w:rPr>
        <w:fldChar w:fldCharType="begin"/>
      </w:r>
      <w:r w:rsidR="0035342E" w:rsidRPr="00854E06">
        <w:rPr>
          <w:rFonts w:cstheme="majorBidi"/>
          <w:color w:val="auto"/>
          <w:sz w:val="24"/>
          <w:szCs w:val="24"/>
        </w:rPr>
        <w:instrText xml:space="preserve"> SEQ Figure \* ARABIC \s 1 </w:instrText>
      </w:r>
      <w:r w:rsidR="00F41E6A" w:rsidRPr="00854E06">
        <w:rPr>
          <w:rFonts w:cstheme="majorBidi"/>
          <w:color w:val="auto"/>
          <w:sz w:val="24"/>
          <w:szCs w:val="24"/>
        </w:rPr>
        <w:fldChar w:fldCharType="separate"/>
      </w:r>
      <w:r w:rsidR="008E2F67">
        <w:rPr>
          <w:rFonts w:cstheme="majorBidi"/>
          <w:noProof/>
          <w:color w:val="auto"/>
          <w:sz w:val="24"/>
          <w:szCs w:val="24"/>
        </w:rPr>
        <w:t>1</w:t>
      </w:r>
      <w:r w:rsidR="00F41E6A" w:rsidRPr="00854E06">
        <w:rPr>
          <w:rFonts w:cstheme="majorBidi"/>
          <w:color w:val="auto"/>
          <w:sz w:val="24"/>
          <w:szCs w:val="24"/>
        </w:rPr>
        <w:fldChar w:fldCharType="end"/>
      </w:r>
      <w:r w:rsidRPr="00854E06">
        <w:rPr>
          <w:rFonts w:cstheme="majorBidi"/>
          <w:noProof/>
          <w:color w:val="auto"/>
          <w:sz w:val="24"/>
          <w:szCs w:val="24"/>
        </w:rPr>
        <w:t>.</w:t>
      </w:r>
      <w:proofErr w:type="gramEnd"/>
      <w:r w:rsidRPr="00854E06">
        <w:rPr>
          <w:rFonts w:cstheme="majorBidi"/>
          <w:noProof/>
          <w:color w:val="auto"/>
          <w:sz w:val="24"/>
          <w:szCs w:val="24"/>
        </w:rPr>
        <w:t xml:space="preserve"> The Upper Mississippi River Basin</w:t>
      </w:r>
      <w:bookmarkEnd w:id="23"/>
      <w:bookmarkEnd w:id="24"/>
    </w:p>
    <w:p w:rsidR="002B764C" w:rsidRPr="00854E06" w:rsidRDefault="002B764C" w:rsidP="002B764C">
      <w:pPr>
        <w:spacing w:before="120" w:after="120" w:line="480" w:lineRule="auto"/>
        <w:jc w:val="both"/>
        <w:rPr>
          <w:rFonts w:ascii="Times New Roman" w:hAnsi="Times New Roman" w:cs="Times New Roman"/>
          <w:b/>
        </w:rPr>
        <w:sectPr w:rsidR="002B764C" w:rsidRPr="00854E06">
          <w:pgSz w:w="15840" w:h="12240" w:orient="landscape" w:code="1"/>
          <w:pgMar w:top="1440" w:right="1440" w:bottom="1440" w:left="1440" w:header="720" w:footer="720" w:gutter="0"/>
          <w:cols w:space="720"/>
          <w:docGrid w:linePitch="360"/>
        </w:sectPr>
      </w:pPr>
    </w:p>
    <w:tbl>
      <w:tblPr>
        <w:tblW w:w="0" w:type="auto"/>
        <w:tblLook w:val="04A0" w:firstRow="1" w:lastRow="0" w:firstColumn="1" w:lastColumn="0" w:noHBand="0" w:noVBand="1"/>
      </w:tblPr>
      <w:tblGrid>
        <w:gridCol w:w="6354"/>
        <w:gridCol w:w="6354"/>
      </w:tblGrid>
      <w:tr w:rsidR="002B764C" w:rsidRPr="00854E06">
        <w:tc>
          <w:tcPr>
            <w:tcW w:w="6354" w:type="dxa"/>
          </w:tcPr>
          <w:p w:rsidR="00A42351" w:rsidRPr="00854E06" w:rsidRDefault="00854130" w:rsidP="00A42351">
            <w:pPr>
              <w:pStyle w:val="ListParagraph"/>
              <w:keepNext/>
              <w:spacing w:after="120"/>
              <w:ind w:left="0"/>
              <w:jc w:val="center"/>
            </w:pPr>
            <w:r>
              <w:rPr>
                <w:noProof/>
              </w:rPr>
              <w:lastRenderedPageBreak/>
              <w:drawing>
                <wp:inline distT="0" distB="0" distL="0" distR="0" wp14:anchorId="4D5F0140" wp14:editId="50BFDBBA">
                  <wp:extent cx="3785045" cy="4910328"/>
                  <wp:effectExtent l="0" t="0" r="635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cip_reg7_map.jpg"/>
                          <pic:cNvPicPr/>
                        </pic:nvPicPr>
                        <pic:blipFill>
                          <a:blip r:embed="rId13">
                            <a:extLst>
                              <a:ext uri="{28A0092B-C50C-407E-A947-70E740481C1C}">
                                <a14:useLocalDpi xmlns:a14="http://schemas.microsoft.com/office/drawing/2010/main" val="0"/>
                              </a:ext>
                            </a:extLst>
                          </a:blip>
                          <a:stretch>
                            <a:fillRect/>
                          </a:stretch>
                        </pic:blipFill>
                        <pic:spPr>
                          <a:xfrm>
                            <a:off x="0" y="0"/>
                            <a:ext cx="3785045" cy="4910328"/>
                          </a:xfrm>
                          <a:prstGeom prst="rect">
                            <a:avLst/>
                          </a:prstGeom>
                        </pic:spPr>
                      </pic:pic>
                    </a:graphicData>
                  </a:graphic>
                </wp:inline>
              </w:drawing>
            </w:r>
          </w:p>
          <w:p w:rsidR="002B764C" w:rsidRPr="00854E06" w:rsidRDefault="00A42351" w:rsidP="008D23E0">
            <w:pPr>
              <w:pStyle w:val="Caption"/>
              <w:jc w:val="center"/>
              <w:rPr>
                <w:rFonts w:cstheme="majorBidi"/>
                <w:b w:val="0"/>
                <w:bCs w:val="0"/>
                <w:color w:val="auto"/>
                <w:sz w:val="24"/>
                <w:szCs w:val="24"/>
              </w:rPr>
            </w:pPr>
            <w:bookmarkStart w:id="25" w:name="_Toc387129042"/>
            <w:bookmarkStart w:id="26" w:name="_Toc393799582"/>
            <w:r w:rsidRPr="00854E06">
              <w:rPr>
                <w:rFonts w:cstheme="majorBidi"/>
                <w:color w:val="auto"/>
                <w:sz w:val="24"/>
                <w:szCs w:val="24"/>
              </w:rPr>
              <w:t xml:space="preserve">Figure </w:t>
            </w:r>
            <w:r w:rsidR="008D23E0" w:rsidRPr="00854E06">
              <w:rPr>
                <w:rFonts w:cstheme="majorBidi"/>
                <w:color w:val="auto"/>
                <w:sz w:val="24"/>
                <w:szCs w:val="24"/>
              </w:rPr>
              <w:t>3</w:t>
            </w:r>
            <w:r w:rsidR="0035342E" w:rsidRPr="00854E06">
              <w:rPr>
                <w:rFonts w:cstheme="majorBidi"/>
                <w:color w:val="auto"/>
                <w:sz w:val="24"/>
                <w:szCs w:val="24"/>
              </w:rPr>
              <w:noBreakHyphen/>
            </w:r>
            <w:r w:rsidR="00F41E6A" w:rsidRPr="00854E06">
              <w:rPr>
                <w:rFonts w:cstheme="majorBidi"/>
                <w:color w:val="auto"/>
                <w:sz w:val="24"/>
                <w:szCs w:val="24"/>
              </w:rPr>
              <w:fldChar w:fldCharType="begin"/>
            </w:r>
            <w:r w:rsidR="0035342E" w:rsidRPr="00854E06">
              <w:rPr>
                <w:rFonts w:cstheme="majorBidi"/>
                <w:color w:val="auto"/>
                <w:sz w:val="24"/>
                <w:szCs w:val="24"/>
              </w:rPr>
              <w:instrText xml:space="preserve"> SEQ Figure \* ARABIC \s 1 </w:instrText>
            </w:r>
            <w:r w:rsidR="00F41E6A" w:rsidRPr="00854E06">
              <w:rPr>
                <w:rFonts w:cstheme="majorBidi"/>
                <w:color w:val="auto"/>
                <w:sz w:val="24"/>
                <w:szCs w:val="24"/>
              </w:rPr>
              <w:fldChar w:fldCharType="separate"/>
            </w:r>
            <w:r w:rsidR="008E2F67">
              <w:rPr>
                <w:rFonts w:cstheme="majorBidi"/>
                <w:noProof/>
                <w:color w:val="auto"/>
                <w:sz w:val="24"/>
                <w:szCs w:val="24"/>
              </w:rPr>
              <w:t>2</w:t>
            </w:r>
            <w:r w:rsidR="00F41E6A" w:rsidRPr="00854E06">
              <w:rPr>
                <w:rFonts w:cstheme="majorBidi"/>
                <w:color w:val="auto"/>
                <w:sz w:val="24"/>
                <w:szCs w:val="24"/>
              </w:rPr>
              <w:fldChar w:fldCharType="end"/>
            </w:r>
            <w:r w:rsidRPr="00854E06">
              <w:rPr>
                <w:rFonts w:cstheme="majorBidi"/>
                <w:color w:val="auto"/>
                <w:sz w:val="24"/>
                <w:szCs w:val="24"/>
              </w:rPr>
              <w:t>. Physiographic regions of the UMRB</w:t>
            </w:r>
            <w:bookmarkEnd w:id="25"/>
            <w:bookmarkEnd w:id="26"/>
          </w:p>
          <w:p w:rsidR="002B764C" w:rsidRPr="00854E06" w:rsidRDefault="00A42351" w:rsidP="002B764C">
            <w:pPr>
              <w:pStyle w:val="ListParagraph"/>
              <w:spacing w:after="600"/>
              <w:ind w:left="0"/>
              <w:jc w:val="center"/>
              <w:rPr>
                <w:rFonts w:ascii="Times New Roman" w:hAnsi="Times New Roman" w:cs="Times New Roman"/>
                <w:b/>
                <w:bCs/>
                <w:sz w:val="24"/>
                <w:szCs w:val="24"/>
              </w:rPr>
            </w:pPr>
            <w:r w:rsidRPr="00854E06">
              <w:rPr>
                <w:rFonts w:ascii="Times New Roman" w:hAnsi="Times New Roman" w:cs="Times New Roman"/>
                <w:b/>
                <w:bCs/>
                <w:sz w:val="24"/>
                <w:szCs w:val="24"/>
              </w:rPr>
              <w:t xml:space="preserve"> </w:t>
            </w:r>
            <w:r w:rsidR="002B764C" w:rsidRPr="00854E06">
              <w:rPr>
                <w:rFonts w:ascii="Times New Roman" w:hAnsi="Times New Roman" w:cs="Times New Roman"/>
                <w:b/>
                <w:bCs/>
                <w:sz w:val="24"/>
                <w:szCs w:val="24"/>
              </w:rPr>
              <w:t xml:space="preserve">(Source: </w:t>
            </w:r>
            <w:r w:rsidR="00F41E6A" w:rsidRPr="00854E06">
              <w:rPr>
                <w:rFonts w:ascii="Times New Roman" w:hAnsi="Times New Roman" w:cs="Times New Roman"/>
                <w:b/>
                <w:bCs/>
                <w:sz w:val="24"/>
                <w:szCs w:val="24"/>
              </w:rPr>
              <w:fldChar w:fldCharType="begin"/>
            </w:r>
            <w:r w:rsidR="003907AB" w:rsidRPr="00854E06">
              <w:rPr>
                <w:rFonts w:ascii="Times New Roman" w:hAnsi="Times New Roman" w:cs="Times New Roman"/>
                <w:b/>
                <w:bCs/>
                <w:sz w:val="24"/>
                <w:szCs w:val="24"/>
              </w:rPr>
              <w:instrText xml:space="preserve"> ADDIN ZOTERO_ITEM CSL_CITATION {"citationID":"ZqnwDIos","properties":{"formattedCitation":"(USGS 2004)","plainCitation":"(USGS 2004)"},"citationItems":[{"id":443,"uris":["http://zotero.org/users/1706519/items/7M8V9QPX"],"uri":["http://zotero.org/users/1706519/items/7M8V9QPX"],"itemData":{"id":443,"type":"article","title":"Physiographic divisions of the conterminous U. S. Dataset","URL":"http://water.usgs.gov/GIS/metadata/usgswrd/XML/physio.xml","author":[{"family":"USGS","given":""}],"issued":{"date-parts":[["2004"]]},"accessed":{"date-parts":[["2014",2,12]]}}}],"schema":"https://github.com/citation-style-language/schema/raw/master/csl-citation.json"} </w:instrText>
            </w:r>
            <w:r w:rsidR="00F41E6A" w:rsidRPr="00854E06">
              <w:rPr>
                <w:rFonts w:ascii="Times New Roman" w:hAnsi="Times New Roman" w:cs="Times New Roman"/>
                <w:b/>
                <w:bCs/>
                <w:sz w:val="24"/>
                <w:szCs w:val="24"/>
              </w:rPr>
              <w:fldChar w:fldCharType="separate"/>
            </w:r>
            <w:r w:rsidR="002B764C" w:rsidRPr="00854E06">
              <w:rPr>
                <w:rFonts w:ascii="Times New Roman" w:hAnsi="Times New Roman" w:cs="Times New Roman"/>
                <w:b/>
                <w:bCs/>
                <w:sz w:val="24"/>
              </w:rPr>
              <w:t>USGS 2004)</w:t>
            </w:r>
            <w:r w:rsidR="00F41E6A" w:rsidRPr="00854E06">
              <w:rPr>
                <w:rFonts w:ascii="Times New Roman" w:hAnsi="Times New Roman" w:cs="Times New Roman"/>
                <w:b/>
                <w:bCs/>
                <w:sz w:val="24"/>
                <w:szCs w:val="24"/>
              </w:rPr>
              <w:fldChar w:fldCharType="end"/>
            </w:r>
          </w:p>
        </w:tc>
        <w:tc>
          <w:tcPr>
            <w:tcW w:w="6354" w:type="dxa"/>
          </w:tcPr>
          <w:p w:rsidR="00A42351" w:rsidRPr="00854E06" w:rsidRDefault="00854130" w:rsidP="00A42351">
            <w:pPr>
              <w:pStyle w:val="ListParagraph"/>
              <w:keepNext/>
              <w:spacing w:after="120"/>
              <w:ind w:left="0"/>
              <w:jc w:val="center"/>
            </w:pPr>
            <w:r>
              <w:rPr>
                <w:noProof/>
              </w:rPr>
              <w:drawing>
                <wp:inline distT="0" distB="0" distL="0" distR="0" wp14:anchorId="6B5D427D" wp14:editId="73CCA008">
                  <wp:extent cx="3794487" cy="4910328"/>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v_reg7_map [Converted].jpg"/>
                          <pic:cNvPicPr/>
                        </pic:nvPicPr>
                        <pic:blipFill>
                          <a:blip r:embed="rId14">
                            <a:extLst>
                              <a:ext uri="{28A0092B-C50C-407E-A947-70E740481C1C}">
                                <a14:useLocalDpi xmlns:a14="http://schemas.microsoft.com/office/drawing/2010/main" val="0"/>
                              </a:ext>
                            </a:extLst>
                          </a:blip>
                          <a:stretch>
                            <a:fillRect/>
                          </a:stretch>
                        </pic:blipFill>
                        <pic:spPr>
                          <a:xfrm>
                            <a:off x="0" y="0"/>
                            <a:ext cx="3794487" cy="4910328"/>
                          </a:xfrm>
                          <a:prstGeom prst="rect">
                            <a:avLst/>
                          </a:prstGeom>
                        </pic:spPr>
                      </pic:pic>
                    </a:graphicData>
                  </a:graphic>
                </wp:inline>
              </w:drawing>
            </w:r>
          </w:p>
          <w:p w:rsidR="002B764C" w:rsidRPr="00854E06" w:rsidRDefault="00A42351" w:rsidP="008D23E0">
            <w:pPr>
              <w:pStyle w:val="Caption"/>
              <w:jc w:val="center"/>
              <w:rPr>
                <w:rFonts w:cstheme="majorBidi"/>
                <w:color w:val="auto"/>
                <w:sz w:val="24"/>
                <w:szCs w:val="24"/>
              </w:rPr>
            </w:pPr>
            <w:bookmarkStart w:id="27" w:name="_Toc387129043"/>
            <w:bookmarkStart w:id="28" w:name="_Toc393799583"/>
            <w:r w:rsidRPr="00854E06">
              <w:rPr>
                <w:rFonts w:cstheme="majorBidi"/>
                <w:color w:val="auto"/>
                <w:sz w:val="24"/>
                <w:szCs w:val="24"/>
              </w:rPr>
              <w:t xml:space="preserve">Figure </w:t>
            </w:r>
            <w:r w:rsidR="008D23E0" w:rsidRPr="00854E06">
              <w:rPr>
                <w:rFonts w:cstheme="majorBidi"/>
                <w:color w:val="auto"/>
                <w:sz w:val="24"/>
                <w:szCs w:val="24"/>
              </w:rPr>
              <w:t>3</w:t>
            </w:r>
            <w:r w:rsidR="0035342E" w:rsidRPr="00854E06">
              <w:rPr>
                <w:rFonts w:cstheme="majorBidi"/>
                <w:color w:val="auto"/>
                <w:sz w:val="24"/>
                <w:szCs w:val="24"/>
              </w:rPr>
              <w:noBreakHyphen/>
            </w:r>
            <w:r w:rsidR="00F41E6A" w:rsidRPr="00854E06">
              <w:rPr>
                <w:rFonts w:cstheme="majorBidi"/>
                <w:color w:val="auto"/>
                <w:sz w:val="24"/>
                <w:szCs w:val="24"/>
              </w:rPr>
              <w:fldChar w:fldCharType="begin"/>
            </w:r>
            <w:r w:rsidR="0035342E" w:rsidRPr="00854E06">
              <w:rPr>
                <w:rFonts w:cstheme="majorBidi"/>
                <w:color w:val="auto"/>
                <w:sz w:val="24"/>
                <w:szCs w:val="24"/>
              </w:rPr>
              <w:instrText xml:space="preserve"> SEQ Figure \* ARABIC \s 1 </w:instrText>
            </w:r>
            <w:r w:rsidR="00F41E6A" w:rsidRPr="00854E06">
              <w:rPr>
                <w:rFonts w:cstheme="majorBidi"/>
                <w:color w:val="auto"/>
                <w:sz w:val="24"/>
                <w:szCs w:val="24"/>
              </w:rPr>
              <w:fldChar w:fldCharType="separate"/>
            </w:r>
            <w:r w:rsidR="008E2F67">
              <w:rPr>
                <w:rFonts w:cstheme="majorBidi"/>
                <w:noProof/>
                <w:color w:val="auto"/>
                <w:sz w:val="24"/>
                <w:szCs w:val="24"/>
              </w:rPr>
              <w:t>3</w:t>
            </w:r>
            <w:r w:rsidR="00F41E6A" w:rsidRPr="00854E06">
              <w:rPr>
                <w:rFonts w:cstheme="majorBidi"/>
                <w:color w:val="auto"/>
                <w:sz w:val="24"/>
                <w:szCs w:val="24"/>
              </w:rPr>
              <w:fldChar w:fldCharType="end"/>
            </w:r>
            <w:r w:rsidRPr="00854E06">
              <w:rPr>
                <w:rFonts w:cstheme="majorBidi"/>
                <w:color w:val="auto"/>
                <w:sz w:val="24"/>
                <w:szCs w:val="24"/>
              </w:rPr>
              <w:t>. Elevation in the UMRB</w:t>
            </w:r>
            <w:bookmarkEnd w:id="27"/>
            <w:bookmarkEnd w:id="28"/>
          </w:p>
          <w:p w:rsidR="002B764C" w:rsidRPr="00854E06" w:rsidRDefault="002B764C" w:rsidP="00A42351">
            <w:pPr>
              <w:pStyle w:val="ListParagraph"/>
              <w:spacing w:after="600"/>
              <w:ind w:left="43"/>
              <w:jc w:val="center"/>
              <w:rPr>
                <w:rFonts w:ascii="Times New Roman" w:hAnsi="Times New Roman" w:cs="Times New Roman"/>
                <w:b/>
                <w:bCs/>
                <w:sz w:val="24"/>
                <w:szCs w:val="24"/>
              </w:rPr>
            </w:pPr>
            <w:r w:rsidRPr="00854E06">
              <w:rPr>
                <w:rFonts w:ascii="Times New Roman" w:hAnsi="Times New Roman" w:cs="Times New Roman"/>
                <w:b/>
                <w:bCs/>
                <w:sz w:val="24"/>
                <w:szCs w:val="24"/>
              </w:rPr>
              <w:t xml:space="preserve">(Source: </w:t>
            </w:r>
            <w:r w:rsidR="00F41E6A" w:rsidRPr="00854E06">
              <w:rPr>
                <w:rFonts w:ascii="Times New Roman" w:hAnsi="Times New Roman" w:cs="Times New Roman"/>
                <w:b/>
                <w:bCs/>
                <w:sz w:val="24"/>
                <w:szCs w:val="24"/>
              </w:rPr>
              <w:fldChar w:fldCharType="begin"/>
            </w:r>
            <w:r w:rsidRPr="00854E06">
              <w:rPr>
                <w:rFonts w:ascii="Times New Roman" w:hAnsi="Times New Roman" w:cs="Times New Roman"/>
                <w:b/>
                <w:bCs/>
                <w:sz w:val="24"/>
                <w:szCs w:val="24"/>
              </w:rPr>
              <w:instrText xml:space="preserve"> ADDIN ZOTERO_ITEM CSL_CITATION {"citationID":"IE4eMkMq","properties":{"formattedCitation":"(USGS 2006)","plainCitation":"(USGS 2006)"},"citationItems":[{"id":454,"uris":["http://zotero.org/users/1706519/items/NMW7ZSX9"],"uri":["http://zotero.org/users/1706519/items/NMW7ZSX9"],"itemData":{"id":454,"type":"webpage","title":"NHD Plus - NHDPlus Version 1 Dataset","URL":"http://www.horizon-systems.com/NHDPlus/NHDPlusV1_home.php","author":[{"family":"USGS","given":""}],"issued":{"date-parts":[["2006"]]},"accessed":{"date-parts":[["2014",2,12]]}}}],"schema":"https://github.com/citation-style-language/schema/raw/master/csl-citation.json"} </w:instrText>
            </w:r>
            <w:r w:rsidR="00F41E6A" w:rsidRPr="00854E06">
              <w:rPr>
                <w:rFonts w:ascii="Times New Roman" w:hAnsi="Times New Roman" w:cs="Times New Roman"/>
                <w:b/>
                <w:bCs/>
                <w:sz w:val="24"/>
                <w:szCs w:val="24"/>
              </w:rPr>
              <w:fldChar w:fldCharType="separate"/>
            </w:r>
            <w:r w:rsidRPr="00854E06">
              <w:rPr>
                <w:rFonts w:ascii="Times New Roman" w:hAnsi="Times New Roman" w:cs="Times New Roman"/>
                <w:b/>
                <w:bCs/>
                <w:sz w:val="24"/>
              </w:rPr>
              <w:t>USGS 2006)</w:t>
            </w:r>
            <w:r w:rsidR="00F41E6A" w:rsidRPr="00854E06">
              <w:rPr>
                <w:rFonts w:ascii="Times New Roman" w:hAnsi="Times New Roman" w:cs="Times New Roman"/>
                <w:b/>
                <w:bCs/>
                <w:sz w:val="24"/>
                <w:szCs w:val="24"/>
              </w:rPr>
              <w:fldChar w:fldCharType="end"/>
            </w:r>
          </w:p>
        </w:tc>
      </w:tr>
    </w:tbl>
    <w:p w:rsidR="002B764C" w:rsidRPr="00854E06" w:rsidRDefault="002B764C" w:rsidP="002B764C">
      <w:pPr>
        <w:spacing w:before="120" w:after="120" w:line="480" w:lineRule="auto"/>
        <w:jc w:val="both"/>
        <w:rPr>
          <w:rFonts w:ascii="Times New Roman" w:hAnsi="Times New Roman" w:cs="Times New Roman"/>
          <w:b/>
        </w:rPr>
        <w:sectPr w:rsidR="002B764C" w:rsidRPr="00854E06">
          <w:pgSz w:w="15840" w:h="12240" w:orient="landscape" w:code="1"/>
          <w:pgMar w:top="1440" w:right="1440" w:bottom="1440" w:left="1440" w:header="720" w:footer="720" w:gutter="0"/>
          <w:cols w:space="720"/>
          <w:docGrid w:linePitch="360"/>
        </w:sectPr>
      </w:pPr>
    </w:p>
    <w:p w:rsidR="002B764C" w:rsidRPr="00523FFD" w:rsidRDefault="002B764C" w:rsidP="00372367">
      <w:pPr>
        <w:pStyle w:val="Heading2"/>
        <w:numPr>
          <w:ilvl w:val="0"/>
          <w:numId w:val="41"/>
        </w:numPr>
        <w:ind w:left="360"/>
      </w:pPr>
      <w:bookmarkStart w:id="29" w:name="_Toc394525556"/>
      <w:r w:rsidRPr="00523FFD">
        <w:lastRenderedPageBreak/>
        <w:t>Climate</w:t>
      </w:r>
      <w:bookmarkEnd w:id="29"/>
    </w:p>
    <w:p w:rsidR="00E63DA3" w:rsidRPr="00E63DA3" w:rsidRDefault="00E63DA3" w:rsidP="00E63DA3">
      <w:pPr>
        <w:spacing w:before="120" w:after="120" w:line="480" w:lineRule="auto"/>
        <w:ind w:firstLine="720"/>
        <w:jc w:val="both"/>
        <w:rPr>
          <w:rFonts w:ascii="Times New Roman" w:hAnsi="Times New Roman" w:cs="Times New Roman"/>
        </w:rPr>
      </w:pPr>
      <w:r w:rsidRPr="00E63DA3">
        <w:rPr>
          <w:rFonts w:ascii="Times New Roman" w:hAnsi="Times New Roman" w:cs="Times New Roman"/>
        </w:rPr>
        <w:t xml:space="preserve">Located in inland North America, the UMRB has a </w:t>
      </w:r>
      <w:proofErr w:type="spellStart"/>
      <w:r w:rsidRPr="00E63DA3">
        <w:rPr>
          <w:rFonts w:ascii="Times New Roman" w:hAnsi="Times New Roman" w:cs="Times New Roman"/>
        </w:rPr>
        <w:t>subhumid</w:t>
      </w:r>
      <w:proofErr w:type="spellEnd"/>
      <w:r w:rsidRPr="00E63DA3">
        <w:rPr>
          <w:rFonts w:ascii="Times New Roman" w:hAnsi="Times New Roman" w:cs="Times New Roman"/>
        </w:rPr>
        <w:t xml:space="preserve"> continental climate </w:t>
      </w:r>
      <w:r w:rsidR="00F41E6A"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{"citationID":"5C3gR2TZ","properties":{"formattedCitation":"(Lorenz et al. 2009)","plainCitation":"(Lorenz et al. 2009)"},"citationItems":[{"id":72,"uris":["http://zotero.org/users/1706519/items/GMRJAIK2"],"uri":["http://zotero.org/users/1706519/items/GMRJAIK2"],"itemData":{"id":72,"type":"report","title":"USGS Scientific Investigations Report 2008–5213: Trends in Streamflow and Nutrient and Suspended-Sediment Concentrations and Loads in the Upper Mississippi, Ohio, Red, and Great Lakes River Basins, 1975–2004","page":"81","abstract":"Many actions have been taken to reduce nutrient and suspended-sediment concentrations and the amount of nutrients and sediment transported in streams as a result of the Clean Water Act and subsequent regulations. This report assesses how nutrient and suspended-sediment concentrations and loads in selected streams have changed during recent years to determine if these actions have been successful.\n\nFlow-adjusted and overall trends in concentrations and trends in loads from 1993 to 2004 were computed for total nitrogen, dissolved ammonia, total organic nitrogen plus ammonia, dissolved nitrite plus nitrate, total phosphorus, dissolved phosphorus, total suspended material (total suspended solids or suspended sediment), and total suspended sediment for 49 sites in the Upper Mississippi, Ohio, Red, and Great Lakes Basins. Changes in total nitrogen, total phosphorus, and total suspended-material loads were examined from 1975 to 2003 at six sites to provide a longer term context for the data examined from 1993 to 2004.\n\nFlow-adjusted trends in total nitrogen concentrations at 19 of 24 sites showed tendency toward increasing concentrations, and overall trends in total nitrogen concentrations at 16 of the 24 sites showed a general tendency toward increasing concentrations. The trends in these flow-adjusted total nitrogen concentrations are related to the changes in fertilizer nitrogen applications. Flow-adjusted trends in dissolved ammonia concentrations from 1993 to 2004 showed a widespread tendency toward decreasing concentrations. The widespread, downward trends in dissolved ammonia concentrations indicate that some of the ammonia reduction goals of the Clean Water Act are being met. Flow-adjusted and overall trends in total organic plus ammonia nitrogen concentrations from 1993 to 2004 did not show a distinct spatial pattern. Flow-adjusted and overall trends in dissolved nitrite plus nitrate concentrations from 1993 to 2004 also did not show a distinct spatial pattern. Flow-adjusted trends in total phosphorus concentrations were upward at 24 of 40 sites. Overall trends in total phosphorus concentrations were mixed and showed no spatial pattern. Flow-adjusted and overall trends in dissolved phosphorus concentrations were consistently downward at all of the sites in the eastern part of the basins studied. The reduction in phosphorus fertilizer use and manure production east of the Mississippi River could explain most of the observed trends in dissolved phosphorus.\n\nFlow-adjusted trends in total suspended-material concentrations showed distinct spatial patterns of increasing tendencies throughout the western part of the basins studied and in Illinois and decreasing concentrations throughout most of Wisconsin, Iowa, and in the eastern part of the basins studied. Flow-adjusted trends in total phosphorus were strongly related to the flow-adjusted trends in suspended materials. The trends in the flow-adjusted suspended-sediment concentrations from 1993 to 2004 resembled those for suspended materials.\n\nThe long-term, nonmonotonic trends in total nitrogen, total phosphorus, and suspended-material loads for 1975 to 2003 were described by local regression, LOESS, smoothing for six sites. The statistical significance of those trends cannot be determined; however, the long-term changes found for annual streamflow and load data indicate that the monotonic trends from 1993 to 2004 should not be extrapolated backward in time.","URL":"http://pubs.usgs.gov/sir/2008/5213/","number":"2008-5213","author":[{"family":"Lorenz","given":"David L"},{"family":"Robertson","given":"Dale M."},{"family":"Hall","given":"David W."},{"family":"Saad","given":"David A."}],"issued":{"date-parts":[["2009"]]},"accessed":{"date-parts":[["2013",8,24]]}}}],"schema":"https://github.com/citation-style-language/schema/raw/master/csl-citation.json"} </w:instrText>
      </w:r>
      <w:r w:rsidR="00F41E6A" w:rsidRPr="00E63DA3">
        <w:rPr>
          <w:rFonts w:ascii="Times New Roman" w:hAnsi="Times New Roman" w:cs="Times New Roman"/>
        </w:rPr>
        <w:fldChar w:fldCharType="separate"/>
      </w:r>
      <w:r w:rsidRPr="00E63DA3">
        <w:rPr>
          <w:rFonts w:ascii="Times New Roman" w:hAnsi="Times New Roman" w:cs="Times New Roman"/>
        </w:rPr>
        <w:t>(Lorenz et al. 2009)</w:t>
      </w:r>
      <w:r w:rsidR="00F41E6A" w:rsidRPr="00E63DA3">
        <w:rPr>
          <w:rFonts w:ascii="Times New Roman" w:hAnsi="Times New Roman" w:cs="Times New Roman"/>
        </w:rPr>
        <w:fldChar w:fldCharType="end"/>
      </w:r>
      <w:r w:rsidRPr="00E63DA3">
        <w:rPr>
          <w:rFonts w:ascii="Times New Roman" w:hAnsi="Times New Roman" w:cs="Times New Roman"/>
        </w:rPr>
        <w:t xml:space="preserve">. In the northern sections, average monthly temperatures range from -12 </w:t>
      </w:r>
      <w:proofErr w:type="spellStart"/>
      <w:r w:rsidRPr="00E63DA3">
        <w:rPr>
          <w:rFonts w:ascii="Times New Roman" w:hAnsi="Times New Roman" w:cs="Times New Roman"/>
          <w:vertAlign w:val="superscript"/>
        </w:rPr>
        <w:t>o</w:t>
      </w:r>
      <w:r w:rsidRPr="00E63DA3">
        <w:rPr>
          <w:rFonts w:ascii="Times New Roman" w:hAnsi="Times New Roman" w:cs="Times New Roman"/>
        </w:rPr>
        <w:t>C</w:t>
      </w:r>
      <w:proofErr w:type="spellEnd"/>
      <w:r w:rsidRPr="00E63DA3">
        <w:rPr>
          <w:rFonts w:ascii="Times New Roman" w:hAnsi="Times New Roman" w:cs="Times New Roman"/>
        </w:rPr>
        <w:t xml:space="preserve"> in the winter to 18 </w:t>
      </w:r>
      <w:proofErr w:type="spellStart"/>
      <w:r w:rsidRPr="00E63DA3">
        <w:rPr>
          <w:rFonts w:ascii="Times New Roman" w:hAnsi="Times New Roman" w:cs="Times New Roman"/>
          <w:vertAlign w:val="superscript"/>
        </w:rPr>
        <w:t>o</w:t>
      </w:r>
      <w:r w:rsidRPr="00E63DA3">
        <w:rPr>
          <w:rFonts w:ascii="Times New Roman" w:hAnsi="Times New Roman" w:cs="Times New Roman"/>
        </w:rPr>
        <w:t>C</w:t>
      </w:r>
      <w:proofErr w:type="spellEnd"/>
      <w:r w:rsidRPr="00E63DA3">
        <w:rPr>
          <w:rFonts w:ascii="Times New Roman" w:hAnsi="Times New Roman" w:cs="Times New Roman"/>
        </w:rPr>
        <w:t xml:space="preserve"> in the summer. Meanwhile, the range of average monthly temperature, from winter to summer, is from 2 </w:t>
      </w:r>
      <w:proofErr w:type="spellStart"/>
      <w:r w:rsidRPr="00E63DA3">
        <w:rPr>
          <w:rFonts w:ascii="Times New Roman" w:hAnsi="Times New Roman" w:cs="Times New Roman"/>
          <w:vertAlign w:val="superscript"/>
        </w:rPr>
        <w:t>o</w:t>
      </w:r>
      <w:r w:rsidRPr="00E63DA3">
        <w:rPr>
          <w:rFonts w:ascii="Times New Roman" w:hAnsi="Times New Roman" w:cs="Times New Roman"/>
        </w:rPr>
        <w:t>C</w:t>
      </w:r>
      <w:proofErr w:type="spellEnd"/>
      <w:r w:rsidRPr="00E63DA3">
        <w:rPr>
          <w:rFonts w:ascii="Times New Roman" w:hAnsi="Times New Roman" w:cs="Times New Roman"/>
        </w:rPr>
        <w:t xml:space="preserve"> to 24 </w:t>
      </w:r>
      <w:proofErr w:type="spellStart"/>
      <w:r w:rsidRPr="00E63DA3">
        <w:rPr>
          <w:rFonts w:ascii="Times New Roman" w:hAnsi="Times New Roman" w:cs="Times New Roman"/>
          <w:vertAlign w:val="superscript"/>
        </w:rPr>
        <w:t>o</w:t>
      </w:r>
      <w:r w:rsidRPr="00E63DA3">
        <w:rPr>
          <w:rFonts w:ascii="Times New Roman" w:hAnsi="Times New Roman" w:cs="Times New Roman"/>
        </w:rPr>
        <w:t>C</w:t>
      </w:r>
      <w:proofErr w:type="spellEnd"/>
      <w:r w:rsidRPr="00E63DA3">
        <w:rPr>
          <w:rFonts w:ascii="Times New Roman" w:hAnsi="Times New Roman" w:cs="Times New Roman"/>
        </w:rPr>
        <w:t xml:space="preserve"> for southern sections </w:t>
      </w:r>
      <w:r w:rsidR="00F41E6A"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{"citationID":"oqLjSsuQ","properties":{"formattedCitation":"(Davinroy, Hendrickson, and Steffen 2006)","plainCitation":"(Davinroy, Hendrickson, and Steffen 2006)"},"citationItems":[{"id":38,"uris":["http://zotero.org/users/1706519/items/96BN98KH"],"uri":["http://zotero.org/users/1706519/items/96BN98KH"],"itemData":{"id":38,"type":"report","title":"Sedimentation in the Upper Mississippi River Basin","publisher":"US Army Corps of Engineers","publisher-place":"St. Louis District","page":"143","event-place":"St. Louis District","author":[{"family":"Davinroy","given":"Rob"},{"family":"Hendrickson","given":"Jon"},{"family":"Steffen","given":"Lyle"}],"issued":{"date-parts":[["2006",3]]}}}],"schema":"https://github.com/citation-style-language/schema/raw/master/csl-citation.json"} </w:instrText>
      </w:r>
      <w:r w:rsidR="00F41E6A" w:rsidRPr="00E63DA3">
        <w:rPr>
          <w:rFonts w:ascii="Times New Roman" w:hAnsi="Times New Roman" w:cs="Times New Roman"/>
        </w:rPr>
        <w:fldChar w:fldCharType="separate"/>
      </w:r>
      <w:r w:rsidRPr="00E63DA3">
        <w:rPr>
          <w:rFonts w:ascii="Times New Roman" w:hAnsi="Times New Roman" w:cs="Times New Roman"/>
        </w:rPr>
        <w:t>(Davinroy et al. 2006)</w:t>
      </w:r>
      <w:r w:rsidR="00F41E6A" w:rsidRPr="00E63DA3">
        <w:rPr>
          <w:rFonts w:ascii="Times New Roman" w:hAnsi="Times New Roman" w:cs="Times New Roman"/>
        </w:rPr>
        <w:fldChar w:fldCharType="end"/>
      </w:r>
      <w:r w:rsidRPr="00E63DA3">
        <w:rPr>
          <w:rFonts w:ascii="Times New Roman" w:hAnsi="Times New Roman" w:cs="Times New Roman"/>
        </w:rPr>
        <w:t xml:space="preserve">. </w:t>
      </w:r>
    </w:p>
    <w:p w:rsidR="00E63DA3" w:rsidRPr="00E63DA3" w:rsidRDefault="00E63DA3" w:rsidP="00E63DA3">
      <w:pPr>
        <w:spacing w:before="120" w:after="120" w:line="480" w:lineRule="auto"/>
        <w:ind w:firstLine="720"/>
        <w:jc w:val="both"/>
        <w:rPr>
          <w:rFonts w:ascii="Times New Roman" w:hAnsi="Times New Roman" w:cs="Times New Roman"/>
        </w:rPr>
      </w:pPr>
      <w:r w:rsidRPr="00E63DA3">
        <w:rPr>
          <w:rFonts w:ascii="Times New Roman" w:hAnsi="Times New Roman" w:cs="Times New Roman"/>
        </w:rPr>
        <w:t xml:space="preserve">Figure 3.4 shows the mean annual precipitation across the basin. Average precipitation increases southward in the basin. Figure 3.5 shows average monthly precipitation from 1985 to 1995 at stations in five cities in the UMRB. According to the graphs, Minneapolis had the highest precipitation during that time. Generally, precipitation is higher in the months of June, July, and August; while the driest months are December, January, and February. In the cities of Chicago, St. Louis, and Peoria, precipitation does not vary greatly over the year, while summer precipitation greatly exceeds precipitation during the winter months in Minneapolis and Ankeny. At most of the cities, except for St. Louis, the highest precipitation was observed in July. Figure 3.6 shows the discharge at five stations on major tributaries of the Upper Mississippi River. Of these stations, the Illinois River contributes the most discharge to the main river. Discharge in the region is consistently higher during late spring (i.e. April and May) at those stations.  </w:t>
      </w:r>
    </w:p>
    <w:p w:rsidR="00485D90" w:rsidRPr="00E63DA3" w:rsidRDefault="00485D90" w:rsidP="00485D90">
      <w:pPr>
        <w:spacing w:before="120" w:after="120" w:line="480" w:lineRule="auto"/>
        <w:ind w:firstLine="720"/>
        <w:jc w:val="both"/>
        <w:rPr>
          <w:rFonts w:ascii="Times New Roman" w:hAnsi="Times New Roman" w:cs="Times New Roman"/>
        </w:rPr>
      </w:pPr>
      <w:r w:rsidRPr="00E63DA3">
        <w:rPr>
          <w:rFonts w:ascii="Times New Roman" w:hAnsi="Times New Roman" w:cs="Times New Roman"/>
        </w:rPr>
        <w:t xml:space="preserve">According to 100 years of historical records, there is currently an upward trend of precipitation in the UMRB </w:t>
      </w:r>
      <w:r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{"citationID":"Bq8dm0yD","properties":{"formattedCitation":"(IPCC 2001)","plainCitation":"(IPCC 2001)"},"citationItems":[{"id":474,"uris":["http://zotero.org/users/1706519/items/E94FIFET"],"uri":["http://zotero.org/users/1706519/items/E94FIFET"],"itemData":{"id":474,"type":"book","title":"Climate change 2001: The scientific basis. Edited by J. T. Houghton, et al., . Contribution of Working Group I to the Third Assessment Report of the Intergovernmental Panel on Climate Change, Cambridge University Press, Cambridge. 2001. 881 pp. ISBN 0521 01495 6.","publisher":"Contrinution of Working Group I to the Third Assessment Report of the Intergovernmental Panel on Climate Change, Cambridge University Press, Cambridge","number-of-pages":"881","source":"Wiley Online Library","URL":"http://onlinelibrary.wiley.com/doi/10.1002/qj.200212858119/abstract","ISBN":"0521 01495 6","shortTitle":"Climate change 2001","language":"en","author":[{"family":"IPCC","given":""}],"issued":{"date-parts":[["2001"]]},"accessed":{"date-parts":[["2014",2,16]]}}}],"schema":"https://github.com/citation-style-language/schema/raw/master/csl-citation.json"} </w:instrText>
      </w:r>
      <w:r w:rsidRPr="00E63DA3">
        <w:rPr>
          <w:rFonts w:ascii="Times New Roman" w:hAnsi="Times New Roman" w:cs="Times New Roman"/>
        </w:rPr>
        <w:fldChar w:fldCharType="separate"/>
      </w:r>
      <w:r w:rsidRPr="00E63DA3">
        <w:rPr>
          <w:rFonts w:ascii="Times New Roman" w:hAnsi="Times New Roman" w:cs="Times New Roman"/>
        </w:rPr>
        <w:t>(IPCC 2001)</w:t>
      </w:r>
      <w:r w:rsidRPr="00E63DA3">
        <w:rPr>
          <w:rFonts w:ascii="Times New Roman" w:hAnsi="Times New Roman" w:cs="Times New Roman"/>
        </w:rPr>
        <w:fldChar w:fldCharType="end"/>
      </w:r>
      <w:r w:rsidRPr="00E63DA3">
        <w:rPr>
          <w:rFonts w:ascii="Times New Roman" w:hAnsi="Times New Roman" w:cs="Times New Roman"/>
        </w:rPr>
        <w:t xml:space="preserve">. If the upward trend continues, it will potentially lead to more runoff which, in turn, is expected to increase the amount of sediment in the channels </w:t>
      </w:r>
      <w:r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{"citationID":"B3Sc2qxa","properties":{"formattedCitation":"(Davinroy, Hendrickson, and Steffen 2006)","plainCitation":"(Davinroy, Hendrickson, and Steffen 2006)"},"citationItems":[{"id":38,"uris":["http://zotero.org/users/1706519/items/96BN98KH"],"uri":["http://zotero.org/users/1706519/items/96BN98KH"],"itemData":{"id":38,"type":"report","title":"Sedimentation in the Upper Mississippi River Basin","publisher":"US Army Corps of Engineers","publisher-place":"St. Louis District","page":"143","event-place":"St. Louis District","author":[{"family":"Davinroy","given":"Rob"},{"family":"Hendrickson","given":"Jon"},{"family":"Steffen","given":"Lyle"}],"issued":{"date-parts":[["2006",3]]}}}],"schema":"https://github.com/citation-style-language/schema/raw/master/csl-citation.json"} </w:instrText>
      </w:r>
      <w:r w:rsidRPr="00E63DA3">
        <w:rPr>
          <w:rFonts w:ascii="Times New Roman" w:hAnsi="Times New Roman" w:cs="Times New Roman"/>
        </w:rPr>
        <w:fldChar w:fldCharType="separate"/>
      </w:r>
      <w:r w:rsidRPr="00E63DA3">
        <w:rPr>
          <w:rFonts w:ascii="Times New Roman" w:hAnsi="Times New Roman" w:cs="Times New Roman"/>
        </w:rPr>
        <w:t>(Davinroy et al. 2006)</w:t>
      </w:r>
      <w:r w:rsidRPr="00E63DA3">
        <w:rPr>
          <w:rFonts w:ascii="Times New Roman" w:hAnsi="Times New Roman" w:cs="Times New Roman"/>
        </w:rPr>
        <w:fldChar w:fldCharType="end"/>
      </w:r>
      <w:r w:rsidRPr="00E63DA3">
        <w:rPr>
          <w:rFonts w:ascii="Times New Roman" w:hAnsi="Times New Roman" w:cs="Times New Roman"/>
        </w:rPr>
        <w:t xml:space="preserve">. A study of the impact of climate change in the UMRB by </w:t>
      </w:r>
      <w:r w:rsidRPr="00E63DA3">
        <w:rPr>
          <w:rFonts w:ascii="Times New Roman" w:hAnsi="Times New Roman" w:cs="Times New Roman"/>
        </w:rPr>
        <w:fldChar w:fldCharType="begin"/>
      </w:r>
      <w:r w:rsidRPr="00E63DA3">
        <w:rPr>
          <w:rFonts w:ascii="Times New Roman" w:hAnsi="Times New Roman" w:cs="Times New Roman"/>
        </w:rPr>
        <w:instrText xml:space="preserve"> ADDIN ZOTERO_ITEM CSL_CITATION {"citationID":"BmogDZlp","properties":{"formattedCitation":"(Jha et al. 2004)","plainCitation":"(Jha et al. 2004)"},"citationItems":[{"id":97,"uris":["http://zotero.org/users/1706519/items/N7PGKPFH"],"uri":["http://zotero.org/users/1706519/items/N7PGKPFH"],"itemData":{"id":97,"type":"article-journal","title":"Impacts of climate change on streamflow in the Upper Mississippi River Basin: A regional climate model perspective","container-title":"Journal of Geophysical Research: Atmospheres","volume":"109","issue":"D9","source":"Wiley Online Library","abstract":"Impact of climate change on streamflow in the Upper Mississippi River Basin is evaluated by use of a regional climate model (RCM) coupled with a hydrologic model, Soil and Water Assessment Tool (SWAT). The RCM we used resolves, at least partially, some fine-scale dynamical processes that are important contributors to precipitation in this region and that are not well simulated by global models. The SWAT model was calibrated and validated against measured streamflow data using observed weather data and inputs from the U.S. Environmental Protection Agency Better Assessment Science Integrating Point and Nonpoint Sources (BASINS) geographic information systems/database system. Combined performance of SWAT and RCM was examined using observed weather data as lateral boundary conditions in the RCM. The SWAT and RCM performed well, especially on an annual basis. Potential impacts of climate change on water yield and other hydrologic budget components were then quantified by driving SWAT with current and future scenario climates. Twenty-one percent increase in future precipitation simulated by the RCM produced 18% increase in snowfall, 51% increase in surface runoff, and 43% increase in groundwater recharge, resulting in 50% net increase in total water yield in the Upper Mississippi River Basin on an annual basis. Uncertainty analysis showed that the simulated change in streamflow substantially exceeded model biases of the combined modeling system (with largest bias of 18%). While this does not necessarily give us high confidence in the actual climate change that will occur, it does demonstrate that the climate change “signal” stands out from the climate modeling (global plus regional) and impact assessment modeling (SWAT) “noise.”","URL":"http://onlinelibrary.wiley.com/doi/10.1029/2003JD003686/abstract","DOI":"10.1029/2003JD003686","ISSN":"2156-2202","shortTitle":"Impacts of climate change on streamflow in the Upper Mississippi River Basin","language":"en","author":[{"family":"Jha","given":"Manoj"},{"family":"Pan","given":"Zaitao"},{"family":"Takle","given":"Eugene S."},{"family":"Gu","given":"Roy"}],"issued":{"date-parts":[["2004"]]},"accessed":{"date-parts":[["2014",1,19]],"season":"23:55:36"}}}],"schema":"https://github.com/citation-style-language/schema/raw/master/csl-citation.json"} </w:instrText>
      </w:r>
      <w:r w:rsidRPr="00E63DA3">
        <w:rPr>
          <w:rFonts w:ascii="Times New Roman" w:hAnsi="Times New Roman" w:cs="Times New Roman"/>
        </w:rPr>
        <w:fldChar w:fldCharType="separate"/>
      </w:r>
      <w:r w:rsidRPr="00E63DA3">
        <w:rPr>
          <w:rFonts w:ascii="Times New Roman" w:hAnsi="Times New Roman" w:cs="Times New Roman"/>
        </w:rPr>
        <w:t>Jha et al. (2004)</w:t>
      </w:r>
      <w:r w:rsidRPr="00E63DA3">
        <w:rPr>
          <w:rFonts w:ascii="Times New Roman" w:hAnsi="Times New Roman" w:cs="Times New Roman"/>
        </w:rPr>
        <w:fldChar w:fldCharType="end"/>
      </w:r>
      <w:r w:rsidRPr="00E63DA3">
        <w:rPr>
          <w:rFonts w:ascii="Times New Roman" w:hAnsi="Times New Roman" w:cs="Times New Roman"/>
        </w:rPr>
        <w:t xml:space="preserve"> estimated a future scenario </w:t>
      </w:r>
      <w:r>
        <w:rPr>
          <w:rFonts w:ascii="Times New Roman" w:hAnsi="Times New Roman" w:cs="Times New Roman"/>
        </w:rPr>
        <w:t>in which a 21%</w:t>
      </w:r>
      <w:r w:rsidRPr="00E63DA3">
        <w:rPr>
          <w:rFonts w:ascii="Times New Roman" w:hAnsi="Times New Roman" w:cs="Times New Roman"/>
        </w:rPr>
        <w:t xml:space="preserve"> </w:t>
      </w:r>
      <w:r>
        <w:rPr>
          <w:rFonts w:ascii="Times New Roman" w:hAnsi="Times New Roman" w:cs="Times New Roman"/>
        </w:rPr>
        <w:t>increase in</w:t>
      </w:r>
      <w:r w:rsidRPr="00E63DA3">
        <w:rPr>
          <w:rFonts w:ascii="Times New Roman" w:hAnsi="Times New Roman" w:cs="Times New Roman"/>
        </w:rPr>
        <w:t xml:space="preserve"> precipitation </w:t>
      </w:r>
      <w:r>
        <w:rPr>
          <w:rFonts w:ascii="Times New Roman" w:hAnsi="Times New Roman" w:cs="Times New Roman"/>
        </w:rPr>
        <w:t xml:space="preserve">intensity </w:t>
      </w:r>
      <w:r w:rsidRPr="00E63DA3">
        <w:rPr>
          <w:rFonts w:ascii="Times New Roman" w:hAnsi="Times New Roman" w:cs="Times New Roman"/>
        </w:rPr>
        <w:t xml:space="preserve">would result in a 51% increase in the amount of surface runoff and a 50% increase in total water yield. This </w:t>
      </w:r>
      <w:r w:rsidRPr="00E63DA3">
        <w:rPr>
          <w:rFonts w:ascii="Times New Roman" w:hAnsi="Times New Roman" w:cs="Times New Roman"/>
        </w:rPr>
        <w:lastRenderedPageBreak/>
        <w:t xml:space="preserve">result demonstrated the non-linear nature of hydrologic budget components, such as snowmelt, evapotranspiration, surface runoff, and ground water flow. </w:t>
      </w:r>
    </w:p>
    <w:p w:rsidR="001E7A0C" w:rsidRDefault="001E7A0C" w:rsidP="00D67667">
      <w:pPr>
        <w:pStyle w:val="ListParagraph"/>
        <w:keepNext/>
        <w:spacing w:before="120" w:after="120" w:line="480" w:lineRule="auto"/>
        <w:contextualSpacing w:val="0"/>
        <w:jc w:val="center"/>
      </w:pPr>
    </w:p>
    <w:p w:rsidR="00D67667" w:rsidRPr="00854E06" w:rsidRDefault="00D93921" w:rsidP="00D67667">
      <w:pPr>
        <w:pStyle w:val="ListParagraph"/>
        <w:keepNext/>
        <w:spacing w:before="120" w:after="120" w:line="480" w:lineRule="auto"/>
        <w:contextualSpacing w:val="0"/>
        <w:jc w:val="center"/>
      </w:pPr>
      <w:r>
        <w:rPr>
          <w:noProof/>
        </w:rPr>
        <w:drawing>
          <wp:inline distT="0" distB="0" distL="0" distR="0" wp14:anchorId="2C0A4EC9" wp14:editId="227D4EDC">
            <wp:extent cx="4533900" cy="5867430"/>
            <wp:effectExtent l="50800" t="25400" r="1270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cip_reg7_map.jpg"/>
                    <pic:cNvPicPr/>
                  </pic:nvPicPr>
                  <pic:blipFill>
                    <a:blip r:embed="rId15">
                      <a:extLst>
                        <a:ext uri="{28A0092B-C50C-407E-A947-70E740481C1C}">
                          <a14:useLocalDpi xmlns:a14="http://schemas.microsoft.com/office/drawing/2010/main" val="0"/>
                        </a:ext>
                      </a:extLst>
                    </a:blip>
                    <a:stretch>
                      <a:fillRect/>
                    </a:stretch>
                  </pic:blipFill>
                  <pic:spPr>
                    <a:xfrm>
                      <a:off x="0" y="0"/>
                      <a:ext cx="4525299" cy="5856299"/>
                    </a:xfrm>
                    <a:prstGeom prst="rect">
                      <a:avLst/>
                    </a:prstGeom>
                    <a:ln>
                      <a:solidFill>
                        <a:schemeClr val="tx1"/>
                      </a:solidFill>
                    </a:ln>
                  </pic:spPr>
                </pic:pic>
              </a:graphicData>
            </a:graphic>
          </wp:inline>
        </w:drawing>
      </w:r>
    </w:p>
    <w:p w:rsidR="002B764C" w:rsidRPr="00854E06" w:rsidRDefault="00D67667" w:rsidP="008D23E0">
      <w:pPr>
        <w:pStyle w:val="Caption"/>
        <w:jc w:val="center"/>
        <w:rPr>
          <w:rFonts w:cstheme="majorBidi"/>
          <w:b w:val="0"/>
          <w:color w:val="auto"/>
          <w:sz w:val="24"/>
          <w:szCs w:val="24"/>
        </w:rPr>
      </w:pPr>
      <w:bookmarkStart w:id="30" w:name="_Toc387129044"/>
      <w:bookmarkStart w:id="31" w:name="_Toc393799584"/>
      <w:proofErr w:type="gramStart"/>
      <w:r w:rsidRPr="00854E06">
        <w:rPr>
          <w:rFonts w:cstheme="majorBidi"/>
          <w:color w:val="auto"/>
          <w:sz w:val="24"/>
          <w:szCs w:val="24"/>
        </w:rPr>
        <w:t xml:space="preserve">Figure </w:t>
      </w:r>
      <w:r w:rsidR="008D23E0" w:rsidRPr="00854E06">
        <w:rPr>
          <w:rFonts w:cstheme="majorBidi"/>
          <w:color w:val="auto"/>
          <w:sz w:val="24"/>
          <w:szCs w:val="24"/>
        </w:rPr>
        <w:t>3</w:t>
      </w:r>
      <w:r w:rsidR="0035342E" w:rsidRPr="00854E06">
        <w:rPr>
          <w:rFonts w:cstheme="majorBidi"/>
          <w:color w:val="auto"/>
          <w:sz w:val="24"/>
          <w:szCs w:val="24"/>
        </w:rPr>
        <w:noBreakHyphen/>
      </w:r>
      <w:r w:rsidR="00F41E6A" w:rsidRPr="00854E06">
        <w:rPr>
          <w:rFonts w:cstheme="majorBidi"/>
          <w:color w:val="auto"/>
          <w:sz w:val="24"/>
          <w:szCs w:val="24"/>
        </w:rPr>
        <w:fldChar w:fldCharType="begin"/>
      </w:r>
      <w:r w:rsidR="0035342E" w:rsidRPr="00854E06">
        <w:rPr>
          <w:rFonts w:cstheme="majorBidi"/>
          <w:color w:val="auto"/>
          <w:sz w:val="24"/>
          <w:szCs w:val="24"/>
        </w:rPr>
        <w:instrText xml:space="preserve"> SEQ Figure \* ARABIC \s 1 </w:instrText>
      </w:r>
      <w:r w:rsidR="00F41E6A" w:rsidRPr="00854E06">
        <w:rPr>
          <w:rFonts w:cstheme="majorBidi"/>
          <w:color w:val="auto"/>
          <w:sz w:val="24"/>
          <w:szCs w:val="24"/>
        </w:rPr>
        <w:fldChar w:fldCharType="separate"/>
      </w:r>
      <w:r w:rsidR="008E2F67">
        <w:rPr>
          <w:rFonts w:cstheme="majorBidi"/>
          <w:noProof/>
          <w:color w:val="auto"/>
          <w:sz w:val="24"/>
          <w:szCs w:val="24"/>
        </w:rPr>
        <w:t>4</w:t>
      </w:r>
      <w:r w:rsidR="00F41E6A" w:rsidRPr="00854E06">
        <w:rPr>
          <w:rFonts w:cstheme="majorBidi"/>
          <w:color w:val="auto"/>
          <w:sz w:val="24"/>
          <w:szCs w:val="24"/>
        </w:rPr>
        <w:fldChar w:fldCharType="end"/>
      </w:r>
      <w:r w:rsidRPr="00854E06">
        <w:rPr>
          <w:rFonts w:cstheme="majorBidi"/>
          <w:color w:val="auto"/>
          <w:sz w:val="24"/>
          <w:szCs w:val="24"/>
        </w:rPr>
        <w:t>.</w:t>
      </w:r>
      <w:proofErr w:type="gramEnd"/>
      <w:r w:rsidRPr="00854E06">
        <w:rPr>
          <w:rFonts w:cstheme="majorBidi"/>
          <w:color w:val="auto"/>
          <w:sz w:val="24"/>
          <w:szCs w:val="24"/>
        </w:rPr>
        <w:t xml:space="preserve"> Mean annual precipitation in the UMRB</w:t>
      </w:r>
      <w:bookmarkEnd w:id="30"/>
      <w:bookmarkEnd w:id="31"/>
    </w:p>
    <w:p w:rsidR="002B764C" w:rsidRPr="00854E06" w:rsidRDefault="002B764C" w:rsidP="002B764C">
      <w:pPr>
        <w:pStyle w:val="ListParagraph"/>
        <w:spacing w:after="600" w:line="240" w:lineRule="auto"/>
        <w:contextualSpacing w:val="0"/>
        <w:jc w:val="center"/>
        <w:rPr>
          <w:rFonts w:ascii="Times New Roman" w:hAnsi="Times New Roman" w:cs="Times New Roman"/>
          <w:b/>
          <w:bCs/>
          <w:sz w:val="24"/>
          <w:szCs w:val="24"/>
        </w:rPr>
      </w:pPr>
      <w:r w:rsidRPr="00854E06">
        <w:rPr>
          <w:rFonts w:ascii="Times New Roman" w:hAnsi="Times New Roman" w:cs="Times New Roman"/>
          <w:b/>
          <w:bCs/>
          <w:sz w:val="24"/>
          <w:szCs w:val="24"/>
        </w:rPr>
        <w:t xml:space="preserve">(Source: </w:t>
      </w:r>
      <w:r w:rsidR="00F41E6A" w:rsidRPr="00854E06">
        <w:rPr>
          <w:rFonts w:ascii="Times New Roman" w:hAnsi="Times New Roman" w:cs="Times New Roman"/>
          <w:b/>
          <w:bCs/>
          <w:sz w:val="24"/>
          <w:szCs w:val="24"/>
        </w:rPr>
        <w:fldChar w:fldCharType="begin"/>
      </w:r>
      <w:r w:rsidRPr="00854E06">
        <w:rPr>
          <w:rFonts w:ascii="Times New Roman" w:hAnsi="Times New Roman" w:cs="Times New Roman"/>
          <w:b/>
          <w:bCs/>
          <w:sz w:val="24"/>
          <w:szCs w:val="24"/>
        </w:rPr>
        <w:instrText xml:space="preserve"> ADDIN ZOTERO_ITEM CSL_CITATION {"citationID":"ZkZu4Nvs","properties":{"formattedCitation":"(Daly and Taylor 1998)","plainCitation":"(Daly and Taylor 1998)"},"citationItems":[{"id":458,"uris":["http://zotero.org/users/1706519/items/MPBQPIM7"],"uri":["http://zotero.org/users/1706519/items/MPBQPIM7"],"itemData":{"id":458,"type":"article","title":"United States Average Monthly or Annual Precipitation 1961-1990","publisher":"Corvallis, OR: Spatial Climate Analysis Service at Oregon State University","author":[{"family":"Daly","given":"C."},{"family":"Taylor","given":"G."}],"issued":{"date-parts":[["1998"]]}}}],"schema":"https://github.com/citation-style-language/schema/raw/master/csl-citation.json"} </w:instrText>
      </w:r>
      <w:r w:rsidR="00F41E6A" w:rsidRPr="00854E06">
        <w:rPr>
          <w:rFonts w:ascii="Times New Roman" w:hAnsi="Times New Roman" w:cs="Times New Roman"/>
          <w:b/>
          <w:bCs/>
          <w:sz w:val="24"/>
          <w:szCs w:val="24"/>
        </w:rPr>
        <w:fldChar w:fldCharType="separate"/>
      </w:r>
      <w:r w:rsidRPr="00854E06">
        <w:rPr>
          <w:rFonts w:ascii="Times New Roman" w:hAnsi="Times New Roman" w:cs="Times New Roman"/>
          <w:b/>
          <w:bCs/>
          <w:sz w:val="24"/>
        </w:rPr>
        <w:t>Daly and Taylor 1998)</w:t>
      </w:r>
      <w:r w:rsidR="00F41E6A" w:rsidRPr="00854E06">
        <w:rPr>
          <w:rFonts w:ascii="Times New Roman" w:hAnsi="Times New Roman" w:cs="Times New Roman"/>
          <w:b/>
          <w:bCs/>
          <w:sz w:val="24"/>
          <w:szCs w:val="24"/>
        </w:rPr>
        <w:fldChar w:fldCharType="end"/>
      </w:r>
    </w:p>
    <w:p w:rsidR="001E7A0C" w:rsidRDefault="001E7A0C" w:rsidP="002B764C">
      <w:pPr>
        <w:pStyle w:val="ListParagraph"/>
        <w:spacing w:before="120" w:after="600" w:line="480" w:lineRule="auto"/>
        <w:contextualSpacing w:val="0"/>
        <w:jc w:val="center"/>
        <w:rPr>
          <w:rFonts w:ascii="Times New Roman" w:hAnsi="Times New Roman" w:cs="Times New Roman"/>
          <w:b/>
          <w:bCs/>
          <w:sz w:val="24"/>
          <w:szCs w:val="24"/>
        </w:rPr>
        <w:sectPr w:rsidR="001E7A0C" w:rsidSect="001E7A0C">
          <w:pgSz w:w="12240" w:h="15840" w:code="1"/>
          <w:pgMar w:top="1440" w:right="1440" w:bottom="1440" w:left="1440" w:header="720" w:footer="720" w:gutter="0"/>
          <w:cols w:space="720"/>
          <w:docGrid w:linePitch="360"/>
        </w:sectPr>
      </w:pPr>
    </w:p>
    <w:tbl>
      <w:tblPr>
        <w:tblW w:w="0" w:type="auto"/>
        <w:jc w:val="center"/>
        <w:tblLook w:val="04A0" w:firstRow="1" w:lastRow="0" w:firstColumn="1" w:lastColumn="0" w:noHBand="0" w:noVBand="1"/>
      </w:tblPr>
      <w:tblGrid>
        <w:gridCol w:w="4778"/>
        <w:gridCol w:w="4798"/>
      </w:tblGrid>
      <w:tr w:rsidR="002B764C" w:rsidRPr="00854E06">
        <w:trPr>
          <w:jc w:val="center"/>
        </w:trPr>
        <w:tc>
          <w:tcPr>
            <w:tcW w:w="4778" w:type="dxa"/>
          </w:tcPr>
          <w:p w:rsidR="002B764C" w:rsidRPr="00854E06" w:rsidRDefault="00B96ABC" w:rsidP="002B764C">
            <w:pPr>
              <w:spacing w:line="360" w:lineRule="auto"/>
              <w:rPr>
                <w:rFonts w:ascii="Times New Roman" w:hAnsi="Times New Roman" w:cs="Times New Roman"/>
              </w:rPr>
            </w:pPr>
            <w:r w:rsidRPr="00854E06">
              <w:rPr>
                <w:noProof/>
              </w:rPr>
              <w:lastRenderedPageBreak/>
              <w:drawing>
                <wp:inline distT="0" distB="0" distL="0" distR="0" wp14:anchorId="3C471F98" wp14:editId="0F93E39D">
                  <wp:extent cx="2834640" cy="1901952"/>
                  <wp:effectExtent l="0" t="0" r="22860" b="222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B764C" w:rsidRPr="00854E06" w:rsidRDefault="002B764C" w:rsidP="002B764C">
            <w:pPr>
              <w:pStyle w:val="ListParagraph"/>
              <w:numPr>
                <w:ilvl w:val="0"/>
                <w:numId w:val="22"/>
              </w:numPr>
              <w:spacing w:after="0" w:line="360" w:lineRule="auto"/>
              <w:contextualSpacing w:val="0"/>
              <w:rPr>
                <w:rFonts w:ascii="Times New Roman" w:hAnsi="Times New Roman" w:cs="Times New Roman"/>
                <w:sz w:val="24"/>
                <w:szCs w:val="24"/>
              </w:rPr>
            </w:pPr>
            <w:r w:rsidRPr="00854E06">
              <w:rPr>
                <w:rFonts w:ascii="Times New Roman" w:hAnsi="Times New Roman" w:cs="Times New Roman"/>
                <w:sz w:val="24"/>
                <w:szCs w:val="24"/>
              </w:rPr>
              <w:t>Chicago (Illinois)</w:t>
            </w:r>
          </w:p>
        </w:tc>
        <w:tc>
          <w:tcPr>
            <w:tcW w:w="4798" w:type="dxa"/>
          </w:tcPr>
          <w:p w:rsidR="002B764C" w:rsidRPr="00854E06" w:rsidRDefault="00B96ABC" w:rsidP="002B764C">
            <w:pPr>
              <w:spacing w:line="360" w:lineRule="auto"/>
              <w:rPr>
                <w:rFonts w:ascii="Times New Roman" w:hAnsi="Times New Roman" w:cs="Times New Roman"/>
              </w:rPr>
            </w:pPr>
            <w:r w:rsidRPr="00854E06">
              <w:rPr>
                <w:noProof/>
              </w:rPr>
              <w:drawing>
                <wp:inline distT="0" distB="0" distL="0" distR="0" wp14:anchorId="378FA5E6" wp14:editId="1CDC344F">
                  <wp:extent cx="2834640" cy="1901952"/>
                  <wp:effectExtent l="0" t="0" r="22860" b="222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B764C" w:rsidRPr="00854E06" w:rsidRDefault="002B764C" w:rsidP="002B764C">
            <w:pPr>
              <w:pStyle w:val="ListParagraph"/>
              <w:numPr>
                <w:ilvl w:val="0"/>
                <w:numId w:val="22"/>
              </w:numPr>
              <w:spacing w:after="0" w:line="360" w:lineRule="auto"/>
              <w:contextualSpacing w:val="0"/>
              <w:rPr>
                <w:rFonts w:ascii="Times New Roman" w:hAnsi="Times New Roman" w:cs="Times New Roman"/>
                <w:sz w:val="24"/>
                <w:szCs w:val="24"/>
              </w:rPr>
            </w:pPr>
            <w:r w:rsidRPr="00854E06">
              <w:rPr>
                <w:rFonts w:ascii="Times New Roman" w:hAnsi="Times New Roman" w:cs="Times New Roman"/>
                <w:sz w:val="24"/>
                <w:szCs w:val="24"/>
              </w:rPr>
              <w:t>St Louis (Missouri)</w:t>
            </w:r>
          </w:p>
        </w:tc>
      </w:tr>
      <w:tr w:rsidR="002B764C" w:rsidRPr="00854E06">
        <w:trPr>
          <w:jc w:val="center"/>
        </w:trPr>
        <w:tc>
          <w:tcPr>
            <w:tcW w:w="4778" w:type="dxa"/>
          </w:tcPr>
          <w:p w:rsidR="002B764C" w:rsidRPr="00854E06" w:rsidRDefault="00B96ABC" w:rsidP="002B764C">
            <w:pPr>
              <w:spacing w:line="360" w:lineRule="auto"/>
              <w:rPr>
                <w:rFonts w:ascii="Times New Roman" w:hAnsi="Times New Roman" w:cs="Times New Roman"/>
              </w:rPr>
            </w:pPr>
            <w:r w:rsidRPr="00854E06">
              <w:rPr>
                <w:noProof/>
              </w:rPr>
              <w:drawing>
                <wp:inline distT="0" distB="0" distL="0" distR="0" wp14:anchorId="46CF86AD" wp14:editId="226E7BBB">
                  <wp:extent cx="2834640" cy="1901952"/>
                  <wp:effectExtent l="0" t="0" r="22860" b="2222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2B764C" w:rsidRPr="00854E06" w:rsidRDefault="002B764C" w:rsidP="002B764C">
            <w:pPr>
              <w:pStyle w:val="ListParagraph"/>
              <w:numPr>
                <w:ilvl w:val="0"/>
                <w:numId w:val="22"/>
              </w:numPr>
              <w:spacing w:after="0" w:line="360" w:lineRule="auto"/>
              <w:contextualSpacing w:val="0"/>
              <w:rPr>
                <w:rFonts w:ascii="Times New Roman" w:hAnsi="Times New Roman" w:cs="Times New Roman"/>
                <w:sz w:val="24"/>
                <w:szCs w:val="24"/>
              </w:rPr>
            </w:pPr>
            <w:r w:rsidRPr="00854E06">
              <w:rPr>
                <w:rFonts w:ascii="Times New Roman" w:hAnsi="Times New Roman" w:cs="Times New Roman"/>
                <w:sz w:val="24"/>
                <w:szCs w:val="24"/>
              </w:rPr>
              <w:t>Peoria (Illinois)</w:t>
            </w:r>
          </w:p>
        </w:tc>
        <w:tc>
          <w:tcPr>
            <w:tcW w:w="4798" w:type="dxa"/>
          </w:tcPr>
          <w:p w:rsidR="002B764C" w:rsidRPr="00854E06" w:rsidRDefault="006574E4" w:rsidP="002B764C">
            <w:pPr>
              <w:spacing w:line="360" w:lineRule="auto"/>
              <w:rPr>
                <w:rFonts w:ascii="Times New Roman" w:hAnsi="Times New Roman" w:cs="Times New Roman"/>
              </w:rPr>
            </w:pPr>
            <w:r w:rsidRPr="00854E06">
              <w:rPr>
                <w:noProof/>
              </w:rPr>
              <w:drawing>
                <wp:inline distT="0" distB="0" distL="0" distR="0" wp14:anchorId="038D8975" wp14:editId="67DEFCC8">
                  <wp:extent cx="2834640" cy="1901952"/>
                  <wp:effectExtent l="0" t="0" r="22860" b="22225"/>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B764C" w:rsidRPr="00854E06" w:rsidRDefault="002B764C" w:rsidP="002B764C">
            <w:pPr>
              <w:pStyle w:val="ListParagraph"/>
              <w:numPr>
                <w:ilvl w:val="0"/>
                <w:numId w:val="22"/>
              </w:numPr>
              <w:spacing w:after="0" w:line="360" w:lineRule="auto"/>
              <w:contextualSpacing w:val="0"/>
              <w:rPr>
                <w:rFonts w:ascii="Times New Roman" w:hAnsi="Times New Roman" w:cs="Times New Roman"/>
                <w:sz w:val="24"/>
                <w:szCs w:val="24"/>
              </w:rPr>
            </w:pPr>
            <w:r w:rsidRPr="00854E06">
              <w:rPr>
                <w:rFonts w:ascii="Times New Roman" w:hAnsi="Times New Roman" w:cs="Times New Roman"/>
                <w:sz w:val="24"/>
                <w:szCs w:val="24"/>
              </w:rPr>
              <w:t>Minneapolis (Minnesota)</w:t>
            </w:r>
          </w:p>
        </w:tc>
      </w:tr>
      <w:tr w:rsidR="002B764C" w:rsidRPr="00854E06">
        <w:trPr>
          <w:jc w:val="center"/>
        </w:trPr>
        <w:tc>
          <w:tcPr>
            <w:tcW w:w="4778" w:type="dxa"/>
          </w:tcPr>
          <w:p w:rsidR="002B764C" w:rsidRPr="00854E06" w:rsidRDefault="006574E4" w:rsidP="002B764C">
            <w:pPr>
              <w:spacing w:line="360" w:lineRule="auto"/>
              <w:rPr>
                <w:rFonts w:ascii="Times New Roman" w:hAnsi="Times New Roman" w:cs="Times New Roman"/>
              </w:rPr>
            </w:pPr>
            <w:r w:rsidRPr="00854E06">
              <w:rPr>
                <w:noProof/>
              </w:rPr>
              <w:drawing>
                <wp:inline distT="0" distB="0" distL="0" distR="0" wp14:anchorId="70947618" wp14:editId="0A837713">
                  <wp:extent cx="2834640" cy="1901952"/>
                  <wp:effectExtent l="0" t="0" r="22860" b="22225"/>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2B764C" w:rsidRPr="00854E06" w:rsidRDefault="002B764C" w:rsidP="002B764C">
            <w:pPr>
              <w:pStyle w:val="ListParagraph"/>
              <w:numPr>
                <w:ilvl w:val="0"/>
                <w:numId w:val="22"/>
              </w:numPr>
              <w:spacing w:after="0" w:line="360" w:lineRule="auto"/>
              <w:contextualSpacing w:val="0"/>
              <w:rPr>
                <w:rFonts w:ascii="Times New Roman" w:hAnsi="Times New Roman" w:cs="Times New Roman"/>
                <w:sz w:val="24"/>
                <w:szCs w:val="24"/>
              </w:rPr>
            </w:pPr>
            <w:r w:rsidRPr="00854E06">
              <w:rPr>
                <w:rFonts w:ascii="Times New Roman" w:hAnsi="Times New Roman" w:cs="Times New Roman"/>
                <w:sz w:val="24"/>
                <w:szCs w:val="24"/>
              </w:rPr>
              <w:t>Ankeny (Iowa)</w:t>
            </w:r>
          </w:p>
        </w:tc>
        <w:tc>
          <w:tcPr>
            <w:tcW w:w="4798" w:type="dxa"/>
          </w:tcPr>
          <w:p w:rsidR="002B764C" w:rsidRPr="00854E06" w:rsidRDefault="00290985" w:rsidP="00D67667">
            <w:pPr>
              <w:keepNext/>
              <w:spacing w:line="360" w:lineRule="auto"/>
              <w:rPr>
                <w:rFonts w:ascii="Times New Roman" w:hAnsi="Times New Roman" w:cs="Times New Roman"/>
              </w:rPr>
            </w:pPr>
            <w:r>
              <w:rPr>
                <w:rFonts w:asciiTheme="minorHAnsi" w:hAnsiTheme="minorHAnsi" w:cstheme="minorBidi"/>
                <w:noProof/>
              </w:rPr>
              <w:drawing>
                <wp:anchor distT="0" distB="0" distL="114300" distR="114300" simplePos="0" relativeHeight="251662336" behindDoc="0" locked="0" layoutInCell="1" allowOverlap="1" wp14:anchorId="707BCD38" wp14:editId="587CDBD2">
                  <wp:simplePos x="0" y="0"/>
                  <wp:positionH relativeFrom="column">
                    <wp:posOffset>73025</wp:posOffset>
                  </wp:positionH>
                  <wp:positionV relativeFrom="paragraph">
                    <wp:posOffset>300990</wp:posOffset>
                  </wp:positionV>
                  <wp:extent cx="1248410" cy="1172210"/>
                  <wp:effectExtent l="19050" t="19050" r="27940" b="27940"/>
                  <wp:wrapSquare wrapText="bothSides"/>
                  <wp:docPr id="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48410" cy="1172210"/>
                          </a:xfrm>
                          <a:prstGeom prst="rect">
                            <a:avLst/>
                          </a:prstGeom>
                          <a:noFill/>
                          <a:ln w="9525">
                            <a:solidFill>
                              <a:schemeClr val="bg1">
                                <a:lumMod val="5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tc>
      </w:tr>
    </w:tbl>
    <w:p w:rsidR="00D67667" w:rsidRPr="00854E06" w:rsidRDefault="00D67667" w:rsidP="008D23E0">
      <w:pPr>
        <w:pStyle w:val="Caption"/>
        <w:jc w:val="center"/>
        <w:rPr>
          <w:rFonts w:cstheme="majorBidi"/>
          <w:color w:val="auto"/>
          <w:sz w:val="24"/>
          <w:szCs w:val="24"/>
        </w:rPr>
      </w:pPr>
      <w:bookmarkStart w:id="32" w:name="_Toc387129045"/>
      <w:bookmarkStart w:id="33" w:name="_Toc393799585"/>
      <w:proofErr w:type="gramStart"/>
      <w:r w:rsidRPr="00854E06">
        <w:rPr>
          <w:rFonts w:cstheme="majorBidi"/>
          <w:color w:val="auto"/>
          <w:sz w:val="24"/>
          <w:szCs w:val="24"/>
        </w:rPr>
        <w:t xml:space="preserve">Figure </w:t>
      </w:r>
      <w:r w:rsidR="008D23E0" w:rsidRPr="00854E06">
        <w:rPr>
          <w:rFonts w:cstheme="majorBidi"/>
          <w:color w:val="auto"/>
          <w:sz w:val="24"/>
          <w:szCs w:val="24"/>
        </w:rPr>
        <w:t>3</w:t>
      </w:r>
      <w:r w:rsidR="0035342E" w:rsidRPr="00854E06">
        <w:rPr>
          <w:rFonts w:cstheme="majorBidi"/>
          <w:color w:val="auto"/>
          <w:sz w:val="24"/>
          <w:szCs w:val="24"/>
        </w:rPr>
        <w:noBreakHyphen/>
      </w:r>
      <w:r w:rsidR="00F41E6A" w:rsidRPr="00854E06">
        <w:rPr>
          <w:rFonts w:cstheme="majorBidi"/>
          <w:color w:val="auto"/>
          <w:sz w:val="24"/>
          <w:szCs w:val="24"/>
        </w:rPr>
        <w:fldChar w:fldCharType="begin"/>
      </w:r>
      <w:r w:rsidR="0035342E" w:rsidRPr="00854E06">
        <w:rPr>
          <w:rFonts w:cstheme="majorBidi"/>
          <w:color w:val="auto"/>
          <w:sz w:val="24"/>
          <w:szCs w:val="24"/>
        </w:rPr>
        <w:instrText xml:space="preserve"> SEQ Figure \* ARABIC \s 1 </w:instrText>
      </w:r>
      <w:r w:rsidR="00F41E6A" w:rsidRPr="00854E06">
        <w:rPr>
          <w:rFonts w:cstheme="majorBidi"/>
          <w:color w:val="auto"/>
          <w:sz w:val="24"/>
          <w:szCs w:val="24"/>
        </w:rPr>
        <w:fldChar w:fldCharType="separate"/>
      </w:r>
      <w:r w:rsidR="008E2F67">
        <w:rPr>
          <w:rFonts w:cstheme="majorBidi"/>
          <w:noProof/>
          <w:color w:val="auto"/>
          <w:sz w:val="24"/>
          <w:szCs w:val="24"/>
        </w:rPr>
        <w:t>5</w:t>
      </w:r>
      <w:r w:rsidR="00F41E6A" w:rsidRPr="00854E06">
        <w:rPr>
          <w:rFonts w:cstheme="majorBidi"/>
          <w:color w:val="auto"/>
          <w:sz w:val="24"/>
          <w:szCs w:val="24"/>
        </w:rPr>
        <w:fldChar w:fldCharType="end"/>
      </w:r>
      <w:r w:rsidRPr="00854E06">
        <w:rPr>
          <w:rFonts w:cstheme="majorBidi"/>
          <w:color w:val="auto"/>
          <w:sz w:val="24"/>
          <w:szCs w:val="24"/>
        </w:rPr>
        <w:t>.</w:t>
      </w:r>
      <w:proofErr w:type="gramEnd"/>
      <w:r w:rsidRPr="00854E06">
        <w:rPr>
          <w:rFonts w:cstheme="majorBidi"/>
          <w:color w:val="auto"/>
          <w:sz w:val="24"/>
          <w:szCs w:val="24"/>
        </w:rPr>
        <w:t xml:space="preserve"> Monthly average precipitation (1985</w:t>
      </w:r>
      <w:r w:rsidR="00E94C0F" w:rsidRPr="00854E06">
        <w:rPr>
          <w:rFonts w:cstheme="majorBidi"/>
          <w:color w:val="auto"/>
          <w:sz w:val="24"/>
          <w:szCs w:val="24"/>
        </w:rPr>
        <w:t>–</w:t>
      </w:r>
      <w:r w:rsidRPr="00854E06">
        <w:rPr>
          <w:rFonts w:cstheme="majorBidi"/>
          <w:color w:val="auto"/>
          <w:sz w:val="24"/>
          <w:szCs w:val="24"/>
        </w:rPr>
        <w:t>1995) in five cities in the UMRB</w:t>
      </w:r>
      <w:bookmarkEnd w:id="32"/>
      <w:bookmarkEnd w:id="33"/>
    </w:p>
    <w:p w:rsidR="002B764C" w:rsidRPr="00854E06" w:rsidRDefault="002B764C" w:rsidP="002B764C">
      <w:pPr>
        <w:spacing w:after="600"/>
        <w:jc w:val="center"/>
        <w:rPr>
          <w:rFonts w:ascii="Times New Roman" w:hAnsi="Times New Roman" w:cs="Times New Roman"/>
          <w:b/>
          <w:bCs/>
        </w:rPr>
      </w:pPr>
      <w:r w:rsidRPr="00854E06">
        <w:rPr>
          <w:rFonts w:ascii="Times New Roman" w:hAnsi="Times New Roman" w:cs="Times New Roman"/>
          <w:b/>
          <w:bCs/>
        </w:rPr>
        <w:t xml:space="preserve">(Source: </w:t>
      </w:r>
      <w:r w:rsidR="00F41E6A" w:rsidRPr="00854E06">
        <w:rPr>
          <w:rFonts w:ascii="Times New Roman" w:hAnsi="Times New Roman" w:cs="Times New Roman"/>
          <w:b/>
          <w:bCs/>
        </w:rPr>
        <w:fldChar w:fldCharType="begin"/>
      </w:r>
      <w:r w:rsidRPr="00854E06">
        <w:rPr>
          <w:rFonts w:ascii="Times New Roman" w:hAnsi="Times New Roman" w:cs="Times New Roman"/>
          <w:b/>
          <w:bCs/>
        </w:rPr>
        <w:instrText xml:space="preserve"> ADDIN ZOTERO_ITEM CSL_CITATION {"citationID":"npuIxJS2","properties":{"formattedCitation":"(NOAA and NCDC 2013)","plainCitation":"(NOAA and NCDC 2013)"},"citationItems":[{"id":460,"uris":["http://zotero.org/users/1706519/items/8JC3W3NM"],"uri":["http://zotero.org/users/1706519/items/8JC3W3NM"],"itemData":{"id":460,"type":"article","title":"Climate Data Online","URL":"http://www.ncdc.noaa.gov/","author":[{"family":"NOAA","given":""},{"family":"NCDC","given":""}],"issued":{"date-parts":[["2013"]]}}}],"schema":"https://github.com/citation-style-language/schema/raw/master/csl-citation.json"} </w:instrText>
      </w:r>
      <w:r w:rsidR="00F41E6A" w:rsidRPr="00854E06">
        <w:rPr>
          <w:rFonts w:ascii="Times New Roman" w:hAnsi="Times New Roman" w:cs="Times New Roman"/>
          <w:b/>
          <w:bCs/>
        </w:rPr>
        <w:fldChar w:fldCharType="separate"/>
      </w:r>
      <w:r w:rsidRPr="00854E06">
        <w:rPr>
          <w:rFonts w:ascii="Times New Roman" w:hAnsi="Times New Roman" w:cs="Times New Roman"/>
          <w:b/>
          <w:bCs/>
        </w:rPr>
        <w:t>NOAA and NCDC 2013)</w:t>
      </w:r>
      <w:r w:rsidR="00F41E6A" w:rsidRPr="00854E06">
        <w:rPr>
          <w:rFonts w:ascii="Times New Roman" w:hAnsi="Times New Roman" w:cs="Times New Roman"/>
          <w:b/>
          <w:bCs/>
        </w:rPr>
        <w:fldChar w:fldCharType="end"/>
      </w:r>
    </w:p>
    <w:tbl>
      <w:tblPr>
        <w:tblW w:w="9648" w:type="dxa"/>
        <w:tblLayout w:type="fixed"/>
        <w:tblLook w:val="04A0" w:firstRow="1" w:lastRow="0" w:firstColumn="1" w:lastColumn="0" w:noHBand="0" w:noVBand="1"/>
      </w:tblPr>
      <w:tblGrid>
        <w:gridCol w:w="4788"/>
        <w:gridCol w:w="4860"/>
      </w:tblGrid>
      <w:tr w:rsidR="002B764C" w:rsidRPr="00854E06">
        <w:tc>
          <w:tcPr>
            <w:tcW w:w="4788" w:type="dxa"/>
          </w:tcPr>
          <w:p w:rsidR="002B764C" w:rsidRPr="00854E06" w:rsidRDefault="00EA5B16" w:rsidP="002B764C">
            <w:pPr>
              <w:spacing w:line="360" w:lineRule="auto"/>
              <w:rPr>
                <w:rFonts w:ascii="Times New Roman" w:hAnsi="Times New Roman" w:cs="Times New Roman"/>
              </w:rPr>
            </w:pPr>
            <w:r w:rsidRPr="00854E06">
              <w:rPr>
                <w:noProof/>
              </w:rPr>
              <w:lastRenderedPageBreak/>
              <w:drawing>
                <wp:inline distT="0" distB="0" distL="0" distR="0" wp14:anchorId="4909F881" wp14:editId="1E8F5850">
                  <wp:extent cx="2834640" cy="1901952"/>
                  <wp:effectExtent l="0" t="0" r="22860" b="22225"/>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2B764C" w:rsidRPr="00854E06" w:rsidRDefault="002B764C" w:rsidP="002B764C">
            <w:pPr>
              <w:pStyle w:val="ListParagraph"/>
              <w:numPr>
                <w:ilvl w:val="0"/>
                <w:numId w:val="23"/>
              </w:numPr>
              <w:spacing w:after="0" w:line="360" w:lineRule="auto"/>
              <w:contextualSpacing w:val="0"/>
              <w:rPr>
                <w:rFonts w:ascii="Times New Roman" w:hAnsi="Times New Roman" w:cs="Times New Roman"/>
                <w:sz w:val="24"/>
                <w:szCs w:val="24"/>
              </w:rPr>
            </w:pPr>
            <w:r w:rsidRPr="00854E06">
              <w:rPr>
                <w:rFonts w:ascii="Times New Roman" w:hAnsi="Times New Roman" w:cs="Times New Roman"/>
                <w:sz w:val="24"/>
                <w:szCs w:val="24"/>
              </w:rPr>
              <w:t>Minnesota River at Fort Snelling State Park, MN</w:t>
            </w:r>
          </w:p>
        </w:tc>
        <w:tc>
          <w:tcPr>
            <w:tcW w:w="4860" w:type="dxa"/>
          </w:tcPr>
          <w:p w:rsidR="002B764C" w:rsidRPr="00854E06" w:rsidRDefault="00EA5B16" w:rsidP="002B764C">
            <w:pPr>
              <w:spacing w:line="360" w:lineRule="auto"/>
              <w:rPr>
                <w:rFonts w:ascii="Times New Roman" w:hAnsi="Times New Roman" w:cs="Times New Roman"/>
              </w:rPr>
            </w:pPr>
            <w:r w:rsidRPr="00854E06">
              <w:rPr>
                <w:noProof/>
              </w:rPr>
              <w:drawing>
                <wp:inline distT="0" distB="0" distL="0" distR="0" wp14:anchorId="7C3BBAAB" wp14:editId="1A752883">
                  <wp:extent cx="2834640" cy="1901952"/>
                  <wp:effectExtent l="0" t="0" r="22860" b="22225"/>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2B764C" w:rsidRPr="00854E06" w:rsidRDefault="002B764C" w:rsidP="002B764C">
            <w:pPr>
              <w:pStyle w:val="ListParagraph"/>
              <w:numPr>
                <w:ilvl w:val="0"/>
                <w:numId w:val="23"/>
              </w:numPr>
              <w:spacing w:after="0" w:line="360" w:lineRule="auto"/>
              <w:contextualSpacing w:val="0"/>
              <w:rPr>
                <w:rFonts w:ascii="Times New Roman" w:hAnsi="Times New Roman" w:cs="Times New Roman"/>
                <w:sz w:val="24"/>
                <w:szCs w:val="24"/>
              </w:rPr>
            </w:pPr>
            <w:r w:rsidRPr="00854E06">
              <w:rPr>
                <w:rFonts w:ascii="Times New Roman" w:hAnsi="Times New Roman" w:cs="Times New Roman"/>
                <w:sz w:val="24"/>
                <w:szCs w:val="24"/>
              </w:rPr>
              <w:t>Iowa River at Oakville, IA</w:t>
            </w:r>
          </w:p>
        </w:tc>
      </w:tr>
      <w:tr w:rsidR="002B764C" w:rsidRPr="00854E06">
        <w:tc>
          <w:tcPr>
            <w:tcW w:w="4788" w:type="dxa"/>
          </w:tcPr>
          <w:p w:rsidR="002B764C" w:rsidRPr="00854E06" w:rsidRDefault="00EA5B16" w:rsidP="002B764C">
            <w:pPr>
              <w:spacing w:line="360" w:lineRule="auto"/>
              <w:rPr>
                <w:rFonts w:ascii="Times New Roman" w:hAnsi="Times New Roman" w:cs="Times New Roman"/>
              </w:rPr>
            </w:pPr>
            <w:r w:rsidRPr="00854E06">
              <w:rPr>
                <w:noProof/>
              </w:rPr>
              <w:drawing>
                <wp:inline distT="0" distB="0" distL="0" distR="0" wp14:anchorId="1B9FDCC5" wp14:editId="5EE5275D">
                  <wp:extent cx="2834640" cy="1901952"/>
                  <wp:effectExtent l="0" t="0" r="22860" b="22225"/>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B764C" w:rsidRPr="00854E06" w:rsidRDefault="002B764C" w:rsidP="002B764C">
            <w:pPr>
              <w:pStyle w:val="ListParagraph"/>
              <w:numPr>
                <w:ilvl w:val="0"/>
                <w:numId w:val="23"/>
              </w:numPr>
              <w:spacing w:after="0" w:line="360" w:lineRule="auto"/>
              <w:contextualSpacing w:val="0"/>
              <w:rPr>
                <w:rFonts w:ascii="Times New Roman" w:hAnsi="Times New Roman" w:cs="Times New Roman"/>
                <w:sz w:val="24"/>
                <w:szCs w:val="24"/>
              </w:rPr>
            </w:pPr>
            <w:r w:rsidRPr="00854E06">
              <w:rPr>
                <w:rFonts w:ascii="Times New Roman" w:hAnsi="Times New Roman" w:cs="Times New Roman"/>
                <w:sz w:val="24"/>
                <w:szCs w:val="24"/>
              </w:rPr>
              <w:t>Wisconsin River at Muscoda, WI</w:t>
            </w:r>
          </w:p>
        </w:tc>
        <w:tc>
          <w:tcPr>
            <w:tcW w:w="4860" w:type="dxa"/>
          </w:tcPr>
          <w:p w:rsidR="002B764C" w:rsidRPr="00854E06" w:rsidRDefault="00597D9F" w:rsidP="002B764C">
            <w:pPr>
              <w:spacing w:line="360" w:lineRule="auto"/>
              <w:outlineLvl w:val="2"/>
              <w:rPr>
                <w:rFonts w:ascii="Times New Roman" w:hAnsi="Times New Roman" w:cs="Times New Roman"/>
              </w:rPr>
            </w:pPr>
            <w:bookmarkStart w:id="34" w:name="_Toc387128999"/>
            <w:bookmarkStart w:id="35" w:name="_Toc388304368"/>
            <w:bookmarkStart w:id="36" w:name="_Toc389850278"/>
            <w:bookmarkStart w:id="37" w:name="_Toc390125045"/>
            <w:bookmarkStart w:id="38" w:name="_Toc390715085"/>
            <w:bookmarkStart w:id="39" w:name="_Toc393799951"/>
            <w:bookmarkStart w:id="40" w:name="_Toc394013093"/>
            <w:bookmarkStart w:id="41" w:name="_Toc394525557"/>
            <w:r w:rsidRPr="00854E06">
              <w:rPr>
                <w:noProof/>
              </w:rPr>
              <w:drawing>
                <wp:inline distT="0" distB="0" distL="0" distR="0" wp14:anchorId="182404A9" wp14:editId="38D3941F">
                  <wp:extent cx="2834640" cy="1901952"/>
                  <wp:effectExtent l="0" t="0" r="22860" b="22225"/>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bookmarkEnd w:id="34"/>
            <w:bookmarkEnd w:id="35"/>
            <w:bookmarkEnd w:id="36"/>
            <w:bookmarkEnd w:id="37"/>
            <w:bookmarkEnd w:id="38"/>
            <w:bookmarkEnd w:id="39"/>
            <w:bookmarkEnd w:id="40"/>
            <w:bookmarkEnd w:id="41"/>
          </w:p>
          <w:p w:rsidR="002B764C" w:rsidRPr="00854E06" w:rsidRDefault="002B764C" w:rsidP="002B764C">
            <w:pPr>
              <w:pStyle w:val="ListParagraph"/>
              <w:numPr>
                <w:ilvl w:val="0"/>
                <w:numId w:val="23"/>
              </w:numPr>
              <w:spacing w:after="0" w:line="360" w:lineRule="auto"/>
              <w:contextualSpacing w:val="0"/>
              <w:outlineLvl w:val="2"/>
              <w:rPr>
                <w:rFonts w:ascii="Times New Roman" w:hAnsi="Times New Roman" w:cs="Times New Roman"/>
                <w:sz w:val="24"/>
                <w:szCs w:val="24"/>
              </w:rPr>
            </w:pPr>
            <w:bookmarkStart w:id="42" w:name="_Toc381267904"/>
            <w:bookmarkStart w:id="43" w:name="_Toc387076717"/>
            <w:bookmarkStart w:id="44" w:name="_Toc387129000"/>
            <w:bookmarkStart w:id="45" w:name="_Toc388304369"/>
            <w:bookmarkStart w:id="46" w:name="_Toc389850279"/>
            <w:bookmarkStart w:id="47" w:name="_Toc390125046"/>
            <w:bookmarkStart w:id="48" w:name="_Toc390715086"/>
            <w:bookmarkStart w:id="49" w:name="_Toc393799952"/>
            <w:bookmarkStart w:id="50" w:name="_Toc394013094"/>
            <w:bookmarkStart w:id="51" w:name="_Toc394525558"/>
            <w:r w:rsidRPr="00854E06">
              <w:rPr>
                <w:rFonts w:ascii="Times New Roman" w:hAnsi="Times New Roman" w:cs="Times New Roman"/>
                <w:sz w:val="24"/>
                <w:szCs w:val="24"/>
              </w:rPr>
              <w:t>Illinois River at Valley City, IO</w:t>
            </w:r>
            <w:bookmarkEnd w:id="42"/>
            <w:bookmarkEnd w:id="43"/>
            <w:bookmarkEnd w:id="44"/>
            <w:bookmarkEnd w:id="45"/>
            <w:bookmarkEnd w:id="46"/>
            <w:bookmarkEnd w:id="47"/>
            <w:bookmarkEnd w:id="48"/>
            <w:bookmarkEnd w:id="49"/>
            <w:bookmarkEnd w:id="50"/>
            <w:bookmarkEnd w:id="51"/>
          </w:p>
        </w:tc>
      </w:tr>
      <w:tr w:rsidR="002B764C" w:rsidRPr="00854E06">
        <w:tc>
          <w:tcPr>
            <w:tcW w:w="4788" w:type="dxa"/>
          </w:tcPr>
          <w:p w:rsidR="002B764C" w:rsidRPr="00854E06" w:rsidRDefault="00EA5B16" w:rsidP="002B764C">
            <w:pPr>
              <w:spacing w:line="360" w:lineRule="auto"/>
              <w:rPr>
                <w:rFonts w:ascii="Times New Roman" w:hAnsi="Times New Roman" w:cs="Times New Roman"/>
              </w:rPr>
            </w:pPr>
            <w:r w:rsidRPr="00854E06">
              <w:rPr>
                <w:noProof/>
              </w:rPr>
              <w:drawing>
                <wp:inline distT="0" distB="0" distL="0" distR="0" wp14:anchorId="27E6431A" wp14:editId="47A90E1E">
                  <wp:extent cx="2834640" cy="1901952"/>
                  <wp:effectExtent l="0" t="0" r="22860" b="22225"/>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2B764C" w:rsidRPr="00854E06" w:rsidRDefault="002B764C" w:rsidP="002B764C">
            <w:pPr>
              <w:pStyle w:val="ListParagraph"/>
              <w:numPr>
                <w:ilvl w:val="0"/>
                <w:numId w:val="23"/>
              </w:numPr>
              <w:spacing w:after="0" w:line="360" w:lineRule="auto"/>
              <w:rPr>
                <w:noProof/>
              </w:rPr>
            </w:pPr>
            <w:r w:rsidRPr="00854E06">
              <w:rPr>
                <w:rFonts w:ascii="Times New Roman" w:hAnsi="Times New Roman" w:cs="Times New Roman"/>
                <w:sz w:val="24"/>
                <w:szCs w:val="24"/>
              </w:rPr>
              <w:t>Mississippi River at St. Louis, MO</w:t>
            </w:r>
          </w:p>
        </w:tc>
        <w:tc>
          <w:tcPr>
            <w:tcW w:w="4860" w:type="dxa"/>
          </w:tcPr>
          <w:p w:rsidR="002B764C" w:rsidRPr="00854E06" w:rsidRDefault="00290985" w:rsidP="002B764C">
            <w:pPr>
              <w:spacing w:line="360" w:lineRule="auto"/>
              <w:outlineLvl w:val="2"/>
            </w:pPr>
            <w:bookmarkStart w:id="52" w:name="_Toc381267905"/>
            <w:bookmarkStart w:id="53" w:name="_Toc387076718"/>
            <w:bookmarkStart w:id="54" w:name="_Toc387129001"/>
            <w:bookmarkStart w:id="55" w:name="_Toc388304370"/>
            <w:bookmarkStart w:id="56" w:name="_Toc389850280"/>
            <w:bookmarkStart w:id="57" w:name="_Toc390125047"/>
            <w:bookmarkStart w:id="58" w:name="_Toc390715087"/>
            <w:bookmarkStart w:id="59" w:name="_Toc393799953"/>
            <w:bookmarkStart w:id="60" w:name="_Toc394013095"/>
            <w:bookmarkStart w:id="61" w:name="_Toc394525559"/>
            <w:r>
              <w:rPr>
                <w:noProof/>
              </w:rPr>
              <w:drawing>
                <wp:anchor distT="0" distB="0" distL="114300" distR="114300" simplePos="0" relativeHeight="251663360" behindDoc="0" locked="0" layoutInCell="1" allowOverlap="1" wp14:anchorId="3B8F6E4A" wp14:editId="0886DB1D">
                  <wp:simplePos x="0" y="0"/>
                  <wp:positionH relativeFrom="column">
                    <wp:posOffset>19050</wp:posOffset>
                  </wp:positionH>
                  <wp:positionV relativeFrom="paragraph">
                    <wp:posOffset>196850</wp:posOffset>
                  </wp:positionV>
                  <wp:extent cx="1090930" cy="994410"/>
                  <wp:effectExtent l="19050" t="19050" r="13970" b="15240"/>
                  <wp:wrapSquare wrapText="bothSides"/>
                  <wp:docPr id="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90930" cy="994410"/>
                          </a:xfrm>
                          <a:prstGeom prst="rect">
                            <a:avLst/>
                          </a:prstGeom>
                          <a:noFill/>
                          <a:ln w="9525">
                            <a:solidFill>
                              <a:schemeClr val="bg1">
                                <a:lumMod val="50000"/>
                                <a:lumOff val="0"/>
                              </a:schemeClr>
                            </a:solidFill>
                            <a:miter lim="800000"/>
                            <a:headEnd/>
                            <a:tailEnd/>
                          </a:ln>
                        </pic:spPr>
                      </pic:pic>
                    </a:graphicData>
                  </a:graphic>
                  <wp14:sizeRelH relativeFrom="page">
                    <wp14:pctWidth>0</wp14:pctWidth>
                  </wp14:sizeRelH>
                  <wp14:sizeRelV relativeFrom="page">
                    <wp14:pctHeight>0</wp14:pctHeight>
                  </wp14:sizeRelV>
                </wp:anchor>
              </w:drawing>
            </w:r>
            <w:bookmarkEnd w:id="52"/>
            <w:bookmarkEnd w:id="53"/>
            <w:bookmarkEnd w:id="54"/>
            <w:bookmarkEnd w:id="55"/>
            <w:bookmarkEnd w:id="56"/>
            <w:bookmarkEnd w:id="57"/>
            <w:bookmarkEnd w:id="58"/>
            <w:bookmarkEnd w:id="59"/>
            <w:bookmarkEnd w:id="60"/>
            <w:bookmarkEnd w:id="61"/>
          </w:p>
          <w:p w:rsidR="002B764C" w:rsidRPr="00854E06" w:rsidRDefault="002B764C" w:rsidP="002B764C">
            <w:pPr>
              <w:spacing w:line="360" w:lineRule="auto"/>
              <w:jc w:val="center"/>
              <w:outlineLvl w:val="2"/>
            </w:pPr>
          </w:p>
        </w:tc>
      </w:tr>
    </w:tbl>
    <w:p w:rsidR="00D67667" w:rsidRPr="00854E06" w:rsidRDefault="008D23E0" w:rsidP="008D23E0">
      <w:pPr>
        <w:pStyle w:val="Caption"/>
        <w:jc w:val="center"/>
        <w:rPr>
          <w:rFonts w:cstheme="majorBidi"/>
          <w:color w:val="auto"/>
          <w:sz w:val="24"/>
          <w:szCs w:val="24"/>
        </w:rPr>
      </w:pPr>
      <w:bookmarkStart w:id="62" w:name="_Toc387129046"/>
      <w:bookmarkStart w:id="63" w:name="_Toc393799586"/>
      <w:proofErr w:type="gramStart"/>
      <w:r w:rsidRPr="00854E06">
        <w:rPr>
          <w:rFonts w:cstheme="majorBidi"/>
          <w:color w:val="auto"/>
          <w:sz w:val="24"/>
          <w:szCs w:val="24"/>
        </w:rPr>
        <w:t>Figure 3</w:t>
      </w:r>
      <w:r w:rsidR="0035342E" w:rsidRPr="00854E06">
        <w:rPr>
          <w:rFonts w:cstheme="majorBidi"/>
          <w:color w:val="auto"/>
          <w:sz w:val="24"/>
          <w:szCs w:val="24"/>
        </w:rPr>
        <w:noBreakHyphen/>
      </w:r>
      <w:r w:rsidR="00F41E6A" w:rsidRPr="00854E06">
        <w:rPr>
          <w:rFonts w:cstheme="majorBidi"/>
          <w:color w:val="auto"/>
          <w:sz w:val="24"/>
          <w:szCs w:val="24"/>
        </w:rPr>
        <w:fldChar w:fldCharType="begin"/>
      </w:r>
      <w:r w:rsidR="0035342E" w:rsidRPr="00854E06">
        <w:rPr>
          <w:rFonts w:cstheme="majorBidi"/>
          <w:color w:val="auto"/>
          <w:sz w:val="24"/>
          <w:szCs w:val="24"/>
        </w:rPr>
        <w:instrText xml:space="preserve"> SEQ Figure \* ARABIC \s 1 </w:instrText>
      </w:r>
      <w:r w:rsidR="00F41E6A" w:rsidRPr="00854E06">
        <w:rPr>
          <w:rFonts w:cstheme="majorBidi"/>
          <w:color w:val="auto"/>
          <w:sz w:val="24"/>
          <w:szCs w:val="24"/>
        </w:rPr>
        <w:fldChar w:fldCharType="separate"/>
      </w:r>
      <w:r w:rsidR="008E2F67">
        <w:rPr>
          <w:rFonts w:cstheme="majorBidi"/>
          <w:noProof/>
          <w:color w:val="auto"/>
          <w:sz w:val="24"/>
          <w:szCs w:val="24"/>
        </w:rPr>
        <w:t>6</w:t>
      </w:r>
      <w:r w:rsidR="00F41E6A" w:rsidRPr="00854E06">
        <w:rPr>
          <w:rFonts w:cstheme="majorBidi"/>
          <w:color w:val="auto"/>
          <w:sz w:val="24"/>
          <w:szCs w:val="24"/>
        </w:rPr>
        <w:fldChar w:fldCharType="end"/>
      </w:r>
      <w:r w:rsidR="00D67667" w:rsidRPr="00854E06">
        <w:rPr>
          <w:rFonts w:cstheme="majorBidi"/>
          <w:color w:val="auto"/>
          <w:sz w:val="24"/>
          <w:szCs w:val="24"/>
        </w:rPr>
        <w:t>.</w:t>
      </w:r>
      <w:proofErr w:type="gramEnd"/>
      <w:r w:rsidR="00D67667" w:rsidRPr="00854E06">
        <w:rPr>
          <w:rFonts w:cstheme="majorBidi"/>
          <w:color w:val="auto"/>
          <w:sz w:val="24"/>
          <w:szCs w:val="24"/>
        </w:rPr>
        <w:t xml:space="preserve"> Monthly average discharge </w:t>
      </w:r>
      <w:r w:rsidR="00D57E18" w:rsidRPr="00854E06">
        <w:rPr>
          <w:rFonts w:cstheme="majorBidi"/>
          <w:color w:val="auto"/>
          <w:sz w:val="24"/>
          <w:szCs w:val="24"/>
        </w:rPr>
        <w:t xml:space="preserve">measured </w:t>
      </w:r>
      <w:r w:rsidR="00D67667" w:rsidRPr="00854E06">
        <w:rPr>
          <w:rFonts w:cstheme="majorBidi"/>
          <w:color w:val="auto"/>
          <w:sz w:val="24"/>
          <w:szCs w:val="24"/>
        </w:rPr>
        <w:t xml:space="preserve">at five </w:t>
      </w:r>
      <w:r w:rsidR="00D57E18" w:rsidRPr="00854E06">
        <w:rPr>
          <w:rFonts w:cstheme="majorBidi"/>
          <w:color w:val="auto"/>
          <w:sz w:val="24"/>
          <w:szCs w:val="24"/>
        </w:rPr>
        <w:t xml:space="preserve">gauging </w:t>
      </w:r>
      <w:r w:rsidR="00D67667" w:rsidRPr="00854E06">
        <w:rPr>
          <w:rFonts w:cstheme="majorBidi"/>
          <w:color w:val="auto"/>
          <w:sz w:val="24"/>
          <w:szCs w:val="24"/>
        </w:rPr>
        <w:t>stations in the UMRB</w:t>
      </w:r>
      <w:bookmarkEnd w:id="62"/>
      <w:bookmarkEnd w:id="63"/>
    </w:p>
    <w:p w:rsidR="002B764C" w:rsidRPr="00854E06" w:rsidRDefault="00F41E6A" w:rsidP="002B764C">
      <w:pPr>
        <w:spacing w:after="600"/>
        <w:jc w:val="center"/>
        <w:rPr>
          <w:rFonts w:ascii="Times New Roman" w:hAnsi="Times New Roman" w:cs="Times New Roman"/>
          <w:b/>
          <w:bCs/>
        </w:rPr>
      </w:pPr>
      <w:r w:rsidRPr="00854E06">
        <w:rPr>
          <w:rFonts w:ascii="Times New Roman" w:hAnsi="Times New Roman" w:cs="Times New Roman"/>
          <w:b/>
          <w:bCs/>
        </w:rPr>
        <w:fldChar w:fldCharType="begin"/>
      </w:r>
      <w:r w:rsidR="002B764C" w:rsidRPr="00854E06">
        <w:rPr>
          <w:rFonts w:ascii="Times New Roman" w:hAnsi="Times New Roman" w:cs="Times New Roman"/>
          <w:b/>
          <w:bCs/>
        </w:rPr>
        <w:instrText xml:space="preserve"> ADDIN ZOTERO_ITEM CSL_CITATION {"citationID":"KmeBH8fW","properties":{"formattedCitation":"(USGS 2001)","plainCitation":"(USGS 2001)"},"citationItems":[{"id":459,"uris":["http://zotero.org/users/1706519/items/ZCEEZC5G"],"uri":["http://zotero.org/users/1706519/items/ZCEEZC5G"],"itemData":{"id":459,"type":"article","title":"USGS Water Data for the Nation","URL":"http://waterdata.usgs.gov/usa/nwis/sw","author":[{"family":"USGS","given":""}],"issued":{"date-parts":[["2001"]]}}}],"schema":"https://github.com/citation-style-language/schema/raw/master/csl-citation.json"} </w:instrText>
      </w:r>
      <w:r w:rsidRPr="00854E06">
        <w:rPr>
          <w:rFonts w:ascii="Times New Roman" w:hAnsi="Times New Roman" w:cs="Times New Roman"/>
          <w:b/>
          <w:bCs/>
        </w:rPr>
        <w:fldChar w:fldCharType="separate"/>
      </w:r>
      <w:r w:rsidR="002B764C" w:rsidRPr="00854E06">
        <w:rPr>
          <w:rFonts w:ascii="Times New Roman" w:hAnsi="Times New Roman" w:cs="Times New Roman"/>
          <w:b/>
          <w:bCs/>
        </w:rPr>
        <w:t>(Source: USGS 2001)</w:t>
      </w:r>
      <w:r w:rsidRPr="00854E06">
        <w:rPr>
          <w:rFonts w:ascii="Times New Roman" w:hAnsi="Times New Roman" w:cs="Times New Roman"/>
          <w:b/>
          <w:bCs/>
        </w:rPr>
        <w:fldChar w:fldCharType="end"/>
      </w:r>
    </w:p>
    <w:p w:rsidR="002B764C" w:rsidRPr="00854E06" w:rsidRDefault="002B764C" w:rsidP="002B764C">
      <w:pPr>
        <w:rPr>
          <w:rFonts w:ascii="Times New Roman" w:hAnsi="Times New Roman" w:cs="Times New Roman"/>
          <w:b/>
          <w:bCs/>
        </w:rPr>
      </w:pPr>
      <w:r w:rsidRPr="00854E06">
        <w:rPr>
          <w:rFonts w:ascii="Times New Roman" w:hAnsi="Times New Roman" w:cs="Times New Roman"/>
          <w:b/>
          <w:bCs/>
        </w:rPr>
        <w:br w:type="page"/>
      </w:r>
    </w:p>
    <w:p w:rsidR="002B764C" w:rsidRPr="00523FFD" w:rsidRDefault="002B764C" w:rsidP="00372367">
      <w:pPr>
        <w:pStyle w:val="Heading2"/>
        <w:numPr>
          <w:ilvl w:val="0"/>
          <w:numId w:val="41"/>
        </w:numPr>
        <w:ind w:left="360"/>
      </w:pPr>
      <w:bookmarkStart w:id="64" w:name="_Toc394525560"/>
      <w:r w:rsidRPr="00523FFD">
        <w:lastRenderedPageBreak/>
        <w:t>Soil</w:t>
      </w:r>
      <w:bookmarkEnd w:id="64"/>
    </w:p>
    <w:p w:rsidR="00E63DA3" w:rsidRPr="00E63DA3" w:rsidRDefault="00E63DA3" w:rsidP="00E63DA3">
      <w:pPr>
        <w:spacing w:before="120" w:after="120" w:line="480" w:lineRule="auto"/>
        <w:ind w:firstLine="720"/>
        <w:rPr>
          <w:rFonts w:ascii="Times New Roman" w:hAnsi="Times New Roman" w:cs="Times New Roman"/>
          <w:bCs/>
        </w:rPr>
      </w:pPr>
      <w:r w:rsidRPr="00E63DA3">
        <w:rPr>
          <w:rFonts w:ascii="Times New Roman" w:hAnsi="Times New Roman" w:cs="Times New Roman"/>
          <w:bCs/>
        </w:rPr>
        <w:t xml:space="preserve">The soil permeability map (Figure 3.7), derived from USGS soil data, </w:t>
      </w:r>
      <w:r w:rsidR="00F41E6A" w:rsidRPr="00E63DA3">
        <w:rPr>
          <w:rFonts w:ascii="Times New Roman" w:hAnsi="Times New Roman" w:cs="Times New Roman"/>
          <w:bCs/>
        </w:rPr>
        <w:fldChar w:fldCharType="begin"/>
      </w:r>
      <w:r w:rsidRPr="00E63DA3">
        <w:rPr>
          <w:rFonts w:ascii="Times New Roman" w:hAnsi="Times New Roman" w:cs="Times New Roman"/>
          <w:bCs/>
        </w:rPr>
        <w:instrText xml:space="preserve"> ADDIN ZOTERO_ITEM CSL_CITATION {"citationID":"fT0ZRYqP","properties":{"formattedCitation":"(Wolock 1997)","plainCitation":"(Wolock 1997)"},"citationItems":[{"id":461,"uris":["http://zotero.org/users/1706519/items/EITPC5G7"],"uri":["http://zotero.org/users/1706519/items/EITPC5G7"],"itemData":{"id":461,"type":"report","title":"STATSGO soil characteristics for the conterminous United States","publisher":"U.S. Geological Survey","publisher-place":"Lawrence, KS","event-place":"Lawrence, KS","URL":"http://water.usgs.gov/lookup/getspatial?muid","number":"656","author":[{"family":"Wolock","given":"D.M."}],"issued":{"date-parts":[["1997"]]},"accessed":{"date-parts":[["2014",2,15]]}}}],"schema":"https://github.com/citation-style-language/schema/raw/master/csl-citation.json"} </w:instrText>
      </w:r>
      <w:r w:rsidR="00F41E6A" w:rsidRPr="00E63DA3">
        <w:rPr>
          <w:rFonts w:ascii="Times New Roman" w:hAnsi="Times New Roman" w:cs="Times New Roman"/>
          <w:bCs/>
        </w:rPr>
        <w:fldChar w:fldCharType="separate"/>
      </w:r>
      <w:r w:rsidRPr="00E63DA3">
        <w:rPr>
          <w:rFonts w:ascii="Times New Roman" w:hAnsi="Times New Roman" w:cs="Times New Roman"/>
        </w:rPr>
        <w:t>(Wolock 1997)</w:t>
      </w:r>
      <w:r w:rsidR="00F41E6A" w:rsidRPr="00E63DA3">
        <w:rPr>
          <w:rFonts w:ascii="Times New Roman" w:hAnsi="Times New Roman" w:cs="Times New Roman"/>
          <w:bCs/>
        </w:rPr>
        <w:fldChar w:fldCharType="end"/>
      </w:r>
      <w:r w:rsidRPr="00E63DA3">
        <w:rPr>
          <w:rFonts w:ascii="Times New Roman" w:hAnsi="Times New Roman" w:cs="Times New Roman"/>
          <w:bCs/>
        </w:rPr>
        <w:t xml:space="preserve">, shows that, in most portions of the basin, the rate of soil permeability is in the range from 6.19 to 83.57 millimeters/hour. These rates are classified as slow to moderate permeability for agricultural soils.  Areas of low permeability generate rainfall runoff more readily, thus having greater potential to erode soil. In addition, the K-factor map (Figure 3.7) shows that soils in the central to southern part of the UMRB are more erodible than soils in other parts of the basin. The two maps show an association between low values of soil permeability and high values of soil </w:t>
      </w:r>
      <w:proofErr w:type="spellStart"/>
      <w:r w:rsidRPr="00E63DA3">
        <w:rPr>
          <w:rFonts w:ascii="Times New Roman" w:hAnsi="Times New Roman" w:cs="Times New Roman"/>
          <w:bCs/>
        </w:rPr>
        <w:t>erodibility</w:t>
      </w:r>
      <w:proofErr w:type="spellEnd"/>
      <w:r w:rsidRPr="00E63DA3">
        <w:rPr>
          <w:rFonts w:ascii="Times New Roman" w:hAnsi="Times New Roman" w:cs="Times New Roman"/>
          <w:bCs/>
        </w:rPr>
        <w:t xml:space="preserve"> in the southern part of the basin. Soils in this area are mostly </w:t>
      </w:r>
      <w:proofErr w:type="spellStart"/>
      <w:r w:rsidRPr="00E63DA3">
        <w:rPr>
          <w:rFonts w:ascii="Times New Roman" w:hAnsi="Times New Roman" w:cs="Times New Roman"/>
          <w:bCs/>
        </w:rPr>
        <w:t>Mollisols</w:t>
      </w:r>
      <w:proofErr w:type="spellEnd"/>
      <w:r w:rsidRPr="00E63DA3">
        <w:rPr>
          <w:rFonts w:ascii="Times New Roman" w:hAnsi="Times New Roman" w:cs="Times New Roman"/>
          <w:bCs/>
        </w:rPr>
        <w:t xml:space="preserve"> (Web Soil Survey, 2014) with high organic matter contents and a silt-loam texture </w:t>
      </w:r>
      <w:r w:rsidR="00F41E6A" w:rsidRPr="00E63DA3">
        <w:rPr>
          <w:rFonts w:ascii="Times New Roman" w:hAnsi="Times New Roman" w:cs="Times New Roman"/>
          <w:bCs/>
        </w:rPr>
        <w:fldChar w:fldCharType="begin"/>
      </w:r>
      <w:r w:rsidRPr="00E63DA3">
        <w:rPr>
          <w:rFonts w:ascii="Times New Roman" w:hAnsi="Times New Roman" w:cs="Times New Roman"/>
          <w:bCs/>
        </w:rPr>
        <w:instrText xml:space="preserve"> ADDIN ZOTERO_ITEM CSL_CITATION {"citationID":"CMRzAN6r","properties":{"formattedCitation":"(Soil Survey Staff 1999)","plainCitation":"(Soil Survey Staff 1999)"},"citationItems":[{"id":463,"uris":["http://zotero.org/users/1706519/items/X2C9JVFV"],"uri":["http://zotero.org/users/1706519/items/X2C9JVFV"],"itemData":{"id":463,"type":"report","title":"Soil Taxonomy: A Basic System of Soil Classification for Making and Interpreting Soil Surveys","publisher":"Natural Resources Conservation Practice, United States Department of Agriculture","genre":"Agricultual Handbook","number":"436","author":[{"family":"Soil Survey Staff","given":""}],"issued":{"date-parts":[["1999"]]}}}],"schema":"https://github.com/citation-style-language/schema/raw/master/csl-citation.json"} </w:instrText>
      </w:r>
      <w:r w:rsidR="00F41E6A" w:rsidRPr="00E63DA3">
        <w:rPr>
          <w:rFonts w:ascii="Times New Roman" w:hAnsi="Times New Roman" w:cs="Times New Roman"/>
          <w:bCs/>
        </w:rPr>
        <w:fldChar w:fldCharType="separate"/>
      </w:r>
      <w:r w:rsidRPr="00E63DA3">
        <w:rPr>
          <w:rFonts w:ascii="Times New Roman" w:hAnsi="Times New Roman" w:cs="Times New Roman"/>
        </w:rPr>
        <w:t>(Soil Survey Staff 1999)</w:t>
      </w:r>
      <w:r w:rsidR="00F41E6A" w:rsidRPr="00E63DA3">
        <w:rPr>
          <w:rFonts w:ascii="Times New Roman" w:hAnsi="Times New Roman" w:cs="Times New Roman"/>
          <w:bCs/>
        </w:rPr>
        <w:fldChar w:fldCharType="end"/>
      </w:r>
      <w:r w:rsidRPr="00E63DA3">
        <w:rPr>
          <w:rFonts w:ascii="Times New Roman" w:hAnsi="Times New Roman" w:cs="Times New Roman"/>
          <w:bCs/>
        </w:rPr>
        <w:t xml:space="preserve">. </w:t>
      </w:r>
    </w:p>
    <w:p w:rsidR="00222425" w:rsidRDefault="00222425" w:rsidP="003907AB">
      <w:pPr>
        <w:pStyle w:val="ListParagraph"/>
        <w:keepNext/>
        <w:spacing w:before="120" w:after="120" w:line="480" w:lineRule="auto"/>
        <w:contextualSpacing w:val="0"/>
        <w:jc w:val="center"/>
        <w:sectPr w:rsidR="00222425" w:rsidSect="00222425">
          <w:pgSz w:w="12240" w:h="15840" w:code="1"/>
          <w:pgMar w:top="1440" w:right="1440" w:bottom="1440" w:left="1440" w:header="720" w:footer="720" w:gutter="0"/>
          <w:cols w:space="720"/>
          <w:docGrid w:linePitch="360"/>
        </w:sectPr>
      </w:pPr>
    </w:p>
    <w:p w:rsidR="003907AB" w:rsidRPr="00854E06" w:rsidRDefault="007B6051" w:rsidP="003907AB">
      <w:pPr>
        <w:pStyle w:val="ListParagraph"/>
        <w:keepNext/>
        <w:spacing w:before="120" w:after="120" w:line="480" w:lineRule="auto"/>
        <w:contextualSpacing w:val="0"/>
        <w:jc w:val="center"/>
      </w:pPr>
      <w:r>
        <w:rPr>
          <w:noProof/>
        </w:rPr>
        <w:lastRenderedPageBreak/>
        <w:drawing>
          <wp:inline distT="0" distB="0" distL="0" distR="0" wp14:anchorId="38908CED" wp14:editId="1C7B2C14">
            <wp:extent cx="6403195" cy="4949943"/>
            <wp:effectExtent l="19050" t="19050" r="17145" b="222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il_reg7_map.jpg"/>
                    <pic:cNvPicPr/>
                  </pic:nvPicPr>
                  <pic:blipFill>
                    <a:blip r:embed="rId28">
                      <a:extLst>
                        <a:ext uri="{28A0092B-C50C-407E-A947-70E740481C1C}">
                          <a14:useLocalDpi xmlns:a14="http://schemas.microsoft.com/office/drawing/2010/main" val="0"/>
                        </a:ext>
                      </a:extLst>
                    </a:blip>
                    <a:stretch>
                      <a:fillRect/>
                    </a:stretch>
                  </pic:blipFill>
                  <pic:spPr>
                    <a:xfrm>
                      <a:off x="0" y="0"/>
                      <a:ext cx="6402919" cy="4949730"/>
                    </a:xfrm>
                    <a:prstGeom prst="rect">
                      <a:avLst/>
                    </a:prstGeom>
                    <a:ln>
                      <a:solidFill>
                        <a:schemeClr val="tx1"/>
                      </a:solidFill>
                    </a:ln>
                  </pic:spPr>
                </pic:pic>
              </a:graphicData>
            </a:graphic>
          </wp:inline>
        </w:drawing>
      </w:r>
    </w:p>
    <w:p w:rsidR="00E509D3" w:rsidRPr="00854E06" w:rsidRDefault="003907AB" w:rsidP="008D23E0">
      <w:pPr>
        <w:pStyle w:val="Caption"/>
        <w:jc w:val="center"/>
        <w:rPr>
          <w:rFonts w:ascii="Times New Roman" w:hAnsi="Times New Roman" w:cs="Times New Roman"/>
          <w:color w:val="auto"/>
          <w:sz w:val="24"/>
          <w:szCs w:val="24"/>
        </w:rPr>
      </w:pPr>
      <w:bookmarkStart w:id="65" w:name="_Toc393799587"/>
      <w:bookmarkStart w:id="66" w:name="_Toc387129047"/>
      <w:proofErr w:type="gramStart"/>
      <w:r w:rsidRPr="00854E06">
        <w:rPr>
          <w:rFonts w:cstheme="majorBidi"/>
          <w:color w:val="auto"/>
          <w:sz w:val="24"/>
          <w:szCs w:val="24"/>
        </w:rPr>
        <w:t xml:space="preserve">Figure </w:t>
      </w:r>
      <w:r w:rsidR="008D23E0" w:rsidRPr="00854E06">
        <w:rPr>
          <w:rFonts w:cstheme="majorBidi"/>
          <w:color w:val="auto"/>
          <w:sz w:val="24"/>
          <w:szCs w:val="24"/>
        </w:rPr>
        <w:t>3</w:t>
      </w:r>
      <w:r w:rsidR="0035342E" w:rsidRPr="00854E06">
        <w:rPr>
          <w:rFonts w:cstheme="majorBidi"/>
          <w:color w:val="auto"/>
          <w:sz w:val="24"/>
          <w:szCs w:val="24"/>
        </w:rPr>
        <w:noBreakHyphen/>
      </w:r>
      <w:r w:rsidR="00F41E6A" w:rsidRPr="00854E06">
        <w:rPr>
          <w:rFonts w:cstheme="majorBidi"/>
          <w:color w:val="auto"/>
          <w:sz w:val="24"/>
          <w:szCs w:val="24"/>
        </w:rPr>
        <w:fldChar w:fldCharType="begin"/>
      </w:r>
      <w:r w:rsidR="0035342E" w:rsidRPr="00854E06">
        <w:rPr>
          <w:rFonts w:cstheme="majorBidi"/>
          <w:color w:val="auto"/>
          <w:sz w:val="24"/>
          <w:szCs w:val="24"/>
        </w:rPr>
        <w:instrText xml:space="preserve"> SEQ Figure \* ARABIC \s 1 </w:instrText>
      </w:r>
      <w:r w:rsidR="00F41E6A" w:rsidRPr="00854E06">
        <w:rPr>
          <w:rFonts w:cstheme="majorBidi"/>
          <w:color w:val="auto"/>
          <w:sz w:val="24"/>
          <w:szCs w:val="24"/>
        </w:rPr>
        <w:fldChar w:fldCharType="separate"/>
      </w:r>
      <w:r w:rsidR="008E2F67">
        <w:rPr>
          <w:rFonts w:cstheme="majorBidi"/>
          <w:noProof/>
          <w:color w:val="auto"/>
          <w:sz w:val="24"/>
          <w:szCs w:val="24"/>
        </w:rPr>
        <w:t>7</w:t>
      </w:r>
      <w:r w:rsidR="00F41E6A" w:rsidRPr="00854E06">
        <w:rPr>
          <w:rFonts w:cstheme="majorBidi"/>
          <w:color w:val="auto"/>
          <w:sz w:val="24"/>
          <w:szCs w:val="24"/>
        </w:rPr>
        <w:fldChar w:fldCharType="end"/>
      </w:r>
      <w:r w:rsidRPr="00854E06">
        <w:rPr>
          <w:rFonts w:cstheme="majorBidi"/>
          <w:color w:val="auto"/>
          <w:sz w:val="24"/>
          <w:szCs w:val="24"/>
        </w:rPr>
        <w:t>.</w:t>
      </w:r>
      <w:proofErr w:type="gramEnd"/>
      <w:r w:rsidR="00E509D3" w:rsidRPr="00854E06">
        <w:rPr>
          <w:rFonts w:cstheme="majorBidi"/>
          <w:color w:val="auto"/>
          <w:sz w:val="24"/>
          <w:szCs w:val="24"/>
        </w:rPr>
        <w:t xml:space="preserve"> </w:t>
      </w:r>
      <w:r w:rsidRPr="00854E06">
        <w:rPr>
          <w:rFonts w:cstheme="majorBidi"/>
          <w:color w:val="auto"/>
          <w:sz w:val="24"/>
          <w:szCs w:val="24"/>
        </w:rPr>
        <w:t xml:space="preserve">Soil permeability and soil </w:t>
      </w:r>
      <w:proofErr w:type="spellStart"/>
      <w:r w:rsidRPr="00854E06">
        <w:rPr>
          <w:rFonts w:cstheme="majorBidi"/>
          <w:color w:val="auto"/>
          <w:sz w:val="24"/>
          <w:szCs w:val="24"/>
        </w:rPr>
        <w:t>erodibility</w:t>
      </w:r>
      <w:proofErr w:type="spellEnd"/>
      <w:r w:rsidRPr="00854E06">
        <w:rPr>
          <w:rFonts w:cstheme="majorBidi"/>
          <w:color w:val="auto"/>
          <w:sz w:val="24"/>
          <w:szCs w:val="24"/>
        </w:rPr>
        <w:t xml:space="preserve"> </w:t>
      </w:r>
      <w:r w:rsidR="00B0148E">
        <w:rPr>
          <w:rFonts w:cstheme="majorBidi"/>
          <w:color w:val="auto"/>
          <w:sz w:val="24"/>
          <w:szCs w:val="24"/>
        </w:rPr>
        <w:t xml:space="preserve">(K </w:t>
      </w:r>
      <w:r w:rsidRPr="00854E06">
        <w:rPr>
          <w:rFonts w:cstheme="majorBidi"/>
          <w:color w:val="auto"/>
          <w:sz w:val="24"/>
          <w:szCs w:val="24"/>
        </w:rPr>
        <w:t>factor</w:t>
      </w:r>
      <w:r w:rsidR="00B0148E">
        <w:rPr>
          <w:rFonts w:cstheme="majorBidi"/>
          <w:color w:val="auto"/>
          <w:sz w:val="24"/>
          <w:szCs w:val="24"/>
        </w:rPr>
        <w:t>)</w:t>
      </w:r>
      <w:r w:rsidRPr="00854E06">
        <w:rPr>
          <w:rFonts w:cstheme="majorBidi"/>
          <w:color w:val="auto"/>
          <w:sz w:val="24"/>
          <w:szCs w:val="24"/>
        </w:rPr>
        <w:t xml:space="preserve"> in the UMRB</w:t>
      </w:r>
      <w:r w:rsidR="00C6351D">
        <w:rPr>
          <w:rFonts w:cstheme="majorBidi"/>
          <w:color w:val="auto"/>
          <w:sz w:val="24"/>
          <w:szCs w:val="24"/>
        </w:rPr>
        <w:t xml:space="preserve"> (soil loss per erosion unit)</w:t>
      </w:r>
      <w:r w:rsidR="002B764C" w:rsidRPr="00854E06">
        <w:rPr>
          <w:rFonts w:ascii="Times New Roman" w:hAnsi="Times New Roman" w:cs="Times New Roman"/>
          <w:color w:val="auto"/>
          <w:sz w:val="24"/>
          <w:szCs w:val="24"/>
        </w:rPr>
        <w:t xml:space="preserve"> </w:t>
      </w:r>
      <w:bookmarkEnd w:id="65"/>
    </w:p>
    <w:p w:rsidR="002B764C" w:rsidRPr="00854E06" w:rsidRDefault="002B764C" w:rsidP="00E509D3">
      <w:pPr>
        <w:pStyle w:val="Caption"/>
        <w:jc w:val="center"/>
        <w:rPr>
          <w:rFonts w:ascii="Times New Roman" w:hAnsi="Times New Roman" w:cs="Times New Roman"/>
          <w:b w:val="0"/>
          <w:bCs w:val="0"/>
          <w:color w:val="auto"/>
          <w:sz w:val="24"/>
          <w:szCs w:val="24"/>
        </w:rPr>
        <w:sectPr w:rsidR="002B764C" w:rsidRPr="00854E06">
          <w:pgSz w:w="15840" w:h="12240" w:orient="landscape" w:code="1"/>
          <w:pgMar w:top="1440" w:right="1440" w:bottom="1440" w:left="1440" w:header="720" w:footer="720" w:gutter="0"/>
          <w:cols w:space="720"/>
          <w:docGrid w:linePitch="360"/>
        </w:sectPr>
      </w:pPr>
      <w:r w:rsidRPr="00854E06">
        <w:rPr>
          <w:rFonts w:ascii="Times New Roman" w:hAnsi="Times New Roman" w:cs="Times New Roman"/>
          <w:color w:val="auto"/>
          <w:sz w:val="24"/>
          <w:szCs w:val="24"/>
        </w:rPr>
        <w:t>(</w:t>
      </w:r>
      <w:r w:rsidR="00E509D3" w:rsidRPr="00854E06">
        <w:rPr>
          <w:rFonts w:ascii="Times New Roman" w:hAnsi="Times New Roman" w:cs="Times New Roman"/>
          <w:color w:val="auto"/>
          <w:sz w:val="24"/>
          <w:szCs w:val="24"/>
        </w:rPr>
        <w:t>S</w:t>
      </w:r>
      <w:r w:rsidRPr="00854E06">
        <w:rPr>
          <w:rFonts w:ascii="Times New Roman" w:hAnsi="Times New Roman" w:cs="Times New Roman"/>
          <w:color w:val="auto"/>
          <w:sz w:val="24"/>
          <w:szCs w:val="24"/>
        </w:rPr>
        <w:t>ource:</w:t>
      </w:r>
      <w:r w:rsidR="00593ABD">
        <w:rPr>
          <w:rFonts w:ascii="Times New Roman" w:hAnsi="Times New Roman" w:cs="Times New Roman"/>
          <w:color w:val="auto"/>
          <w:sz w:val="24"/>
          <w:szCs w:val="24"/>
        </w:rPr>
        <w:t xml:space="preserve"> </w:t>
      </w:r>
      <w:r w:rsidR="00F41E6A" w:rsidRPr="00854E06">
        <w:rPr>
          <w:rFonts w:ascii="Times New Roman" w:hAnsi="Times New Roman" w:cs="Times New Roman"/>
          <w:color w:val="auto"/>
          <w:sz w:val="24"/>
          <w:szCs w:val="24"/>
        </w:rPr>
        <w:fldChar w:fldCharType="begin"/>
      </w:r>
      <w:r w:rsidR="00E509D3" w:rsidRPr="00854E06">
        <w:rPr>
          <w:rFonts w:ascii="Times New Roman" w:hAnsi="Times New Roman" w:cs="Times New Roman"/>
          <w:color w:val="auto"/>
          <w:sz w:val="24"/>
          <w:szCs w:val="24"/>
        </w:rPr>
        <w:instrText xml:space="preserve"> ADDIN ZOTERO_ITEM CSL_CITATION {"citationID":"gRFjtqFC","properties":{"formattedCitation":"(Wolock 1997)","plainCitation":"(Wolock 1997)"},"citationItems":[{"id":461,"uris":["http://zotero.org/users/1706519/items/EITPC5G7"],"uri":["http://zotero.org/users/1706519/items/EITPC5G7"],"itemData":{"id":461,"type":"report","title":"STATSGO soil characteristics for the conterminous United States","publisher":"U.S. Geological Survey","publisher-place":"Lawrence, KS","event-place":"Lawrence, KS","URL":"http://water.usgs.gov/lookup/getspatial?muid","number":"656","author":[{"family":"Wolock","given":"D.M."}],"issued":{"date-parts":[["1997"]]},"accessed":{"date-parts":[["2014",2,15]]}}}],"schema":"https://github.com/citation-style-language/schema/raw/master/csl-citation.json"} </w:instrText>
      </w:r>
      <w:r w:rsidR="00F41E6A" w:rsidRPr="00854E06">
        <w:rPr>
          <w:rFonts w:ascii="Times New Roman" w:hAnsi="Times New Roman" w:cs="Times New Roman"/>
          <w:color w:val="auto"/>
          <w:sz w:val="24"/>
          <w:szCs w:val="24"/>
        </w:rPr>
        <w:fldChar w:fldCharType="separate"/>
      </w:r>
      <w:r w:rsidR="00E509D3" w:rsidRPr="00854E06">
        <w:rPr>
          <w:rFonts w:ascii="Times New Roman" w:hAnsi="Times New Roman" w:cs="Times New Roman"/>
          <w:color w:val="auto"/>
          <w:sz w:val="24"/>
        </w:rPr>
        <w:t>Wolock 1997)</w:t>
      </w:r>
      <w:r w:rsidR="00F41E6A" w:rsidRPr="00854E06">
        <w:rPr>
          <w:rFonts w:ascii="Times New Roman" w:hAnsi="Times New Roman" w:cs="Times New Roman"/>
          <w:color w:val="auto"/>
          <w:sz w:val="24"/>
          <w:szCs w:val="24"/>
        </w:rPr>
        <w:fldChar w:fldCharType="end"/>
      </w:r>
      <w:bookmarkEnd w:id="66"/>
    </w:p>
    <w:p w:rsidR="00E63DA3" w:rsidRPr="00523FFD" w:rsidRDefault="00E63DA3" w:rsidP="00372367">
      <w:pPr>
        <w:pStyle w:val="Heading2"/>
        <w:numPr>
          <w:ilvl w:val="0"/>
          <w:numId w:val="41"/>
        </w:numPr>
        <w:ind w:left="360"/>
      </w:pPr>
      <w:bookmarkStart w:id="67" w:name="_Toc394525561"/>
      <w:r w:rsidRPr="00523FFD">
        <w:lastRenderedPageBreak/>
        <w:t>Land use – Land cover</w:t>
      </w:r>
      <w:bookmarkEnd w:id="67"/>
    </w:p>
    <w:p w:rsidR="00E63DA3" w:rsidRPr="00854E06" w:rsidRDefault="00E63DA3" w:rsidP="00E63DA3">
      <w:pPr>
        <w:pStyle w:val="ListParagraph"/>
        <w:spacing w:before="120" w:after="120" w:line="480" w:lineRule="auto"/>
        <w:ind w:left="0" w:firstLine="720"/>
        <w:contextualSpacing w:val="0"/>
        <w:jc w:val="both"/>
        <w:rPr>
          <w:rFonts w:ascii="Times New Roman" w:hAnsi="Times New Roman" w:cs="Times New Roman"/>
          <w:sz w:val="24"/>
          <w:szCs w:val="24"/>
        </w:rPr>
      </w:pPr>
      <w:r w:rsidRPr="00854E06">
        <w:rPr>
          <w:rFonts w:ascii="Times New Roman" w:hAnsi="Times New Roman" w:cs="Times New Roman"/>
          <w:sz w:val="24"/>
          <w:szCs w:val="24"/>
        </w:rPr>
        <w:t xml:space="preserve">Agriculture has been the predominant land use in the UMRB from </w:t>
      </w:r>
      <w:r>
        <w:rPr>
          <w:rFonts w:ascii="Times New Roman" w:hAnsi="Times New Roman" w:cs="Times New Roman"/>
          <w:sz w:val="24"/>
          <w:szCs w:val="24"/>
        </w:rPr>
        <w:t xml:space="preserve">the time of </w:t>
      </w:r>
      <w:r w:rsidRPr="00854E06">
        <w:rPr>
          <w:rFonts w:ascii="Times New Roman" w:hAnsi="Times New Roman" w:cs="Times New Roman"/>
          <w:sz w:val="24"/>
          <w:szCs w:val="24"/>
        </w:rPr>
        <w:t xml:space="preserve">European settlement (1700s) until the present </w:t>
      </w:r>
      <w:r w:rsidR="00F41E6A" w:rsidRPr="00854E06">
        <w:rPr>
          <w:rFonts w:ascii="Times New Roman" w:hAnsi="Times New Roman" w:cs="Times New Roman"/>
          <w:sz w:val="24"/>
          <w:szCs w:val="24"/>
        </w:rPr>
        <w:fldChar w:fldCharType="begin"/>
      </w:r>
      <w:r w:rsidRPr="00854E06">
        <w:rPr>
          <w:rFonts w:ascii="Times New Roman" w:hAnsi="Times New Roman" w:cs="Times New Roman"/>
          <w:sz w:val="24"/>
          <w:szCs w:val="24"/>
        </w:rPr>
        <w:instrText xml:space="preserve"> ADDIN ZOTERO_ITEM CSL_CITATION {"citationID":"bSdJeMxf","properties":{"formattedCitation":"(Julien and Vensel 2005)","plainCitation":"(Julien and Vensel 2005)"},"citationItems":[{"id":47,"uris":["http://zotero.org/users/1706519/items/AWEMXXW7"],"uri":["http://zotero.org/users/1706519/items/AWEMXXW7"],"itemData":{"id":47,"type":"report","title":"Review of Sedimentation Issues on the Mississippi River","publisher":"Dept. of Civil and Environmental Engineering","genre":"Report Presented to the UNESCO: ISI","author":[{"family":"Julien","given":"Pierre Y."},{"family":"Vensel","given":"Chad W."}],"issued":{"date-parts":[["2005",11]]}}}],"schema":"https://github.com/citation-style-language/schema/raw/master/csl-citation.json"} </w:instrText>
      </w:r>
      <w:r w:rsidR="00F41E6A" w:rsidRPr="00854E06">
        <w:rPr>
          <w:rFonts w:ascii="Times New Roman" w:hAnsi="Times New Roman" w:cs="Times New Roman"/>
          <w:sz w:val="24"/>
          <w:szCs w:val="24"/>
        </w:rPr>
        <w:fldChar w:fldCharType="separate"/>
      </w:r>
      <w:r w:rsidRPr="00854E06">
        <w:rPr>
          <w:rFonts w:ascii="Times New Roman" w:hAnsi="Times New Roman" w:cs="Times New Roman"/>
          <w:sz w:val="24"/>
        </w:rPr>
        <w:t>(Julien and Vensel 2005)</w:t>
      </w:r>
      <w:r w:rsidR="00F41E6A" w:rsidRPr="00854E06">
        <w:rPr>
          <w:rFonts w:ascii="Times New Roman" w:hAnsi="Times New Roman" w:cs="Times New Roman"/>
          <w:sz w:val="24"/>
          <w:szCs w:val="24"/>
        </w:rPr>
        <w:fldChar w:fldCharType="end"/>
      </w:r>
      <w:r w:rsidRPr="00854E06">
        <w:rPr>
          <w:rFonts w:ascii="Times New Roman" w:hAnsi="Times New Roman" w:cs="Times New Roman"/>
          <w:sz w:val="24"/>
          <w:szCs w:val="24"/>
        </w:rPr>
        <w:t>. There is also a mix</w:t>
      </w:r>
      <w:r>
        <w:rPr>
          <w:rFonts w:ascii="Times New Roman" w:hAnsi="Times New Roman" w:cs="Times New Roman"/>
          <w:sz w:val="24"/>
          <w:szCs w:val="24"/>
        </w:rPr>
        <w:t>ture</w:t>
      </w:r>
      <w:r w:rsidRPr="00854E06">
        <w:rPr>
          <w:rFonts w:ascii="Times New Roman" w:hAnsi="Times New Roman" w:cs="Times New Roman"/>
          <w:sz w:val="24"/>
          <w:szCs w:val="24"/>
        </w:rPr>
        <w:t xml:space="preserve"> of other land covers, such as forest, wetlands, lakes, prairies, and urban areas </w:t>
      </w:r>
      <w:r w:rsidR="00F41E6A" w:rsidRPr="00854E06">
        <w:rPr>
          <w:rFonts w:ascii="Times New Roman" w:hAnsi="Times New Roman" w:cs="Times New Roman"/>
          <w:sz w:val="24"/>
          <w:szCs w:val="24"/>
        </w:rPr>
        <w:fldChar w:fldCharType="begin"/>
      </w:r>
      <w:r w:rsidRPr="00854E06">
        <w:rPr>
          <w:rFonts w:ascii="Times New Roman" w:hAnsi="Times New Roman" w:cs="Times New Roman"/>
          <w:sz w:val="24"/>
          <w:szCs w:val="24"/>
        </w:rPr>
        <w:instrText xml:space="preserve"> ADDIN ZOTERO_ITEM CSL_CITATION {"citationID":"y0yYhPKp","properties":{"formattedCitation":"(UMRBA and FTN Associates 2007)","plainCitation":"(UMRBA and FTN Associates 2007)"},"citationItems":[{"id":26,"uris":["http://zotero.org/users/1706519/items/7729W5ID"],"uri":["http://zotero.org/users/1706519/items/7729W5ID"],"itemData":{"id":26,"type":"report","title":"Sediment-Related Water Quality Criteria for the Upper Mississippi River","page":"98","author":[{"family":"UMRBA","given":""},{"family":"FTN Associates","given":""}],"issued":{"date-parts":[["2007",2]]}}}],"schema":"https://github.com/citation-style-language/schema/raw/master/csl-citation.json"} </w:instrText>
      </w:r>
      <w:r w:rsidR="00F41E6A" w:rsidRPr="00854E06">
        <w:rPr>
          <w:rFonts w:ascii="Times New Roman" w:hAnsi="Times New Roman" w:cs="Times New Roman"/>
          <w:sz w:val="24"/>
          <w:szCs w:val="24"/>
        </w:rPr>
        <w:fldChar w:fldCharType="separate"/>
      </w:r>
      <w:r w:rsidRPr="00854E06">
        <w:rPr>
          <w:rFonts w:ascii="Times New Roman" w:hAnsi="Times New Roman" w:cs="Times New Roman"/>
          <w:sz w:val="24"/>
        </w:rPr>
        <w:t>(UMRBA and FTN Associates 2007)</w:t>
      </w:r>
      <w:r w:rsidR="00F41E6A" w:rsidRPr="00854E06">
        <w:rPr>
          <w:rFonts w:ascii="Times New Roman" w:hAnsi="Times New Roman" w:cs="Times New Roman"/>
          <w:sz w:val="24"/>
          <w:szCs w:val="24"/>
        </w:rPr>
        <w:fldChar w:fldCharType="end"/>
      </w:r>
      <w:r w:rsidRPr="00854E06">
        <w:rPr>
          <w:rFonts w:ascii="Times New Roman" w:hAnsi="Times New Roman" w:cs="Times New Roman"/>
          <w:sz w:val="24"/>
          <w:szCs w:val="24"/>
        </w:rPr>
        <w:t xml:space="preserve">.  Table 3-1 and Figure 2.7 show the distribution of land cover in the basin in 1992. </w:t>
      </w:r>
    </w:p>
    <w:p w:rsidR="00E63DA3" w:rsidRDefault="00E63DA3" w:rsidP="00E63DA3">
      <w:pPr>
        <w:pStyle w:val="ListParagraph"/>
        <w:spacing w:before="120" w:after="120" w:line="480" w:lineRule="auto"/>
        <w:ind w:left="0" w:firstLine="720"/>
        <w:contextualSpacing w:val="0"/>
        <w:jc w:val="both"/>
        <w:rPr>
          <w:rFonts w:ascii="Times New Roman" w:hAnsi="Times New Roman" w:cs="Times New Roman"/>
          <w:sz w:val="24"/>
          <w:szCs w:val="24"/>
        </w:rPr>
      </w:pPr>
      <w:r w:rsidRPr="00854E06">
        <w:rPr>
          <w:rFonts w:ascii="Times New Roman" w:hAnsi="Times New Roman" w:cs="Times New Roman"/>
          <w:sz w:val="24"/>
          <w:szCs w:val="24"/>
        </w:rPr>
        <w:t xml:space="preserve">To convert wetlands to croplands, farmers </w:t>
      </w:r>
      <w:r>
        <w:rPr>
          <w:rFonts w:ascii="Times New Roman" w:hAnsi="Times New Roman" w:cs="Times New Roman"/>
          <w:sz w:val="24"/>
          <w:szCs w:val="24"/>
        </w:rPr>
        <w:t xml:space="preserve">have </w:t>
      </w:r>
      <w:r w:rsidRPr="00854E06">
        <w:rPr>
          <w:rFonts w:ascii="Times New Roman" w:hAnsi="Times New Roman" w:cs="Times New Roman"/>
          <w:sz w:val="24"/>
          <w:szCs w:val="24"/>
        </w:rPr>
        <w:t xml:space="preserve">used drainage systems </w:t>
      </w:r>
      <w:r w:rsidR="00F41E6A" w:rsidRPr="00854E06">
        <w:rPr>
          <w:rFonts w:ascii="Times New Roman" w:hAnsi="Times New Roman" w:cs="Times New Roman"/>
          <w:sz w:val="24"/>
          <w:szCs w:val="24"/>
        </w:rPr>
        <w:fldChar w:fldCharType="begin"/>
      </w:r>
      <w:r w:rsidRPr="00854E06">
        <w:rPr>
          <w:rFonts w:ascii="Times New Roman" w:hAnsi="Times New Roman" w:cs="Times New Roman"/>
          <w:sz w:val="24"/>
          <w:szCs w:val="24"/>
        </w:rPr>
        <w:instrText xml:space="preserve"> ADDIN ZOTERO_ITEM CSL_CITATION {"citationID":"SwoOOoFU","properties":{"formattedCitation":"(Prince 2003)","plainCitation":"(Prince 2003)"},"citationItems":[{"id":469,"uris":["http://zotero.org/users/1706519/items/JMTRNGJW"],"uri":["http://zotero.org/users/1706519/items/JMTRNGJW"],"itemData":{"id":469,"type":"article-journal","title":"Review of Wetlands Drainage, River Modification, and Sectoral Conflict in the Lower Illinois Valley, 1890-1930 by John Thompson","container-title":"Geographical Review","page":"141-143","volume":"93","issue":"1","source":"JSTOR","ISSN":"0016-7428","journalAbbreviation":"Geographical Review","author":[{"family":"Prince","given":"Hugh"}],"issued":{"date-parts":[["2003",1,1]]},"accessed":{"date-parts":[["2014",2,15]]}}}],"schema":"https://github.com/citation-style-language/schema/raw/master/csl-citation.json"} </w:instrText>
      </w:r>
      <w:r w:rsidR="00F41E6A" w:rsidRPr="00854E06">
        <w:rPr>
          <w:rFonts w:ascii="Times New Roman" w:hAnsi="Times New Roman" w:cs="Times New Roman"/>
          <w:sz w:val="24"/>
          <w:szCs w:val="24"/>
        </w:rPr>
        <w:fldChar w:fldCharType="separate"/>
      </w:r>
      <w:r w:rsidRPr="00854E06">
        <w:rPr>
          <w:rFonts w:ascii="Times New Roman" w:hAnsi="Times New Roman" w:cs="Times New Roman"/>
          <w:sz w:val="24"/>
        </w:rPr>
        <w:t>(Prince 2003)</w:t>
      </w:r>
      <w:r w:rsidR="00F41E6A" w:rsidRPr="00854E06">
        <w:rPr>
          <w:rFonts w:ascii="Times New Roman" w:hAnsi="Times New Roman" w:cs="Times New Roman"/>
          <w:sz w:val="24"/>
          <w:szCs w:val="24"/>
        </w:rPr>
        <w:fldChar w:fldCharType="end"/>
      </w:r>
      <w:r w:rsidRPr="00854E06">
        <w:rPr>
          <w:rFonts w:ascii="Times New Roman" w:hAnsi="Times New Roman" w:cs="Times New Roman"/>
          <w:sz w:val="24"/>
          <w:szCs w:val="24"/>
        </w:rPr>
        <w:t xml:space="preserve">. In the UMRB, subsurface drainage, in the form of drain tiles, has been popular since the 1830s. </w:t>
      </w:r>
      <w:r>
        <w:rPr>
          <w:rFonts w:ascii="Times New Roman" w:hAnsi="Times New Roman" w:cs="Times New Roman"/>
          <w:sz w:val="24"/>
          <w:szCs w:val="24"/>
        </w:rPr>
        <w:t>P</w:t>
      </w:r>
      <w:r w:rsidRPr="00854E06">
        <w:rPr>
          <w:rFonts w:ascii="Times New Roman" w:hAnsi="Times New Roman" w:cs="Times New Roman"/>
          <w:sz w:val="24"/>
          <w:szCs w:val="24"/>
        </w:rPr>
        <w:t xml:space="preserve">lastic drainage tiles </w:t>
      </w:r>
      <w:r>
        <w:rPr>
          <w:rFonts w:ascii="Times New Roman" w:hAnsi="Times New Roman" w:cs="Times New Roman"/>
          <w:sz w:val="24"/>
          <w:szCs w:val="24"/>
        </w:rPr>
        <w:t xml:space="preserve">now </w:t>
      </w:r>
      <w:r w:rsidRPr="00854E06">
        <w:rPr>
          <w:rFonts w:ascii="Times New Roman" w:hAnsi="Times New Roman" w:cs="Times New Roman"/>
          <w:sz w:val="24"/>
          <w:szCs w:val="24"/>
        </w:rPr>
        <w:t xml:space="preserve">underlie 16–28 million hectares of the Mississippi River basin </w:t>
      </w:r>
      <w:r w:rsidR="00F41E6A" w:rsidRPr="00854E06">
        <w:rPr>
          <w:rFonts w:ascii="Times New Roman" w:hAnsi="Times New Roman" w:cs="Times New Roman"/>
          <w:sz w:val="24"/>
          <w:szCs w:val="24"/>
        </w:rPr>
        <w:fldChar w:fldCharType="begin"/>
      </w:r>
      <w:r w:rsidRPr="00854E06">
        <w:rPr>
          <w:rFonts w:ascii="Times New Roman" w:hAnsi="Times New Roman" w:cs="Times New Roman"/>
          <w:sz w:val="24"/>
          <w:szCs w:val="24"/>
        </w:rPr>
        <w:instrText xml:space="preserve"> ADDIN ZOTERO_ITEM CSL_CITATION {"citationID":"SPjK1a6y","properties":{"formattedCitation":"(Mitsch et al. 2001)","plainCitation":"(Mitsch et al. 2001)"},"citationItems":[{"id":471,"uris":["http://zotero.org/users/1706519/items/VVUVK9I3"],"uri":["http://zotero.org/users/1706519/items/VVUVK9I3"],"itemData":{"id":471,"type":"article-journal","title":"Reducing nitrogen loading to the Gulf of Mexico from the Mississippi River basIn: strategies to counter a persistent ecological problem","container-title":"BioScience","page":"373-388","volume":"51","shortTitle":"Reducing nitrogen loading to the Gulf of Mexico from the Mississippi River basIn","author":[{"family":"Mitsch","given":""},{"family":"Day","given":"Jr"},{"family":"Gilliam","given":"J. W."},{"family":"Groffman","given":"P. M."},{"family":"Hey","given":"D. L."},{"family":"Randall","given":"G. W."},{"family":"Wang","given":"N."}],"issued":{"date-parts":[["2001"]]}}}],"schema":"https://github.com/citation-style-language/schema/raw/master/csl-citation.json"} </w:instrText>
      </w:r>
      <w:r w:rsidR="00F41E6A" w:rsidRPr="00854E06">
        <w:rPr>
          <w:rFonts w:ascii="Times New Roman" w:hAnsi="Times New Roman" w:cs="Times New Roman"/>
          <w:sz w:val="24"/>
          <w:szCs w:val="24"/>
        </w:rPr>
        <w:fldChar w:fldCharType="separate"/>
      </w:r>
      <w:r w:rsidRPr="00854E06">
        <w:rPr>
          <w:rFonts w:ascii="Times New Roman" w:hAnsi="Times New Roman" w:cs="Times New Roman"/>
          <w:sz w:val="24"/>
        </w:rPr>
        <w:t>(Mitsch et al. 2001)</w:t>
      </w:r>
      <w:r w:rsidR="00F41E6A" w:rsidRPr="00854E06">
        <w:rPr>
          <w:rFonts w:ascii="Times New Roman" w:hAnsi="Times New Roman" w:cs="Times New Roman"/>
          <w:sz w:val="24"/>
          <w:szCs w:val="24"/>
        </w:rPr>
        <w:fldChar w:fldCharType="end"/>
      </w:r>
      <w:r w:rsidRPr="00854E06">
        <w:rPr>
          <w:rFonts w:ascii="Times New Roman" w:hAnsi="Times New Roman" w:cs="Times New Roman"/>
          <w:sz w:val="24"/>
          <w:szCs w:val="24"/>
        </w:rPr>
        <w:t xml:space="preserve">. The usage of drainage tiles increases annual runoff, storm runoff, and peak discharge, which cause potential flooding and erosion. </w:t>
      </w:r>
      <w:r w:rsidR="00F41E6A" w:rsidRPr="00854E06">
        <w:rPr>
          <w:rFonts w:ascii="Times New Roman" w:hAnsi="Times New Roman" w:cs="Times New Roman"/>
          <w:sz w:val="24"/>
          <w:szCs w:val="24"/>
        </w:rPr>
        <w:fldChar w:fldCharType="begin"/>
      </w:r>
      <w:r w:rsidRPr="00854E06">
        <w:rPr>
          <w:rFonts w:ascii="Times New Roman" w:hAnsi="Times New Roman" w:cs="Times New Roman"/>
          <w:sz w:val="24"/>
          <w:szCs w:val="24"/>
        </w:rPr>
        <w:instrText xml:space="preserve"> ADDIN ZOTERO_ITEM CSL_CITATION {"citationID":"45lmIeGW","properties":{"formattedCitation":"(Moore and Larson 1980)","plainCitation":"(Moore and Larson 1980)"},"citationItems":[{"id":465,"uris":["http://zotero.org/users/1706519/items/5T5IDXP3"],"uri":["http://zotero.org/users/1706519/items/5T5IDXP3"],"itemData":{"id":465,"type":"article-journal","title":"Hydrologic Impact of Small Depressional Watersheds","container-title":"Journal of the Irrigation and Drainage Division","page":"345-363","volume":"106","issue":"4","source":"cedb.asce.org","abstract":"A special purpose watershed model (the Minnesota Model for Depressional Watersheds) was developed to study the hydrologic impact of draining small watersheds characterized by numerous depressions. Application of the model to two small watersheds in Jackson County, Minn., indicates that drainage development increase annual runoff,storm runoff and peak discharge. The physical characteristics of the main water course in the watershed is the major factor influencing peak discharge at the watershed outlet. Examination of annual flood flows on the Minnesota River at Mankato suggests that downstream effects of drainage development on large watersheds are much less than indicated by this study on small watersheds.","ISSN":"0044-7978","language":"eng","author":[{"family":"Moore","given":"Curtis L."},{"family":"Larson","given":"Curtis L."}],"issued":{"date-parts":[["1980",12]]},"accessed":{"date-parts":[["2014",2,15]]}}}],"schema":"https://github.com/citation-style-language/schema/raw/master/csl-citation.json"} </w:instrText>
      </w:r>
      <w:r w:rsidR="00F41E6A" w:rsidRPr="00854E06">
        <w:rPr>
          <w:rFonts w:ascii="Times New Roman" w:hAnsi="Times New Roman" w:cs="Times New Roman"/>
          <w:sz w:val="24"/>
          <w:szCs w:val="24"/>
        </w:rPr>
        <w:fldChar w:fldCharType="separate"/>
      </w:r>
      <w:r w:rsidRPr="00854E06">
        <w:rPr>
          <w:rFonts w:ascii="Times New Roman" w:hAnsi="Times New Roman" w:cs="Times New Roman"/>
          <w:sz w:val="24"/>
        </w:rPr>
        <w:t>Moore and Larson (1980)</w:t>
      </w:r>
      <w:r w:rsidR="00F41E6A" w:rsidRPr="00854E06">
        <w:rPr>
          <w:rFonts w:ascii="Times New Roman" w:hAnsi="Times New Roman" w:cs="Times New Roman"/>
          <w:sz w:val="24"/>
          <w:szCs w:val="24"/>
        </w:rPr>
        <w:fldChar w:fldCharType="end"/>
      </w:r>
      <w:r w:rsidRPr="00854E06">
        <w:rPr>
          <w:rFonts w:ascii="Times New Roman" w:hAnsi="Times New Roman" w:cs="Times New Roman"/>
          <w:sz w:val="24"/>
          <w:szCs w:val="24"/>
        </w:rPr>
        <w:t xml:space="preserve"> studied the hydrologic response of agricultural drainage and natural drainage in two watersheds in southwestern Minnesota. Their results showed that the mean annual runoff depth was greater in the watershed with a drain tile network. </w:t>
      </w:r>
    </w:p>
    <w:p w:rsidR="00E63DA3" w:rsidRDefault="00E63DA3" w:rsidP="00E63DA3">
      <w:pPr>
        <w:pStyle w:val="ListParagraph"/>
        <w:spacing w:before="120" w:after="120" w:line="480" w:lineRule="auto"/>
        <w:ind w:left="0" w:firstLine="720"/>
        <w:contextualSpacing w:val="0"/>
        <w:jc w:val="both"/>
        <w:rPr>
          <w:rFonts w:ascii="Times New Roman" w:hAnsi="Times New Roman" w:cs="Times New Roman"/>
          <w:sz w:val="24"/>
          <w:szCs w:val="24"/>
        </w:rPr>
      </w:pPr>
    </w:p>
    <w:p w:rsidR="00E63DA3" w:rsidRDefault="00E63DA3" w:rsidP="00E63DA3">
      <w:pPr>
        <w:pStyle w:val="ListParagraph"/>
        <w:spacing w:before="120" w:after="120" w:line="480" w:lineRule="auto"/>
        <w:ind w:left="0" w:firstLine="720"/>
        <w:contextualSpacing w:val="0"/>
        <w:jc w:val="both"/>
        <w:rPr>
          <w:rFonts w:ascii="Times New Roman" w:hAnsi="Times New Roman" w:cs="Times New Roman"/>
          <w:sz w:val="24"/>
          <w:szCs w:val="24"/>
        </w:rPr>
      </w:pPr>
    </w:p>
    <w:p w:rsidR="00E63DA3" w:rsidRDefault="00E63DA3" w:rsidP="00E63DA3">
      <w:pPr>
        <w:pStyle w:val="ListParagraph"/>
        <w:spacing w:before="120" w:after="120" w:line="480" w:lineRule="auto"/>
        <w:ind w:left="0" w:firstLine="720"/>
        <w:contextualSpacing w:val="0"/>
        <w:jc w:val="both"/>
        <w:rPr>
          <w:rFonts w:ascii="Times New Roman" w:hAnsi="Times New Roman" w:cs="Times New Roman"/>
          <w:sz w:val="24"/>
          <w:szCs w:val="24"/>
        </w:rPr>
      </w:pPr>
    </w:p>
    <w:p w:rsidR="00E63DA3" w:rsidRDefault="00E63DA3" w:rsidP="00E63DA3">
      <w:pPr>
        <w:pStyle w:val="ListParagraph"/>
        <w:spacing w:before="120" w:after="120" w:line="480" w:lineRule="auto"/>
        <w:ind w:left="0" w:firstLine="720"/>
        <w:contextualSpacing w:val="0"/>
        <w:jc w:val="both"/>
        <w:rPr>
          <w:rFonts w:ascii="Times New Roman" w:hAnsi="Times New Roman" w:cs="Times New Roman"/>
          <w:sz w:val="24"/>
          <w:szCs w:val="24"/>
        </w:rPr>
      </w:pPr>
    </w:p>
    <w:p w:rsidR="00E63DA3" w:rsidRDefault="00E63DA3" w:rsidP="00E63DA3">
      <w:pPr>
        <w:pStyle w:val="ListParagraph"/>
        <w:spacing w:before="120" w:after="120" w:line="480" w:lineRule="auto"/>
        <w:ind w:left="0" w:firstLine="720"/>
        <w:contextualSpacing w:val="0"/>
        <w:jc w:val="both"/>
        <w:rPr>
          <w:rFonts w:ascii="Times New Roman" w:hAnsi="Times New Roman" w:cs="Times New Roman"/>
          <w:sz w:val="24"/>
          <w:szCs w:val="24"/>
        </w:rPr>
      </w:pPr>
    </w:p>
    <w:p w:rsidR="00E63DA3" w:rsidRPr="00854E06" w:rsidRDefault="00E63DA3" w:rsidP="00E63DA3">
      <w:pPr>
        <w:pStyle w:val="ListParagraph"/>
        <w:spacing w:before="120" w:after="120" w:line="480" w:lineRule="auto"/>
        <w:ind w:left="0" w:firstLine="720"/>
        <w:contextualSpacing w:val="0"/>
        <w:jc w:val="both"/>
        <w:rPr>
          <w:rFonts w:ascii="Times New Roman" w:hAnsi="Times New Roman" w:cs="Times New Roman"/>
          <w:sz w:val="24"/>
          <w:szCs w:val="24"/>
        </w:rPr>
      </w:pPr>
    </w:p>
    <w:p w:rsidR="00E63DA3" w:rsidRPr="00854E06" w:rsidRDefault="00E63DA3" w:rsidP="00E63DA3">
      <w:pPr>
        <w:pStyle w:val="Caption"/>
        <w:keepNext/>
        <w:jc w:val="center"/>
        <w:rPr>
          <w:rFonts w:cstheme="majorBidi"/>
          <w:color w:val="auto"/>
          <w:sz w:val="24"/>
          <w:szCs w:val="24"/>
        </w:rPr>
      </w:pPr>
      <w:bookmarkStart w:id="68" w:name="_Toc393799674"/>
      <w:r w:rsidRPr="00854E06">
        <w:rPr>
          <w:rFonts w:cstheme="majorBidi"/>
          <w:color w:val="auto"/>
          <w:sz w:val="24"/>
          <w:szCs w:val="24"/>
        </w:rPr>
        <w:lastRenderedPageBreak/>
        <w:t>Table 3</w:t>
      </w:r>
      <w:r w:rsidRPr="00854E06">
        <w:rPr>
          <w:rFonts w:cstheme="majorBidi"/>
          <w:color w:val="auto"/>
          <w:sz w:val="24"/>
          <w:szCs w:val="24"/>
        </w:rPr>
        <w:noBreakHyphen/>
      </w:r>
      <w:r w:rsidR="00F41E6A" w:rsidRPr="00854E06">
        <w:rPr>
          <w:rFonts w:cstheme="majorBidi"/>
          <w:color w:val="auto"/>
          <w:sz w:val="24"/>
          <w:szCs w:val="24"/>
        </w:rPr>
        <w:fldChar w:fldCharType="begin"/>
      </w:r>
      <w:r w:rsidRPr="00854E06">
        <w:rPr>
          <w:rFonts w:cstheme="majorBidi"/>
          <w:color w:val="auto"/>
          <w:sz w:val="24"/>
          <w:szCs w:val="24"/>
        </w:rPr>
        <w:instrText xml:space="preserve"> SEQ Table \* ARABIC \s 1 </w:instrText>
      </w:r>
      <w:r w:rsidR="00F41E6A" w:rsidRPr="00854E06">
        <w:rPr>
          <w:rFonts w:cstheme="majorBidi"/>
          <w:color w:val="auto"/>
          <w:sz w:val="24"/>
          <w:szCs w:val="24"/>
        </w:rPr>
        <w:fldChar w:fldCharType="separate"/>
      </w:r>
      <w:r w:rsidR="008E2F67">
        <w:rPr>
          <w:rFonts w:cstheme="majorBidi"/>
          <w:noProof/>
          <w:color w:val="auto"/>
          <w:sz w:val="24"/>
          <w:szCs w:val="24"/>
        </w:rPr>
        <w:t>1</w:t>
      </w:r>
      <w:r w:rsidR="00F41E6A" w:rsidRPr="00854E06">
        <w:rPr>
          <w:rFonts w:cstheme="majorBidi"/>
          <w:color w:val="auto"/>
          <w:sz w:val="24"/>
          <w:szCs w:val="24"/>
        </w:rPr>
        <w:fldChar w:fldCharType="end"/>
      </w:r>
      <w:r w:rsidRPr="00854E06">
        <w:rPr>
          <w:rFonts w:cstheme="majorBidi"/>
          <w:noProof/>
          <w:color w:val="auto"/>
          <w:sz w:val="24"/>
          <w:szCs w:val="24"/>
        </w:rPr>
        <w:t>.Percentages of land cover in the UMRB in 1992</w:t>
      </w:r>
      <w:bookmarkEnd w:id="68"/>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4"/>
        <w:gridCol w:w="4392"/>
      </w:tblGrid>
      <w:tr w:rsidR="00E63DA3" w:rsidRPr="00854E06">
        <w:tc>
          <w:tcPr>
            <w:tcW w:w="4464" w:type="dxa"/>
          </w:tcPr>
          <w:p w:rsidR="00E63DA3" w:rsidRPr="00854E06" w:rsidRDefault="00E63DA3" w:rsidP="00743E42">
            <w:pPr>
              <w:pStyle w:val="ListParagraph"/>
              <w:spacing w:before="120" w:after="120" w:line="360" w:lineRule="auto"/>
              <w:ind w:left="0"/>
              <w:jc w:val="center"/>
              <w:rPr>
                <w:rFonts w:ascii="Times New Roman" w:hAnsi="Times New Roman" w:cs="Times New Roman"/>
                <w:b/>
                <w:bCs/>
                <w:sz w:val="24"/>
                <w:szCs w:val="24"/>
              </w:rPr>
            </w:pPr>
            <w:r w:rsidRPr="00854E06">
              <w:rPr>
                <w:rFonts w:ascii="Times New Roman" w:hAnsi="Times New Roman" w:cs="Times New Roman"/>
                <w:b/>
                <w:bCs/>
                <w:sz w:val="24"/>
                <w:szCs w:val="24"/>
              </w:rPr>
              <w:t>Land cover</w:t>
            </w:r>
          </w:p>
        </w:tc>
        <w:tc>
          <w:tcPr>
            <w:tcW w:w="4392" w:type="dxa"/>
          </w:tcPr>
          <w:p w:rsidR="00E63DA3" w:rsidRPr="00854E06" w:rsidRDefault="00E63DA3" w:rsidP="00743E42">
            <w:pPr>
              <w:pStyle w:val="ListParagraph"/>
              <w:spacing w:before="120" w:after="120" w:line="360" w:lineRule="auto"/>
              <w:ind w:left="0"/>
              <w:jc w:val="center"/>
              <w:rPr>
                <w:rFonts w:ascii="Times New Roman" w:hAnsi="Times New Roman" w:cs="Times New Roman"/>
                <w:b/>
                <w:bCs/>
                <w:sz w:val="24"/>
                <w:szCs w:val="24"/>
              </w:rPr>
            </w:pPr>
            <w:r w:rsidRPr="00854E06">
              <w:rPr>
                <w:rFonts w:ascii="Times New Roman" w:hAnsi="Times New Roman" w:cs="Times New Roman"/>
                <w:b/>
                <w:bCs/>
                <w:sz w:val="24"/>
                <w:szCs w:val="24"/>
              </w:rPr>
              <w:t>Percentage (%)</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Water</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2.70</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Low Intensity Residential</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1.02</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High Intensity Residential</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0.63</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Commercial/ Industrial/Transportation</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1.00</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Bare Rocks/Sand/Clay</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0.02</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Quarries/Strip Mines/Gravel Pits</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0.08</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Transitional</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0.12</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Deciduous forest</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18.15</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Evergreen Forest</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1.15</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Mixed Forest</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1.68</w:t>
            </w:r>
          </w:p>
        </w:tc>
      </w:tr>
      <w:tr w:rsidR="00E63DA3" w:rsidRPr="00854E06">
        <w:tc>
          <w:tcPr>
            <w:tcW w:w="4464" w:type="dxa"/>
            <w:vAlign w:val="bottom"/>
          </w:tcPr>
          <w:p w:rsidR="00E63DA3" w:rsidRPr="00854E06" w:rsidRDefault="00E63DA3" w:rsidP="00743E42">
            <w:pPr>
              <w:spacing w:line="360" w:lineRule="auto"/>
              <w:rPr>
                <w:rFonts w:cstheme="majorBidi"/>
                <w:color w:val="000000"/>
              </w:rPr>
            </w:pPr>
            <w:proofErr w:type="spellStart"/>
            <w:r w:rsidRPr="00854E06">
              <w:rPr>
                <w:rFonts w:cstheme="majorBidi"/>
                <w:color w:val="000000"/>
              </w:rPr>
              <w:t>Shrubland</w:t>
            </w:r>
            <w:proofErr w:type="spellEnd"/>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0.08</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Orchards/Vineyards/Other</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0.00</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Grasslands/Herbaceous</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1.47</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Pasture/Hay</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19.22</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Row Crops</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45.16</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Small Grains</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0.69</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Urban/Recreational Grass</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0.61</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Woody Wetlands</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3.89</w:t>
            </w:r>
          </w:p>
        </w:tc>
      </w:tr>
      <w:tr w:rsidR="00E63DA3" w:rsidRPr="00854E06">
        <w:tc>
          <w:tcPr>
            <w:tcW w:w="4464" w:type="dxa"/>
            <w:vAlign w:val="bottom"/>
          </w:tcPr>
          <w:p w:rsidR="00E63DA3" w:rsidRPr="00854E06" w:rsidRDefault="00E63DA3" w:rsidP="00743E42">
            <w:pPr>
              <w:spacing w:line="360" w:lineRule="auto"/>
              <w:rPr>
                <w:rFonts w:cstheme="majorBidi"/>
                <w:color w:val="000000"/>
              </w:rPr>
            </w:pPr>
            <w:r w:rsidRPr="00854E06">
              <w:rPr>
                <w:rFonts w:cstheme="majorBidi"/>
                <w:color w:val="000000"/>
              </w:rPr>
              <w:t>Emergent Herbaceous Wetlands</w:t>
            </w:r>
          </w:p>
        </w:tc>
        <w:tc>
          <w:tcPr>
            <w:tcW w:w="4392" w:type="dxa"/>
            <w:vAlign w:val="center"/>
          </w:tcPr>
          <w:p w:rsidR="00E63DA3" w:rsidRPr="00854E06" w:rsidRDefault="00E63DA3" w:rsidP="00743E42">
            <w:pPr>
              <w:spacing w:line="360" w:lineRule="auto"/>
              <w:jc w:val="center"/>
              <w:rPr>
                <w:rFonts w:cstheme="majorBidi"/>
                <w:color w:val="000000"/>
              </w:rPr>
            </w:pPr>
            <w:r w:rsidRPr="00854E06">
              <w:rPr>
                <w:rFonts w:cstheme="majorBidi"/>
                <w:color w:val="000000"/>
              </w:rPr>
              <w:t>2.32</w:t>
            </w:r>
          </w:p>
        </w:tc>
      </w:tr>
    </w:tbl>
    <w:p w:rsidR="00E63DA3" w:rsidRDefault="00E63DA3" w:rsidP="00E63DA3">
      <w:pPr>
        <w:pStyle w:val="ListParagraph"/>
        <w:spacing w:before="120" w:after="120" w:line="480" w:lineRule="auto"/>
        <w:contextualSpacing w:val="0"/>
        <w:jc w:val="both"/>
        <w:rPr>
          <w:rFonts w:ascii="Times New Roman" w:hAnsi="Times New Roman" w:cs="Times New Roman"/>
          <w:i/>
          <w:iCs/>
          <w:sz w:val="24"/>
          <w:szCs w:val="24"/>
        </w:rPr>
      </w:pPr>
      <w:r w:rsidRPr="00854E06">
        <w:rPr>
          <w:rFonts w:ascii="Times New Roman" w:hAnsi="Times New Roman" w:cs="Times New Roman"/>
          <w:i/>
          <w:iCs/>
          <w:sz w:val="24"/>
          <w:szCs w:val="24"/>
        </w:rPr>
        <w:t xml:space="preserve"> *Calculated from the UMRB’s NLCD 1992 map.</w:t>
      </w:r>
    </w:p>
    <w:p w:rsidR="00E63DA3" w:rsidRPr="00523FFD" w:rsidRDefault="00523FFD" w:rsidP="00523FFD">
      <w:pPr>
        <w:pStyle w:val="Heading2"/>
      </w:pPr>
      <w:bookmarkStart w:id="69" w:name="_Toc394525562"/>
      <w:r>
        <w:t xml:space="preserve">5. </w:t>
      </w:r>
      <w:r w:rsidR="00E63DA3" w:rsidRPr="00523FFD">
        <w:t>Sediment transport in the UMRB</w:t>
      </w:r>
      <w:bookmarkEnd w:id="69"/>
    </w:p>
    <w:p w:rsidR="00E63DA3" w:rsidRDefault="00E63DA3" w:rsidP="00E63DA3">
      <w:pPr>
        <w:pStyle w:val="ListParagraph"/>
        <w:spacing w:before="120" w:after="120" w:line="480" w:lineRule="auto"/>
        <w:ind w:left="0" w:firstLine="72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Sediment transport regimes in the UMRB have been affected by navigation structures, and main-stem or tributary impoundments since the early twentieth century </w:t>
      </w:r>
      <w:r w:rsidR="00F41E6A">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{"citationID":"vzeNgAkt","properties":{"formattedCitation":"(Julien and Vensel 2005)","plainCitation":"(Julien and Vensel 2005)"},"citationItems":[{"id":47,"uris":["http://zotero.org/users/1706519/items/AWEMXXW7"],"uri":["http://zotero.org/users/1706519/items/AWEMXXW7"],"itemData":{"id":47,"type":"report","title":"Review of Sedimentation Issues on the Mississippi River","publisher":"Dept. of Civil and Environmental Engineering","genre":"Report Presented to the UNESCO: ISI","author":[{"family":"Julien","given":"Pierre Y."},{"family":"Vensel","given":"Chad W."}],"issued":{"date-parts":[["2005",11]]}}}],"schema":"https://github.com/citation-style-language/schema/raw/master/csl-citation.json"} </w:instrText>
      </w:r>
      <w:r w:rsidR="00F41E6A">
        <w:rPr>
          <w:rFonts w:ascii="Times New Roman" w:hAnsi="Times New Roman" w:cs="Times New Roman"/>
          <w:bCs/>
          <w:sz w:val="24"/>
          <w:szCs w:val="24"/>
        </w:rPr>
        <w:fldChar w:fldCharType="separate"/>
      </w:r>
      <w:r w:rsidRPr="0002234F">
        <w:rPr>
          <w:rFonts w:ascii="Times New Roman" w:hAnsi="Times New Roman" w:cs="Times New Roman"/>
          <w:sz w:val="24"/>
        </w:rPr>
        <w:t>(Julien and Vensel 2005)</w:t>
      </w:r>
      <w:r w:rsidR="00F41E6A">
        <w:rPr>
          <w:rFonts w:ascii="Times New Roman" w:hAnsi="Times New Roman" w:cs="Times New Roman"/>
          <w:bCs/>
          <w:sz w:val="24"/>
          <w:szCs w:val="24"/>
        </w:rPr>
        <w:fldChar w:fldCharType="end"/>
      </w:r>
      <w:r>
        <w:rPr>
          <w:rFonts w:ascii="Times New Roman" w:hAnsi="Times New Roman" w:cs="Times New Roman"/>
          <w:bCs/>
          <w:sz w:val="24"/>
          <w:szCs w:val="24"/>
        </w:rPr>
        <w:t xml:space="preserve">. </w:t>
      </w:r>
      <w:r w:rsidRPr="00854E06">
        <w:rPr>
          <w:rFonts w:ascii="Times New Roman" w:hAnsi="Times New Roman" w:cs="Times New Roman"/>
          <w:sz w:val="24"/>
          <w:szCs w:val="24"/>
        </w:rPr>
        <w:t xml:space="preserve">On the Mississippi River, the U.S Army Corps of Engineers maintains 29 locks, from St. Anthony Falls to Chain of Rocks </w:t>
      </w:r>
      <w:r w:rsidR="00F41E6A" w:rsidRPr="00854E06">
        <w:rPr>
          <w:rFonts w:ascii="Times New Roman" w:hAnsi="Times New Roman" w:cs="Times New Roman"/>
          <w:sz w:val="24"/>
          <w:szCs w:val="24"/>
        </w:rPr>
        <w:fldChar w:fldCharType="begin"/>
      </w:r>
      <w:r w:rsidRPr="00854E06">
        <w:rPr>
          <w:rFonts w:ascii="Times New Roman" w:hAnsi="Times New Roman" w:cs="Times New Roman"/>
          <w:sz w:val="24"/>
          <w:szCs w:val="24"/>
        </w:rPr>
        <w:instrText xml:space="preserve"> ADDIN ZOTERO_ITEM CSL_CITATION {"citationID":"3lzzeShx","properties":{"formattedCitation":"(USACE 2012)","plainCitation":"(USACE 2012)"},"citationItems":[{"id":17,"uris":["http://zotero.org/users/1706519/items/4PVPUFHU"],"uri":["http://zotero.org/users/1706519/items/4PVPUFHU"],"itemData":{"id":17,"type":"report","title":"The U.S. Waterway System : Transportation Facts and Information","publisher":"US Army Corps of Engineers","author":[{"family":"USACE","given":""}],"issued":{"date-parts":[["2012",11]]}}}],"schema":"https://github.com/citation-style-language/schema/raw/master/csl-citation.json"} </w:instrText>
      </w:r>
      <w:r w:rsidR="00F41E6A" w:rsidRPr="00854E06">
        <w:rPr>
          <w:rFonts w:ascii="Times New Roman" w:hAnsi="Times New Roman" w:cs="Times New Roman"/>
          <w:sz w:val="24"/>
          <w:szCs w:val="24"/>
        </w:rPr>
        <w:fldChar w:fldCharType="separate"/>
      </w:r>
      <w:r w:rsidRPr="00854E06">
        <w:rPr>
          <w:rFonts w:ascii="Times New Roman" w:hAnsi="Times New Roman" w:cs="Times New Roman"/>
          <w:sz w:val="24"/>
        </w:rPr>
        <w:t>(USACE 2012)</w:t>
      </w:r>
      <w:r w:rsidR="00F41E6A" w:rsidRPr="00854E06">
        <w:rPr>
          <w:rFonts w:ascii="Times New Roman" w:hAnsi="Times New Roman" w:cs="Times New Roman"/>
          <w:sz w:val="24"/>
          <w:szCs w:val="24"/>
        </w:rPr>
        <w:fldChar w:fldCharType="end"/>
      </w:r>
      <w:r w:rsidRPr="00854E06">
        <w:rPr>
          <w:rFonts w:ascii="Times New Roman" w:hAnsi="Times New Roman" w:cs="Times New Roman"/>
          <w:sz w:val="24"/>
          <w:szCs w:val="24"/>
        </w:rPr>
        <w:t xml:space="preserve">. The construction of locks and dams on the </w:t>
      </w:r>
      <w:r w:rsidRPr="00854E06">
        <w:rPr>
          <w:rFonts w:ascii="Times New Roman" w:hAnsi="Times New Roman" w:cs="Times New Roman"/>
          <w:sz w:val="24"/>
          <w:szCs w:val="24"/>
        </w:rPr>
        <w:lastRenderedPageBreak/>
        <w:t>river creat</w:t>
      </w:r>
      <w:r>
        <w:rPr>
          <w:rFonts w:ascii="Times New Roman" w:hAnsi="Times New Roman" w:cs="Times New Roman"/>
          <w:sz w:val="24"/>
          <w:szCs w:val="24"/>
        </w:rPr>
        <w:t xml:space="preserve">ed reservoirs and backwaters that act as sediment traps </w:t>
      </w:r>
      <w:r w:rsidR="00F41E6A">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{"citationID":"xKF6ejhI","properties":{"formattedCitation":"(Davinroy, Hendrickson, and Steffen 2006; Meade and Moody 2010)","plainCitation":"(Davinroy, Hendrickson, and Steffen 2006; Meade and Moody 2010)"},"citationItems":[{"id":38,"uris":["http://zotero.org/users/1706519/items/96BN98KH"],"uri":["http://zotero.org/users/1706519/items/96BN98KH"],"itemData":{"id":38,"type":"report","title":"Sedimentation in the Upper Mississippi River Basin","publisher":"US Army Corps of Engineers","publisher-place":"St. Louis District","page":"143","event-place":"St. Louis District","author":[{"family":"Davinroy","given":"Rob"},{"family":"Hendrickson","given":"Jon"},{"family":"Steffen","given":"Lyle"}],"issued":{"date-parts":[["2006",3]]}}},{"id":524,"uris":["http://zotero.org/users/1706519/items/455DZDWG"],"uri":["http://zotero.org/users/1706519/items/455DZDWG"],"itemData":{"id":524,"type":"article-journal","title":"Causes for the decline of suspended-sediment discharge in the Mississippi River system, 1940–2007","container-title":"Hydrological Processes","page":"35–49","volume":"24","issue":"1","source":"Wiley Online Library","abstract":"Before 1900, the Missouri–Mississippi River system transported an estimated 400 million metric tons per year of sediment from the interior of the United States to coastal Louisiana. During the last two decades (1987–2006), this transport has averaged 145 million metric tons per year. The cause for this substantial decrease in sediment has been attributed to the trapping characteristics of dams constructed on the muddy part of the Missouri River during the 1950s. However, reexamination of more than 60 years of water- and sediment-discharge data indicates that the dams alone are not the sole cause. These dams trap about 100–150 million metric tons per year, which represent about half the decrease in sediment discharge near the mouth of the Mississippi. Changes in relations between water discharge and suspended-sediment concentration suggest that the Missouri–Mississippi has been transformed from a transport-limited to a supply-limited system. Thus, other engineering activities such as meander cutoffs, river-training structures, and bank revetments as well as soil erosion controls have trapped sediment, eliminated sediment sources, or protected sediment that was once available for transport episodically throughout the year. Removing major engineering structures such as dams probably would not restore sediment discharges to pre-1900 state, mainly because of the numerous smaller engineering structures and other soil-retention works throughout the Missouri–Mississippi system. Published in 2009 by John Wiley &amp; Sons, Ltd.","DOI":"10.1002/hyp.7477","ISSN":"1099-1085","language":"en","author":[{"family":"Meade","given":"Robert H."},{"family":"Moody","given":"John A."}],"issued":{"date-parts":[["2010"]]},"accessed":{"date-parts":[["2014",3,10]]}}}],"schema":"https://github.com/citation-style-language/schema/raw/master/csl-citation.json"} </w:instrText>
      </w:r>
      <w:r w:rsidR="00F41E6A">
        <w:rPr>
          <w:rFonts w:ascii="Times New Roman" w:hAnsi="Times New Roman" w:cs="Times New Roman"/>
          <w:sz w:val="24"/>
          <w:szCs w:val="24"/>
        </w:rPr>
        <w:fldChar w:fldCharType="separate"/>
      </w:r>
      <w:r w:rsidRPr="00B7249D">
        <w:rPr>
          <w:rFonts w:ascii="Times New Roman" w:hAnsi="Times New Roman" w:cs="Times New Roman"/>
          <w:sz w:val="24"/>
        </w:rPr>
        <w:t>(Da</w:t>
      </w:r>
      <w:r>
        <w:rPr>
          <w:rFonts w:ascii="Times New Roman" w:hAnsi="Times New Roman" w:cs="Times New Roman"/>
          <w:sz w:val="24"/>
        </w:rPr>
        <w:t>vinroy et al.</w:t>
      </w:r>
      <w:r w:rsidRPr="00B7249D">
        <w:rPr>
          <w:rFonts w:ascii="Times New Roman" w:hAnsi="Times New Roman" w:cs="Times New Roman"/>
          <w:sz w:val="24"/>
        </w:rPr>
        <w:t xml:space="preserve"> 2006; Meade and Moody 2010)</w:t>
      </w:r>
      <w:r w:rsidR="00F41E6A">
        <w:rPr>
          <w:rFonts w:ascii="Times New Roman" w:hAnsi="Times New Roman" w:cs="Times New Roman"/>
          <w:sz w:val="24"/>
          <w:szCs w:val="24"/>
        </w:rPr>
        <w:fldChar w:fldCharType="end"/>
      </w:r>
      <w:r w:rsidRPr="00854E06">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Cs/>
          <w:sz w:val="24"/>
          <w:szCs w:val="24"/>
        </w:rPr>
        <w:t xml:space="preserve">Furthermore, conservation practices and bank protection have been applied in the UMRB since the 1930s </w:t>
      </w:r>
      <w:r w:rsidR="00F41E6A">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{"citationID":"wrgyByfo","properties":{"formattedCitation":"(Horowitz 2010)","plainCitation":"(Horowitz 2010)"},"citationItems":[{"id":521,"uris":["http://zotero.org/users/1706519/items/JPU3HZ2M"],"uri":["http://zotero.org/users/1706519/items/JPU3HZ2M"],"itemData":{"id":521,"type":"article-journal","title":"A quarter century of declining suspended sediment fluxes in the Mississippi River and the effect of the 1993 flood","container-title":"Hydrological Processes","page":"13–34","volume":"24","issue":"1","source":"Wiley Online Library","abstract":"Annual fluxes, flow-weighted concentrations and linear least squares trendline calculations for a number of long-term Mississippi River Basin (MRB) sampling sites covering 1981 through 2007, whilst somewhat ‘noisy’, display long-term patterns of decline. Annual flow-weighted concentration plots display the same long-term patterns of decline, but are less noisy because they reduce/eliminate variations due to interannual discharge differences. The declines appear greatest in the middle MRB, but also are evident elsewhere. The pattern for the lower Ohio River differs and may reflect ongoing construction at the Olmsted lock and dam that began in 1993 and currently is ongoing. The ‘Great Flood of 1993’ appears to have superimposed a step function (a sharp drop) on the long-term rate of decline in suspended sediment concentrations (SSC), annual fluxes and flow-weighted concentrations in the middle MRB at St Louis and Thebes, Missouri and Vicksburg, Mississippi, and in the lower MRB at St Francisville, Louisiana. Evidence for a step function at other sites is less substantial, but may have occurred. The step function appears to have resulted from losses in available (erodible) sediment, rather than to a reduction in discharge; hence, the MRB appears to be supply limited rather than discharge limited. These evaluations support the need for daily discharge and SSC data collections in the MRB to better address questions regarding long-term trends in sediment-related issues. This is apparent when the results for the Mississippi River at Thebes and St Louis sites are compared with those from other MRB sites where intensive (daily) data collections are lacking. Published in 2009 by John Wiley &amp; Sons, Ltd.","DOI":"10.1002/hyp.7425","ISSN":"1099-1085","language":"en","author":[{"family":"Horowitz","given":"Arthur J."}],"issued":{"date-parts":[["2010"]]},"accessed":{"date-parts":[["2014",3,10]]}}}],"schema":"https://github.com/citation-style-language/schema/raw/master/csl-citation.json"} </w:instrText>
      </w:r>
      <w:r w:rsidR="00F41E6A">
        <w:rPr>
          <w:rFonts w:ascii="Times New Roman" w:hAnsi="Times New Roman" w:cs="Times New Roman"/>
          <w:bCs/>
          <w:sz w:val="24"/>
          <w:szCs w:val="24"/>
        </w:rPr>
        <w:fldChar w:fldCharType="separate"/>
      </w:r>
      <w:r>
        <w:rPr>
          <w:rFonts w:ascii="Times New Roman" w:hAnsi="Times New Roman" w:cs="Times New Roman"/>
          <w:sz w:val="24"/>
        </w:rPr>
        <w:t>(Meade and Moody</w:t>
      </w:r>
      <w:r w:rsidRPr="0002234F">
        <w:rPr>
          <w:rFonts w:ascii="Times New Roman" w:hAnsi="Times New Roman" w:cs="Times New Roman"/>
          <w:sz w:val="24"/>
        </w:rPr>
        <w:t xml:space="preserve"> 2010)</w:t>
      </w:r>
      <w:r w:rsidR="00F41E6A">
        <w:rPr>
          <w:rFonts w:ascii="Times New Roman" w:hAnsi="Times New Roman" w:cs="Times New Roman"/>
          <w:bCs/>
          <w:sz w:val="24"/>
          <w:szCs w:val="24"/>
        </w:rPr>
        <w:fldChar w:fldCharType="end"/>
      </w:r>
      <w:r>
        <w:rPr>
          <w:rFonts w:ascii="Times New Roman" w:hAnsi="Times New Roman" w:cs="Times New Roman"/>
          <w:bCs/>
          <w:sz w:val="24"/>
          <w:szCs w:val="24"/>
        </w:rPr>
        <w:t xml:space="preserve">. </w:t>
      </w:r>
      <w:r w:rsidR="00F41E6A">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{"citationID":"HgZ3zh5Z","properties":{"formattedCitation":"(Heimann, Sprague, and Blevins 2011)","plainCitation":"(Heimann, Sprague, and Blevins 2011)"},"citationItems":[{"id":118,"uris":["http://zotero.org/users/1706519/items/T3CT4QJ5"],"uri":["http://zotero.org/users/1706519/items/T3CT4QJ5"],"itemData":{"id":118,"type":"report","title":"USGS Scientific Investigations Report 2011–5200: Trends in Suspended-Sediment Loads and Concentrations in the Mississippi River Basin, 1950–2009","publisher":"US Geological Survey","abstract":"Trends in loads and concentrations of suspended sediment and suspended sand generally were downward for stations within the Mississippi River Basin during the 60-, 34-, and 12-year periods analyzed. Sediment transport in the lower Mississippi River has historically been, and continues to be, most closely correlative to sediment contributions from the Missouri River, which generally carried the largest annual suspended-sediment load of the major Mississippi River subbasins. The closure of Fort Randall Dam in the upper Missouri River in 1952 was the single largest event in the recorded historical decline of suspended-sediment loads in the Mississippi River Basin. Impoundments on tributaries and sediment reductions as a result of implementation of agricultural conservation practices throughout the basin likely account for much of the remaining Mississippi River sediment transport decline. Scour of the main-stem channel downstream from the upper Missouri River impoundments is likely the largest source of suspended sand in the lower Missouri River. The Ohio River was second to the Missouri River in terms of sediment contributions, followed by the upper Mississippi and Arkansas Rivers. Declines in sediment loads and concentrations continued through the most recent analysis period (1998–2009) at available Mississippi River Basin stations. Analyses of flow-adjusted concentrations of suspended sediment indicate the recent downward temporal changes generally can be explained by corresponding decreases in streamflows.","URL":"http://pubs.usgs.gov/sir/2011/5200/","author":[{"family":"Heimann","given":"David C."},{"family":"Sprague","given":"Lori A."},{"family":"Blevins","given":"Dale W."}],"issued":{"date-parts":[["2011",11]]},"accessed":{"date-parts":[["2014",1,1]],"season":"14:14:11"}}}],"schema":"https://github.com/citation-style-language/schema/raw/master/csl-citation.json"} </w:instrText>
      </w:r>
      <w:r w:rsidR="00F41E6A">
        <w:rPr>
          <w:rFonts w:ascii="Times New Roman" w:hAnsi="Times New Roman" w:cs="Times New Roman"/>
          <w:bCs/>
          <w:sz w:val="24"/>
          <w:szCs w:val="24"/>
        </w:rPr>
        <w:fldChar w:fldCharType="separate"/>
      </w:r>
      <w:r>
        <w:rPr>
          <w:rFonts w:ascii="Times New Roman" w:hAnsi="Times New Roman" w:cs="Times New Roman"/>
          <w:sz w:val="24"/>
        </w:rPr>
        <w:t>Heimann et al.</w:t>
      </w:r>
      <w:r w:rsidRPr="00B7249D">
        <w:rPr>
          <w:rFonts w:ascii="Times New Roman" w:hAnsi="Times New Roman" w:cs="Times New Roman"/>
          <w:sz w:val="24"/>
        </w:rPr>
        <w:t xml:space="preserve"> </w:t>
      </w:r>
      <w:r>
        <w:rPr>
          <w:rFonts w:ascii="Times New Roman" w:hAnsi="Times New Roman" w:cs="Times New Roman"/>
          <w:sz w:val="24"/>
        </w:rPr>
        <w:t>(</w:t>
      </w:r>
      <w:r w:rsidRPr="00B7249D">
        <w:rPr>
          <w:rFonts w:ascii="Times New Roman" w:hAnsi="Times New Roman" w:cs="Times New Roman"/>
          <w:sz w:val="24"/>
        </w:rPr>
        <w:t>2011)</w:t>
      </w:r>
      <w:r w:rsidR="00F41E6A">
        <w:rPr>
          <w:rFonts w:ascii="Times New Roman" w:hAnsi="Times New Roman" w:cs="Times New Roman"/>
          <w:bCs/>
          <w:sz w:val="24"/>
          <w:szCs w:val="24"/>
        </w:rPr>
        <w:fldChar w:fldCharType="end"/>
      </w:r>
      <w:r>
        <w:rPr>
          <w:rFonts w:ascii="Times New Roman" w:hAnsi="Times New Roman" w:cs="Times New Roman"/>
          <w:bCs/>
          <w:sz w:val="24"/>
          <w:szCs w:val="24"/>
        </w:rPr>
        <w:t xml:space="preserve"> found that trends of suspended sediment concentration and load in the Mississippi River were commonly downward in the period of 1976–2009. During that time, a decrease in the proportion of silt and clay in suspended sediment reflected the influence of conservation practices, which reduced erosion of topsoil from agricultural land.</w:t>
      </w:r>
    </w:p>
    <w:p w:rsidR="00E63DA3" w:rsidRPr="00854E06" w:rsidRDefault="00E63DA3" w:rsidP="00E63DA3">
      <w:pPr>
        <w:pStyle w:val="ListParagraph"/>
        <w:spacing w:before="120" w:after="120" w:line="480" w:lineRule="auto"/>
        <w:ind w:left="0" w:firstLine="720"/>
        <w:contextualSpacing w:val="0"/>
        <w:jc w:val="both"/>
        <w:rPr>
          <w:rFonts w:ascii="Times New Roman" w:hAnsi="Times New Roman" w:cs="Times New Roman"/>
          <w:bCs/>
          <w:sz w:val="24"/>
          <w:szCs w:val="24"/>
        </w:rPr>
      </w:pPr>
      <w:r>
        <w:rPr>
          <w:rFonts w:ascii="Times New Roman" w:hAnsi="Times New Roman" w:cs="Times New Roman"/>
          <w:bCs/>
          <w:sz w:val="24"/>
          <w:szCs w:val="24"/>
        </w:rPr>
        <w:t xml:space="preserve">The Great Flood of 1993 also affected the interrelationship between suspended sediment load and stream discharge in the UMRB </w:t>
      </w:r>
      <w:r w:rsidR="00F41E6A">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{"citationID":"0ayTMVUB","properties":{"formattedCitation":"(Horowitz 2010)","plainCitation":"(Horowitz 2010)"},"citationItems":[{"id":521,"uris":["http://zotero.org/users/1706519/items/JPU3HZ2M"],"uri":["http://zotero.org/users/1706519/items/JPU3HZ2M"],"itemData":{"id":521,"type":"article-journal","title":"A quarter century of declining suspended sediment fluxes in the Mississippi River and the effect of the 1993 flood","container-title":"Hydrological Processes","page":"13–34","volume":"24","issue":"1","source":"Wiley Online Library","abstract":"Annual fluxes, flow-weighted concentrations and linear least squares trendline calculations for a number of long-term Mississippi River Basin (MRB) sampling sites covering 1981 through 2007, whilst somewhat ‘noisy’, display long-term patterns of decline. Annual flow-weighted concentration plots display the same long-term patterns of decline, but are less noisy because they reduce/eliminate variations due to interannual discharge differences. The declines appear greatest in the middle MRB, but also are evident elsewhere. The pattern for the lower Ohio River differs and may reflect ongoing construction at the Olmsted lock and dam that began in 1993 and currently is ongoing. The ‘Great Flood of 1993’ appears to have superimposed a step function (a sharp drop) on the long-term rate of decline in suspended sediment concentrations (SSC), annual fluxes and flow-weighted concentrations in the middle MRB at St Louis and Thebes, Missouri and Vicksburg, Mississippi, and in the lower MRB at St Francisville, Louisiana. Evidence for a step function at other sites is less substantial, but may have occurred. The step function appears to have resulted from losses in available (erodible) sediment, rather than to a reduction in discharge; hence, the MRB appears to be supply limited rather than discharge limited. These evaluations support the need for daily discharge and SSC data collections in the MRB to better address questions regarding long-term trends in sediment-related issues. This is apparent when the results for the Mississippi River at Thebes and St Louis sites are compared with those from other MRB sites where intensive (daily) data collections are lacking. Published in 2009 by John Wiley &amp; Sons, Ltd.","DOI":"10.1002/hyp.7425","ISSN":"1099-1085","language":"en","author":[{"family":"Horowitz","given":"Arthur J."}],"issued":{"date-parts":[["2010"]]},"accessed":{"date-parts":[["2014",3,10]]}}}],"schema":"https://github.com/citation-style-language/schema/raw/master/csl-citation.json"} </w:instrText>
      </w:r>
      <w:r w:rsidR="00F41E6A">
        <w:rPr>
          <w:rFonts w:ascii="Times New Roman" w:hAnsi="Times New Roman" w:cs="Times New Roman"/>
          <w:bCs/>
          <w:sz w:val="24"/>
          <w:szCs w:val="24"/>
        </w:rPr>
        <w:fldChar w:fldCharType="separate"/>
      </w:r>
      <w:r w:rsidRPr="0002234F">
        <w:rPr>
          <w:rFonts w:ascii="Times New Roman" w:hAnsi="Times New Roman" w:cs="Times New Roman"/>
          <w:sz w:val="24"/>
        </w:rPr>
        <w:t>(Horowitz 2010)</w:t>
      </w:r>
      <w:r w:rsidR="00F41E6A">
        <w:rPr>
          <w:rFonts w:ascii="Times New Roman" w:hAnsi="Times New Roman" w:cs="Times New Roman"/>
          <w:bCs/>
          <w:sz w:val="24"/>
          <w:szCs w:val="24"/>
        </w:rPr>
        <w:fldChar w:fldCharType="end"/>
      </w:r>
      <w:r>
        <w:rPr>
          <w:rFonts w:ascii="Times New Roman" w:hAnsi="Times New Roman" w:cs="Times New Roman"/>
          <w:bCs/>
          <w:sz w:val="24"/>
          <w:szCs w:val="24"/>
        </w:rPr>
        <w:t xml:space="preserve">. The flood of 1993 flushed out the stored sediment in the basin and scoured </w:t>
      </w:r>
      <w:proofErr w:type="spellStart"/>
      <w:r>
        <w:rPr>
          <w:rFonts w:ascii="Times New Roman" w:hAnsi="Times New Roman" w:cs="Times New Roman"/>
          <w:bCs/>
          <w:sz w:val="24"/>
          <w:szCs w:val="24"/>
        </w:rPr>
        <w:t>streambanks</w:t>
      </w:r>
      <w:proofErr w:type="spellEnd"/>
      <w:r>
        <w:rPr>
          <w:rFonts w:ascii="Times New Roman" w:hAnsi="Times New Roman" w:cs="Times New Roman"/>
          <w:bCs/>
          <w:sz w:val="24"/>
          <w:szCs w:val="24"/>
        </w:rPr>
        <w:t xml:space="preserve"> </w:t>
      </w:r>
      <w:r w:rsidR="00F41E6A">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{"citationID":"tGWvxppx","properties":{"formattedCitation":"(Julien and Vensel 2005)","plainCitation":"(Julien and Vensel 2005)"},"citationItems":[{"id":47,"uris":["http://zotero.org/users/1706519/items/AWEMXXW7"],"uri":["http://zotero.org/users/1706519/items/AWEMXXW7"],"itemData":{"id":47,"type":"report","title":"Review of Sedimentation Issues on the Mississippi River","publisher":"Dept. of Civil and Environmental Engineering","genre":"Report Presented to the UNESCO: ISI","author":[{"family":"Julien","given":"Pierre Y."},{"family":"Vensel","given":"Chad W."}],"issued":{"date-parts":[["2005",11]]}}}],"schema":"https://github.com/citation-style-language/schema/raw/master/csl-citation.json"} </w:instrText>
      </w:r>
      <w:r w:rsidR="00F41E6A">
        <w:rPr>
          <w:rFonts w:ascii="Times New Roman" w:hAnsi="Times New Roman" w:cs="Times New Roman"/>
          <w:bCs/>
          <w:sz w:val="24"/>
          <w:szCs w:val="24"/>
        </w:rPr>
        <w:fldChar w:fldCharType="separate"/>
      </w:r>
      <w:r w:rsidRPr="008B3C06">
        <w:rPr>
          <w:rFonts w:ascii="Times New Roman" w:hAnsi="Times New Roman" w:cs="Times New Roman"/>
          <w:sz w:val="24"/>
        </w:rPr>
        <w:t xml:space="preserve">(Julien and </w:t>
      </w:r>
      <w:proofErr w:type="spellStart"/>
      <w:r w:rsidRPr="008B3C06">
        <w:rPr>
          <w:rFonts w:ascii="Times New Roman" w:hAnsi="Times New Roman" w:cs="Times New Roman"/>
          <w:sz w:val="24"/>
        </w:rPr>
        <w:t>Vensel</w:t>
      </w:r>
      <w:proofErr w:type="spellEnd"/>
      <w:r w:rsidRPr="008B3C06">
        <w:rPr>
          <w:rFonts w:ascii="Times New Roman" w:hAnsi="Times New Roman" w:cs="Times New Roman"/>
          <w:sz w:val="24"/>
        </w:rPr>
        <w:t xml:space="preserve"> 2005)</w:t>
      </w:r>
      <w:r w:rsidR="00F41E6A">
        <w:rPr>
          <w:rFonts w:ascii="Times New Roman" w:hAnsi="Times New Roman" w:cs="Times New Roman"/>
          <w:bCs/>
          <w:sz w:val="24"/>
          <w:szCs w:val="24"/>
        </w:rPr>
        <w:fldChar w:fldCharType="end"/>
      </w:r>
      <w:r>
        <w:rPr>
          <w:rFonts w:ascii="Times New Roman" w:hAnsi="Times New Roman" w:cs="Times New Roman"/>
          <w:bCs/>
          <w:sz w:val="24"/>
          <w:szCs w:val="24"/>
        </w:rPr>
        <w:t>. Sediment that was transported by the flood</w:t>
      </w:r>
      <w:r w:rsidR="00366589">
        <w:rPr>
          <w:rFonts w:ascii="Times New Roman" w:hAnsi="Times New Roman" w:cs="Times New Roman"/>
          <w:bCs/>
          <w:sz w:val="24"/>
          <w:szCs w:val="24"/>
        </w:rPr>
        <w:t xml:space="preserve"> </w:t>
      </w:r>
      <w:r>
        <w:rPr>
          <w:rFonts w:ascii="Times New Roman" w:hAnsi="Times New Roman" w:cs="Times New Roman"/>
          <w:bCs/>
          <w:sz w:val="24"/>
          <w:szCs w:val="24"/>
        </w:rPr>
        <w:t xml:space="preserve">ended up in </w:t>
      </w:r>
      <w:proofErr w:type="spellStart"/>
      <w:r>
        <w:rPr>
          <w:rFonts w:ascii="Times New Roman" w:hAnsi="Times New Roman" w:cs="Times New Roman"/>
          <w:bCs/>
          <w:sz w:val="24"/>
          <w:szCs w:val="24"/>
        </w:rPr>
        <w:t>overbank</w:t>
      </w:r>
      <w:proofErr w:type="spellEnd"/>
      <w:r>
        <w:rPr>
          <w:rFonts w:ascii="Times New Roman" w:hAnsi="Times New Roman" w:cs="Times New Roman"/>
          <w:bCs/>
          <w:sz w:val="24"/>
          <w:szCs w:val="24"/>
        </w:rPr>
        <w:t xml:space="preserve"> deposits or downstream sections of the rivers. The record of sediment transported to the Lower Mississippi Basin showed a major decline in the following years, indicating a reduction of sediment supplied from the Missouri River and/or the Upper Mississippi River </w:t>
      </w:r>
      <w:r w:rsidR="00F41E6A">
        <w:rPr>
          <w:rFonts w:ascii="Times New Roman" w:hAnsi="Times New Roman" w:cs="Times New Roman"/>
          <w:bCs/>
          <w:sz w:val="24"/>
          <w:szCs w:val="24"/>
        </w:rPr>
        <w:fldChar w:fldCharType="begin"/>
      </w:r>
      <w:r>
        <w:rPr>
          <w:rFonts w:ascii="Times New Roman" w:hAnsi="Times New Roman" w:cs="Times New Roman"/>
          <w:bCs/>
          <w:sz w:val="24"/>
          <w:szCs w:val="24"/>
        </w:rPr>
        <w:instrText xml:space="preserve"> ADDIN ZOTERO_ITEM CSL_CITATION {"citationID":"TLzDvFHC","properties":{"formattedCitation":"(Horowitz 2010)","plainCitation":"(Horowitz 2010)"},"citationItems":[{"id":521,"uris":["http://zotero.org/users/1706519/items/JPU3HZ2M"],"uri":["http://zotero.org/users/1706519/items/JPU3HZ2M"],"itemData":{"id":521,"type":"article-journal","title":"A quarter century of declining suspended sediment fluxes in the Mississippi River and the effect of the 1993 flood","container-title":"Hydrological Processes","page":"13–34","volume":"24","issue":"1","source":"Wiley Online Library","abstract":"Annual fluxes, flow-weighted concentrations and linear least squares trendline calculations for a number of long-term Mississippi River Basin (MRB) sampling sites covering 1981 through 2007, whilst somewhat ‘noisy’, display long-term patterns of decline. Annual flow-weighted concentration plots display the same long-term patterns of decline, but are less noisy because they reduce/eliminate variations due to interannual discharge differences. The declines appear greatest in the middle MRB, but also are evident elsewhere. The pattern for the lower Ohio River differs and may reflect ongoing construction at the Olmsted lock and dam that began in 1993 and currently is ongoing. The ‘Great Flood of 1993’ appears to have superimposed a step function (a sharp drop) on the long-term rate of decline in suspended sediment concentrations (SSC), annual fluxes and flow-weighted concentrations in the middle MRB at St Louis and Thebes, Missouri and Vicksburg, Mississippi, and in the lower MRB at St Francisville, Louisiana. Evidence for a step function at other sites is less substantial, but may have occurred. The step function appears to have resulted from losses in available (erodible) sediment, rather than to a reduction in discharge; hence, the MRB appears to be supply limited rather than discharge limited. These evaluations support the need for daily discharge and SSC data collections in the MRB to better address questions regarding long-term trends in sediment-related issues. This is apparent when the results for the Mississippi River at Thebes and St Louis sites are compared with those from other MRB sites where intensive (daily) data collections are lacking. Published in 2009 by John Wiley &amp; Sons, Ltd.","DOI":"10.1002/hyp.7425","ISSN":"1099-1085","language":"en","author":[{"family":"Horowitz","given":"Arthur J."}],"issued":{"date-parts":[["2010"]]},"accessed":{"date-parts":[["2014",3,10]]}}}],"schema":"https://github.com/citation-style-language/schema/raw/master/csl-citation.json"} </w:instrText>
      </w:r>
      <w:r w:rsidR="00F41E6A">
        <w:rPr>
          <w:rFonts w:ascii="Times New Roman" w:hAnsi="Times New Roman" w:cs="Times New Roman"/>
          <w:bCs/>
          <w:sz w:val="24"/>
          <w:szCs w:val="24"/>
        </w:rPr>
        <w:fldChar w:fldCharType="separate"/>
      </w:r>
      <w:r w:rsidRPr="00F04DE0">
        <w:rPr>
          <w:rFonts w:ascii="Times New Roman" w:hAnsi="Times New Roman" w:cs="Times New Roman"/>
          <w:sz w:val="24"/>
        </w:rPr>
        <w:t>(Horowitz 2010)</w:t>
      </w:r>
      <w:r w:rsidR="00F41E6A">
        <w:rPr>
          <w:rFonts w:ascii="Times New Roman" w:hAnsi="Times New Roman" w:cs="Times New Roman"/>
          <w:bCs/>
          <w:sz w:val="24"/>
          <w:szCs w:val="24"/>
        </w:rPr>
        <w:fldChar w:fldCharType="end"/>
      </w:r>
      <w:r>
        <w:rPr>
          <w:rFonts w:ascii="Times New Roman" w:hAnsi="Times New Roman" w:cs="Times New Roman"/>
          <w:bCs/>
          <w:sz w:val="24"/>
          <w:szCs w:val="24"/>
        </w:rPr>
        <w:t>. Due to the rapid decline in sediment discharge, Meade and Moody (2010) concluded that the sediment transport in the Missouri-Mississippi River system had shifted from transport-limited to supply-limited.</w:t>
      </w:r>
    </w:p>
    <w:p w:rsidR="002B764C" w:rsidRPr="00854E06" w:rsidRDefault="002B764C" w:rsidP="002B764C">
      <w:pPr>
        <w:pStyle w:val="ListParagraph"/>
        <w:spacing w:before="120" w:after="120" w:line="480" w:lineRule="auto"/>
        <w:contextualSpacing w:val="0"/>
        <w:jc w:val="both"/>
        <w:rPr>
          <w:rFonts w:ascii="Times New Roman" w:hAnsi="Times New Roman" w:cs="Times New Roman"/>
          <w:sz w:val="24"/>
          <w:szCs w:val="24"/>
        </w:rPr>
      </w:pPr>
    </w:p>
    <w:p w:rsidR="003907AB" w:rsidRPr="00854E06" w:rsidRDefault="00E13939" w:rsidP="003907AB">
      <w:pPr>
        <w:pStyle w:val="ListParagraph"/>
        <w:keepNext/>
        <w:spacing w:before="120" w:after="120" w:line="480" w:lineRule="auto"/>
        <w:ind w:left="0"/>
        <w:contextualSpacing w:val="0"/>
        <w:jc w:val="center"/>
      </w:pPr>
      <w:r>
        <w:rPr>
          <w:noProof/>
        </w:rPr>
        <w:lastRenderedPageBreak/>
        <w:drawing>
          <wp:inline distT="0" distB="0" distL="0" distR="0" wp14:anchorId="4B5B5C01" wp14:editId="0AE5604B">
            <wp:extent cx="5452253" cy="7055892"/>
            <wp:effectExtent l="19050" t="19050" r="15240" b="1206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lcd_reg7_map.jpg"/>
                    <pic:cNvPicPr/>
                  </pic:nvPicPr>
                  <pic:blipFill>
                    <a:blip r:embed="rId29">
                      <a:extLst>
                        <a:ext uri="{28A0092B-C50C-407E-A947-70E740481C1C}">
                          <a14:useLocalDpi xmlns:a14="http://schemas.microsoft.com/office/drawing/2010/main" val="0"/>
                        </a:ext>
                      </a:extLst>
                    </a:blip>
                    <a:stretch>
                      <a:fillRect/>
                    </a:stretch>
                  </pic:blipFill>
                  <pic:spPr>
                    <a:xfrm>
                      <a:off x="0" y="0"/>
                      <a:ext cx="5448299" cy="7050775"/>
                    </a:xfrm>
                    <a:prstGeom prst="rect">
                      <a:avLst/>
                    </a:prstGeom>
                    <a:ln>
                      <a:solidFill>
                        <a:schemeClr val="tx1"/>
                      </a:solidFill>
                    </a:ln>
                  </pic:spPr>
                </pic:pic>
              </a:graphicData>
            </a:graphic>
          </wp:inline>
        </w:drawing>
      </w:r>
    </w:p>
    <w:p w:rsidR="002B764C" w:rsidRPr="00854E06" w:rsidRDefault="003907AB" w:rsidP="008D23E0">
      <w:pPr>
        <w:pStyle w:val="Caption"/>
        <w:jc w:val="center"/>
        <w:rPr>
          <w:rFonts w:cstheme="majorBidi"/>
          <w:color w:val="auto"/>
          <w:sz w:val="24"/>
          <w:szCs w:val="24"/>
        </w:rPr>
      </w:pPr>
      <w:bookmarkStart w:id="70" w:name="_Toc387129048"/>
      <w:bookmarkStart w:id="71" w:name="_Toc393799588"/>
      <w:proofErr w:type="gramStart"/>
      <w:r w:rsidRPr="00854E06">
        <w:rPr>
          <w:rFonts w:cstheme="majorBidi"/>
          <w:color w:val="auto"/>
          <w:sz w:val="24"/>
          <w:szCs w:val="24"/>
        </w:rPr>
        <w:t xml:space="preserve">Figure </w:t>
      </w:r>
      <w:r w:rsidR="008D23E0" w:rsidRPr="00854E06">
        <w:rPr>
          <w:rFonts w:cstheme="majorBidi"/>
          <w:color w:val="auto"/>
          <w:sz w:val="24"/>
          <w:szCs w:val="24"/>
        </w:rPr>
        <w:t>3</w:t>
      </w:r>
      <w:r w:rsidR="0035342E" w:rsidRPr="00854E06">
        <w:rPr>
          <w:rFonts w:cstheme="majorBidi"/>
          <w:color w:val="auto"/>
          <w:sz w:val="24"/>
          <w:szCs w:val="24"/>
        </w:rPr>
        <w:noBreakHyphen/>
      </w:r>
      <w:r w:rsidR="00F41E6A" w:rsidRPr="00854E06">
        <w:rPr>
          <w:rFonts w:cstheme="majorBidi"/>
          <w:color w:val="auto"/>
          <w:sz w:val="24"/>
          <w:szCs w:val="24"/>
        </w:rPr>
        <w:fldChar w:fldCharType="begin"/>
      </w:r>
      <w:r w:rsidR="0035342E" w:rsidRPr="00854E06">
        <w:rPr>
          <w:rFonts w:cstheme="majorBidi"/>
          <w:color w:val="auto"/>
          <w:sz w:val="24"/>
          <w:szCs w:val="24"/>
        </w:rPr>
        <w:instrText xml:space="preserve"> SEQ Figure \* ARABIC \s 1 </w:instrText>
      </w:r>
      <w:r w:rsidR="00F41E6A" w:rsidRPr="00854E06">
        <w:rPr>
          <w:rFonts w:cstheme="majorBidi"/>
          <w:color w:val="auto"/>
          <w:sz w:val="24"/>
          <w:szCs w:val="24"/>
        </w:rPr>
        <w:fldChar w:fldCharType="separate"/>
      </w:r>
      <w:r w:rsidR="008E2F67">
        <w:rPr>
          <w:rFonts w:cstheme="majorBidi"/>
          <w:noProof/>
          <w:color w:val="auto"/>
          <w:sz w:val="24"/>
          <w:szCs w:val="24"/>
        </w:rPr>
        <w:t>8</w:t>
      </w:r>
      <w:r w:rsidR="00F41E6A" w:rsidRPr="00854E06">
        <w:rPr>
          <w:rFonts w:cstheme="majorBidi"/>
          <w:color w:val="auto"/>
          <w:sz w:val="24"/>
          <w:szCs w:val="24"/>
        </w:rPr>
        <w:fldChar w:fldCharType="end"/>
      </w:r>
      <w:r w:rsidRPr="00854E06">
        <w:rPr>
          <w:rFonts w:cstheme="majorBidi"/>
          <w:noProof/>
          <w:color w:val="auto"/>
          <w:sz w:val="24"/>
          <w:szCs w:val="24"/>
        </w:rPr>
        <w:t xml:space="preserve"> .</w:t>
      </w:r>
      <w:proofErr w:type="gramEnd"/>
      <w:r w:rsidR="008745F8" w:rsidRPr="00854E06">
        <w:rPr>
          <w:rFonts w:cstheme="majorBidi"/>
          <w:noProof/>
          <w:color w:val="auto"/>
          <w:sz w:val="24"/>
          <w:szCs w:val="24"/>
        </w:rPr>
        <w:t xml:space="preserve"> </w:t>
      </w:r>
      <w:r w:rsidRPr="00854E06">
        <w:rPr>
          <w:rFonts w:cstheme="majorBidi"/>
          <w:noProof/>
          <w:color w:val="auto"/>
          <w:sz w:val="24"/>
          <w:szCs w:val="24"/>
        </w:rPr>
        <w:t>Land cover in the UMRB in 1992</w:t>
      </w:r>
      <w:bookmarkEnd w:id="70"/>
      <w:bookmarkEnd w:id="71"/>
    </w:p>
    <w:p w:rsidR="002B764C" w:rsidRPr="00854E06" w:rsidRDefault="002B764C" w:rsidP="003907AB">
      <w:pPr>
        <w:pStyle w:val="ListParagraph"/>
        <w:spacing w:before="120" w:after="600" w:line="240" w:lineRule="auto"/>
        <w:ind w:left="0"/>
        <w:contextualSpacing w:val="0"/>
        <w:jc w:val="center"/>
        <w:rPr>
          <w:rFonts w:ascii="Times New Roman" w:hAnsi="Times New Roman" w:cs="Times New Roman"/>
          <w:b/>
          <w:bCs/>
          <w:sz w:val="24"/>
          <w:szCs w:val="24"/>
        </w:rPr>
      </w:pPr>
      <w:r w:rsidRPr="00854E06">
        <w:rPr>
          <w:rFonts w:ascii="Times New Roman" w:hAnsi="Times New Roman" w:cs="Times New Roman"/>
          <w:b/>
          <w:bCs/>
          <w:sz w:val="24"/>
          <w:szCs w:val="24"/>
        </w:rPr>
        <w:t xml:space="preserve">(Source: </w:t>
      </w:r>
      <w:r w:rsidR="00F41E6A" w:rsidRPr="00854E06">
        <w:rPr>
          <w:rFonts w:ascii="Times New Roman" w:hAnsi="Times New Roman" w:cs="Times New Roman"/>
          <w:b/>
          <w:bCs/>
          <w:sz w:val="24"/>
          <w:szCs w:val="24"/>
        </w:rPr>
        <w:fldChar w:fldCharType="begin"/>
      </w:r>
      <w:r w:rsidRPr="00854E06">
        <w:rPr>
          <w:rFonts w:ascii="Times New Roman" w:hAnsi="Times New Roman" w:cs="Times New Roman"/>
          <w:b/>
          <w:bCs/>
          <w:sz w:val="24"/>
          <w:szCs w:val="24"/>
        </w:rPr>
        <w:instrText xml:space="preserve"> ADDIN ZOTERO_ITEM CSL_CITATION {"citationID":"8oli4R5b","properties":{"formattedCitation":"(Vogelmann et al. 2001)","plainCitation":"(Vogelmann et al. 2001)"},"citationItems":[{"id":473,"uris":["http://zotero.org/users/1706519/items/TXAVWJF4"],"uri":["http://zotero.org/users/1706519/items/TXAVWJF4"],"itemData":{"id":473,"type":"article-journal","title":"Completion of the 1990's National Land Cover Data Set for the conterminous United States","container-title":"Photogrammetric Engineering and Remote Sensing","page":"650-662","volume":"67","author":[{"family":"Vogelmann","given":"J.E."},{"family":"Howard","given":"S.M."},{"family":"Yang","given":"L."},{"family":"Larson","given":"Curtis L."},{"family":"Wylie","given":"B.K."},{"family":"Van Driel","given":"J.N."}],"issued":{"date-parts":[["2001"]]}}}],"schema":"https://github.com/citation-style-language/schema/raw/master/csl-citation.json"} </w:instrText>
      </w:r>
      <w:r w:rsidR="00F41E6A" w:rsidRPr="00854E06">
        <w:rPr>
          <w:rFonts w:ascii="Times New Roman" w:hAnsi="Times New Roman" w:cs="Times New Roman"/>
          <w:b/>
          <w:bCs/>
          <w:sz w:val="24"/>
          <w:szCs w:val="24"/>
        </w:rPr>
        <w:fldChar w:fldCharType="separate"/>
      </w:r>
      <w:r w:rsidRPr="00854E06">
        <w:rPr>
          <w:rFonts w:ascii="Times New Roman" w:hAnsi="Times New Roman" w:cs="Times New Roman"/>
          <w:b/>
          <w:bCs/>
          <w:sz w:val="24"/>
        </w:rPr>
        <w:t>Vogelmann et al. 2001)</w:t>
      </w:r>
      <w:r w:rsidR="00F41E6A" w:rsidRPr="00854E06">
        <w:rPr>
          <w:rFonts w:ascii="Times New Roman" w:hAnsi="Times New Roman" w:cs="Times New Roman"/>
          <w:b/>
          <w:bCs/>
          <w:sz w:val="24"/>
          <w:szCs w:val="24"/>
        </w:rPr>
        <w:fldChar w:fldCharType="end"/>
      </w:r>
    </w:p>
    <w:p w:rsidR="007C1325" w:rsidRPr="00854E06" w:rsidRDefault="007C1325" w:rsidP="007C1325">
      <w:pPr>
        <w:pStyle w:val="Heading1"/>
      </w:pPr>
      <w:bookmarkStart w:id="72" w:name="_Toc394525563"/>
      <w:r w:rsidRPr="00854E06">
        <w:lastRenderedPageBreak/>
        <w:t>Methodology</w:t>
      </w:r>
      <w:bookmarkEnd w:id="72"/>
    </w:p>
    <w:p w:rsidR="007C1325" w:rsidRPr="00523FFD" w:rsidRDefault="007C1325" w:rsidP="00523FFD">
      <w:pPr>
        <w:pStyle w:val="Heading2"/>
        <w:numPr>
          <w:ilvl w:val="0"/>
          <w:numId w:val="40"/>
        </w:numPr>
        <w:ind w:left="360"/>
      </w:pPr>
      <w:bookmarkStart w:id="73" w:name="_Toc394525564"/>
      <w:r w:rsidRPr="00523FFD">
        <w:t>Data</w:t>
      </w:r>
      <w:bookmarkEnd w:id="73"/>
    </w:p>
    <w:p w:rsidR="00AC6644" w:rsidRPr="00AC6644" w:rsidRDefault="00AC6644" w:rsidP="00AC6644">
      <w:pPr>
        <w:spacing w:before="120" w:after="120" w:line="480" w:lineRule="auto"/>
        <w:ind w:firstLine="720"/>
        <w:jc w:val="both"/>
        <w:rPr>
          <w:rFonts w:ascii="Times New Roman" w:hAnsi="Times New Roman" w:cs="Times New Roman"/>
        </w:rPr>
      </w:pPr>
      <w:r w:rsidRPr="00AC6644">
        <w:rPr>
          <w:rFonts w:ascii="Times New Roman" w:hAnsi="Times New Roman" w:cs="Times New Roman"/>
        </w:rPr>
        <w:t>The data used for this thesis were a part of the Upper Mississippi Basin Loading Database (</w:t>
      </w:r>
      <w:hyperlink r:id="rId30" w:history="1">
        <w:r w:rsidRPr="00AC6644">
          <w:rPr>
            <w:rStyle w:val="Hyperlink"/>
            <w:rFonts w:ascii="Times New Roman" w:hAnsi="Times New Roman" w:cs="Times New Roman"/>
          </w:rPr>
          <w:t>http://www.umesc.usgs.gov/data_library/sediment_nutrients/sediment_nutrient_page.html</w:t>
        </w:r>
      </w:hyperlink>
      <w:r w:rsidRPr="00AC6644">
        <w:rPr>
          <w:rFonts w:ascii="Times New Roman" w:hAnsi="Times New Roman" w:cs="Times New Roman"/>
        </w:rPr>
        <w:t xml:space="preserve">) which was prepared and published by the USGS Upper Midwest Environmental Sciences Center (UMESC). The UMESC provides scientific information for research that serves to protect and restore the ecosystem in the UMRB and the Midwest </w:t>
      </w:r>
      <w:r w:rsidR="00F41E6A" w:rsidRPr="00AC6644">
        <w:rPr>
          <w:rFonts w:ascii="Times New Roman" w:hAnsi="Times New Roman" w:cs="Times New Roman"/>
        </w:rPr>
        <w:fldChar w:fldCharType="begin"/>
      </w:r>
      <w:r w:rsidRPr="00AC6644">
        <w:rPr>
          <w:rFonts w:ascii="Times New Roman" w:hAnsi="Times New Roman" w:cs="Times New Roman"/>
        </w:rPr>
        <w:instrText xml:space="preserve"> ADDIN ZOTERO_ITEM CSL_CITATION {"citationID":"ttUSD8j3","properties":{"formattedCitation":"(UMESC 2014)","plainCitation":"(UMESC 2014)"},"citationItems":[{"id":533,"uris":["http://zotero.org/users/1706519/items/EB8CRN9V"],"uri":["http://zotero.org/users/1706519/items/EB8CRN9V"],"itemData":{"id":533,"type":"webpage","title":"Upper Midwest Environmental Sciences Center","URL":"www. umesc.usgs.gov","author":[{"family":"UMESC","given":""}],"issued":{"date-parts":[["2014",3]]}}}],"schema":"https://github.com/citation-style-language/schema/raw/master/csl-citation.json"} </w:instrText>
      </w:r>
      <w:r w:rsidR="00F41E6A" w:rsidRPr="00AC6644">
        <w:rPr>
          <w:rFonts w:ascii="Times New Roman" w:hAnsi="Times New Roman" w:cs="Times New Roman"/>
        </w:rPr>
        <w:fldChar w:fldCharType="separate"/>
      </w:r>
      <w:r w:rsidRPr="00AC6644">
        <w:rPr>
          <w:rFonts w:ascii="Times New Roman" w:hAnsi="Times New Roman" w:cs="Times New Roman"/>
        </w:rPr>
        <w:t>(UMESC 2014)</w:t>
      </w:r>
      <w:r w:rsidR="00F41E6A" w:rsidRPr="00AC6644">
        <w:rPr>
          <w:rFonts w:ascii="Times New Roman" w:hAnsi="Times New Roman" w:cs="Times New Roman"/>
        </w:rPr>
        <w:fldChar w:fldCharType="end"/>
      </w:r>
      <w:r w:rsidRPr="00AC6644">
        <w:rPr>
          <w:rFonts w:ascii="Times New Roman" w:hAnsi="Times New Roman" w:cs="Times New Roman"/>
        </w:rPr>
        <w:t xml:space="preserve">. The dataset consists of annual and monthly </w:t>
      </w:r>
      <w:r w:rsidR="00BF0ECB">
        <w:rPr>
          <w:rFonts w:ascii="Times New Roman" w:hAnsi="Times New Roman" w:cs="Times New Roman"/>
        </w:rPr>
        <w:t>measurements</w:t>
      </w:r>
      <w:r w:rsidR="00BF0ECB" w:rsidRPr="00AC6644">
        <w:rPr>
          <w:rFonts w:ascii="Times New Roman" w:hAnsi="Times New Roman" w:cs="Times New Roman"/>
        </w:rPr>
        <w:t xml:space="preserve"> </w:t>
      </w:r>
      <w:r w:rsidRPr="00AC6644">
        <w:rPr>
          <w:rFonts w:ascii="Times New Roman" w:hAnsi="Times New Roman" w:cs="Times New Roman"/>
        </w:rPr>
        <w:t>of stream flow and several water-quality constituents, including suspended sediment, from 80 monitoring sites in the UMRB. These sites belong either to the Water Resource Division or the Long-Term Resource Monitoring Program (LTRMP) of the U.S. Geological Survey.</w:t>
      </w:r>
    </w:p>
    <w:p w:rsidR="00AC6644" w:rsidRPr="00AC6644" w:rsidRDefault="00AC6644" w:rsidP="00AC6644">
      <w:pPr>
        <w:spacing w:before="120" w:after="120" w:line="480" w:lineRule="auto"/>
        <w:ind w:firstLine="720"/>
        <w:jc w:val="both"/>
        <w:rPr>
          <w:rFonts w:ascii="Times New Roman" w:hAnsi="Times New Roman" w:cs="Times New Roman"/>
        </w:rPr>
      </w:pPr>
      <w:r w:rsidRPr="00AC6644">
        <w:rPr>
          <w:rFonts w:ascii="Times New Roman" w:hAnsi="Times New Roman" w:cs="Times New Roman"/>
        </w:rPr>
        <w:t xml:space="preserve">The sampling process includes collecting instantaneous measurement of discharge and suspended sediment concentration. Rating curves were developed from these data to estimate daily suspended loads, which were then aggregated to monthly and annual loads. The LOADEST2 (USGS) model was used to generate the sediment rating curves for individual stations. LOADEST2 used three methods for load estimation, including maximum likelihood (MLE), adjusted maximum likelihood (AMLE), and least absolute deviation (LAD). Additionally, LOADEST2 provided a set of predefined models that can be selected by users, or be automatically chosen based on </w:t>
      </w:r>
      <w:proofErr w:type="spellStart"/>
      <w:r w:rsidRPr="00AC6644">
        <w:rPr>
          <w:rFonts w:ascii="Times New Roman" w:hAnsi="Times New Roman" w:cs="Times New Roman"/>
        </w:rPr>
        <w:t>Akaike</w:t>
      </w:r>
      <w:proofErr w:type="spellEnd"/>
      <w:r w:rsidRPr="00AC6644">
        <w:rPr>
          <w:rFonts w:ascii="Times New Roman" w:hAnsi="Times New Roman" w:cs="Times New Roman"/>
        </w:rPr>
        <w:t xml:space="preserve"> Information Criterion (AIC) and Schwarz Posterior Probability Criterion (SPPC). These predefined models take into account the seasonality of discharge to enhance load estimation </w:t>
      </w:r>
      <w:r w:rsidR="00F41E6A" w:rsidRPr="00AC6644">
        <w:rPr>
          <w:rFonts w:ascii="Times New Roman" w:hAnsi="Times New Roman" w:cs="Times New Roman"/>
        </w:rPr>
        <w:fldChar w:fldCharType="begin"/>
      </w:r>
      <w:r w:rsidRPr="00AC6644">
        <w:rPr>
          <w:rFonts w:ascii="Times New Roman" w:hAnsi="Times New Roman" w:cs="Times New Roman"/>
        </w:rPr>
        <w:instrText xml:space="preserve"> ADDIN ZOTERO_ITEM CSL_CITATION {"citationID":"51MgDJES","properties":{"formattedCitation":"(Crawford 1998)","plainCitation":"(Crawford 1998)"},"citationItems":[{"id":22,"uris":["http://zotero.org/users/1706519/items/CI4VUBP7"],"uri":["http://zotero.org/users/1706519/items/CI4VUBP7"],"itemData":{"id":22,"type":"report","title":"LOADEST2 Version 1.101: Single Station Version of LOADEST, , a Program to Calculate Mean River Loads at 149 Coastal National Stream Quality Accounting Network (NASQAN) Stations","publisher":"USGS in Cooperation with the National Oceanic and Atmospheric Administration","publisher-place":"5957 Lakeside Boulevard, Indianapolis, Indiana 46278","event-place":"5957 Lakeside Boulevard, Indianapolis, Indiana 46278","author":[{"family":"Crawford","given":"C.G."}],"issued":{"date-parts":[["1998"]]}}}],"schema":"https://github.com/citation-style-language/schema/raw/master/csl-citation.json"} </w:instrText>
      </w:r>
      <w:r w:rsidR="00F41E6A" w:rsidRPr="00AC6644">
        <w:rPr>
          <w:rFonts w:ascii="Times New Roman" w:hAnsi="Times New Roman" w:cs="Times New Roman"/>
        </w:rPr>
        <w:fldChar w:fldCharType="separate"/>
      </w:r>
      <w:r w:rsidRPr="00AC6644">
        <w:rPr>
          <w:rFonts w:ascii="Times New Roman" w:hAnsi="Times New Roman" w:cs="Times New Roman"/>
        </w:rPr>
        <w:t>(Crawford 1998)</w:t>
      </w:r>
      <w:r w:rsidR="00F41E6A" w:rsidRPr="00AC6644">
        <w:rPr>
          <w:rFonts w:ascii="Times New Roman" w:hAnsi="Times New Roman" w:cs="Times New Roman"/>
        </w:rPr>
        <w:fldChar w:fldCharType="end"/>
      </w:r>
      <w:r w:rsidRPr="00AC6644">
        <w:rPr>
          <w:rFonts w:ascii="Times New Roman" w:hAnsi="Times New Roman" w:cs="Times New Roman"/>
        </w:rPr>
        <w:t xml:space="preserve">. One way to assess the uncertainty of the model is to compare the results of load estimates from three methods. In this case, the similarity </w:t>
      </w:r>
      <w:r w:rsidRPr="00AC6644">
        <w:rPr>
          <w:rFonts w:ascii="Times New Roman" w:hAnsi="Times New Roman" w:cs="Times New Roman"/>
        </w:rPr>
        <w:lastRenderedPageBreak/>
        <w:t xml:space="preserve">of load estimates between the three methods indicated accuracy and robustness of the results </w:t>
      </w:r>
      <w:r w:rsidR="00F41E6A" w:rsidRPr="00AC6644">
        <w:rPr>
          <w:rFonts w:ascii="Times New Roman" w:hAnsi="Times New Roman" w:cs="Times New Roman"/>
        </w:rPr>
        <w:fldChar w:fldCharType="begin"/>
      </w:r>
      <w:r w:rsidRPr="00AC6644">
        <w:rPr>
          <w:rFonts w:ascii="Times New Roman" w:hAnsi="Times New Roman" w:cs="Times New Roman"/>
        </w:rPr>
        <w:instrText xml:space="preserve"> ADDIN ZOTERO_ITEM CSL_CITATION {"citationID":"H7kTyutr","properties":{"formattedCitation":"(UMESC 2006)","plainCitation":"(UMESC 2006)"},"citationItems":[{"id":71,"uris":["http://zotero.org/users/1706519/items/2GHUF3F3"],"uri":["http://zotero.org/users/1706519/items/2GHUF3F3"],"itemData":{"id":71,"type":"article","title":"Upper Midwest Basin Loading Database (Sediment and Nutrients): Loading Estimated Background Information","author":[{"family":"UMESC","given":""}],"issued":{"date-parts":[["2006"]]}}}],"schema":"https://github.com/citation-style-language/schema/raw/master/csl-citation.json"} </w:instrText>
      </w:r>
      <w:r w:rsidR="00F41E6A" w:rsidRPr="00AC6644">
        <w:rPr>
          <w:rFonts w:ascii="Times New Roman" w:hAnsi="Times New Roman" w:cs="Times New Roman"/>
        </w:rPr>
        <w:fldChar w:fldCharType="separate"/>
      </w:r>
      <w:r w:rsidRPr="00AC6644">
        <w:rPr>
          <w:rFonts w:ascii="Times New Roman" w:hAnsi="Times New Roman" w:cs="Times New Roman"/>
        </w:rPr>
        <w:t>(UMESC 2006)</w:t>
      </w:r>
      <w:r w:rsidR="00F41E6A" w:rsidRPr="00AC6644">
        <w:rPr>
          <w:rFonts w:ascii="Times New Roman" w:hAnsi="Times New Roman" w:cs="Times New Roman"/>
        </w:rPr>
        <w:fldChar w:fldCharType="end"/>
      </w:r>
      <w:r w:rsidRPr="00AC6644">
        <w:rPr>
          <w:rFonts w:ascii="Times New Roman" w:hAnsi="Times New Roman" w:cs="Times New Roman"/>
        </w:rPr>
        <w:t xml:space="preserve">.  </w:t>
      </w:r>
    </w:p>
    <w:p w:rsidR="00AC6644" w:rsidRPr="00AC6644" w:rsidRDefault="00AC6644" w:rsidP="00485D90">
      <w:pPr>
        <w:spacing w:before="120" w:after="120" w:line="480" w:lineRule="auto"/>
        <w:ind w:firstLine="720"/>
        <w:jc w:val="both"/>
        <w:rPr>
          <w:rFonts w:ascii="Times New Roman" w:hAnsi="Times New Roman" w:cs="Times New Roman"/>
        </w:rPr>
      </w:pPr>
      <w:r w:rsidRPr="00AC6644">
        <w:rPr>
          <w:rFonts w:ascii="Times New Roman" w:hAnsi="Times New Roman" w:cs="Times New Roman"/>
        </w:rPr>
        <w:t xml:space="preserve">The dataset includes load estimates of the year of the Great Flood of 1993. This might affect the long-term pattern of sediment transport during this period. In fact, estimated loads from stations on the Mississippi River show that the suspended load was substantially higher in 1993 than in previous years. Because floods are a part of the natural process, the data from 1993 were still included in the dataset </w:t>
      </w:r>
      <w:r w:rsidR="00F41E6A" w:rsidRPr="00AC6644">
        <w:rPr>
          <w:rFonts w:ascii="Times New Roman" w:hAnsi="Times New Roman" w:cs="Times New Roman"/>
        </w:rPr>
        <w:fldChar w:fldCharType="begin"/>
      </w:r>
      <w:r w:rsidRPr="00AC6644">
        <w:rPr>
          <w:rFonts w:ascii="Times New Roman" w:hAnsi="Times New Roman" w:cs="Times New Roman"/>
        </w:rPr>
        <w:instrText xml:space="preserve"> ADDIN ZOTERO_ITEM CSL_CITATION {"citationID":"1TLGAuvU","properties":{"formattedCitation":"(UMESC 2006)","plainCitation":"(UMESC 2006)"},"citationItems":[{"id":71,"uris":["http://zotero.org/users/1706519/items/2GHUF3F3"],"uri":["http://zotero.org/users/1706519/items/2GHUF3F3"],"itemData":{"id":71,"type":"article","title":"Upper Midwest Basin Loading Database (Sediment and Nutrients): Loading Estimated Background Information","author":[{"family":"UMESC","given":""}],"issued":{"date-parts":[["2006"]]}}}],"schema":"https://github.com/citation-style-language/schema/raw/master/csl-citation.json"} </w:instrText>
      </w:r>
      <w:r w:rsidR="00F41E6A" w:rsidRPr="00AC6644">
        <w:rPr>
          <w:rFonts w:ascii="Times New Roman" w:hAnsi="Times New Roman" w:cs="Times New Roman"/>
        </w:rPr>
        <w:fldChar w:fldCharType="separate"/>
      </w:r>
      <w:r w:rsidRPr="00AC6644">
        <w:rPr>
          <w:rFonts w:ascii="Times New Roman" w:hAnsi="Times New Roman" w:cs="Times New Roman"/>
        </w:rPr>
        <w:t>(UMESC 2006)</w:t>
      </w:r>
      <w:r w:rsidR="00F41E6A" w:rsidRPr="00AC6644">
        <w:rPr>
          <w:rFonts w:ascii="Times New Roman" w:hAnsi="Times New Roman" w:cs="Times New Roman"/>
        </w:rPr>
        <w:fldChar w:fldCharType="end"/>
      </w:r>
      <w:r w:rsidRPr="00AC6644">
        <w:rPr>
          <w:rFonts w:ascii="Times New Roman" w:hAnsi="Times New Roman" w:cs="Times New Roman"/>
        </w:rPr>
        <w:t xml:space="preserve">. </w:t>
      </w:r>
      <w:r w:rsidR="00485D90">
        <w:rPr>
          <w:rFonts w:ascii="Times New Roman" w:hAnsi="Times New Roman" w:cs="Times New Roman"/>
        </w:rPr>
        <w:t>No drought year occurred in the time range of the dataset</w:t>
      </w:r>
    </w:p>
    <w:p w:rsidR="00AC6644" w:rsidRPr="00AC6644" w:rsidRDefault="00AC6644" w:rsidP="00813421">
      <w:pPr>
        <w:spacing w:before="120" w:after="120" w:line="480" w:lineRule="auto"/>
        <w:ind w:firstLine="720"/>
        <w:jc w:val="both"/>
        <w:rPr>
          <w:rFonts w:ascii="Times New Roman" w:hAnsi="Times New Roman" w:cs="Times New Roman"/>
        </w:rPr>
      </w:pPr>
      <w:r w:rsidRPr="00AC6644">
        <w:rPr>
          <w:rFonts w:ascii="Times New Roman" w:hAnsi="Times New Roman" w:cs="Times New Roman"/>
        </w:rPr>
        <w:t xml:space="preserve">The fact that data used in this study are simulated has some effect on the calculation of the rating parameters. Because the daily load estimates are unbiased (because of the adjustment for seasonality in LOADEST2), the monthly and annual aggregations are also unbiased. Furthermore, the scatter in the plot of simulated </w:t>
      </w:r>
      <w:r w:rsidR="00485D90">
        <w:rPr>
          <w:rFonts w:ascii="Times New Roman" w:hAnsi="Times New Roman" w:cs="Times New Roman"/>
        </w:rPr>
        <w:t>data (</w:t>
      </w:r>
      <w:r w:rsidRPr="00AC6644">
        <w:rPr>
          <w:rFonts w:ascii="Times New Roman" w:hAnsi="Times New Roman" w:cs="Times New Roman"/>
        </w:rPr>
        <w:t>suspended load versus discharge</w:t>
      </w:r>
      <w:r w:rsidR="00485D90">
        <w:rPr>
          <w:rFonts w:ascii="Times New Roman" w:hAnsi="Times New Roman" w:cs="Times New Roman"/>
        </w:rPr>
        <w:t>)</w:t>
      </w:r>
      <w:r w:rsidRPr="00AC6644">
        <w:rPr>
          <w:rFonts w:ascii="Times New Roman" w:hAnsi="Times New Roman" w:cs="Times New Roman"/>
        </w:rPr>
        <w:t xml:space="preserve"> is less than in plots of observed data. Hence, despite the usage of logarithmic data to calculate the rating parameters, values of the exponents </w:t>
      </w:r>
      <m:oMath>
        <m:r>
          <w:rPr>
            <w:rFonts w:ascii="Cambria Math" w:hAnsi="Cambria Math" w:cs="Times New Roman"/>
          </w:rPr>
          <m:t>b</m:t>
        </m:r>
      </m:oMath>
      <w:r w:rsidRPr="00AC6644">
        <w:rPr>
          <w:rFonts w:ascii="Times New Roman" w:hAnsi="Times New Roman" w:cs="Times New Roman"/>
        </w:rPr>
        <w:t xml:space="preserve"> are not much different from </w:t>
      </w:r>
      <w:r w:rsidR="006C5438">
        <w:rPr>
          <w:rFonts w:ascii="Times New Roman" w:hAnsi="Times New Roman" w:cs="Times New Roman"/>
        </w:rPr>
        <w:t xml:space="preserve">those obtained </w:t>
      </w:r>
      <w:r w:rsidRPr="00AC6644">
        <w:rPr>
          <w:rFonts w:ascii="Times New Roman" w:hAnsi="Times New Roman" w:cs="Times New Roman"/>
        </w:rPr>
        <w:t xml:space="preserve">using the antilog data. Using the annual data of station 07030005-30003 as an example, the value of </w:t>
      </w:r>
      <m:oMath>
        <m:r>
          <w:rPr>
            <w:rFonts w:ascii="Cambria Math" w:hAnsi="Cambria Math" w:cs="Times New Roman"/>
          </w:rPr>
          <m:t>b</m:t>
        </m:r>
      </m:oMath>
      <w:r w:rsidRPr="00AC6644">
        <w:rPr>
          <w:rFonts w:ascii="Times New Roman" w:hAnsi="Times New Roman" w:cs="Times New Roman"/>
        </w:rPr>
        <w:t xml:space="preserve"> from a nonlinear fitting model is 1.91, while the value of </w:t>
      </w:r>
      <m:oMath>
        <m:r>
          <w:rPr>
            <w:rFonts w:ascii="Cambria Math" w:hAnsi="Cambria Math" w:cs="Times New Roman"/>
          </w:rPr>
          <m:t>b</m:t>
        </m:r>
      </m:oMath>
      <w:r w:rsidRPr="00AC6644">
        <w:rPr>
          <w:rFonts w:ascii="Times New Roman" w:hAnsi="Times New Roman" w:cs="Times New Roman"/>
        </w:rPr>
        <w:t xml:space="preserve"> from the linear regression is 1.87. The detai</w:t>
      </w:r>
      <w:r w:rsidR="00CC5D37">
        <w:rPr>
          <w:rFonts w:ascii="Times New Roman" w:hAnsi="Times New Roman" w:cs="Times New Roman"/>
        </w:rPr>
        <w:t>l of this illustration is</w:t>
      </w:r>
      <w:r w:rsidRPr="00AC6644">
        <w:rPr>
          <w:rFonts w:ascii="Times New Roman" w:hAnsi="Times New Roman" w:cs="Times New Roman"/>
        </w:rPr>
        <w:t xml:space="preserve"> shown in the </w:t>
      </w:r>
      <w:r w:rsidR="00BF0ECB">
        <w:rPr>
          <w:rFonts w:ascii="Times New Roman" w:hAnsi="Times New Roman" w:cs="Times New Roman"/>
        </w:rPr>
        <w:t>A</w:t>
      </w:r>
      <w:r w:rsidR="00BF0ECB" w:rsidRPr="00AC6644">
        <w:rPr>
          <w:rFonts w:ascii="Times New Roman" w:hAnsi="Times New Roman" w:cs="Times New Roman"/>
        </w:rPr>
        <w:t>ppendix</w:t>
      </w:r>
      <w:r w:rsidR="00CC5D37">
        <w:rPr>
          <w:rFonts w:ascii="Times New Roman" w:hAnsi="Times New Roman" w:cs="Times New Roman"/>
        </w:rPr>
        <w:t xml:space="preserve"> A6</w:t>
      </w:r>
      <w:r w:rsidRPr="00AC6644">
        <w:rPr>
          <w:rFonts w:ascii="Times New Roman" w:hAnsi="Times New Roman" w:cs="Times New Roman"/>
        </w:rPr>
        <w:t>.</w:t>
      </w:r>
    </w:p>
    <w:p w:rsidR="00AC6644" w:rsidRPr="00AC6644" w:rsidRDefault="00AC6644" w:rsidP="00485D90">
      <w:pPr>
        <w:spacing w:before="120" w:after="120" w:line="480" w:lineRule="auto"/>
        <w:ind w:firstLine="720"/>
        <w:jc w:val="both"/>
        <w:rPr>
          <w:rFonts w:ascii="Times New Roman" w:hAnsi="Times New Roman" w:cs="Times New Roman"/>
        </w:rPr>
      </w:pPr>
      <w:r w:rsidRPr="00AC6644">
        <w:rPr>
          <w:rFonts w:ascii="Times New Roman" w:hAnsi="Times New Roman" w:cs="Times New Roman"/>
        </w:rPr>
        <w:t>Data from 6</w:t>
      </w:r>
      <w:r w:rsidR="00E06476">
        <w:rPr>
          <w:rFonts w:ascii="Times New Roman" w:hAnsi="Times New Roman" w:cs="Times New Roman"/>
        </w:rPr>
        <w:t>4</w:t>
      </w:r>
      <w:r w:rsidRPr="00AC6644">
        <w:rPr>
          <w:rFonts w:ascii="Times New Roman" w:hAnsi="Times New Roman" w:cs="Times New Roman"/>
        </w:rPr>
        <w:t xml:space="preserve"> monitoring stations (out of total 80 stations</w:t>
      </w:r>
      <w:r w:rsidR="005F2A24">
        <w:rPr>
          <w:rFonts w:ascii="Times New Roman" w:hAnsi="Times New Roman" w:cs="Times New Roman"/>
        </w:rPr>
        <w:t>) were used for the study. Nine</w:t>
      </w:r>
      <w:r w:rsidRPr="00AC6644">
        <w:rPr>
          <w:rFonts w:ascii="Times New Roman" w:hAnsi="Times New Roman" w:cs="Times New Roman"/>
        </w:rPr>
        <w:t xml:space="preserve"> of the 80 stations were excluded because of short periods of record. Seven other stations were not used because they are replicates of stations nearby. </w:t>
      </w:r>
      <w:r w:rsidR="00F04B27" w:rsidRPr="00AC6644">
        <w:rPr>
          <w:rFonts w:ascii="Times New Roman" w:hAnsi="Times New Roman" w:cs="Times New Roman"/>
        </w:rPr>
        <w:t>The length of the records of the 6</w:t>
      </w:r>
      <w:r w:rsidR="00F04B27">
        <w:rPr>
          <w:rFonts w:ascii="Times New Roman" w:hAnsi="Times New Roman" w:cs="Times New Roman"/>
        </w:rPr>
        <w:t>4</w:t>
      </w:r>
      <w:r w:rsidR="00F04B27" w:rsidRPr="00AC6644">
        <w:rPr>
          <w:rFonts w:ascii="Times New Roman" w:hAnsi="Times New Roman" w:cs="Times New Roman"/>
        </w:rPr>
        <w:t xml:space="preserve"> stations varies from 7 years to 29 years; the shortest record is from January 1991 to January 1997, and the longest is from January 1967 to January 1996. The stations are located mostly on the Upper Mississippi River (29 stations) and also on the tributaries of the Upper Mississippi </w:t>
      </w:r>
      <w:r w:rsidR="00F04B27" w:rsidRPr="00AC6644">
        <w:rPr>
          <w:rFonts w:ascii="Times New Roman" w:hAnsi="Times New Roman" w:cs="Times New Roman"/>
        </w:rPr>
        <w:lastRenderedPageBreak/>
        <w:t xml:space="preserve">River (Figure 4-1).  </w:t>
      </w:r>
      <w:r w:rsidRPr="00AC6644">
        <w:rPr>
          <w:rFonts w:ascii="Times New Roman" w:hAnsi="Times New Roman" w:cs="Times New Roman"/>
        </w:rPr>
        <w:t xml:space="preserve">I included the station near the confluence of the Missouri River and Mississippi River and the station on the Mississippi River below that confluence (Figure 4-1) in this study to help depict a broad picture of sediment transport in the UMRB. The Missouri River is a major sediment contributor in the Mississippi River; hence, sediment loads at these two stations are high, compared to </w:t>
      </w:r>
      <w:r w:rsidR="006C5438">
        <w:rPr>
          <w:rFonts w:ascii="Times New Roman" w:hAnsi="Times New Roman" w:cs="Times New Roman"/>
        </w:rPr>
        <w:t xml:space="preserve">loads at </w:t>
      </w:r>
      <w:r w:rsidRPr="00AC6644">
        <w:rPr>
          <w:rFonts w:ascii="Times New Roman" w:hAnsi="Times New Roman" w:cs="Times New Roman"/>
        </w:rPr>
        <w:t>other stations in the dataset</w:t>
      </w:r>
      <w:r w:rsidR="00485D90">
        <w:rPr>
          <w:rFonts w:ascii="Times New Roman" w:hAnsi="Times New Roman" w:cs="Times New Roman"/>
        </w:rPr>
        <w:t xml:space="preserve">. </w:t>
      </w:r>
      <w:r w:rsidRPr="00AC6644">
        <w:rPr>
          <w:rFonts w:ascii="Times New Roman" w:hAnsi="Times New Roman" w:cs="Times New Roman"/>
        </w:rPr>
        <w:t xml:space="preserve">Although the station on the Missouri River was included in the dataset, </w:t>
      </w:r>
      <w:r w:rsidR="00604040">
        <w:rPr>
          <w:rFonts w:ascii="Times New Roman" w:hAnsi="Times New Roman" w:cs="Times New Roman"/>
        </w:rPr>
        <w:t>it</w:t>
      </w:r>
      <w:r w:rsidR="009D584D">
        <w:rPr>
          <w:rFonts w:ascii="Times New Roman" w:hAnsi="Times New Roman" w:cs="Times New Roman"/>
        </w:rPr>
        <w:t>s</w:t>
      </w:r>
      <w:r w:rsidR="00604040">
        <w:rPr>
          <w:rFonts w:ascii="Times New Roman" w:hAnsi="Times New Roman" w:cs="Times New Roman"/>
        </w:rPr>
        <w:t xml:space="preserve"> contributing area is </w:t>
      </w:r>
      <w:r w:rsidR="00F04B27">
        <w:rPr>
          <w:rFonts w:ascii="Times New Roman" w:hAnsi="Times New Roman" w:cs="Times New Roman"/>
        </w:rPr>
        <w:t xml:space="preserve">not </w:t>
      </w:r>
      <w:r w:rsidR="009D584D">
        <w:rPr>
          <w:rFonts w:ascii="Times New Roman" w:hAnsi="Times New Roman" w:cs="Times New Roman"/>
        </w:rPr>
        <w:t>included in</w:t>
      </w:r>
      <w:r w:rsidR="00F04B27">
        <w:rPr>
          <w:rFonts w:ascii="Times New Roman" w:hAnsi="Times New Roman" w:cs="Times New Roman"/>
        </w:rPr>
        <w:t xml:space="preserve"> the UMRB, meaning that</w:t>
      </w:r>
      <w:r w:rsidR="00604040">
        <w:rPr>
          <w:rFonts w:ascii="Times New Roman" w:hAnsi="Times New Roman" w:cs="Times New Roman"/>
        </w:rPr>
        <w:t xml:space="preserve"> </w:t>
      </w:r>
      <w:r w:rsidRPr="00AC6644">
        <w:rPr>
          <w:rFonts w:ascii="Times New Roman" w:hAnsi="Times New Roman" w:cs="Times New Roman"/>
        </w:rPr>
        <w:t>cumulative land</w:t>
      </w:r>
      <w:r w:rsidR="00F04B27">
        <w:rPr>
          <w:rFonts w:ascii="Times New Roman" w:hAnsi="Times New Roman" w:cs="Times New Roman"/>
        </w:rPr>
        <w:t>-</w:t>
      </w:r>
      <w:r w:rsidRPr="00AC6644">
        <w:rPr>
          <w:rFonts w:ascii="Times New Roman" w:hAnsi="Times New Roman" w:cs="Times New Roman"/>
        </w:rPr>
        <w:t>use/land</w:t>
      </w:r>
      <w:r w:rsidR="00F04B27">
        <w:rPr>
          <w:rFonts w:ascii="Times New Roman" w:hAnsi="Times New Roman" w:cs="Times New Roman"/>
        </w:rPr>
        <w:t>-</w:t>
      </w:r>
      <w:r w:rsidRPr="00AC6644">
        <w:rPr>
          <w:rFonts w:ascii="Times New Roman" w:hAnsi="Times New Roman" w:cs="Times New Roman"/>
        </w:rPr>
        <w:t xml:space="preserve">cover </w:t>
      </w:r>
      <w:r w:rsidR="00F04B27">
        <w:rPr>
          <w:rFonts w:ascii="Times New Roman" w:hAnsi="Times New Roman" w:cs="Times New Roman"/>
        </w:rPr>
        <w:t>data for</w:t>
      </w:r>
      <w:r w:rsidRPr="00AC6644">
        <w:rPr>
          <w:rFonts w:ascii="Times New Roman" w:hAnsi="Times New Roman" w:cs="Times New Roman"/>
        </w:rPr>
        <w:t xml:space="preserve"> this station </w:t>
      </w:r>
      <w:r w:rsidR="00F04B27">
        <w:rPr>
          <w:rFonts w:ascii="Times New Roman" w:hAnsi="Times New Roman" w:cs="Times New Roman"/>
        </w:rPr>
        <w:t>had to be imported to the database</w:t>
      </w:r>
      <w:r w:rsidR="00813421">
        <w:rPr>
          <w:rFonts w:ascii="Times New Roman" w:hAnsi="Times New Roman" w:cs="Times New Roman"/>
        </w:rPr>
        <w:t xml:space="preserve"> </w:t>
      </w:r>
      <w:r w:rsidR="00485D90">
        <w:rPr>
          <w:rFonts w:ascii="Times New Roman" w:hAnsi="Times New Roman" w:cs="Times New Roman"/>
        </w:rPr>
        <w:t>to complete the land-cover</w:t>
      </w:r>
      <w:r w:rsidR="00813421">
        <w:rPr>
          <w:rFonts w:ascii="Times New Roman" w:hAnsi="Times New Roman" w:cs="Times New Roman"/>
        </w:rPr>
        <w:t xml:space="preserve"> analyses</w:t>
      </w:r>
      <w:r w:rsidR="00F04B27">
        <w:rPr>
          <w:rFonts w:ascii="Times New Roman" w:hAnsi="Times New Roman" w:cs="Times New Roman"/>
        </w:rPr>
        <w:t>.</w:t>
      </w:r>
      <w:r w:rsidRPr="00AC6644">
        <w:rPr>
          <w:rFonts w:ascii="Times New Roman" w:hAnsi="Times New Roman" w:cs="Times New Roman"/>
        </w:rPr>
        <w:t xml:space="preserve"> </w:t>
      </w:r>
    </w:p>
    <w:p w:rsidR="0035342E" w:rsidRPr="00854E06" w:rsidRDefault="007C1325" w:rsidP="0035342E">
      <w:pPr>
        <w:keepNext/>
        <w:spacing w:before="240" w:after="120" w:line="480" w:lineRule="auto"/>
        <w:jc w:val="center"/>
      </w:pPr>
      <w:r w:rsidRPr="00854E06">
        <w:rPr>
          <w:rFonts w:ascii="Times New Roman" w:hAnsi="Times New Roman" w:cs="Times New Roman"/>
          <w:b/>
          <w:noProof/>
        </w:rPr>
        <w:lastRenderedPageBreak/>
        <w:drawing>
          <wp:inline distT="0" distB="0" distL="0" distR="0" wp14:anchorId="1CABCD21" wp14:editId="05E92117">
            <wp:extent cx="4705350" cy="6457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ions_dams_on_reg7-[Converted].jpg"/>
                    <pic:cNvPicPr/>
                  </pic:nvPicPr>
                  <pic:blipFill rotWithShape="1">
                    <a:blip r:embed="rId31">
                      <a:extLst>
                        <a:ext uri="{28A0092B-C50C-407E-A947-70E740481C1C}">
                          <a14:useLocalDpi xmlns:a14="http://schemas.microsoft.com/office/drawing/2010/main" val="0"/>
                        </a:ext>
                      </a:extLst>
                    </a:blip>
                    <a:srcRect l="10784" t="7576" r="8497" b="6818"/>
                    <a:stretch/>
                  </pic:blipFill>
                  <pic:spPr bwMode="auto">
                    <a:xfrm>
                      <a:off x="0" y="0"/>
                      <a:ext cx="4705350" cy="6457950"/>
                    </a:xfrm>
                    <a:prstGeom prst="rect">
                      <a:avLst/>
                    </a:prstGeom>
                    <a:ln>
                      <a:noFill/>
                    </a:ln>
                    <a:extLst>
                      <a:ext uri="{53640926-AAD7-44D8-BBD7-CCE9431645EC}">
                        <a14:shadowObscured xmlns:a14="http://schemas.microsoft.com/office/drawing/2010/main"/>
                      </a:ext>
                    </a:extLst>
                  </pic:spPr>
                </pic:pic>
              </a:graphicData>
            </a:graphic>
          </wp:inline>
        </w:drawing>
      </w:r>
    </w:p>
    <w:p w:rsidR="007C1325" w:rsidRPr="00854E06" w:rsidRDefault="0035342E" w:rsidP="0035342E">
      <w:pPr>
        <w:pStyle w:val="Caption"/>
        <w:jc w:val="center"/>
        <w:rPr>
          <w:rFonts w:cstheme="majorBidi"/>
          <w:b w:val="0"/>
          <w:color w:val="auto"/>
          <w:sz w:val="24"/>
          <w:szCs w:val="24"/>
        </w:rPr>
      </w:pPr>
      <w:bookmarkStart w:id="74" w:name="_Toc393799589"/>
      <w:proofErr w:type="gramStart"/>
      <w:r w:rsidRPr="00854E06">
        <w:rPr>
          <w:rFonts w:cstheme="majorBidi"/>
          <w:color w:val="auto"/>
          <w:sz w:val="24"/>
          <w:szCs w:val="24"/>
        </w:rPr>
        <w:t>Figure 4</w:t>
      </w:r>
      <w:r w:rsidRPr="00854E06">
        <w:rPr>
          <w:rFonts w:cstheme="majorBidi"/>
          <w:color w:val="auto"/>
          <w:sz w:val="24"/>
          <w:szCs w:val="24"/>
        </w:rPr>
        <w:noBreakHyphen/>
      </w:r>
      <w:r w:rsidR="00F41E6A" w:rsidRPr="00854E06">
        <w:rPr>
          <w:rFonts w:cstheme="majorBidi"/>
          <w:color w:val="auto"/>
          <w:sz w:val="24"/>
          <w:szCs w:val="24"/>
        </w:rPr>
        <w:fldChar w:fldCharType="begin"/>
      </w:r>
      <w:r w:rsidRPr="00854E06">
        <w:rPr>
          <w:rFonts w:cstheme="majorBidi"/>
          <w:color w:val="auto"/>
          <w:sz w:val="24"/>
          <w:szCs w:val="24"/>
        </w:rPr>
        <w:instrText xml:space="preserve"> SEQ Figure \* ARABIC \s 1 </w:instrText>
      </w:r>
      <w:r w:rsidR="00F41E6A" w:rsidRPr="00854E06">
        <w:rPr>
          <w:rFonts w:cstheme="majorBidi"/>
          <w:color w:val="auto"/>
          <w:sz w:val="24"/>
          <w:szCs w:val="24"/>
        </w:rPr>
        <w:fldChar w:fldCharType="separate"/>
      </w:r>
      <w:r w:rsidR="008E2F67">
        <w:rPr>
          <w:rFonts w:cstheme="majorBidi"/>
          <w:noProof/>
          <w:color w:val="auto"/>
          <w:sz w:val="24"/>
          <w:szCs w:val="24"/>
        </w:rPr>
        <w:t>1</w:t>
      </w:r>
      <w:r w:rsidR="00F41E6A" w:rsidRPr="00854E06">
        <w:rPr>
          <w:rFonts w:cstheme="majorBidi"/>
          <w:color w:val="auto"/>
          <w:sz w:val="24"/>
          <w:szCs w:val="24"/>
        </w:rPr>
        <w:fldChar w:fldCharType="end"/>
      </w:r>
      <w:r w:rsidRPr="00854E06">
        <w:rPr>
          <w:rFonts w:cstheme="majorBidi"/>
          <w:color w:val="auto"/>
          <w:sz w:val="24"/>
          <w:szCs w:val="24"/>
        </w:rPr>
        <w:t>.</w:t>
      </w:r>
      <w:proofErr w:type="gramEnd"/>
      <w:r w:rsidRPr="00854E06">
        <w:rPr>
          <w:rFonts w:cstheme="majorBidi"/>
          <w:color w:val="auto"/>
          <w:sz w:val="24"/>
          <w:szCs w:val="24"/>
        </w:rPr>
        <w:t xml:space="preserve"> </w:t>
      </w:r>
      <w:r w:rsidR="00D4520E" w:rsidRPr="00854E06">
        <w:rPr>
          <w:rFonts w:cstheme="majorBidi"/>
          <w:color w:val="auto"/>
          <w:sz w:val="24"/>
          <w:szCs w:val="24"/>
        </w:rPr>
        <w:t>Locations of m</w:t>
      </w:r>
      <w:r w:rsidRPr="00854E06">
        <w:rPr>
          <w:rFonts w:cstheme="majorBidi"/>
          <w:color w:val="auto"/>
          <w:sz w:val="24"/>
          <w:szCs w:val="24"/>
        </w:rPr>
        <w:t>onitoring s</w:t>
      </w:r>
      <w:r w:rsidR="00D4520E" w:rsidRPr="00854E06">
        <w:rPr>
          <w:rFonts w:cstheme="majorBidi"/>
          <w:color w:val="auto"/>
          <w:sz w:val="24"/>
          <w:szCs w:val="24"/>
        </w:rPr>
        <w:t>tations</w:t>
      </w:r>
      <w:r w:rsidRPr="00854E06">
        <w:rPr>
          <w:rFonts w:cstheme="majorBidi"/>
          <w:color w:val="auto"/>
          <w:sz w:val="24"/>
          <w:szCs w:val="24"/>
        </w:rPr>
        <w:t xml:space="preserve"> and dams in the Upper Mississippi River Basin</w:t>
      </w:r>
      <w:r w:rsidR="00D4520E" w:rsidRPr="00854E06">
        <w:rPr>
          <w:rFonts w:cstheme="majorBidi"/>
          <w:color w:val="auto"/>
          <w:sz w:val="24"/>
          <w:szCs w:val="24"/>
        </w:rPr>
        <w:t xml:space="preserve"> used in this study</w:t>
      </w:r>
      <w:bookmarkEnd w:id="74"/>
    </w:p>
    <w:p w:rsidR="007C1325" w:rsidRPr="00854E06" w:rsidRDefault="0035342E" w:rsidP="007C1325">
      <w:pPr>
        <w:spacing w:after="240" w:line="480" w:lineRule="auto"/>
        <w:jc w:val="center"/>
        <w:rPr>
          <w:rFonts w:ascii="Times New Roman" w:hAnsi="Times New Roman" w:cs="Times New Roman"/>
          <w:b/>
        </w:rPr>
      </w:pPr>
      <w:r w:rsidRPr="00854E06">
        <w:rPr>
          <w:rFonts w:ascii="Times New Roman" w:hAnsi="Times New Roman" w:cs="Times New Roman"/>
          <w:bCs/>
          <w:i/>
          <w:iCs/>
        </w:rPr>
        <w:t xml:space="preserve"> </w:t>
      </w:r>
      <w:r w:rsidR="007C1325" w:rsidRPr="00854E06">
        <w:rPr>
          <w:rFonts w:ascii="Times New Roman" w:hAnsi="Times New Roman" w:cs="Times New Roman"/>
          <w:b/>
        </w:rPr>
        <w:t>(Source: UMESC</w:t>
      </w:r>
      <w:r w:rsidR="00D4520E" w:rsidRPr="00854E06">
        <w:rPr>
          <w:rFonts w:ascii="Times New Roman" w:hAnsi="Times New Roman" w:cs="Times New Roman"/>
          <w:b/>
        </w:rPr>
        <w:t xml:space="preserve"> 2006</w:t>
      </w:r>
      <w:r w:rsidR="007C1325" w:rsidRPr="00854E06">
        <w:rPr>
          <w:rFonts w:ascii="Times New Roman" w:hAnsi="Times New Roman" w:cs="Times New Roman"/>
          <w:b/>
        </w:rPr>
        <w:t>)</w:t>
      </w:r>
    </w:p>
    <w:p w:rsidR="007C1325" w:rsidRPr="00854E06" w:rsidRDefault="007C1325" w:rsidP="007C1325">
      <w:pPr>
        <w:spacing w:before="240" w:after="240" w:line="480" w:lineRule="auto"/>
        <w:jc w:val="center"/>
        <w:rPr>
          <w:rFonts w:ascii="Times New Roman" w:hAnsi="Times New Roman" w:cs="Times New Roman"/>
          <w:b/>
        </w:rPr>
      </w:pPr>
    </w:p>
    <w:p w:rsidR="00AC6644" w:rsidRPr="00523FFD" w:rsidRDefault="00AC6644" w:rsidP="00372367">
      <w:pPr>
        <w:pStyle w:val="Heading2"/>
        <w:numPr>
          <w:ilvl w:val="0"/>
          <w:numId w:val="40"/>
        </w:numPr>
        <w:ind w:left="360"/>
      </w:pPr>
      <w:bookmarkStart w:id="75" w:name="_Toc394525565"/>
      <w:r w:rsidRPr="00523FFD">
        <w:lastRenderedPageBreak/>
        <w:t>Methods</w:t>
      </w:r>
      <w:bookmarkEnd w:id="75"/>
    </w:p>
    <w:p w:rsidR="00AC6644" w:rsidRPr="00854E06" w:rsidRDefault="00AC6644" w:rsidP="00372367">
      <w:pPr>
        <w:pStyle w:val="Heading3"/>
        <w:numPr>
          <w:ilvl w:val="1"/>
          <w:numId w:val="43"/>
        </w:numPr>
        <w:ind w:left="540" w:hanging="540"/>
      </w:pPr>
      <w:r w:rsidRPr="00854E06">
        <w:t xml:space="preserve"> </w:t>
      </w:r>
      <w:bookmarkStart w:id="76" w:name="_Toc394525566"/>
      <w:r w:rsidRPr="00854E06">
        <w:t>Manipulating data</w:t>
      </w:r>
      <w:bookmarkEnd w:id="76"/>
    </w:p>
    <w:p w:rsidR="00AC6644" w:rsidRPr="00854E06" w:rsidRDefault="00AC6644" w:rsidP="00AC6644">
      <w:pPr>
        <w:spacing w:line="480" w:lineRule="auto"/>
        <w:ind w:firstLine="720"/>
        <w:jc w:val="both"/>
        <w:rPr>
          <w:rFonts w:ascii="Times New Roman" w:eastAsiaTheme="minorEastAsia" w:hAnsi="Times New Roman" w:cs="Times New Roman"/>
        </w:rPr>
      </w:pPr>
      <w:r w:rsidRPr="00854E06">
        <w:rPr>
          <w:rFonts w:ascii="Times New Roman" w:hAnsi="Times New Roman" w:cs="Times New Roman"/>
        </w:rPr>
        <w:t>First I used a log transformation to linearize e</w:t>
      </w:r>
      <w:r w:rsidR="005F2A24">
        <w:rPr>
          <w:rFonts w:ascii="Times New Roman" w:hAnsi="Times New Roman" w:cs="Times New Roman"/>
        </w:rPr>
        <w:t>quation (2</w:t>
      </w:r>
      <w:r w:rsidRPr="00854E06">
        <w:rPr>
          <w:rFonts w:ascii="Times New Roman" w:hAnsi="Times New Roman" w:cs="Times New Roman"/>
        </w:rPr>
        <w:t xml:space="preserve">). The linear form is equation (4). Then I used least squares regression to solve equation (4) and derive the rating parameters </w:t>
      </w:r>
      <m:oMath>
        <m:r>
          <w:rPr>
            <w:rFonts w:ascii="Cambria Math" w:hAnsi="Cambria Math" w:cs="Times New Roman"/>
          </w:rPr>
          <m:t>a</m:t>
        </m:r>
      </m:oMath>
      <w:r w:rsidRPr="00854E06">
        <w:rPr>
          <w:rFonts w:ascii="Times New Roman" w:eastAsiaTheme="minorEastAsia" w:hAnsi="Times New Roman" w:cs="Times New Roman"/>
        </w:rPr>
        <w:t xml:space="preserve"> and </w:t>
      </w:r>
      <m:oMath>
        <m:r>
          <w:rPr>
            <w:rFonts w:ascii="Cambria Math" w:hAnsi="Cambria Math" w:cs="Times New Roman"/>
          </w:rPr>
          <m:t>b</m:t>
        </m:r>
      </m:oMath>
      <w:r w:rsidRPr="00854E06">
        <w:rPr>
          <w:rFonts w:ascii="Times New Roman" w:eastAsiaTheme="minorEastAsia" w:hAnsi="Times New Roman" w:cs="Times New Roman"/>
        </w:rPr>
        <w:t xml:space="preserve"> (</w:t>
      </w:r>
      <m:oMath>
        <m:r>
          <w:rPr>
            <w:rFonts w:ascii="Cambria Math" w:eastAsiaTheme="minorEastAsia" w:hAnsi="Cambria Math" w:cs="Times New Roman"/>
          </w:rPr>
          <m:t>a</m:t>
        </m:r>
      </m:oMath>
      <w:r w:rsidRPr="00854E06">
        <w:rPr>
          <w:rFonts w:ascii="Times New Roman" w:eastAsiaTheme="minorEastAsia" w:hAnsi="Times New Roman" w:cs="Times New Roman"/>
        </w:rPr>
        <w:t xml:space="preserve"> was derived by back-</w:t>
      </w:r>
      <w:proofErr w:type="gramStart"/>
      <w:r w:rsidRPr="00854E06">
        <w:rPr>
          <w:rFonts w:ascii="Times New Roman" w:eastAsiaTheme="minorEastAsia" w:hAnsi="Times New Roman" w:cs="Times New Roman"/>
        </w:rPr>
        <w:t xml:space="preserve">transforming </w:t>
      </w:r>
      <w:proofErr w:type="gramEnd"/>
      <m:oMath>
        <m:r>
          <w:rPr>
            <w:rFonts w:ascii="Cambria Math" w:eastAsiaTheme="minorEastAsia" w:hAnsi="Cambria Math" w:cs="Times New Roman"/>
          </w:rPr>
          <m:t>ln(a)</m:t>
        </m:r>
      </m:oMath>
      <w:r w:rsidRPr="00854E06">
        <w:rPr>
          <w:rFonts w:ascii="Times New Roman" w:eastAsiaTheme="minorEastAsia" w:hAnsi="Times New Roman" w:cs="Times New Roman"/>
        </w:rPr>
        <w:t xml:space="preserve">). </w:t>
      </w:r>
    </w:p>
    <w:p w:rsidR="00AC6644" w:rsidRPr="00854E06" w:rsidRDefault="0069536E" w:rsidP="00AC6644">
      <w:pPr>
        <w:spacing w:before="120" w:after="120" w:line="480" w:lineRule="auto"/>
        <w:jc w:val="center"/>
        <w:rPr>
          <w:rFonts w:ascii="Times New Roman" w:eastAsiaTheme="minorEastAsia" w:hAnsi="Times New Roman" w:cs="Times New Roman"/>
        </w:rPr>
      </w:pPr>
      <m:oMath>
        <m:func>
          <m:funcPr>
            <m:ctrlPr>
              <w:rPr>
                <w:rFonts w:ascii="Cambria Math" w:hAnsi="Cambria Math" w:cs="Times New Roman"/>
              </w:rPr>
            </m:ctrlPr>
          </m:funcPr>
          <m:fName>
            <m:r>
              <m:rPr>
                <m:sty m:val="p"/>
              </m:rP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Load</m:t>
                </m:r>
              </m:e>
            </m:d>
          </m:e>
        </m:func>
        <m:r>
          <w:rPr>
            <w:rFonts w:ascii="Cambria Math" w:hAnsi="Cambria Math" w:cs="Times New Roman"/>
          </w:rPr>
          <m:t>=</m:t>
        </m:r>
        <m:func>
          <m:funcPr>
            <m:ctrlPr>
              <w:rPr>
                <w:rFonts w:ascii="Cambria Math" w:hAnsi="Cambria Math" w:cs="Times New Roman"/>
                <w:i/>
              </w:rPr>
            </m:ctrlPr>
          </m:funcPr>
          <m:fName>
            <m:r>
              <m:rPr>
                <m:sty m:val="p"/>
              </m:rPr>
              <w:rPr>
                <w:rFonts w:ascii="Cambria Math" w:hAnsi="Cambria Math" w:cs="Times New Roman"/>
              </w:rPr>
              <m:t>ln</m:t>
            </m:r>
          </m:fName>
          <m:e>
            <m:d>
              <m:dPr>
                <m:ctrlPr>
                  <w:rPr>
                    <w:rFonts w:ascii="Cambria Math" w:hAnsi="Cambria Math" w:cs="Times New Roman"/>
                    <w:i/>
                  </w:rPr>
                </m:ctrlPr>
              </m:dPr>
              <m:e>
                <m:r>
                  <w:rPr>
                    <w:rFonts w:ascii="Cambria Math" w:hAnsi="Cambria Math" w:cs="Times New Roman"/>
                  </w:rPr>
                  <m:t>a</m:t>
                </m:r>
              </m:e>
            </m:d>
          </m:e>
        </m:func>
        <m:r>
          <w:rPr>
            <w:rFonts w:ascii="Cambria Math" w:hAnsi="Cambria Math" w:cs="Times New Roman"/>
          </w:rPr>
          <m:t>+b</m:t>
        </m:r>
        <m:r>
          <m:rPr>
            <m:sty m:val="p"/>
          </m:rPr>
          <w:rPr>
            <w:rFonts w:ascii="Cambria Math" w:hAnsi="Cambria Math" w:cs="Times New Roman"/>
          </w:rPr>
          <m:t>ln</m:t>
        </m:r>
        <m:r>
          <m:rPr>
            <m:sty m:val="p"/>
          </m:rPr>
          <w:rPr>
            <w:rFonts w:ascii="Monaco" w:hAnsi="Monaco" w:cs="Monaco"/>
          </w:rPr>
          <m:t>⁡</m:t>
        </m:r>
        <m:r>
          <w:rPr>
            <w:rFonts w:ascii="Cambria Math" w:hAnsi="Cambria Math" w:cs="Times New Roman"/>
          </w:rPr>
          <m:t>(Q)</m:t>
        </m:r>
      </m:oMath>
      <w:r w:rsidR="00AC6644" w:rsidRPr="00854E06">
        <w:rPr>
          <w:rFonts w:ascii="Times New Roman" w:eastAsiaTheme="minorEastAsia" w:hAnsi="Times New Roman" w:cs="Times New Roman"/>
        </w:rPr>
        <w:tab/>
      </w:r>
      <w:r w:rsidR="00AC6644" w:rsidRPr="00854E06">
        <w:rPr>
          <w:rFonts w:ascii="Times New Roman" w:eastAsiaTheme="minorEastAsia" w:hAnsi="Times New Roman" w:cs="Times New Roman"/>
        </w:rPr>
        <w:tab/>
        <w:t>(4)</w:t>
      </w:r>
    </w:p>
    <w:p w:rsidR="00AC6644" w:rsidRPr="00854E06" w:rsidRDefault="00AC6644" w:rsidP="00AC6644">
      <w:pPr>
        <w:spacing w:line="480" w:lineRule="auto"/>
        <w:jc w:val="both"/>
        <w:rPr>
          <w:rFonts w:ascii="Times New Roman" w:eastAsiaTheme="minorEastAsia" w:hAnsi="Times New Roman" w:cs="Times New Roman"/>
        </w:rPr>
      </w:pPr>
      <w:r w:rsidRPr="00854E06">
        <w:rPr>
          <w:rFonts w:ascii="Times New Roman" w:eastAsiaTheme="minorEastAsia" w:hAnsi="Times New Roman" w:cs="Times New Roman"/>
        </w:rPr>
        <w:t xml:space="preserve">At the annual level, I used the data of annual discharge and annual suspended sediment load to calculate </w:t>
      </w:r>
      <m:oMath>
        <m:r>
          <w:rPr>
            <w:rFonts w:ascii="Cambria Math" w:hAnsi="Cambria Math" w:cs="Times New Roman"/>
          </w:rPr>
          <m:t>a</m:t>
        </m:r>
      </m:oMath>
      <w:r w:rsidRPr="00854E06">
        <w:rPr>
          <w:rFonts w:ascii="Times New Roman" w:eastAsiaTheme="minorEastAsia" w:hAnsi="Times New Roman" w:cs="Times New Roman"/>
        </w:rPr>
        <w:t xml:space="preserve"> </w:t>
      </w:r>
      <w:proofErr w:type="gramStart"/>
      <w:r w:rsidRPr="00854E06">
        <w:rPr>
          <w:rFonts w:ascii="Times New Roman" w:eastAsiaTheme="minorEastAsia" w:hAnsi="Times New Roman" w:cs="Times New Roman"/>
        </w:rPr>
        <w:t xml:space="preserve">and </w:t>
      </w:r>
      <w:proofErr w:type="gramEnd"/>
      <m:oMath>
        <m:r>
          <w:rPr>
            <w:rFonts w:ascii="Cambria Math" w:hAnsi="Cambria Math" w:cs="Times New Roman"/>
          </w:rPr>
          <m:t>b</m:t>
        </m:r>
      </m:oMath>
      <w:r w:rsidRPr="00854E06">
        <w:rPr>
          <w:rFonts w:ascii="Times New Roman" w:eastAsiaTheme="minorEastAsia" w:hAnsi="Times New Roman" w:cs="Times New Roman"/>
        </w:rPr>
        <w:t xml:space="preserve">. At the monthly level, I repeated the calculation using the monthly values of discharge and suspended sediment load.  </w:t>
      </w:r>
    </w:p>
    <w:p w:rsidR="00AC6644" w:rsidRPr="00854E06" w:rsidRDefault="00AC6644" w:rsidP="00AC6644">
      <w:pPr>
        <w:spacing w:line="480" w:lineRule="auto"/>
        <w:ind w:firstLine="720"/>
        <w:jc w:val="both"/>
        <w:rPr>
          <w:rFonts w:ascii="Times New Roman" w:hAnsi="Times New Roman" w:cs="Times New Roman"/>
        </w:rPr>
      </w:pPr>
      <w:r w:rsidRPr="00854E06">
        <w:rPr>
          <w:rFonts w:ascii="Times New Roman" w:hAnsi="Times New Roman" w:cs="Times New Roman"/>
        </w:rPr>
        <w:t>Accordingly, there are a total of 6</w:t>
      </w:r>
      <w:r w:rsidR="00E06476">
        <w:rPr>
          <w:rFonts w:ascii="Times New Roman" w:hAnsi="Times New Roman" w:cs="Times New Roman"/>
        </w:rPr>
        <w:t>4</w:t>
      </w:r>
      <w:r w:rsidRPr="00854E06">
        <w:rPr>
          <w:rFonts w:ascii="Times New Roman" w:hAnsi="Times New Roman" w:cs="Times New Roman"/>
        </w:rPr>
        <w:t xml:space="preserve"> annual rating parameters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annual</m:t>
            </m:r>
          </m:sub>
        </m:sSub>
        <m:r>
          <w:rPr>
            <w:rFonts w:ascii="Cambria Math" w:eastAsiaTheme="minorEastAsia" w:hAnsi="Cambria Math" w:cs="Times New Roman"/>
          </w:rPr>
          <m:t>,</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annual</m:t>
            </m:r>
          </m:sub>
        </m:sSub>
      </m:oMath>
      <w:r w:rsidRPr="00854E06">
        <w:rPr>
          <w:rFonts w:ascii="Times New Roman" w:eastAsiaTheme="minorEastAsia" w:hAnsi="Times New Roman" w:cs="Times New Roman"/>
        </w:rPr>
        <w:t xml:space="preserve"> and 6</w:t>
      </w:r>
      <w:r w:rsidR="00E06476">
        <w:rPr>
          <w:rFonts w:ascii="Times New Roman" w:eastAsiaTheme="minorEastAsia" w:hAnsi="Times New Roman" w:cs="Times New Roman"/>
        </w:rPr>
        <w:t>4</w:t>
      </w:r>
      <w:r w:rsidRPr="00854E06">
        <w:rPr>
          <w:rFonts w:ascii="Times New Roman" w:eastAsiaTheme="minorEastAsia" w:hAnsi="Times New Roman" w:cs="Times New Roman"/>
        </w:rPr>
        <w:t xml:space="preserve"> monthly rating parameters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mont</m:t>
            </m:r>
            <m:r>
              <w:rPr>
                <w:rFonts w:ascii="Lucida Sans Unicode" w:hAnsi="Lucida Sans Unicode" w:cs="Lucida Sans Unicode"/>
              </w:rPr>
              <m:t>h</m:t>
            </m:r>
            <m:r>
              <w:rPr>
                <w:rFonts w:ascii="Cambria Math" w:hAnsi="Cambria Math" w:cs="Times New Roman"/>
              </w:rPr>
              <m:t>ly</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mont</m:t>
            </m:r>
            <m:r>
              <w:rPr>
                <w:rFonts w:ascii="Lucida Sans Unicode" w:hAnsi="Lucida Sans Unicode" w:cs="Lucida Sans Unicode"/>
              </w:rPr>
              <m:t>h</m:t>
            </m:r>
            <m:r>
              <w:rPr>
                <w:rFonts w:ascii="Cambria Math" w:hAnsi="Cambria Math" w:cs="Times New Roman"/>
              </w:rPr>
              <m:t>ly</m:t>
            </m:r>
          </m:sub>
        </m:sSub>
        <m:r>
          <w:rPr>
            <w:rFonts w:ascii="Cambria Math" w:hAnsi="Cambria Math" w:cs="Times New Roman"/>
          </w:rPr>
          <m:t xml:space="preserve"> ×</m:t>
        </m:r>
      </m:oMath>
      <w:r w:rsidRPr="00854E06">
        <w:rPr>
          <w:rFonts w:ascii="Times New Roman" w:eastAsiaTheme="minorEastAsia" w:hAnsi="Times New Roman" w:cs="Times New Roman"/>
        </w:rPr>
        <w:t xml:space="preserve">  12 months. The mean standard error (MSE) was reported to show the uncertainty of the model. Lower MSE values indicate higher accurate model performance. I ran the least squares regression in MATLAB R2013b on Windows 7. Then I ran the analyses of the rating coefficients with R version 3.0.2.</w:t>
      </w:r>
    </w:p>
    <w:p w:rsidR="00AC6644" w:rsidRPr="00854E06" w:rsidRDefault="00AC6644" w:rsidP="00372367">
      <w:pPr>
        <w:pStyle w:val="Heading3"/>
        <w:numPr>
          <w:ilvl w:val="1"/>
          <w:numId w:val="43"/>
        </w:numPr>
        <w:ind w:left="540" w:hanging="540"/>
      </w:pPr>
      <w:bookmarkStart w:id="77" w:name="_Toc394525567"/>
      <w:r w:rsidRPr="00854E06">
        <w:t>Analyses of the rating parameters</w:t>
      </w:r>
      <w:bookmarkEnd w:id="77"/>
    </w:p>
    <w:p w:rsidR="00AC6644" w:rsidRPr="00854E06" w:rsidRDefault="00AC6644" w:rsidP="00AC6644">
      <w:pPr>
        <w:spacing w:before="120" w:after="120" w:line="480" w:lineRule="auto"/>
        <w:jc w:val="both"/>
        <w:rPr>
          <w:rFonts w:ascii="Times New Roman" w:hAnsi="Times New Roman" w:cs="Times New Roman"/>
          <w:bCs/>
        </w:rPr>
      </w:pPr>
      <w:r w:rsidRPr="00854E06">
        <w:rPr>
          <w:rFonts w:ascii="Times New Roman" w:hAnsi="Times New Roman" w:cs="Times New Roman"/>
          <w:bCs/>
        </w:rPr>
        <w:t xml:space="preserve">The analyses are described below for each research question. </w:t>
      </w:r>
    </w:p>
    <w:p w:rsidR="00AC6644" w:rsidRPr="00854E06" w:rsidRDefault="00AC6644" w:rsidP="00AC6644">
      <w:pPr>
        <w:spacing w:before="120" w:after="120" w:line="480" w:lineRule="auto"/>
        <w:jc w:val="both"/>
        <w:rPr>
          <w:rFonts w:cstheme="majorBidi"/>
        </w:rPr>
      </w:pPr>
      <w:r w:rsidRPr="00854E06">
        <w:rPr>
          <w:rFonts w:ascii="Times New Roman" w:hAnsi="Times New Roman" w:cs="Times New Roman"/>
          <w:bCs/>
          <w:i/>
          <w:iCs/>
        </w:rPr>
        <w:t xml:space="preserve">Question 1: </w:t>
      </w:r>
      <w:r w:rsidRPr="00854E06">
        <w:rPr>
          <w:rFonts w:cstheme="majorBidi"/>
          <w:i/>
          <w:iCs/>
        </w:rPr>
        <w:t xml:space="preserve">What are the values of the rating coefficients </w:t>
      </w:r>
      <m:oMath>
        <m:r>
          <w:rPr>
            <w:rFonts w:ascii="Cambria Math" w:hAnsi="Cambria Math" w:cstheme="majorBidi"/>
          </w:rPr>
          <m:t xml:space="preserve">a </m:t>
        </m:r>
      </m:oMath>
      <w:r w:rsidRPr="00854E06">
        <w:rPr>
          <w:rFonts w:eastAsiaTheme="minorEastAsia" w:cstheme="majorBidi"/>
          <w:i/>
          <w:iCs/>
        </w:rPr>
        <w:t>and the rating exponents</w:t>
      </w:r>
      <m:oMath>
        <m:r>
          <w:rPr>
            <w:rFonts w:ascii="Cambria Math" w:hAnsi="Cambria Math" w:cstheme="majorBidi"/>
          </w:rPr>
          <m:t xml:space="preserve"> b</m:t>
        </m:r>
      </m:oMath>
      <w:r w:rsidRPr="00854E06">
        <w:rPr>
          <w:rFonts w:cstheme="majorBidi"/>
          <w:i/>
          <w:iCs/>
        </w:rPr>
        <w:t xml:space="preserve"> at 6</w:t>
      </w:r>
      <w:r w:rsidR="00E06476">
        <w:rPr>
          <w:rFonts w:cstheme="majorBidi"/>
          <w:i/>
          <w:iCs/>
        </w:rPr>
        <w:t>4</w:t>
      </w:r>
      <w:r w:rsidRPr="00854E06">
        <w:rPr>
          <w:rFonts w:cstheme="majorBidi"/>
          <w:i/>
          <w:iCs/>
        </w:rPr>
        <w:t xml:space="preserve"> gauging stations in the UMRB, as calculated at annual and monthly levels?</w:t>
      </w:r>
    </w:p>
    <w:p w:rsidR="00AC6644" w:rsidRPr="00854E06" w:rsidRDefault="00AC6644" w:rsidP="00C932D9">
      <w:pPr>
        <w:spacing w:before="120" w:after="120" w:line="480" w:lineRule="auto"/>
        <w:ind w:firstLine="720"/>
        <w:jc w:val="both"/>
        <w:rPr>
          <w:rFonts w:ascii="Times New Roman" w:hAnsi="Times New Roman" w:cs="Times New Roman"/>
          <w:bCs/>
        </w:rPr>
      </w:pPr>
      <w:r w:rsidRPr="00854E06">
        <w:rPr>
          <w:rFonts w:cstheme="majorBidi"/>
          <w:bCs/>
        </w:rPr>
        <w:t>After manipulating the data and deriving the parameters with least squares regression, I applied the Shapiro-</w:t>
      </w:r>
      <w:proofErr w:type="spellStart"/>
      <w:r w:rsidRPr="00854E06">
        <w:rPr>
          <w:rFonts w:cstheme="majorBidi"/>
          <w:bCs/>
        </w:rPr>
        <w:t>Wilk</w:t>
      </w:r>
      <w:proofErr w:type="spellEnd"/>
      <w:r w:rsidRPr="00854E06">
        <w:rPr>
          <w:rFonts w:cstheme="majorBidi"/>
          <w:bCs/>
        </w:rPr>
        <w:t xml:space="preserve"> test on the output to check the assumption of normality assumption for later tests. I applied the Global Moran’s I to determine whether a spatial pattern existed in annual and monthly rating parameters in the UMRB. </w:t>
      </w:r>
      <w:r w:rsidR="00C932D9">
        <w:rPr>
          <w:rFonts w:ascii="Times New Roman" w:eastAsiaTheme="minorEastAsia" w:hAnsi="Times New Roman" w:cs="Times New Roman"/>
        </w:rPr>
        <w:t xml:space="preserve">Additionally, I presented the distribution of the </w:t>
      </w:r>
      <w:r w:rsidR="00C932D9">
        <w:rPr>
          <w:rFonts w:ascii="Times New Roman" w:eastAsiaTheme="minorEastAsia" w:hAnsi="Times New Roman" w:cs="Times New Roman"/>
        </w:rPr>
        <w:lastRenderedPageBreak/>
        <w:t>shape o</w:t>
      </w:r>
      <w:r w:rsidR="00E06476">
        <w:rPr>
          <w:rFonts w:ascii="Times New Roman" w:eastAsiaTheme="minorEastAsia" w:hAnsi="Times New Roman" w:cs="Times New Roman"/>
        </w:rPr>
        <w:t>f the annual rating curves at 64</w:t>
      </w:r>
      <w:r w:rsidR="00C932D9">
        <w:rPr>
          <w:rFonts w:ascii="Times New Roman" w:eastAsiaTheme="minorEastAsia" w:hAnsi="Times New Roman" w:cs="Times New Roman"/>
        </w:rPr>
        <w:t xml:space="preserve"> stations on a map. </w:t>
      </w:r>
      <w:r w:rsidRPr="00854E06">
        <w:rPr>
          <w:rFonts w:ascii="Times New Roman" w:eastAsiaTheme="minorEastAsia" w:hAnsi="Times New Roman" w:cs="Times New Roman"/>
        </w:rPr>
        <w:t xml:space="preserve">To characterize the rating parameters at annual and monthly levels, I calculated descriptive statistics of </w:t>
      </w:r>
      <m:oMath>
        <m:r>
          <w:rPr>
            <w:rFonts w:ascii="Cambria Math" w:eastAsiaTheme="minorEastAsia" w:hAnsi="Cambria Math" w:cs="Times New Roman"/>
          </w:rPr>
          <m:t>a</m:t>
        </m:r>
      </m:oMath>
      <w:r w:rsidRPr="00854E06">
        <w:rPr>
          <w:rFonts w:ascii="Times New Roman" w:eastAsiaTheme="minorEastAsia" w:hAnsi="Times New Roman" w:cs="Times New Roman"/>
        </w:rPr>
        <w:t xml:space="preserve"> </w:t>
      </w:r>
      <w:proofErr w:type="gramStart"/>
      <w:r w:rsidRPr="00854E06">
        <w:rPr>
          <w:rFonts w:ascii="Times New Roman" w:eastAsiaTheme="minorEastAsia" w:hAnsi="Times New Roman" w:cs="Times New Roman"/>
        </w:rPr>
        <w:t xml:space="preserve">and </w:t>
      </w:r>
      <w:proofErr w:type="gramEnd"/>
      <m:oMath>
        <m:r>
          <w:rPr>
            <w:rFonts w:ascii="Cambria Math" w:eastAsiaTheme="minorEastAsia" w:hAnsi="Cambria Math" w:cs="Times New Roman"/>
          </w:rPr>
          <m:t>b</m:t>
        </m:r>
      </m:oMath>
      <w:r w:rsidRPr="00854E06">
        <w:rPr>
          <w:rFonts w:ascii="Times New Roman" w:eastAsiaTheme="minorEastAsia" w:hAnsi="Times New Roman" w:cs="Times New Roman"/>
        </w:rPr>
        <w:t>.</w:t>
      </w:r>
      <w:r w:rsidR="00C932D9">
        <w:rPr>
          <w:rFonts w:ascii="Times New Roman" w:eastAsiaTheme="minorEastAsia" w:hAnsi="Times New Roman" w:cs="Times New Roman"/>
        </w:rPr>
        <w:t xml:space="preserve"> </w:t>
      </w:r>
    </w:p>
    <w:p w:rsidR="00AC6644" w:rsidRPr="00854E06" w:rsidRDefault="00AC6644" w:rsidP="00AC6644">
      <w:pPr>
        <w:spacing w:before="120" w:after="120" w:line="480" w:lineRule="auto"/>
        <w:jc w:val="both"/>
        <w:rPr>
          <w:rFonts w:cstheme="majorBidi"/>
        </w:rPr>
      </w:pPr>
      <w:r w:rsidRPr="00854E06">
        <w:rPr>
          <w:rFonts w:ascii="Times New Roman" w:hAnsi="Times New Roman" w:cs="Times New Roman"/>
          <w:bCs/>
          <w:i/>
          <w:iCs/>
        </w:rPr>
        <w:t xml:space="preserve">Question 2: </w:t>
      </w:r>
      <w:r w:rsidRPr="00854E06">
        <w:rPr>
          <w:rFonts w:cstheme="majorBidi"/>
          <w:i/>
          <w:iCs/>
        </w:rPr>
        <w:t xml:space="preserve">Are </w:t>
      </w:r>
      <m:oMath>
        <m:r>
          <w:rPr>
            <w:rFonts w:ascii="Cambria Math" w:eastAsiaTheme="minorEastAsia" w:hAnsi="Cambria Math" w:cstheme="majorBidi"/>
          </w:rPr>
          <m:t>ln(a)</m:t>
        </m:r>
      </m:oMath>
      <w:r w:rsidRPr="00854E06">
        <w:rPr>
          <w:rFonts w:eastAsiaTheme="minorEastAsia" w:cstheme="majorBidi"/>
          <w:i/>
          <w:iCs/>
        </w:rPr>
        <w:t xml:space="preserve"> and the exponent </w:t>
      </w:r>
      <m:oMath>
        <m:r>
          <w:rPr>
            <w:rFonts w:ascii="Cambria Math" w:eastAsiaTheme="minorEastAsia" w:hAnsi="Cambria Math" w:cstheme="majorBidi"/>
          </w:rPr>
          <m:t>b</m:t>
        </m:r>
      </m:oMath>
      <w:r w:rsidRPr="00854E06">
        <w:rPr>
          <w:rFonts w:eastAsiaTheme="minorEastAsia" w:cstheme="majorBidi"/>
          <w:i/>
          <w:iCs/>
        </w:rPr>
        <w:t xml:space="preserve"> correlated with each other at annual or monthly levels?</w:t>
      </w:r>
    </w:p>
    <w:p w:rsidR="00AC6644" w:rsidRPr="00854E06" w:rsidRDefault="00AC6644" w:rsidP="00AC6644">
      <w:pPr>
        <w:spacing w:before="120" w:after="120" w:line="480" w:lineRule="auto"/>
        <w:ind w:firstLine="720"/>
        <w:jc w:val="both"/>
        <w:rPr>
          <w:rFonts w:ascii="Times New Roman" w:hAnsi="Times New Roman" w:cs="Times New Roman"/>
          <w:bCs/>
        </w:rPr>
      </w:pPr>
      <w:r w:rsidRPr="00854E06">
        <w:rPr>
          <w:rFonts w:ascii="Times New Roman" w:eastAsiaTheme="minorEastAsia" w:hAnsi="Times New Roman" w:cs="Times New Roman"/>
        </w:rPr>
        <w:t xml:space="preserve">Depending upon the result of the normality test, </w:t>
      </w:r>
      <w:r w:rsidRPr="00854E06">
        <w:rPr>
          <w:rFonts w:ascii="Times New Roman" w:hAnsi="Times New Roman" w:cs="Times New Roman"/>
          <w:bCs/>
        </w:rPr>
        <w:t xml:space="preserve">I used either the Pearson or Spearman correlation test on the annual and monthly values of </w:t>
      </w:r>
      <m:oMath>
        <m:r>
          <w:rPr>
            <w:rFonts w:ascii="Cambria Math" w:hAnsi="Cambria Math" w:cs="Times New Roman"/>
          </w:rPr>
          <m:t>ln</m:t>
        </m:r>
        <m:r>
          <w:rPr>
            <w:rFonts w:ascii="Monaco" w:hAnsi="Monaco" w:cs="Monaco"/>
          </w:rPr>
          <m:t>⁡</m:t>
        </m:r>
        <m:r>
          <w:rPr>
            <w:rFonts w:ascii="Cambria Math" w:hAnsi="Cambria Math" w:cs="Times New Roman"/>
          </w:rPr>
          <m:t>(a)</m:t>
        </m:r>
      </m:oMath>
      <w:r w:rsidRPr="00854E06">
        <w:rPr>
          <w:rFonts w:ascii="Times New Roman" w:eastAsiaTheme="minorEastAsia" w:hAnsi="Times New Roman" w:cs="Times New Roman"/>
        </w:rPr>
        <w:t xml:space="preserve"> </w:t>
      </w:r>
      <w:proofErr w:type="gramStart"/>
      <w:r w:rsidRPr="00854E06">
        <w:rPr>
          <w:rFonts w:ascii="Times New Roman" w:eastAsiaTheme="minorEastAsia" w:hAnsi="Times New Roman" w:cs="Times New Roman"/>
        </w:rPr>
        <w:t xml:space="preserve">and </w:t>
      </w:r>
      <w:proofErr w:type="gramEnd"/>
      <m:oMath>
        <m:r>
          <w:rPr>
            <w:rFonts w:ascii="Cambria Math" w:eastAsiaTheme="minorEastAsia" w:hAnsi="Cambria Math" w:cs="Times New Roman"/>
          </w:rPr>
          <m:t>b</m:t>
        </m:r>
      </m:oMath>
      <w:r w:rsidRPr="00854E06">
        <w:rPr>
          <w:rFonts w:ascii="Times New Roman" w:eastAsiaTheme="minorEastAsia" w:hAnsi="Times New Roman" w:cs="Times New Roman"/>
        </w:rPr>
        <w:t xml:space="preserve">. There were 13 correlation analyses, one using annual values and 12 with monthly values. </w:t>
      </w:r>
    </w:p>
    <w:p w:rsidR="00AC6644" w:rsidRPr="00854E06" w:rsidRDefault="00AC6644" w:rsidP="00AC6644">
      <w:pPr>
        <w:spacing w:before="120" w:after="120" w:line="480" w:lineRule="auto"/>
        <w:jc w:val="both"/>
        <w:rPr>
          <w:rFonts w:cstheme="majorBidi"/>
          <w:i/>
          <w:iCs/>
        </w:rPr>
      </w:pPr>
      <w:r w:rsidRPr="00854E06">
        <w:rPr>
          <w:rFonts w:ascii="Times New Roman" w:hAnsi="Times New Roman" w:cs="Times New Roman"/>
          <w:i/>
          <w:iCs/>
        </w:rPr>
        <w:t xml:space="preserve">Question 3: </w:t>
      </w:r>
      <w:r w:rsidRPr="00854E06">
        <w:rPr>
          <w:rFonts w:cstheme="majorBidi"/>
          <w:i/>
          <w:iCs/>
        </w:rPr>
        <w:t>Are the annual and/or monthly rating parameters correlated with stream discharge?</w:t>
      </w:r>
    </w:p>
    <w:p w:rsidR="00AC6644" w:rsidRPr="00854E06" w:rsidRDefault="00AC6644" w:rsidP="00AC6644">
      <w:pPr>
        <w:spacing w:line="480" w:lineRule="auto"/>
        <w:ind w:firstLine="720"/>
        <w:jc w:val="both"/>
        <w:rPr>
          <w:rFonts w:ascii="Times New Roman" w:hAnsi="Times New Roman" w:cs="Times New Roman"/>
        </w:rPr>
      </w:pPr>
      <w:r w:rsidRPr="00854E06">
        <w:rPr>
          <w:rFonts w:ascii="Times New Roman" w:eastAsiaTheme="minorEastAsia" w:hAnsi="Times New Roman" w:cs="Times New Roman"/>
        </w:rPr>
        <w:t>I tested the correlation between the mean discharge and each of the two rating parameters</w:t>
      </w:r>
      <w:r w:rsidRPr="00854E06">
        <w:rPr>
          <w:rFonts w:ascii="Times New Roman" w:hAnsi="Times New Roman" w:cs="Times New Roman"/>
        </w:rPr>
        <w:t xml:space="preserve"> at the monthly and annual levels (e.g., annual versus annual, January versus January, and so on). The type of correlation test (Pearson or Spearman) was based on the data distribution. </w:t>
      </w:r>
    </w:p>
    <w:p w:rsidR="00AC6644" w:rsidRPr="00854E06" w:rsidRDefault="00AC6644" w:rsidP="00AC6644">
      <w:pPr>
        <w:spacing w:before="120" w:after="120" w:line="480" w:lineRule="auto"/>
        <w:jc w:val="both"/>
        <w:rPr>
          <w:rFonts w:cstheme="majorBidi"/>
          <w:i/>
          <w:iCs/>
        </w:rPr>
      </w:pPr>
      <w:r w:rsidRPr="00854E06">
        <w:rPr>
          <w:rFonts w:ascii="Times New Roman" w:hAnsi="Times New Roman" w:cs="Times New Roman"/>
          <w:i/>
          <w:iCs/>
        </w:rPr>
        <w:t xml:space="preserve">Question 4: </w:t>
      </w:r>
      <w:r w:rsidRPr="00854E06">
        <w:rPr>
          <w:rFonts w:cstheme="majorBidi"/>
          <w:i/>
          <w:iCs/>
        </w:rPr>
        <w:t xml:space="preserve"> What are the seasonal patterns of monthly values of the rating parameters?</w:t>
      </w:r>
    </w:p>
    <w:p w:rsidR="00A91D8F" w:rsidRPr="00BC71C3" w:rsidRDefault="00A91D8F" w:rsidP="00A91D8F">
      <w:pPr>
        <w:spacing w:before="120" w:after="120" w:line="480" w:lineRule="auto"/>
        <w:ind w:firstLine="720"/>
        <w:jc w:val="both"/>
        <w:rPr>
          <w:rFonts w:cstheme="majorBidi"/>
        </w:rPr>
      </w:pPr>
      <w:r>
        <w:rPr>
          <w:rFonts w:cstheme="majorBidi"/>
        </w:rPr>
        <w:t>I applied the two independent sample Z test (significance level of 0.05) to compare the rating parameters (</w:t>
      </w:r>
      <m:oMath>
        <m:r>
          <w:rPr>
            <w:rFonts w:ascii="Cambria Math" w:hAnsi="Cambria Math" w:cstheme="majorBidi"/>
          </w:rPr>
          <m:t>a</m:t>
        </m:r>
      </m:oMath>
      <w:r>
        <w:rPr>
          <w:rFonts w:cstheme="majorBidi"/>
        </w:rPr>
        <w:t xml:space="preserve"> </w:t>
      </w:r>
      <w:proofErr w:type="gramStart"/>
      <w:r>
        <w:rPr>
          <w:rFonts w:cstheme="majorBidi"/>
        </w:rPr>
        <w:t xml:space="preserve">or </w:t>
      </w:r>
      <w:proofErr w:type="gramEnd"/>
      <m:oMath>
        <m:r>
          <w:rPr>
            <w:rFonts w:ascii="Cambria Math" w:hAnsi="Cambria Math" w:cstheme="majorBidi"/>
          </w:rPr>
          <m:t>b</m:t>
        </m:r>
      </m:oMath>
      <w:r>
        <w:rPr>
          <w:rFonts w:cstheme="majorBidi"/>
        </w:rPr>
        <w:t xml:space="preserve">) from each month of one season with every month in one other season.  Because the time length at the stations extended up to 29 years, the two independent sample T test had more than 60 degrees of freedom. With such a large number of degrees of freedom, there would be no difference in the results between a two-sample T test and a two-sample Z test. Hence, it is reasonable to use the two-sample Z test in this study. </w:t>
      </w:r>
    </w:p>
    <w:p w:rsidR="00AC6644" w:rsidRDefault="00AC6644" w:rsidP="00AC6644">
      <w:pPr>
        <w:spacing w:before="120" w:after="120" w:line="480" w:lineRule="auto"/>
        <w:ind w:firstLine="720"/>
        <w:jc w:val="both"/>
        <w:rPr>
          <w:rFonts w:cstheme="majorBidi"/>
        </w:rPr>
      </w:pPr>
      <w:r>
        <w:rPr>
          <w:rFonts w:cstheme="majorBidi"/>
        </w:rPr>
        <w:t>I used the information of the population of rating parameters that was obtained from the regression model (i.e. the regression coefficients and the standard errors). Hence, the formula of the Z test is:</w:t>
      </w:r>
    </w:p>
    <w:p w:rsidR="00AC6644" w:rsidRPr="00BC71C3" w:rsidRDefault="00AC6644" w:rsidP="00643168">
      <w:pPr>
        <w:spacing w:before="120" w:after="120" w:line="480" w:lineRule="auto"/>
        <w:ind w:firstLine="720"/>
        <w:jc w:val="center"/>
        <w:rPr>
          <w:rFonts w:cstheme="majorBidi"/>
        </w:rPr>
      </w:pPr>
      <m:oMath>
        <m:r>
          <w:rPr>
            <w:rFonts w:ascii="Cambria Math" w:hAnsi="Cambria Math" w:cstheme="majorBidi"/>
          </w:rPr>
          <w:lastRenderedPageBreak/>
          <m:t xml:space="preserve">Z= </m:t>
        </m:r>
        <m:f>
          <m:fPr>
            <m:ctrlPr>
              <w:rPr>
                <w:rFonts w:ascii="Cambria Math" w:hAnsi="Cambria Math" w:cstheme="majorBidi"/>
                <w:i/>
              </w:rPr>
            </m:ctrlPr>
          </m:fPr>
          <m:num>
            <m:r>
              <w:rPr>
                <w:rFonts w:ascii="Cambria Math" w:hAnsi="Cambria Math" w:cstheme="majorBidi"/>
              </w:rPr>
              <m:t>(Regression coefficient 1)-(Regression coefficient 2)</m:t>
            </m:r>
          </m:num>
          <m:den>
            <m:rad>
              <m:radPr>
                <m:degHide m:val="1"/>
                <m:ctrlPr>
                  <w:rPr>
                    <w:rFonts w:ascii="Cambria Math" w:hAnsi="Cambria Math" w:cstheme="majorBidi"/>
                    <w:i/>
                  </w:rPr>
                </m:ctrlPr>
              </m:radPr>
              <m:deg/>
              <m:e>
                <m:sSup>
                  <m:sSupPr>
                    <m:ctrlPr>
                      <w:rPr>
                        <w:rFonts w:ascii="Cambria Math" w:hAnsi="Cambria Math" w:cstheme="majorBidi"/>
                        <w:i/>
                      </w:rPr>
                    </m:ctrlPr>
                  </m:sSupPr>
                  <m:e>
                    <m:r>
                      <w:rPr>
                        <w:rFonts w:ascii="Cambria Math" w:hAnsi="Cambria Math" w:cstheme="majorBidi"/>
                      </w:rPr>
                      <m:t>(Standard error 1)</m:t>
                    </m:r>
                  </m:e>
                  <m:sup>
                    <m:r>
                      <w:rPr>
                        <w:rFonts w:ascii="Cambria Math" w:hAnsi="Cambria Math" w:cstheme="majorBidi"/>
                      </w:rPr>
                      <m:t>2</m:t>
                    </m:r>
                  </m:sup>
                </m:sSup>
                <m:r>
                  <w:rPr>
                    <w:rFonts w:ascii="Cambria Math" w:hAnsi="Cambria Math" w:cstheme="majorBidi"/>
                  </w:rPr>
                  <m:t>+</m:t>
                </m:r>
                <m:sSup>
                  <m:sSupPr>
                    <m:ctrlPr>
                      <w:rPr>
                        <w:rFonts w:ascii="Cambria Math" w:hAnsi="Cambria Math" w:cstheme="majorBidi"/>
                        <w:i/>
                      </w:rPr>
                    </m:ctrlPr>
                  </m:sSupPr>
                  <m:e>
                    <m:r>
                      <w:rPr>
                        <w:rFonts w:ascii="Cambria Math" w:hAnsi="Cambria Math" w:cstheme="majorBidi"/>
                      </w:rPr>
                      <m:t>(Standard error 2)</m:t>
                    </m:r>
                  </m:e>
                  <m:sup>
                    <m:r>
                      <w:rPr>
                        <w:rFonts w:ascii="Cambria Math" w:hAnsi="Cambria Math" w:cstheme="majorBidi"/>
                      </w:rPr>
                      <m:t>2</m:t>
                    </m:r>
                  </m:sup>
                </m:sSup>
              </m:e>
            </m:rad>
          </m:den>
        </m:f>
      </m:oMath>
      <w:r w:rsidR="00A91D8F">
        <w:rPr>
          <w:rFonts w:cstheme="majorBidi"/>
        </w:rPr>
        <w:tab/>
        <w:t>(5)</w:t>
      </w:r>
    </w:p>
    <w:p w:rsidR="00AC6644" w:rsidRDefault="00AC6644" w:rsidP="00AC6644">
      <w:pPr>
        <w:spacing w:before="120" w:after="120" w:line="480" w:lineRule="auto"/>
        <w:jc w:val="both"/>
        <w:rPr>
          <w:rFonts w:cstheme="majorBidi"/>
        </w:rPr>
      </w:pPr>
      <w:r>
        <w:rPr>
          <w:rFonts w:cstheme="majorBidi"/>
        </w:rPr>
        <w:t xml:space="preserve">Because the output from the regression was applicable </w:t>
      </w:r>
      <w:proofErr w:type="gramStart"/>
      <w:r>
        <w:rPr>
          <w:rFonts w:cstheme="majorBidi"/>
        </w:rPr>
        <w:t xml:space="preserve">for </w:t>
      </w:r>
      <w:proofErr w:type="gramEnd"/>
      <m:oMath>
        <m:r>
          <w:rPr>
            <w:rFonts w:ascii="Cambria Math" w:hAnsi="Cambria Math" w:cstheme="majorBidi"/>
          </w:rPr>
          <m:t>ln(a)</m:t>
        </m:r>
      </m:oMath>
      <w:r>
        <w:rPr>
          <w:rFonts w:cstheme="majorBidi"/>
        </w:rPr>
        <w:t xml:space="preserve">, I used </w:t>
      </w:r>
      <m:oMath>
        <m:r>
          <w:rPr>
            <w:rFonts w:ascii="Cambria Math" w:hAnsi="Cambria Math" w:cstheme="majorBidi"/>
          </w:rPr>
          <m:t>ln(a)</m:t>
        </m:r>
      </m:oMath>
      <w:r>
        <w:rPr>
          <w:rFonts w:cstheme="majorBidi"/>
        </w:rPr>
        <w:t xml:space="preserve"> for the Z test. The results were then interpreted </w:t>
      </w:r>
      <w:proofErr w:type="gramStart"/>
      <w:r>
        <w:rPr>
          <w:rFonts w:cstheme="majorBidi"/>
        </w:rPr>
        <w:t xml:space="preserve">for </w:t>
      </w:r>
      <w:proofErr w:type="gramEnd"/>
      <m:oMath>
        <m:r>
          <w:rPr>
            <w:rFonts w:ascii="Cambria Math" w:hAnsi="Cambria Math" w:cstheme="majorBidi"/>
          </w:rPr>
          <m:t>a</m:t>
        </m:r>
      </m:oMath>
      <w:r>
        <w:rPr>
          <w:rFonts w:cstheme="majorBidi"/>
        </w:rPr>
        <w:t>, accordingly.</w:t>
      </w:r>
    </w:p>
    <w:p w:rsidR="00AC6644" w:rsidRPr="00854E06" w:rsidRDefault="00AC6644" w:rsidP="00AC6644">
      <w:pPr>
        <w:spacing w:before="120" w:after="120" w:line="480" w:lineRule="auto"/>
        <w:ind w:firstLine="720"/>
        <w:jc w:val="both"/>
        <w:rPr>
          <w:rFonts w:cstheme="majorBidi"/>
        </w:rPr>
      </w:pPr>
      <w:r>
        <w:rPr>
          <w:rFonts w:cstheme="majorBidi"/>
        </w:rPr>
        <w:t xml:space="preserve">At a station, </w:t>
      </w:r>
      <w:r w:rsidRPr="00854E06">
        <w:rPr>
          <w:rFonts w:cstheme="majorBidi"/>
        </w:rPr>
        <w:t xml:space="preserve">there were a total of nine comparisons between each pair of seasons. Since the data used in this thesis were reported by month, a season was arbitrarily defined by a window of three months. For example, </w:t>
      </w:r>
      <w:proofErr w:type="gramStart"/>
      <w:r w:rsidRPr="00854E06">
        <w:rPr>
          <w:rFonts w:cstheme="majorBidi"/>
        </w:rPr>
        <w:t>Spring</w:t>
      </w:r>
      <w:proofErr w:type="gramEnd"/>
      <w:r w:rsidRPr="00854E06">
        <w:rPr>
          <w:rFonts w:cstheme="majorBidi"/>
        </w:rPr>
        <w:t xml:space="preserve"> was defined as a group from March to May, and so on. At each station, then, the number of significant differences between monthly rating parameters across two seasons varied from 0 to 9 for each </w:t>
      </w:r>
      <m:oMath>
        <m:r>
          <w:rPr>
            <w:rFonts w:ascii="Cambria Math" w:hAnsi="Cambria Math" w:cstheme="majorBidi"/>
          </w:rPr>
          <m:t>ln(a)</m:t>
        </m:r>
      </m:oMath>
      <w:r w:rsidRPr="00854E06">
        <w:rPr>
          <w:rFonts w:cstheme="majorBidi"/>
        </w:rPr>
        <w:t xml:space="preserve"> </w:t>
      </w:r>
      <w:proofErr w:type="gramStart"/>
      <w:r w:rsidRPr="00854E06">
        <w:rPr>
          <w:rFonts w:cstheme="majorBidi"/>
        </w:rPr>
        <w:t xml:space="preserve">and </w:t>
      </w:r>
      <w:proofErr w:type="gramEnd"/>
      <m:oMath>
        <m:r>
          <w:rPr>
            <w:rFonts w:ascii="Cambria Math" w:hAnsi="Cambria Math" w:cstheme="majorBidi"/>
          </w:rPr>
          <m:t>b</m:t>
        </m:r>
      </m:oMath>
      <w:r w:rsidRPr="00854E06">
        <w:rPr>
          <w:rFonts w:cstheme="majorBidi"/>
        </w:rPr>
        <w:t>. I interpreted these differences as the strength of the variation of one season versus another, with 9</w:t>
      </w:r>
      <w:r>
        <w:rPr>
          <w:rFonts w:cstheme="majorBidi"/>
        </w:rPr>
        <w:t xml:space="preserve"> as the highest. I applied the G</w:t>
      </w:r>
      <w:r w:rsidRPr="00854E06">
        <w:rPr>
          <w:rFonts w:cstheme="majorBidi"/>
        </w:rPr>
        <w:t xml:space="preserve">lobal Moran’s I to the number of significant differences in the monthly rating parameters between pairs of seasons to determine whether </w:t>
      </w:r>
      <w:r>
        <w:rPr>
          <w:rFonts w:cstheme="majorBidi"/>
        </w:rPr>
        <w:t xml:space="preserve">there is a spatial pattern in the seasonality of the rating parameters </w:t>
      </w:r>
      <w:r w:rsidRPr="00854E06">
        <w:rPr>
          <w:rFonts w:cstheme="majorBidi"/>
        </w:rPr>
        <w:t>in the UMRB. I then inspected spatial autocorrelation at the</w:t>
      </w:r>
      <w:r>
        <w:rPr>
          <w:rFonts w:cstheme="majorBidi"/>
        </w:rPr>
        <w:t xml:space="preserve"> local level using L</w:t>
      </w:r>
      <w:r w:rsidRPr="00854E06">
        <w:rPr>
          <w:rFonts w:cstheme="majorBidi"/>
        </w:rPr>
        <w:t>ocal Moran’s I.</w:t>
      </w:r>
      <w:r w:rsidR="008E3E1F">
        <w:rPr>
          <w:rFonts w:cstheme="majorBidi"/>
        </w:rPr>
        <w:t xml:space="preserve"> </w:t>
      </w:r>
      <w:proofErr w:type="gramStart"/>
      <w:r w:rsidR="008E3E1F">
        <w:rPr>
          <w:rFonts w:cstheme="majorBidi"/>
        </w:rPr>
        <w:t>Additionally,</w:t>
      </w:r>
      <w:proofErr w:type="gramEnd"/>
      <w:r w:rsidR="008E3E1F">
        <w:rPr>
          <w:rFonts w:cstheme="majorBidi"/>
        </w:rPr>
        <w:t xml:space="preserve"> I presented the distribution of the shape of the rating curves at all stations in two representative months – April and September. I chose these months because April and September are the months of annual high flow and low flow, respectively.</w:t>
      </w:r>
    </w:p>
    <w:p w:rsidR="00AC6644" w:rsidRPr="00854E06" w:rsidRDefault="00AC6644" w:rsidP="00AC6644">
      <w:pPr>
        <w:spacing w:before="120" w:after="120" w:line="480" w:lineRule="auto"/>
        <w:jc w:val="both"/>
        <w:rPr>
          <w:rFonts w:cstheme="majorBidi"/>
          <w:i/>
          <w:iCs/>
        </w:rPr>
      </w:pPr>
      <w:r w:rsidRPr="00854E06">
        <w:rPr>
          <w:rFonts w:ascii="Times New Roman" w:eastAsiaTheme="minorEastAsia" w:hAnsi="Times New Roman" w:cs="Times New Roman"/>
          <w:i/>
          <w:iCs/>
        </w:rPr>
        <w:t xml:space="preserve">Question 5: </w:t>
      </w:r>
      <w:r w:rsidRPr="00854E06">
        <w:rPr>
          <w:rFonts w:cstheme="majorBidi"/>
          <w:i/>
          <w:iCs/>
        </w:rPr>
        <w:t>What are the effects of navigational constructions (i.e. locks and dams) on the annual and monthly values of the sediment rating parameters?</w:t>
      </w:r>
    </w:p>
    <w:p w:rsidR="00AC6644" w:rsidRPr="00854E06" w:rsidRDefault="00AC6644" w:rsidP="00AC6644">
      <w:pPr>
        <w:spacing w:line="480" w:lineRule="auto"/>
        <w:ind w:firstLine="720"/>
        <w:jc w:val="both"/>
        <w:rPr>
          <w:rFonts w:ascii="Times New Roman" w:hAnsi="Times New Roman" w:cs="Times New Roman"/>
        </w:rPr>
      </w:pPr>
      <w:r w:rsidRPr="00854E06">
        <w:rPr>
          <w:rFonts w:ascii="Times New Roman" w:hAnsi="Times New Roman" w:cs="Times New Roman"/>
        </w:rPr>
        <w:t>In the UMRB, most of the navigational constructions are built on the Mississippi River, as it</w:t>
      </w:r>
      <w:r>
        <w:rPr>
          <w:rFonts w:ascii="Times New Roman" w:hAnsi="Times New Roman" w:cs="Times New Roman"/>
        </w:rPr>
        <w:t xml:space="preserve"> is the main stem of the basin.</w:t>
      </w:r>
      <w:r w:rsidRPr="00854E06">
        <w:rPr>
          <w:rFonts w:ascii="Times New Roman" w:hAnsi="Times New Roman" w:cs="Times New Roman"/>
        </w:rPr>
        <w:t xml:space="preserve"> To categorize an upstream or a downstream station with respect to a dam, I applied the definitions of pre-dam reach and post-dam reach proposed by </w:t>
      </w:r>
      <w:r w:rsidR="00F41E6A" w:rsidRPr="00854E06">
        <w:rPr>
          <w:rFonts w:ascii="Times New Roman" w:hAnsi="Times New Roman" w:cs="Times New Roman"/>
        </w:rPr>
        <w:fldChar w:fldCharType="begin"/>
      </w:r>
      <w:r w:rsidRPr="00854E06">
        <w:rPr>
          <w:rFonts w:ascii="Times New Roman" w:hAnsi="Times New Roman" w:cs="Times New Roman"/>
        </w:rPr>
        <w:instrText xml:space="preserve"> ADDIN ZOTERO_ITEM CSL_CITATION {"citationID":"URNYpZAg","properties":{"formattedCitation":"(Schmidt and Wilcock 2008)","plainCitation":"(Schmidt and Wilcock 2008)"},"citationItems":[{"id":501,"uris":["http://zotero.org/users/1706519/items/QDPFPVDB"],"uri":["http://zotero.org/users/1706519/items/QDPFPVDB"],"itemData":{"id":501,"type":"article-journal","title":"Metrics for assessing the downstream effects of dams","container-title":"Water Resources Research","page":"n/a–n/a","volume":"44","issue":"4","source":"Wiley Online Library","abstract":"We evaluate three metrics representing the drivers of channel change downstream from dams. A balance between changes in sediment supply and transport capacity identifies conditions of sediment deficit or surplus. A Shields number represents the competence of postdam flows and the potential for incision under conditions of sediment deficit. A ratio of postdam to predam flood discharge provides a metric for the scale and rate of channel change, especially width. The metrics are calculated for more than 4000 km of some of the major rivers in the western United States. More than 60% of these rivers are in sediment deficit, and only a few reaches are in sediment surplus. The sediment balance can be used to assess the relative effort involved in reversing undesired conditions of deficit or surplus.","DOI":"10.1029/2006WR005092","ISSN":"1944-7973","language":"en","author":[{"family":"Schmidt","given":"John C."},{"family":"Wilcock","given":"Peter R."}],"issued":{"date-parts":[["2008"]]},"accessed":{"date-parts":[["2014",2,21]]}}}],"schema":"https://github.com/citation-style-language/schema/raw/master/csl-citation.json"} </w:instrText>
      </w:r>
      <w:r w:rsidR="00F41E6A" w:rsidRPr="00854E06">
        <w:rPr>
          <w:rFonts w:ascii="Times New Roman" w:hAnsi="Times New Roman" w:cs="Times New Roman"/>
        </w:rPr>
        <w:fldChar w:fldCharType="separate"/>
      </w:r>
      <w:r w:rsidRPr="00854E06">
        <w:rPr>
          <w:rFonts w:ascii="Times New Roman" w:hAnsi="Times New Roman" w:cs="Times New Roman"/>
        </w:rPr>
        <w:t>Schmidt and Wilcock (2008)</w:t>
      </w:r>
      <w:r w:rsidR="00F41E6A" w:rsidRPr="00854E06">
        <w:rPr>
          <w:rFonts w:ascii="Times New Roman" w:hAnsi="Times New Roman" w:cs="Times New Roman"/>
        </w:rPr>
        <w:fldChar w:fldCharType="end"/>
      </w:r>
      <w:r w:rsidRPr="00854E06">
        <w:rPr>
          <w:rFonts w:ascii="Times New Roman" w:hAnsi="Times New Roman" w:cs="Times New Roman"/>
        </w:rPr>
        <w:t xml:space="preserve">. Pre-dam reach is defined as the river section from the dam upstream to the first tributary. Post-dam reach is defined as the river section from the dam </w:t>
      </w:r>
      <w:r w:rsidRPr="00854E06">
        <w:rPr>
          <w:rFonts w:ascii="Times New Roman" w:hAnsi="Times New Roman" w:cs="Times New Roman"/>
        </w:rPr>
        <w:lastRenderedPageBreak/>
        <w:t>downstream to the first tributary. Stations located in pre-dam/post-dam reaches are categorized as pre-dam/post-dam stations.</w:t>
      </w:r>
    </w:p>
    <w:p w:rsidR="00AC6644" w:rsidRPr="00854E06" w:rsidRDefault="00AC6644" w:rsidP="00AC6644">
      <w:pPr>
        <w:spacing w:before="120" w:after="120" w:line="480" w:lineRule="auto"/>
        <w:ind w:firstLine="720"/>
        <w:jc w:val="both"/>
        <w:rPr>
          <w:rFonts w:ascii="Times New Roman" w:hAnsi="Times New Roman" w:cs="Times New Roman"/>
        </w:rPr>
      </w:pPr>
      <w:r w:rsidRPr="00854E06">
        <w:rPr>
          <w:rFonts w:ascii="Times New Roman" w:hAnsi="Times New Roman" w:cs="Times New Roman"/>
        </w:rPr>
        <w:t xml:space="preserve">Only three dams have both pre-dam and post-dam stations in the UMRB region. For those stations, I used </w:t>
      </w:r>
      <w:r>
        <w:rPr>
          <w:rFonts w:ascii="Times New Roman" w:hAnsi="Times New Roman" w:cs="Times New Roman"/>
        </w:rPr>
        <w:t xml:space="preserve">the </w:t>
      </w:r>
      <w:r w:rsidRPr="00854E06">
        <w:rPr>
          <w:rFonts w:ascii="Times New Roman" w:hAnsi="Times New Roman" w:cs="Times New Roman"/>
        </w:rPr>
        <w:t xml:space="preserve">Z </w:t>
      </w:r>
      <w:r>
        <w:rPr>
          <w:rFonts w:ascii="Times New Roman" w:hAnsi="Times New Roman" w:cs="Times New Roman"/>
        </w:rPr>
        <w:t>test</w:t>
      </w:r>
      <w:r w:rsidRPr="00854E06">
        <w:rPr>
          <w:rFonts w:ascii="Times New Roman" w:hAnsi="Times New Roman" w:cs="Times New Roman"/>
        </w:rPr>
        <w:t xml:space="preserve"> (significance level of 0.05) to determine whether annual values of the rating curve parameters differed between pre- and post-dam stations. I repeated the procedure using monthly values. </w:t>
      </w:r>
      <w:r>
        <w:rPr>
          <w:rFonts w:ascii="Times New Roman" w:hAnsi="Times New Roman" w:cs="Times New Roman"/>
        </w:rPr>
        <w:t>The test</w:t>
      </w:r>
      <w:r w:rsidR="00396B75">
        <w:rPr>
          <w:rFonts w:ascii="Times New Roman" w:hAnsi="Times New Roman" w:cs="Times New Roman"/>
        </w:rPr>
        <w:t>s</w:t>
      </w:r>
      <w:r>
        <w:rPr>
          <w:rFonts w:ascii="Times New Roman" w:hAnsi="Times New Roman" w:cs="Times New Roman"/>
        </w:rPr>
        <w:t xml:space="preserve"> were</w:t>
      </w:r>
      <w:r w:rsidR="00396B75">
        <w:rPr>
          <w:rFonts w:ascii="Times New Roman" w:hAnsi="Times New Roman" w:cs="Times New Roman"/>
        </w:rPr>
        <w:t xml:space="preserve"> </w:t>
      </w:r>
      <w:r>
        <w:rPr>
          <w:rFonts w:ascii="Times New Roman" w:hAnsi="Times New Roman" w:cs="Times New Roman"/>
        </w:rPr>
        <w:t xml:space="preserve">applied for </w:t>
      </w:r>
      <m:oMath>
        <m:r>
          <w:rPr>
            <w:rFonts w:ascii="Cambria Math" w:hAnsi="Cambria Math" w:cs="Times New Roman"/>
          </w:rPr>
          <m:t>ln(a)</m:t>
        </m:r>
      </m:oMath>
      <w:r>
        <w:rPr>
          <w:rFonts w:ascii="Times New Roman" w:hAnsi="Times New Roman" w:cs="Times New Roman"/>
        </w:rPr>
        <w:t xml:space="preserve"> and interpreted accordingly </w:t>
      </w:r>
      <w:proofErr w:type="gramStart"/>
      <w:r>
        <w:rPr>
          <w:rFonts w:ascii="Times New Roman" w:hAnsi="Times New Roman" w:cs="Times New Roman"/>
        </w:rPr>
        <w:t xml:space="preserve">for </w:t>
      </w:r>
      <w:proofErr w:type="gramEnd"/>
      <m:oMath>
        <m:r>
          <w:rPr>
            <w:rFonts w:ascii="Cambria Math" w:hAnsi="Cambria Math" w:cs="Times New Roman"/>
          </w:rPr>
          <m:t>a</m:t>
        </m:r>
      </m:oMath>
      <w:r>
        <w:rPr>
          <w:rFonts w:ascii="Times New Roman" w:hAnsi="Times New Roman" w:cs="Times New Roman"/>
        </w:rPr>
        <w:t>.</w:t>
      </w:r>
    </w:p>
    <w:p w:rsidR="00AC6644" w:rsidRPr="00854E06" w:rsidRDefault="00AC6644" w:rsidP="00AC6644">
      <w:pPr>
        <w:spacing w:before="120" w:after="120" w:line="480" w:lineRule="auto"/>
        <w:jc w:val="both"/>
        <w:rPr>
          <w:rFonts w:cstheme="majorBidi"/>
          <w:i/>
          <w:iCs/>
        </w:rPr>
      </w:pPr>
      <w:r w:rsidRPr="00854E06">
        <w:rPr>
          <w:rFonts w:ascii="Times New Roman" w:hAnsi="Times New Roman" w:cs="Times New Roman"/>
        </w:rPr>
        <w:t xml:space="preserve"> </w:t>
      </w:r>
      <w:r w:rsidRPr="00854E06">
        <w:rPr>
          <w:rFonts w:ascii="Times New Roman" w:hAnsi="Times New Roman" w:cs="Times New Roman"/>
          <w:i/>
          <w:iCs/>
        </w:rPr>
        <w:t xml:space="preserve">Question 6: </w:t>
      </w:r>
      <w:r w:rsidRPr="00854E06">
        <w:rPr>
          <w:rFonts w:cstheme="majorBidi"/>
          <w:i/>
          <w:iCs/>
        </w:rPr>
        <w:t>What are the effects of land use on the annual values of the sediment rating curve parameters?</w:t>
      </w:r>
    </w:p>
    <w:p w:rsidR="00AC6644" w:rsidRPr="00854E06" w:rsidRDefault="00AC6644" w:rsidP="00AC6644">
      <w:pPr>
        <w:spacing w:before="120" w:after="120" w:line="480" w:lineRule="auto"/>
        <w:ind w:firstLine="720"/>
        <w:jc w:val="both"/>
        <w:rPr>
          <w:rFonts w:ascii="Times New Roman" w:hAnsi="Times New Roman" w:cs="Times New Roman"/>
        </w:rPr>
      </w:pPr>
      <w:r>
        <w:rPr>
          <w:rFonts w:ascii="Times New Roman" w:hAnsi="Times New Roman" w:cs="Times New Roman"/>
        </w:rPr>
        <w:t>Because</w:t>
      </w:r>
      <w:r w:rsidRPr="00854E06">
        <w:rPr>
          <w:rFonts w:ascii="Times New Roman" w:hAnsi="Times New Roman" w:cs="Times New Roman"/>
        </w:rPr>
        <w:t xml:space="preserve"> the variation of suspended sediment yielded to the stream </w:t>
      </w:r>
      <w:r>
        <w:rPr>
          <w:rFonts w:ascii="Times New Roman" w:hAnsi="Times New Roman" w:cs="Times New Roman"/>
        </w:rPr>
        <w:t xml:space="preserve">has been shown to be </w:t>
      </w:r>
      <w:r w:rsidRPr="00854E06">
        <w:rPr>
          <w:rFonts w:ascii="Times New Roman" w:hAnsi="Times New Roman" w:cs="Times New Roman"/>
        </w:rPr>
        <w:t>relate</w:t>
      </w:r>
      <w:r>
        <w:rPr>
          <w:rFonts w:ascii="Times New Roman" w:hAnsi="Times New Roman" w:cs="Times New Roman"/>
        </w:rPr>
        <w:t>d</w:t>
      </w:r>
      <w:r w:rsidRPr="00854E06">
        <w:rPr>
          <w:rFonts w:ascii="Times New Roman" w:hAnsi="Times New Roman" w:cs="Times New Roman"/>
        </w:rPr>
        <w:t xml:space="preserve"> to the type of land use</w:t>
      </w:r>
      <w:r>
        <w:rPr>
          <w:rFonts w:ascii="Times New Roman" w:hAnsi="Times New Roman" w:cs="Times New Roman"/>
        </w:rPr>
        <w:t xml:space="preserve"> </w:t>
      </w:r>
      <w:r w:rsidR="00F41E6A">
        <w:rPr>
          <w:rFonts w:ascii="Times New Roman" w:hAnsi="Times New Roman" w:cs="Times New Roman"/>
        </w:rPr>
        <w:fldChar w:fldCharType="begin"/>
      </w:r>
      <w:r>
        <w:rPr>
          <w:rFonts w:ascii="Times New Roman" w:hAnsi="Times New Roman" w:cs="Times New Roman"/>
        </w:rPr>
        <w:instrText xml:space="preserve"> ADDIN ZOTERO_ITEM CSL_CITATION {"citationID":"5OwZssz7","properties":{"formattedCitation":"{\\rtf (Lopes, Ffolliott, and Baker Jr. 2001; Tran and O\\uc0\\u8217{}Neill 2013)}","plainCitation":"(Lopes, Ffolliott, and Baker Jr. 2001; Tran and O’Neill 2013)"},"citationItems":[{"id":550,"uris":["http://zotero.org/users/1706519/items/KFD776GA"],"uri":["http://zotero.org/users/1706519/items/KFD776GA"],"itemData":{"id":550,"type":"article-journal","title":"Impacts of Vegetative Practices on Suspended Sediment from Watersheds of Arizona","container-title":"Journal of Water Resources Planning and Management","page":"41-47","volume":"127","issue":"1","source":"ASCE","abstract":"Effects of vegetative practices on suspended sediment discharge from ponderosa pine forests and -juniper woodlands in north-central Arizona are examined. Sediment-rating curves were developed to analyze the impacts. Disturbance from vegetative practices generally increased suspended sediment transport above those of control (reference) watersheds. Completely cleared and strip-cut ponderosa pine watersheds produced higher sediment concentrations than did a control watershed. Likewise, cabled and herbicide-treated -juniper watersheds yielded higher sediment-laden streamflows than did a control. Sediment transport regimes are also related to streamflow-generation mechanisms and hydrograph stages. Although about 85% of the data analyzed represented snowmelt-runoff events in both vegetative types, derivation of sediment-rating curves based on streamflow-generation mechanisms improved the sensitivity of the analysis. Sediment data collected during rising and falling hydrograph stages varied between the two vegetative types. Sediment concentrations were generally higher in the rising stage than in the falling stage for ponderosa pine watersheds. There was no clear evidence of higher sediment concentrations in the rising stage of the hydrograph as compared to the falling stage in the -juniper watersheds.","DOI":"10.1061/(ASCE)0733-9496(2001)127:1(41)","ISSN":"0733-9496","author":[{"family":"Lopes","given":"V."},{"family":"Ffolliott","given":"P."},{"family":"Baker Jr.","given":"M."}],"issued":{"date-parts":[["2001"]]},"accessed":{"date-parts":[["2014",5,2]]}}},{"id":610,"uris":["http://zotero.org/users/1706519/items/BIFNWHR8"],"uri":["http://zotero.org/users/1706519/items/BIFNWHR8"],"itemData":{"id":610,"type":"article-journal","title":"Detecting the effects of land use/land cover on mean annual streamflow in the Upper Mississippi River Basin, USA","container-title":"Journal of Hydrology","page":"82-90","volume":"499","source":"ScienceDirect","abstract":"Summary\nThe effects of land use/land cover (LULC) along with other climate and geomorphologic factors on mean annual streamflow in the Upper Mississippi River Basin (UMRB) were explored using a nonlinear model applied to a spatial dataset of more than 180,000 catchments. The model was linearized and solved via a geospatial regression model to deal with spatial dependency in data. Results show that LULC is a very important agent with respect to its impact on mean annual streamflow in UMRB. Compared with other climate and geomorphologic factors, the signature of LULC on streamflow which was shown through various measures in this study is evident and significant. The magnitude of the impact on streamflow varies from one LULC to another. It is not a simple function of a LULC’s spatial extent but arguably a result of complex interactions among various LULCs as well as other climate and geomorphologic factors. Our analysis indicates that caution needs to be taken in comparing different studies or in generalization across scales regarding the impact of LULC on streamflow. It is because the result of a study is not only the outcome of the geophysical processes observed at a particular spatial and temporal scales but also a product of the approach, model, variables, and/or measures used in the study. Methodologically the proposed model provided an effective way to utilize an extensive spatial dataset of various climatic, geomorphologic, and LULC variables for a large region like UMRB to assess and compare the impact of various factors on mean annual streamflow at regional scale. Furthermore, the model was able to handle spatial dependency in data while avoiding the common problem of nested input in hydrologic modeling.","DOI":"10.1016/j.jhydrol.2013.06.041","ISSN":"0022-1694","journalAbbreviation":"Journal of Hydrology","author":[{"family":"Tran","given":"Liem T."},{"family":"O’Neill","given":"Robert V."}],"issued":{"date-parts":[["2013",8,30]]},"accessed":{"date-parts":[["2014",7,12]]}}}],"schema":"https://github.com/citation-style-language/schema/raw/master/csl-citation.json"} </w:instrText>
      </w:r>
      <w:r w:rsidR="00F41E6A">
        <w:rPr>
          <w:rFonts w:ascii="Times New Roman" w:hAnsi="Times New Roman" w:cs="Times New Roman"/>
        </w:rPr>
        <w:fldChar w:fldCharType="separate"/>
      </w:r>
      <w:r>
        <w:rPr>
          <w:rFonts w:ascii="Times New Roman" w:hAnsi="Times New Roman" w:cs="Times New Roman"/>
        </w:rPr>
        <w:t>(e.g., Lopes et al.</w:t>
      </w:r>
      <w:r w:rsidRPr="00CA0612">
        <w:rPr>
          <w:rFonts w:ascii="Times New Roman" w:hAnsi="Times New Roman" w:cs="Times New Roman"/>
        </w:rPr>
        <w:t xml:space="preserve"> 2001; Tran and O’Neill 2013)</w:t>
      </w:r>
      <w:r w:rsidR="00F41E6A">
        <w:rPr>
          <w:rFonts w:ascii="Times New Roman" w:hAnsi="Times New Roman" w:cs="Times New Roman"/>
        </w:rPr>
        <w:fldChar w:fldCharType="end"/>
      </w:r>
      <w:r w:rsidRPr="00854E06">
        <w:rPr>
          <w:rFonts w:ascii="Times New Roman" w:hAnsi="Times New Roman" w:cs="Times New Roman"/>
        </w:rPr>
        <w:t>, I hypothesize</w:t>
      </w:r>
      <w:r>
        <w:rPr>
          <w:rFonts w:ascii="Times New Roman" w:hAnsi="Times New Roman" w:cs="Times New Roman"/>
        </w:rPr>
        <w:t>d</w:t>
      </w:r>
      <w:r w:rsidRPr="00854E06">
        <w:rPr>
          <w:rFonts w:ascii="Times New Roman" w:hAnsi="Times New Roman" w:cs="Times New Roman"/>
        </w:rPr>
        <w:t xml:space="preserve"> there would be an association between land use and the rating parameters </w:t>
      </w:r>
      <m:oMath>
        <m:r>
          <w:rPr>
            <w:rFonts w:ascii="Cambria Math" w:hAnsi="Cambria Math" w:cs="Times New Roman"/>
          </w:rPr>
          <m:t>a</m:t>
        </m:r>
      </m:oMath>
      <w:r w:rsidRPr="00854E06">
        <w:rPr>
          <w:rFonts w:ascii="Times New Roman" w:hAnsi="Times New Roman" w:cs="Times New Roman"/>
        </w:rPr>
        <w:t xml:space="preserve"> and </w:t>
      </w:r>
      <m:oMath>
        <m:r>
          <w:rPr>
            <w:rFonts w:ascii="Cambria Math" w:hAnsi="Cambria Math" w:cs="Times New Roman"/>
          </w:rPr>
          <m:t>b</m:t>
        </m:r>
      </m:oMath>
      <w:r w:rsidRPr="00854E06">
        <w:rPr>
          <w:rFonts w:ascii="Times New Roman" w:hAnsi="Times New Roman" w:cs="Times New Roman"/>
        </w:rPr>
        <w:t>. Due to the lack of land</w:t>
      </w:r>
      <w:r>
        <w:rPr>
          <w:rFonts w:ascii="Times New Roman" w:hAnsi="Times New Roman" w:cs="Times New Roman"/>
        </w:rPr>
        <w:t>-</w:t>
      </w:r>
      <w:r w:rsidRPr="00854E06">
        <w:rPr>
          <w:rFonts w:ascii="Times New Roman" w:hAnsi="Times New Roman" w:cs="Times New Roman"/>
        </w:rPr>
        <w:t>use data in the UMRB, I used</w:t>
      </w:r>
      <w:r w:rsidR="00396B75">
        <w:rPr>
          <w:rFonts w:ascii="Times New Roman" w:hAnsi="Times New Roman" w:cs="Times New Roman"/>
        </w:rPr>
        <w:t xml:space="preserve"> </w:t>
      </w:r>
      <w:r w:rsidRPr="00854E06">
        <w:rPr>
          <w:rFonts w:ascii="Times New Roman" w:hAnsi="Times New Roman" w:cs="Times New Roman"/>
        </w:rPr>
        <w:t>land</w:t>
      </w:r>
      <w:r>
        <w:rPr>
          <w:rFonts w:ascii="Times New Roman" w:hAnsi="Times New Roman" w:cs="Times New Roman"/>
        </w:rPr>
        <w:t>-</w:t>
      </w:r>
      <w:r w:rsidRPr="00854E06">
        <w:rPr>
          <w:rFonts w:ascii="Times New Roman" w:hAnsi="Times New Roman" w:cs="Times New Roman"/>
        </w:rPr>
        <w:t>cover data for this test.</w:t>
      </w:r>
    </w:p>
    <w:p w:rsidR="00AC6644" w:rsidRPr="00854E06" w:rsidRDefault="00AC6644" w:rsidP="00AC6644">
      <w:pPr>
        <w:spacing w:before="120" w:after="120" w:line="480" w:lineRule="auto"/>
        <w:ind w:firstLine="720"/>
        <w:jc w:val="both"/>
        <w:rPr>
          <w:rFonts w:ascii="Times New Roman" w:hAnsi="Times New Roman" w:cs="Times New Roman"/>
        </w:rPr>
      </w:pPr>
      <w:r w:rsidRPr="00854E06">
        <w:rPr>
          <w:rFonts w:ascii="Times New Roman" w:hAnsi="Times New Roman" w:cs="Times New Roman"/>
        </w:rPr>
        <w:t xml:space="preserve">The land-cover data were obtained from the NHD Plus Dataset Version 1 </w:t>
      </w:r>
      <w:r w:rsidR="00F41E6A" w:rsidRPr="00854E06">
        <w:rPr>
          <w:rFonts w:ascii="Times New Roman" w:hAnsi="Times New Roman" w:cs="Times New Roman"/>
        </w:rPr>
        <w:fldChar w:fldCharType="begin"/>
      </w:r>
      <w:r w:rsidRPr="00854E06">
        <w:rPr>
          <w:rFonts w:ascii="Times New Roman" w:hAnsi="Times New Roman" w:cs="Times New Roman"/>
        </w:rPr>
        <w:instrText xml:space="preserve"> ADDIN ZOTERO_ITEM CSL_CITATION {"citationID":"7B8LO8kw","properties":{"formattedCitation":"(USGS 2006)","plainCitation":"(USGS 2006)"},"citationItems":[{"id":454,"uris":["http://zotero.org/users/1706519/items/NMW7ZSX9"],"uri":["http://zotero.org/users/1706519/items/NMW7ZSX9"],"itemData":{"id":454,"type":"webpage","title":"NHD Plus - NHDPlus Version 1 Dataset","URL":"http://www.horizon-systems.com/NHDPlus/NHDPlusV1_home.php","author":[{"family":"USGS","given":""}],"issued":{"date-parts":[["2006"]]},"accessed":{"date-parts":[["2014",2,12]]}}}],"schema":"https://github.com/citation-style-language/schema/raw/master/csl-citation.json"} </w:instrText>
      </w:r>
      <w:r w:rsidR="00F41E6A" w:rsidRPr="00854E06">
        <w:rPr>
          <w:rFonts w:ascii="Times New Roman" w:hAnsi="Times New Roman" w:cs="Times New Roman"/>
        </w:rPr>
        <w:fldChar w:fldCharType="separate"/>
      </w:r>
      <w:r w:rsidRPr="00854E06">
        <w:rPr>
          <w:rFonts w:ascii="Times New Roman" w:hAnsi="Times New Roman" w:cs="Times New Roman"/>
        </w:rPr>
        <w:t>(USGS 2006)</w:t>
      </w:r>
      <w:r w:rsidR="00F41E6A" w:rsidRPr="00854E06">
        <w:rPr>
          <w:rFonts w:ascii="Times New Roman" w:hAnsi="Times New Roman" w:cs="Times New Roman"/>
        </w:rPr>
        <w:fldChar w:fldCharType="end"/>
      </w:r>
      <w:r w:rsidRPr="00854E06">
        <w:rPr>
          <w:rFonts w:ascii="Times New Roman" w:hAnsi="Times New Roman" w:cs="Times New Roman"/>
        </w:rPr>
        <w:t xml:space="preserve">. The data include the cumulative percentage of land cover to the catchment where the station is located. In fact, the land-cover data in NHD Plus were derived from the National Land Cover Dataset 1992 (NLCD 1992) </w:t>
      </w:r>
      <w:r w:rsidR="00F41E6A" w:rsidRPr="00854E06">
        <w:rPr>
          <w:rFonts w:ascii="Times New Roman" w:hAnsi="Times New Roman" w:cs="Times New Roman"/>
        </w:rPr>
        <w:fldChar w:fldCharType="begin"/>
      </w:r>
      <w:r w:rsidRPr="00854E06">
        <w:rPr>
          <w:rFonts w:ascii="Times New Roman" w:hAnsi="Times New Roman" w:cs="Times New Roman"/>
        </w:rPr>
        <w:instrText xml:space="preserve"> ADDIN ZOTERO_ITEM CSL_CITATION {"citationID":"cFES6Dfi","properties":{"formattedCitation":"(Vogelmann et al. 2001)","plainCitation":"(Vogelmann et al. 2001)"},"citationItems":[{"id":473,"uris":["http://zotero.org/users/1706519/items/TXAVWJF4"],"uri":["http://zotero.org/users/1706519/items/TXAVWJF4"],"itemData":{"id":473,"type":"article-journal","title":"Completion of the 1990's National Land Cover Data Set for the conterminous United States","container-title":"Photogrammetric Engineering and Remote Sensing","page":"650-662","volume":"67","author":[{"family":"Vogelmann","given":"J.E."},{"family":"Howard","given":"S.M."},{"family":"Yang","given":"L."},{"family":"Larson","given":"Curtis L."},{"family":"Wylie","given":"B.K."},{"family":"Van Driel","given":"J.N."}],"issued":{"date-parts":[["2001"]]}}}],"schema":"https://github.com/citation-style-language/schema/raw/master/csl-citation.json"} </w:instrText>
      </w:r>
      <w:r w:rsidR="00F41E6A" w:rsidRPr="00854E06">
        <w:rPr>
          <w:rFonts w:ascii="Times New Roman" w:hAnsi="Times New Roman" w:cs="Times New Roman"/>
        </w:rPr>
        <w:fldChar w:fldCharType="separate"/>
      </w:r>
      <w:r w:rsidRPr="00854E06">
        <w:rPr>
          <w:rFonts w:ascii="Times New Roman" w:hAnsi="Times New Roman" w:cs="Times New Roman"/>
        </w:rPr>
        <w:t>(Vogelmann et al. 2001)</w:t>
      </w:r>
      <w:r w:rsidR="00F41E6A" w:rsidRPr="00854E06">
        <w:rPr>
          <w:rFonts w:ascii="Times New Roman" w:hAnsi="Times New Roman" w:cs="Times New Roman"/>
        </w:rPr>
        <w:fldChar w:fldCharType="end"/>
      </w:r>
      <w:r w:rsidRPr="00854E06">
        <w:rPr>
          <w:rFonts w:ascii="Times New Roman" w:hAnsi="Times New Roman" w:cs="Times New Roman"/>
        </w:rPr>
        <w:t xml:space="preserve">.  Classes in the land-cover data consist of water, developed area, barren land, forest, </w:t>
      </w:r>
      <w:proofErr w:type="spellStart"/>
      <w:r w:rsidRPr="00854E06">
        <w:rPr>
          <w:rFonts w:ascii="Times New Roman" w:hAnsi="Times New Roman" w:cs="Times New Roman"/>
        </w:rPr>
        <w:t>shrubland</w:t>
      </w:r>
      <w:proofErr w:type="spellEnd"/>
      <w:r w:rsidRPr="00854E06">
        <w:rPr>
          <w:rFonts w:ascii="Times New Roman" w:hAnsi="Times New Roman" w:cs="Times New Roman"/>
        </w:rPr>
        <w:t>, non-natural woody, herbaceous upland, planted/cultivated land, and wetlands. I tested the correlation between the rating parameters against these classes of land cover. Depending upon the normality of the data</w:t>
      </w:r>
      <w:r>
        <w:rPr>
          <w:rFonts w:ascii="Times New Roman" w:hAnsi="Times New Roman" w:cs="Times New Roman"/>
        </w:rPr>
        <w:t xml:space="preserve"> distribution</w:t>
      </w:r>
      <w:r w:rsidRPr="00854E06">
        <w:rPr>
          <w:rFonts w:ascii="Times New Roman" w:hAnsi="Times New Roman" w:cs="Times New Roman"/>
        </w:rPr>
        <w:t xml:space="preserve">, I applied the Pearson or Spearman correlation test to analyze the association between percentages of </w:t>
      </w:r>
      <w:r>
        <w:rPr>
          <w:rFonts w:ascii="Times New Roman" w:hAnsi="Times New Roman" w:cs="Times New Roman"/>
        </w:rPr>
        <w:t xml:space="preserve">cumulative </w:t>
      </w:r>
      <w:r w:rsidRPr="00854E06">
        <w:rPr>
          <w:rFonts w:ascii="Times New Roman" w:hAnsi="Times New Roman" w:cs="Times New Roman"/>
        </w:rPr>
        <w:t>land cover and the rating curves parameters at the annual and monthly levels.</w:t>
      </w:r>
    </w:p>
    <w:p w:rsidR="00E06063" w:rsidRPr="00854E06" w:rsidRDefault="00E06063">
      <w:pPr>
        <w:spacing w:after="200" w:line="276" w:lineRule="auto"/>
        <w:rPr>
          <w:rFonts w:ascii="Times New Roman" w:eastAsiaTheme="minorHAnsi" w:hAnsi="Times New Roman" w:cs="Times New Roman"/>
          <w:b/>
          <w:bCs/>
        </w:rPr>
      </w:pPr>
      <w:r w:rsidRPr="00854E06">
        <w:rPr>
          <w:rFonts w:ascii="Times New Roman" w:hAnsi="Times New Roman" w:cs="Times New Roman"/>
          <w:b/>
          <w:bCs/>
        </w:rPr>
        <w:br w:type="page"/>
      </w:r>
    </w:p>
    <w:p w:rsidR="00E06063" w:rsidRPr="00854E06" w:rsidRDefault="00E06063" w:rsidP="00E06063">
      <w:pPr>
        <w:pStyle w:val="Heading1"/>
      </w:pPr>
      <w:bookmarkStart w:id="78" w:name="_Toc394525568"/>
      <w:r w:rsidRPr="00854E06">
        <w:lastRenderedPageBreak/>
        <w:t>Results</w:t>
      </w:r>
      <w:bookmarkEnd w:id="78"/>
    </w:p>
    <w:p w:rsidR="00010621" w:rsidRPr="00854E06" w:rsidRDefault="00010621" w:rsidP="004F12D3">
      <w:pPr>
        <w:spacing w:before="240" w:line="480" w:lineRule="auto"/>
        <w:ind w:firstLine="720"/>
        <w:jc w:val="both"/>
        <w:rPr>
          <w:rFonts w:cstheme="majorBidi"/>
        </w:rPr>
      </w:pPr>
      <w:r w:rsidRPr="00854E06">
        <w:rPr>
          <w:rFonts w:cstheme="majorBidi"/>
        </w:rPr>
        <w:t xml:space="preserve">The results presented in this chapter are divided into sections according to the research questions proposed in Chapter I. As noted, additional results are included in the Appendix. </w:t>
      </w:r>
    </w:p>
    <w:p w:rsidR="00E06063" w:rsidRPr="00523FFD" w:rsidRDefault="00E06063" w:rsidP="00523FFD">
      <w:pPr>
        <w:pStyle w:val="Heading2"/>
        <w:numPr>
          <w:ilvl w:val="0"/>
          <w:numId w:val="39"/>
        </w:numPr>
        <w:ind w:left="360"/>
      </w:pPr>
      <w:bookmarkStart w:id="79" w:name="_Toc394525569"/>
      <w:r w:rsidRPr="00523FFD">
        <w:t>Descriptive statistics and spatial patterns of sediment rating parameters</w:t>
      </w:r>
      <w:bookmarkEnd w:id="79"/>
    </w:p>
    <w:p w:rsidR="008B73D4" w:rsidRPr="008B73D4" w:rsidRDefault="008B73D4" w:rsidP="008B73D4">
      <w:pPr>
        <w:spacing w:line="480" w:lineRule="auto"/>
        <w:ind w:firstLine="720"/>
        <w:jc w:val="both"/>
        <w:rPr>
          <w:rFonts w:ascii="Times New Roman" w:hAnsi="Times New Roman" w:cs="Times New Roman"/>
        </w:rPr>
      </w:pPr>
      <w:r w:rsidRPr="008B73D4">
        <w:rPr>
          <w:rFonts w:ascii="Times New Roman" w:hAnsi="Times New Roman" w:cs="Times New Roman"/>
          <w:color w:val="000000" w:themeColor="text1"/>
        </w:rPr>
        <w:t xml:space="preserve">The coefficients obtained from the linear regression described in equation (4) include the intercept </w:t>
      </w:r>
      <m:oMath>
        <m:r>
          <w:rPr>
            <w:rFonts w:ascii="Cambria Math" w:hAnsi="Cambria Math" w:cs="Times New Roman"/>
            <w:color w:val="000000" w:themeColor="text1"/>
          </w:rPr>
          <m:t>ln(a)</m:t>
        </m:r>
      </m:oMath>
      <w:r w:rsidRPr="008B73D4">
        <w:rPr>
          <w:rFonts w:ascii="Times New Roman" w:hAnsi="Times New Roman" w:cs="Times New Roman"/>
          <w:color w:val="000000" w:themeColor="text1"/>
        </w:rPr>
        <w:t xml:space="preserve"> and the </w:t>
      </w:r>
      <w:proofErr w:type="gramStart"/>
      <w:r w:rsidRPr="008B73D4">
        <w:rPr>
          <w:rFonts w:ascii="Times New Roman" w:hAnsi="Times New Roman" w:cs="Times New Roman"/>
          <w:color w:val="000000" w:themeColor="text1"/>
        </w:rPr>
        <w:t xml:space="preserve">slope </w:t>
      </w:r>
      <w:proofErr w:type="gramEnd"/>
      <m:oMath>
        <m:r>
          <w:rPr>
            <w:rFonts w:ascii="Cambria Math" w:hAnsi="Cambria Math" w:cs="Times New Roman"/>
            <w:color w:val="000000" w:themeColor="text1"/>
          </w:rPr>
          <m:t>b</m:t>
        </m:r>
      </m:oMath>
      <w:r w:rsidRPr="008B73D4">
        <w:rPr>
          <w:rFonts w:ascii="Times New Roman" w:hAnsi="Times New Roman" w:cs="Times New Roman"/>
          <w:color w:val="000000" w:themeColor="text1"/>
        </w:rPr>
        <w:t xml:space="preserve">. The value of coefficient </w:t>
      </w:r>
      <m:oMath>
        <m:r>
          <w:rPr>
            <w:rFonts w:ascii="Cambria Math" w:hAnsi="Cambria Math" w:cs="Times New Roman"/>
            <w:color w:val="000000" w:themeColor="text1"/>
          </w:rPr>
          <m:t>a</m:t>
        </m:r>
      </m:oMath>
      <w:r w:rsidRPr="008B73D4">
        <w:rPr>
          <w:rFonts w:ascii="Times New Roman" w:hAnsi="Times New Roman" w:cs="Times New Roman"/>
          <w:color w:val="000000" w:themeColor="text1"/>
        </w:rPr>
        <w:t xml:space="preserve"> gets closer to zero as </w:t>
      </w:r>
      <m:oMath>
        <m:r>
          <w:rPr>
            <w:rFonts w:ascii="Cambria Math" w:hAnsi="Cambria Math" w:cs="Times New Roman"/>
            <w:color w:val="000000" w:themeColor="text1"/>
          </w:rPr>
          <m:t>ln(a)</m:t>
        </m:r>
      </m:oMath>
      <w:r w:rsidRPr="008B73D4">
        <w:rPr>
          <w:rFonts w:ascii="Times New Roman" w:hAnsi="Times New Roman" w:cs="Times New Roman"/>
          <w:color w:val="000000" w:themeColor="text1"/>
        </w:rPr>
        <w:t xml:space="preserve"> becomes more negative. Histograms show that the distribution of annual values of </w:t>
      </w:r>
      <m:oMath>
        <m:r>
          <w:rPr>
            <w:rFonts w:ascii="Cambria Math" w:hAnsi="Cambria Math" w:cs="Times New Roman"/>
            <w:color w:val="000000" w:themeColor="text1"/>
          </w:rPr>
          <m:t>ln(a)</m:t>
        </m:r>
      </m:oMath>
      <w:r w:rsidRPr="008B73D4">
        <w:rPr>
          <w:rFonts w:ascii="Times New Roman" w:hAnsi="Times New Roman" w:cs="Times New Roman"/>
          <w:color w:val="000000" w:themeColor="text1"/>
        </w:rPr>
        <w:t xml:space="preserve"> and </w:t>
      </w:r>
      <m:oMath>
        <m:r>
          <w:rPr>
            <w:rFonts w:ascii="Cambria Math" w:hAnsi="Cambria Math" w:cs="Times New Roman"/>
            <w:color w:val="000000" w:themeColor="text1"/>
          </w:rPr>
          <m:t>b</m:t>
        </m:r>
      </m:oMath>
      <w:r w:rsidRPr="008B73D4">
        <w:rPr>
          <w:rFonts w:ascii="Times New Roman" w:hAnsi="Times New Roman" w:cs="Times New Roman"/>
          <w:color w:val="000000" w:themeColor="text1"/>
        </w:rPr>
        <w:t xml:space="preserve"> for the 6</w:t>
      </w:r>
      <w:r w:rsidR="00E06476">
        <w:rPr>
          <w:rFonts w:ascii="Times New Roman" w:hAnsi="Times New Roman" w:cs="Times New Roman"/>
          <w:color w:val="000000" w:themeColor="text1"/>
        </w:rPr>
        <w:t>4</w:t>
      </w:r>
      <w:r w:rsidRPr="008B73D4">
        <w:rPr>
          <w:rFonts w:ascii="Times New Roman" w:hAnsi="Times New Roman" w:cs="Times New Roman"/>
          <w:color w:val="000000" w:themeColor="text1"/>
        </w:rPr>
        <w:t xml:space="preserve"> stations was not a normal distribution </w:t>
      </w:r>
      <w:r w:rsidRPr="008B73D4">
        <w:rPr>
          <w:rFonts w:ascii="Times New Roman" w:hAnsi="Times New Roman" w:cs="Times New Roman"/>
        </w:rPr>
        <w:t>(Figure 5-1, Figure 5-2)</w:t>
      </w:r>
      <w:r w:rsidRPr="008B73D4">
        <w:rPr>
          <w:rFonts w:ascii="Times New Roman" w:hAnsi="Times New Roman" w:cs="Times New Roman"/>
          <w:color w:val="000000" w:themeColor="text1"/>
        </w:rPr>
        <w:t>. The Shapiro-</w:t>
      </w:r>
      <w:proofErr w:type="spellStart"/>
      <w:r w:rsidRPr="008B73D4">
        <w:rPr>
          <w:rFonts w:ascii="Times New Roman" w:hAnsi="Times New Roman" w:cs="Times New Roman"/>
          <w:color w:val="000000" w:themeColor="text1"/>
        </w:rPr>
        <w:t>Wilk</w:t>
      </w:r>
      <w:proofErr w:type="spellEnd"/>
      <w:r w:rsidRPr="008B73D4">
        <w:rPr>
          <w:rFonts w:ascii="Times New Roman" w:hAnsi="Times New Roman" w:cs="Times New Roman"/>
          <w:color w:val="000000" w:themeColor="text1"/>
        </w:rPr>
        <w:t xml:space="preserve"> test confirmed this conclusion (P &lt; 0.001).</w:t>
      </w:r>
      <w:r w:rsidRPr="008B73D4">
        <w:rPr>
          <w:rFonts w:ascii="Times New Roman" w:hAnsi="Times New Roman" w:cs="Times New Roman"/>
        </w:rPr>
        <w:t xml:space="preserve"> At the annual level, the coefficient </w:t>
      </w:r>
      <m:oMath>
        <m:r>
          <w:rPr>
            <w:rFonts w:ascii="Cambria Math" w:hAnsi="Cambria Math" w:cs="Times New Roman"/>
          </w:rPr>
          <m:t>a</m:t>
        </m:r>
      </m:oMath>
      <w:r w:rsidRPr="008B73D4">
        <w:rPr>
          <w:rFonts w:ascii="Times New Roman" w:hAnsi="Times New Roman" w:cs="Times New Roman"/>
        </w:rPr>
        <w:t xml:space="preserve"> varied from 0 to 0.254 </w:t>
      </w:r>
      <w:r w:rsidRPr="008B73D4">
        <w:rPr>
          <w:rFonts w:ascii="Times New Roman" w:eastAsiaTheme="minorEastAsia" w:hAnsi="Times New Roman" w:cs="Times New Roman"/>
        </w:rPr>
        <w:t>(kg/s</w:t>
      </w:r>
      <w:proofErr w:type="gramStart"/>
      <w:r w:rsidRPr="008B73D4">
        <w:rPr>
          <w:rFonts w:ascii="Times New Roman" w:eastAsiaTheme="minorEastAsia" w:hAnsi="Times New Roman" w:cs="Times New Roman"/>
        </w:rPr>
        <w:t>)(</w:t>
      </w:r>
      <w:proofErr w:type="gramEnd"/>
      <w:r w:rsidRPr="008B73D4">
        <w:rPr>
          <w:rFonts w:ascii="Times New Roman" w:eastAsiaTheme="minorEastAsia" w:hAnsi="Times New Roman" w:cs="Times New Roman"/>
        </w:rPr>
        <w:t>s/m</w:t>
      </w:r>
      <w:r w:rsidRPr="008B73D4">
        <w:rPr>
          <w:rFonts w:ascii="Times New Roman" w:eastAsiaTheme="minorEastAsia" w:hAnsi="Times New Roman" w:cs="Times New Roman"/>
          <w:vertAlign w:val="superscript"/>
        </w:rPr>
        <w:t>3</w:t>
      </w:r>
      <w:r w:rsidRPr="008B73D4">
        <w:rPr>
          <w:rFonts w:ascii="Times New Roman" w:eastAsiaTheme="minorEastAsia" w:hAnsi="Times New Roman" w:cs="Times New Roman"/>
        </w:rPr>
        <w:t>)</w:t>
      </w:r>
      <w:r w:rsidRPr="008B73D4">
        <w:rPr>
          <w:rFonts w:ascii="Times New Roman" w:eastAsiaTheme="minorEastAsia" w:hAnsi="Times New Roman" w:cs="Times New Roman"/>
          <w:vertAlign w:val="superscript"/>
        </w:rPr>
        <w:t>b</w:t>
      </w:r>
      <w:r w:rsidRPr="008B73D4">
        <w:rPr>
          <w:rFonts w:ascii="Times New Roman" w:hAnsi="Times New Roman" w:cs="Times New Roman"/>
        </w:rPr>
        <w:t xml:space="preserve">, while the range of the rating exponent </w:t>
      </w:r>
      <m:oMath>
        <m:r>
          <w:rPr>
            <w:rFonts w:ascii="Cambria Math" w:hAnsi="Cambria Math" w:cs="Times New Roman"/>
          </w:rPr>
          <m:t>b</m:t>
        </m:r>
      </m:oMath>
      <w:r w:rsidRPr="008B73D4">
        <w:rPr>
          <w:rFonts w:ascii="Times New Roman" w:hAnsi="Times New Roman" w:cs="Times New Roman"/>
        </w:rPr>
        <w:t xml:space="preserve"> was from 0.61 to 4.27 (dimensionless). The distribution of the annual coefficient </w:t>
      </w:r>
      <m:oMath>
        <m:r>
          <w:rPr>
            <w:rFonts w:ascii="Cambria Math" w:hAnsi="Cambria Math" w:cs="Times New Roman"/>
          </w:rPr>
          <m:t>a</m:t>
        </m:r>
      </m:oMath>
      <w:r w:rsidRPr="008B73D4">
        <w:rPr>
          <w:rFonts w:ascii="Times New Roman" w:hAnsi="Times New Roman" w:cs="Times New Roman"/>
        </w:rPr>
        <w:t xml:space="preserve"> is righ</w:t>
      </w:r>
      <w:r w:rsidR="00DC6A88">
        <w:rPr>
          <w:rFonts w:ascii="Times New Roman" w:hAnsi="Times New Roman" w:cs="Times New Roman"/>
        </w:rPr>
        <w:t>t-skewed, with the mean of 0.023</w:t>
      </w:r>
      <w:r w:rsidRPr="008B73D4">
        <w:rPr>
          <w:rFonts w:ascii="Times New Roman" w:hAnsi="Times New Roman" w:cs="Times New Roman"/>
        </w:rPr>
        <w:t xml:space="preserve"> and the median of 0.002 (Figure 5-3). </w:t>
      </w:r>
    </w:p>
    <w:p w:rsidR="008B73D4" w:rsidRPr="008B73D4" w:rsidRDefault="008B73D4" w:rsidP="00A91D8F">
      <w:pPr>
        <w:spacing w:line="480" w:lineRule="auto"/>
        <w:ind w:firstLine="720"/>
        <w:jc w:val="both"/>
        <w:rPr>
          <w:rFonts w:ascii="Times New Roman" w:hAnsi="Times New Roman" w:cs="Times New Roman"/>
        </w:rPr>
      </w:pPr>
      <w:r w:rsidRPr="008B73D4">
        <w:rPr>
          <w:rFonts w:ascii="Times New Roman" w:hAnsi="Times New Roman" w:cs="Times New Roman"/>
        </w:rPr>
        <w:t xml:space="preserve">On the other hand, histograms show that monthly values of </w:t>
      </w:r>
      <m:oMath>
        <m:r>
          <w:rPr>
            <w:rFonts w:ascii="Cambria Math" w:hAnsi="Cambria Math" w:cs="Times New Roman"/>
            <w:color w:val="000000" w:themeColor="text1"/>
          </w:rPr>
          <m:t>ln(a)</m:t>
        </m:r>
      </m:oMath>
      <w:r w:rsidRPr="008B73D4">
        <w:rPr>
          <w:rFonts w:ascii="Times New Roman" w:hAnsi="Times New Roman" w:cs="Times New Roman"/>
          <w:color w:val="000000" w:themeColor="text1"/>
        </w:rPr>
        <w:t xml:space="preserve"> and </w:t>
      </w:r>
      <m:oMath>
        <m:r>
          <w:rPr>
            <w:rFonts w:ascii="Cambria Math" w:hAnsi="Cambria Math" w:cs="Times New Roman"/>
            <w:color w:val="000000" w:themeColor="text1"/>
          </w:rPr>
          <m:t>b</m:t>
        </m:r>
      </m:oMath>
      <w:r w:rsidRPr="008B73D4">
        <w:rPr>
          <w:rFonts w:ascii="Times New Roman" w:hAnsi="Times New Roman" w:cs="Times New Roman"/>
        </w:rPr>
        <w:t xml:space="preserve"> were normally distributed (Figure 5-4, Figure 5-5). The Shapiro-</w:t>
      </w:r>
      <w:proofErr w:type="spellStart"/>
      <w:r w:rsidRPr="008B73D4">
        <w:rPr>
          <w:rFonts w:ascii="Times New Roman" w:hAnsi="Times New Roman" w:cs="Times New Roman"/>
        </w:rPr>
        <w:t>Wilk</w:t>
      </w:r>
      <w:proofErr w:type="spellEnd"/>
      <w:r w:rsidRPr="008B73D4">
        <w:rPr>
          <w:rFonts w:ascii="Times New Roman" w:hAnsi="Times New Roman" w:cs="Times New Roman"/>
        </w:rPr>
        <w:t xml:space="preserve"> test confirmed this observation (P &gt; 0.05). Meanwhile, the distribution of values of the monthly coefficient </w:t>
      </w:r>
      <m:oMath>
        <m:r>
          <w:rPr>
            <w:rFonts w:ascii="Cambria Math" w:hAnsi="Cambria Math" w:cs="Times New Roman"/>
          </w:rPr>
          <m:t>a</m:t>
        </m:r>
      </m:oMath>
      <w:r w:rsidRPr="008B73D4">
        <w:rPr>
          <w:rFonts w:ascii="Times New Roman" w:hAnsi="Times New Roman" w:cs="Times New Roman"/>
        </w:rPr>
        <w:t xml:space="preserve"> is right-skewed (Figure 5-6). Table 5-1 shows the descriptive statistics of the rating parameters derived </w:t>
      </w:r>
      <w:r w:rsidR="00A91D8F">
        <w:rPr>
          <w:rFonts w:ascii="Times New Roman" w:hAnsi="Times New Roman" w:cs="Times New Roman"/>
        </w:rPr>
        <w:t>from the linear regression. Values of the</w:t>
      </w:r>
      <w:r w:rsidRPr="008B73D4">
        <w:rPr>
          <w:rFonts w:ascii="Times New Roman" w:hAnsi="Times New Roman" w:cs="Times New Roman"/>
        </w:rPr>
        <w:t xml:space="preserve"> coefficient </w:t>
      </w:r>
      <m:oMath>
        <m:r>
          <w:rPr>
            <w:rFonts w:ascii="Cambria Math" w:hAnsi="Cambria Math" w:cs="Times New Roman"/>
          </w:rPr>
          <m:t>a</m:t>
        </m:r>
      </m:oMath>
      <w:r w:rsidRPr="008B73D4">
        <w:rPr>
          <w:rFonts w:ascii="Times New Roman" w:hAnsi="Times New Roman" w:cs="Times New Roman"/>
        </w:rPr>
        <w:t xml:space="preserve"> and </w:t>
      </w:r>
      <w:r w:rsidR="00A91D8F">
        <w:rPr>
          <w:rFonts w:ascii="Times New Roman" w:hAnsi="Times New Roman" w:cs="Times New Roman"/>
        </w:rPr>
        <w:t xml:space="preserve">the </w:t>
      </w:r>
      <w:r w:rsidRPr="008B73D4">
        <w:rPr>
          <w:rFonts w:ascii="Times New Roman" w:hAnsi="Times New Roman" w:cs="Times New Roman"/>
        </w:rPr>
        <w:t xml:space="preserve">exponent </w:t>
      </w:r>
      <m:oMath>
        <m:r>
          <w:rPr>
            <w:rFonts w:ascii="Cambria Math" w:hAnsi="Cambria Math" w:cs="Times New Roman"/>
          </w:rPr>
          <m:t>b</m:t>
        </m:r>
      </m:oMath>
      <w:r w:rsidRPr="008B73D4">
        <w:rPr>
          <w:rFonts w:ascii="Times New Roman" w:hAnsi="Times New Roman" w:cs="Times New Roman"/>
        </w:rPr>
        <w:t xml:space="preserve"> at annual and monthly levels for each station are reported in the </w:t>
      </w:r>
      <w:r w:rsidR="00F57B45">
        <w:rPr>
          <w:rFonts w:ascii="Times New Roman" w:hAnsi="Times New Roman" w:cs="Times New Roman"/>
        </w:rPr>
        <w:t>A</w:t>
      </w:r>
      <w:r w:rsidR="00F57B45" w:rsidRPr="008B73D4">
        <w:rPr>
          <w:rFonts w:ascii="Times New Roman" w:hAnsi="Times New Roman" w:cs="Times New Roman"/>
        </w:rPr>
        <w:t>ppendix</w:t>
      </w:r>
      <w:r w:rsidRPr="008B73D4">
        <w:rPr>
          <w:rFonts w:ascii="Times New Roman" w:hAnsi="Times New Roman" w:cs="Times New Roman"/>
        </w:rPr>
        <w:t>.</w:t>
      </w:r>
    </w:p>
    <w:p w:rsidR="008B73D4" w:rsidRPr="008B73D4" w:rsidRDefault="008B73D4" w:rsidP="008B73D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ind w:firstLine="720"/>
        <w:jc w:val="both"/>
        <w:rPr>
          <w:rFonts w:ascii="Times New Roman" w:hAnsi="Times New Roman" w:cs="Times New Roman"/>
          <w:sz w:val="24"/>
          <w:szCs w:val="24"/>
        </w:rPr>
      </w:pPr>
      <w:r w:rsidRPr="008B73D4">
        <w:rPr>
          <w:rFonts w:ascii="Times New Roman" w:hAnsi="Times New Roman" w:cs="Times New Roman"/>
          <w:sz w:val="24"/>
          <w:szCs w:val="24"/>
        </w:rPr>
        <w:t xml:space="preserve">The exponent </w:t>
      </w:r>
      <m:oMath>
        <m:r>
          <w:rPr>
            <w:rFonts w:ascii="Cambria Math" w:hAnsi="Cambria Math" w:cs="Times New Roman"/>
            <w:sz w:val="24"/>
            <w:szCs w:val="24"/>
          </w:rPr>
          <m:t>b</m:t>
        </m:r>
      </m:oMath>
      <w:r w:rsidRPr="008B73D4">
        <w:rPr>
          <w:rFonts w:ascii="Times New Roman" w:hAnsi="Times New Roman" w:cs="Times New Roman"/>
          <w:sz w:val="24"/>
          <w:szCs w:val="24"/>
        </w:rPr>
        <w:t xml:space="preserve"> also shows the shape of the suspended sediment rating curve. Depending upon the value of </w:t>
      </w:r>
      <w:proofErr w:type="gramStart"/>
      <w:r w:rsidRPr="008B73D4">
        <w:rPr>
          <w:rFonts w:ascii="Times New Roman" w:hAnsi="Times New Roman" w:cs="Times New Roman"/>
          <w:sz w:val="24"/>
          <w:szCs w:val="24"/>
        </w:rPr>
        <w:t xml:space="preserve">exponent </w:t>
      </w:r>
      <w:proofErr w:type="gramEnd"/>
      <m:oMath>
        <m:r>
          <w:rPr>
            <w:rFonts w:ascii="Cambria Math" w:hAnsi="Cambria Math" w:cs="Times New Roman"/>
            <w:sz w:val="24"/>
            <w:szCs w:val="24"/>
          </w:rPr>
          <m:t>b</m:t>
        </m:r>
      </m:oMath>
      <w:r w:rsidRPr="008B73D4">
        <w:rPr>
          <w:rFonts w:ascii="Times New Roman" w:hAnsi="Times New Roman" w:cs="Times New Roman"/>
          <w:sz w:val="24"/>
          <w:szCs w:val="24"/>
        </w:rPr>
        <w:t xml:space="preserve">, the shape of the rating curve can change from concave to linear or convex, as specified in the literature review. Figure 5-7 shows the distribution of the shapes of </w:t>
      </w:r>
      <w:r w:rsidRPr="008B73D4">
        <w:rPr>
          <w:rFonts w:ascii="Times New Roman" w:hAnsi="Times New Roman" w:cs="Times New Roman"/>
          <w:sz w:val="24"/>
          <w:szCs w:val="24"/>
        </w:rPr>
        <w:lastRenderedPageBreak/>
        <w:t>the sediment rating curves in the UMRB at the annual level. The dominant form of sediment rating curves in the basin is convex.</w:t>
      </w:r>
    </w:p>
    <w:p w:rsidR="008B73D4" w:rsidRPr="008B73D4" w:rsidRDefault="008B73D4" w:rsidP="008B73D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ind w:firstLine="720"/>
        <w:jc w:val="both"/>
        <w:rPr>
          <w:rFonts w:ascii="Times New Roman" w:hAnsi="Times New Roman" w:cs="Times New Roman"/>
          <w:sz w:val="24"/>
          <w:szCs w:val="24"/>
        </w:rPr>
      </w:pPr>
      <w:r w:rsidRPr="008B73D4">
        <w:rPr>
          <w:rFonts w:ascii="Times New Roman" w:hAnsi="Times New Roman" w:cs="Times New Roman"/>
          <w:sz w:val="24"/>
          <w:szCs w:val="24"/>
        </w:rPr>
        <w:t xml:space="preserve">The Global Moran’s I showed clustering of values of the annual exponent </w:t>
      </w:r>
      <m:oMath>
        <m:r>
          <w:rPr>
            <w:rFonts w:ascii="Cambria Math" w:hAnsi="Cambria Math" w:cs="Times New Roman"/>
            <w:sz w:val="24"/>
            <w:szCs w:val="24"/>
          </w:rPr>
          <m:t>b</m:t>
        </m:r>
      </m:oMath>
      <w:r w:rsidRPr="008B73D4">
        <w:rPr>
          <w:rFonts w:ascii="Times New Roman" w:hAnsi="Times New Roman" w:cs="Times New Roman"/>
          <w:sz w:val="24"/>
          <w:szCs w:val="24"/>
        </w:rPr>
        <w:t xml:space="preserve"> in the region (P &lt; 0.05) (Table 5-2). The Local Moran’s I indicated clustering of high values of the annual exponent </w:t>
      </w:r>
      <m:oMath>
        <m:r>
          <w:rPr>
            <w:rFonts w:ascii="Cambria Math" w:hAnsi="Cambria Math" w:cs="Times New Roman"/>
            <w:sz w:val="24"/>
            <w:szCs w:val="24"/>
          </w:rPr>
          <m:t>b</m:t>
        </m:r>
      </m:oMath>
      <w:r w:rsidRPr="008B73D4">
        <w:rPr>
          <w:rFonts w:ascii="Times New Roman" w:hAnsi="Times New Roman" w:cs="Times New Roman"/>
          <w:sz w:val="24"/>
          <w:szCs w:val="24"/>
        </w:rPr>
        <w:t xml:space="preserve"> at stations located in Pool 5 and Pool 6 in the Mississippi River (Figure 5-8). Global Moran’s I was not significant for coefficient </w:t>
      </w:r>
      <m:oMath>
        <m:r>
          <w:rPr>
            <w:rFonts w:ascii="Cambria Math" w:hAnsi="Cambria Math" w:cs="Times New Roman"/>
            <w:sz w:val="24"/>
            <w:szCs w:val="24"/>
          </w:rPr>
          <m:t>a</m:t>
        </m:r>
      </m:oMath>
      <w:r w:rsidRPr="008B73D4">
        <w:rPr>
          <w:rFonts w:ascii="Times New Roman" w:hAnsi="Times New Roman" w:cs="Times New Roman"/>
          <w:sz w:val="24"/>
          <w:szCs w:val="24"/>
        </w:rPr>
        <w:t xml:space="preserve"> (P &gt; 0.05) (Table 5-3), indicating no significant spatial clustering of values of the coefficient</w:t>
      </w:r>
      <m:oMath>
        <m:r>
          <w:rPr>
            <w:rFonts w:ascii="Cambria Math" w:hAnsi="Cambria Math" w:cs="Times New Roman"/>
            <w:sz w:val="24"/>
            <w:szCs w:val="24"/>
          </w:rPr>
          <m:t xml:space="preserve">  a</m:t>
        </m:r>
      </m:oMath>
      <w:r w:rsidRPr="008B73D4">
        <w:rPr>
          <w:rFonts w:ascii="Times New Roman" w:hAnsi="Times New Roman" w:cs="Times New Roman"/>
          <w:sz w:val="24"/>
          <w:szCs w:val="24"/>
        </w:rPr>
        <w:t>.</w:t>
      </w:r>
    </w:p>
    <w:p w:rsidR="00E06063" w:rsidRPr="00523FFD" w:rsidRDefault="00E06063" w:rsidP="00F952FE">
      <w:pPr>
        <w:pStyle w:val="Heading2"/>
        <w:numPr>
          <w:ilvl w:val="0"/>
          <w:numId w:val="39"/>
        </w:numPr>
        <w:ind w:left="360"/>
      </w:pPr>
      <w:bookmarkStart w:id="80" w:name="_Toc394525570"/>
      <w:r w:rsidRPr="00523FFD">
        <w:t xml:space="preserve">The relationship between </w:t>
      </w:r>
      <m:oMath>
        <m:r>
          <m:rPr>
            <m:sty m:val="bi"/>
          </m:rPr>
          <w:rPr>
            <w:rFonts w:ascii="Cambria Math" w:hAnsi="Cambria Math"/>
          </w:rPr>
          <m:t>ln</m:t>
        </m:r>
        <m:r>
          <m:rPr>
            <m:sty m:val="b"/>
          </m:rPr>
          <w:rPr>
            <w:rFonts w:ascii="Cambria Math" w:hAnsi="Cambria Math"/>
          </w:rPr>
          <m:t>(</m:t>
        </m:r>
        <m:r>
          <m:rPr>
            <m:sty m:val="bi"/>
          </m:rPr>
          <w:rPr>
            <w:rFonts w:ascii="Cambria Math" w:hAnsi="Cambria Math"/>
          </w:rPr>
          <m:t>a</m:t>
        </m:r>
        <m:r>
          <m:rPr>
            <m:sty m:val="b"/>
          </m:rPr>
          <w:rPr>
            <w:rFonts w:ascii="Cambria Math" w:hAnsi="Cambria Math"/>
          </w:rPr>
          <m:t>)</m:t>
        </m:r>
      </m:oMath>
      <w:r w:rsidRPr="00523FFD">
        <w:t xml:space="preserve"> and </w:t>
      </w:r>
      <m:oMath>
        <m:r>
          <m:rPr>
            <m:sty m:val="bi"/>
          </m:rPr>
          <w:rPr>
            <w:rFonts w:ascii="Cambria Math" w:hAnsi="Cambria Math"/>
          </w:rPr>
          <m:t>b</m:t>
        </m:r>
      </m:oMath>
      <w:r w:rsidRPr="00523FFD">
        <w:t xml:space="preserve"> at annual and monthly levels</w:t>
      </w:r>
      <w:bookmarkEnd w:id="80"/>
    </w:p>
    <w:p w:rsidR="008B73D4" w:rsidRPr="00854E06" w:rsidRDefault="008B73D4" w:rsidP="008B73D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ind w:firstLine="720"/>
        <w:jc w:val="both"/>
        <w:rPr>
          <w:rFonts w:asciiTheme="majorBidi" w:hAnsiTheme="majorBidi" w:cstheme="majorBidi"/>
          <w:sz w:val="24"/>
          <w:szCs w:val="24"/>
        </w:rPr>
      </w:pPr>
      <w:r w:rsidRPr="00854E06">
        <w:rPr>
          <w:rFonts w:asciiTheme="majorBidi" w:hAnsiTheme="majorBidi" w:cstheme="majorBidi"/>
          <w:sz w:val="24"/>
          <w:szCs w:val="24"/>
        </w:rPr>
        <w:t xml:space="preserve">According to the distribution of the annual and monthly </w:t>
      </w:r>
      <m:oMath>
        <m:r>
          <w:rPr>
            <w:rFonts w:ascii="Cambria Math" w:hAnsi="Cambria Math" w:cstheme="majorBidi"/>
            <w:sz w:val="24"/>
            <w:szCs w:val="24"/>
          </w:rPr>
          <m:t>ln(a)</m:t>
        </m:r>
      </m:oMath>
      <w:r w:rsidRPr="00854E06">
        <w:rPr>
          <w:rFonts w:asciiTheme="majorBidi" w:hAnsiTheme="majorBidi" w:cstheme="majorBidi"/>
          <w:sz w:val="24"/>
          <w:szCs w:val="24"/>
        </w:rPr>
        <w:t xml:space="preserve"> </w:t>
      </w:r>
      <w:proofErr w:type="gramStart"/>
      <w:r w:rsidRPr="00854E06">
        <w:rPr>
          <w:rFonts w:asciiTheme="majorBidi" w:hAnsiTheme="majorBidi" w:cstheme="majorBidi"/>
          <w:sz w:val="24"/>
          <w:szCs w:val="24"/>
        </w:rPr>
        <w:t xml:space="preserve">and </w:t>
      </w:r>
      <w:proofErr w:type="gramEnd"/>
      <m:oMath>
        <m:r>
          <w:rPr>
            <w:rFonts w:ascii="Cambria Math" w:hAnsi="Cambria Math" w:cstheme="majorBidi"/>
            <w:sz w:val="24"/>
            <w:szCs w:val="24"/>
          </w:rPr>
          <m:t>b</m:t>
        </m:r>
      </m:oMath>
      <w:r w:rsidRPr="00854E06">
        <w:rPr>
          <w:rFonts w:asciiTheme="majorBidi" w:hAnsiTheme="majorBidi" w:cstheme="majorBidi"/>
          <w:sz w:val="24"/>
          <w:szCs w:val="24"/>
        </w:rPr>
        <w:t xml:space="preserve">, I applied the appropriate correlation test to each pair of parameters. </w:t>
      </w:r>
      <w:proofErr w:type="gramStart"/>
      <w:r w:rsidRPr="00854E06">
        <w:rPr>
          <w:rFonts w:asciiTheme="majorBidi" w:hAnsiTheme="majorBidi" w:cstheme="majorBidi"/>
          <w:sz w:val="24"/>
          <w:szCs w:val="24"/>
        </w:rPr>
        <w:t xml:space="preserve">Significant Spearman correlation coefficients of </w:t>
      </w:r>
      <m:oMath>
        <m:r>
          <w:rPr>
            <w:rFonts w:ascii="Cambria Math" w:hAnsi="Cambria Math" w:cstheme="majorBidi"/>
            <w:sz w:val="24"/>
            <w:szCs w:val="24"/>
          </w:rPr>
          <m:t>ln(a)</m:t>
        </m:r>
      </m:oMath>
      <w:r w:rsidRPr="00854E06">
        <w:rPr>
          <w:rFonts w:asciiTheme="majorBidi" w:hAnsiTheme="majorBidi" w:cstheme="majorBidi"/>
          <w:sz w:val="24"/>
          <w:szCs w:val="24"/>
        </w:rPr>
        <w:t xml:space="preserve"> and </w:t>
      </w:r>
      <m:oMath>
        <m:r>
          <w:rPr>
            <w:rFonts w:ascii="Cambria Math" w:hAnsi="Cambria Math" w:cstheme="majorBidi"/>
            <w:sz w:val="24"/>
            <w:szCs w:val="24"/>
          </w:rPr>
          <m:t>b</m:t>
        </m:r>
      </m:oMath>
      <w:r w:rsidRPr="00854E06">
        <w:rPr>
          <w:rFonts w:asciiTheme="majorBidi" w:hAnsiTheme="majorBidi" w:cstheme="majorBidi"/>
          <w:sz w:val="24"/>
          <w:szCs w:val="24"/>
        </w:rPr>
        <w:t xml:space="preserve"> at annual and monthly levels range from -0.966 to -0.450 (Table 5-3).</w:t>
      </w:r>
      <w:proofErr w:type="gramEnd"/>
      <w:r w:rsidRPr="00854E06">
        <w:rPr>
          <w:rFonts w:asciiTheme="majorBidi" w:hAnsiTheme="majorBidi" w:cstheme="majorBidi"/>
          <w:sz w:val="24"/>
          <w:szCs w:val="24"/>
        </w:rPr>
        <w:t xml:space="preserve"> The Spearman correlation coefficient (</w:t>
      </w:r>
      <w:proofErr w:type="spellStart"/>
      <w:r w:rsidRPr="00854E06">
        <w:rPr>
          <w:rFonts w:asciiTheme="majorBidi" w:hAnsiTheme="majorBidi" w:cstheme="majorBidi"/>
          <w:sz w:val="24"/>
          <w:szCs w:val="24"/>
        </w:rPr>
        <w:t>r</w:t>
      </w:r>
      <w:r w:rsidRPr="00854E06">
        <w:rPr>
          <w:rFonts w:asciiTheme="majorBidi" w:hAnsiTheme="majorBidi" w:cstheme="majorBidi"/>
          <w:sz w:val="24"/>
          <w:szCs w:val="24"/>
          <w:vertAlign w:val="subscript"/>
        </w:rPr>
        <w:t>s</w:t>
      </w:r>
      <w:proofErr w:type="spellEnd"/>
      <w:r w:rsidRPr="00854E06">
        <w:rPr>
          <w:rFonts w:asciiTheme="majorBidi" w:hAnsiTheme="majorBidi" w:cstheme="majorBidi"/>
          <w:sz w:val="24"/>
          <w:szCs w:val="24"/>
        </w:rPr>
        <w:t xml:space="preserve">) shows a negative correlation between annual </w:t>
      </w:r>
      <m:oMath>
        <m:r>
          <w:rPr>
            <w:rFonts w:ascii="Cambria Math" w:hAnsi="Cambria Math" w:cstheme="majorBidi"/>
            <w:sz w:val="24"/>
            <w:szCs w:val="24"/>
          </w:rPr>
          <m:t xml:space="preserve">ln(a) </m:t>
        </m:r>
      </m:oMath>
      <w:r w:rsidRPr="00854E06">
        <w:rPr>
          <w:rFonts w:asciiTheme="majorBidi" w:hAnsiTheme="majorBidi" w:cstheme="majorBidi"/>
          <w:sz w:val="24"/>
          <w:szCs w:val="24"/>
        </w:rPr>
        <w:t xml:space="preserve">and </w:t>
      </w:r>
      <m:oMath>
        <m:r>
          <w:rPr>
            <w:rFonts w:ascii="Cambria Math" w:hAnsi="Cambria Math" w:cstheme="majorBidi"/>
            <w:sz w:val="24"/>
            <w:szCs w:val="24"/>
          </w:rPr>
          <m:t>b</m:t>
        </m:r>
      </m:oMath>
      <w:r w:rsidRPr="00854E06">
        <w:rPr>
          <w:rFonts w:asciiTheme="majorBidi" w:hAnsiTheme="majorBidi" w:cstheme="majorBidi"/>
          <w:sz w:val="24"/>
          <w:szCs w:val="24"/>
        </w:rPr>
        <w:t xml:space="preserve"> (Figure 5-</w:t>
      </w:r>
      <w:r>
        <w:rPr>
          <w:rFonts w:asciiTheme="majorBidi" w:hAnsiTheme="majorBidi" w:cstheme="majorBidi"/>
          <w:sz w:val="24"/>
          <w:szCs w:val="24"/>
        </w:rPr>
        <w:t>9</w:t>
      </w:r>
      <w:r w:rsidRPr="00854E06">
        <w:rPr>
          <w:rFonts w:asciiTheme="majorBidi" w:hAnsiTheme="majorBidi" w:cstheme="majorBidi"/>
          <w:sz w:val="24"/>
          <w:szCs w:val="24"/>
        </w:rPr>
        <w:t>). The Pearson correlation coefficients (</w:t>
      </w:r>
      <w:proofErr w:type="spellStart"/>
      <w:r w:rsidRPr="00854E06">
        <w:rPr>
          <w:rFonts w:asciiTheme="majorBidi" w:hAnsiTheme="majorBidi" w:cstheme="majorBidi"/>
          <w:sz w:val="24"/>
          <w:szCs w:val="24"/>
        </w:rPr>
        <w:t>r</w:t>
      </w:r>
      <w:r w:rsidRPr="00854E06">
        <w:rPr>
          <w:rFonts w:asciiTheme="majorBidi" w:hAnsiTheme="majorBidi" w:cstheme="majorBidi"/>
          <w:sz w:val="24"/>
          <w:szCs w:val="24"/>
        </w:rPr>
        <w:softHyphen/>
      </w:r>
      <w:r w:rsidRPr="00854E06">
        <w:rPr>
          <w:rFonts w:asciiTheme="majorBidi" w:hAnsiTheme="majorBidi" w:cstheme="majorBidi"/>
          <w:sz w:val="24"/>
          <w:szCs w:val="24"/>
        </w:rPr>
        <w:softHyphen/>
      </w:r>
      <w:r w:rsidRPr="00854E06">
        <w:rPr>
          <w:rFonts w:asciiTheme="majorBidi" w:hAnsiTheme="majorBidi" w:cstheme="majorBidi"/>
          <w:sz w:val="24"/>
          <w:szCs w:val="24"/>
          <w:vertAlign w:val="subscript"/>
        </w:rPr>
        <w:t>p</w:t>
      </w:r>
      <w:proofErr w:type="spellEnd"/>
      <w:r w:rsidRPr="00854E06">
        <w:rPr>
          <w:rFonts w:asciiTheme="majorBidi" w:hAnsiTheme="majorBidi" w:cstheme="majorBidi"/>
          <w:sz w:val="24"/>
          <w:szCs w:val="24"/>
        </w:rPr>
        <w:t xml:space="preserve">) also show a negative correlation between the monthly values of </w:t>
      </w:r>
      <m:oMath>
        <m:r>
          <w:rPr>
            <w:rFonts w:ascii="Cambria Math" w:hAnsi="Cambria Math" w:cstheme="majorBidi"/>
            <w:sz w:val="24"/>
            <w:szCs w:val="24"/>
          </w:rPr>
          <m:t>ln(a)</m:t>
        </m:r>
      </m:oMath>
      <w:r w:rsidRPr="00854E06">
        <w:rPr>
          <w:rFonts w:asciiTheme="majorBidi" w:hAnsiTheme="majorBidi" w:cstheme="majorBidi"/>
          <w:sz w:val="24"/>
          <w:szCs w:val="24"/>
        </w:rPr>
        <w:t xml:space="preserve"> and </w:t>
      </w:r>
      <m:oMath>
        <m:r>
          <w:rPr>
            <w:rFonts w:ascii="Cambria Math" w:hAnsi="Cambria Math" w:cstheme="majorBidi"/>
            <w:sz w:val="24"/>
            <w:szCs w:val="24"/>
          </w:rPr>
          <m:t>b</m:t>
        </m:r>
      </m:oMath>
      <w:r w:rsidRPr="00854E06">
        <w:rPr>
          <w:rFonts w:asciiTheme="majorBidi" w:hAnsiTheme="majorBidi" w:cstheme="majorBidi"/>
          <w:sz w:val="24"/>
          <w:szCs w:val="24"/>
        </w:rPr>
        <w:t xml:space="preserve"> (Figure 5-</w:t>
      </w:r>
      <w:r>
        <w:rPr>
          <w:rFonts w:asciiTheme="majorBidi" w:hAnsiTheme="majorBidi" w:cstheme="majorBidi"/>
          <w:sz w:val="24"/>
          <w:szCs w:val="24"/>
        </w:rPr>
        <w:t>10</w:t>
      </w:r>
      <w:r w:rsidRPr="00854E06">
        <w:rPr>
          <w:rFonts w:asciiTheme="majorBidi" w:hAnsiTheme="majorBidi" w:cstheme="majorBidi"/>
          <w:sz w:val="24"/>
          <w:szCs w:val="24"/>
        </w:rPr>
        <w:t xml:space="preserve">). </w:t>
      </w:r>
    </w:p>
    <w:p w:rsidR="008B73D4" w:rsidRPr="00854E06" w:rsidRDefault="008B73D4" w:rsidP="008B73D4">
      <w:pPr>
        <w:pStyle w:val="HTMLPreformatted"/>
        <w:spacing w:before="120" w:after="120" w:line="480" w:lineRule="auto"/>
        <w:ind w:firstLine="720"/>
        <w:jc w:val="both"/>
        <w:rPr>
          <w:rFonts w:asciiTheme="majorBidi" w:hAnsiTheme="majorBidi" w:cstheme="majorBidi"/>
          <w:b/>
          <w:bCs/>
          <w:sz w:val="24"/>
          <w:szCs w:val="24"/>
        </w:rPr>
      </w:pPr>
      <w:r w:rsidRPr="00854E06">
        <w:rPr>
          <w:rFonts w:asciiTheme="majorBidi" w:hAnsiTheme="majorBidi" w:cstheme="majorBidi"/>
          <w:sz w:val="24"/>
          <w:szCs w:val="24"/>
        </w:rPr>
        <w:t xml:space="preserve">Further analysis showed that the correlation between </w:t>
      </w:r>
      <m:oMath>
        <m:r>
          <w:rPr>
            <w:rFonts w:ascii="Cambria Math" w:hAnsi="Cambria Math" w:cstheme="majorBidi"/>
            <w:sz w:val="24"/>
            <w:szCs w:val="24"/>
          </w:rPr>
          <m:t>ln(a)</m:t>
        </m:r>
      </m:oMath>
      <w:r w:rsidRPr="00854E06">
        <w:rPr>
          <w:rFonts w:asciiTheme="majorBidi" w:hAnsiTheme="majorBidi" w:cstheme="majorBidi"/>
          <w:sz w:val="24"/>
          <w:szCs w:val="24"/>
        </w:rPr>
        <w:t xml:space="preserve"> and </w:t>
      </w:r>
      <m:oMath>
        <m:r>
          <w:rPr>
            <w:rFonts w:ascii="Cambria Math" w:hAnsi="Cambria Math" w:cstheme="majorBidi"/>
            <w:sz w:val="24"/>
            <w:szCs w:val="24"/>
          </w:rPr>
          <m:t>b</m:t>
        </m:r>
      </m:oMath>
      <w:r w:rsidRPr="00854E06">
        <w:rPr>
          <w:rFonts w:asciiTheme="majorBidi" w:hAnsiTheme="majorBidi" w:cstheme="majorBidi"/>
          <w:sz w:val="24"/>
          <w:szCs w:val="24"/>
        </w:rPr>
        <w:t xml:space="preserve"> varied with stream size. I used the median value of annual stream discharge to categorize stream size. Streams with annual median discharge in the third and fourth quartiles were categorized as large streams (218 to 6596 m</w:t>
      </w:r>
      <w:r w:rsidRPr="00854E06">
        <w:rPr>
          <w:rFonts w:asciiTheme="majorBidi" w:hAnsiTheme="majorBidi" w:cstheme="majorBidi"/>
          <w:sz w:val="24"/>
          <w:szCs w:val="24"/>
          <w:vertAlign w:val="superscript"/>
        </w:rPr>
        <w:t>3</w:t>
      </w:r>
      <w:r w:rsidRPr="00854E06">
        <w:rPr>
          <w:rFonts w:asciiTheme="majorBidi" w:hAnsiTheme="majorBidi" w:cstheme="majorBidi"/>
          <w:sz w:val="24"/>
          <w:szCs w:val="24"/>
        </w:rPr>
        <w:t xml:space="preserve">/s) and the rest as small streams </w:t>
      </w:r>
      <w:proofErr w:type="gramStart"/>
      <w:r w:rsidRPr="00854E06">
        <w:rPr>
          <w:rFonts w:asciiTheme="majorBidi" w:hAnsiTheme="majorBidi" w:cstheme="majorBidi"/>
          <w:sz w:val="24"/>
          <w:szCs w:val="24"/>
        </w:rPr>
        <w:t xml:space="preserve">(2 to </w:t>
      </w:r>
      <w:r>
        <w:rPr>
          <w:rFonts w:asciiTheme="majorBidi" w:hAnsiTheme="majorBidi" w:cstheme="majorBidi"/>
          <w:sz w:val="24"/>
          <w:szCs w:val="24"/>
        </w:rPr>
        <w:t>218</w:t>
      </w:r>
      <w:r w:rsidRPr="00854E06">
        <w:rPr>
          <w:rFonts w:asciiTheme="majorBidi" w:hAnsiTheme="majorBidi" w:cstheme="majorBidi"/>
          <w:sz w:val="24"/>
          <w:szCs w:val="24"/>
        </w:rPr>
        <w:t xml:space="preserve"> m</w:t>
      </w:r>
      <w:r w:rsidRPr="00854E06">
        <w:rPr>
          <w:rFonts w:asciiTheme="majorBidi" w:hAnsiTheme="majorBidi" w:cstheme="majorBidi"/>
          <w:sz w:val="24"/>
          <w:szCs w:val="24"/>
          <w:vertAlign w:val="superscript"/>
        </w:rPr>
        <w:t>3</w:t>
      </w:r>
      <w:r w:rsidRPr="00854E06">
        <w:rPr>
          <w:rFonts w:asciiTheme="majorBidi" w:hAnsiTheme="majorBidi" w:cstheme="majorBidi"/>
          <w:sz w:val="24"/>
          <w:szCs w:val="24"/>
        </w:rPr>
        <w:t>/s)</w:t>
      </w:r>
      <w:proofErr w:type="gramEnd"/>
      <w:r w:rsidRPr="00854E06">
        <w:rPr>
          <w:rFonts w:asciiTheme="majorBidi" w:hAnsiTheme="majorBidi" w:cstheme="majorBidi"/>
          <w:sz w:val="24"/>
          <w:szCs w:val="24"/>
        </w:rPr>
        <w:t>. At the annual level, the correlation (</w:t>
      </w:r>
      <w:proofErr w:type="spellStart"/>
      <w:r w:rsidRPr="00854E06">
        <w:rPr>
          <w:rFonts w:asciiTheme="majorBidi" w:hAnsiTheme="majorBidi" w:cstheme="majorBidi"/>
          <w:sz w:val="24"/>
          <w:szCs w:val="24"/>
        </w:rPr>
        <w:t>r</w:t>
      </w:r>
      <w:r w:rsidRPr="00854E06">
        <w:rPr>
          <w:rFonts w:asciiTheme="majorBidi" w:hAnsiTheme="majorBidi" w:cstheme="majorBidi"/>
          <w:sz w:val="24"/>
          <w:szCs w:val="24"/>
          <w:vertAlign w:val="subscript"/>
        </w:rPr>
        <w:t>s</w:t>
      </w:r>
      <w:proofErr w:type="spellEnd"/>
      <w:r w:rsidRPr="00854E06">
        <w:rPr>
          <w:rFonts w:asciiTheme="majorBidi" w:hAnsiTheme="majorBidi" w:cstheme="majorBidi"/>
          <w:sz w:val="24"/>
          <w:szCs w:val="24"/>
        </w:rPr>
        <w:t xml:space="preserve">) of </w:t>
      </w:r>
      <m:oMath>
        <m:r>
          <w:rPr>
            <w:rFonts w:ascii="Cambria Math" w:hAnsi="Cambria Math" w:cstheme="majorBidi"/>
            <w:sz w:val="24"/>
            <w:szCs w:val="24"/>
          </w:rPr>
          <m:t>ln(a)</m:t>
        </m:r>
      </m:oMath>
      <w:r w:rsidRPr="00854E06">
        <w:rPr>
          <w:rFonts w:asciiTheme="majorBidi" w:hAnsiTheme="majorBidi" w:cstheme="majorBidi"/>
          <w:sz w:val="24"/>
          <w:szCs w:val="24"/>
        </w:rPr>
        <w:t xml:space="preserve"> and </w:t>
      </w:r>
      <m:oMath>
        <m:r>
          <w:rPr>
            <w:rFonts w:ascii="Cambria Math" w:hAnsi="Cambria Math" w:cstheme="majorBidi"/>
            <w:sz w:val="24"/>
            <w:szCs w:val="24"/>
          </w:rPr>
          <m:t>b</m:t>
        </m:r>
      </m:oMath>
      <w:r w:rsidRPr="00854E06">
        <w:rPr>
          <w:rFonts w:asciiTheme="majorBidi" w:hAnsiTheme="majorBidi" w:cstheme="majorBidi"/>
          <w:sz w:val="24"/>
          <w:szCs w:val="24"/>
        </w:rPr>
        <w:t xml:space="preserve">  in large streams increased significantly compared to when stream of all sizes were considered; while in small streams, it was not significant (P &gt; 0.2) (Figure 5-</w:t>
      </w:r>
      <w:r>
        <w:rPr>
          <w:rFonts w:asciiTheme="majorBidi" w:hAnsiTheme="majorBidi" w:cstheme="majorBidi"/>
          <w:sz w:val="24"/>
          <w:szCs w:val="24"/>
        </w:rPr>
        <w:t>11</w:t>
      </w:r>
      <w:r w:rsidRPr="00854E06">
        <w:rPr>
          <w:rFonts w:asciiTheme="majorBidi" w:hAnsiTheme="majorBidi" w:cstheme="majorBidi"/>
          <w:sz w:val="24"/>
          <w:szCs w:val="24"/>
        </w:rPr>
        <w:t>, Table 5-3).  At the monthly level, the correlation (</w:t>
      </w:r>
      <w:proofErr w:type="spellStart"/>
      <w:r w:rsidRPr="00854E06">
        <w:rPr>
          <w:rFonts w:asciiTheme="majorBidi" w:hAnsiTheme="majorBidi" w:cstheme="majorBidi"/>
          <w:sz w:val="24"/>
          <w:szCs w:val="24"/>
        </w:rPr>
        <w:t>r</w:t>
      </w:r>
      <w:r w:rsidRPr="00854E06">
        <w:rPr>
          <w:rFonts w:asciiTheme="majorBidi" w:hAnsiTheme="majorBidi" w:cstheme="majorBidi"/>
          <w:sz w:val="24"/>
          <w:szCs w:val="24"/>
        </w:rPr>
        <w:softHyphen/>
      </w:r>
      <w:r w:rsidRPr="00854E06">
        <w:rPr>
          <w:rFonts w:asciiTheme="majorBidi" w:hAnsiTheme="majorBidi" w:cstheme="majorBidi"/>
          <w:sz w:val="24"/>
          <w:szCs w:val="24"/>
        </w:rPr>
        <w:softHyphen/>
      </w:r>
      <w:r w:rsidRPr="00854E06">
        <w:rPr>
          <w:rFonts w:asciiTheme="majorBidi" w:hAnsiTheme="majorBidi" w:cstheme="majorBidi"/>
          <w:sz w:val="24"/>
          <w:szCs w:val="24"/>
          <w:vertAlign w:val="subscript"/>
        </w:rPr>
        <w:t>p</w:t>
      </w:r>
      <w:proofErr w:type="spellEnd"/>
      <w:r w:rsidRPr="00854E06">
        <w:rPr>
          <w:rFonts w:asciiTheme="majorBidi" w:hAnsiTheme="majorBidi" w:cstheme="majorBidi"/>
          <w:sz w:val="24"/>
          <w:szCs w:val="24"/>
        </w:rPr>
        <w:t xml:space="preserve">) of </w:t>
      </w:r>
      <m:oMath>
        <m:r>
          <w:rPr>
            <w:rFonts w:ascii="Cambria Math" w:hAnsi="Cambria Math" w:cstheme="majorBidi"/>
            <w:sz w:val="24"/>
            <w:szCs w:val="24"/>
          </w:rPr>
          <m:t>ln(a)</m:t>
        </m:r>
      </m:oMath>
      <w:r w:rsidRPr="00854E06">
        <w:rPr>
          <w:rFonts w:asciiTheme="majorBidi" w:hAnsiTheme="majorBidi" w:cstheme="majorBidi"/>
          <w:sz w:val="24"/>
          <w:szCs w:val="24"/>
        </w:rPr>
        <w:t xml:space="preserve"> and </w:t>
      </w:r>
      <m:oMath>
        <m:r>
          <w:rPr>
            <w:rFonts w:ascii="Cambria Math" w:hAnsi="Cambria Math" w:cstheme="majorBidi"/>
            <w:sz w:val="24"/>
            <w:szCs w:val="24"/>
          </w:rPr>
          <m:t>b</m:t>
        </m:r>
      </m:oMath>
      <w:r w:rsidRPr="00854E06">
        <w:rPr>
          <w:rFonts w:asciiTheme="majorBidi" w:hAnsiTheme="majorBidi" w:cstheme="majorBidi"/>
          <w:sz w:val="24"/>
          <w:szCs w:val="24"/>
        </w:rPr>
        <w:t xml:space="preserve"> was substantially stronger at stations </w:t>
      </w:r>
      <w:r w:rsidRPr="00854E06">
        <w:rPr>
          <w:rFonts w:asciiTheme="majorBidi" w:hAnsiTheme="majorBidi" w:cstheme="majorBidi"/>
          <w:sz w:val="24"/>
          <w:szCs w:val="24"/>
        </w:rPr>
        <w:lastRenderedPageBreak/>
        <w:t>located in large streams (Figure 5-1</w:t>
      </w:r>
      <w:r>
        <w:rPr>
          <w:rFonts w:asciiTheme="majorBidi" w:hAnsiTheme="majorBidi" w:cstheme="majorBidi"/>
          <w:sz w:val="24"/>
          <w:szCs w:val="24"/>
        </w:rPr>
        <w:t>2</w:t>
      </w:r>
      <w:r w:rsidRPr="00854E06">
        <w:rPr>
          <w:rFonts w:asciiTheme="majorBidi" w:hAnsiTheme="majorBidi" w:cstheme="majorBidi"/>
          <w:sz w:val="24"/>
          <w:szCs w:val="24"/>
        </w:rPr>
        <w:t>, Table 5-3). In small streams, this correlation was not significant for most months, except for March, April, and June (Figure 5-1</w:t>
      </w:r>
      <w:r>
        <w:rPr>
          <w:rFonts w:asciiTheme="majorBidi" w:hAnsiTheme="majorBidi" w:cstheme="majorBidi"/>
          <w:sz w:val="24"/>
          <w:szCs w:val="24"/>
        </w:rPr>
        <w:t>3</w:t>
      </w:r>
      <w:r w:rsidRPr="00854E06">
        <w:rPr>
          <w:rFonts w:asciiTheme="majorBidi" w:hAnsiTheme="majorBidi" w:cstheme="majorBidi"/>
          <w:sz w:val="24"/>
          <w:szCs w:val="24"/>
        </w:rPr>
        <w:t xml:space="preserve">, Table 5-3).  </w:t>
      </w:r>
    </w:p>
    <w:p w:rsidR="00E06063" w:rsidRPr="00523FFD" w:rsidRDefault="00523FFD" w:rsidP="00F952FE">
      <w:pPr>
        <w:pStyle w:val="Heading2"/>
        <w:numPr>
          <w:ilvl w:val="0"/>
          <w:numId w:val="39"/>
        </w:numPr>
        <w:ind w:left="360"/>
      </w:pPr>
      <w:bookmarkStart w:id="81" w:name="_Toc394525571"/>
      <w:r>
        <w:t>The association of</w:t>
      </w:r>
      <w:r w:rsidR="00E06063" w:rsidRPr="00523FFD">
        <w:t xml:space="preserve"> rating curve parameters with the mean </w:t>
      </w:r>
      <w:r>
        <w:t xml:space="preserve">stream </w:t>
      </w:r>
      <w:r w:rsidR="00E06063" w:rsidRPr="00523FFD">
        <w:t>discharge</w:t>
      </w:r>
      <w:bookmarkEnd w:id="81"/>
      <w:r w:rsidR="00E06063" w:rsidRPr="00523FFD">
        <w:t xml:space="preserve"> </w:t>
      </w:r>
    </w:p>
    <w:p w:rsidR="008B73D4" w:rsidRPr="008B73D4" w:rsidRDefault="008B73D4" w:rsidP="008B73D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ind w:firstLine="720"/>
        <w:jc w:val="both"/>
        <w:rPr>
          <w:rFonts w:ascii="Times New Roman" w:hAnsi="Times New Roman" w:cs="Times New Roman"/>
          <w:sz w:val="24"/>
          <w:szCs w:val="24"/>
        </w:rPr>
      </w:pPr>
      <w:r w:rsidRPr="008B73D4">
        <w:rPr>
          <w:rFonts w:ascii="Times New Roman" w:hAnsi="Times New Roman" w:cs="Times New Roman"/>
          <w:sz w:val="24"/>
          <w:szCs w:val="24"/>
        </w:rPr>
        <w:t xml:space="preserve">Correlation analysis revealed statistically significant relationships between mean discharge and both rating parameters at annual and monthly levels (Table 5-4). At the annual level, the exponent </w:t>
      </w:r>
      <m:oMath>
        <m:r>
          <w:rPr>
            <w:rFonts w:ascii="Cambria Math" w:hAnsi="Cambria Math" w:cs="Times New Roman"/>
            <w:sz w:val="24"/>
            <w:szCs w:val="24"/>
          </w:rPr>
          <m:t>b</m:t>
        </m:r>
      </m:oMath>
      <w:r w:rsidRPr="008B73D4">
        <w:rPr>
          <w:rFonts w:ascii="Times New Roman" w:hAnsi="Times New Roman" w:cs="Times New Roman"/>
          <w:sz w:val="24"/>
          <w:szCs w:val="24"/>
        </w:rPr>
        <w:t xml:space="preserve">  and mean annual stream discharge showed a weak, positive correlation (r</w:t>
      </w:r>
      <w:r w:rsidRPr="008B73D4">
        <w:rPr>
          <w:rFonts w:ascii="Times New Roman" w:hAnsi="Times New Roman" w:cs="Times New Roman"/>
          <w:sz w:val="24"/>
          <w:szCs w:val="24"/>
          <w:vertAlign w:val="subscript"/>
        </w:rPr>
        <w:t>s</w:t>
      </w:r>
      <w:r w:rsidRPr="008B73D4">
        <w:rPr>
          <w:rFonts w:ascii="Times New Roman" w:hAnsi="Times New Roman" w:cs="Times New Roman"/>
          <w:sz w:val="24"/>
          <w:szCs w:val="24"/>
        </w:rPr>
        <w:t xml:space="preserve"> = 0.251, P &lt; 0.05) (Figure 5-14, Table 5-4). Meanwhile, the </w:t>
      </w:r>
      <w:proofErr w:type="spellStart"/>
      <w:r w:rsidRPr="008B73D4">
        <w:rPr>
          <w:rFonts w:ascii="Times New Roman" w:hAnsi="Times New Roman" w:cs="Times New Roman"/>
          <w:sz w:val="24"/>
          <w:szCs w:val="24"/>
        </w:rPr>
        <w:t>r</w:t>
      </w:r>
      <w:r w:rsidRPr="008B73D4">
        <w:rPr>
          <w:rFonts w:ascii="Times New Roman" w:hAnsi="Times New Roman" w:cs="Times New Roman"/>
          <w:sz w:val="24"/>
          <w:szCs w:val="24"/>
          <w:vertAlign w:val="subscript"/>
        </w:rPr>
        <w:t>s</w:t>
      </w:r>
      <w:proofErr w:type="spellEnd"/>
      <w:r w:rsidRPr="008B73D4">
        <w:rPr>
          <w:rFonts w:ascii="Times New Roman" w:hAnsi="Times New Roman" w:cs="Times New Roman"/>
          <w:sz w:val="24"/>
          <w:szCs w:val="24"/>
        </w:rPr>
        <w:t xml:space="preserve"> showed a negative correlation of annual coefficient </w:t>
      </w:r>
      <m:oMath>
        <m:r>
          <w:rPr>
            <w:rFonts w:ascii="Cambria Math" w:hAnsi="Cambria Math" w:cs="Times New Roman"/>
            <w:sz w:val="24"/>
            <w:szCs w:val="24"/>
          </w:rPr>
          <m:t>a</m:t>
        </m:r>
      </m:oMath>
      <w:r w:rsidRPr="008B73D4">
        <w:rPr>
          <w:rFonts w:ascii="Times New Roman" w:hAnsi="Times New Roman" w:cs="Times New Roman"/>
          <w:sz w:val="24"/>
          <w:szCs w:val="24"/>
        </w:rPr>
        <w:t xml:space="preserve"> with mean annual discharge (P &lt; 0.001, Table 5-4). A scatterplot of mean annual discharge and the annual values of  </w:t>
      </w:r>
      <m:oMath>
        <m:r>
          <w:rPr>
            <w:rFonts w:ascii="Cambria Math" w:hAnsi="Cambria Math" w:cs="Times New Roman"/>
            <w:sz w:val="24"/>
            <w:szCs w:val="24"/>
          </w:rPr>
          <m:t>a</m:t>
        </m:r>
      </m:oMath>
      <w:r w:rsidRPr="008B73D4">
        <w:rPr>
          <w:rFonts w:ascii="Times New Roman" w:hAnsi="Times New Roman" w:cs="Times New Roman"/>
          <w:sz w:val="24"/>
          <w:szCs w:val="24"/>
        </w:rPr>
        <w:t xml:space="preserve"> showed that their relationship is nonlinear (Figure 5-15). </w:t>
      </w:r>
      <w:proofErr w:type="gramStart"/>
      <w:r w:rsidRPr="008B73D4">
        <w:rPr>
          <w:rFonts w:ascii="Times New Roman" w:hAnsi="Times New Roman" w:cs="Times New Roman"/>
          <w:sz w:val="24"/>
          <w:szCs w:val="24"/>
        </w:rPr>
        <w:t xml:space="preserve">The coefficient </w:t>
      </w:r>
      <m:oMath>
        <m:r>
          <w:rPr>
            <w:rFonts w:ascii="Cambria Math" w:hAnsi="Cambria Math" w:cs="Times New Roman"/>
            <w:sz w:val="24"/>
            <w:szCs w:val="24"/>
          </w:rPr>
          <m:t>a</m:t>
        </m:r>
      </m:oMath>
      <w:r w:rsidRPr="008B73D4">
        <w:rPr>
          <w:rFonts w:ascii="Times New Roman" w:hAnsi="Times New Roman" w:cs="Times New Roman"/>
          <w:sz w:val="24"/>
          <w:szCs w:val="24"/>
        </w:rPr>
        <w:t xml:space="preserve"> and the mean annual discharge seem to have a log linear relationship (Figure 5-13).</w:t>
      </w:r>
      <w:proofErr w:type="gramEnd"/>
    </w:p>
    <w:p w:rsidR="008B73D4" w:rsidRPr="008B73D4" w:rsidRDefault="008B73D4" w:rsidP="008B73D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ind w:firstLine="720"/>
        <w:jc w:val="both"/>
        <w:rPr>
          <w:rFonts w:ascii="Times New Roman" w:hAnsi="Times New Roman" w:cs="Times New Roman"/>
          <w:sz w:val="24"/>
          <w:szCs w:val="24"/>
        </w:rPr>
      </w:pPr>
      <w:r w:rsidRPr="008B73D4">
        <w:rPr>
          <w:rFonts w:ascii="Times New Roman" w:hAnsi="Times New Roman" w:cs="Times New Roman"/>
          <w:sz w:val="24"/>
          <w:szCs w:val="24"/>
        </w:rPr>
        <w:t xml:space="preserve">At the monthly level, the </w:t>
      </w:r>
      <w:proofErr w:type="spellStart"/>
      <w:r w:rsidRPr="008B73D4">
        <w:rPr>
          <w:rFonts w:ascii="Times New Roman" w:hAnsi="Times New Roman" w:cs="Times New Roman"/>
          <w:sz w:val="24"/>
          <w:szCs w:val="24"/>
        </w:rPr>
        <w:t>r</w:t>
      </w:r>
      <w:r w:rsidRPr="008B73D4">
        <w:rPr>
          <w:rFonts w:ascii="Times New Roman" w:hAnsi="Times New Roman" w:cs="Times New Roman"/>
          <w:sz w:val="24"/>
          <w:szCs w:val="24"/>
          <w:vertAlign w:val="subscript"/>
        </w:rPr>
        <w:t>s</w:t>
      </w:r>
      <w:proofErr w:type="spellEnd"/>
      <w:r w:rsidRPr="008B73D4">
        <w:rPr>
          <w:rFonts w:ascii="Times New Roman" w:hAnsi="Times New Roman" w:cs="Times New Roman"/>
          <w:sz w:val="24"/>
          <w:szCs w:val="24"/>
        </w:rPr>
        <w:t xml:space="preserve"> between coefficient </w:t>
      </w:r>
      <m:oMath>
        <m:r>
          <w:rPr>
            <w:rFonts w:ascii="Cambria Math" w:hAnsi="Cambria Math" w:cs="Times New Roman"/>
            <w:sz w:val="24"/>
            <w:szCs w:val="24"/>
          </w:rPr>
          <m:t>a</m:t>
        </m:r>
      </m:oMath>
      <w:r w:rsidRPr="008B73D4" w:rsidDel="009F633A">
        <w:rPr>
          <w:rFonts w:ascii="Times New Roman" w:hAnsi="Times New Roman" w:cs="Times New Roman"/>
          <w:sz w:val="24"/>
          <w:szCs w:val="24"/>
        </w:rPr>
        <w:t xml:space="preserve"> </w:t>
      </w:r>
      <w:r w:rsidRPr="008B73D4">
        <w:rPr>
          <w:rFonts w:ascii="Times New Roman" w:hAnsi="Times New Roman" w:cs="Times New Roman"/>
          <w:sz w:val="24"/>
          <w:szCs w:val="24"/>
        </w:rPr>
        <w:t xml:space="preserve"> and mean monthly discharge indicated a negative correlation (P &lt; 0.001) (Table 5-4), and the scatterplot between monthly </w:t>
      </w:r>
      <m:oMath>
        <m:r>
          <w:rPr>
            <w:rFonts w:ascii="Cambria Math" w:hAnsi="Cambria Math" w:cs="Times New Roman"/>
            <w:sz w:val="24"/>
            <w:szCs w:val="24"/>
          </w:rPr>
          <m:t>a</m:t>
        </m:r>
      </m:oMath>
      <w:r w:rsidRPr="008B73D4">
        <w:rPr>
          <w:rFonts w:ascii="Times New Roman" w:hAnsi="Times New Roman" w:cs="Times New Roman"/>
          <w:sz w:val="24"/>
          <w:szCs w:val="24"/>
        </w:rPr>
        <w:t xml:space="preserve"> and mean monthly discharge showed a nonlinear relationship between the two variables (Figure 5-16). Similar to the patterns seen at the annual level, the monthly coefficient </w:t>
      </w:r>
      <m:oMath>
        <m:r>
          <w:rPr>
            <w:rFonts w:ascii="Cambria Math" w:hAnsi="Cambria Math" w:cs="Times New Roman"/>
            <w:sz w:val="24"/>
            <w:szCs w:val="24"/>
          </w:rPr>
          <m:t>a</m:t>
        </m:r>
      </m:oMath>
      <w:r w:rsidRPr="008B73D4">
        <w:rPr>
          <w:rFonts w:ascii="Times New Roman" w:hAnsi="Times New Roman" w:cs="Times New Roman"/>
          <w:sz w:val="24"/>
          <w:szCs w:val="24"/>
        </w:rPr>
        <w:t xml:space="preserve"> and the mean monthly discharge have a log linear relationship (Figure 5-17). There was no significant correlation between exponent </w:t>
      </w:r>
      <m:oMath>
        <m:r>
          <w:rPr>
            <w:rFonts w:ascii="Cambria Math" w:hAnsi="Cambria Math" w:cs="Times New Roman"/>
            <w:sz w:val="24"/>
            <w:szCs w:val="24"/>
          </w:rPr>
          <m:t>b</m:t>
        </m:r>
      </m:oMath>
      <w:r w:rsidRPr="008B73D4">
        <w:rPr>
          <w:rFonts w:ascii="Times New Roman" w:hAnsi="Times New Roman" w:cs="Times New Roman"/>
          <w:sz w:val="24"/>
          <w:szCs w:val="24"/>
        </w:rPr>
        <w:t xml:space="preserve"> and mean monthly discharge (</w:t>
      </w:r>
      <w:proofErr w:type="gramStart"/>
      <w:r w:rsidRPr="008B73D4">
        <w:rPr>
          <w:rFonts w:ascii="Times New Roman" w:hAnsi="Times New Roman" w:cs="Times New Roman"/>
          <w:sz w:val="24"/>
          <w:szCs w:val="24"/>
        </w:rPr>
        <w:t>Figure  5</w:t>
      </w:r>
      <w:proofErr w:type="gramEnd"/>
      <w:r w:rsidRPr="008B73D4">
        <w:rPr>
          <w:rFonts w:ascii="Times New Roman" w:hAnsi="Times New Roman" w:cs="Times New Roman"/>
          <w:sz w:val="24"/>
          <w:szCs w:val="24"/>
        </w:rPr>
        <w:t xml:space="preserve">-18). </w:t>
      </w:r>
    </w:p>
    <w:p w:rsidR="00E06063" w:rsidRPr="00523FFD" w:rsidRDefault="00447776" w:rsidP="00F952FE">
      <w:pPr>
        <w:pStyle w:val="Heading2"/>
        <w:numPr>
          <w:ilvl w:val="0"/>
          <w:numId w:val="39"/>
        </w:numPr>
        <w:ind w:left="360"/>
      </w:pPr>
      <w:bookmarkStart w:id="82" w:name="_Toc394525572"/>
      <w:r w:rsidRPr="00523FFD">
        <w:t>S</w:t>
      </w:r>
      <w:r w:rsidR="00E06063" w:rsidRPr="00523FFD">
        <w:t>easonal patterns of the rating parameters at the monthly level</w:t>
      </w:r>
      <w:bookmarkEnd w:id="82"/>
    </w:p>
    <w:p w:rsidR="008B73D4" w:rsidRPr="00854E06" w:rsidRDefault="008B73D4" w:rsidP="008B73D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ind w:firstLine="720"/>
        <w:jc w:val="both"/>
        <w:rPr>
          <w:rFonts w:asciiTheme="majorBidi" w:hAnsiTheme="majorBidi" w:cstheme="majorBidi"/>
          <w:sz w:val="24"/>
          <w:szCs w:val="24"/>
        </w:rPr>
      </w:pPr>
      <w:r w:rsidRPr="00854E06">
        <w:rPr>
          <w:rFonts w:asciiTheme="majorBidi" w:hAnsiTheme="majorBidi" w:cstheme="majorBidi"/>
          <w:sz w:val="24"/>
          <w:szCs w:val="24"/>
        </w:rPr>
        <w:t xml:space="preserve">The highest means of the monthly </w:t>
      </w:r>
      <m:oMath>
        <m:r>
          <w:rPr>
            <w:rFonts w:ascii="Cambria Math" w:hAnsi="Cambria Math" w:cstheme="majorBidi"/>
            <w:sz w:val="24"/>
            <w:szCs w:val="24"/>
          </w:rPr>
          <m:t>ln(a)</m:t>
        </m:r>
      </m:oMath>
      <w:r w:rsidRPr="00854E06">
        <w:rPr>
          <w:rFonts w:asciiTheme="majorBidi" w:hAnsiTheme="majorBidi" w:cstheme="majorBidi"/>
          <w:sz w:val="24"/>
          <w:szCs w:val="24"/>
        </w:rPr>
        <w:t xml:space="preserve"> were in July, August, and September, indicating sediment concentration per unit discharge (</w:t>
      </w:r>
      <w:proofErr w:type="gramStart"/>
      <w:r w:rsidRPr="00854E06">
        <w:rPr>
          <w:rFonts w:asciiTheme="majorBidi" w:hAnsiTheme="majorBidi" w:cstheme="majorBidi"/>
          <w:sz w:val="24"/>
          <w:szCs w:val="24"/>
        </w:rPr>
        <w:t xml:space="preserve">coefficient </w:t>
      </w:r>
      <w:proofErr w:type="gramEnd"/>
      <m:oMath>
        <m:r>
          <w:rPr>
            <w:rFonts w:ascii="Cambria Math" w:hAnsi="Cambria Math" w:cstheme="majorBidi"/>
            <w:sz w:val="24"/>
            <w:szCs w:val="24"/>
          </w:rPr>
          <m:t>a</m:t>
        </m:r>
      </m:oMath>
      <w:r w:rsidRPr="00854E06">
        <w:rPr>
          <w:rFonts w:asciiTheme="majorBidi" w:hAnsiTheme="majorBidi" w:cstheme="majorBidi"/>
          <w:sz w:val="24"/>
          <w:szCs w:val="24"/>
        </w:rPr>
        <w:t xml:space="preserve">) was highest in these months. </w:t>
      </w:r>
      <w:r>
        <w:rPr>
          <w:rFonts w:asciiTheme="majorBidi" w:hAnsiTheme="majorBidi" w:cstheme="majorBidi"/>
          <w:sz w:val="24"/>
          <w:szCs w:val="24"/>
        </w:rPr>
        <w:t>V</w:t>
      </w:r>
      <w:r w:rsidRPr="00854E06">
        <w:rPr>
          <w:rFonts w:asciiTheme="majorBidi" w:hAnsiTheme="majorBidi" w:cstheme="majorBidi"/>
          <w:sz w:val="24"/>
          <w:szCs w:val="24"/>
        </w:rPr>
        <w:t>alues of the monthly mean</w:t>
      </w:r>
      <w:r>
        <w:rPr>
          <w:rFonts w:asciiTheme="majorBidi" w:hAnsiTheme="majorBidi" w:cstheme="majorBidi"/>
          <w:sz w:val="24"/>
          <w:szCs w:val="24"/>
        </w:rPr>
        <w:t>s for</w:t>
      </w:r>
      <w:r w:rsidRPr="00854E06">
        <w:rPr>
          <w:rFonts w:asciiTheme="majorBidi" w:hAnsiTheme="majorBidi" w:cstheme="majorBidi"/>
          <w:sz w:val="24"/>
          <w:szCs w:val="24"/>
        </w:rPr>
        <w:t xml:space="preserve"> </w:t>
      </w:r>
      <w:proofErr w:type="gramStart"/>
      <w:r w:rsidRPr="00854E06">
        <w:rPr>
          <w:rFonts w:asciiTheme="majorBidi" w:hAnsiTheme="majorBidi" w:cstheme="majorBidi"/>
          <w:sz w:val="24"/>
          <w:szCs w:val="24"/>
        </w:rPr>
        <w:t xml:space="preserve">exponent </w:t>
      </w:r>
      <w:proofErr w:type="gramEnd"/>
      <m:oMath>
        <m:r>
          <w:rPr>
            <w:rFonts w:ascii="Cambria Math" w:hAnsi="Cambria Math" w:cstheme="majorBidi"/>
            <w:sz w:val="24"/>
            <w:szCs w:val="24"/>
          </w:rPr>
          <m:t>b</m:t>
        </m:r>
      </m:oMath>
      <w:r w:rsidRPr="00854E06">
        <w:rPr>
          <w:rFonts w:asciiTheme="majorBidi" w:hAnsiTheme="majorBidi" w:cstheme="majorBidi"/>
          <w:sz w:val="24"/>
          <w:szCs w:val="24"/>
        </w:rPr>
        <w:t xml:space="preserve">, on the other hand, were highest in the months of April, May, and June (Table 5-1). </w:t>
      </w:r>
    </w:p>
    <w:p w:rsidR="008B73D4" w:rsidRPr="00854E06" w:rsidRDefault="008B73D4" w:rsidP="008B73D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ind w:firstLine="720"/>
        <w:jc w:val="both"/>
        <w:rPr>
          <w:rFonts w:asciiTheme="majorBidi" w:hAnsiTheme="majorBidi" w:cstheme="majorBidi"/>
          <w:sz w:val="24"/>
          <w:szCs w:val="24"/>
        </w:rPr>
      </w:pPr>
      <w:r w:rsidRPr="00854E06">
        <w:rPr>
          <w:rFonts w:asciiTheme="majorBidi" w:hAnsiTheme="majorBidi" w:cstheme="majorBidi"/>
          <w:sz w:val="24"/>
          <w:szCs w:val="24"/>
        </w:rPr>
        <w:lastRenderedPageBreak/>
        <w:t xml:space="preserve">The shape of the rating curve was inspected </w:t>
      </w:r>
      <w:r>
        <w:rPr>
          <w:rFonts w:asciiTheme="majorBidi" w:hAnsiTheme="majorBidi" w:cstheme="majorBidi"/>
          <w:sz w:val="24"/>
          <w:szCs w:val="24"/>
        </w:rPr>
        <w:t>for</w:t>
      </w:r>
      <w:r w:rsidRPr="00854E06">
        <w:rPr>
          <w:rFonts w:asciiTheme="majorBidi" w:hAnsiTheme="majorBidi" w:cstheme="majorBidi"/>
          <w:sz w:val="24"/>
          <w:szCs w:val="24"/>
        </w:rPr>
        <w:t xml:space="preserve"> April and September because they are the representative months for the annual peak flow </w:t>
      </w:r>
      <w:r>
        <w:rPr>
          <w:rFonts w:asciiTheme="majorBidi" w:hAnsiTheme="majorBidi" w:cstheme="majorBidi"/>
          <w:sz w:val="24"/>
          <w:szCs w:val="24"/>
        </w:rPr>
        <w:t xml:space="preserve">(April) </w:t>
      </w:r>
      <w:r w:rsidRPr="00854E06">
        <w:rPr>
          <w:rFonts w:asciiTheme="majorBidi" w:hAnsiTheme="majorBidi" w:cstheme="majorBidi"/>
          <w:sz w:val="24"/>
          <w:szCs w:val="24"/>
        </w:rPr>
        <w:t xml:space="preserve">and low flow </w:t>
      </w:r>
      <w:r>
        <w:rPr>
          <w:rFonts w:asciiTheme="majorBidi" w:hAnsiTheme="majorBidi" w:cstheme="majorBidi"/>
          <w:sz w:val="24"/>
          <w:szCs w:val="24"/>
        </w:rPr>
        <w:t xml:space="preserve">(September) </w:t>
      </w:r>
      <w:r w:rsidRPr="00854E06">
        <w:rPr>
          <w:rFonts w:asciiTheme="majorBidi" w:hAnsiTheme="majorBidi" w:cstheme="majorBidi"/>
          <w:sz w:val="24"/>
          <w:szCs w:val="24"/>
        </w:rPr>
        <w:t xml:space="preserve">in the UMRB. Figure 5-15 shows the shapes of the sediment rating curves across the study area for those two months. In both periods, the dominant shape of the rating curves was convex. </w:t>
      </w:r>
    </w:p>
    <w:p w:rsidR="008B73D4" w:rsidRPr="00854E06" w:rsidRDefault="008B73D4" w:rsidP="008B73D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ind w:firstLine="720"/>
        <w:jc w:val="both"/>
        <w:rPr>
          <w:rFonts w:asciiTheme="majorBidi" w:hAnsiTheme="majorBidi" w:cstheme="majorBidi"/>
          <w:sz w:val="24"/>
          <w:szCs w:val="24"/>
        </w:rPr>
      </w:pPr>
      <w:r w:rsidRPr="00854E06">
        <w:rPr>
          <w:rFonts w:asciiTheme="majorBidi" w:hAnsiTheme="majorBidi" w:cstheme="majorBidi"/>
          <w:sz w:val="24"/>
          <w:szCs w:val="24"/>
        </w:rPr>
        <w:t xml:space="preserve">I found no spatial association of monthly values of coefficient </w:t>
      </w:r>
      <m:oMath>
        <m:r>
          <w:rPr>
            <w:rFonts w:ascii="Cambria Math" w:hAnsi="Cambria Math" w:cstheme="majorBidi"/>
            <w:sz w:val="24"/>
            <w:szCs w:val="24"/>
          </w:rPr>
          <m:t>a</m:t>
        </m:r>
      </m:oMath>
      <w:r w:rsidRPr="00854E06">
        <w:rPr>
          <w:rFonts w:asciiTheme="majorBidi" w:hAnsiTheme="majorBidi" w:cstheme="majorBidi"/>
          <w:sz w:val="24"/>
          <w:szCs w:val="24"/>
        </w:rPr>
        <w:t xml:space="preserve"> in April and September (Global Moran’s I, P &gt; 0.05) (Table 5-2). Meanwhile, high values of exponent </w:t>
      </w:r>
      <m:oMath>
        <m:r>
          <w:rPr>
            <w:rFonts w:ascii="Cambria Math" w:hAnsi="Cambria Math" w:cstheme="majorBidi"/>
            <w:sz w:val="24"/>
            <w:szCs w:val="24"/>
          </w:rPr>
          <m:t>b</m:t>
        </m:r>
      </m:oMath>
      <w:r w:rsidRPr="00854E06">
        <w:rPr>
          <w:rFonts w:asciiTheme="majorBidi" w:hAnsiTheme="majorBidi" w:cstheme="majorBidi"/>
          <w:sz w:val="24"/>
          <w:szCs w:val="24"/>
        </w:rPr>
        <w:t xml:space="preserve"> were spatially clustered in April and September. </w:t>
      </w:r>
      <w:r>
        <w:rPr>
          <w:rFonts w:asciiTheme="majorBidi" w:hAnsiTheme="majorBidi" w:cstheme="majorBidi"/>
          <w:sz w:val="24"/>
          <w:szCs w:val="24"/>
        </w:rPr>
        <w:t>Monthly values of e</w:t>
      </w:r>
      <w:r w:rsidRPr="00854E06">
        <w:rPr>
          <w:rFonts w:asciiTheme="majorBidi" w:hAnsiTheme="majorBidi" w:cstheme="majorBidi"/>
          <w:sz w:val="24"/>
          <w:szCs w:val="24"/>
        </w:rPr>
        <w:t xml:space="preserve">xponent </w:t>
      </w:r>
      <m:oMath>
        <m:r>
          <w:rPr>
            <w:rFonts w:ascii="Cambria Math" w:hAnsi="Cambria Math" w:cstheme="majorBidi"/>
            <w:sz w:val="24"/>
            <w:szCs w:val="24"/>
          </w:rPr>
          <m:t>b</m:t>
        </m:r>
      </m:oMath>
      <w:r w:rsidRPr="00854E06">
        <w:rPr>
          <w:rFonts w:asciiTheme="majorBidi" w:hAnsiTheme="majorBidi" w:cstheme="majorBidi"/>
          <w:sz w:val="24"/>
          <w:szCs w:val="24"/>
        </w:rPr>
        <w:t xml:space="preserve"> </w:t>
      </w:r>
      <w:r>
        <w:rPr>
          <w:rFonts w:asciiTheme="majorBidi" w:hAnsiTheme="majorBidi" w:cstheme="majorBidi"/>
          <w:sz w:val="24"/>
          <w:szCs w:val="24"/>
        </w:rPr>
        <w:t>showed</w:t>
      </w:r>
      <w:r w:rsidRPr="00854E06">
        <w:rPr>
          <w:rFonts w:asciiTheme="majorBidi" w:hAnsiTheme="majorBidi" w:cstheme="majorBidi"/>
          <w:sz w:val="24"/>
          <w:szCs w:val="24"/>
        </w:rPr>
        <w:t xml:space="preserve"> spatial autocorrelation in both April and September. In April, the Local Moran’s I showed clustering of </w:t>
      </w:r>
      <w:r>
        <w:rPr>
          <w:rFonts w:asciiTheme="majorBidi" w:hAnsiTheme="majorBidi" w:cstheme="majorBidi"/>
          <w:sz w:val="24"/>
          <w:szCs w:val="24"/>
        </w:rPr>
        <w:t xml:space="preserve">values of </w:t>
      </w:r>
      <w:r w:rsidRPr="00854E06">
        <w:rPr>
          <w:rFonts w:asciiTheme="majorBidi" w:hAnsiTheme="majorBidi" w:cstheme="majorBidi"/>
          <w:sz w:val="24"/>
          <w:szCs w:val="24"/>
        </w:rPr>
        <w:t xml:space="preserve">the exponent </w:t>
      </w:r>
      <m:oMath>
        <m:r>
          <w:rPr>
            <w:rFonts w:ascii="Cambria Math" w:hAnsi="Cambria Math" w:cstheme="majorBidi"/>
            <w:sz w:val="24"/>
            <w:szCs w:val="24"/>
          </w:rPr>
          <m:t>b</m:t>
        </m:r>
      </m:oMath>
      <w:r w:rsidRPr="00854E06">
        <w:rPr>
          <w:rFonts w:asciiTheme="majorBidi" w:hAnsiTheme="majorBidi" w:cstheme="majorBidi"/>
          <w:sz w:val="24"/>
          <w:szCs w:val="24"/>
        </w:rPr>
        <w:t xml:space="preserve"> </w:t>
      </w:r>
      <w:r>
        <w:rPr>
          <w:rFonts w:asciiTheme="majorBidi" w:hAnsiTheme="majorBidi" w:cstheme="majorBidi"/>
          <w:sz w:val="24"/>
          <w:szCs w:val="24"/>
        </w:rPr>
        <w:t xml:space="preserve">at stations </w:t>
      </w:r>
      <w:r w:rsidRPr="00854E06">
        <w:rPr>
          <w:rFonts w:asciiTheme="majorBidi" w:hAnsiTheme="majorBidi" w:cstheme="majorBidi"/>
          <w:sz w:val="24"/>
          <w:szCs w:val="24"/>
        </w:rPr>
        <w:t>in the Mississippi River section between the Minnesota River and the Root River (Figure 5-1</w:t>
      </w:r>
      <w:r>
        <w:rPr>
          <w:rFonts w:asciiTheme="majorBidi" w:hAnsiTheme="majorBidi" w:cstheme="majorBidi"/>
          <w:sz w:val="24"/>
          <w:szCs w:val="24"/>
        </w:rPr>
        <w:t>9</w:t>
      </w:r>
      <w:r w:rsidRPr="00854E06">
        <w:rPr>
          <w:rFonts w:asciiTheme="majorBidi" w:hAnsiTheme="majorBidi" w:cstheme="majorBidi"/>
          <w:sz w:val="24"/>
          <w:szCs w:val="24"/>
        </w:rPr>
        <w:t xml:space="preserve">). In September, a cluster of </w:t>
      </w:r>
      <w:r>
        <w:rPr>
          <w:rFonts w:asciiTheme="majorBidi" w:hAnsiTheme="majorBidi" w:cstheme="majorBidi"/>
          <w:sz w:val="24"/>
          <w:szCs w:val="24"/>
        </w:rPr>
        <w:t xml:space="preserve">stations with </w:t>
      </w:r>
      <w:r w:rsidRPr="00854E06">
        <w:rPr>
          <w:rFonts w:asciiTheme="majorBidi" w:hAnsiTheme="majorBidi" w:cstheme="majorBidi"/>
          <w:sz w:val="24"/>
          <w:szCs w:val="24"/>
        </w:rPr>
        <w:t xml:space="preserve">high </w:t>
      </w:r>
      <w:r>
        <w:rPr>
          <w:rFonts w:asciiTheme="majorBidi" w:hAnsiTheme="majorBidi" w:cstheme="majorBidi"/>
          <w:sz w:val="24"/>
          <w:szCs w:val="24"/>
        </w:rPr>
        <w:t xml:space="preserve">values of </w:t>
      </w:r>
      <w:r w:rsidRPr="00854E06">
        <w:rPr>
          <w:rFonts w:asciiTheme="majorBidi" w:hAnsiTheme="majorBidi" w:cstheme="majorBidi"/>
          <w:sz w:val="24"/>
          <w:szCs w:val="24"/>
        </w:rPr>
        <w:t xml:space="preserve">exponent </w:t>
      </w:r>
      <m:oMath>
        <m:r>
          <w:rPr>
            <w:rFonts w:ascii="Cambria Math" w:hAnsi="Cambria Math" w:cstheme="majorBidi"/>
            <w:sz w:val="24"/>
            <w:szCs w:val="24"/>
          </w:rPr>
          <m:t>b</m:t>
        </m:r>
      </m:oMath>
      <w:r w:rsidRPr="00854E06">
        <w:rPr>
          <w:rFonts w:asciiTheme="majorBidi" w:hAnsiTheme="majorBidi" w:cstheme="majorBidi"/>
          <w:sz w:val="24"/>
          <w:szCs w:val="24"/>
        </w:rPr>
        <w:t xml:space="preserve"> was present in the southern part of the basin (Figure 5-</w:t>
      </w:r>
      <w:r>
        <w:rPr>
          <w:rFonts w:asciiTheme="majorBidi" w:hAnsiTheme="majorBidi" w:cstheme="majorBidi"/>
          <w:sz w:val="24"/>
          <w:szCs w:val="24"/>
        </w:rPr>
        <w:t>20</w:t>
      </w:r>
      <w:r w:rsidRPr="00854E06">
        <w:rPr>
          <w:rFonts w:asciiTheme="majorBidi" w:hAnsiTheme="majorBidi" w:cstheme="majorBidi"/>
          <w:sz w:val="24"/>
          <w:szCs w:val="24"/>
        </w:rPr>
        <w:t xml:space="preserve">).   </w:t>
      </w:r>
    </w:p>
    <w:p w:rsidR="008B73D4" w:rsidRDefault="008B73D4" w:rsidP="008B73D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ind w:firstLine="720"/>
        <w:jc w:val="both"/>
        <w:rPr>
          <w:rFonts w:asciiTheme="majorBidi" w:hAnsiTheme="majorBidi" w:cstheme="majorBidi"/>
          <w:sz w:val="24"/>
          <w:szCs w:val="24"/>
        </w:rPr>
      </w:pPr>
      <w:r w:rsidRPr="00854E06">
        <w:rPr>
          <w:rFonts w:asciiTheme="majorBidi" w:hAnsiTheme="majorBidi" w:cstheme="majorBidi"/>
          <w:sz w:val="24"/>
          <w:szCs w:val="24"/>
        </w:rPr>
        <w:t>Figure 5-</w:t>
      </w:r>
      <w:r>
        <w:rPr>
          <w:rFonts w:asciiTheme="majorBidi" w:hAnsiTheme="majorBidi" w:cstheme="majorBidi"/>
          <w:sz w:val="24"/>
          <w:szCs w:val="24"/>
        </w:rPr>
        <w:t>21</w:t>
      </w:r>
      <w:r w:rsidRPr="00854E06">
        <w:rPr>
          <w:rFonts w:asciiTheme="majorBidi" w:hAnsiTheme="majorBidi" w:cstheme="majorBidi"/>
          <w:sz w:val="24"/>
          <w:szCs w:val="24"/>
        </w:rPr>
        <w:t xml:space="preserve"> and Figure 5-</w:t>
      </w:r>
      <w:r>
        <w:rPr>
          <w:rFonts w:asciiTheme="majorBidi" w:hAnsiTheme="majorBidi" w:cstheme="majorBidi"/>
          <w:sz w:val="24"/>
          <w:szCs w:val="24"/>
        </w:rPr>
        <w:t>22</w:t>
      </w:r>
      <w:r w:rsidRPr="00854E06">
        <w:rPr>
          <w:rFonts w:asciiTheme="majorBidi" w:hAnsiTheme="majorBidi" w:cstheme="majorBidi"/>
          <w:sz w:val="24"/>
          <w:szCs w:val="24"/>
        </w:rPr>
        <w:t xml:space="preserve"> summarize season-to-season differences in the values of coefficient </w:t>
      </w:r>
      <m:oMath>
        <m:r>
          <w:rPr>
            <w:rFonts w:ascii="Cambria Math" w:hAnsi="Cambria Math" w:cstheme="majorBidi"/>
            <w:sz w:val="24"/>
            <w:szCs w:val="24"/>
          </w:rPr>
          <m:t>ln(a)</m:t>
        </m:r>
      </m:oMath>
      <w:r w:rsidRPr="00854E06">
        <w:rPr>
          <w:rFonts w:asciiTheme="majorBidi" w:hAnsiTheme="majorBidi" w:cstheme="majorBidi"/>
          <w:sz w:val="24"/>
          <w:szCs w:val="24"/>
        </w:rPr>
        <w:t xml:space="preserve"> and the </w:t>
      </w:r>
      <w:proofErr w:type="gramStart"/>
      <w:r w:rsidRPr="00854E06">
        <w:rPr>
          <w:rFonts w:asciiTheme="majorBidi" w:hAnsiTheme="majorBidi" w:cstheme="majorBidi"/>
          <w:sz w:val="24"/>
          <w:szCs w:val="24"/>
        </w:rPr>
        <w:t xml:space="preserve">exponent </w:t>
      </w:r>
      <w:proofErr w:type="gramEnd"/>
      <m:oMath>
        <m:r>
          <w:rPr>
            <w:rFonts w:ascii="Cambria Math" w:hAnsi="Cambria Math" w:cstheme="majorBidi"/>
            <w:sz w:val="24"/>
            <w:szCs w:val="24"/>
          </w:rPr>
          <m:t>b</m:t>
        </m:r>
      </m:oMath>
      <w:r w:rsidRPr="00854E06">
        <w:rPr>
          <w:rFonts w:asciiTheme="majorBidi" w:hAnsiTheme="majorBidi" w:cstheme="majorBidi"/>
          <w:sz w:val="24"/>
          <w:szCs w:val="24"/>
        </w:rPr>
        <w:t xml:space="preserve">. Coefficient </w:t>
      </w:r>
      <m:oMath>
        <m:r>
          <w:rPr>
            <w:rFonts w:ascii="Cambria Math" w:hAnsi="Cambria Math" w:cstheme="majorBidi"/>
            <w:sz w:val="24"/>
            <w:szCs w:val="24"/>
          </w:rPr>
          <m:t>ln(a)</m:t>
        </m:r>
      </m:oMath>
      <w:r w:rsidRPr="00854E06">
        <w:rPr>
          <w:rFonts w:asciiTheme="majorBidi" w:hAnsiTheme="majorBidi" w:cstheme="majorBidi"/>
          <w:sz w:val="24"/>
          <w:szCs w:val="24"/>
        </w:rPr>
        <w:t xml:space="preserve"> appears to be more variable than the </w:t>
      </w:r>
      <w:proofErr w:type="gramStart"/>
      <w:r w:rsidRPr="00854E06">
        <w:rPr>
          <w:rFonts w:asciiTheme="majorBidi" w:hAnsiTheme="majorBidi" w:cstheme="majorBidi"/>
          <w:sz w:val="24"/>
          <w:szCs w:val="24"/>
        </w:rPr>
        <w:t xml:space="preserve">exponent </w:t>
      </w:r>
      <w:proofErr w:type="gramEnd"/>
      <m:oMath>
        <m:r>
          <w:rPr>
            <w:rFonts w:ascii="Cambria Math" w:hAnsi="Cambria Math" w:cstheme="majorBidi"/>
            <w:sz w:val="24"/>
            <w:szCs w:val="24"/>
          </w:rPr>
          <m:t>b</m:t>
        </m:r>
      </m:oMath>
      <w:r w:rsidRPr="00854E06">
        <w:rPr>
          <w:rFonts w:asciiTheme="majorBidi" w:hAnsiTheme="majorBidi" w:cstheme="majorBidi"/>
          <w:sz w:val="24"/>
          <w:szCs w:val="24"/>
        </w:rPr>
        <w:t xml:space="preserve">, with more </w:t>
      </w:r>
      <w:r>
        <w:rPr>
          <w:rFonts w:asciiTheme="majorBidi" w:hAnsiTheme="majorBidi" w:cstheme="majorBidi"/>
          <w:sz w:val="24"/>
          <w:szCs w:val="24"/>
        </w:rPr>
        <w:t>change</w:t>
      </w:r>
      <w:r w:rsidRPr="00854E06">
        <w:rPr>
          <w:rFonts w:asciiTheme="majorBidi" w:hAnsiTheme="majorBidi" w:cstheme="majorBidi"/>
          <w:sz w:val="24"/>
          <w:szCs w:val="24"/>
        </w:rPr>
        <w:t xml:space="preserve"> from s</w:t>
      </w:r>
      <w:r>
        <w:rPr>
          <w:rFonts w:asciiTheme="majorBidi" w:hAnsiTheme="majorBidi" w:cstheme="majorBidi"/>
          <w:sz w:val="24"/>
          <w:szCs w:val="24"/>
        </w:rPr>
        <w:t>eason to season. T</w:t>
      </w:r>
      <w:r w:rsidRPr="00854E06">
        <w:rPr>
          <w:rFonts w:asciiTheme="majorBidi" w:hAnsiTheme="majorBidi" w:cstheme="majorBidi"/>
          <w:sz w:val="24"/>
          <w:szCs w:val="24"/>
        </w:rPr>
        <w:t xml:space="preserve">he rating parameters in winter show more significant differences from those in spring and summer, compared to fall. There was no spatial pattern in the variation of coefficient </w:t>
      </w:r>
      <m:oMath>
        <m:r>
          <w:rPr>
            <w:rFonts w:ascii="Cambria Math" w:hAnsi="Cambria Math" w:cstheme="majorBidi"/>
            <w:sz w:val="24"/>
            <w:szCs w:val="24"/>
          </w:rPr>
          <m:t>ln</m:t>
        </m:r>
        <m:r>
          <w:rPr>
            <w:rFonts w:ascii="Monaco" w:hAnsi="Monaco" w:cs="Monaco"/>
            <w:sz w:val="24"/>
            <w:szCs w:val="24"/>
          </w:rPr>
          <m:t>⁡</m:t>
        </m:r>
        <m:r>
          <w:rPr>
            <w:rFonts w:ascii="Cambria Math" w:hAnsi="Cambria Math" w:cstheme="majorBidi"/>
            <w:sz w:val="24"/>
            <w:szCs w:val="24"/>
          </w:rPr>
          <m:t>(a)</m:t>
        </m:r>
      </m:oMath>
      <w:r w:rsidRPr="00854E06">
        <w:rPr>
          <w:rFonts w:asciiTheme="majorBidi" w:hAnsiTheme="majorBidi" w:cstheme="majorBidi"/>
          <w:sz w:val="24"/>
          <w:szCs w:val="24"/>
        </w:rPr>
        <w:t xml:space="preserve"> and the exponent </w:t>
      </w:r>
      <m:oMath>
        <m:r>
          <w:rPr>
            <w:rFonts w:ascii="Cambria Math" w:hAnsi="Cambria Math" w:cstheme="majorBidi"/>
            <w:sz w:val="24"/>
            <w:szCs w:val="24"/>
          </w:rPr>
          <m:t>b</m:t>
        </m:r>
      </m:oMath>
      <w:r w:rsidRPr="00854E06">
        <w:rPr>
          <w:rFonts w:asciiTheme="majorBidi" w:hAnsiTheme="majorBidi" w:cstheme="majorBidi"/>
          <w:sz w:val="24"/>
          <w:szCs w:val="24"/>
        </w:rPr>
        <w:t xml:space="preserve"> between seasons in the basin. </w:t>
      </w:r>
    </w:p>
    <w:p w:rsidR="00E06063" w:rsidRPr="00523FFD" w:rsidRDefault="00E06063" w:rsidP="00F952FE">
      <w:pPr>
        <w:pStyle w:val="Heading2"/>
        <w:numPr>
          <w:ilvl w:val="0"/>
          <w:numId w:val="39"/>
        </w:numPr>
        <w:ind w:left="360"/>
      </w:pPr>
      <w:bookmarkStart w:id="83" w:name="_Toc394525573"/>
      <w:r w:rsidRPr="00523FFD">
        <w:t>The effects of dams on the rating parameters at pre- and post-dam stations</w:t>
      </w:r>
      <w:bookmarkEnd w:id="83"/>
    </w:p>
    <w:p w:rsidR="008B73D4" w:rsidRPr="00854E06" w:rsidRDefault="008B73D4" w:rsidP="008B73D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ind w:firstLine="720"/>
        <w:jc w:val="both"/>
        <w:rPr>
          <w:rFonts w:asciiTheme="majorBidi" w:hAnsiTheme="majorBidi" w:cstheme="majorBidi"/>
          <w:sz w:val="24"/>
          <w:szCs w:val="24"/>
        </w:rPr>
      </w:pPr>
      <w:r w:rsidRPr="00854E06">
        <w:rPr>
          <w:rFonts w:asciiTheme="majorBidi" w:hAnsiTheme="majorBidi" w:cstheme="majorBidi"/>
          <w:sz w:val="24"/>
          <w:szCs w:val="24"/>
        </w:rPr>
        <w:t>In the UMRB, the three dams that have pre- and post-dam stations are three hydroelectric dams</w:t>
      </w:r>
      <w:r>
        <w:rPr>
          <w:rFonts w:asciiTheme="majorBidi" w:hAnsiTheme="majorBidi" w:cstheme="majorBidi"/>
          <w:sz w:val="24"/>
          <w:szCs w:val="24"/>
        </w:rPr>
        <w:t xml:space="preserve">: </w:t>
      </w:r>
      <w:r w:rsidRPr="00854E06">
        <w:rPr>
          <w:rFonts w:asciiTheme="majorBidi" w:hAnsiTheme="majorBidi" w:cstheme="majorBidi"/>
          <w:sz w:val="24"/>
          <w:szCs w:val="24"/>
        </w:rPr>
        <w:t xml:space="preserve">Blanchard </w:t>
      </w:r>
      <w:r>
        <w:rPr>
          <w:rFonts w:asciiTheme="majorBidi" w:hAnsiTheme="majorBidi" w:cstheme="majorBidi"/>
          <w:sz w:val="24"/>
          <w:szCs w:val="24"/>
        </w:rPr>
        <w:t>D</w:t>
      </w:r>
      <w:r w:rsidRPr="00854E06">
        <w:rPr>
          <w:rFonts w:asciiTheme="majorBidi" w:hAnsiTheme="majorBidi" w:cstheme="majorBidi"/>
          <w:sz w:val="24"/>
          <w:szCs w:val="24"/>
        </w:rPr>
        <w:t xml:space="preserve">am, Coon Rapid Dam, and Lock and Dam Number 2. Table 5-5 shows the number code of the gauging stations associated with each dam. Table 5-6 shows the Z scores obtained in the comparison of annual and monthly rating parameters between pre- and post-dam stations. The analysis showed that the effect of dams on the rating parameters at the stations was </w:t>
      </w:r>
      <w:r w:rsidRPr="00854E06">
        <w:rPr>
          <w:rFonts w:asciiTheme="majorBidi" w:hAnsiTheme="majorBidi" w:cstheme="majorBidi"/>
          <w:sz w:val="24"/>
          <w:szCs w:val="24"/>
        </w:rPr>
        <w:lastRenderedPageBreak/>
        <w:t xml:space="preserve">not significant at the annual level (P &gt; 0.2), but was significant at </w:t>
      </w:r>
      <w:r w:rsidRPr="00423C75">
        <w:rPr>
          <w:rFonts w:asciiTheme="majorBidi" w:hAnsiTheme="majorBidi" w:cstheme="majorBidi"/>
          <w:sz w:val="24"/>
          <w:szCs w:val="24"/>
        </w:rPr>
        <w:t>some stations</w:t>
      </w:r>
      <w:r w:rsidRPr="00854E06">
        <w:rPr>
          <w:rFonts w:asciiTheme="majorBidi" w:hAnsiTheme="majorBidi" w:cstheme="majorBidi"/>
          <w:sz w:val="24"/>
          <w:szCs w:val="24"/>
        </w:rPr>
        <w:t xml:space="preserve"> at the monthly level. In particular, in </w:t>
      </w:r>
      <w:r>
        <w:rPr>
          <w:rFonts w:asciiTheme="majorBidi" w:hAnsiTheme="majorBidi" w:cstheme="majorBidi"/>
          <w:sz w:val="24"/>
          <w:szCs w:val="24"/>
        </w:rPr>
        <w:t xml:space="preserve">all </w:t>
      </w:r>
      <w:r w:rsidRPr="00854E06">
        <w:rPr>
          <w:rFonts w:asciiTheme="majorBidi" w:hAnsiTheme="majorBidi" w:cstheme="majorBidi"/>
          <w:sz w:val="24"/>
          <w:szCs w:val="24"/>
        </w:rPr>
        <w:t xml:space="preserve">12 months, </w:t>
      </w:r>
      <m:oMath>
        <m:r>
          <w:rPr>
            <w:rFonts w:ascii="Cambria Math" w:hAnsi="Cambria Math" w:cstheme="majorBidi"/>
            <w:sz w:val="24"/>
            <w:szCs w:val="24"/>
          </w:rPr>
          <m:t>ln(a)</m:t>
        </m:r>
      </m:oMath>
      <w:r w:rsidRPr="00854E06">
        <w:rPr>
          <w:rFonts w:asciiTheme="majorBidi" w:hAnsiTheme="majorBidi" w:cstheme="majorBidi"/>
          <w:sz w:val="24"/>
          <w:szCs w:val="24"/>
        </w:rPr>
        <w:t xml:space="preserve"> at the post-dam station of Blanchard Dam</w:t>
      </w:r>
      <w:r>
        <w:rPr>
          <w:rFonts w:asciiTheme="majorBidi" w:hAnsiTheme="majorBidi" w:cstheme="majorBidi"/>
          <w:sz w:val="24"/>
          <w:szCs w:val="24"/>
        </w:rPr>
        <w:t xml:space="preserve"> </w:t>
      </w:r>
      <w:r w:rsidRPr="00854E06">
        <w:rPr>
          <w:rFonts w:asciiTheme="majorBidi" w:hAnsiTheme="majorBidi" w:cstheme="majorBidi"/>
          <w:sz w:val="24"/>
          <w:szCs w:val="24"/>
        </w:rPr>
        <w:t xml:space="preserve">was consistently higher than at the pre-dam station (P &lt; 0.01), while the exponent </w:t>
      </w:r>
      <m:oMath>
        <m:r>
          <w:rPr>
            <w:rFonts w:ascii="Cambria Math" w:hAnsi="Cambria Math" w:cstheme="majorBidi"/>
            <w:sz w:val="24"/>
            <w:szCs w:val="24"/>
          </w:rPr>
          <m:t>b</m:t>
        </m:r>
      </m:oMath>
      <w:r w:rsidRPr="00854E06">
        <w:rPr>
          <w:rFonts w:asciiTheme="majorBidi" w:hAnsiTheme="majorBidi" w:cstheme="majorBidi"/>
          <w:sz w:val="24"/>
          <w:szCs w:val="24"/>
        </w:rPr>
        <w:t xml:space="preserve"> was consistently lower (P &lt; 0.01)  </w:t>
      </w:r>
    </w:p>
    <w:p w:rsidR="008B73D4" w:rsidRPr="00854E06" w:rsidRDefault="008B73D4" w:rsidP="008B73D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ind w:firstLine="720"/>
        <w:jc w:val="both"/>
        <w:rPr>
          <w:rFonts w:asciiTheme="majorBidi" w:hAnsiTheme="majorBidi" w:cstheme="majorBidi"/>
          <w:sz w:val="24"/>
          <w:szCs w:val="24"/>
        </w:rPr>
      </w:pPr>
      <w:r w:rsidRPr="00854E06">
        <w:rPr>
          <w:rFonts w:asciiTheme="majorBidi" w:hAnsiTheme="majorBidi" w:cstheme="majorBidi"/>
          <w:sz w:val="24"/>
          <w:szCs w:val="24"/>
        </w:rPr>
        <w:t xml:space="preserve">Two post-dam stations were associated with the Coon Rapids Dam. The distances upstream to the Coon Rapids dam from post-dam stations 10013 and 10011 are 12 km and 30.1 km, respectively. The effects of the dam on suspended sediment load at these stations differ. Between stations 10009 (pre-dam) and 10013, </w:t>
      </w:r>
      <m:oMath>
        <m:r>
          <w:rPr>
            <w:rFonts w:ascii="Cambria Math" w:hAnsi="Cambria Math" w:cstheme="majorBidi"/>
            <w:sz w:val="24"/>
            <w:szCs w:val="24"/>
          </w:rPr>
          <m:t>ln(a)</m:t>
        </m:r>
      </m:oMath>
      <w:r w:rsidRPr="00854E06">
        <w:rPr>
          <w:rFonts w:asciiTheme="majorBidi" w:hAnsiTheme="majorBidi" w:cstheme="majorBidi"/>
          <w:sz w:val="24"/>
          <w:szCs w:val="24"/>
        </w:rPr>
        <w:t xml:space="preserve"> was significantly higher at station 10009 than at post-dam station 10013 in most months, except for April and May. On the other hand, the exponent</w:t>
      </w:r>
      <w:r>
        <w:rPr>
          <w:rFonts w:asciiTheme="majorBidi" w:hAnsiTheme="majorBidi" w:cstheme="majorBidi"/>
          <w:sz w:val="24"/>
          <w:szCs w:val="24"/>
        </w:rPr>
        <w:t>s</w:t>
      </w:r>
      <w:r w:rsidRPr="00854E06">
        <w:rPr>
          <w:rFonts w:asciiTheme="majorBidi" w:hAnsiTheme="majorBidi" w:cstheme="majorBidi"/>
          <w:sz w:val="24"/>
          <w:szCs w:val="24"/>
        </w:rPr>
        <w:t xml:space="preserve">  </w:t>
      </w:r>
      <m:oMath>
        <m:r>
          <w:rPr>
            <w:rFonts w:ascii="Cambria Math" w:hAnsi="Cambria Math" w:cstheme="majorBidi"/>
            <w:sz w:val="24"/>
            <w:szCs w:val="24"/>
          </w:rPr>
          <m:t>b</m:t>
        </m:r>
      </m:oMath>
      <w:r w:rsidRPr="00854E06">
        <w:rPr>
          <w:rFonts w:asciiTheme="majorBidi" w:hAnsiTheme="majorBidi" w:cstheme="majorBidi"/>
          <w:sz w:val="24"/>
          <w:szCs w:val="24"/>
        </w:rPr>
        <w:t xml:space="preserve"> at pre-dam station 10009 were significantly lower than at post-dam station 10013 in January, February, July, August, November, and December. The rating parameters at post-dam station 10011 were not significantly different from the parameters of pre-dam station 10009.</w:t>
      </w:r>
    </w:p>
    <w:p w:rsidR="008B73D4" w:rsidRPr="00854E06" w:rsidRDefault="008B73D4" w:rsidP="008B73D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ind w:firstLine="720"/>
        <w:jc w:val="both"/>
        <w:rPr>
          <w:rFonts w:asciiTheme="majorBidi" w:hAnsiTheme="majorBidi" w:cstheme="majorBidi"/>
          <w:sz w:val="24"/>
          <w:szCs w:val="24"/>
        </w:rPr>
      </w:pPr>
      <w:r w:rsidRPr="00854E06">
        <w:rPr>
          <w:rFonts w:asciiTheme="majorBidi" w:hAnsiTheme="majorBidi" w:cstheme="majorBidi"/>
          <w:sz w:val="24"/>
          <w:szCs w:val="24"/>
        </w:rPr>
        <w:t xml:space="preserve">At Lock and Dam 2, </w:t>
      </w:r>
      <m:oMath>
        <m:r>
          <w:rPr>
            <w:rFonts w:ascii="Cambria Math" w:hAnsi="Cambria Math" w:cstheme="majorBidi"/>
            <w:sz w:val="24"/>
            <w:szCs w:val="24"/>
          </w:rPr>
          <m:t>ln(a)</m:t>
        </m:r>
      </m:oMath>
      <w:r w:rsidRPr="00854E06">
        <w:rPr>
          <w:rFonts w:asciiTheme="majorBidi" w:hAnsiTheme="majorBidi" w:cstheme="majorBidi"/>
          <w:sz w:val="24"/>
          <w:szCs w:val="24"/>
        </w:rPr>
        <w:t xml:space="preserve"> was significantly higher at the post-dam station than at the pre-dam station, and </w:t>
      </w:r>
      <m:oMath>
        <m:r>
          <w:rPr>
            <w:rFonts w:ascii="Cambria Math" w:hAnsi="Cambria Math" w:cstheme="majorBidi"/>
            <w:sz w:val="24"/>
            <w:szCs w:val="24"/>
          </w:rPr>
          <m:t>b</m:t>
        </m:r>
      </m:oMath>
      <w:r w:rsidRPr="00854E06">
        <w:rPr>
          <w:rFonts w:asciiTheme="majorBidi" w:hAnsiTheme="majorBidi" w:cstheme="majorBidi"/>
          <w:sz w:val="24"/>
          <w:szCs w:val="24"/>
        </w:rPr>
        <w:t xml:space="preserve"> was significantly higher at</w:t>
      </w:r>
      <w:r>
        <w:rPr>
          <w:rFonts w:asciiTheme="majorBidi" w:hAnsiTheme="majorBidi" w:cstheme="majorBidi"/>
          <w:sz w:val="24"/>
          <w:szCs w:val="24"/>
        </w:rPr>
        <w:t xml:space="preserve"> the</w:t>
      </w:r>
      <w:r w:rsidRPr="00854E06">
        <w:rPr>
          <w:rFonts w:asciiTheme="majorBidi" w:hAnsiTheme="majorBidi" w:cstheme="majorBidi"/>
          <w:sz w:val="24"/>
          <w:szCs w:val="24"/>
        </w:rPr>
        <w:t xml:space="preserve"> pre-dam station than at </w:t>
      </w:r>
      <w:r>
        <w:rPr>
          <w:rFonts w:asciiTheme="majorBidi" w:hAnsiTheme="majorBidi" w:cstheme="majorBidi"/>
          <w:sz w:val="24"/>
          <w:szCs w:val="24"/>
        </w:rPr>
        <w:t xml:space="preserve">the </w:t>
      </w:r>
      <w:r w:rsidRPr="00854E06">
        <w:rPr>
          <w:rFonts w:asciiTheme="majorBidi" w:hAnsiTheme="majorBidi" w:cstheme="majorBidi"/>
          <w:sz w:val="24"/>
          <w:szCs w:val="24"/>
        </w:rPr>
        <w:t xml:space="preserve">post-dam station in April and July.    </w:t>
      </w:r>
    </w:p>
    <w:p w:rsidR="00E06063" w:rsidRPr="00523FFD" w:rsidRDefault="00E06063" w:rsidP="00F952FE">
      <w:pPr>
        <w:pStyle w:val="Heading2"/>
        <w:numPr>
          <w:ilvl w:val="0"/>
          <w:numId w:val="39"/>
        </w:numPr>
        <w:ind w:left="360"/>
      </w:pPr>
      <w:bookmarkStart w:id="84" w:name="_Toc394525574"/>
      <w:r w:rsidRPr="00523FFD">
        <w:t>The effects of land use on the rating parameters</w:t>
      </w:r>
      <w:bookmarkEnd w:id="84"/>
    </w:p>
    <w:p w:rsidR="008B73D4" w:rsidRDefault="008B73D4" w:rsidP="008B73D4">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ind w:firstLine="720"/>
        <w:jc w:val="both"/>
        <w:rPr>
          <w:rFonts w:asciiTheme="majorBidi" w:hAnsiTheme="majorBidi" w:cstheme="majorBidi"/>
          <w:sz w:val="24"/>
          <w:szCs w:val="24"/>
        </w:rPr>
      </w:pPr>
      <w:r>
        <w:rPr>
          <w:rFonts w:asciiTheme="majorBidi" w:hAnsiTheme="majorBidi" w:cstheme="majorBidi"/>
          <w:sz w:val="24"/>
          <w:szCs w:val="24"/>
        </w:rPr>
        <w:t>T</w:t>
      </w:r>
      <w:r w:rsidRPr="00854E06">
        <w:rPr>
          <w:rFonts w:asciiTheme="majorBidi" w:hAnsiTheme="majorBidi" w:cstheme="majorBidi"/>
          <w:sz w:val="24"/>
          <w:szCs w:val="24"/>
        </w:rPr>
        <w:t xml:space="preserve">he </w:t>
      </w:r>
      <w:r>
        <w:rPr>
          <w:rFonts w:asciiTheme="majorBidi" w:hAnsiTheme="majorBidi" w:cstheme="majorBidi"/>
          <w:sz w:val="24"/>
          <w:szCs w:val="24"/>
        </w:rPr>
        <w:t xml:space="preserve">proportions </w:t>
      </w:r>
      <w:r w:rsidRPr="00854E06">
        <w:rPr>
          <w:rFonts w:asciiTheme="majorBidi" w:hAnsiTheme="majorBidi" w:cstheme="majorBidi"/>
          <w:sz w:val="24"/>
          <w:szCs w:val="24"/>
        </w:rPr>
        <w:t xml:space="preserve">of different land uses </w:t>
      </w:r>
      <w:r>
        <w:rPr>
          <w:rFonts w:asciiTheme="majorBidi" w:hAnsiTheme="majorBidi" w:cstheme="majorBidi"/>
          <w:sz w:val="24"/>
          <w:szCs w:val="24"/>
        </w:rPr>
        <w:t xml:space="preserve">in the </w:t>
      </w:r>
      <w:r w:rsidRPr="00854E06">
        <w:rPr>
          <w:rFonts w:asciiTheme="majorBidi" w:hAnsiTheme="majorBidi" w:cstheme="majorBidi"/>
          <w:sz w:val="24"/>
          <w:szCs w:val="24"/>
        </w:rPr>
        <w:t xml:space="preserve">contributing </w:t>
      </w:r>
      <w:r>
        <w:rPr>
          <w:rFonts w:asciiTheme="majorBidi" w:hAnsiTheme="majorBidi" w:cstheme="majorBidi"/>
          <w:sz w:val="24"/>
          <w:szCs w:val="24"/>
        </w:rPr>
        <w:t>areas</w:t>
      </w:r>
      <w:r w:rsidRPr="00854E06">
        <w:rPr>
          <w:rFonts w:asciiTheme="majorBidi" w:hAnsiTheme="majorBidi" w:cstheme="majorBidi"/>
          <w:sz w:val="24"/>
          <w:szCs w:val="24"/>
        </w:rPr>
        <w:t xml:space="preserve"> of all stations are not significant</w:t>
      </w:r>
      <w:r>
        <w:rPr>
          <w:rFonts w:asciiTheme="majorBidi" w:hAnsiTheme="majorBidi" w:cstheme="majorBidi"/>
          <w:sz w:val="24"/>
          <w:szCs w:val="24"/>
        </w:rPr>
        <w:t xml:space="preserve">ly correlated with </w:t>
      </w:r>
      <w:r w:rsidRPr="00854E06">
        <w:rPr>
          <w:rFonts w:asciiTheme="majorBidi" w:hAnsiTheme="majorBidi" w:cstheme="majorBidi"/>
          <w:sz w:val="24"/>
          <w:szCs w:val="24"/>
        </w:rPr>
        <w:t>the rating parameters at the annual level (P &gt; 0.1</w:t>
      </w:r>
      <w:r>
        <w:rPr>
          <w:rFonts w:asciiTheme="majorBidi" w:hAnsiTheme="majorBidi" w:cstheme="majorBidi"/>
          <w:sz w:val="24"/>
          <w:szCs w:val="24"/>
        </w:rPr>
        <w:t>, Table 5-7</w:t>
      </w:r>
      <w:r w:rsidRPr="00854E06">
        <w:rPr>
          <w:rFonts w:asciiTheme="majorBidi" w:hAnsiTheme="majorBidi" w:cstheme="majorBidi"/>
          <w:sz w:val="24"/>
          <w:szCs w:val="24"/>
        </w:rPr>
        <w:t xml:space="preserve">). At the monthly level, I used </w:t>
      </w:r>
      <w:r>
        <w:rPr>
          <w:rFonts w:asciiTheme="majorBidi" w:hAnsiTheme="majorBidi" w:cstheme="majorBidi"/>
          <w:sz w:val="24"/>
          <w:szCs w:val="24"/>
        </w:rPr>
        <w:t xml:space="preserve">the </w:t>
      </w:r>
      <w:r w:rsidRPr="00854E06">
        <w:rPr>
          <w:rFonts w:asciiTheme="majorBidi" w:hAnsiTheme="majorBidi" w:cstheme="majorBidi"/>
          <w:sz w:val="24"/>
          <w:szCs w:val="24"/>
        </w:rPr>
        <w:t xml:space="preserve">Spearman correlation for the coefficient </w:t>
      </w:r>
      <m:oMath>
        <m:r>
          <w:rPr>
            <w:rFonts w:ascii="Cambria Math" w:hAnsi="Cambria Math" w:cstheme="majorBidi"/>
            <w:sz w:val="24"/>
            <w:szCs w:val="24"/>
          </w:rPr>
          <m:t>a</m:t>
        </m:r>
      </m:oMath>
      <w:r w:rsidRPr="00854E06">
        <w:rPr>
          <w:rFonts w:asciiTheme="majorBidi" w:hAnsiTheme="majorBidi" w:cstheme="majorBidi"/>
          <w:sz w:val="24"/>
          <w:szCs w:val="24"/>
        </w:rPr>
        <w:t xml:space="preserve"> and </w:t>
      </w:r>
      <w:r>
        <w:rPr>
          <w:rFonts w:asciiTheme="majorBidi" w:hAnsiTheme="majorBidi" w:cstheme="majorBidi"/>
          <w:sz w:val="24"/>
          <w:szCs w:val="24"/>
        </w:rPr>
        <w:t xml:space="preserve">the </w:t>
      </w:r>
      <w:r w:rsidRPr="00854E06">
        <w:rPr>
          <w:rFonts w:asciiTheme="majorBidi" w:hAnsiTheme="majorBidi" w:cstheme="majorBidi"/>
          <w:sz w:val="24"/>
          <w:szCs w:val="24"/>
        </w:rPr>
        <w:t>Pearso</w:t>
      </w:r>
      <w:r>
        <w:rPr>
          <w:rFonts w:asciiTheme="majorBidi" w:hAnsiTheme="majorBidi" w:cstheme="majorBidi"/>
          <w:sz w:val="24"/>
          <w:szCs w:val="24"/>
        </w:rPr>
        <w:t xml:space="preserve">n correlation for the exponent, </w:t>
      </w:r>
      <w:r w:rsidRPr="00854E06">
        <w:rPr>
          <w:rFonts w:asciiTheme="majorBidi" w:hAnsiTheme="majorBidi" w:cstheme="majorBidi"/>
          <w:sz w:val="24"/>
          <w:szCs w:val="24"/>
        </w:rPr>
        <w:t xml:space="preserve">as the monthly exponents </w:t>
      </w:r>
      <m:oMath>
        <m:r>
          <w:rPr>
            <w:rFonts w:ascii="Cambria Math" w:hAnsi="Cambria Math" w:cstheme="majorBidi"/>
            <w:sz w:val="24"/>
            <w:szCs w:val="24"/>
          </w:rPr>
          <m:t>b</m:t>
        </m:r>
      </m:oMath>
      <w:r w:rsidRPr="00854E06">
        <w:rPr>
          <w:rFonts w:asciiTheme="majorBidi" w:hAnsiTheme="majorBidi" w:cstheme="majorBidi"/>
          <w:sz w:val="24"/>
          <w:szCs w:val="24"/>
        </w:rPr>
        <w:t xml:space="preserve"> met the assumption</w:t>
      </w:r>
      <w:r>
        <w:rPr>
          <w:rFonts w:asciiTheme="majorBidi" w:hAnsiTheme="majorBidi" w:cstheme="majorBidi"/>
          <w:sz w:val="24"/>
          <w:szCs w:val="24"/>
        </w:rPr>
        <w:t xml:space="preserve"> of </w:t>
      </w:r>
      <w:r w:rsidRPr="00854E06">
        <w:rPr>
          <w:rFonts w:asciiTheme="majorBidi" w:hAnsiTheme="majorBidi" w:cstheme="majorBidi"/>
          <w:sz w:val="24"/>
          <w:szCs w:val="24"/>
        </w:rPr>
        <w:t>normal distributio</w:t>
      </w:r>
      <w:r>
        <w:rPr>
          <w:rFonts w:asciiTheme="majorBidi" w:hAnsiTheme="majorBidi" w:cstheme="majorBidi"/>
          <w:sz w:val="24"/>
          <w:szCs w:val="24"/>
        </w:rPr>
        <w:t>ns</w:t>
      </w:r>
      <w:r w:rsidRPr="00854E06">
        <w:rPr>
          <w:rFonts w:asciiTheme="majorBidi" w:hAnsiTheme="majorBidi" w:cstheme="majorBidi"/>
          <w:sz w:val="24"/>
          <w:szCs w:val="24"/>
        </w:rPr>
        <w:t xml:space="preserve">. </w:t>
      </w:r>
    </w:p>
    <w:p w:rsidR="007F2E18" w:rsidRDefault="007F2E18" w:rsidP="007F2E18">
      <w:pPr>
        <w:spacing w:after="200"/>
        <w:rPr>
          <w:rFonts w:cstheme="majorBidi"/>
          <w:b/>
          <w:bCs/>
        </w:rPr>
        <w:sectPr w:rsidR="007F2E18">
          <w:pgSz w:w="12240" w:h="15840"/>
          <w:pgMar w:top="1440" w:right="1440" w:bottom="1440" w:left="1440" w:header="720" w:footer="720" w:gutter="0"/>
          <w:cols w:space="720"/>
          <w:docGrid w:linePitch="360"/>
        </w:sectPr>
      </w:pPr>
    </w:p>
    <w:p w:rsidR="007F2E18" w:rsidRPr="007F2E18" w:rsidRDefault="007F2E18" w:rsidP="00E06476">
      <w:pPr>
        <w:spacing w:after="200"/>
        <w:rPr>
          <w:rFonts w:cstheme="majorBidi"/>
          <w:b/>
          <w:bCs/>
        </w:rPr>
      </w:pPr>
      <w:bookmarkStart w:id="85" w:name="_Toc394005467"/>
      <w:proofErr w:type="gramStart"/>
      <w:r w:rsidRPr="007F2E18">
        <w:rPr>
          <w:rFonts w:cstheme="majorBidi"/>
          <w:b/>
          <w:bCs/>
        </w:rPr>
        <w:lastRenderedPageBreak/>
        <w:t xml:space="preserve">Table 5 - </w:t>
      </w:r>
      <w:r w:rsidR="00F41E6A" w:rsidRPr="007F2E18">
        <w:rPr>
          <w:rFonts w:cstheme="majorBidi"/>
          <w:b/>
          <w:bCs/>
        </w:rPr>
        <w:fldChar w:fldCharType="begin"/>
      </w:r>
      <w:r w:rsidRPr="007F2E18">
        <w:rPr>
          <w:rFonts w:cstheme="majorBidi"/>
          <w:b/>
          <w:bCs/>
        </w:rPr>
        <w:instrText xml:space="preserve"> SEQ Table_5_- \* ARABIC </w:instrText>
      </w:r>
      <w:r w:rsidR="00F41E6A" w:rsidRPr="007F2E18">
        <w:rPr>
          <w:rFonts w:cstheme="majorBidi"/>
          <w:b/>
          <w:bCs/>
        </w:rPr>
        <w:fldChar w:fldCharType="separate"/>
      </w:r>
      <w:r w:rsidR="008E2F67">
        <w:rPr>
          <w:rFonts w:cstheme="majorBidi"/>
          <w:b/>
          <w:bCs/>
          <w:noProof/>
        </w:rPr>
        <w:t>1</w:t>
      </w:r>
      <w:r w:rsidR="00F41E6A" w:rsidRPr="007F2E18">
        <w:rPr>
          <w:rFonts w:cstheme="majorBidi"/>
          <w:b/>
          <w:bCs/>
        </w:rPr>
        <w:fldChar w:fldCharType="end"/>
      </w:r>
      <w:r w:rsidRPr="007F2E18">
        <w:rPr>
          <w:rFonts w:cstheme="majorBidi"/>
          <w:b/>
          <w:bCs/>
        </w:rPr>
        <w:t>.</w:t>
      </w:r>
      <w:proofErr w:type="gramEnd"/>
      <w:r w:rsidRPr="007F2E18">
        <w:rPr>
          <w:rFonts w:cstheme="majorBidi"/>
          <w:b/>
          <w:bCs/>
        </w:rPr>
        <w:t xml:space="preserve"> Descriptive statistics of the rating parameters at annual and monthly levels for 6</w:t>
      </w:r>
      <w:r w:rsidR="00E06476">
        <w:rPr>
          <w:rFonts w:cstheme="majorBidi"/>
          <w:b/>
          <w:bCs/>
        </w:rPr>
        <w:t>4</w:t>
      </w:r>
      <w:r w:rsidRPr="007F2E18">
        <w:rPr>
          <w:rFonts w:cstheme="majorBidi"/>
          <w:b/>
          <w:bCs/>
        </w:rPr>
        <w:t xml:space="preserve"> gauging stations in the UMRB</w:t>
      </w:r>
      <w:bookmarkEnd w:id="85"/>
    </w:p>
    <w:tbl>
      <w:tblPr>
        <w:tblW w:w="10456"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990"/>
        <w:gridCol w:w="990"/>
        <w:gridCol w:w="1144"/>
        <w:gridCol w:w="1231"/>
        <w:gridCol w:w="1357"/>
        <w:gridCol w:w="1124"/>
        <w:gridCol w:w="1408"/>
        <w:gridCol w:w="1492"/>
      </w:tblGrid>
      <w:tr w:rsidR="009236E5" w:rsidRPr="007F2E18" w:rsidTr="00EC6E3E">
        <w:trPr>
          <w:trHeight w:val="503"/>
          <w:jc w:val="center"/>
        </w:trPr>
        <w:tc>
          <w:tcPr>
            <w:tcW w:w="1710" w:type="dxa"/>
            <w:gridSpan w:val="2"/>
            <w:tcBorders>
              <w:bottom w:val="single" w:sz="12" w:space="0" w:color="auto"/>
            </w:tcBorders>
          </w:tcPr>
          <w:p w:rsidR="009236E5" w:rsidRPr="007F2E18"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ajorBidi"/>
              </w:rPr>
            </w:pPr>
          </w:p>
        </w:tc>
        <w:tc>
          <w:tcPr>
            <w:tcW w:w="990" w:type="dxa"/>
            <w:tcBorders>
              <w:bottom w:val="single" w:sz="12" w:space="0" w:color="auto"/>
            </w:tcBorders>
            <w:vAlign w:val="center"/>
          </w:tcPr>
          <w:p w:rsidR="009236E5" w:rsidRPr="00EC6E3E"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ajorBidi"/>
                <w:b/>
                <w:i/>
              </w:rPr>
            </w:pPr>
            <w:r w:rsidRPr="00EC6E3E">
              <w:rPr>
                <w:rFonts w:cstheme="majorBidi"/>
                <w:b/>
                <w:i/>
              </w:rPr>
              <w:t>Annual</w:t>
            </w:r>
          </w:p>
        </w:tc>
        <w:tc>
          <w:tcPr>
            <w:tcW w:w="1144" w:type="dxa"/>
            <w:tcBorders>
              <w:bottom w:val="single" w:sz="12" w:space="0" w:color="auto"/>
            </w:tcBorders>
            <w:vAlign w:val="center"/>
          </w:tcPr>
          <w:p w:rsidR="009236E5" w:rsidRPr="00EC6E3E"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ajorBidi"/>
                <w:b/>
                <w:i/>
              </w:rPr>
            </w:pPr>
            <w:r w:rsidRPr="00EC6E3E">
              <w:rPr>
                <w:rFonts w:cstheme="majorBidi"/>
                <w:b/>
                <w:i/>
              </w:rPr>
              <w:t>January</w:t>
            </w:r>
          </w:p>
        </w:tc>
        <w:tc>
          <w:tcPr>
            <w:tcW w:w="1231" w:type="dxa"/>
            <w:tcBorders>
              <w:bottom w:val="single" w:sz="12" w:space="0" w:color="auto"/>
            </w:tcBorders>
            <w:vAlign w:val="center"/>
          </w:tcPr>
          <w:p w:rsidR="009236E5" w:rsidRPr="00EC6E3E"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ajorBidi"/>
                <w:b/>
                <w:i/>
              </w:rPr>
            </w:pPr>
            <w:r w:rsidRPr="00EC6E3E">
              <w:rPr>
                <w:rFonts w:cstheme="majorBidi"/>
                <w:b/>
                <w:i/>
              </w:rPr>
              <w:t>February</w:t>
            </w:r>
          </w:p>
        </w:tc>
        <w:tc>
          <w:tcPr>
            <w:tcW w:w="1357" w:type="dxa"/>
            <w:tcBorders>
              <w:bottom w:val="single" w:sz="12" w:space="0" w:color="auto"/>
            </w:tcBorders>
            <w:vAlign w:val="center"/>
          </w:tcPr>
          <w:p w:rsidR="009236E5" w:rsidRPr="00EC6E3E" w:rsidRDefault="009236E5" w:rsidP="009236E5">
            <w:pPr>
              <w:jc w:val="center"/>
              <w:rPr>
                <w:rFonts w:cstheme="majorBidi"/>
                <w:b/>
                <w:i/>
              </w:rPr>
            </w:pPr>
            <w:r w:rsidRPr="00EC6E3E">
              <w:rPr>
                <w:rFonts w:cstheme="majorBidi"/>
                <w:b/>
                <w:i/>
              </w:rPr>
              <w:t>March</w:t>
            </w:r>
          </w:p>
        </w:tc>
        <w:tc>
          <w:tcPr>
            <w:tcW w:w="1124" w:type="dxa"/>
            <w:tcBorders>
              <w:bottom w:val="single" w:sz="12" w:space="0" w:color="auto"/>
            </w:tcBorders>
            <w:vAlign w:val="center"/>
          </w:tcPr>
          <w:p w:rsidR="009236E5" w:rsidRPr="00EC6E3E" w:rsidRDefault="009236E5" w:rsidP="009236E5">
            <w:pPr>
              <w:jc w:val="center"/>
              <w:rPr>
                <w:rFonts w:cstheme="majorBidi"/>
                <w:b/>
                <w:i/>
              </w:rPr>
            </w:pPr>
            <w:r w:rsidRPr="00EC6E3E">
              <w:rPr>
                <w:rFonts w:cstheme="majorBidi"/>
                <w:b/>
                <w:i/>
              </w:rPr>
              <w:t>April</w:t>
            </w:r>
          </w:p>
        </w:tc>
        <w:tc>
          <w:tcPr>
            <w:tcW w:w="1408" w:type="dxa"/>
            <w:tcBorders>
              <w:bottom w:val="single" w:sz="12" w:space="0" w:color="auto"/>
            </w:tcBorders>
            <w:vAlign w:val="center"/>
          </w:tcPr>
          <w:p w:rsidR="009236E5" w:rsidRPr="00EC6E3E" w:rsidRDefault="009236E5" w:rsidP="009236E5">
            <w:pPr>
              <w:jc w:val="center"/>
              <w:rPr>
                <w:rFonts w:cstheme="majorBidi"/>
                <w:b/>
                <w:i/>
              </w:rPr>
            </w:pPr>
            <w:r w:rsidRPr="00EC6E3E">
              <w:rPr>
                <w:rFonts w:cstheme="majorBidi"/>
                <w:b/>
                <w:i/>
              </w:rPr>
              <w:t>May</w:t>
            </w:r>
          </w:p>
        </w:tc>
        <w:tc>
          <w:tcPr>
            <w:tcW w:w="1492" w:type="dxa"/>
            <w:tcBorders>
              <w:bottom w:val="single" w:sz="12" w:space="0" w:color="auto"/>
            </w:tcBorders>
            <w:vAlign w:val="center"/>
          </w:tcPr>
          <w:p w:rsidR="009236E5" w:rsidRPr="00EC6E3E" w:rsidRDefault="009236E5" w:rsidP="009236E5">
            <w:pPr>
              <w:jc w:val="center"/>
              <w:rPr>
                <w:rFonts w:cstheme="majorBidi"/>
                <w:b/>
                <w:i/>
              </w:rPr>
            </w:pPr>
            <w:r w:rsidRPr="00EC6E3E">
              <w:rPr>
                <w:rFonts w:cstheme="majorBidi"/>
                <w:b/>
                <w:i/>
              </w:rPr>
              <w:t>June</w:t>
            </w:r>
          </w:p>
        </w:tc>
      </w:tr>
      <w:tr w:rsidR="009236E5" w:rsidRPr="007F2E18" w:rsidTr="00EC6E3E">
        <w:trPr>
          <w:trHeight w:val="276"/>
          <w:jc w:val="center"/>
        </w:trPr>
        <w:tc>
          <w:tcPr>
            <w:tcW w:w="720" w:type="dxa"/>
            <w:vMerge w:val="restart"/>
            <w:tcBorders>
              <w:top w:val="single" w:sz="12" w:space="0" w:color="auto"/>
              <w:left w:val="single" w:sz="2" w:space="0" w:color="auto"/>
              <w:bottom w:val="single" w:sz="2" w:space="0" w:color="auto"/>
              <w:right w:val="single" w:sz="2" w:space="0" w:color="auto"/>
            </w:tcBorders>
            <w:vAlign w:val="center"/>
          </w:tcPr>
          <w:p w:rsidR="009236E5" w:rsidRPr="00EC6E3E"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m:oMathPara>
              <m:oMath>
                <m:r>
                  <w:rPr>
                    <w:rFonts w:ascii="Cambria Math" w:hAnsi="Cambria Math"/>
                  </w:rPr>
                  <m:t>a</m:t>
                </m:r>
              </m:oMath>
            </m:oMathPara>
          </w:p>
        </w:tc>
        <w:tc>
          <w:tcPr>
            <w:tcW w:w="990"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EC6E3E">
              <w:t>Max</w:t>
            </w:r>
          </w:p>
        </w:tc>
        <w:tc>
          <w:tcPr>
            <w:tcW w:w="990"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jc w:val="center"/>
              <w:rPr>
                <w:color w:val="000000"/>
              </w:rPr>
            </w:pPr>
            <w:r w:rsidRPr="00EC6E3E">
              <w:rPr>
                <w:color w:val="000000"/>
              </w:rPr>
              <w:t>0.254</w:t>
            </w:r>
          </w:p>
        </w:tc>
        <w:tc>
          <w:tcPr>
            <w:tcW w:w="1144"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jc w:val="center"/>
              <w:rPr>
                <w:color w:val="000000"/>
              </w:rPr>
            </w:pPr>
            <w:r w:rsidRPr="00EC6E3E">
              <w:rPr>
                <w:color w:val="000000"/>
              </w:rPr>
              <w:t>0.151</w:t>
            </w:r>
          </w:p>
        </w:tc>
        <w:tc>
          <w:tcPr>
            <w:tcW w:w="1231"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jc w:val="center"/>
              <w:rPr>
                <w:color w:val="000000"/>
              </w:rPr>
            </w:pPr>
            <w:r w:rsidRPr="00EC6E3E">
              <w:rPr>
                <w:color w:val="000000"/>
              </w:rPr>
              <w:t>0.194</w:t>
            </w:r>
          </w:p>
        </w:tc>
        <w:tc>
          <w:tcPr>
            <w:tcW w:w="1357"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jc w:val="center"/>
              <w:rPr>
                <w:color w:val="000000"/>
              </w:rPr>
            </w:pPr>
            <w:r w:rsidRPr="00EC6E3E">
              <w:rPr>
                <w:color w:val="000000"/>
              </w:rPr>
              <w:t>0.208</w:t>
            </w:r>
          </w:p>
        </w:tc>
        <w:tc>
          <w:tcPr>
            <w:tcW w:w="1124"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jc w:val="center"/>
              <w:rPr>
                <w:color w:val="000000"/>
              </w:rPr>
            </w:pPr>
            <w:r w:rsidRPr="00EC6E3E">
              <w:rPr>
                <w:color w:val="000000"/>
              </w:rPr>
              <w:t>0.239</w:t>
            </w:r>
          </w:p>
        </w:tc>
        <w:tc>
          <w:tcPr>
            <w:tcW w:w="1408"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jc w:val="center"/>
              <w:rPr>
                <w:color w:val="000000"/>
              </w:rPr>
            </w:pPr>
            <w:r w:rsidRPr="00EC6E3E">
              <w:rPr>
                <w:color w:val="000000"/>
              </w:rPr>
              <w:t>0.208</w:t>
            </w:r>
          </w:p>
        </w:tc>
        <w:tc>
          <w:tcPr>
            <w:tcW w:w="1492"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jc w:val="center"/>
              <w:rPr>
                <w:color w:val="000000"/>
              </w:rPr>
            </w:pPr>
            <w:r w:rsidRPr="00EC6E3E">
              <w:rPr>
                <w:color w:val="000000"/>
              </w:rPr>
              <w:t>0.147</w:t>
            </w:r>
          </w:p>
        </w:tc>
      </w:tr>
      <w:tr w:rsidR="009236E5" w:rsidRPr="007F2E18" w:rsidTr="00EC6E3E">
        <w:trPr>
          <w:trHeight w:val="276"/>
          <w:jc w:val="center"/>
        </w:trPr>
        <w:tc>
          <w:tcPr>
            <w:tcW w:w="720" w:type="dxa"/>
            <w:vMerge/>
            <w:tcBorders>
              <w:top w:val="single" w:sz="2" w:space="0" w:color="auto"/>
            </w:tcBorders>
            <w:vAlign w:val="center"/>
          </w:tcPr>
          <w:p w:rsidR="009236E5" w:rsidRPr="007F2E18"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ajorBidi"/>
              </w:rPr>
            </w:pPr>
          </w:p>
        </w:tc>
        <w:tc>
          <w:tcPr>
            <w:tcW w:w="990" w:type="dxa"/>
            <w:tcBorders>
              <w:top w:val="single" w:sz="2" w:space="0" w:color="auto"/>
            </w:tcBorders>
            <w:vAlign w:val="center"/>
          </w:tcPr>
          <w:p w:rsidR="009236E5" w:rsidRPr="007F2E18"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ajorBidi"/>
              </w:rPr>
            </w:pPr>
            <w:r w:rsidRPr="007F2E18">
              <w:rPr>
                <w:rFonts w:cstheme="majorBidi"/>
              </w:rPr>
              <w:t>Min</w:t>
            </w:r>
          </w:p>
        </w:tc>
        <w:tc>
          <w:tcPr>
            <w:tcW w:w="990" w:type="dxa"/>
            <w:tcBorders>
              <w:top w:val="single" w:sz="2" w:space="0" w:color="auto"/>
            </w:tcBorders>
            <w:vAlign w:val="center"/>
          </w:tcPr>
          <w:p w:rsidR="009236E5" w:rsidRPr="008C199D" w:rsidRDefault="009236E5" w:rsidP="009236E5">
            <w:pPr>
              <w:jc w:val="center"/>
              <w:rPr>
                <w:rFonts w:cstheme="majorBidi"/>
              </w:rPr>
            </w:pPr>
            <w:r w:rsidRPr="008C199D">
              <w:rPr>
                <w:rFonts w:cstheme="majorBidi"/>
              </w:rPr>
              <w:t>0.000</w:t>
            </w:r>
          </w:p>
        </w:tc>
        <w:tc>
          <w:tcPr>
            <w:tcW w:w="1144" w:type="dxa"/>
            <w:tcBorders>
              <w:top w:val="single" w:sz="2" w:space="0" w:color="auto"/>
            </w:tcBorders>
            <w:vAlign w:val="center"/>
          </w:tcPr>
          <w:p w:rsidR="009236E5" w:rsidRPr="008C199D" w:rsidRDefault="009236E5" w:rsidP="009236E5">
            <w:pPr>
              <w:jc w:val="center"/>
              <w:rPr>
                <w:rFonts w:cstheme="majorBidi"/>
              </w:rPr>
            </w:pPr>
            <w:r w:rsidRPr="008C199D">
              <w:rPr>
                <w:rFonts w:cstheme="majorBidi"/>
              </w:rPr>
              <w:t>0.000</w:t>
            </w:r>
          </w:p>
        </w:tc>
        <w:tc>
          <w:tcPr>
            <w:tcW w:w="1231" w:type="dxa"/>
            <w:tcBorders>
              <w:top w:val="single" w:sz="2" w:space="0" w:color="auto"/>
            </w:tcBorders>
            <w:vAlign w:val="center"/>
          </w:tcPr>
          <w:p w:rsidR="009236E5" w:rsidRPr="008C199D" w:rsidRDefault="009236E5" w:rsidP="009236E5">
            <w:pPr>
              <w:jc w:val="center"/>
              <w:rPr>
                <w:rFonts w:cstheme="majorBidi"/>
              </w:rPr>
            </w:pPr>
            <w:r w:rsidRPr="008C199D">
              <w:rPr>
                <w:rFonts w:cstheme="majorBidi"/>
              </w:rPr>
              <w:t>0.000</w:t>
            </w:r>
          </w:p>
        </w:tc>
        <w:tc>
          <w:tcPr>
            <w:tcW w:w="1357" w:type="dxa"/>
            <w:tcBorders>
              <w:top w:val="single" w:sz="2" w:space="0" w:color="auto"/>
            </w:tcBorders>
            <w:vAlign w:val="center"/>
          </w:tcPr>
          <w:p w:rsidR="009236E5" w:rsidRPr="008C199D" w:rsidRDefault="009236E5" w:rsidP="009236E5">
            <w:pPr>
              <w:jc w:val="center"/>
              <w:rPr>
                <w:rFonts w:cstheme="majorBidi"/>
              </w:rPr>
            </w:pPr>
            <w:r w:rsidRPr="008C199D">
              <w:rPr>
                <w:rFonts w:cstheme="majorBidi"/>
              </w:rPr>
              <w:t>0.000</w:t>
            </w:r>
          </w:p>
        </w:tc>
        <w:tc>
          <w:tcPr>
            <w:tcW w:w="1124" w:type="dxa"/>
            <w:tcBorders>
              <w:top w:val="single" w:sz="2" w:space="0" w:color="auto"/>
            </w:tcBorders>
            <w:vAlign w:val="center"/>
          </w:tcPr>
          <w:p w:rsidR="009236E5" w:rsidRPr="008C199D" w:rsidRDefault="009236E5" w:rsidP="009236E5">
            <w:pPr>
              <w:jc w:val="center"/>
              <w:rPr>
                <w:rFonts w:cstheme="majorBidi"/>
              </w:rPr>
            </w:pPr>
            <w:r w:rsidRPr="008C199D">
              <w:rPr>
                <w:rFonts w:cstheme="majorBidi"/>
              </w:rPr>
              <w:t>0.000</w:t>
            </w:r>
          </w:p>
        </w:tc>
        <w:tc>
          <w:tcPr>
            <w:tcW w:w="1408" w:type="dxa"/>
            <w:tcBorders>
              <w:top w:val="single" w:sz="2" w:space="0" w:color="auto"/>
            </w:tcBorders>
            <w:vAlign w:val="center"/>
          </w:tcPr>
          <w:p w:rsidR="009236E5" w:rsidRPr="008C199D" w:rsidRDefault="009236E5" w:rsidP="009236E5">
            <w:pPr>
              <w:jc w:val="center"/>
              <w:rPr>
                <w:rFonts w:cstheme="majorBidi"/>
              </w:rPr>
            </w:pPr>
            <w:r w:rsidRPr="008C199D">
              <w:rPr>
                <w:rFonts w:cstheme="majorBidi"/>
              </w:rPr>
              <w:t>0.000</w:t>
            </w:r>
          </w:p>
        </w:tc>
        <w:tc>
          <w:tcPr>
            <w:tcW w:w="1492" w:type="dxa"/>
            <w:tcBorders>
              <w:top w:val="single" w:sz="2" w:space="0" w:color="auto"/>
            </w:tcBorders>
            <w:vAlign w:val="center"/>
          </w:tcPr>
          <w:p w:rsidR="009236E5" w:rsidRPr="008C199D" w:rsidRDefault="009236E5" w:rsidP="009236E5">
            <w:pPr>
              <w:jc w:val="center"/>
              <w:rPr>
                <w:rFonts w:cstheme="majorBidi"/>
              </w:rPr>
            </w:pPr>
            <w:r w:rsidRPr="008C199D">
              <w:rPr>
                <w:rFonts w:cstheme="majorBidi"/>
              </w:rPr>
              <w:t>0.000</w:t>
            </w:r>
          </w:p>
        </w:tc>
      </w:tr>
      <w:tr w:rsidR="009236E5" w:rsidRPr="007F2E18" w:rsidTr="00EC6E3E">
        <w:trPr>
          <w:trHeight w:val="276"/>
          <w:jc w:val="center"/>
        </w:trPr>
        <w:tc>
          <w:tcPr>
            <w:tcW w:w="720" w:type="dxa"/>
            <w:vMerge/>
            <w:vAlign w:val="center"/>
          </w:tcPr>
          <w:p w:rsidR="009236E5" w:rsidRPr="007F2E18"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ajorBidi"/>
              </w:rPr>
            </w:pPr>
          </w:p>
        </w:tc>
        <w:tc>
          <w:tcPr>
            <w:tcW w:w="990" w:type="dxa"/>
            <w:vAlign w:val="center"/>
          </w:tcPr>
          <w:p w:rsidR="009236E5" w:rsidRPr="007F2E18"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ajorBidi"/>
              </w:rPr>
            </w:pPr>
            <w:r w:rsidRPr="007F2E18">
              <w:rPr>
                <w:rFonts w:cstheme="majorBidi"/>
              </w:rPr>
              <w:t>Mean</w:t>
            </w:r>
          </w:p>
        </w:tc>
        <w:tc>
          <w:tcPr>
            <w:tcW w:w="990" w:type="dxa"/>
            <w:vAlign w:val="center"/>
          </w:tcPr>
          <w:p w:rsidR="009236E5" w:rsidRPr="008C199D" w:rsidRDefault="009236E5" w:rsidP="009236E5">
            <w:pPr>
              <w:jc w:val="center"/>
              <w:rPr>
                <w:rFonts w:cstheme="majorBidi"/>
                <w:color w:val="000000"/>
              </w:rPr>
            </w:pPr>
            <w:r w:rsidRPr="008C199D">
              <w:rPr>
                <w:rFonts w:cstheme="majorBidi"/>
                <w:color w:val="000000"/>
              </w:rPr>
              <w:t>0.023</w:t>
            </w:r>
          </w:p>
        </w:tc>
        <w:tc>
          <w:tcPr>
            <w:tcW w:w="1144" w:type="dxa"/>
            <w:vAlign w:val="center"/>
          </w:tcPr>
          <w:p w:rsidR="009236E5" w:rsidRPr="008C199D" w:rsidRDefault="009236E5" w:rsidP="009236E5">
            <w:pPr>
              <w:jc w:val="center"/>
              <w:rPr>
                <w:rFonts w:cstheme="majorBidi"/>
                <w:color w:val="000000"/>
              </w:rPr>
            </w:pPr>
            <w:r w:rsidRPr="008C199D">
              <w:rPr>
                <w:rFonts w:cstheme="majorBidi"/>
                <w:color w:val="000000"/>
              </w:rPr>
              <w:t>0.012</w:t>
            </w:r>
          </w:p>
        </w:tc>
        <w:tc>
          <w:tcPr>
            <w:tcW w:w="1231" w:type="dxa"/>
            <w:vAlign w:val="center"/>
          </w:tcPr>
          <w:p w:rsidR="009236E5" w:rsidRPr="008C199D" w:rsidRDefault="009236E5" w:rsidP="009236E5">
            <w:pPr>
              <w:jc w:val="center"/>
              <w:rPr>
                <w:rFonts w:cstheme="majorBidi"/>
                <w:color w:val="000000"/>
              </w:rPr>
            </w:pPr>
            <w:r w:rsidRPr="008C199D">
              <w:rPr>
                <w:rFonts w:cstheme="majorBidi"/>
                <w:color w:val="000000"/>
              </w:rPr>
              <w:t>0.012</w:t>
            </w:r>
          </w:p>
        </w:tc>
        <w:tc>
          <w:tcPr>
            <w:tcW w:w="1357" w:type="dxa"/>
            <w:vAlign w:val="center"/>
          </w:tcPr>
          <w:p w:rsidR="009236E5" w:rsidRPr="008C199D" w:rsidRDefault="009236E5" w:rsidP="009236E5">
            <w:pPr>
              <w:jc w:val="center"/>
              <w:rPr>
                <w:rFonts w:cstheme="majorBidi"/>
                <w:color w:val="000000"/>
              </w:rPr>
            </w:pPr>
            <w:r w:rsidRPr="008C199D">
              <w:rPr>
                <w:rFonts w:cstheme="majorBidi"/>
                <w:color w:val="000000"/>
              </w:rPr>
              <w:t>0.021</w:t>
            </w:r>
          </w:p>
        </w:tc>
        <w:tc>
          <w:tcPr>
            <w:tcW w:w="1124" w:type="dxa"/>
            <w:vAlign w:val="center"/>
          </w:tcPr>
          <w:p w:rsidR="009236E5" w:rsidRPr="008C199D" w:rsidRDefault="009236E5" w:rsidP="009236E5">
            <w:pPr>
              <w:jc w:val="center"/>
              <w:rPr>
                <w:rFonts w:cstheme="majorBidi"/>
                <w:color w:val="000000"/>
              </w:rPr>
            </w:pPr>
            <w:r w:rsidRPr="008C199D">
              <w:rPr>
                <w:rFonts w:cstheme="majorBidi"/>
                <w:color w:val="000000"/>
              </w:rPr>
              <w:t>0.017</w:t>
            </w:r>
          </w:p>
        </w:tc>
        <w:tc>
          <w:tcPr>
            <w:tcW w:w="1408" w:type="dxa"/>
            <w:vAlign w:val="center"/>
          </w:tcPr>
          <w:p w:rsidR="009236E5" w:rsidRPr="008C199D" w:rsidRDefault="009236E5" w:rsidP="009236E5">
            <w:pPr>
              <w:jc w:val="center"/>
              <w:rPr>
                <w:rFonts w:cstheme="majorBidi"/>
                <w:color w:val="000000"/>
              </w:rPr>
            </w:pPr>
            <w:r w:rsidRPr="008C199D">
              <w:rPr>
                <w:rFonts w:cstheme="majorBidi"/>
                <w:color w:val="000000"/>
              </w:rPr>
              <w:t>0.014</w:t>
            </w:r>
          </w:p>
        </w:tc>
        <w:tc>
          <w:tcPr>
            <w:tcW w:w="1492" w:type="dxa"/>
            <w:vAlign w:val="center"/>
          </w:tcPr>
          <w:p w:rsidR="009236E5" w:rsidRPr="008C199D" w:rsidRDefault="009236E5" w:rsidP="009236E5">
            <w:pPr>
              <w:jc w:val="center"/>
              <w:rPr>
                <w:rFonts w:cstheme="majorBidi"/>
                <w:color w:val="000000"/>
              </w:rPr>
            </w:pPr>
            <w:r w:rsidRPr="008C199D">
              <w:rPr>
                <w:rFonts w:cstheme="majorBidi"/>
                <w:color w:val="000000"/>
              </w:rPr>
              <w:t>0.018</w:t>
            </w:r>
          </w:p>
        </w:tc>
      </w:tr>
      <w:tr w:rsidR="009236E5" w:rsidRPr="007F2E18" w:rsidTr="00EC6E3E">
        <w:trPr>
          <w:trHeight w:val="276"/>
          <w:jc w:val="center"/>
        </w:trPr>
        <w:tc>
          <w:tcPr>
            <w:tcW w:w="720" w:type="dxa"/>
            <w:vMerge/>
            <w:tcBorders>
              <w:bottom w:val="single" w:sz="12" w:space="0" w:color="auto"/>
            </w:tcBorders>
            <w:vAlign w:val="center"/>
          </w:tcPr>
          <w:p w:rsidR="009236E5" w:rsidRPr="007F2E18"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ajorBidi"/>
              </w:rPr>
            </w:pPr>
          </w:p>
        </w:tc>
        <w:tc>
          <w:tcPr>
            <w:tcW w:w="990" w:type="dxa"/>
            <w:tcBorders>
              <w:bottom w:val="single" w:sz="12" w:space="0" w:color="auto"/>
            </w:tcBorders>
            <w:vAlign w:val="center"/>
          </w:tcPr>
          <w:p w:rsidR="009236E5" w:rsidRPr="007F2E18"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ajorBidi"/>
              </w:rPr>
            </w:pPr>
            <w:r w:rsidRPr="007F2E18">
              <w:rPr>
                <w:rFonts w:cstheme="majorBidi"/>
              </w:rPr>
              <w:t>Median</w:t>
            </w:r>
          </w:p>
        </w:tc>
        <w:tc>
          <w:tcPr>
            <w:tcW w:w="990" w:type="dxa"/>
            <w:tcBorders>
              <w:bottom w:val="single" w:sz="12"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0.002</w:t>
            </w:r>
          </w:p>
        </w:tc>
        <w:tc>
          <w:tcPr>
            <w:tcW w:w="1144" w:type="dxa"/>
            <w:tcBorders>
              <w:bottom w:val="single" w:sz="12"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0.003</w:t>
            </w:r>
          </w:p>
        </w:tc>
        <w:tc>
          <w:tcPr>
            <w:tcW w:w="1231" w:type="dxa"/>
            <w:tcBorders>
              <w:bottom w:val="single" w:sz="12"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0.002</w:t>
            </w:r>
          </w:p>
        </w:tc>
        <w:tc>
          <w:tcPr>
            <w:tcW w:w="1357" w:type="dxa"/>
            <w:tcBorders>
              <w:bottom w:val="single" w:sz="12"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0.003</w:t>
            </w:r>
          </w:p>
        </w:tc>
        <w:tc>
          <w:tcPr>
            <w:tcW w:w="1124" w:type="dxa"/>
            <w:tcBorders>
              <w:bottom w:val="single" w:sz="12"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0.002</w:t>
            </w:r>
          </w:p>
        </w:tc>
        <w:tc>
          <w:tcPr>
            <w:tcW w:w="1408" w:type="dxa"/>
            <w:tcBorders>
              <w:bottom w:val="single" w:sz="12"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0.004</w:t>
            </w:r>
          </w:p>
        </w:tc>
        <w:tc>
          <w:tcPr>
            <w:tcW w:w="1492" w:type="dxa"/>
            <w:tcBorders>
              <w:bottom w:val="single" w:sz="12"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0.005</w:t>
            </w:r>
          </w:p>
        </w:tc>
      </w:tr>
      <w:tr w:rsidR="009236E5" w:rsidRPr="007F2E18" w:rsidTr="00EC6E3E">
        <w:trPr>
          <w:trHeight w:val="276"/>
          <w:jc w:val="center"/>
        </w:trPr>
        <w:tc>
          <w:tcPr>
            <w:tcW w:w="720" w:type="dxa"/>
            <w:vMerge w:val="restart"/>
            <w:tcBorders>
              <w:top w:val="single" w:sz="12" w:space="0" w:color="auto"/>
              <w:left w:val="single" w:sz="2" w:space="0" w:color="auto"/>
              <w:bottom w:val="single" w:sz="2" w:space="0" w:color="auto"/>
              <w:right w:val="single" w:sz="2" w:space="0" w:color="auto"/>
            </w:tcBorders>
            <w:vAlign w:val="center"/>
          </w:tcPr>
          <w:p w:rsidR="009236E5" w:rsidRPr="00EC6E3E"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m:oMathPara>
              <m:oMath>
                <m:r>
                  <w:rPr>
                    <w:rFonts w:ascii="Cambria Math" w:hAnsi="Cambria Math"/>
                  </w:rPr>
                  <m:t>b</m:t>
                </m:r>
              </m:oMath>
            </m:oMathPara>
          </w:p>
        </w:tc>
        <w:tc>
          <w:tcPr>
            <w:tcW w:w="990"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EC6E3E">
              <w:t>Max</w:t>
            </w:r>
          </w:p>
        </w:tc>
        <w:tc>
          <w:tcPr>
            <w:tcW w:w="990"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jc w:val="center"/>
              <w:rPr>
                <w:color w:val="000000"/>
              </w:rPr>
            </w:pPr>
            <w:r w:rsidRPr="00EC6E3E">
              <w:rPr>
                <w:color w:val="000000"/>
              </w:rPr>
              <w:t>4.274</w:t>
            </w:r>
          </w:p>
        </w:tc>
        <w:tc>
          <w:tcPr>
            <w:tcW w:w="1144"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jc w:val="center"/>
              <w:rPr>
                <w:color w:val="000000"/>
              </w:rPr>
            </w:pPr>
            <w:r w:rsidRPr="00EC6E3E">
              <w:rPr>
                <w:color w:val="000000"/>
              </w:rPr>
              <w:t>2.780</w:t>
            </w:r>
          </w:p>
        </w:tc>
        <w:tc>
          <w:tcPr>
            <w:tcW w:w="1231"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jc w:val="center"/>
              <w:rPr>
                <w:color w:val="000000"/>
              </w:rPr>
            </w:pPr>
            <w:r w:rsidRPr="00EC6E3E">
              <w:rPr>
                <w:color w:val="000000"/>
              </w:rPr>
              <w:t>2.850</w:t>
            </w:r>
          </w:p>
        </w:tc>
        <w:tc>
          <w:tcPr>
            <w:tcW w:w="1357"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jc w:val="center"/>
              <w:rPr>
                <w:color w:val="000000"/>
              </w:rPr>
            </w:pPr>
            <w:r w:rsidRPr="00EC6E3E">
              <w:rPr>
                <w:color w:val="000000"/>
              </w:rPr>
              <w:t>3.140</w:t>
            </w:r>
          </w:p>
        </w:tc>
        <w:tc>
          <w:tcPr>
            <w:tcW w:w="1124"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jc w:val="center"/>
              <w:rPr>
                <w:color w:val="000000"/>
              </w:rPr>
            </w:pPr>
            <w:r w:rsidRPr="00EC6E3E">
              <w:rPr>
                <w:color w:val="000000"/>
              </w:rPr>
              <w:t>3.720</w:t>
            </w:r>
          </w:p>
        </w:tc>
        <w:tc>
          <w:tcPr>
            <w:tcW w:w="1408"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jc w:val="center"/>
              <w:rPr>
                <w:color w:val="000000"/>
              </w:rPr>
            </w:pPr>
            <w:r w:rsidRPr="00EC6E3E">
              <w:rPr>
                <w:color w:val="000000"/>
              </w:rPr>
              <w:t>3.010</w:t>
            </w:r>
          </w:p>
        </w:tc>
        <w:tc>
          <w:tcPr>
            <w:tcW w:w="1492" w:type="dxa"/>
            <w:tcBorders>
              <w:top w:val="single" w:sz="12" w:space="0" w:color="auto"/>
              <w:left w:val="single" w:sz="2" w:space="0" w:color="auto"/>
              <w:bottom w:val="single" w:sz="2" w:space="0" w:color="auto"/>
              <w:right w:val="single" w:sz="2" w:space="0" w:color="auto"/>
            </w:tcBorders>
            <w:vAlign w:val="center"/>
          </w:tcPr>
          <w:p w:rsidR="009236E5" w:rsidRPr="00EC6E3E" w:rsidRDefault="009236E5" w:rsidP="009236E5">
            <w:pPr>
              <w:jc w:val="center"/>
              <w:rPr>
                <w:color w:val="000000"/>
              </w:rPr>
            </w:pPr>
            <w:r w:rsidRPr="00EC6E3E">
              <w:rPr>
                <w:color w:val="000000"/>
              </w:rPr>
              <w:t>3.350</w:t>
            </w:r>
          </w:p>
        </w:tc>
      </w:tr>
      <w:tr w:rsidR="009236E5" w:rsidRPr="007F2E18" w:rsidTr="00EC6E3E">
        <w:trPr>
          <w:trHeight w:val="276"/>
          <w:jc w:val="center"/>
        </w:trPr>
        <w:tc>
          <w:tcPr>
            <w:tcW w:w="720" w:type="dxa"/>
            <w:vMerge/>
            <w:tcBorders>
              <w:top w:val="single" w:sz="2" w:space="0" w:color="auto"/>
            </w:tcBorders>
          </w:tcPr>
          <w:p w:rsidR="009236E5" w:rsidRPr="007F2E18"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ajorBidi"/>
              </w:rPr>
            </w:pPr>
          </w:p>
        </w:tc>
        <w:tc>
          <w:tcPr>
            <w:tcW w:w="990" w:type="dxa"/>
            <w:tcBorders>
              <w:top w:val="single" w:sz="2" w:space="0" w:color="auto"/>
            </w:tcBorders>
            <w:vAlign w:val="center"/>
          </w:tcPr>
          <w:p w:rsidR="009236E5" w:rsidRPr="007F2E18"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ajorBidi"/>
              </w:rPr>
            </w:pPr>
            <w:r w:rsidRPr="007F2E18">
              <w:rPr>
                <w:rFonts w:cstheme="majorBidi"/>
              </w:rPr>
              <w:t>Min</w:t>
            </w:r>
          </w:p>
        </w:tc>
        <w:tc>
          <w:tcPr>
            <w:tcW w:w="990" w:type="dxa"/>
            <w:tcBorders>
              <w:top w:val="single" w:sz="2"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0.905</w:t>
            </w:r>
          </w:p>
        </w:tc>
        <w:tc>
          <w:tcPr>
            <w:tcW w:w="1144" w:type="dxa"/>
            <w:tcBorders>
              <w:top w:val="single" w:sz="2"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0.620</w:t>
            </w:r>
          </w:p>
        </w:tc>
        <w:tc>
          <w:tcPr>
            <w:tcW w:w="1231" w:type="dxa"/>
            <w:tcBorders>
              <w:top w:val="single" w:sz="2"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0.620</w:t>
            </w:r>
          </w:p>
        </w:tc>
        <w:tc>
          <w:tcPr>
            <w:tcW w:w="1357" w:type="dxa"/>
            <w:tcBorders>
              <w:top w:val="single" w:sz="2"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0.090</w:t>
            </w:r>
          </w:p>
        </w:tc>
        <w:tc>
          <w:tcPr>
            <w:tcW w:w="1124" w:type="dxa"/>
            <w:tcBorders>
              <w:top w:val="single" w:sz="2"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0.580</w:t>
            </w:r>
          </w:p>
        </w:tc>
        <w:tc>
          <w:tcPr>
            <w:tcW w:w="1408" w:type="dxa"/>
            <w:tcBorders>
              <w:top w:val="single" w:sz="2"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0.960</w:t>
            </w:r>
          </w:p>
        </w:tc>
        <w:tc>
          <w:tcPr>
            <w:tcW w:w="1492" w:type="dxa"/>
            <w:tcBorders>
              <w:top w:val="single" w:sz="2"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0.820</w:t>
            </w:r>
          </w:p>
        </w:tc>
      </w:tr>
      <w:tr w:rsidR="009236E5" w:rsidRPr="007F2E18" w:rsidTr="00EC6E3E">
        <w:trPr>
          <w:trHeight w:val="276"/>
          <w:jc w:val="center"/>
        </w:trPr>
        <w:tc>
          <w:tcPr>
            <w:tcW w:w="720" w:type="dxa"/>
            <w:vMerge/>
          </w:tcPr>
          <w:p w:rsidR="009236E5" w:rsidRPr="007F2E18"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ajorBidi"/>
              </w:rPr>
            </w:pPr>
          </w:p>
        </w:tc>
        <w:tc>
          <w:tcPr>
            <w:tcW w:w="990" w:type="dxa"/>
            <w:vAlign w:val="center"/>
          </w:tcPr>
          <w:p w:rsidR="009236E5" w:rsidRPr="007F2E18"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ajorBidi"/>
              </w:rPr>
            </w:pPr>
            <w:r w:rsidRPr="007F2E18">
              <w:rPr>
                <w:rFonts w:cstheme="majorBidi"/>
              </w:rPr>
              <w:t>Mean</w:t>
            </w:r>
          </w:p>
        </w:tc>
        <w:tc>
          <w:tcPr>
            <w:tcW w:w="990" w:type="dxa"/>
            <w:vAlign w:val="center"/>
          </w:tcPr>
          <w:p w:rsidR="009236E5" w:rsidRPr="008C199D" w:rsidRDefault="009236E5" w:rsidP="009236E5">
            <w:pPr>
              <w:jc w:val="center"/>
              <w:rPr>
                <w:rFonts w:cstheme="majorBidi"/>
                <w:color w:val="000000"/>
              </w:rPr>
            </w:pPr>
            <w:r w:rsidRPr="008C199D">
              <w:rPr>
                <w:rFonts w:cstheme="majorBidi"/>
                <w:color w:val="000000"/>
              </w:rPr>
              <w:t>1.869</w:t>
            </w:r>
          </w:p>
        </w:tc>
        <w:tc>
          <w:tcPr>
            <w:tcW w:w="1144" w:type="dxa"/>
            <w:vAlign w:val="center"/>
          </w:tcPr>
          <w:p w:rsidR="009236E5" w:rsidRPr="008C199D" w:rsidRDefault="009236E5" w:rsidP="009236E5">
            <w:pPr>
              <w:jc w:val="center"/>
              <w:rPr>
                <w:rFonts w:cstheme="majorBidi"/>
                <w:color w:val="000000"/>
              </w:rPr>
            </w:pPr>
            <w:r w:rsidRPr="008C199D">
              <w:rPr>
                <w:rFonts w:cstheme="majorBidi"/>
                <w:color w:val="000000"/>
              </w:rPr>
              <w:t>1.557</w:t>
            </w:r>
          </w:p>
        </w:tc>
        <w:tc>
          <w:tcPr>
            <w:tcW w:w="1231" w:type="dxa"/>
            <w:vAlign w:val="center"/>
          </w:tcPr>
          <w:p w:rsidR="009236E5" w:rsidRPr="008C199D" w:rsidRDefault="009236E5" w:rsidP="009236E5">
            <w:pPr>
              <w:jc w:val="center"/>
              <w:rPr>
                <w:rFonts w:cstheme="majorBidi"/>
                <w:color w:val="000000"/>
              </w:rPr>
            </w:pPr>
            <w:r w:rsidRPr="008C199D">
              <w:rPr>
                <w:rFonts w:cstheme="majorBidi"/>
                <w:color w:val="000000"/>
              </w:rPr>
              <w:t>1.661</w:t>
            </w:r>
          </w:p>
        </w:tc>
        <w:tc>
          <w:tcPr>
            <w:tcW w:w="1357" w:type="dxa"/>
            <w:vAlign w:val="center"/>
          </w:tcPr>
          <w:p w:rsidR="009236E5" w:rsidRPr="008C199D" w:rsidRDefault="009236E5" w:rsidP="009236E5">
            <w:pPr>
              <w:jc w:val="center"/>
              <w:rPr>
                <w:rFonts w:cstheme="majorBidi"/>
                <w:color w:val="000000"/>
              </w:rPr>
            </w:pPr>
            <w:r w:rsidRPr="008C199D">
              <w:rPr>
                <w:rFonts w:cstheme="majorBidi"/>
                <w:color w:val="000000"/>
              </w:rPr>
              <w:t>1.559</w:t>
            </w:r>
          </w:p>
        </w:tc>
        <w:tc>
          <w:tcPr>
            <w:tcW w:w="1124" w:type="dxa"/>
            <w:vAlign w:val="center"/>
          </w:tcPr>
          <w:p w:rsidR="009236E5" w:rsidRPr="008C199D" w:rsidRDefault="009236E5" w:rsidP="009236E5">
            <w:pPr>
              <w:jc w:val="center"/>
              <w:rPr>
                <w:rFonts w:cstheme="majorBidi"/>
                <w:color w:val="000000"/>
              </w:rPr>
            </w:pPr>
            <w:r w:rsidRPr="008C199D">
              <w:rPr>
                <w:rFonts w:cstheme="majorBidi"/>
                <w:color w:val="000000"/>
              </w:rPr>
              <w:t>1.673</w:t>
            </w:r>
          </w:p>
        </w:tc>
        <w:tc>
          <w:tcPr>
            <w:tcW w:w="1408" w:type="dxa"/>
            <w:vAlign w:val="center"/>
          </w:tcPr>
          <w:p w:rsidR="009236E5" w:rsidRPr="008C199D" w:rsidRDefault="009236E5" w:rsidP="009236E5">
            <w:pPr>
              <w:jc w:val="center"/>
              <w:rPr>
                <w:rFonts w:cstheme="majorBidi"/>
                <w:color w:val="000000"/>
              </w:rPr>
            </w:pPr>
            <w:r w:rsidRPr="008C199D">
              <w:rPr>
                <w:rFonts w:cstheme="majorBidi"/>
                <w:color w:val="000000"/>
              </w:rPr>
              <w:t>1.688</w:t>
            </w:r>
          </w:p>
        </w:tc>
        <w:tc>
          <w:tcPr>
            <w:tcW w:w="1492" w:type="dxa"/>
            <w:vAlign w:val="center"/>
          </w:tcPr>
          <w:p w:rsidR="009236E5" w:rsidRPr="008C199D" w:rsidRDefault="009236E5" w:rsidP="009236E5">
            <w:pPr>
              <w:jc w:val="center"/>
              <w:rPr>
                <w:rFonts w:cstheme="majorBidi"/>
                <w:color w:val="000000"/>
              </w:rPr>
            </w:pPr>
            <w:r w:rsidRPr="008C199D">
              <w:rPr>
                <w:rFonts w:cstheme="majorBidi"/>
                <w:color w:val="000000"/>
              </w:rPr>
              <w:t>1.683</w:t>
            </w:r>
          </w:p>
        </w:tc>
      </w:tr>
      <w:tr w:rsidR="009236E5" w:rsidRPr="007F2E18" w:rsidTr="00EC6E3E">
        <w:trPr>
          <w:trHeight w:val="276"/>
          <w:jc w:val="center"/>
        </w:trPr>
        <w:tc>
          <w:tcPr>
            <w:tcW w:w="720" w:type="dxa"/>
            <w:vMerge/>
            <w:tcBorders>
              <w:bottom w:val="double" w:sz="4" w:space="0" w:color="auto"/>
            </w:tcBorders>
          </w:tcPr>
          <w:p w:rsidR="009236E5" w:rsidRPr="007F2E18"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ajorBidi"/>
              </w:rPr>
            </w:pPr>
          </w:p>
        </w:tc>
        <w:tc>
          <w:tcPr>
            <w:tcW w:w="990" w:type="dxa"/>
            <w:tcBorders>
              <w:bottom w:val="double" w:sz="4" w:space="0" w:color="auto"/>
            </w:tcBorders>
            <w:vAlign w:val="center"/>
          </w:tcPr>
          <w:p w:rsidR="009236E5" w:rsidRPr="007F2E18"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ajorBidi"/>
              </w:rPr>
            </w:pPr>
            <w:r w:rsidRPr="007F2E18">
              <w:rPr>
                <w:rFonts w:cstheme="majorBidi"/>
              </w:rPr>
              <w:t>Median</w:t>
            </w:r>
          </w:p>
        </w:tc>
        <w:tc>
          <w:tcPr>
            <w:tcW w:w="990" w:type="dxa"/>
            <w:tcBorders>
              <w:bottom w:val="double" w:sz="4"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1.631</w:t>
            </w:r>
          </w:p>
        </w:tc>
        <w:tc>
          <w:tcPr>
            <w:tcW w:w="1144" w:type="dxa"/>
            <w:tcBorders>
              <w:bottom w:val="double" w:sz="4"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1.560</w:t>
            </w:r>
          </w:p>
        </w:tc>
        <w:tc>
          <w:tcPr>
            <w:tcW w:w="1231" w:type="dxa"/>
            <w:tcBorders>
              <w:bottom w:val="double" w:sz="4"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1.610</w:t>
            </w:r>
          </w:p>
        </w:tc>
        <w:tc>
          <w:tcPr>
            <w:tcW w:w="1357" w:type="dxa"/>
            <w:tcBorders>
              <w:bottom w:val="double" w:sz="4"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1.585</w:t>
            </w:r>
          </w:p>
        </w:tc>
        <w:tc>
          <w:tcPr>
            <w:tcW w:w="1124" w:type="dxa"/>
            <w:tcBorders>
              <w:bottom w:val="double" w:sz="4"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1.610</w:t>
            </w:r>
          </w:p>
        </w:tc>
        <w:tc>
          <w:tcPr>
            <w:tcW w:w="1408" w:type="dxa"/>
            <w:tcBorders>
              <w:bottom w:val="double" w:sz="4"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1.690</w:t>
            </w:r>
          </w:p>
        </w:tc>
        <w:tc>
          <w:tcPr>
            <w:tcW w:w="1492" w:type="dxa"/>
            <w:tcBorders>
              <w:bottom w:val="double" w:sz="4" w:space="0" w:color="auto"/>
            </w:tcBorders>
            <w:vAlign w:val="center"/>
          </w:tcPr>
          <w:p w:rsidR="009236E5" w:rsidRPr="008C199D" w:rsidRDefault="009236E5" w:rsidP="009236E5">
            <w:pPr>
              <w:jc w:val="center"/>
              <w:rPr>
                <w:rFonts w:cstheme="majorBidi"/>
                <w:color w:val="000000"/>
              </w:rPr>
            </w:pPr>
            <w:r w:rsidRPr="008C199D">
              <w:rPr>
                <w:rFonts w:cstheme="majorBidi"/>
                <w:color w:val="000000"/>
              </w:rPr>
              <w:t>1.625</w:t>
            </w:r>
          </w:p>
        </w:tc>
      </w:tr>
      <w:tr w:rsidR="009236E5" w:rsidRPr="007F2E18" w:rsidTr="00EC6E3E">
        <w:trPr>
          <w:trHeight w:val="575"/>
          <w:jc w:val="center"/>
        </w:trPr>
        <w:tc>
          <w:tcPr>
            <w:tcW w:w="2700" w:type="dxa"/>
            <w:gridSpan w:val="3"/>
            <w:tcBorders>
              <w:top w:val="double" w:sz="4" w:space="0" w:color="auto"/>
              <w:bottom w:val="single" w:sz="12" w:space="0" w:color="auto"/>
            </w:tcBorders>
          </w:tcPr>
          <w:p w:rsidR="009236E5" w:rsidRPr="008C199D" w:rsidRDefault="009236E5" w:rsidP="009236E5">
            <w:pPr>
              <w:jc w:val="center"/>
              <w:rPr>
                <w:rFonts w:cstheme="majorBidi"/>
                <w:color w:val="000000"/>
              </w:rPr>
            </w:pPr>
          </w:p>
        </w:tc>
        <w:tc>
          <w:tcPr>
            <w:tcW w:w="1144" w:type="dxa"/>
            <w:tcBorders>
              <w:top w:val="double" w:sz="4" w:space="0" w:color="auto"/>
              <w:bottom w:val="single" w:sz="12" w:space="0" w:color="auto"/>
            </w:tcBorders>
            <w:vAlign w:val="center"/>
          </w:tcPr>
          <w:p w:rsidR="009236E5" w:rsidRPr="00EC6E3E" w:rsidRDefault="009236E5" w:rsidP="009236E5">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ajorBidi"/>
                <w:b/>
                <w:i/>
              </w:rPr>
            </w:pPr>
            <w:r w:rsidRPr="00EC6E3E">
              <w:rPr>
                <w:rFonts w:cstheme="majorBidi"/>
                <w:b/>
                <w:i/>
              </w:rPr>
              <w:t>July</w:t>
            </w:r>
          </w:p>
        </w:tc>
        <w:tc>
          <w:tcPr>
            <w:tcW w:w="1231" w:type="dxa"/>
            <w:tcBorders>
              <w:top w:val="double" w:sz="4" w:space="0" w:color="auto"/>
              <w:bottom w:val="single" w:sz="12" w:space="0" w:color="auto"/>
            </w:tcBorders>
            <w:vAlign w:val="center"/>
          </w:tcPr>
          <w:p w:rsidR="009236E5" w:rsidRPr="00EC6E3E" w:rsidRDefault="009236E5"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ajorBidi"/>
                <w:b/>
                <w:i/>
              </w:rPr>
            </w:pPr>
            <w:r w:rsidRPr="00EC6E3E">
              <w:rPr>
                <w:rFonts w:cstheme="majorBidi"/>
                <w:b/>
                <w:i/>
              </w:rPr>
              <w:t>August</w:t>
            </w:r>
          </w:p>
        </w:tc>
        <w:tc>
          <w:tcPr>
            <w:tcW w:w="1357" w:type="dxa"/>
            <w:tcBorders>
              <w:top w:val="double" w:sz="4" w:space="0" w:color="auto"/>
              <w:bottom w:val="single" w:sz="12" w:space="0" w:color="auto"/>
            </w:tcBorders>
            <w:vAlign w:val="center"/>
          </w:tcPr>
          <w:p w:rsidR="009236E5" w:rsidRPr="00EC6E3E" w:rsidRDefault="009236E5" w:rsidP="009236E5">
            <w:pPr>
              <w:jc w:val="center"/>
              <w:rPr>
                <w:rFonts w:cstheme="majorBidi"/>
                <w:b/>
                <w:i/>
              </w:rPr>
            </w:pPr>
            <w:r w:rsidRPr="00EC6E3E">
              <w:rPr>
                <w:rFonts w:cstheme="majorBidi"/>
                <w:b/>
                <w:i/>
              </w:rPr>
              <w:t>September</w:t>
            </w:r>
          </w:p>
        </w:tc>
        <w:tc>
          <w:tcPr>
            <w:tcW w:w="1124" w:type="dxa"/>
            <w:tcBorders>
              <w:top w:val="double" w:sz="4" w:space="0" w:color="auto"/>
              <w:bottom w:val="single" w:sz="12" w:space="0" w:color="auto"/>
            </w:tcBorders>
            <w:vAlign w:val="center"/>
          </w:tcPr>
          <w:p w:rsidR="009236E5" w:rsidRPr="00EC6E3E" w:rsidRDefault="009236E5" w:rsidP="009236E5">
            <w:pPr>
              <w:jc w:val="center"/>
              <w:rPr>
                <w:rFonts w:cstheme="majorBidi"/>
                <w:b/>
                <w:i/>
              </w:rPr>
            </w:pPr>
            <w:r w:rsidRPr="00EC6E3E">
              <w:rPr>
                <w:rFonts w:cstheme="majorBidi"/>
                <w:b/>
                <w:i/>
              </w:rPr>
              <w:t>October</w:t>
            </w:r>
          </w:p>
        </w:tc>
        <w:tc>
          <w:tcPr>
            <w:tcW w:w="1408" w:type="dxa"/>
            <w:tcBorders>
              <w:top w:val="double" w:sz="4" w:space="0" w:color="auto"/>
              <w:bottom w:val="single" w:sz="12" w:space="0" w:color="auto"/>
            </w:tcBorders>
            <w:vAlign w:val="center"/>
          </w:tcPr>
          <w:p w:rsidR="009236E5" w:rsidRPr="00EC6E3E" w:rsidRDefault="009236E5" w:rsidP="009236E5">
            <w:pPr>
              <w:jc w:val="center"/>
              <w:rPr>
                <w:rFonts w:cstheme="majorBidi"/>
                <w:b/>
                <w:i/>
              </w:rPr>
            </w:pPr>
            <w:r w:rsidRPr="00EC6E3E">
              <w:rPr>
                <w:rFonts w:cstheme="majorBidi"/>
                <w:b/>
                <w:i/>
              </w:rPr>
              <w:t>November</w:t>
            </w:r>
          </w:p>
        </w:tc>
        <w:tc>
          <w:tcPr>
            <w:tcW w:w="1492" w:type="dxa"/>
            <w:tcBorders>
              <w:top w:val="double" w:sz="4" w:space="0" w:color="auto"/>
              <w:bottom w:val="single" w:sz="12" w:space="0" w:color="auto"/>
            </w:tcBorders>
            <w:vAlign w:val="center"/>
          </w:tcPr>
          <w:p w:rsidR="009236E5" w:rsidRPr="00EC6E3E" w:rsidRDefault="009236E5" w:rsidP="009236E5">
            <w:pPr>
              <w:jc w:val="center"/>
              <w:rPr>
                <w:rFonts w:cstheme="majorBidi"/>
                <w:b/>
                <w:i/>
              </w:rPr>
            </w:pPr>
            <w:r w:rsidRPr="00EC6E3E">
              <w:rPr>
                <w:rFonts w:cstheme="majorBidi"/>
                <w:b/>
                <w:i/>
              </w:rPr>
              <w:t>December</w:t>
            </w:r>
          </w:p>
        </w:tc>
      </w:tr>
      <w:tr w:rsidR="00EC6E3E" w:rsidRPr="007F2E18" w:rsidTr="00A1671B">
        <w:trPr>
          <w:trHeight w:val="276"/>
          <w:jc w:val="center"/>
        </w:trPr>
        <w:tc>
          <w:tcPr>
            <w:tcW w:w="720" w:type="dxa"/>
            <w:vMerge w:val="restart"/>
            <w:tcBorders>
              <w:top w:val="single" w:sz="12" w:space="0" w:color="auto"/>
              <w:left w:val="single" w:sz="2" w:space="0" w:color="auto"/>
              <w:bottom w:val="single" w:sz="2" w:space="0" w:color="auto"/>
              <w:right w:val="single" w:sz="2" w:space="0" w:color="auto"/>
            </w:tcBorders>
            <w:vAlign w:val="center"/>
          </w:tcPr>
          <w:p w:rsidR="00EC6E3E" w:rsidRPr="00EC6E3E"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m:oMathPara>
              <m:oMath>
                <m:r>
                  <w:rPr>
                    <w:rFonts w:ascii="Cambria Math" w:hAnsi="Cambria Math"/>
                  </w:rPr>
                  <m:t>a</m:t>
                </m:r>
              </m:oMath>
            </m:oMathPara>
          </w:p>
        </w:tc>
        <w:tc>
          <w:tcPr>
            <w:tcW w:w="990" w:type="dxa"/>
            <w:tcBorders>
              <w:top w:val="single" w:sz="12" w:space="0" w:color="auto"/>
              <w:left w:val="single" w:sz="2" w:space="0" w:color="auto"/>
              <w:bottom w:val="single" w:sz="2" w:space="0" w:color="auto"/>
              <w:right w:val="single" w:sz="2" w:space="0" w:color="auto"/>
            </w:tcBorders>
            <w:vAlign w:val="center"/>
          </w:tcPr>
          <w:p w:rsidR="00EC6E3E" w:rsidRPr="00EC6E3E"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EC6E3E">
              <w:t>Max</w:t>
            </w:r>
          </w:p>
        </w:tc>
        <w:tc>
          <w:tcPr>
            <w:tcW w:w="990" w:type="dxa"/>
            <w:vMerge w:val="restart"/>
            <w:tcBorders>
              <w:top w:val="single" w:sz="12" w:space="0" w:color="auto"/>
              <w:left w:val="single" w:sz="2" w:space="0" w:color="auto"/>
              <w:right w:val="single" w:sz="2" w:space="0" w:color="auto"/>
            </w:tcBorders>
            <w:vAlign w:val="center"/>
          </w:tcPr>
          <w:p w:rsidR="00EC6E3E" w:rsidRPr="00EC6E3E" w:rsidRDefault="00EC6E3E" w:rsidP="009236E5">
            <w:pPr>
              <w:jc w:val="center"/>
              <w:rPr>
                <w:color w:val="000000"/>
              </w:rPr>
            </w:pPr>
          </w:p>
        </w:tc>
        <w:tc>
          <w:tcPr>
            <w:tcW w:w="1144" w:type="dxa"/>
            <w:tcBorders>
              <w:top w:val="single" w:sz="12" w:space="0" w:color="auto"/>
              <w:left w:val="single" w:sz="2" w:space="0" w:color="auto"/>
              <w:bottom w:val="single" w:sz="2" w:space="0" w:color="auto"/>
              <w:right w:val="single" w:sz="2" w:space="0" w:color="auto"/>
            </w:tcBorders>
            <w:vAlign w:val="center"/>
          </w:tcPr>
          <w:p w:rsidR="00EC6E3E" w:rsidRPr="00EC6E3E" w:rsidRDefault="00EC6E3E" w:rsidP="009236E5">
            <w:pPr>
              <w:jc w:val="center"/>
              <w:rPr>
                <w:color w:val="000000"/>
              </w:rPr>
            </w:pPr>
            <w:r w:rsidRPr="00EC6E3E">
              <w:rPr>
                <w:color w:val="000000"/>
              </w:rPr>
              <w:t>0.185</w:t>
            </w:r>
          </w:p>
        </w:tc>
        <w:tc>
          <w:tcPr>
            <w:tcW w:w="1231" w:type="dxa"/>
            <w:tcBorders>
              <w:top w:val="single" w:sz="12" w:space="0" w:color="auto"/>
              <w:left w:val="single" w:sz="2" w:space="0" w:color="auto"/>
              <w:bottom w:val="single" w:sz="2" w:space="0" w:color="auto"/>
              <w:right w:val="single" w:sz="2" w:space="0" w:color="auto"/>
            </w:tcBorders>
            <w:vAlign w:val="center"/>
          </w:tcPr>
          <w:p w:rsidR="00EC6E3E" w:rsidRPr="00EC6E3E" w:rsidRDefault="00EC6E3E" w:rsidP="009236E5">
            <w:pPr>
              <w:jc w:val="center"/>
              <w:rPr>
                <w:color w:val="000000"/>
              </w:rPr>
            </w:pPr>
            <w:r w:rsidRPr="00EC6E3E">
              <w:rPr>
                <w:color w:val="000000"/>
              </w:rPr>
              <w:t>0.165</w:t>
            </w:r>
          </w:p>
        </w:tc>
        <w:tc>
          <w:tcPr>
            <w:tcW w:w="1357" w:type="dxa"/>
            <w:tcBorders>
              <w:top w:val="single" w:sz="12" w:space="0" w:color="auto"/>
              <w:left w:val="single" w:sz="2" w:space="0" w:color="auto"/>
              <w:bottom w:val="single" w:sz="2" w:space="0" w:color="auto"/>
              <w:right w:val="single" w:sz="2" w:space="0" w:color="auto"/>
            </w:tcBorders>
            <w:vAlign w:val="center"/>
          </w:tcPr>
          <w:p w:rsidR="00EC6E3E" w:rsidRPr="00EC6E3E" w:rsidRDefault="00EC6E3E" w:rsidP="009236E5">
            <w:pPr>
              <w:jc w:val="center"/>
              <w:rPr>
                <w:color w:val="000000"/>
              </w:rPr>
            </w:pPr>
            <w:r w:rsidRPr="00EC6E3E">
              <w:rPr>
                <w:color w:val="000000"/>
              </w:rPr>
              <w:t>0.148</w:t>
            </w:r>
          </w:p>
        </w:tc>
        <w:tc>
          <w:tcPr>
            <w:tcW w:w="1124" w:type="dxa"/>
            <w:tcBorders>
              <w:top w:val="single" w:sz="12" w:space="0" w:color="auto"/>
              <w:left w:val="single" w:sz="2" w:space="0" w:color="auto"/>
              <w:bottom w:val="single" w:sz="2" w:space="0" w:color="auto"/>
              <w:right w:val="single" w:sz="2" w:space="0" w:color="auto"/>
            </w:tcBorders>
            <w:vAlign w:val="center"/>
          </w:tcPr>
          <w:p w:rsidR="00EC6E3E" w:rsidRPr="00EC6E3E" w:rsidRDefault="00EC6E3E" w:rsidP="009236E5">
            <w:pPr>
              <w:jc w:val="center"/>
              <w:rPr>
                <w:color w:val="000000"/>
              </w:rPr>
            </w:pPr>
            <w:r w:rsidRPr="00EC6E3E">
              <w:rPr>
                <w:color w:val="000000"/>
              </w:rPr>
              <w:t>0.104</w:t>
            </w:r>
          </w:p>
        </w:tc>
        <w:tc>
          <w:tcPr>
            <w:tcW w:w="1408" w:type="dxa"/>
            <w:tcBorders>
              <w:top w:val="single" w:sz="12" w:space="0" w:color="auto"/>
              <w:left w:val="single" w:sz="2" w:space="0" w:color="auto"/>
              <w:bottom w:val="single" w:sz="2" w:space="0" w:color="auto"/>
              <w:right w:val="single" w:sz="2" w:space="0" w:color="auto"/>
            </w:tcBorders>
            <w:vAlign w:val="center"/>
          </w:tcPr>
          <w:p w:rsidR="00EC6E3E" w:rsidRPr="00EC6E3E" w:rsidRDefault="00EC6E3E" w:rsidP="009236E5">
            <w:pPr>
              <w:jc w:val="center"/>
              <w:rPr>
                <w:color w:val="000000"/>
              </w:rPr>
            </w:pPr>
            <w:r w:rsidRPr="00EC6E3E">
              <w:rPr>
                <w:color w:val="000000"/>
              </w:rPr>
              <w:t>0.109</w:t>
            </w:r>
          </w:p>
        </w:tc>
        <w:tc>
          <w:tcPr>
            <w:tcW w:w="1492" w:type="dxa"/>
            <w:tcBorders>
              <w:top w:val="single" w:sz="12" w:space="0" w:color="auto"/>
              <w:left w:val="single" w:sz="2" w:space="0" w:color="auto"/>
              <w:bottom w:val="single" w:sz="2" w:space="0" w:color="auto"/>
              <w:right w:val="single" w:sz="2" w:space="0" w:color="auto"/>
            </w:tcBorders>
            <w:vAlign w:val="center"/>
          </w:tcPr>
          <w:p w:rsidR="00EC6E3E" w:rsidRPr="00EC6E3E" w:rsidRDefault="00EC6E3E" w:rsidP="009236E5">
            <w:pPr>
              <w:jc w:val="center"/>
              <w:rPr>
                <w:color w:val="000000"/>
              </w:rPr>
            </w:pPr>
            <w:r w:rsidRPr="00EC6E3E">
              <w:rPr>
                <w:color w:val="000000"/>
              </w:rPr>
              <w:t>0.099</w:t>
            </w:r>
          </w:p>
        </w:tc>
      </w:tr>
      <w:tr w:rsidR="00EC6E3E" w:rsidRPr="007F2E18" w:rsidTr="00A1671B">
        <w:trPr>
          <w:trHeight w:val="276"/>
          <w:jc w:val="center"/>
        </w:trPr>
        <w:tc>
          <w:tcPr>
            <w:tcW w:w="720" w:type="dxa"/>
            <w:vMerge/>
            <w:tcBorders>
              <w:top w:val="single" w:sz="2" w:space="0" w:color="auto"/>
            </w:tcBorders>
            <w:vAlign w:val="center"/>
          </w:tcPr>
          <w:p w:rsidR="00EC6E3E" w:rsidRPr="007F2E18"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ajorBidi"/>
              </w:rPr>
            </w:pPr>
          </w:p>
        </w:tc>
        <w:tc>
          <w:tcPr>
            <w:tcW w:w="990" w:type="dxa"/>
            <w:tcBorders>
              <w:top w:val="single" w:sz="2" w:space="0" w:color="auto"/>
              <w:right w:val="single" w:sz="2" w:space="0" w:color="auto"/>
            </w:tcBorders>
            <w:vAlign w:val="center"/>
          </w:tcPr>
          <w:p w:rsidR="00EC6E3E" w:rsidRPr="007F2E18"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ajorBidi"/>
              </w:rPr>
            </w:pPr>
            <w:r w:rsidRPr="007F2E18">
              <w:rPr>
                <w:rFonts w:cstheme="majorBidi"/>
              </w:rPr>
              <w:t>Min</w:t>
            </w:r>
          </w:p>
        </w:tc>
        <w:tc>
          <w:tcPr>
            <w:tcW w:w="990" w:type="dxa"/>
            <w:vMerge/>
            <w:tcBorders>
              <w:left w:val="single" w:sz="2" w:space="0" w:color="auto"/>
              <w:right w:val="single" w:sz="2" w:space="0" w:color="auto"/>
            </w:tcBorders>
            <w:vAlign w:val="center"/>
          </w:tcPr>
          <w:p w:rsidR="00EC6E3E" w:rsidRPr="008C199D" w:rsidRDefault="00EC6E3E" w:rsidP="009236E5">
            <w:pPr>
              <w:jc w:val="center"/>
              <w:rPr>
                <w:rFonts w:cstheme="majorBidi"/>
                <w:color w:val="000000"/>
              </w:rPr>
            </w:pPr>
          </w:p>
        </w:tc>
        <w:tc>
          <w:tcPr>
            <w:tcW w:w="1144" w:type="dxa"/>
            <w:tcBorders>
              <w:top w:val="single" w:sz="2" w:space="0" w:color="auto"/>
              <w:left w:val="single" w:sz="2" w:space="0" w:color="auto"/>
            </w:tcBorders>
            <w:vAlign w:val="center"/>
          </w:tcPr>
          <w:p w:rsidR="00EC6E3E" w:rsidRPr="008C199D" w:rsidRDefault="00EC6E3E" w:rsidP="009236E5">
            <w:pPr>
              <w:jc w:val="center"/>
              <w:rPr>
                <w:rFonts w:cstheme="majorBidi"/>
              </w:rPr>
            </w:pPr>
            <w:r w:rsidRPr="008C199D">
              <w:rPr>
                <w:rFonts w:cstheme="majorBidi"/>
              </w:rPr>
              <w:t>0.000</w:t>
            </w:r>
          </w:p>
        </w:tc>
        <w:tc>
          <w:tcPr>
            <w:tcW w:w="1231" w:type="dxa"/>
            <w:tcBorders>
              <w:top w:val="single" w:sz="2" w:space="0" w:color="auto"/>
            </w:tcBorders>
            <w:vAlign w:val="center"/>
          </w:tcPr>
          <w:p w:rsidR="00EC6E3E" w:rsidRPr="008C199D" w:rsidRDefault="00EC6E3E" w:rsidP="009236E5">
            <w:pPr>
              <w:jc w:val="center"/>
              <w:rPr>
                <w:rFonts w:cstheme="majorBidi"/>
              </w:rPr>
            </w:pPr>
            <w:r w:rsidRPr="008C199D">
              <w:rPr>
                <w:rFonts w:cstheme="majorBidi"/>
              </w:rPr>
              <w:t>0.000</w:t>
            </w:r>
          </w:p>
        </w:tc>
        <w:tc>
          <w:tcPr>
            <w:tcW w:w="1357" w:type="dxa"/>
            <w:tcBorders>
              <w:top w:val="single" w:sz="2" w:space="0" w:color="auto"/>
            </w:tcBorders>
            <w:vAlign w:val="center"/>
          </w:tcPr>
          <w:p w:rsidR="00EC6E3E" w:rsidRPr="008C199D" w:rsidRDefault="00EC6E3E" w:rsidP="009236E5">
            <w:pPr>
              <w:jc w:val="center"/>
              <w:rPr>
                <w:rFonts w:cstheme="majorBidi"/>
              </w:rPr>
            </w:pPr>
            <w:r w:rsidRPr="008C199D">
              <w:rPr>
                <w:rFonts w:cstheme="majorBidi"/>
              </w:rPr>
              <w:t>0.000</w:t>
            </w:r>
          </w:p>
        </w:tc>
        <w:tc>
          <w:tcPr>
            <w:tcW w:w="1124" w:type="dxa"/>
            <w:tcBorders>
              <w:top w:val="single" w:sz="2" w:space="0" w:color="auto"/>
            </w:tcBorders>
            <w:vAlign w:val="center"/>
          </w:tcPr>
          <w:p w:rsidR="00EC6E3E" w:rsidRPr="008C199D" w:rsidRDefault="00EC6E3E" w:rsidP="009236E5">
            <w:pPr>
              <w:jc w:val="center"/>
              <w:rPr>
                <w:rFonts w:cstheme="majorBidi"/>
              </w:rPr>
            </w:pPr>
            <w:r w:rsidRPr="008C199D">
              <w:rPr>
                <w:rFonts w:cstheme="majorBidi"/>
              </w:rPr>
              <w:t>0.000</w:t>
            </w:r>
          </w:p>
        </w:tc>
        <w:tc>
          <w:tcPr>
            <w:tcW w:w="1408" w:type="dxa"/>
            <w:tcBorders>
              <w:top w:val="single" w:sz="2" w:space="0" w:color="auto"/>
            </w:tcBorders>
            <w:vAlign w:val="center"/>
          </w:tcPr>
          <w:p w:rsidR="00EC6E3E" w:rsidRPr="008C199D" w:rsidRDefault="00EC6E3E" w:rsidP="009236E5">
            <w:pPr>
              <w:jc w:val="center"/>
              <w:rPr>
                <w:rFonts w:cstheme="majorBidi"/>
              </w:rPr>
            </w:pPr>
            <w:r w:rsidRPr="008C199D">
              <w:rPr>
                <w:rFonts w:cstheme="majorBidi"/>
              </w:rPr>
              <w:t>0.000</w:t>
            </w:r>
          </w:p>
        </w:tc>
        <w:tc>
          <w:tcPr>
            <w:tcW w:w="1492" w:type="dxa"/>
            <w:tcBorders>
              <w:top w:val="single" w:sz="2" w:space="0" w:color="auto"/>
            </w:tcBorders>
            <w:vAlign w:val="center"/>
          </w:tcPr>
          <w:p w:rsidR="00EC6E3E" w:rsidRPr="008C199D" w:rsidRDefault="00EC6E3E" w:rsidP="009236E5">
            <w:pPr>
              <w:jc w:val="center"/>
              <w:rPr>
                <w:rFonts w:cstheme="majorBidi"/>
              </w:rPr>
            </w:pPr>
            <w:r w:rsidRPr="008C199D">
              <w:rPr>
                <w:rFonts w:cstheme="majorBidi"/>
              </w:rPr>
              <w:t>0.000</w:t>
            </w:r>
          </w:p>
        </w:tc>
      </w:tr>
      <w:tr w:rsidR="00EC6E3E" w:rsidRPr="007F2E18" w:rsidTr="00A1671B">
        <w:trPr>
          <w:trHeight w:val="276"/>
          <w:jc w:val="center"/>
        </w:trPr>
        <w:tc>
          <w:tcPr>
            <w:tcW w:w="720" w:type="dxa"/>
            <w:vMerge/>
            <w:vAlign w:val="center"/>
          </w:tcPr>
          <w:p w:rsidR="00EC6E3E" w:rsidRPr="007F2E18"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ajorBidi"/>
              </w:rPr>
            </w:pPr>
          </w:p>
        </w:tc>
        <w:tc>
          <w:tcPr>
            <w:tcW w:w="990" w:type="dxa"/>
            <w:tcBorders>
              <w:right w:val="single" w:sz="2" w:space="0" w:color="auto"/>
            </w:tcBorders>
            <w:vAlign w:val="center"/>
          </w:tcPr>
          <w:p w:rsidR="00EC6E3E" w:rsidRPr="007F2E18"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ajorBidi"/>
              </w:rPr>
            </w:pPr>
            <w:r w:rsidRPr="007F2E18">
              <w:rPr>
                <w:rFonts w:cstheme="majorBidi"/>
              </w:rPr>
              <w:t>Mean</w:t>
            </w:r>
          </w:p>
        </w:tc>
        <w:tc>
          <w:tcPr>
            <w:tcW w:w="990" w:type="dxa"/>
            <w:vMerge/>
            <w:tcBorders>
              <w:left w:val="single" w:sz="2" w:space="0" w:color="auto"/>
              <w:right w:val="single" w:sz="2" w:space="0" w:color="auto"/>
            </w:tcBorders>
            <w:vAlign w:val="center"/>
          </w:tcPr>
          <w:p w:rsidR="00EC6E3E" w:rsidRPr="008C199D" w:rsidRDefault="00EC6E3E" w:rsidP="009236E5">
            <w:pPr>
              <w:jc w:val="center"/>
              <w:rPr>
                <w:rFonts w:cstheme="majorBidi"/>
                <w:color w:val="000000"/>
              </w:rPr>
            </w:pPr>
          </w:p>
        </w:tc>
        <w:tc>
          <w:tcPr>
            <w:tcW w:w="1144" w:type="dxa"/>
            <w:tcBorders>
              <w:left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0.021</w:t>
            </w:r>
          </w:p>
        </w:tc>
        <w:tc>
          <w:tcPr>
            <w:tcW w:w="1231" w:type="dxa"/>
            <w:vAlign w:val="center"/>
          </w:tcPr>
          <w:p w:rsidR="00EC6E3E" w:rsidRPr="008C199D" w:rsidRDefault="00EC6E3E" w:rsidP="009236E5">
            <w:pPr>
              <w:jc w:val="center"/>
              <w:rPr>
                <w:rFonts w:cstheme="majorBidi"/>
                <w:color w:val="000000"/>
              </w:rPr>
            </w:pPr>
            <w:r w:rsidRPr="008C199D">
              <w:rPr>
                <w:rFonts w:cstheme="majorBidi"/>
                <w:color w:val="000000"/>
              </w:rPr>
              <w:t>0.019</w:t>
            </w:r>
          </w:p>
        </w:tc>
        <w:tc>
          <w:tcPr>
            <w:tcW w:w="1357" w:type="dxa"/>
            <w:vAlign w:val="center"/>
          </w:tcPr>
          <w:p w:rsidR="00EC6E3E" w:rsidRPr="008C199D" w:rsidRDefault="00EC6E3E" w:rsidP="009236E5">
            <w:pPr>
              <w:jc w:val="center"/>
              <w:rPr>
                <w:rFonts w:cstheme="majorBidi"/>
                <w:color w:val="000000"/>
              </w:rPr>
            </w:pPr>
            <w:r w:rsidRPr="008C199D">
              <w:rPr>
                <w:rFonts w:cstheme="majorBidi"/>
                <w:color w:val="000000"/>
              </w:rPr>
              <w:t>0.016</w:t>
            </w:r>
          </w:p>
        </w:tc>
        <w:tc>
          <w:tcPr>
            <w:tcW w:w="1124" w:type="dxa"/>
            <w:vAlign w:val="center"/>
          </w:tcPr>
          <w:p w:rsidR="00EC6E3E" w:rsidRPr="008C199D" w:rsidRDefault="00EC6E3E" w:rsidP="009236E5">
            <w:pPr>
              <w:jc w:val="center"/>
              <w:rPr>
                <w:rFonts w:cstheme="majorBidi"/>
                <w:color w:val="000000"/>
              </w:rPr>
            </w:pPr>
            <w:r w:rsidRPr="008C199D">
              <w:rPr>
                <w:rFonts w:cstheme="majorBidi"/>
                <w:color w:val="000000"/>
              </w:rPr>
              <w:t>0.012</w:t>
            </w:r>
          </w:p>
        </w:tc>
        <w:tc>
          <w:tcPr>
            <w:tcW w:w="1408" w:type="dxa"/>
            <w:vAlign w:val="center"/>
          </w:tcPr>
          <w:p w:rsidR="00EC6E3E" w:rsidRPr="008C199D" w:rsidRDefault="00EC6E3E" w:rsidP="009236E5">
            <w:pPr>
              <w:jc w:val="center"/>
              <w:rPr>
                <w:rFonts w:cstheme="majorBidi"/>
                <w:color w:val="000000"/>
              </w:rPr>
            </w:pPr>
            <w:r w:rsidRPr="008C199D">
              <w:rPr>
                <w:rFonts w:cstheme="majorBidi"/>
                <w:color w:val="000000"/>
              </w:rPr>
              <w:t>0.012</w:t>
            </w:r>
          </w:p>
        </w:tc>
        <w:tc>
          <w:tcPr>
            <w:tcW w:w="1492" w:type="dxa"/>
            <w:vAlign w:val="center"/>
          </w:tcPr>
          <w:p w:rsidR="00EC6E3E" w:rsidRPr="008C199D" w:rsidRDefault="00EC6E3E" w:rsidP="009236E5">
            <w:pPr>
              <w:jc w:val="center"/>
              <w:rPr>
                <w:rFonts w:cstheme="majorBidi"/>
                <w:color w:val="000000"/>
              </w:rPr>
            </w:pPr>
            <w:r w:rsidRPr="008C199D">
              <w:rPr>
                <w:rFonts w:cstheme="majorBidi"/>
                <w:color w:val="000000"/>
              </w:rPr>
              <w:t>0.010</w:t>
            </w:r>
          </w:p>
        </w:tc>
      </w:tr>
      <w:tr w:rsidR="00EC6E3E" w:rsidRPr="007F2E18" w:rsidTr="00A1671B">
        <w:trPr>
          <w:trHeight w:val="276"/>
          <w:jc w:val="center"/>
        </w:trPr>
        <w:tc>
          <w:tcPr>
            <w:tcW w:w="720" w:type="dxa"/>
            <w:vMerge/>
            <w:tcBorders>
              <w:bottom w:val="single" w:sz="12" w:space="0" w:color="auto"/>
            </w:tcBorders>
            <w:vAlign w:val="center"/>
          </w:tcPr>
          <w:p w:rsidR="00EC6E3E" w:rsidRPr="007F2E18"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ajorBidi"/>
              </w:rPr>
            </w:pPr>
          </w:p>
        </w:tc>
        <w:tc>
          <w:tcPr>
            <w:tcW w:w="990" w:type="dxa"/>
            <w:tcBorders>
              <w:bottom w:val="single" w:sz="12" w:space="0" w:color="auto"/>
              <w:right w:val="single" w:sz="2" w:space="0" w:color="auto"/>
            </w:tcBorders>
            <w:vAlign w:val="center"/>
          </w:tcPr>
          <w:p w:rsidR="00EC6E3E" w:rsidRPr="007F2E18"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ajorBidi"/>
              </w:rPr>
            </w:pPr>
            <w:r w:rsidRPr="007F2E18">
              <w:rPr>
                <w:rFonts w:cstheme="majorBidi"/>
              </w:rPr>
              <w:t>Median</w:t>
            </w:r>
          </w:p>
        </w:tc>
        <w:tc>
          <w:tcPr>
            <w:tcW w:w="990" w:type="dxa"/>
            <w:vMerge/>
            <w:tcBorders>
              <w:left w:val="single" w:sz="2" w:space="0" w:color="auto"/>
              <w:right w:val="single" w:sz="2" w:space="0" w:color="auto"/>
            </w:tcBorders>
            <w:vAlign w:val="center"/>
          </w:tcPr>
          <w:p w:rsidR="00EC6E3E" w:rsidRPr="008C199D" w:rsidRDefault="00EC6E3E" w:rsidP="009236E5">
            <w:pPr>
              <w:jc w:val="center"/>
              <w:rPr>
                <w:rFonts w:cstheme="majorBidi"/>
                <w:color w:val="000000"/>
              </w:rPr>
            </w:pPr>
          </w:p>
        </w:tc>
        <w:tc>
          <w:tcPr>
            <w:tcW w:w="1144" w:type="dxa"/>
            <w:tcBorders>
              <w:left w:val="single" w:sz="2" w:space="0" w:color="auto"/>
              <w:bottom w:val="single" w:sz="1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0.007</w:t>
            </w:r>
          </w:p>
        </w:tc>
        <w:tc>
          <w:tcPr>
            <w:tcW w:w="1231" w:type="dxa"/>
            <w:tcBorders>
              <w:bottom w:val="single" w:sz="1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0.007</w:t>
            </w:r>
          </w:p>
        </w:tc>
        <w:tc>
          <w:tcPr>
            <w:tcW w:w="1357" w:type="dxa"/>
            <w:tcBorders>
              <w:bottom w:val="single" w:sz="1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0.004</w:t>
            </w:r>
          </w:p>
        </w:tc>
        <w:tc>
          <w:tcPr>
            <w:tcW w:w="1124" w:type="dxa"/>
            <w:tcBorders>
              <w:bottom w:val="single" w:sz="1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0.003</w:t>
            </w:r>
          </w:p>
        </w:tc>
        <w:tc>
          <w:tcPr>
            <w:tcW w:w="1408" w:type="dxa"/>
            <w:tcBorders>
              <w:bottom w:val="single" w:sz="1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0.003</w:t>
            </w:r>
          </w:p>
        </w:tc>
        <w:tc>
          <w:tcPr>
            <w:tcW w:w="1492" w:type="dxa"/>
            <w:tcBorders>
              <w:bottom w:val="single" w:sz="1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0.002</w:t>
            </w:r>
          </w:p>
        </w:tc>
      </w:tr>
      <w:tr w:rsidR="00EC6E3E" w:rsidRPr="007F2E18" w:rsidTr="00A1671B">
        <w:trPr>
          <w:trHeight w:val="276"/>
          <w:jc w:val="center"/>
        </w:trPr>
        <w:tc>
          <w:tcPr>
            <w:tcW w:w="720" w:type="dxa"/>
            <w:vMerge w:val="restart"/>
            <w:tcBorders>
              <w:top w:val="single" w:sz="12" w:space="0" w:color="auto"/>
              <w:left w:val="single" w:sz="2" w:space="0" w:color="auto"/>
              <w:bottom w:val="single" w:sz="2" w:space="0" w:color="auto"/>
              <w:right w:val="single" w:sz="2" w:space="0" w:color="auto"/>
            </w:tcBorders>
            <w:vAlign w:val="center"/>
          </w:tcPr>
          <w:p w:rsidR="00EC6E3E" w:rsidRPr="007F2E18"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cstheme="majorBidi"/>
              </w:rPr>
            </w:pPr>
            <m:oMathPara>
              <m:oMath>
                <m:r>
                  <w:rPr>
                    <w:rFonts w:ascii="Cambria Math" w:hAnsi="Cambria Math" w:cstheme="majorBidi"/>
                  </w:rPr>
                  <m:t>b</m:t>
                </m:r>
              </m:oMath>
            </m:oMathPara>
          </w:p>
        </w:tc>
        <w:tc>
          <w:tcPr>
            <w:tcW w:w="990" w:type="dxa"/>
            <w:tcBorders>
              <w:top w:val="single" w:sz="12" w:space="0" w:color="auto"/>
              <w:left w:val="single" w:sz="2" w:space="0" w:color="auto"/>
              <w:bottom w:val="single" w:sz="2" w:space="0" w:color="auto"/>
              <w:right w:val="single" w:sz="2" w:space="0" w:color="auto"/>
            </w:tcBorders>
            <w:vAlign w:val="center"/>
          </w:tcPr>
          <w:p w:rsidR="00EC6E3E" w:rsidRPr="007F2E18"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ajorBidi"/>
              </w:rPr>
            </w:pPr>
            <w:r w:rsidRPr="007F2E18">
              <w:rPr>
                <w:rFonts w:cstheme="majorBidi"/>
              </w:rPr>
              <w:t>Max</w:t>
            </w:r>
          </w:p>
        </w:tc>
        <w:tc>
          <w:tcPr>
            <w:tcW w:w="990" w:type="dxa"/>
            <w:vMerge/>
            <w:tcBorders>
              <w:left w:val="single" w:sz="2" w:space="0" w:color="auto"/>
              <w:right w:val="single" w:sz="2" w:space="0" w:color="auto"/>
            </w:tcBorders>
            <w:vAlign w:val="center"/>
          </w:tcPr>
          <w:p w:rsidR="00EC6E3E" w:rsidRPr="008C199D" w:rsidRDefault="00EC6E3E" w:rsidP="009236E5">
            <w:pPr>
              <w:jc w:val="center"/>
              <w:rPr>
                <w:rFonts w:cstheme="majorBidi"/>
                <w:color w:val="000000"/>
              </w:rPr>
            </w:pPr>
          </w:p>
        </w:tc>
        <w:tc>
          <w:tcPr>
            <w:tcW w:w="1144" w:type="dxa"/>
            <w:tcBorders>
              <w:top w:val="single" w:sz="12" w:space="0" w:color="auto"/>
              <w:left w:val="single" w:sz="2" w:space="0" w:color="auto"/>
              <w:bottom w:val="single" w:sz="2" w:space="0" w:color="auto"/>
              <w:right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2.570</w:t>
            </w:r>
          </w:p>
        </w:tc>
        <w:tc>
          <w:tcPr>
            <w:tcW w:w="1231" w:type="dxa"/>
            <w:tcBorders>
              <w:top w:val="single" w:sz="12" w:space="0" w:color="auto"/>
              <w:left w:val="single" w:sz="2" w:space="0" w:color="auto"/>
              <w:bottom w:val="single" w:sz="2" w:space="0" w:color="auto"/>
              <w:right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2.970</w:t>
            </w:r>
          </w:p>
        </w:tc>
        <w:tc>
          <w:tcPr>
            <w:tcW w:w="1357" w:type="dxa"/>
            <w:tcBorders>
              <w:top w:val="single" w:sz="12" w:space="0" w:color="auto"/>
              <w:left w:val="single" w:sz="2" w:space="0" w:color="auto"/>
              <w:bottom w:val="single" w:sz="2" w:space="0" w:color="auto"/>
              <w:right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2.310</w:t>
            </w:r>
          </w:p>
        </w:tc>
        <w:tc>
          <w:tcPr>
            <w:tcW w:w="1124" w:type="dxa"/>
            <w:tcBorders>
              <w:top w:val="single" w:sz="12" w:space="0" w:color="auto"/>
              <w:left w:val="single" w:sz="2" w:space="0" w:color="auto"/>
              <w:bottom w:val="single" w:sz="2" w:space="0" w:color="auto"/>
              <w:right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2.340</w:t>
            </w:r>
          </w:p>
        </w:tc>
        <w:tc>
          <w:tcPr>
            <w:tcW w:w="1408" w:type="dxa"/>
            <w:tcBorders>
              <w:top w:val="single" w:sz="12" w:space="0" w:color="auto"/>
              <w:left w:val="single" w:sz="2" w:space="0" w:color="auto"/>
              <w:bottom w:val="single" w:sz="2" w:space="0" w:color="auto"/>
              <w:right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2.590</w:t>
            </w:r>
          </w:p>
        </w:tc>
        <w:tc>
          <w:tcPr>
            <w:tcW w:w="1492" w:type="dxa"/>
            <w:tcBorders>
              <w:top w:val="single" w:sz="12" w:space="0" w:color="auto"/>
              <w:left w:val="single" w:sz="2" w:space="0" w:color="auto"/>
              <w:bottom w:val="single" w:sz="2" w:space="0" w:color="auto"/>
              <w:right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2.540</w:t>
            </w:r>
          </w:p>
        </w:tc>
      </w:tr>
      <w:tr w:rsidR="00EC6E3E" w:rsidRPr="007F2E18" w:rsidTr="00A1671B">
        <w:trPr>
          <w:trHeight w:val="276"/>
          <w:jc w:val="center"/>
        </w:trPr>
        <w:tc>
          <w:tcPr>
            <w:tcW w:w="720" w:type="dxa"/>
            <w:vMerge/>
            <w:tcBorders>
              <w:top w:val="single" w:sz="2" w:space="0" w:color="auto"/>
            </w:tcBorders>
          </w:tcPr>
          <w:p w:rsidR="00EC6E3E" w:rsidRPr="007F2E18"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ajorBidi"/>
              </w:rPr>
            </w:pPr>
          </w:p>
        </w:tc>
        <w:tc>
          <w:tcPr>
            <w:tcW w:w="990" w:type="dxa"/>
            <w:tcBorders>
              <w:top w:val="single" w:sz="2" w:space="0" w:color="auto"/>
              <w:right w:val="single" w:sz="2" w:space="0" w:color="auto"/>
            </w:tcBorders>
            <w:vAlign w:val="center"/>
          </w:tcPr>
          <w:p w:rsidR="00EC6E3E" w:rsidRPr="007F2E18"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ajorBidi"/>
              </w:rPr>
            </w:pPr>
            <w:r w:rsidRPr="007F2E18">
              <w:rPr>
                <w:rFonts w:cstheme="majorBidi"/>
              </w:rPr>
              <w:t>Min</w:t>
            </w:r>
          </w:p>
        </w:tc>
        <w:tc>
          <w:tcPr>
            <w:tcW w:w="990" w:type="dxa"/>
            <w:vMerge/>
            <w:tcBorders>
              <w:left w:val="single" w:sz="2" w:space="0" w:color="auto"/>
              <w:right w:val="single" w:sz="2" w:space="0" w:color="auto"/>
            </w:tcBorders>
            <w:vAlign w:val="center"/>
          </w:tcPr>
          <w:p w:rsidR="00EC6E3E" w:rsidRPr="008C199D" w:rsidRDefault="00EC6E3E" w:rsidP="009236E5">
            <w:pPr>
              <w:jc w:val="center"/>
              <w:rPr>
                <w:rFonts w:cstheme="majorBidi"/>
                <w:color w:val="000000"/>
              </w:rPr>
            </w:pPr>
          </w:p>
        </w:tc>
        <w:tc>
          <w:tcPr>
            <w:tcW w:w="1144" w:type="dxa"/>
            <w:tcBorders>
              <w:top w:val="single" w:sz="2" w:space="0" w:color="auto"/>
              <w:left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1.010</w:t>
            </w:r>
          </w:p>
        </w:tc>
        <w:tc>
          <w:tcPr>
            <w:tcW w:w="1231" w:type="dxa"/>
            <w:tcBorders>
              <w:top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1.040</w:t>
            </w:r>
          </w:p>
        </w:tc>
        <w:tc>
          <w:tcPr>
            <w:tcW w:w="1357" w:type="dxa"/>
            <w:tcBorders>
              <w:top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0.990</w:t>
            </w:r>
          </w:p>
        </w:tc>
        <w:tc>
          <w:tcPr>
            <w:tcW w:w="1124" w:type="dxa"/>
            <w:tcBorders>
              <w:top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1.120</w:t>
            </w:r>
          </w:p>
        </w:tc>
        <w:tc>
          <w:tcPr>
            <w:tcW w:w="1408" w:type="dxa"/>
            <w:tcBorders>
              <w:top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0.670</w:t>
            </w:r>
          </w:p>
        </w:tc>
        <w:tc>
          <w:tcPr>
            <w:tcW w:w="1492" w:type="dxa"/>
            <w:tcBorders>
              <w:top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0.940</w:t>
            </w:r>
          </w:p>
        </w:tc>
      </w:tr>
      <w:tr w:rsidR="00EC6E3E" w:rsidRPr="007F2E18" w:rsidTr="00A1671B">
        <w:trPr>
          <w:trHeight w:val="276"/>
          <w:jc w:val="center"/>
        </w:trPr>
        <w:tc>
          <w:tcPr>
            <w:tcW w:w="720" w:type="dxa"/>
            <w:vMerge/>
          </w:tcPr>
          <w:p w:rsidR="00EC6E3E" w:rsidRPr="007F2E18"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ajorBidi"/>
              </w:rPr>
            </w:pPr>
          </w:p>
        </w:tc>
        <w:tc>
          <w:tcPr>
            <w:tcW w:w="990" w:type="dxa"/>
            <w:tcBorders>
              <w:right w:val="single" w:sz="2" w:space="0" w:color="auto"/>
            </w:tcBorders>
            <w:vAlign w:val="center"/>
          </w:tcPr>
          <w:p w:rsidR="00EC6E3E" w:rsidRPr="007F2E18"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ajorBidi"/>
              </w:rPr>
            </w:pPr>
            <w:r w:rsidRPr="007F2E18">
              <w:rPr>
                <w:rFonts w:cstheme="majorBidi"/>
              </w:rPr>
              <w:t>Mean</w:t>
            </w:r>
          </w:p>
        </w:tc>
        <w:tc>
          <w:tcPr>
            <w:tcW w:w="990" w:type="dxa"/>
            <w:vMerge/>
            <w:tcBorders>
              <w:left w:val="single" w:sz="2" w:space="0" w:color="auto"/>
              <w:right w:val="single" w:sz="2" w:space="0" w:color="auto"/>
            </w:tcBorders>
            <w:vAlign w:val="center"/>
          </w:tcPr>
          <w:p w:rsidR="00EC6E3E" w:rsidRPr="008C199D" w:rsidRDefault="00EC6E3E" w:rsidP="009236E5">
            <w:pPr>
              <w:jc w:val="center"/>
              <w:rPr>
                <w:rFonts w:cstheme="majorBidi"/>
                <w:color w:val="000000"/>
              </w:rPr>
            </w:pPr>
          </w:p>
        </w:tc>
        <w:tc>
          <w:tcPr>
            <w:tcW w:w="1144" w:type="dxa"/>
            <w:tcBorders>
              <w:left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1.632</w:t>
            </w:r>
          </w:p>
        </w:tc>
        <w:tc>
          <w:tcPr>
            <w:tcW w:w="1231" w:type="dxa"/>
            <w:vAlign w:val="center"/>
          </w:tcPr>
          <w:p w:rsidR="00EC6E3E" w:rsidRPr="008C199D" w:rsidRDefault="00EC6E3E" w:rsidP="009236E5">
            <w:pPr>
              <w:jc w:val="center"/>
              <w:rPr>
                <w:rFonts w:cstheme="majorBidi"/>
                <w:color w:val="000000"/>
              </w:rPr>
            </w:pPr>
            <w:r w:rsidRPr="008C199D">
              <w:rPr>
                <w:rFonts w:cstheme="majorBidi"/>
                <w:color w:val="000000"/>
              </w:rPr>
              <w:t>1.602</w:t>
            </w:r>
          </w:p>
        </w:tc>
        <w:tc>
          <w:tcPr>
            <w:tcW w:w="1357" w:type="dxa"/>
            <w:vAlign w:val="center"/>
          </w:tcPr>
          <w:p w:rsidR="00EC6E3E" w:rsidRPr="008C199D" w:rsidRDefault="00EC6E3E" w:rsidP="009236E5">
            <w:pPr>
              <w:jc w:val="center"/>
              <w:rPr>
                <w:rFonts w:cstheme="majorBidi"/>
                <w:color w:val="000000"/>
              </w:rPr>
            </w:pPr>
            <w:r w:rsidRPr="008C199D">
              <w:rPr>
                <w:rFonts w:cstheme="majorBidi"/>
                <w:color w:val="000000"/>
              </w:rPr>
              <w:t>1.620</w:t>
            </w:r>
          </w:p>
        </w:tc>
        <w:tc>
          <w:tcPr>
            <w:tcW w:w="1124" w:type="dxa"/>
            <w:vAlign w:val="center"/>
          </w:tcPr>
          <w:p w:rsidR="00EC6E3E" w:rsidRPr="008C199D" w:rsidRDefault="00EC6E3E" w:rsidP="009236E5">
            <w:pPr>
              <w:jc w:val="center"/>
              <w:rPr>
                <w:rFonts w:cstheme="majorBidi"/>
                <w:color w:val="000000"/>
              </w:rPr>
            </w:pPr>
            <w:r w:rsidRPr="008C199D">
              <w:rPr>
                <w:rFonts w:cstheme="majorBidi"/>
                <w:color w:val="000000"/>
              </w:rPr>
              <w:t>1.623</w:t>
            </w:r>
          </w:p>
        </w:tc>
        <w:tc>
          <w:tcPr>
            <w:tcW w:w="1408" w:type="dxa"/>
            <w:vAlign w:val="center"/>
          </w:tcPr>
          <w:p w:rsidR="00EC6E3E" w:rsidRPr="008C199D" w:rsidRDefault="00EC6E3E" w:rsidP="009236E5">
            <w:pPr>
              <w:jc w:val="center"/>
              <w:rPr>
                <w:rFonts w:cstheme="majorBidi"/>
                <w:color w:val="000000"/>
              </w:rPr>
            </w:pPr>
            <w:r w:rsidRPr="008C199D">
              <w:rPr>
                <w:rFonts w:cstheme="majorBidi"/>
                <w:color w:val="000000"/>
              </w:rPr>
              <w:t>1.613</w:t>
            </w:r>
          </w:p>
        </w:tc>
        <w:tc>
          <w:tcPr>
            <w:tcW w:w="1492" w:type="dxa"/>
            <w:vAlign w:val="center"/>
          </w:tcPr>
          <w:p w:rsidR="00EC6E3E" w:rsidRPr="008C199D" w:rsidRDefault="00EC6E3E" w:rsidP="009236E5">
            <w:pPr>
              <w:jc w:val="center"/>
              <w:rPr>
                <w:rFonts w:cstheme="majorBidi"/>
                <w:color w:val="000000"/>
              </w:rPr>
            </w:pPr>
            <w:r w:rsidRPr="008C199D">
              <w:rPr>
                <w:rFonts w:cstheme="majorBidi"/>
                <w:color w:val="000000"/>
              </w:rPr>
              <w:t>1.595</w:t>
            </w:r>
          </w:p>
        </w:tc>
      </w:tr>
      <w:tr w:rsidR="00EC6E3E" w:rsidRPr="007F2E18" w:rsidTr="00A1671B">
        <w:trPr>
          <w:trHeight w:val="276"/>
          <w:jc w:val="center"/>
        </w:trPr>
        <w:tc>
          <w:tcPr>
            <w:tcW w:w="720" w:type="dxa"/>
            <w:vMerge/>
          </w:tcPr>
          <w:p w:rsidR="00EC6E3E" w:rsidRPr="007F2E18"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ajorBidi"/>
              </w:rPr>
            </w:pPr>
          </w:p>
        </w:tc>
        <w:tc>
          <w:tcPr>
            <w:tcW w:w="990" w:type="dxa"/>
            <w:tcBorders>
              <w:right w:val="single" w:sz="2" w:space="0" w:color="auto"/>
            </w:tcBorders>
            <w:vAlign w:val="center"/>
          </w:tcPr>
          <w:p w:rsidR="00EC6E3E" w:rsidRPr="007F2E18" w:rsidRDefault="00EC6E3E" w:rsidP="00923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cstheme="majorBidi"/>
              </w:rPr>
            </w:pPr>
            <w:r w:rsidRPr="007F2E18">
              <w:rPr>
                <w:rFonts w:cstheme="majorBidi"/>
              </w:rPr>
              <w:t>Median</w:t>
            </w:r>
          </w:p>
        </w:tc>
        <w:tc>
          <w:tcPr>
            <w:tcW w:w="990" w:type="dxa"/>
            <w:vMerge/>
            <w:tcBorders>
              <w:left w:val="single" w:sz="2" w:space="0" w:color="auto"/>
              <w:right w:val="single" w:sz="2" w:space="0" w:color="auto"/>
            </w:tcBorders>
            <w:vAlign w:val="center"/>
          </w:tcPr>
          <w:p w:rsidR="00EC6E3E" w:rsidRPr="008C199D" w:rsidRDefault="00EC6E3E" w:rsidP="009236E5">
            <w:pPr>
              <w:jc w:val="center"/>
              <w:rPr>
                <w:rFonts w:cstheme="majorBidi"/>
                <w:color w:val="000000"/>
              </w:rPr>
            </w:pPr>
          </w:p>
        </w:tc>
        <w:tc>
          <w:tcPr>
            <w:tcW w:w="1144" w:type="dxa"/>
            <w:tcBorders>
              <w:left w:val="single" w:sz="2" w:space="0" w:color="auto"/>
            </w:tcBorders>
            <w:vAlign w:val="center"/>
          </w:tcPr>
          <w:p w:rsidR="00EC6E3E" w:rsidRPr="008C199D" w:rsidRDefault="00EC6E3E" w:rsidP="009236E5">
            <w:pPr>
              <w:jc w:val="center"/>
              <w:rPr>
                <w:rFonts w:cstheme="majorBidi"/>
                <w:color w:val="000000"/>
              </w:rPr>
            </w:pPr>
            <w:r w:rsidRPr="008C199D">
              <w:rPr>
                <w:rFonts w:cstheme="majorBidi"/>
                <w:color w:val="000000"/>
              </w:rPr>
              <w:t>1.590</w:t>
            </w:r>
          </w:p>
        </w:tc>
        <w:tc>
          <w:tcPr>
            <w:tcW w:w="1231" w:type="dxa"/>
            <w:vAlign w:val="center"/>
          </w:tcPr>
          <w:p w:rsidR="00EC6E3E" w:rsidRPr="008C199D" w:rsidRDefault="00EC6E3E" w:rsidP="009236E5">
            <w:pPr>
              <w:jc w:val="center"/>
              <w:rPr>
                <w:rFonts w:cstheme="majorBidi"/>
                <w:color w:val="000000"/>
              </w:rPr>
            </w:pPr>
            <w:r w:rsidRPr="008C199D">
              <w:rPr>
                <w:rFonts w:cstheme="majorBidi"/>
                <w:color w:val="000000"/>
              </w:rPr>
              <w:t>1.570</w:t>
            </w:r>
          </w:p>
        </w:tc>
        <w:tc>
          <w:tcPr>
            <w:tcW w:w="1357" w:type="dxa"/>
            <w:vAlign w:val="center"/>
          </w:tcPr>
          <w:p w:rsidR="00EC6E3E" w:rsidRPr="008C199D" w:rsidRDefault="00EC6E3E" w:rsidP="009236E5">
            <w:pPr>
              <w:jc w:val="center"/>
              <w:rPr>
                <w:rFonts w:cstheme="majorBidi"/>
                <w:color w:val="000000"/>
              </w:rPr>
            </w:pPr>
            <w:r w:rsidRPr="008C199D">
              <w:rPr>
                <w:rFonts w:cstheme="majorBidi"/>
                <w:color w:val="000000"/>
              </w:rPr>
              <w:t>1.635</w:t>
            </w:r>
          </w:p>
        </w:tc>
        <w:tc>
          <w:tcPr>
            <w:tcW w:w="1124" w:type="dxa"/>
            <w:vAlign w:val="center"/>
          </w:tcPr>
          <w:p w:rsidR="00EC6E3E" w:rsidRPr="008C199D" w:rsidRDefault="00EC6E3E" w:rsidP="009236E5">
            <w:pPr>
              <w:jc w:val="center"/>
              <w:rPr>
                <w:rFonts w:cstheme="majorBidi"/>
                <w:color w:val="000000"/>
              </w:rPr>
            </w:pPr>
            <w:r w:rsidRPr="008C199D">
              <w:rPr>
                <w:rFonts w:cstheme="majorBidi"/>
                <w:color w:val="000000"/>
              </w:rPr>
              <w:t>1.570</w:t>
            </w:r>
          </w:p>
        </w:tc>
        <w:tc>
          <w:tcPr>
            <w:tcW w:w="1408" w:type="dxa"/>
            <w:vAlign w:val="center"/>
          </w:tcPr>
          <w:p w:rsidR="00EC6E3E" w:rsidRPr="008C199D" w:rsidRDefault="00EC6E3E" w:rsidP="009236E5">
            <w:pPr>
              <w:jc w:val="center"/>
              <w:rPr>
                <w:rFonts w:cstheme="majorBidi"/>
                <w:color w:val="000000"/>
              </w:rPr>
            </w:pPr>
            <w:r w:rsidRPr="008C199D">
              <w:rPr>
                <w:rFonts w:cstheme="majorBidi"/>
                <w:color w:val="000000"/>
              </w:rPr>
              <w:t>1.605</w:t>
            </w:r>
          </w:p>
        </w:tc>
        <w:tc>
          <w:tcPr>
            <w:tcW w:w="1492" w:type="dxa"/>
            <w:vAlign w:val="center"/>
          </w:tcPr>
          <w:p w:rsidR="00EC6E3E" w:rsidRPr="008C199D" w:rsidRDefault="00EC6E3E" w:rsidP="009236E5">
            <w:pPr>
              <w:jc w:val="center"/>
              <w:rPr>
                <w:rFonts w:cstheme="majorBidi"/>
                <w:color w:val="000000"/>
              </w:rPr>
            </w:pPr>
            <w:r w:rsidRPr="008C199D">
              <w:rPr>
                <w:rFonts w:cstheme="majorBidi"/>
                <w:color w:val="000000"/>
              </w:rPr>
              <w:t>1.565</w:t>
            </w:r>
          </w:p>
        </w:tc>
      </w:tr>
    </w:tbl>
    <w:p w:rsidR="007F2E18" w:rsidRDefault="007F2E18" w:rsidP="007F2E18">
      <w:pPr>
        <w:tabs>
          <w:tab w:val="left" w:pos="916"/>
          <w:tab w:val="left" w:pos="1832"/>
          <w:tab w:val="left" w:pos="2748"/>
          <w:tab w:val="left" w:pos="3664"/>
          <w:tab w:val="left" w:pos="3772"/>
          <w:tab w:val="left" w:pos="4580"/>
          <w:tab w:val="left" w:pos="5496"/>
          <w:tab w:val="left" w:pos="6412"/>
          <w:tab w:val="center" w:pos="6480"/>
          <w:tab w:val="left" w:pos="7328"/>
          <w:tab w:val="left" w:pos="8244"/>
          <w:tab w:val="left" w:pos="9160"/>
          <w:tab w:val="left" w:pos="10076"/>
          <w:tab w:val="left" w:pos="10992"/>
          <w:tab w:val="left" w:pos="11908"/>
          <w:tab w:val="left" w:pos="12824"/>
          <w:tab w:val="left" w:pos="13740"/>
          <w:tab w:val="left" w:pos="14656"/>
        </w:tabs>
        <w:spacing w:line="480" w:lineRule="auto"/>
        <w:rPr>
          <w:rFonts w:cstheme="majorBidi"/>
        </w:rPr>
        <w:sectPr w:rsidR="007F2E18">
          <w:pgSz w:w="15840" w:h="12240" w:orient="landscape"/>
          <w:pgMar w:top="1440" w:right="1440" w:bottom="1440" w:left="1440" w:header="720" w:footer="720" w:gutter="0"/>
          <w:cols w:space="720"/>
          <w:docGrid w:linePitch="360"/>
        </w:sectPr>
      </w:pPr>
    </w:p>
    <w:p w:rsidR="007F2E18" w:rsidRPr="007F2E18" w:rsidRDefault="007F2E18" w:rsidP="007F2E18">
      <w:pPr>
        <w:tabs>
          <w:tab w:val="left" w:pos="916"/>
          <w:tab w:val="left" w:pos="1832"/>
          <w:tab w:val="left" w:pos="2748"/>
          <w:tab w:val="left" w:pos="3664"/>
          <w:tab w:val="left" w:pos="3772"/>
          <w:tab w:val="left" w:pos="4580"/>
          <w:tab w:val="left" w:pos="5496"/>
          <w:tab w:val="left" w:pos="6412"/>
          <w:tab w:val="center" w:pos="6480"/>
          <w:tab w:val="left" w:pos="7328"/>
          <w:tab w:val="left" w:pos="8244"/>
          <w:tab w:val="left" w:pos="9160"/>
          <w:tab w:val="left" w:pos="10076"/>
          <w:tab w:val="left" w:pos="10992"/>
          <w:tab w:val="left" w:pos="11908"/>
          <w:tab w:val="left" w:pos="12824"/>
          <w:tab w:val="left" w:pos="13740"/>
          <w:tab w:val="left" w:pos="14656"/>
        </w:tabs>
        <w:spacing w:line="480" w:lineRule="auto"/>
        <w:rPr>
          <w:rFonts w:cstheme="majorBidi"/>
        </w:rPr>
      </w:pPr>
      <w:r w:rsidRPr="007F2E18">
        <w:rPr>
          <w:rFonts w:cstheme="majorBidi"/>
        </w:rPr>
        <w:lastRenderedPageBreak/>
        <w:tab/>
      </w:r>
    </w:p>
    <w:p w:rsidR="00025130" w:rsidRPr="00854E06" w:rsidRDefault="00025130" w:rsidP="00025130">
      <w:pPr>
        <w:pStyle w:val="Caption"/>
        <w:rPr>
          <w:rFonts w:cstheme="majorBidi"/>
          <w:color w:val="auto"/>
          <w:sz w:val="24"/>
          <w:szCs w:val="24"/>
        </w:rPr>
      </w:pPr>
      <w:bookmarkStart w:id="86" w:name="_Toc394005468"/>
      <w:proofErr w:type="gramStart"/>
      <w:r w:rsidRPr="00854E06">
        <w:rPr>
          <w:rFonts w:cstheme="majorBidi"/>
          <w:color w:val="auto"/>
          <w:sz w:val="24"/>
          <w:szCs w:val="24"/>
        </w:rPr>
        <w:t xml:space="preserve">Table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Table_5_- \* ARABIC </w:instrText>
      </w:r>
      <w:r w:rsidR="00F41E6A" w:rsidRPr="00854E06">
        <w:rPr>
          <w:rFonts w:cstheme="majorBidi"/>
          <w:color w:val="auto"/>
          <w:sz w:val="24"/>
          <w:szCs w:val="24"/>
        </w:rPr>
        <w:fldChar w:fldCharType="separate"/>
      </w:r>
      <w:r w:rsidR="008E2F67">
        <w:rPr>
          <w:rFonts w:cstheme="majorBidi"/>
          <w:noProof/>
          <w:color w:val="auto"/>
          <w:sz w:val="24"/>
          <w:szCs w:val="24"/>
        </w:rPr>
        <w:t>2</w:t>
      </w:r>
      <w:r w:rsidR="00F41E6A" w:rsidRPr="00854E06">
        <w:rPr>
          <w:rFonts w:cstheme="majorBidi"/>
          <w:color w:val="auto"/>
          <w:sz w:val="24"/>
          <w:szCs w:val="24"/>
        </w:rPr>
        <w:fldChar w:fldCharType="end"/>
      </w:r>
      <w:r w:rsidRPr="00854E06">
        <w:rPr>
          <w:rFonts w:cstheme="majorBidi"/>
          <w:color w:val="auto"/>
          <w:sz w:val="24"/>
          <w:szCs w:val="24"/>
        </w:rPr>
        <w:t>.</w:t>
      </w:r>
      <w:proofErr w:type="gramEnd"/>
      <w:r w:rsidRPr="00854E06">
        <w:rPr>
          <w:rFonts w:cstheme="majorBidi"/>
          <w:color w:val="auto"/>
          <w:sz w:val="24"/>
          <w:szCs w:val="24"/>
        </w:rPr>
        <w:t xml:space="preserve"> The Global Moran’s I of the rating parameters at 6</w:t>
      </w:r>
      <w:r w:rsidR="00E06476">
        <w:rPr>
          <w:rFonts w:cstheme="majorBidi"/>
          <w:color w:val="auto"/>
          <w:sz w:val="24"/>
          <w:szCs w:val="24"/>
        </w:rPr>
        <w:t>4</w:t>
      </w:r>
      <w:r w:rsidRPr="00854E06">
        <w:rPr>
          <w:rFonts w:cstheme="majorBidi"/>
          <w:color w:val="auto"/>
          <w:sz w:val="24"/>
          <w:szCs w:val="24"/>
        </w:rPr>
        <w:t xml:space="preserve"> gauging stations in the UMRB at annual and monthly levels</w:t>
      </w:r>
      <w:bookmarkEnd w:id="86"/>
    </w:p>
    <w:tbl>
      <w:tblPr>
        <w:tblW w:w="0" w:type="auto"/>
        <w:jc w:val="center"/>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4"/>
        <w:gridCol w:w="2256"/>
        <w:gridCol w:w="3060"/>
        <w:gridCol w:w="2237"/>
      </w:tblGrid>
      <w:tr w:rsidR="00025130" w:rsidRPr="00854E06">
        <w:trPr>
          <w:trHeight w:val="746"/>
          <w:jc w:val="center"/>
        </w:trPr>
        <w:tc>
          <w:tcPr>
            <w:tcW w:w="1794" w:type="dxa"/>
            <w:vAlign w:val="center"/>
          </w:tcPr>
          <w:p w:rsidR="00025130" w:rsidRPr="00854E06" w:rsidRDefault="00025130" w:rsidP="0072413E">
            <w:pPr>
              <w:pStyle w:val="HTMLPreformatted"/>
              <w:spacing w:line="480" w:lineRule="auto"/>
              <w:contextualSpacing/>
              <w:jc w:val="center"/>
              <w:rPr>
                <w:rFonts w:asciiTheme="majorBidi" w:hAnsiTheme="majorBidi" w:cstheme="majorBidi"/>
                <w:sz w:val="24"/>
                <w:szCs w:val="24"/>
              </w:rPr>
            </w:pPr>
          </w:p>
        </w:tc>
        <w:tc>
          <w:tcPr>
            <w:tcW w:w="2256" w:type="dxa"/>
            <w:vAlign w:val="center"/>
          </w:tcPr>
          <w:p w:rsidR="00025130" w:rsidRPr="00854E06" w:rsidRDefault="00025130" w:rsidP="0072413E">
            <w:pPr>
              <w:pStyle w:val="HTMLPreformatted"/>
              <w:spacing w:line="480" w:lineRule="auto"/>
              <w:contextualSpacing/>
              <w:jc w:val="center"/>
              <w:rPr>
                <w:rFonts w:asciiTheme="majorBidi" w:hAnsiTheme="majorBidi" w:cstheme="majorBidi"/>
                <w:sz w:val="24"/>
                <w:szCs w:val="24"/>
              </w:rPr>
            </w:pPr>
            <w:r w:rsidRPr="00854E06">
              <w:rPr>
                <w:rFonts w:asciiTheme="majorBidi" w:hAnsiTheme="majorBidi" w:cstheme="majorBidi"/>
                <w:sz w:val="24"/>
                <w:szCs w:val="24"/>
              </w:rPr>
              <w:t>Rating parameters</w:t>
            </w:r>
          </w:p>
        </w:tc>
        <w:tc>
          <w:tcPr>
            <w:tcW w:w="3060" w:type="dxa"/>
            <w:vAlign w:val="center"/>
          </w:tcPr>
          <w:p w:rsidR="00025130" w:rsidRPr="00854E06" w:rsidRDefault="00025130" w:rsidP="0072413E">
            <w:pPr>
              <w:pStyle w:val="HTMLPreformatted"/>
              <w:spacing w:line="480" w:lineRule="auto"/>
              <w:contextualSpacing/>
              <w:jc w:val="center"/>
              <w:rPr>
                <w:rFonts w:asciiTheme="majorBidi" w:hAnsiTheme="majorBidi" w:cstheme="majorBidi"/>
                <w:sz w:val="24"/>
                <w:szCs w:val="24"/>
              </w:rPr>
            </w:pPr>
            <w:r w:rsidRPr="00854E06">
              <w:rPr>
                <w:rFonts w:asciiTheme="majorBidi" w:hAnsiTheme="majorBidi" w:cstheme="majorBidi"/>
                <w:sz w:val="24"/>
                <w:szCs w:val="24"/>
              </w:rPr>
              <w:t>Global Moran’s I</w:t>
            </w:r>
          </w:p>
        </w:tc>
        <w:tc>
          <w:tcPr>
            <w:tcW w:w="2237" w:type="dxa"/>
            <w:vAlign w:val="center"/>
          </w:tcPr>
          <w:p w:rsidR="00025130" w:rsidRPr="00854E06" w:rsidRDefault="00025130" w:rsidP="0072413E">
            <w:pPr>
              <w:pStyle w:val="HTMLPreformatted"/>
              <w:spacing w:line="480" w:lineRule="auto"/>
              <w:contextualSpacing/>
              <w:jc w:val="center"/>
              <w:rPr>
                <w:rFonts w:asciiTheme="majorBidi" w:hAnsiTheme="majorBidi" w:cstheme="majorBidi"/>
                <w:sz w:val="24"/>
                <w:szCs w:val="24"/>
              </w:rPr>
            </w:pPr>
            <w:r w:rsidRPr="00854E06">
              <w:rPr>
                <w:rFonts w:asciiTheme="majorBidi" w:hAnsiTheme="majorBidi" w:cstheme="majorBidi"/>
                <w:sz w:val="24"/>
                <w:szCs w:val="24"/>
              </w:rPr>
              <w:t>P-value</w:t>
            </w:r>
          </w:p>
        </w:tc>
      </w:tr>
      <w:tr w:rsidR="00025130" w:rsidRPr="00854E06">
        <w:trPr>
          <w:jc w:val="center"/>
        </w:trPr>
        <w:tc>
          <w:tcPr>
            <w:tcW w:w="1794" w:type="dxa"/>
            <w:vMerge w:val="restart"/>
            <w:vAlign w:val="center"/>
          </w:tcPr>
          <w:p w:rsidR="00025130" w:rsidRPr="00854E06" w:rsidRDefault="00025130" w:rsidP="0072413E">
            <w:pPr>
              <w:pStyle w:val="HTMLPreformatted"/>
              <w:spacing w:line="480" w:lineRule="auto"/>
              <w:contextualSpacing/>
              <w:jc w:val="center"/>
              <w:rPr>
                <w:rFonts w:asciiTheme="majorBidi" w:hAnsiTheme="majorBidi" w:cstheme="majorBidi"/>
                <w:sz w:val="24"/>
                <w:szCs w:val="24"/>
              </w:rPr>
            </w:pPr>
            <w:r w:rsidRPr="00854E06">
              <w:rPr>
                <w:rFonts w:asciiTheme="majorBidi" w:hAnsiTheme="majorBidi" w:cstheme="majorBidi"/>
                <w:sz w:val="24"/>
                <w:szCs w:val="24"/>
              </w:rPr>
              <w:t>Annual</w:t>
            </w:r>
          </w:p>
        </w:tc>
        <w:tc>
          <w:tcPr>
            <w:tcW w:w="2256" w:type="dxa"/>
            <w:vAlign w:val="center"/>
          </w:tcPr>
          <w:p w:rsidR="00025130" w:rsidRPr="00854E06" w:rsidRDefault="00025130" w:rsidP="0072413E">
            <w:pPr>
              <w:pStyle w:val="HTMLPreformatted"/>
              <w:spacing w:line="480" w:lineRule="auto"/>
              <w:contextualSpacing/>
              <w:jc w:val="center"/>
              <w:rPr>
                <w:rFonts w:ascii="Cambria Math" w:hAnsi="Cambria Math" w:cstheme="majorBidi"/>
                <w:sz w:val="24"/>
                <w:szCs w:val="24"/>
                <w:oMath/>
              </w:rPr>
            </w:pPr>
            <m:oMathPara>
              <m:oMath>
                <m:r>
                  <w:rPr>
                    <w:rFonts w:ascii="Cambria Math" w:hAnsi="Cambria Math" w:cstheme="majorBidi"/>
                    <w:sz w:val="24"/>
                    <w:szCs w:val="24"/>
                  </w:rPr>
                  <m:t>a</m:t>
                </m:r>
              </m:oMath>
            </m:oMathPara>
          </w:p>
        </w:tc>
        <w:tc>
          <w:tcPr>
            <w:tcW w:w="3060" w:type="dxa"/>
            <w:vAlign w:val="center"/>
          </w:tcPr>
          <w:p w:rsidR="00025130" w:rsidRPr="00854E06" w:rsidRDefault="00F872E8" w:rsidP="0072413E">
            <w:pPr>
              <w:pStyle w:val="HTMLPreformatted"/>
              <w:spacing w:line="480" w:lineRule="auto"/>
              <w:contextualSpacing/>
              <w:jc w:val="center"/>
              <w:rPr>
                <w:rFonts w:asciiTheme="majorBidi" w:hAnsiTheme="majorBidi" w:cstheme="majorBidi"/>
                <w:sz w:val="24"/>
                <w:szCs w:val="24"/>
              </w:rPr>
            </w:pPr>
            <w:r>
              <w:rPr>
                <w:rFonts w:asciiTheme="majorBidi" w:hAnsiTheme="majorBidi" w:cstheme="majorBidi"/>
                <w:sz w:val="24"/>
                <w:szCs w:val="24"/>
              </w:rPr>
              <w:t>0.155</w:t>
            </w:r>
          </w:p>
        </w:tc>
        <w:tc>
          <w:tcPr>
            <w:tcW w:w="2237" w:type="dxa"/>
            <w:vAlign w:val="center"/>
          </w:tcPr>
          <w:p w:rsidR="00025130" w:rsidRPr="00854E06" w:rsidRDefault="00F872E8" w:rsidP="0072413E">
            <w:pPr>
              <w:pStyle w:val="HTMLPreformatted"/>
              <w:spacing w:line="480" w:lineRule="auto"/>
              <w:contextualSpacing/>
              <w:jc w:val="center"/>
              <w:rPr>
                <w:rFonts w:asciiTheme="majorBidi" w:hAnsiTheme="majorBidi" w:cstheme="majorBidi"/>
                <w:sz w:val="24"/>
                <w:szCs w:val="24"/>
              </w:rPr>
            </w:pPr>
            <w:r>
              <w:rPr>
                <w:rFonts w:asciiTheme="majorBidi" w:hAnsiTheme="majorBidi" w:cstheme="majorBidi"/>
                <w:sz w:val="24"/>
                <w:szCs w:val="24"/>
              </w:rPr>
              <w:t>0.070</w:t>
            </w:r>
          </w:p>
        </w:tc>
      </w:tr>
      <w:tr w:rsidR="00025130" w:rsidRPr="00854E06">
        <w:trPr>
          <w:jc w:val="center"/>
        </w:trPr>
        <w:tc>
          <w:tcPr>
            <w:tcW w:w="1794" w:type="dxa"/>
            <w:vMerge/>
            <w:vAlign w:val="center"/>
          </w:tcPr>
          <w:p w:rsidR="00025130" w:rsidRPr="00854E06" w:rsidRDefault="00025130" w:rsidP="0072413E">
            <w:pPr>
              <w:pStyle w:val="HTMLPreformatted"/>
              <w:spacing w:line="480" w:lineRule="auto"/>
              <w:contextualSpacing/>
              <w:jc w:val="center"/>
              <w:rPr>
                <w:rFonts w:asciiTheme="majorBidi" w:hAnsiTheme="majorBidi" w:cstheme="majorBidi"/>
                <w:sz w:val="24"/>
                <w:szCs w:val="24"/>
              </w:rPr>
            </w:pPr>
          </w:p>
        </w:tc>
        <w:tc>
          <w:tcPr>
            <w:tcW w:w="2256" w:type="dxa"/>
            <w:vAlign w:val="center"/>
          </w:tcPr>
          <w:p w:rsidR="00025130" w:rsidRPr="00854E06" w:rsidRDefault="00025130" w:rsidP="0072413E">
            <w:pPr>
              <w:pStyle w:val="HTMLPreformatted"/>
              <w:spacing w:line="480" w:lineRule="auto"/>
              <w:contextualSpacing/>
              <w:jc w:val="center"/>
              <w:rPr>
                <w:rFonts w:ascii="Cambria Math" w:hAnsi="Cambria Math" w:cstheme="majorBidi"/>
                <w:sz w:val="24"/>
                <w:szCs w:val="24"/>
                <w:oMath/>
              </w:rPr>
            </w:pPr>
            <m:oMathPara>
              <m:oMath>
                <m:r>
                  <w:rPr>
                    <w:rFonts w:ascii="Cambria Math" w:hAnsi="Cambria Math" w:cstheme="majorBidi"/>
                    <w:sz w:val="24"/>
                    <w:szCs w:val="24"/>
                  </w:rPr>
                  <m:t>b</m:t>
                </m:r>
              </m:oMath>
            </m:oMathPara>
          </w:p>
        </w:tc>
        <w:tc>
          <w:tcPr>
            <w:tcW w:w="3060" w:type="dxa"/>
            <w:vAlign w:val="center"/>
          </w:tcPr>
          <w:p w:rsidR="00025130" w:rsidRPr="00854E06" w:rsidRDefault="00F872E8" w:rsidP="0072413E">
            <w:pPr>
              <w:pStyle w:val="HTMLPreformatted"/>
              <w:spacing w:line="480" w:lineRule="auto"/>
              <w:contextualSpacing/>
              <w:jc w:val="center"/>
              <w:rPr>
                <w:rFonts w:asciiTheme="majorBidi" w:hAnsiTheme="majorBidi" w:cstheme="majorBidi"/>
                <w:b/>
                <w:bCs/>
                <w:sz w:val="24"/>
                <w:szCs w:val="24"/>
              </w:rPr>
            </w:pPr>
            <w:r>
              <w:rPr>
                <w:rFonts w:asciiTheme="majorBidi" w:hAnsiTheme="majorBidi" w:cstheme="majorBidi"/>
                <w:b/>
                <w:bCs/>
                <w:sz w:val="24"/>
                <w:szCs w:val="24"/>
              </w:rPr>
              <w:t>0.309</w:t>
            </w:r>
            <w:r w:rsidR="00025130" w:rsidRPr="001A49CE">
              <w:rPr>
                <w:rFonts w:asciiTheme="majorBidi" w:hAnsiTheme="majorBidi" w:cstheme="majorBidi"/>
                <w:bCs/>
                <w:sz w:val="24"/>
                <w:szCs w:val="24"/>
                <w:vertAlign w:val="superscript"/>
              </w:rPr>
              <w:t>a</w:t>
            </w:r>
          </w:p>
        </w:tc>
        <w:tc>
          <w:tcPr>
            <w:tcW w:w="2237" w:type="dxa"/>
            <w:vAlign w:val="center"/>
          </w:tcPr>
          <w:p w:rsidR="00025130" w:rsidRPr="00854E06" w:rsidRDefault="00025130" w:rsidP="0072413E">
            <w:pPr>
              <w:pStyle w:val="HTMLPreformatted"/>
              <w:spacing w:line="480" w:lineRule="auto"/>
              <w:contextualSpacing/>
              <w:jc w:val="center"/>
              <w:rPr>
                <w:rFonts w:asciiTheme="majorBidi" w:hAnsiTheme="majorBidi" w:cstheme="majorBidi"/>
                <w:b/>
                <w:bCs/>
                <w:sz w:val="24"/>
                <w:szCs w:val="24"/>
              </w:rPr>
            </w:pPr>
            <w:r w:rsidRPr="00854E06">
              <w:rPr>
                <w:rFonts w:asciiTheme="majorBidi" w:hAnsiTheme="majorBidi" w:cstheme="majorBidi"/>
                <w:b/>
                <w:bCs/>
                <w:sz w:val="24"/>
                <w:szCs w:val="24"/>
              </w:rPr>
              <w:t>0.002</w:t>
            </w:r>
          </w:p>
        </w:tc>
      </w:tr>
      <w:tr w:rsidR="00025130" w:rsidRPr="00854E06">
        <w:trPr>
          <w:jc w:val="center"/>
        </w:trPr>
        <w:tc>
          <w:tcPr>
            <w:tcW w:w="1794" w:type="dxa"/>
            <w:vMerge w:val="restart"/>
            <w:vAlign w:val="center"/>
          </w:tcPr>
          <w:p w:rsidR="00025130" w:rsidRPr="00854E06" w:rsidRDefault="00025130" w:rsidP="0072413E">
            <w:pPr>
              <w:pStyle w:val="HTMLPreformatted"/>
              <w:spacing w:line="480" w:lineRule="auto"/>
              <w:contextualSpacing/>
              <w:jc w:val="center"/>
              <w:rPr>
                <w:rFonts w:asciiTheme="majorBidi" w:hAnsiTheme="majorBidi" w:cstheme="majorBidi"/>
                <w:sz w:val="24"/>
                <w:szCs w:val="24"/>
              </w:rPr>
            </w:pPr>
            <w:proofErr w:type="spellStart"/>
            <w:r w:rsidRPr="00854E06">
              <w:rPr>
                <w:rFonts w:asciiTheme="majorBidi" w:hAnsiTheme="majorBidi" w:cstheme="majorBidi"/>
                <w:sz w:val="24"/>
                <w:szCs w:val="24"/>
              </w:rPr>
              <w:t>April</w:t>
            </w:r>
            <w:r>
              <w:rPr>
                <w:rFonts w:asciiTheme="majorBidi" w:hAnsiTheme="majorBidi" w:cstheme="majorBidi"/>
                <w:sz w:val="24"/>
                <w:szCs w:val="24"/>
                <w:vertAlign w:val="superscript"/>
              </w:rPr>
              <w:t>b</w:t>
            </w:r>
            <w:proofErr w:type="spellEnd"/>
          </w:p>
        </w:tc>
        <w:tc>
          <w:tcPr>
            <w:tcW w:w="2256" w:type="dxa"/>
            <w:vAlign w:val="center"/>
          </w:tcPr>
          <w:p w:rsidR="00025130" w:rsidRPr="00854E06" w:rsidRDefault="00025130" w:rsidP="0072413E">
            <w:pPr>
              <w:pStyle w:val="HTMLPreformatted"/>
              <w:spacing w:line="480" w:lineRule="auto"/>
              <w:contextualSpacing/>
              <w:jc w:val="center"/>
              <w:rPr>
                <w:rFonts w:ascii="Cambria Math" w:hAnsi="Cambria Math" w:cstheme="majorBidi"/>
                <w:sz w:val="24"/>
                <w:szCs w:val="24"/>
                <w:oMath/>
              </w:rPr>
            </w:pPr>
            <m:oMathPara>
              <m:oMath>
                <m:r>
                  <w:rPr>
                    <w:rFonts w:ascii="Cambria Math" w:hAnsi="Cambria Math" w:cstheme="majorBidi"/>
                    <w:sz w:val="24"/>
                    <w:szCs w:val="24"/>
                  </w:rPr>
                  <m:t>a</m:t>
                </m:r>
              </m:oMath>
            </m:oMathPara>
          </w:p>
        </w:tc>
        <w:tc>
          <w:tcPr>
            <w:tcW w:w="3060" w:type="dxa"/>
            <w:vAlign w:val="center"/>
          </w:tcPr>
          <w:p w:rsidR="00025130" w:rsidRPr="00854E06" w:rsidRDefault="00F872E8" w:rsidP="0072413E">
            <w:pPr>
              <w:pStyle w:val="HTMLPreformatted"/>
              <w:spacing w:line="480" w:lineRule="auto"/>
              <w:contextualSpacing/>
              <w:jc w:val="center"/>
              <w:rPr>
                <w:rFonts w:asciiTheme="majorBidi" w:hAnsiTheme="majorBidi" w:cstheme="majorBidi"/>
                <w:sz w:val="24"/>
                <w:szCs w:val="24"/>
              </w:rPr>
            </w:pPr>
            <w:r>
              <w:rPr>
                <w:rFonts w:asciiTheme="majorBidi" w:hAnsiTheme="majorBidi" w:cstheme="majorBidi"/>
                <w:sz w:val="24"/>
                <w:szCs w:val="24"/>
              </w:rPr>
              <w:t>0.018</w:t>
            </w:r>
          </w:p>
        </w:tc>
        <w:tc>
          <w:tcPr>
            <w:tcW w:w="2237" w:type="dxa"/>
            <w:vAlign w:val="center"/>
          </w:tcPr>
          <w:p w:rsidR="00025130" w:rsidRPr="00854E06" w:rsidRDefault="00F872E8" w:rsidP="0072413E">
            <w:pPr>
              <w:pStyle w:val="HTMLPreformatted"/>
              <w:spacing w:line="480" w:lineRule="auto"/>
              <w:contextualSpacing/>
              <w:jc w:val="center"/>
              <w:rPr>
                <w:rFonts w:asciiTheme="majorBidi" w:hAnsiTheme="majorBidi" w:cstheme="majorBidi"/>
                <w:sz w:val="24"/>
                <w:szCs w:val="24"/>
              </w:rPr>
            </w:pPr>
            <w:r>
              <w:rPr>
                <w:rFonts w:asciiTheme="majorBidi" w:hAnsiTheme="majorBidi" w:cstheme="majorBidi"/>
                <w:sz w:val="24"/>
                <w:szCs w:val="24"/>
              </w:rPr>
              <w:t>0.724</w:t>
            </w:r>
          </w:p>
        </w:tc>
      </w:tr>
      <w:tr w:rsidR="00025130" w:rsidRPr="00854E06">
        <w:trPr>
          <w:jc w:val="center"/>
        </w:trPr>
        <w:tc>
          <w:tcPr>
            <w:tcW w:w="1794" w:type="dxa"/>
            <w:vMerge/>
            <w:vAlign w:val="center"/>
          </w:tcPr>
          <w:p w:rsidR="00025130" w:rsidRPr="00854E06" w:rsidRDefault="00025130" w:rsidP="0072413E">
            <w:pPr>
              <w:pStyle w:val="HTMLPreformatted"/>
              <w:spacing w:line="480" w:lineRule="auto"/>
              <w:contextualSpacing/>
              <w:jc w:val="center"/>
              <w:rPr>
                <w:rFonts w:asciiTheme="majorBidi" w:hAnsiTheme="majorBidi" w:cstheme="majorBidi"/>
                <w:sz w:val="24"/>
                <w:szCs w:val="24"/>
              </w:rPr>
            </w:pPr>
          </w:p>
        </w:tc>
        <w:tc>
          <w:tcPr>
            <w:tcW w:w="2256" w:type="dxa"/>
            <w:vAlign w:val="center"/>
          </w:tcPr>
          <w:p w:rsidR="00025130" w:rsidRPr="00854E06" w:rsidRDefault="00025130" w:rsidP="0072413E">
            <w:pPr>
              <w:pStyle w:val="HTMLPreformatted"/>
              <w:spacing w:line="480" w:lineRule="auto"/>
              <w:contextualSpacing/>
              <w:jc w:val="center"/>
              <w:rPr>
                <w:rFonts w:ascii="Cambria Math" w:hAnsi="Cambria Math" w:cstheme="majorBidi"/>
                <w:sz w:val="24"/>
                <w:szCs w:val="24"/>
                <w:oMath/>
              </w:rPr>
            </w:pPr>
            <m:oMathPara>
              <m:oMath>
                <m:r>
                  <w:rPr>
                    <w:rFonts w:ascii="Cambria Math" w:hAnsi="Cambria Math" w:cstheme="majorBidi"/>
                    <w:sz w:val="24"/>
                    <w:szCs w:val="24"/>
                  </w:rPr>
                  <m:t>b</m:t>
                </m:r>
              </m:oMath>
            </m:oMathPara>
          </w:p>
        </w:tc>
        <w:tc>
          <w:tcPr>
            <w:tcW w:w="3060" w:type="dxa"/>
            <w:vAlign w:val="center"/>
          </w:tcPr>
          <w:p w:rsidR="00025130" w:rsidRPr="00854E06" w:rsidRDefault="00F872E8" w:rsidP="0072413E">
            <w:pPr>
              <w:pStyle w:val="HTMLPreformatted"/>
              <w:spacing w:line="480" w:lineRule="auto"/>
              <w:contextualSpacing/>
              <w:jc w:val="center"/>
              <w:rPr>
                <w:rFonts w:asciiTheme="majorBidi" w:hAnsiTheme="majorBidi" w:cstheme="majorBidi"/>
                <w:b/>
                <w:bCs/>
                <w:sz w:val="24"/>
                <w:szCs w:val="24"/>
              </w:rPr>
            </w:pPr>
            <w:r>
              <w:rPr>
                <w:rFonts w:asciiTheme="majorBidi" w:hAnsiTheme="majorBidi" w:cstheme="majorBidi"/>
                <w:b/>
                <w:bCs/>
                <w:sz w:val="24"/>
                <w:szCs w:val="24"/>
              </w:rPr>
              <w:t>0.241</w:t>
            </w:r>
          </w:p>
        </w:tc>
        <w:tc>
          <w:tcPr>
            <w:tcW w:w="2237" w:type="dxa"/>
            <w:vAlign w:val="center"/>
          </w:tcPr>
          <w:p w:rsidR="00025130" w:rsidRPr="00854E06" w:rsidRDefault="00F872E8" w:rsidP="0072413E">
            <w:pPr>
              <w:pStyle w:val="HTMLPreformatted"/>
              <w:spacing w:line="480" w:lineRule="auto"/>
              <w:contextualSpacing/>
              <w:jc w:val="center"/>
              <w:rPr>
                <w:rFonts w:asciiTheme="majorBidi" w:hAnsiTheme="majorBidi" w:cstheme="majorBidi"/>
                <w:b/>
                <w:bCs/>
                <w:sz w:val="24"/>
                <w:szCs w:val="24"/>
              </w:rPr>
            </w:pPr>
            <w:r>
              <w:rPr>
                <w:rFonts w:asciiTheme="majorBidi" w:hAnsiTheme="majorBidi" w:cstheme="majorBidi"/>
                <w:b/>
                <w:bCs/>
                <w:sz w:val="24"/>
                <w:szCs w:val="24"/>
              </w:rPr>
              <w:t>0.012</w:t>
            </w:r>
          </w:p>
        </w:tc>
      </w:tr>
      <w:tr w:rsidR="00025130" w:rsidRPr="00854E06">
        <w:trPr>
          <w:jc w:val="center"/>
        </w:trPr>
        <w:tc>
          <w:tcPr>
            <w:tcW w:w="1794" w:type="dxa"/>
            <w:vMerge w:val="restart"/>
            <w:vAlign w:val="center"/>
          </w:tcPr>
          <w:p w:rsidR="00025130" w:rsidRPr="00854E06" w:rsidRDefault="00025130" w:rsidP="0072413E">
            <w:pPr>
              <w:pStyle w:val="HTMLPreformatted"/>
              <w:spacing w:line="480" w:lineRule="auto"/>
              <w:contextualSpacing/>
              <w:jc w:val="center"/>
              <w:rPr>
                <w:rFonts w:asciiTheme="majorBidi" w:hAnsiTheme="majorBidi" w:cstheme="majorBidi"/>
                <w:sz w:val="24"/>
                <w:szCs w:val="24"/>
              </w:rPr>
            </w:pPr>
            <w:r w:rsidRPr="00854E06">
              <w:rPr>
                <w:rFonts w:asciiTheme="majorBidi" w:hAnsiTheme="majorBidi" w:cstheme="majorBidi"/>
                <w:sz w:val="24"/>
                <w:szCs w:val="24"/>
              </w:rPr>
              <w:t>September</w:t>
            </w:r>
          </w:p>
        </w:tc>
        <w:tc>
          <w:tcPr>
            <w:tcW w:w="2256" w:type="dxa"/>
            <w:vAlign w:val="center"/>
          </w:tcPr>
          <w:p w:rsidR="00025130" w:rsidRPr="00854E06" w:rsidRDefault="00025130" w:rsidP="0072413E">
            <w:pPr>
              <w:pStyle w:val="HTMLPreformatted"/>
              <w:spacing w:line="480" w:lineRule="auto"/>
              <w:contextualSpacing/>
              <w:jc w:val="center"/>
              <w:rPr>
                <w:rFonts w:ascii="Cambria Math" w:hAnsi="Cambria Math" w:cstheme="majorBidi"/>
                <w:sz w:val="24"/>
                <w:szCs w:val="24"/>
                <w:oMath/>
              </w:rPr>
            </w:pPr>
            <m:oMathPara>
              <m:oMath>
                <m:r>
                  <w:rPr>
                    <w:rFonts w:ascii="Cambria Math" w:hAnsi="Cambria Math" w:cstheme="majorBidi"/>
                    <w:sz w:val="24"/>
                    <w:szCs w:val="24"/>
                  </w:rPr>
                  <m:t>a</m:t>
                </m:r>
              </m:oMath>
            </m:oMathPara>
          </w:p>
        </w:tc>
        <w:tc>
          <w:tcPr>
            <w:tcW w:w="3060" w:type="dxa"/>
            <w:vAlign w:val="center"/>
          </w:tcPr>
          <w:p w:rsidR="00025130" w:rsidRPr="00854E06" w:rsidRDefault="00025130" w:rsidP="0072413E">
            <w:pPr>
              <w:pStyle w:val="HTMLPreformatted"/>
              <w:spacing w:line="480" w:lineRule="auto"/>
              <w:contextualSpacing/>
              <w:jc w:val="center"/>
              <w:rPr>
                <w:rFonts w:asciiTheme="majorBidi" w:hAnsiTheme="majorBidi" w:cstheme="majorBidi"/>
                <w:sz w:val="24"/>
                <w:szCs w:val="24"/>
              </w:rPr>
            </w:pPr>
            <w:r w:rsidRPr="00854E06">
              <w:rPr>
                <w:rFonts w:asciiTheme="majorBidi" w:hAnsiTheme="majorBidi" w:cstheme="majorBidi"/>
                <w:sz w:val="24"/>
                <w:szCs w:val="24"/>
              </w:rPr>
              <w:t>0.079</w:t>
            </w:r>
          </w:p>
        </w:tc>
        <w:tc>
          <w:tcPr>
            <w:tcW w:w="2237" w:type="dxa"/>
            <w:vAlign w:val="center"/>
          </w:tcPr>
          <w:p w:rsidR="00025130" w:rsidRPr="00854E06" w:rsidRDefault="00F872E8" w:rsidP="0072413E">
            <w:pPr>
              <w:pStyle w:val="HTMLPreformatted"/>
              <w:spacing w:line="480" w:lineRule="auto"/>
              <w:contextualSpacing/>
              <w:jc w:val="center"/>
              <w:rPr>
                <w:rFonts w:asciiTheme="majorBidi" w:hAnsiTheme="majorBidi" w:cstheme="majorBidi"/>
                <w:sz w:val="24"/>
                <w:szCs w:val="24"/>
              </w:rPr>
            </w:pPr>
            <w:r>
              <w:rPr>
                <w:rFonts w:asciiTheme="majorBidi" w:hAnsiTheme="majorBidi" w:cstheme="majorBidi"/>
                <w:sz w:val="24"/>
                <w:szCs w:val="24"/>
              </w:rPr>
              <w:t>0.354</w:t>
            </w:r>
          </w:p>
        </w:tc>
      </w:tr>
      <w:tr w:rsidR="00025130" w:rsidRPr="00854E06">
        <w:trPr>
          <w:jc w:val="center"/>
        </w:trPr>
        <w:tc>
          <w:tcPr>
            <w:tcW w:w="1794" w:type="dxa"/>
            <w:vMerge/>
            <w:vAlign w:val="center"/>
          </w:tcPr>
          <w:p w:rsidR="00025130" w:rsidRPr="00854E06" w:rsidRDefault="00025130" w:rsidP="0072413E">
            <w:pPr>
              <w:pStyle w:val="HTMLPreformatted"/>
              <w:spacing w:line="480" w:lineRule="auto"/>
              <w:contextualSpacing/>
              <w:jc w:val="center"/>
              <w:rPr>
                <w:rFonts w:asciiTheme="majorBidi" w:hAnsiTheme="majorBidi" w:cstheme="majorBidi"/>
                <w:sz w:val="24"/>
                <w:szCs w:val="24"/>
              </w:rPr>
            </w:pPr>
          </w:p>
        </w:tc>
        <w:tc>
          <w:tcPr>
            <w:tcW w:w="2256" w:type="dxa"/>
            <w:vAlign w:val="center"/>
          </w:tcPr>
          <w:p w:rsidR="00025130" w:rsidRPr="00854E06" w:rsidRDefault="00025130" w:rsidP="0072413E">
            <w:pPr>
              <w:pStyle w:val="HTMLPreformatted"/>
              <w:spacing w:line="480" w:lineRule="auto"/>
              <w:contextualSpacing/>
              <w:jc w:val="center"/>
              <w:rPr>
                <w:rFonts w:ascii="Cambria Math" w:hAnsi="Cambria Math" w:cstheme="majorBidi"/>
                <w:sz w:val="24"/>
                <w:szCs w:val="24"/>
                <w:oMath/>
              </w:rPr>
            </w:pPr>
            <m:oMathPara>
              <m:oMath>
                <m:r>
                  <w:rPr>
                    <w:rFonts w:ascii="Cambria Math" w:hAnsi="Cambria Math" w:cstheme="majorBidi"/>
                    <w:sz w:val="24"/>
                    <w:szCs w:val="24"/>
                  </w:rPr>
                  <m:t>b</m:t>
                </m:r>
              </m:oMath>
            </m:oMathPara>
          </w:p>
        </w:tc>
        <w:tc>
          <w:tcPr>
            <w:tcW w:w="3060" w:type="dxa"/>
            <w:vAlign w:val="center"/>
          </w:tcPr>
          <w:p w:rsidR="00025130" w:rsidRPr="00854E06" w:rsidRDefault="00F872E8" w:rsidP="0072413E">
            <w:pPr>
              <w:pStyle w:val="HTMLPreformatted"/>
              <w:spacing w:line="480" w:lineRule="auto"/>
              <w:contextualSpacing/>
              <w:jc w:val="center"/>
              <w:rPr>
                <w:rFonts w:asciiTheme="majorBidi" w:hAnsiTheme="majorBidi" w:cstheme="majorBidi"/>
                <w:b/>
                <w:bCs/>
                <w:sz w:val="24"/>
                <w:szCs w:val="24"/>
              </w:rPr>
            </w:pPr>
            <w:r>
              <w:rPr>
                <w:rFonts w:asciiTheme="majorBidi" w:hAnsiTheme="majorBidi" w:cstheme="majorBidi"/>
                <w:b/>
                <w:bCs/>
                <w:sz w:val="24"/>
                <w:szCs w:val="24"/>
              </w:rPr>
              <w:t>0.295</w:t>
            </w:r>
          </w:p>
        </w:tc>
        <w:tc>
          <w:tcPr>
            <w:tcW w:w="2237" w:type="dxa"/>
            <w:vAlign w:val="center"/>
          </w:tcPr>
          <w:p w:rsidR="00025130" w:rsidRPr="00854E06" w:rsidRDefault="00F872E8" w:rsidP="0072413E">
            <w:pPr>
              <w:pStyle w:val="HTMLPreformatted"/>
              <w:spacing w:line="480" w:lineRule="auto"/>
              <w:contextualSpacing/>
              <w:jc w:val="center"/>
              <w:rPr>
                <w:rFonts w:asciiTheme="majorBidi" w:hAnsiTheme="majorBidi" w:cstheme="majorBidi"/>
                <w:b/>
                <w:bCs/>
                <w:sz w:val="24"/>
                <w:szCs w:val="24"/>
              </w:rPr>
            </w:pPr>
            <w:r>
              <w:rPr>
                <w:rFonts w:asciiTheme="majorBidi" w:hAnsiTheme="majorBidi" w:cstheme="majorBidi"/>
                <w:b/>
                <w:bCs/>
                <w:sz w:val="24"/>
                <w:szCs w:val="24"/>
              </w:rPr>
              <w:t>0.003</w:t>
            </w:r>
          </w:p>
        </w:tc>
      </w:tr>
    </w:tbl>
    <w:p w:rsidR="00025130" w:rsidRPr="00854E06" w:rsidRDefault="00025130" w:rsidP="007D6D8C">
      <w:pPr>
        <w:pStyle w:val="HTMLPreformatted"/>
        <w:spacing w:line="480" w:lineRule="auto"/>
        <w:ind w:left="630"/>
        <w:rPr>
          <w:rFonts w:asciiTheme="majorBidi" w:hAnsiTheme="majorBidi" w:cstheme="majorBidi"/>
          <w:sz w:val="24"/>
          <w:szCs w:val="24"/>
        </w:rPr>
      </w:pPr>
      <w:proofErr w:type="spellStart"/>
      <w:proofErr w:type="gramStart"/>
      <w:r w:rsidRPr="001A49CE">
        <w:rPr>
          <w:rFonts w:asciiTheme="majorBidi" w:hAnsiTheme="majorBidi" w:cstheme="majorBidi"/>
          <w:sz w:val="24"/>
          <w:szCs w:val="24"/>
          <w:vertAlign w:val="superscript"/>
        </w:rPr>
        <w:t>a</w:t>
      </w:r>
      <w:r w:rsidRPr="00854E06">
        <w:rPr>
          <w:rFonts w:asciiTheme="majorBidi" w:hAnsiTheme="majorBidi" w:cstheme="majorBidi"/>
          <w:sz w:val="24"/>
          <w:szCs w:val="24"/>
        </w:rPr>
        <w:t>The</w:t>
      </w:r>
      <w:proofErr w:type="spellEnd"/>
      <w:proofErr w:type="gramEnd"/>
      <w:r w:rsidRPr="00854E06">
        <w:rPr>
          <w:rFonts w:asciiTheme="majorBidi" w:hAnsiTheme="majorBidi" w:cstheme="majorBidi"/>
          <w:sz w:val="24"/>
          <w:szCs w:val="24"/>
        </w:rPr>
        <w:t xml:space="preserve"> bolded numbers indicate significant results </w:t>
      </w:r>
    </w:p>
    <w:p w:rsidR="00025130" w:rsidRPr="00854E06" w:rsidRDefault="00025130" w:rsidP="007D6D8C">
      <w:pPr>
        <w:pStyle w:val="HTMLPreformatted"/>
        <w:spacing w:line="480" w:lineRule="auto"/>
        <w:ind w:left="630"/>
        <w:rPr>
          <w:rFonts w:asciiTheme="majorBidi" w:hAnsiTheme="majorBidi" w:cstheme="majorBidi"/>
          <w:sz w:val="24"/>
          <w:szCs w:val="24"/>
        </w:rPr>
      </w:pPr>
      <w:proofErr w:type="spellStart"/>
      <w:proofErr w:type="gramStart"/>
      <w:r w:rsidRPr="00A565D1">
        <w:rPr>
          <w:rFonts w:asciiTheme="majorBidi" w:hAnsiTheme="majorBidi" w:cstheme="majorBidi"/>
          <w:sz w:val="24"/>
          <w:szCs w:val="24"/>
          <w:vertAlign w:val="superscript"/>
        </w:rPr>
        <w:t>b</w:t>
      </w:r>
      <w:r w:rsidRPr="00854E06">
        <w:rPr>
          <w:rFonts w:asciiTheme="majorBidi" w:hAnsiTheme="majorBidi" w:cstheme="majorBidi"/>
          <w:sz w:val="24"/>
          <w:szCs w:val="24"/>
        </w:rPr>
        <w:t>April</w:t>
      </w:r>
      <w:proofErr w:type="spellEnd"/>
      <w:proofErr w:type="gramEnd"/>
      <w:r w:rsidRPr="00854E06">
        <w:rPr>
          <w:rFonts w:asciiTheme="majorBidi" w:hAnsiTheme="majorBidi" w:cstheme="majorBidi"/>
          <w:sz w:val="24"/>
          <w:szCs w:val="24"/>
        </w:rPr>
        <w:t xml:space="preserve"> and September were chosen to be the representative months for the Global Moran’s I at the monthly level</w:t>
      </w:r>
    </w:p>
    <w:p w:rsidR="00025130" w:rsidRPr="00854E06" w:rsidRDefault="00025130" w:rsidP="007D6D8C">
      <w:pPr>
        <w:pStyle w:val="HTMLPreformatted"/>
        <w:spacing w:line="480" w:lineRule="auto"/>
        <w:ind w:left="630"/>
        <w:jc w:val="center"/>
        <w:rPr>
          <w:rFonts w:asciiTheme="majorBidi" w:hAnsiTheme="majorBidi" w:cstheme="majorBidi"/>
          <w:sz w:val="24"/>
          <w:szCs w:val="24"/>
        </w:rPr>
      </w:pPr>
    </w:p>
    <w:p w:rsidR="00025130" w:rsidRPr="00854E06" w:rsidRDefault="00025130" w:rsidP="00025130">
      <w:pPr>
        <w:pStyle w:val="HTMLPreformatted"/>
        <w:spacing w:line="480" w:lineRule="auto"/>
        <w:jc w:val="center"/>
        <w:rPr>
          <w:rFonts w:asciiTheme="majorBidi" w:hAnsiTheme="majorBidi" w:cstheme="majorBidi"/>
          <w:sz w:val="24"/>
          <w:szCs w:val="24"/>
        </w:rPr>
      </w:pPr>
    </w:p>
    <w:p w:rsidR="00025130" w:rsidRPr="00854E06" w:rsidRDefault="00025130" w:rsidP="00025130">
      <w:pPr>
        <w:pStyle w:val="HTMLPreformatted"/>
        <w:spacing w:line="480" w:lineRule="auto"/>
        <w:jc w:val="center"/>
        <w:rPr>
          <w:rFonts w:asciiTheme="majorBidi" w:hAnsiTheme="majorBidi" w:cstheme="majorBidi"/>
          <w:sz w:val="24"/>
          <w:szCs w:val="24"/>
        </w:rPr>
      </w:pPr>
    </w:p>
    <w:p w:rsidR="00025130" w:rsidRPr="00854E06" w:rsidRDefault="00025130" w:rsidP="00025130">
      <w:pPr>
        <w:pStyle w:val="HTMLPreformatted"/>
        <w:spacing w:line="480" w:lineRule="auto"/>
        <w:jc w:val="center"/>
        <w:rPr>
          <w:rFonts w:asciiTheme="majorBidi" w:hAnsiTheme="majorBidi" w:cstheme="majorBidi"/>
          <w:sz w:val="24"/>
          <w:szCs w:val="24"/>
        </w:rPr>
      </w:pPr>
    </w:p>
    <w:p w:rsidR="00025130" w:rsidRPr="00854E06" w:rsidRDefault="00025130" w:rsidP="00025130">
      <w:pPr>
        <w:pStyle w:val="HTMLPreformatted"/>
        <w:spacing w:line="480" w:lineRule="auto"/>
        <w:jc w:val="center"/>
        <w:rPr>
          <w:rFonts w:asciiTheme="majorBidi" w:hAnsiTheme="majorBidi" w:cstheme="majorBidi"/>
          <w:sz w:val="24"/>
          <w:szCs w:val="24"/>
        </w:rPr>
      </w:pPr>
    </w:p>
    <w:p w:rsidR="00025130" w:rsidRPr="00854E06" w:rsidRDefault="00025130" w:rsidP="00025130">
      <w:pPr>
        <w:pStyle w:val="HTMLPreformatted"/>
        <w:spacing w:line="480" w:lineRule="auto"/>
        <w:jc w:val="center"/>
        <w:rPr>
          <w:rFonts w:asciiTheme="majorBidi" w:hAnsiTheme="majorBidi" w:cstheme="majorBidi"/>
          <w:sz w:val="24"/>
          <w:szCs w:val="24"/>
        </w:rPr>
      </w:pPr>
    </w:p>
    <w:p w:rsidR="00025130" w:rsidRPr="00854E06" w:rsidRDefault="00025130" w:rsidP="00025130">
      <w:pPr>
        <w:pStyle w:val="Caption"/>
        <w:jc w:val="center"/>
        <w:rPr>
          <w:rFonts w:cstheme="majorBidi"/>
          <w:color w:val="auto"/>
          <w:sz w:val="24"/>
          <w:szCs w:val="24"/>
        </w:rPr>
      </w:pPr>
      <w:bookmarkStart w:id="87" w:name="_Toc394005469"/>
      <w:proofErr w:type="gramStart"/>
      <w:r w:rsidRPr="00854E06">
        <w:rPr>
          <w:rFonts w:cstheme="majorBidi"/>
          <w:color w:val="auto"/>
          <w:sz w:val="24"/>
          <w:szCs w:val="24"/>
        </w:rPr>
        <w:t xml:space="preserve">Table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Table_5_- \* ARABIC </w:instrText>
      </w:r>
      <w:r w:rsidR="00F41E6A" w:rsidRPr="00854E06">
        <w:rPr>
          <w:rFonts w:cstheme="majorBidi"/>
          <w:color w:val="auto"/>
          <w:sz w:val="24"/>
          <w:szCs w:val="24"/>
        </w:rPr>
        <w:fldChar w:fldCharType="separate"/>
      </w:r>
      <w:r w:rsidR="008E2F67">
        <w:rPr>
          <w:rFonts w:cstheme="majorBidi"/>
          <w:noProof/>
          <w:color w:val="auto"/>
          <w:sz w:val="24"/>
          <w:szCs w:val="24"/>
        </w:rPr>
        <w:t>3</w:t>
      </w:r>
      <w:r w:rsidR="00F41E6A" w:rsidRPr="00854E06">
        <w:rPr>
          <w:rFonts w:cstheme="majorBidi"/>
          <w:color w:val="auto"/>
          <w:sz w:val="24"/>
          <w:szCs w:val="24"/>
        </w:rPr>
        <w:fldChar w:fldCharType="end"/>
      </w:r>
      <w:r w:rsidRPr="00854E06">
        <w:rPr>
          <w:rFonts w:cstheme="majorBidi"/>
          <w:color w:val="auto"/>
          <w:sz w:val="24"/>
          <w:szCs w:val="24"/>
        </w:rPr>
        <w:t>.</w:t>
      </w:r>
      <w:proofErr w:type="gramEnd"/>
      <w:r w:rsidRPr="00854E06">
        <w:rPr>
          <w:rFonts w:cstheme="majorBidi"/>
          <w:color w:val="auto"/>
          <w:sz w:val="24"/>
          <w:szCs w:val="24"/>
        </w:rPr>
        <w:t xml:space="preserve"> </w:t>
      </w:r>
      <w:proofErr w:type="gramStart"/>
      <w:r w:rsidRPr="00854E06">
        <w:rPr>
          <w:rFonts w:cstheme="majorBidi"/>
          <w:color w:val="auto"/>
          <w:sz w:val="24"/>
          <w:szCs w:val="24"/>
        </w:rPr>
        <w:t xml:space="preserve">Spearman correlation coefficients of </w:t>
      </w:r>
      <m:oMath>
        <m:r>
          <m:rPr>
            <m:sty m:val="bi"/>
          </m:rPr>
          <w:rPr>
            <w:rFonts w:ascii="Cambria Math" w:hAnsi="Cambria Math" w:cstheme="majorBidi"/>
            <w:color w:val="auto"/>
            <w:sz w:val="24"/>
            <w:szCs w:val="24"/>
          </w:rPr>
          <m:t>ln(a)</m:t>
        </m:r>
      </m:oMath>
      <w:r w:rsidRPr="00854E06">
        <w:rPr>
          <w:rFonts w:cstheme="majorBidi"/>
          <w:color w:val="auto"/>
          <w:sz w:val="24"/>
          <w:szCs w:val="24"/>
        </w:rPr>
        <w:t xml:space="preserve"> and </w:t>
      </w:r>
      <m:oMath>
        <m:r>
          <m:rPr>
            <m:sty m:val="bi"/>
          </m:rPr>
          <w:rPr>
            <w:rFonts w:ascii="Cambria Math" w:hAnsi="Cambria Math" w:cstheme="majorBidi"/>
            <w:color w:val="auto"/>
            <w:sz w:val="24"/>
            <w:szCs w:val="24"/>
          </w:rPr>
          <m:t>b</m:t>
        </m:r>
      </m:oMath>
      <w:r w:rsidRPr="00854E06">
        <w:rPr>
          <w:rFonts w:cstheme="majorBidi"/>
          <w:color w:val="auto"/>
          <w:sz w:val="24"/>
          <w:szCs w:val="24"/>
        </w:rPr>
        <w:t xml:space="preserve"> at annual and monthly levels, measured for all streams, large streams, and small streams.</w:t>
      </w:r>
      <w:bookmarkEnd w:id="87"/>
      <w:proofErr w:type="gramEnd"/>
    </w:p>
    <w:p w:rsidR="00025130" w:rsidRPr="00854E06" w:rsidRDefault="00025130" w:rsidP="00025130">
      <w:pPr>
        <w:pStyle w:val="Caption"/>
        <w:keepNext/>
        <w:jc w:val="center"/>
        <w:rPr>
          <w:rFonts w:cstheme="majorBidi"/>
          <w:color w:val="auto"/>
          <w:sz w:val="24"/>
          <w:szCs w:val="24"/>
        </w:rPr>
      </w:pPr>
    </w:p>
    <w:tbl>
      <w:tblPr>
        <w:tblW w:w="10071" w:type="dxa"/>
        <w:jc w:val="center"/>
        <w:tblInd w:w="-1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5"/>
        <w:gridCol w:w="1023"/>
        <w:gridCol w:w="1023"/>
        <w:gridCol w:w="1104"/>
        <w:gridCol w:w="1283"/>
        <w:gridCol w:w="1080"/>
        <w:gridCol w:w="1303"/>
        <w:gridCol w:w="1240"/>
      </w:tblGrid>
      <w:tr w:rsidR="003F6E12" w:rsidRPr="00854E06" w:rsidTr="009236E5">
        <w:trPr>
          <w:trHeight w:val="710"/>
          <w:jc w:val="center"/>
        </w:trPr>
        <w:tc>
          <w:tcPr>
            <w:tcW w:w="2015" w:type="dxa"/>
            <w:vAlign w:val="center"/>
          </w:tcPr>
          <w:p w:rsidR="003F6E12" w:rsidRPr="003F6E12" w:rsidRDefault="003F6E12" w:rsidP="009236E5">
            <w:pPr>
              <w:pStyle w:val="HTMLPreformatted"/>
              <w:rPr>
                <w:rFonts w:asciiTheme="majorBidi" w:hAnsiTheme="majorBidi" w:cstheme="majorBidi"/>
                <w:b/>
                <w:sz w:val="24"/>
                <w:szCs w:val="24"/>
              </w:rPr>
            </w:pPr>
            <w:proofErr w:type="spellStart"/>
            <w:r w:rsidRPr="003F6E12">
              <w:rPr>
                <w:rFonts w:asciiTheme="majorBidi" w:hAnsiTheme="majorBidi" w:cstheme="majorBidi"/>
                <w:b/>
                <w:sz w:val="24"/>
                <w:szCs w:val="24"/>
              </w:rPr>
              <w:t>r</w:t>
            </w:r>
            <w:r w:rsidRPr="003F6E12">
              <w:rPr>
                <w:rFonts w:asciiTheme="majorBidi" w:hAnsiTheme="majorBidi" w:cstheme="majorBidi"/>
                <w:b/>
                <w:sz w:val="24"/>
                <w:szCs w:val="24"/>
                <w:vertAlign w:val="subscript"/>
              </w:rPr>
              <w:t>s</w:t>
            </w:r>
            <w:proofErr w:type="spellEnd"/>
          </w:p>
        </w:tc>
        <w:tc>
          <w:tcPr>
            <w:tcW w:w="1023" w:type="dxa"/>
            <w:vAlign w:val="center"/>
          </w:tcPr>
          <w:p w:rsidR="003F6E12" w:rsidRPr="00854E06" w:rsidRDefault="003F6E12" w:rsidP="009236E5">
            <w:pPr>
              <w:pStyle w:val="HTMLPreformatted"/>
              <w:jc w:val="center"/>
              <w:rPr>
                <w:rFonts w:asciiTheme="majorBidi" w:hAnsiTheme="majorBidi" w:cstheme="majorBidi"/>
                <w:sz w:val="24"/>
                <w:szCs w:val="24"/>
              </w:rPr>
            </w:pPr>
            <w:r w:rsidRPr="00854E06">
              <w:rPr>
                <w:rFonts w:asciiTheme="majorBidi" w:hAnsiTheme="majorBidi" w:cstheme="majorBidi"/>
                <w:sz w:val="24"/>
                <w:szCs w:val="24"/>
              </w:rPr>
              <w:t>Annual</w:t>
            </w:r>
          </w:p>
        </w:tc>
        <w:tc>
          <w:tcPr>
            <w:tcW w:w="1023" w:type="dxa"/>
            <w:vAlign w:val="center"/>
          </w:tcPr>
          <w:p w:rsidR="003F6E12" w:rsidRPr="00854E06" w:rsidRDefault="003F6E12" w:rsidP="009236E5">
            <w:pPr>
              <w:pStyle w:val="HTMLPreformatted"/>
              <w:jc w:val="center"/>
              <w:rPr>
                <w:rFonts w:asciiTheme="majorBidi" w:hAnsiTheme="majorBidi" w:cstheme="majorBidi"/>
                <w:sz w:val="24"/>
                <w:szCs w:val="24"/>
              </w:rPr>
            </w:pPr>
            <w:r w:rsidRPr="00854E06">
              <w:rPr>
                <w:rFonts w:asciiTheme="majorBidi" w:hAnsiTheme="majorBidi" w:cstheme="majorBidi"/>
                <w:sz w:val="24"/>
                <w:szCs w:val="24"/>
              </w:rPr>
              <w:t>January</w:t>
            </w:r>
          </w:p>
        </w:tc>
        <w:tc>
          <w:tcPr>
            <w:tcW w:w="1104" w:type="dxa"/>
            <w:vAlign w:val="center"/>
          </w:tcPr>
          <w:p w:rsidR="003F6E12" w:rsidRPr="00854E06" w:rsidRDefault="003F6E12" w:rsidP="009236E5">
            <w:pPr>
              <w:pStyle w:val="HTMLPreformatted"/>
              <w:jc w:val="center"/>
              <w:rPr>
                <w:rFonts w:asciiTheme="majorBidi" w:hAnsiTheme="majorBidi" w:cstheme="majorBidi"/>
                <w:sz w:val="24"/>
                <w:szCs w:val="24"/>
              </w:rPr>
            </w:pPr>
            <w:r w:rsidRPr="00854E06">
              <w:rPr>
                <w:rFonts w:asciiTheme="majorBidi" w:hAnsiTheme="majorBidi" w:cstheme="majorBidi"/>
                <w:sz w:val="24"/>
                <w:szCs w:val="24"/>
              </w:rPr>
              <w:t>February</w:t>
            </w:r>
          </w:p>
        </w:tc>
        <w:tc>
          <w:tcPr>
            <w:tcW w:w="1283" w:type="dxa"/>
            <w:vAlign w:val="center"/>
          </w:tcPr>
          <w:p w:rsidR="003F6E12" w:rsidRPr="00854E0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854E06">
              <w:rPr>
                <w:rFonts w:asciiTheme="majorBidi" w:hAnsiTheme="majorBidi" w:cstheme="majorBidi"/>
                <w:sz w:val="24"/>
                <w:szCs w:val="24"/>
              </w:rPr>
              <w:t>March</w:t>
            </w:r>
          </w:p>
        </w:tc>
        <w:tc>
          <w:tcPr>
            <w:tcW w:w="1080" w:type="dxa"/>
            <w:vAlign w:val="center"/>
          </w:tcPr>
          <w:p w:rsidR="003F6E12" w:rsidRPr="00854E0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854E06">
              <w:rPr>
                <w:rFonts w:asciiTheme="majorBidi" w:hAnsiTheme="majorBidi" w:cstheme="majorBidi"/>
                <w:sz w:val="24"/>
                <w:szCs w:val="24"/>
              </w:rPr>
              <w:t>April</w:t>
            </w:r>
          </w:p>
        </w:tc>
        <w:tc>
          <w:tcPr>
            <w:tcW w:w="1303" w:type="dxa"/>
            <w:vAlign w:val="center"/>
          </w:tcPr>
          <w:p w:rsidR="003F6E12" w:rsidRPr="00854E0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854E06">
              <w:rPr>
                <w:rFonts w:asciiTheme="majorBidi" w:hAnsiTheme="majorBidi" w:cstheme="majorBidi"/>
                <w:sz w:val="24"/>
                <w:szCs w:val="24"/>
              </w:rPr>
              <w:t>May</w:t>
            </w:r>
          </w:p>
        </w:tc>
        <w:tc>
          <w:tcPr>
            <w:tcW w:w="1240" w:type="dxa"/>
            <w:vAlign w:val="center"/>
          </w:tcPr>
          <w:p w:rsidR="003F6E12" w:rsidRPr="00854E0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854E06">
              <w:rPr>
                <w:rFonts w:asciiTheme="majorBidi" w:hAnsiTheme="majorBidi" w:cstheme="majorBidi"/>
                <w:sz w:val="24"/>
                <w:szCs w:val="24"/>
              </w:rPr>
              <w:t>June</w:t>
            </w:r>
          </w:p>
        </w:tc>
      </w:tr>
      <w:tr w:rsidR="003F6E12" w:rsidRPr="00854E06" w:rsidTr="007D6D8C">
        <w:trPr>
          <w:jc w:val="center"/>
        </w:trPr>
        <w:tc>
          <w:tcPr>
            <w:tcW w:w="2015" w:type="dxa"/>
          </w:tcPr>
          <w:p w:rsidR="003F6E12" w:rsidRPr="00854E06" w:rsidRDefault="003F6E12" w:rsidP="007D6D8C">
            <w:pPr>
              <w:pStyle w:val="HTMLPreformatted"/>
              <w:rPr>
                <w:rFonts w:asciiTheme="majorBidi" w:hAnsiTheme="majorBidi" w:cstheme="majorBidi"/>
                <w:sz w:val="24"/>
                <w:szCs w:val="24"/>
              </w:rPr>
            </w:pPr>
            <w:r w:rsidRPr="00854E06">
              <w:rPr>
                <w:rFonts w:asciiTheme="majorBidi" w:hAnsiTheme="majorBidi" w:cstheme="majorBidi"/>
                <w:sz w:val="24"/>
                <w:szCs w:val="24"/>
              </w:rPr>
              <w:t>Total</w:t>
            </w:r>
          </w:p>
        </w:tc>
        <w:tc>
          <w:tcPr>
            <w:tcW w:w="1023" w:type="dxa"/>
            <w:vAlign w:val="center"/>
          </w:tcPr>
          <w:p w:rsidR="003F6E12" w:rsidRPr="00AA7076" w:rsidRDefault="00372E4D" w:rsidP="007D6D8C">
            <w:pPr>
              <w:pStyle w:val="HTMLPreformatted"/>
              <w:jc w:val="center"/>
              <w:rPr>
                <w:rFonts w:asciiTheme="majorBidi" w:hAnsiTheme="majorBidi" w:cstheme="majorBidi"/>
                <w:b/>
                <w:bCs/>
                <w:sz w:val="24"/>
                <w:szCs w:val="24"/>
              </w:rPr>
            </w:pPr>
            <w:r>
              <w:rPr>
                <w:rFonts w:asciiTheme="majorBidi" w:hAnsiTheme="majorBidi" w:cstheme="majorBidi"/>
                <w:b/>
                <w:bCs/>
                <w:sz w:val="24"/>
                <w:szCs w:val="24"/>
              </w:rPr>
              <w:t>-0.667</w:t>
            </w:r>
          </w:p>
          <w:p w:rsidR="003F6E12" w:rsidRPr="00AA7076" w:rsidRDefault="003F6E12" w:rsidP="007D6D8C">
            <w:pPr>
              <w:pStyle w:val="HTMLPreformatted"/>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023" w:type="dxa"/>
            <w:vAlign w:val="center"/>
          </w:tcPr>
          <w:p w:rsidR="003F6E12" w:rsidRPr="00AA7076" w:rsidRDefault="00372E4D" w:rsidP="007D6D8C">
            <w:pPr>
              <w:pStyle w:val="HTMLPreformatted"/>
              <w:jc w:val="center"/>
              <w:rPr>
                <w:rFonts w:asciiTheme="majorBidi" w:hAnsiTheme="majorBidi" w:cstheme="majorBidi"/>
                <w:b/>
                <w:bCs/>
                <w:sz w:val="24"/>
                <w:szCs w:val="24"/>
              </w:rPr>
            </w:pPr>
            <w:r>
              <w:rPr>
                <w:rFonts w:asciiTheme="majorBidi" w:hAnsiTheme="majorBidi" w:cstheme="majorBidi"/>
                <w:b/>
                <w:bCs/>
                <w:sz w:val="24"/>
                <w:szCs w:val="24"/>
              </w:rPr>
              <w:t>-0.500</w:t>
            </w:r>
          </w:p>
          <w:p w:rsidR="003F6E12" w:rsidRPr="00AA7076" w:rsidRDefault="003F6E12" w:rsidP="007D6D8C">
            <w:pPr>
              <w:pStyle w:val="HTMLPreformatted"/>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104" w:type="dxa"/>
            <w:vAlign w:val="center"/>
          </w:tcPr>
          <w:p w:rsidR="003F6E12" w:rsidRPr="00AA7076" w:rsidRDefault="00372E4D" w:rsidP="007D6D8C">
            <w:pPr>
              <w:pStyle w:val="HTMLPreformatted"/>
              <w:jc w:val="center"/>
              <w:rPr>
                <w:rFonts w:asciiTheme="majorBidi" w:hAnsiTheme="majorBidi" w:cstheme="majorBidi"/>
                <w:b/>
                <w:bCs/>
                <w:sz w:val="24"/>
                <w:szCs w:val="24"/>
              </w:rPr>
            </w:pPr>
            <w:r>
              <w:rPr>
                <w:rFonts w:asciiTheme="majorBidi" w:hAnsiTheme="majorBidi" w:cstheme="majorBidi"/>
                <w:b/>
                <w:bCs/>
                <w:sz w:val="24"/>
                <w:szCs w:val="24"/>
              </w:rPr>
              <w:t>-0.564</w:t>
            </w:r>
          </w:p>
          <w:p w:rsidR="003F6E12" w:rsidRPr="00AA7076" w:rsidRDefault="003F6E12" w:rsidP="007D6D8C">
            <w:pPr>
              <w:pStyle w:val="HTMLPreformatted"/>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283" w:type="dxa"/>
            <w:vAlign w:val="center"/>
          </w:tcPr>
          <w:p w:rsidR="003F6E12" w:rsidRPr="00AA7076" w:rsidRDefault="00372E4D"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Pr>
                <w:rFonts w:asciiTheme="majorBidi" w:hAnsiTheme="majorBidi" w:cstheme="majorBidi"/>
                <w:b/>
                <w:bCs/>
                <w:sz w:val="24"/>
                <w:szCs w:val="24"/>
              </w:rPr>
              <w:t>-0.524</w:t>
            </w:r>
          </w:p>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080" w:type="dxa"/>
            <w:vAlign w:val="center"/>
          </w:tcPr>
          <w:p w:rsidR="003F6E12" w:rsidRPr="00AA7076" w:rsidRDefault="00372E4D"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Pr>
                <w:rFonts w:asciiTheme="majorBidi" w:hAnsiTheme="majorBidi" w:cstheme="majorBidi"/>
                <w:b/>
                <w:bCs/>
                <w:sz w:val="24"/>
                <w:szCs w:val="24"/>
              </w:rPr>
              <w:t>-0.603</w:t>
            </w:r>
          </w:p>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303" w:type="dxa"/>
            <w:vAlign w:val="center"/>
          </w:tcPr>
          <w:p w:rsidR="003F6E12" w:rsidRPr="00AA7076" w:rsidRDefault="00372E4D"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Pr>
                <w:rFonts w:asciiTheme="majorBidi" w:hAnsiTheme="majorBidi" w:cstheme="majorBidi"/>
                <w:b/>
                <w:bCs/>
                <w:sz w:val="24"/>
                <w:szCs w:val="24"/>
              </w:rPr>
              <w:t>-0.513</w:t>
            </w:r>
          </w:p>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240" w:type="dxa"/>
            <w:vAlign w:val="center"/>
          </w:tcPr>
          <w:p w:rsidR="003F6E12" w:rsidRPr="00AA7076" w:rsidRDefault="00372E4D"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Pr>
                <w:rFonts w:asciiTheme="majorBidi" w:hAnsiTheme="majorBidi" w:cstheme="majorBidi"/>
                <w:b/>
                <w:bCs/>
                <w:sz w:val="24"/>
                <w:szCs w:val="24"/>
              </w:rPr>
              <w:t>-0.435</w:t>
            </w:r>
          </w:p>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r>
      <w:tr w:rsidR="003F6E12" w:rsidRPr="00854E06" w:rsidTr="007D6D8C">
        <w:trPr>
          <w:jc w:val="center"/>
        </w:trPr>
        <w:tc>
          <w:tcPr>
            <w:tcW w:w="2015" w:type="dxa"/>
          </w:tcPr>
          <w:p w:rsidR="003F6E12" w:rsidRPr="00854E06" w:rsidRDefault="003F6E12" w:rsidP="007D6D8C">
            <w:pPr>
              <w:pStyle w:val="HTMLPreformatted"/>
              <w:rPr>
                <w:rFonts w:asciiTheme="majorBidi" w:hAnsiTheme="majorBidi" w:cstheme="majorBidi"/>
                <w:sz w:val="24"/>
                <w:szCs w:val="24"/>
              </w:rPr>
            </w:pPr>
            <w:r w:rsidRPr="00854E06">
              <w:rPr>
                <w:rFonts w:asciiTheme="majorBidi" w:hAnsiTheme="majorBidi" w:cstheme="majorBidi"/>
                <w:sz w:val="24"/>
                <w:szCs w:val="24"/>
              </w:rPr>
              <w:t>Large streams</w:t>
            </w:r>
          </w:p>
        </w:tc>
        <w:tc>
          <w:tcPr>
            <w:tcW w:w="1023" w:type="dxa"/>
            <w:vAlign w:val="center"/>
          </w:tcPr>
          <w:p w:rsidR="003F6E12" w:rsidRPr="00AA7076" w:rsidRDefault="003F6E12" w:rsidP="007D6D8C">
            <w:pPr>
              <w:pStyle w:val="HTMLPreformatted"/>
              <w:jc w:val="center"/>
              <w:rPr>
                <w:rFonts w:asciiTheme="majorBidi" w:hAnsiTheme="majorBidi" w:cstheme="majorBidi"/>
                <w:b/>
                <w:bCs/>
                <w:sz w:val="24"/>
                <w:szCs w:val="24"/>
              </w:rPr>
            </w:pPr>
            <w:r w:rsidRPr="00AA7076">
              <w:rPr>
                <w:rFonts w:asciiTheme="majorBidi" w:hAnsiTheme="majorBidi" w:cstheme="majorBidi"/>
                <w:b/>
                <w:bCs/>
                <w:sz w:val="24"/>
                <w:szCs w:val="24"/>
              </w:rPr>
              <w:t>-0.966</w:t>
            </w:r>
          </w:p>
          <w:p w:rsidR="003F6E12" w:rsidRPr="00AA7076" w:rsidRDefault="003F6E12" w:rsidP="007D6D8C">
            <w:pPr>
              <w:pStyle w:val="HTMLPreformatted"/>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023" w:type="dxa"/>
            <w:vAlign w:val="center"/>
          </w:tcPr>
          <w:p w:rsidR="003F6E12" w:rsidRPr="00AA7076" w:rsidRDefault="003F6E12" w:rsidP="007D6D8C">
            <w:pPr>
              <w:pStyle w:val="HTMLPreformatted"/>
              <w:jc w:val="center"/>
              <w:rPr>
                <w:rFonts w:asciiTheme="majorBidi" w:hAnsiTheme="majorBidi" w:cstheme="majorBidi"/>
                <w:b/>
                <w:bCs/>
                <w:sz w:val="24"/>
                <w:szCs w:val="24"/>
              </w:rPr>
            </w:pPr>
            <w:r w:rsidRPr="00AA7076">
              <w:rPr>
                <w:rFonts w:asciiTheme="majorBidi" w:hAnsiTheme="majorBidi" w:cstheme="majorBidi"/>
                <w:b/>
                <w:bCs/>
                <w:sz w:val="24"/>
                <w:szCs w:val="24"/>
              </w:rPr>
              <w:t>-0.931</w:t>
            </w:r>
          </w:p>
          <w:p w:rsidR="003F6E12" w:rsidRPr="00AA7076" w:rsidRDefault="003F6E12" w:rsidP="007D6D8C">
            <w:pPr>
              <w:pStyle w:val="HTMLPreformatted"/>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104" w:type="dxa"/>
            <w:vAlign w:val="center"/>
          </w:tcPr>
          <w:p w:rsidR="003F6E12" w:rsidRPr="00AA7076" w:rsidRDefault="003F6E12" w:rsidP="007D6D8C">
            <w:pPr>
              <w:pStyle w:val="HTMLPreformatted"/>
              <w:jc w:val="center"/>
              <w:rPr>
                <w:rFonts w:asciiTheme="majorBidi" w:hAnsiTheme="majorBidi" w:cstheme="majorBidi"/>
                <w:b/>
                <w:bCs/>
                <w:sz w:val="24"/>
                <w:szCs w:val="24"/>
              </w:rPr>
            </w:pPr>
            <w:r w:rsidRPr="00AA7076">
              <w:rPr>
                <w:rFonts w:asciiTheme="majorBidi" w:hAnsiTheme="majorBidi" w:cstheme="majorBidi"/>
                <w:b/>
                <w:bCs/>
                <w:sz w:val="24"/>
                <w:szCs w:val="24"/>
              </w:rPr>
              <w:t>-0.918</w:t>
            </w:r>
          </w:p>
          <w:p w:rsidR="003F6E12" w:rsidRPr="00AA7076" w:rsidRDefault="003F6E12" w:rsidP="007D6D8C">
            <w:pPr>
              <w:pStyle w:val="HTMLPreformatted"/>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283" w:type="dxa"/>
            <w:vAlign w:val="center"/>
          </w:tcPr>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-0.866</w:t>
            </w:r>
          </w:p>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080" w:type="dxa"/>
            <w:vAlign w:val="center"/>
          </w:tcPr>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-0.910</w:t>
            </w:r>
          </w:p>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303" w:type="dxa"/>
            <w:vAlign w:val="center"/>
          </w:tcPr>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-0.930</w:t>
            </w:r>
          </w:p>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240" w:type="dxa"/>
            <w:vAlign w:val="center"/>
          </w:tcPr>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-0.894</w:t>
            </w:r>
          </w:p>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r>
      <w:tr w:rsidR="003F6E12" w:rsidRPr="00854E06" w:rsidTr="007D6D8C">
        <w:trPr>
          <w:jc w:val="center"/>
        </w:trPr>
        <w:tc>
          <w:tcPr>
            <w:tcW w:w="2015" w:type="dxa"/>
            <w:tcBorders>
              <w:bottom w:val="double" w:sz="4" w:space="0" w:color="auto"/>
            </w:tcBorders>
          </w:tcPr>
          <w:p w:rsidR="003F6E12" w:rsidRPr="00854E06" w:rsidRDefault="003F6E12" w:rsidP="007D6D8C">
            <w:pPr>
              <w:pStyle w:val="HTMLPreformatted"/>
              <w:rPr>
                <w:rFonts w:asciiTheme="majorBidi" w:hAnsiTheme="majorBidi" w:cstheme="majorBidi"/>
                <w:sz w:val="24"/>
                <w:szCs w:val="24"/>
              </w:rPr>
            </w:pPr>
            <w:r w:rsidRPr="00854E06">
              <w:rPr>
                <w:rFonts w:asciiTheme="majorBidi" w:hAnsiTheme="majorBidi" w:cstheme="majorBidi"/>
                <w:sz w:val="24"/>
                <w:szCs w:val="24"/>
              </w:rPr>
              <w:t>Small streams</w:t>
            </w:r>
          </w:p>
        </w:tc>
        <w:tc>
          <w:tcPr>
            <w:tcW w:w="1023" w:type="dxa"/>
            <w:tcBorders>
              <w:bottom w:val="double" w:sz="4" w:space="0" w:color="auto"/>
            </w:tcBorders>
            <w:vAlign w:val="center"/>
          </w:tcPr>
          <w:p w:rsidR="003F6E12" w:rsidRPr="00854E06" w:rsidRDefault="003F6E12" w:rsidP="007D6D8C">
            <w:pPr>
              <w:pStyle w:val="HTMLPreformatted"/>
              <w:jc w:val="center"/>
              <w:rPr>
                <w:rFonts w:asciiTheme="majorBidi" w:hAnsiTheme="majorBidi" w:cstheme="majorBidi"/>
                <w:sz w:val="24"/>
                <w:szCs w:val="24"/>
              </w:rPr>
            </w:pPr>
            <w:r w:rsidRPr="00854E06">
              <w:rPr>
                <w:rFonts w:asciiTheme="majorBidi" w:hAnsiTheme="majorBidi" w:cstheme="majorBidi"/>
                <w:sz w:val="24"/>
                <w:szCs w:val="24"/>
              </w:rPr>
              <w:t>-0.223</w:t>
            </w:r>
          </w:p>
          <w:p w:rsidR="003F6E12" w:rsidRPr="00854E06" w:rsidRDefault="003F6E12" w:rsidP="007D6D8C">
            <w:pPr>
              <w:pStyle w:val="HTMLPreformatted"/>
              <w:jc w:val="center"/>
              <w:rPr>
                <w:rFonts w:asciiTheme="majorBidi" w:hAnsiTheme="majorBidi" w:cstheme="majorBidi"/>
                <w:sz w:val="24"/>
                <w:szCs w:val="24"/>
              </w:rPr>
            </w:pPr>
          </w:p>
        </w:tc>
        <w:tc>
          <w:tcPr>
            <w:tcW w:w="1023" w:type="dxa"/>
            <w:tcBorders>
              <w:bottom w:val="double" w:sz="4" w:space="0" w:color="auto"/>
            </w:tcBorders>
            <w:vAlign w:val="center"/>
          </w:tcPr>
          <w:p w:rsidR="003F6E12" w:rsidRPr="00854E06" w:rsidRDefault="003F6E12" w:rsidP="007D6D8C">
            <w:pPr>
              <w:pStyle w:val="HTMLPreformatted"/>
              <w:jc w:val="center"/>
              <w:rPr>
                <w:rFonts w:asciiTheme="majorBidi" w:hAnsiTheme="majorBidi" w:cstheme="majorBidi"/>
                <w:sz w:val="24"/>
                <w:szCs w:val="24"/>
              </w:rPr>
            </w:pPr>
            <w:r w:rsidRPr="00854E06">
              <w:rPr>
                <w:rFonts w:asciiTheme="majorBidi" w:hAnsiTheme="majorBidi" w:cstheme="majorBidi"/>
                <w:sz w:val="24"/>
                <w:szCs w:val="24"/>
              </w:rPr>
              <w:t>-0.193</w:t>
            </w:r>
          </w:p>
          <w:p w:rsidR="003F6E12" w:rsidRPr="00854E06" w:rsidRDefault="003F6E12" w:rsidP="007D6D8C">
            <w:pPr>
              <w:pStyle w:val="HTMLPreformatted"/>
              <w:jc w:val="center"/>
              <w:rPr>
                <w:rFonts w:asciiTheme="majorBidi" w:hAnsiTheme="majorBidi" w:cstheme="majorBidi"/>
                <w:sz w:val="24"/>
                <w:szCs w:val="24"/>
              </w:rPr>
            </w:pPr>
          </w:p>
        </w:tc>
        <w:tc>
          <w:tcPr>
            <w:tcW w:w="1104" w:type="dxa"/>
            <w:tcBorders>
              <w:bottom w:val="double" w:sz="4" w:space="0" w:color="auto"/>
            </w:tcBorders>
            <w:vAlign w:val="center"/>
          </w:tcPr>
          <w:p w:rsidR="003F6E12" w:rsidRPr="00854E06" w:rsidRDefault="003F6E12" w:rsidP="007D6D8C">
            <w:pPr>
              <w:pStyle w:val="HTMLPreformatted"/>
              <w:jc w:val="center"/>
              <w:rPr>
                <w:rFonts w:asciiTheme="majorBidi" w:hAnsiTheme="majorBidi" w:cstheme="majorBidi"/>
                <w:sz w:val="24"/>
                <w:szCs w:val="24"/>
              </w:rPr>
            </w:pPr>
            <w:r w:rsidRPr="00854E06">
              <w:rPr>
                <w:rFonts w:asciiTheme="majorBidi" w:hAnsiTheme="majorBidi" w:cstheme="majorBidi"/>
                <w:sz w:val="24"/>
                <w:szCs w:val="24"/>
              </w:rPr>
              <w:t>-0.336</w:t>
            </w:r>
          </w:p>
          <w:p w:rsidR="003F6E12" w:rsidRPr="00854E06" w:rsidRDefault="003F6E12" w:rsidP="007D6D8C">
            <w:pPr>
              <w:pStyle w:val="HTMLPreformatted"/>
              <w:jc w:val="center"/>
              <w:rPr>
                <w:rFonts w:asciiTheme="majorBidi" w:hAnsiTheme="majorBidi" w:cstheme="majorBidi"/>
                <w:sz w:val="24"/>
                <w:szCs w:val="24"/>
              </w:rPr>
            </w:pPr>
          </w:p>
        </w:tc>
        <w:tc>
          <w:tcPr>
            <w:tcW w:w="1283" w:type="dxa"/>
            <w:tcBorders>
              <w:bottom w:val="double" w:sz="4" w:space="0" w:color="auto"/>
            </w:tcBorders>
            <w:vAlign w:val="center"/>
          </w:tcPr>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-0.471</w:t>
            </w:r>
          </w:p>
          <w:p w:rsidR="003F6E12" w:rsidRPr="00854E0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AA7076">
              <w:rPr>
                <w:rFonts w:asciiTheme="majorBidi" w:hAnsiTheme="majorBidi" w:cstheme="majorBidi"/>
                <w:b/>
                <w:bCs/>
                <w:sz w:val="24"/>
                <w:szCs w:val="24"/>
              </w:rPr>
              <w:t>(**)</w:t>
            </w:r>
          </w:p>
        </w:tc>
        <w:tc>
          <w:tcPr>
            <w:tcW w:w="1080" w:type="dxa"/>
            <w:tcBorders>
              <w:bottom w:val="double" w:sz="4" w:space="0" w:color="auto"/>
            </w:tcBorders>
            <w:vAlign w:val="center"/>
          </w:tcPr>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-0.563</w:t>
            </w:r>
          </w:p>
          <w:p w:rsidR="003F6E12" w:rsidRPr="00854E0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AA7076">
              <w:rPr>
                <w:rFonts w:asciiTheme="majorBidi" w:hAnsiTheme="majorBidi" w:cstheme="majorBidi"/>
                <w:b/>
                <w:bCs/>
                <w:sz w:val="24"/>
                <w:szCs w:val="24"/>
              </w:rPr>
              <w:t>(**)</w:t>
            </w:r>
          </w:p>
        </w:tc>
        <w:tc>
          <w:tcPr>
            <w:tcW w:w="1303" w:type="dxa"/>
            <w:tcBorders>
              <w:bottom w:val="double" w:sz="4" w:space="0" w:color="auto"/>
            </w:tcBorders>
            <w:vAlign w:val="center"/>
          </w:tcPr>
          <w:p w:rsidR="003F6E12" w:rsidRPr="00854E0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854E06">
              <w:rPr>
                <w:rFonts w:asciiTheme="majorBidi" w:hAnsiTheme="majorBidi" w:cstheme="majorBidi"/>
                <w:sz w:val="24"/>
                <w:szCs w:val="24"/>
              </w:rPr>
              <w:t>-0.298</w:t>
            </w:r>
          </w:p>
          <w:p w:rsidR="003F6E12" w:rsidRPr="00854E0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p>
        </w:tc>
        <w:tc>
          <w:tcPr>
            <w:tcW w:w="1240" w:type="dxa"/>
            <w:tcBorders>
              <w:bottom w:val="double" w:sz="4" w:space="0" w:color="auto"/>
            </w:tcBorders>
            <w:vAlign w:val="center"/>
          </w:tcPr>
          <w:p w:rsidR="003F6E12" w:rsidRPr="00AA707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-0.450</w:t>
            </w:r>
          </w:p>
          <w:p w:rsidR="003F6E12" w:rsidRPr="00854E06" w:rsidRDefault="003F6E12"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AA7076">
              <w:rPr>
                <w:rFonts w:asciiTheme="majorBidi" w:hAnsiTheme="majorBidi" w:cstheme="majorBidi"/>
                <w:b/>
                <w:bCs/>
                <w:sz w:val="24"/>
                <w:szCs w:val="24"/>
              </w:rPr>
              <w:t>(**)</w:t>
            </w:r>
          </w:p>
        </w:tc>
      </w:tr>
      <w:tr w:rsidR="009236E5" w:rsidRPr="00854E06" w:rsidTr="009236E5">
        <w:trPr>
          <w:trHeight w:val="609"/>
          <w:jc w:val="center"/>
        </w:trPr>
        <w:tc>
          <w:tcPr>
            <w:tcW w:w="3038" w:type="dxa"/>
            <w:gridSpan w:val="2"/>
            <w:tcBorders>
              <w:top w:val="double" w:sz="4" w:space="0" w:color="auto"/>
            </w:tcBorders>
            <w:vAlign w:val="center"/>
          </w:tcPr>
          <w:p w:rsidR="009236E5" w:rsidRPr="00854E06" w:rsidRDefault="009236E5" w:rsidP="007D6D8C">
            <w:pPr>
              <w:pStyle w:val="HTMLPreformatted"/>
              <w:jc w:val="center"/>
              <w:rPr>
                <w:rFonts w:asciiTheme="majorBidi" w:hAnsiTheme="majorBidi" w:cstheme="majorBidi"/>
                <w:sz w:val="24"/>
                <w:szCs w:val="24"/>
              </w:rPr>
            </w:pPr>
          </w:p>
        </w:tc>
        <w:tc>
          <w:tcPr>
            <w:tcW w:w="1023" w:type="dxa"/>
            <w:tcBorders>
              <w:top w:val="double" w:sz="4" w:space="0" w:color="auto"/>
            </w:tcBorders>
            <w:vAlign w:val="center"/>
          </w:tcPr>
          <w:p w:rsidR="009236E5" w:rsidRPr="00854E06" w:rsidRDefault="009236E5" w:rsidP="003F6E12">
            <w:pPr>
              <w:pStyle w:val="HTMLPreformatted"/>
              <w:tabs>
                <w:tab w:val="clear" w:pos="916"/>
              </w:tabs>
              <w:jc w:val="center"/>
              <w:rPr>
                <w:rFonts w:asciiTheme="majorBidi" w:hAnsiTheme="majorBidi" w:cstheme="majorBidi"/>
                <w:sz w:val="24"/>
                <w:szCs w:val="24"/>
              </w:rPr>
            </w:pPr>
            <w:r w:rsidRPr="00854E06">
              <w:rPr>
                <w:rFonts w:asciiTheme="majorBidi" w:hAnsiTheme="majorBidi" w:cstheme="majorBidi"/>
                <w:sz w:val="24"/>
                <w:szCs w:val="24"/>
              </w:rPr>
              <w:t>July</w:t>
            </w:r>
          </w:p>
        </w:tc>
        <w:tc>
          <w:tcPr>
            <w:tcW w:w="1104" w:type="dxa"/>
            <w:tcBorders>
              <w:top w:val="double" w:sz="4" w:space="0" w:color="auto"/>
            </w:tcBorders>
            <w:vAlign w:val="center"/>
          </w:tcPr>
          <w:p w:rsidR="009236E5" w:rsidRPr="00854E06" w:rsidRDefault="009236E5" w:rsidP="003F6E12">
            <w:pPr>
              <w:pStyle w:val="HTMLPreformatted"/>
              <w:jc w:val="center"/>
              <w:rPr>
                <w:rFonts w:asciiTheme="majorBidi" w:hAnsiTheme="majorBidi" w:cstheme="majorBidi"/>
                <w:sz w:val="24"/>
                <w:szCs w:val="24"/>
              </w:rPr>
            </w:pPr>
            <w:r w:rsidRPr="00854E06">
              <w:rPr>
                <w:rFonts w:asciiTheme="majorBidi" w:hAnsiTheme="majorBidi" w:cstheme="majorBidi"/>
                <w:sz w:val="24"/>
                <w:szCs w:val="24"/>
              </w:rPr>
              <w:t>August</w:t>
            </w:r>
          </w:p>
        </w:tc>
        <w:tc>
          <w:tcPr>
            <w:tcW w:w="1283" w:type="dxa"/>
            <w:tcBorders>
              <w:top w:val="double" w:sz="4" w:space="0" w:color="auto"/>
            </w:tcBorders>
            <w:vAlign w:val="center"/>
          </w:tcPr>
          <w:p w:rsidR="009236E5" w:rsidRPr="00854E06" w:rsidRDefault="009236E5" w:rsidP="003F6E1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854E06">
              <w:rPr>
                <w:rFonts w:asciiTheme="majorBidi" w:hAnsiTheme="majorBidi" w:cstheme="majorBidi"/>
                <w:sz w:val="24"/>
                <w:szCs w:val="24"/>
              </w:rPr>
              <w:t>September</w:t>
            </w:r>
          </w:p>
        </w:tc>
        <w:tc>
          <w:tcPr>
            <w:tcW w:w="1080" w:type="dxa"/>
            <w:tcBorders>
              <w:top w:val="double" w:sz="4" w:space="0" w:color="auto"/>
            </w:tcBorders>
            <w:vAlign w:val="center"/>
          </w:tcPr>
          <w:p w:rsidR="009236E5" w:rsidRPr="00854E06" w:rsidRDefault="009236E5" w:rsidP="003F6E1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854E06">
              <w:rPr>
                <w:rFonts w:asciiTheme="majorBidi" w:hAnsiTheme="majorBidi" w:cstheme="majorBidi"/>
                <w:sz w:val="24"/>
                <w:szCs w:val="24"/>
              </w:rPr>
              <w:t>October</w:t>
            </w:r>
          </w:p>
        </w:tc>
        <w:tc>
          <w:tcPr>
            <w:tcW w:w="1303" w:type="dxa"/>
            <w:tcBorders>
              <w:top w:val="double" w:sz="4" w:space="0" w:color="auto"/>
            </w:tcBorders>
            <w:vAlign w:val="center"/>
          </w:tcPr>
          <w:p w:rsidR="009236E5" w:rsidRPr="00854E06" w:rsidRDefault="009236E5" w:rsidP="003F6E1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854E06">
              <w:rPr>
                <w:rFonts w:asciiTheme="majorBidi" w:hAnsiTheme="majorBidi" w:cstheme="majorBidi"/>
                <w:sz w:val="24"/>
                <w:szCs w:val="24"/>
              </w:rPr>
              <w:t>November</w:t>
            </w:r>
          </w:p>
        </w:tc>
        <w:tc>
          <w:tcPr>
            <w:tcW w:w="1240" w:type="dxa"/>
            <w:tcBorders>
              <w:top w:val="double" w:sz="4" w:space="0" w:color="auto"/>
            </w:tcBorders>
            <w:vAlign w:val="center"/>
          </w:tcPr>
          <w:p w:rsidR="009236E5" w:rsidRPr="00854E06" w:rsidRDefault="009236E5" w:rsidP="003F6E12">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854E06">
              <w:rPr>
                <w:rFonts w:asciiTheme="majorBidi" w:hAnsiTheme="majorBidi" w:cstheme="majorBidi"/>
                <w:sz w:val="24"/>
                <w:szCs w:val="24"/>
              </w:rPr>
              <w:t>December</w:t>
            </w:r>
          </w:p>
        </w:tc>
      </w:tr>
      <w:tr w:rsidR="00EC6E3E" w:rsidRPr="00854E06" w:rsidTr="007D6D8C">
        <w:trPr>
          <w:jc w:val="center"/>
        </w:trPr>
        <w:tc>
          <w:tcPr>
            <w:tcW w:w="2015" w:type="dxa"/>
            <w:vAlign w:val="center"/>
          </w:tcPr>
          <w:p w:rsidR="00EC6E3E" w:rsidRPr="00854E06" w:rsidRDefault="00EC6E3E" w:rsidP="007D6D8C">
            <w:pPr>
              <w:pStyle w:val="HTMLPreformatted"/>
              <w:rPr>
                <w:rFonts w:asciiTheme="majorBidi" w:hAnsiTheme="majorBidi" w:cstheme="majorBidi"/>
                <w:sz w:val="24"/>
                <w:szCs w:val="24"/>
              </w:rPr>
            </w:pPr>
            <w:r w:rsidRPr="00854E06">
              <w:rPr>
                <w:rFonts w:asciiTheme="majorBidi" w:hAnsiTheme="majorBidi" w:cstheme="majorBidi"/>
                <w:sz w:val="24"/>
                <w:szCs w:val="24"/>
              </w:rPr>
              <w:t>Total</w:t>
            </w:r>
          </w:p>
        </w:tc>
        <w:tc>
          <w:tcPr>
            <w:tcW w:w="1023" w:type="dxa"/>
            <w:vMerge w:val="restart"/>
          </w:tcPr>
          <w:p w:rsidR="00EC6E3E" w:rsidRPr="00854E06" w:rsidRDefault="00EC6E3E" w:rsidP="003F6E12">
            <w:pPr>
              <w:pStyle w:val="HTMLPreformatted"/>
              <w:rPr>
                <w:rFonts w:asciiTheme="majorBidi" w:hAnsiTheme="majorBidi" w:cstheme="majorBidi"/>
                <w:sz w:val="24"/>
                <w:szCs w:val="24"/>
              </w:rPr>
            </w:pPr>
          </w:p>
        </w:tc>
        <w:tc>
          <w:tcPr>
            <w:tcW w:w="1023" w:type="dxa"/>
            <w:vAlign w:val="center"/>
          </w:tcPr>
          <w:p w:rsidR="00EC6E3E" w:rsidRPr="00AA7076" w:rsidRDefault="00372E4D" w:rsidP="007D6D8C">
            <w:pPr>
              <w:pStyle w:val="HTMLPreformatted"/>
              <w:tabs>
                <w:tab w:val="clear" w:pos="916"/>
              </w:tabs>
              <w:jc w:val="center"/>
              <w:rPr>
                <w:rFonts w:asciiTheme="majorBidi" w:hAnsiTheme="majorBidi" w:cstheme="majorBidi"/>
                <w:b/>
                <w:bCs/>
                <w:sz w:val="24"/>
                <w:szCs w:val="24"/>
              </w:rPr>
            </w:pPr>
            <w:r>
              <w:rPr>
                <w:rFonts w:asciiTheme="majorBidi" w:hAnsiTheme="majorBidi" w:cstheme="majorBidi"/>
                <w:b/>
                <w:bCs/>
                <w:sz w:val="24"/>
                <w:szCs w:val="24"/>
              </w:rPr>
              <w:t>-0.436</w:t>
            </w:r>
          </w:p>
          <w:p w:rsidR="00EC6E3E" w:rsidRPr="00AA7076" w:rsidRDefault="00EC6E3E" w:rsidP="007D6D8C">
            <w:pPr>
              <w:pStyle w:val="HTMLPreformatted"/>
              <w:tabs>
                <w:tab w:val="clear" w:pos="91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104" w:type="dxa"/>
            <w:vAlign w:val="center"/>
          </w:tcPr>
          <w:p w:rsidR="00EC6E3E" w:rsidRPr="00AA7076" w:rsidRDefault="00372E4D" w:rsidP="007D6D8C">
            <w:pPr>
              <w:pStyle w:val="HTMLPreformatted"/>
              <w:jc w:val="center"/>
              <w:rPr>
                <w:rFonts w:asciiTheme="majorBidi" w:hAnsiTheme="majorBidi" w:cstheme="majorBidi"/>
                <w:b/>
                <w:bCs/>
                <w:sz w:val="24"/>
                <w:szCs w:val="24"/>
              </w:rPr>
            </w:pPr>
            <w:r>
              <w:rPr>
                <w:rFonts w:asciiTheme="majorBidi" w:hAnsiTheme="majorBidi" w:cstheme="majorBidi"/>
                <w:b/>
                <w:bCs/>
                <w:sz w:val="24"/>
                <w:szCs w:val="24"/>
              </w:rPr>
              <w:t>-0.345</w:t>
            </w:r>
          </w:p>
          <w:p w:rsidR="00EC6E3E" w:rsidRPr="00AA7076" w:rsidRDefault="00EC6E3E" w:rsidP="007D6D8C">
            <w:pPr>
              <w:pStyle w:val="HTMLPreformatted"/>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283" w:type="dxa"/>
            <w:vAlign w:val="center"/>
          </w:tcPr>
          <w:p w:rsidR="00EC6E3E" w:rsidRPr="00AA7076" w:rsidRDefault="00372E4D"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Pr>
                <w:rFonts w:asciiTheme="majorBidi" w:hAnsiTheme="majorBidi" w:cstheme="majorBidi"/>
                <w:b/>
                <w:bCs/>
                <w:sz w:val="24"/>
                <w:szCs w:val="24"/>
              </w:rPr>
              <w:t>-0.350</w:t>
            </w:r>
          </w:p>
          <w:p w:rsidR="00EC6E3E" w:rsidRPr="00AA707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080" w:type="dxa"/>
            <w:vAlign w:val="center"/>
          </w:tcPr>
          <w:p w:rsidR="00EC6E3E" w:rsidRPr="00AA7076" w:rsidRDefault="00372E4D"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Pr>
                <w:rFonts w:asciiTheme="majorBidi" w:hAnsiTheme="majorBidi" w:cstheme="majorBidi"/>
                <w:b/>
                <w:bCs/>
                <w:sz w:val="24"/>
                <w:szCs w:val="24"/>
              </w:rPr>
              <w:t>-0.424</w:t>
            </w:r>
          </w:p>
          <w:p w:rsidR="00EC6E3E" w:rsidRPr="00AA7076" w:rsidRDefault="00372E4D"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Pr>
                <w:rFonts w:asciiTheme="majorBidi" w:hAnsiTheme="majorBidi" w:cstheme="majorBidi"/>
                <w:b/>
                <w:bCs/>
                <w:sz w:val="24"/>
                <w:szCs w:val="24"/>
              </w:rPr>
              <w:t>(***)</w:t>
            </w:r>
          </w:p>
        </w:tc>
        <w:tc>
          <w:tcPr>
            <w:tcW w:w="1303" w:type="dxa"/>
            <w:vAlign w:val="center"/>
          </w:tcPr>
          <w:p w:rsidR="00EC6E3E" w:rsidRPr="00AA7076" w:rsidRDefault="00372E4D"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Pr>
                <w:rFonts w:asciiTheme="majorBidi" w:hAnsiTheme="majorBidi" w:cstheme="majorBidi"/>
                <w:b/>
                <w:bCs/>
                <w:sz w:val="24"/>
                <w:szCs w:val="24"/>
              </w:rPr>
              <w:t>-0.403</w:t>
            </w:r>
          </w:p>
          <w:p w:rsidR="00EC6E3E" w:rsidRPr="00AA707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240" w:type="dxa"/>
            <w:vAlign w:val="center"/>
          </w:tcPr>
          <w:p w:rsidR="00EC6E3E" w:rsidRPr="00AA7076" w:rsidRDefault="00372E4D"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Pr>
                <w:rFonts w:asciiTheme="majorBidi" w:hAnsiTheme="majorBidi" w:cstheme="majorBidi"/>
                <w:b/>
                <w:bCs/>
                <w:sz w:val="24"/>
                <w:szCs w:val="24"/>
              </w:rPr>
              <w:t>-0.529</w:t>
            </w:r>
          </w:p>
          <w:p w:rsidR="00EC6E3E" w:rsidRPr="00AA707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r>
      <w:tr w:rsidR="00EC6E3E" w:rsidRPr="00854E06" w:rsidTr="007D6D8C">
        <w:trPr>
          <w:jc w:val="center"/>
        </w:trPr>
        <w:tc>
          <w:tcPr>
            <w:tcW w:w="2015" w:type="dxa"/>
          </w:tcPr>
          <w:p w:rsidR="00EC6E3E" w:rsidRPr="00854E06" w:rsidRDefault="00EC6E3E" w:rsidP="007D6D8C">
            <w:pPr>
              <w:pStyle w:val="HTMLPreformatted"/>
              <w:rPr>
                <w:rFonts w:asciiTheme="majorBidi" w:hAnsiTheme="majorBidi" w:cstheme="majorBidi"/>
                <w:sz w:val="24"/>
                <w:szCs w:val="24"/>
              </w:rPr>
            </w:pPr>
            <w:r w:rsidRPr="00854E06">
              <w:rPr>
                <w:rFonts w:asciiTheme="majorBidi" w:hAnsiTheme="majorBidi" w:cstheme="majorBidi"/>
                <w:sz w:val="24"/>
                <w:szCs w:val="24"/>
              </w:rPr>
              <w:t>Large streams</w:t>
            </w:r>
          </w:p>
        </w:tc>
        <w:tc>
          <w:tcPr>
            <w:tcW w:w="1023" w:type="dxa"/>
            <w:vMerge/>
          </w:tcPr>
          <w:p w:rsidR="00EC6E3E" w:rsidRPr="00854E06" w:rsidRDefault="00EC6E3E" w:rsidP="003F6E12">
            <w:pPr>
              <w:pStyle w:val="HTMLPreformatted"/>
              <w:rPr>
                <w:rFonts w:asciiTheme="majorBidi" w:hAnsiTheme="majorBidi" w:cstheme="majorBidi"/>
                <w:sz w:val="24"/>
                <w:szCs w:val="24"/>
              </w:rPr>
            </w:pPr>
          </w:p>
        </w:tc>
        <w:tc>
          <w:tcPr>
            <w:tcW w:w="1023" w:type="dxa"/>
            <w:vAlign w:val="center"/>
          </w:tcPr>
          <w:p w:rsidR="00EC6E3E" w:rsidRPr="00AA7076" w:rsidRDefault="00EC6E3E" w:rsidP="007D6D8C">
            <w:pPr>
              <w:pStyle w:val="HTMLPreformatted"/>
              <w:tabs>
                <w:tab w:val="clear" w:pos="916"/>
              </w:tabs>
              <w:jc w:val="center"/>
              <w:rPr>
                <w:rFonts w:asciiTheme="majorBidi" w:hAnsiTheme="majorBidi" w:cstheme="majorBidi"/>
                <w:b/>
                <w:bCs/>
                <w:sz w:val="24"/>
                <w:szCs w:val="24"/>
              </w:rPr>
            </w:pPr>
            <w:r w:rsidRPr="00AA7076">
              <w:rPr>
                <w:rFonts w:asciiTheme="majorBidi" w:hAnsiTheme="majorBidi" w:cstheme="majorBidi"/>
                <w:b/>
                <w:bCs/>
                <w:sz w:val="24"/>
                <w:szCs w:val="24"/>
              </w:rPr>
              <w:t>-0.909</w:t>
            </w:r>
          </w:p>
          <w:p w:rsidR="00EC6E3E" w:rsidRPr="00AA7076" w:rsidRDefault="00EC6E3E" w:rsidP="007D6D8C">
            <w:pPr>
              <w:pStyle w:val="HTMLPreformatted"/>
              <w:tabs>
                <w:tab w:val="clear" w:pos="91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104" w:type="dxa"/>
            <w:vAlign w:val="center"/>
          </w:tcPr>
          <w:p w:rsidR="00EC6E3E" w:rsidRPr="00AA7076" w:rsidRDefault="00EC6E3E" w:rsidP="007D6D8C">
            <w:pPr>
              <w:pStyle w:val="HTMLPreformatted"/>
              <w:jc w:val="center"/>
              <w:rPr>
                <w:rFonts w:asciiTheme="majorBidi" w:hAnsiTheme="majorBidi" w:cstheme="majorBidi"/>
                <w:b/>
                <w:bCs/>
                <w:sz w:val="24"/>
                <w:szCs w:val="24"/>
              </w:rPr>
            </w:pPr>
            <w:r w:rsidRPr="00AA7076">
              <w:rPr>
                <w:rFonts w:asciiTheme="majorBidi" w:hAnsiTheme="majorBidi" w:cstheme="majorBidi"/>
                <w:b/>
                <w:bCs/>
                <w:sz w:val="24"/>
                <w:szCs w:val="24"/>
              </w:rPr>
              <w:t>-0.912</w:t>
            </w:r>
          </w:p>
          <w:p w:rsidR="00EC6E3E" w:rsidRPr="00AA7076" w:rsidRDefault="00EC6E3E" w:rsidP="007D6D8C">
            <w:pPr>
              <w:pStyle w:val="HTMLPreformatted"/>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283" w:type="dxa"/>
            <w:vAlign w:val="center"/>
          </w:tcPr>
          <w:p w:rsidR="00EC6E3E" w:rsidRPr="00AA707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-0.922</w:t>
            </w:r>
          </w:p>
          <w:p w:rsidR="00EC6E3E" w:rsidRPr="00AA707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080" w:type="dxa"/>
            <w:vAlign w:val="center"/>
          </w:tcPr>
          <w:p w:rsidR="00EC6E3E" w:rsidRPr="00AA707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-0.930</w:t>
            </w:r>
          </w:p>
          <w:p w:rsidR="00EC6E3E" w:rsidRPr="00AA707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303" w:type="dxa"/>
            <w:vAlign w:val="center"/>
          </w:tcPr>
          <w:p w:rsidR="00EC6E3E" w:rsidRPr="00AA707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-0.932</w:t>
            </w:r>
          </w:p>
          <w:p w:rsidR="00EC6E3E" w:rsidRPr="00AA707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c>
          <w:tcPr>
            <w:tcW w:w="1240" w:type="dxa"/>
            <w:vAlign w:val="center"/>
          </w:tcPr>
          <w:p w:rsidR="00EC6E3E" w:rsidRPr="00AA707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-0.907</w:t>
            </w:r>
          </w:p>
          <w:p w:rsidR="00EC6E3E" w:rsidRPr="00AA707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b/>
                <w:bCs/>
                <w:sz w:val="24"/>
                <w:szCs w:val="24"/>
              </w:rPr>
            </w:pPr>
            <w:r w:rsidRPr="00AA7076">
              <w:rPr>
                <w:rFonts w:asciiTheme="majorBidi" w:hAnsiTheme="majorBidi" w:cstheme="majorBidi"/>
                <w:b/>
                <w:bCs/>
                <w:sz w:val="24"/>
                <w:szCs w:val="24"/>
              </w:rPr>
              <w:t>(***)</w:t>
            </w:r>
          </w:p>
        </w:tc>
      </w:tr>
      <w:tr w:rsidR="00EC6E3E" w:rsidRPr="00854E06" w:rsidTr="007D6D8C">
        <w:trPr>
          <w:jc w:val="center"/>
        </w:trPr>
        <w:tc>
          <w:tcPr>
            <w:tcW w:w="2015" w:type="dxa"/>
          </w:tcPr>
          <w:p w:rsidR="00EC6E3E" w:rsidRPr="00854E06" w:rsidRDefault="00EC6E3E" w:rsidP="007D6D8C">
            <w:pPr>
              <w:pStyle w:val="HTMLPreformatted"/>
              <w:rPr>
                <w:rFonts w:asciiTheme="majorBidi" w:hAnsiTheme="majorBidi" w:cstheme="majorBidi"/>
                <w:sz w:val="24"/>
                <w:szCs w:val="24"/>
              </w:rPr>
            </w:pPr>
            <w:r w:rsidRPr="00854E06">
              <w:rPr>
                <w:rFonts w:asciiTheme="majorBidi" w:hAnsiTheme="majorBidi" w:cstheme="majorBidi"/>
                <w:sz w:val="24"/>
                <w:szCs w:val="24"/>
              </w:rPr>
              <w:t>Small streams</w:t>
            </w:r>
          </w:p>
        </w:tc>
        <w:tc>
          <w:tcPr>
            <w:tcW w:w="1023" w:type="dxa"/>
            <w:vMerge/>
          </w:tcPr>
          <w:p w:rsidR="00EC6E3E" w:rsidRPr="00854E06" w:rsidRDefault="00EC6E3E" w:rsidP="003F6E12">
            <w:pPr>
              <w:pStyle w:val="HTMLPreformatted"/>
              <w:rPr>
                <w:rFonts w:asciiTheme="majorBidi" w:hAnsiTheme="majorBidi" w:cstheme="majorBidi"/>
                <w:sz w:val="24"/>
                <w:szCs w:val="24"/>
              </w:rPr>
            </w:pPr>
          </w:p>
        </w:tc>
        <w:tc>
          <w:tcPr>
            <w:tcW w:w="1023" w:type="dxa"/>
            <w:vAlign w:val="center"/>
          </w:tcPr>
          <w:p w:rsidR="00EC6E3E" w:rsidRPr="00854E06" w:rsidRDefault="00EC6E3E" w:rsidP="007D6D8C">
            <w:pPr>
              <w:pStyle w:val="HTMLPreformatted"/>
              <w:tabs>
                <w:tab w:val="clear" w:pos="916"/>
              </w:tabs>
              <w:jc w:val="center"/>
              <w:rPr>
                <w:rFonts w:asciiTheme="majorBidi" w:hAnsiTheme="majorBidi" w:cstheme="majorBidi"/>
                <w:sz w:val="24"/>
                <w:szCs w:val="24"/>
              </w:rPr>
            </w:pPr>
            <w:r w:rsidRPr="00854E06">
              <w:rPr>
                <w:rFonts w:asciiTheme="majorBidi" w:hAnsiTheme="majorBidi" w:cstheme="majorBidi"/>
                <w:sz w:val="24"/>
                <w:szCs w:val="24"/>
              </w:rPr>
              <w:t>-0.340</w:t>
            </w:r>
          </w:p>
          <w:p w:rsidR="00EC6E3E" w:rsidRPr="00854E06" w:rsidRDefault="00EC6E3E" w:rsidP="007D6D8C">
            <w:pPr>
              <w:pStyle w:val="HTMLPreformatted"/>
              <w:tabs>
                <w:tab w:val="clear" w:pos="916"/>
              </w:tabs>
              <w:jc w:val="center"/>
              <w:rPr>
                <w:rFonts w:asciiTheme="majorBidi" w:hAnsiTheme="majorBidi" w:cstheme="majorBidi"/>
                <w:sz w:val="24"/>
                <w:szCs w:val="24"/>
              </w:rPr>
            </w:pPr>
          </w:p>
        </w:tc>
        <w:tc>
          <w:tcPr>
            <w:tcW w:w="1104" w:type="dxa"/>
            <w:vAlign w:val="center"/>
          </w:tcPr>
          <w:p w:rsidR="00EC6E3E" w:rsidRPr="00854E06" w:rsidRDefault="00EC6E3E" w:rsidP="007D6D8C">
            <w:pPr>
              <w:pStyle w:val="HTMLPreformatted"/>
              <w:jc w:val="center"/>
              <w:rPr>
                <w:rFonts w:asciiTheme="majorBidi" w:hAnsiTheme="majorBidi" w:cstheme="majorBidi"/>
                <w:sz w:val="24"/>
                <w:szCs w:val="24"/>
              </w:rPr>
            </w:pPr>
            <w:r w:rsidRPr="00854E06">
              <w:rPr>
                <w:rFonts w:asciiTheme="majorBidi" w:hAnsiTheme="majorBidi" w:cstheme="majorBidi"/>
                <w:sz w:val="24"/>
                <w:szCs w:val="24"/>
              </w:rPr>
              <w:t>-0.180</w:t>
            </w:r>
          </w:p>
          <w:p w:rsidR="00EC6E3E" w:rsidRPr="00854E06" w:rsidRDefault="00EC6E3E" w:rsidP="007D6D8C">
            <w:pPr>
              <w:pStyle w:val="HTMLPreformatted"/>
              <w:jc w:val="center"/>
              <w:rPr>
                <w:rFonts w:asciiTheme="majorBidi" w:hAnsiTheme="majorBidi" w:cstheme="majorBidi"/>
                <w:sz w:val="24"/>
                <w:szCs w:val="24"/>
              </w:rPr>
            </w:pPr>
          </w:p>
        </w:tc>
        <w:tc>
          <w:tcPr>
            <w:tcW w:w="1283" w:type="dxa"/>
            <w:vAlign w:val="center"/>
          </w:tcPr>
          <w:p w:rsidR="00EC6E3E" w:rsidRPr="00854E0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854E06">
              <w:rPr>
                <w:rFonts w:asciiTheme="majorBidi" w:hAnsiTheme="majorBidi" w:cstheme="majorBidi"/>
                <w:sz w:val="24"/>
                <w:szCs w:val="24"/>
              </w:rPr>
              <w:t>-0.297</w:t>
            </w:r>
          </w:p>
          <w:p w:rsidR="00EC6E3E" w:rsidRPr="00854E0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p>
        </w:tc>
        <w:tc>
          <w:tcPr>
            <w:tcW w:w="1080" w:type="dxa"/>
            <w:vAlign w:val="center"/>
          </w:tcPr>
          <w:p w:rsidR="00EC6E3E" w:rsidRPr="00854E0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854E06">
              <w:rPr>
                <w:rFonts w:asciiTheme="majorBidi" w:hAnsiTheme="majorBidi" w:cstheme="majorBidi"/>
                <w:sz w:val="24"/>
                <w:szCs w:val="24"/>
              </w:rPr>
              <w:t>-0.246</w:t>
            </w:r>
          </w:p>
          <w:p w:rsidR="00EC6E3E" w:rsidRPr="00854E0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p>
        </w:tc>
        <w:tc>
          <w:tcPr>
            <w:tcW w:w="1303" w:type="dxa"/>
            <w:vAlign w:val="center"/>
          </w:tcPr>
          <w:p w:rsidR="00EC6E3E" w:rsidRPr="00854E0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854E06">
              <w:rPr>
                <w:rFonts w:asciiTheme="majorBidi" w:hAnsiTheme="majorBidi" w:cstheme="majorBidi"/>
                <w:sz w:val="24"/>
                <w:szCs w:val="24"/>
              </w:rPr>
              <w:t>-0.239</w:t>
            </w:r>
          </w:p>
          <w:p w:rsidR="00EC6E3E" w:rsidRPr="00854E0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p>
        </w:tc>
        <w:tc>
          <w:tcPr>
            <w:tcW w:w="1240" w:type="dxa"/>
            <w:vAlign w:val="center"/>
          </w:tcPr>
          <w:p w:rsidR="00EC6E3E" w:rsidRPr="00854E0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r w:rsidRPr="00854E06">
              <w:rPr>
                <w:rFonts w:asciiTheme="majorBidi" w:hAnsiTheme="majorBidi" w:cstheme="majorBidi"/>
                <w:sz w:val="24"/>
                <w:szCs w:val="24"/>
              </w:rPr>
              <w:t>-0.137</w:t>
            </w:r>
          </w:p>
          <w:p w:rsidR="00EC6E3E" w:rsidRPr="00854E06" w:rsidRDefault="00EC6E3E" w:rsidP="007D6D8C">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heme="majorBidi" w:hAnsiTheme="majorBidi" w:cstheme="majorBidi"/>
                <w:sz w:val="24"/>
                <w:szCs w:val="24"/>
              </w:rPr>
            </w:pPr>
          </w:p>
        </w:tc>
      </w:tr>
    </w:tbl>
    <w:p w:rsidR="00025130" w:rsidRPr="00854E06" w:rsidRDefault="00025130" w:rsidP="007D6D8C">
      <w:pPr>
        <w:pStyle w:val="HTMLPreformatted"/>
        <w:spacing w:before="120" w:line="480" w:lineRule="auto"/>
        <w:ind w:left="1440"/>
        <w:jc w:val="both"/>
        <w:rPr>
          <w:rFonts w:asciiTheme="majorBidi" w:hAnsiTheme="majorBidi" w:cstheme="majorBidi"/>
          <w:sz w:val="24"/>
          <w:szCs w:val="24"/>
        </w:rPr>
      </w:pPr>
      <w:r w:rsidRPr="00854E06">
        <w:rPr>
          <w:rFonts w:asciiTheme="majorBidi" w:hAnsiTheme="majorBidi" w:cstheme="majorBidi"/>
          <w:sz w:val="24"/>
          <w:szCs w:val="24"/>
        </w:rPr>
        <w:t>(***): P &lt;0.001</w:t>
      </w:r>
    </w:p>
    <w:p w:rsidR="00025130" w:rsidRPr="00854E06" w:rsidRDefault="00025130" w:rsidP="007D6D8C">
      <w:pPr>
        <w:pStyle w:val="HTMLPreformatted"/>
        <w:spacing w:line="480" w:lineRule="auto"/>
        <w:ind w:left="1440"/>
        <w:jc w:val="both"/>
        <w:rPr>
          <w:rFonts w:asciiTheme="majorBidi" w:hAnsiTheme="majorBidi" w:cstheme="majorBidi"/>
          <w:sz w:val="24"/>
          <w:szCs w:val="24"/>
        </w:rPr>
      </w:pPr>
      <w:r w:rsidRPr="00854E06">
        <w:rPr>
          <w:rFonts w:asciiTheme="majorBidi" w:hAnsiTheme="majorBidi" w:cstheme="majorBidi"/>
          <w:sz w:val="24"/>
          <w:szCs w:val="24"/>
        </w:rPr>
        <w:t>(**): P &lt; 0.01</w:t>
      </w:r>
    </w:p>
    <w:p w:rsidR="00025130" w:rsidRPr="00854E06" w:rsidRDefault="00025130" w:rsidP="007D6D8C">
      <w:pPr>
        <w:pStyle w:val="HTMLPreformatted"/>
        <w:spacing w:line="480" w:lineRule="auto"/>
        <w:ind w:left="1440"/>
        <w:jc w:val="both"/>
        <w:rPr>
          <w:rFonts w:asciiTheme="majorBidi" w:hAnsiTheme="majorBidi" w:cstheme="majorBidi"/>
          <w:sz w:val="24"/>
          <w:szCs w:val="24"/>
        </w:rPr>
      </w:pPr>
      <w:r w:rsidRPr="00854E06">
        <w:rPr>
          <w:rFonts w:asciiTheme="majorBidi" w:hAnsiTheme="majorBidi" w:cstheme="majorBidi"/>
          <w:sz w:val="24"/>
          <w:szCs w:val="24"/>
        </w:rPr>
        <w:t>(*): P &lt; 0.05</w:t>
      </w:r>
    </w:p>
    <w:p w:rsidR="00025130" w:rsidRPr="00854E06" w:rsidRDefault="00025130" w:rsidP="00025130">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uto"/>
        <w:jc w:val="both"/>
        <w:rPr>
          <w:rFonts w:asciiTheme="majorBidi" w:hAnsiTheme="majorBidi" w:cstheme="majorBidi"/>
          <w:sz w:val="24"/>
          <w:szCs w:val="24"/>
        </w:rPr>
      </w:pPr>
      <w:r w:rsidRPr="00854E06">
        <w:rPr>
          <w:rFonts w:asciiTheme="majorBidi" w:hAnsiTheme="majorBidi" w:cstheme="majorBidi"/>
          <w:sz w:val="24"/>
          <w:szCs w:val="24"/>
        </w:rPr>
        <w:tab/>
      </w:r>
    </w:p>
    <w:p w:rsidR="00025130" w:rsidRPr="00854E06" w:rsidRDefault="00025130" w:rsidP="00025130">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uto"/>
        <w:rPr>
          <w:rFonts w:asciiTheme="majorBidi" w:hAnsiTheme="majorBidi" w:cstheme="majorBidi"/>
          <w:sz w:val="24"/>
          <w:szCs w:val="24"/>
        </w:rPr>
      </w:pPr>
    </w:p>
    <w:p w:rsidR="00025130" w:rsidRPr="00854E06" w:rsidRDefault="00025130" w:rsidP="00025130">
      <w:pPr>
        <w:pStyle w:val="HTMLPreformatted"/>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uto"/>
        <w:rPr>
          <w:rFonts w:asciiTheme="majorBidi" w:hAnsiTheme="majorBidi" w:cstheme="majorBidi"/>
          <w:sz w:val="24"/>
          <w:szCs w:val="24"/>
        </w:rPr>
      </w:pPr>
    </w:p>
    <w:p w:rsidR="00025130" w:rsidRPr="00854E06" w:rsidRDefault="00025130" w:rsidP="00025130">
      <w:pPr>
        <w:pStyle w:val="Caption"/>
        <w:keepNext/>
        <w:jc w:val="center"/>
        <w:rPr>
          <w:rFonts w:cstheme="majorBidi"/>
          <w:color w:val="auto"/>
          <w:sz w:val="24"/>
          <w:szCs w:val="24"/>
        </w:rPr>
      </w:pPr>
      <w:bookmarkStart w:id="88" w:name="_Toc394005470"/>
      <w:proofErr w:type="gramStart"/>
      <w:r w:rsidRPr="00854E06">
        <w:rPr>
          <w:rFonts w:cstheme="majorBidi"/>
          <w:color w:val="auto"/>
          <w:sz w:val="24"/>
          <w:szCs w:val="24"/>
        </w:rPr>
        <w:t xml:space="preserve">Table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Table_5_- \* ARABIC </w:instrText>
      </w:r>
      <w:r w:rsidR="00F41E6A" w:rsidRPr="00854E06">
        <w:rPr>
          <w:rFonts w:cstheme="majorBidi"/>
          <w:color w:val="auto"/>
          <w:sz w:val="24"/>
          <w:szCs w:val="24"/>
        </w:rPr>
        <w:fldChar w:fldCharType="separate"/>
      </w:r>
      <w:r w:rsidR="008E2F67">
        <w:rPr>
          <w:rFonts w:cstheme="majorBidi"/>
          <w:noProof/>
          <w:color w:val="auto"/>
          <w:sz w:val="24"/>
          <w:szCs w:val="24"/>
        </w:rPr>
        <w:t>4</w:t>
      </w:r>
      <w:r w:rsidR="00F41E6A" w:rsidRPr="00854E06">
        <w:rPr>
          <w:rFonts w:cstheme="majorBidi"/>
          <w:color w:val="auto"/>
          <w:sz w:val="24"/>
          <w:szCs w:val="24"/>
        </w:rPr>
        <w:fldChar w:fldCharType="end"/>
      </w:r>
      <w:r w:rsidRPr="00854E06">
        <w:rPr>
          <w:rFonts w:cstheme="majorBidi"/>
          <w:color w:val="auto"/>
          <w:sz w:val="24"/>
          <w:szCs w:val="24"/>
        </w:rPr>
        <w:t>.</w:t>
      </w:r>
      <w:proofErr w:type="gramEnd"/>
      <w:r w:rsidRPr="00854E06">
        <w:rPr>
          <w:rFonts w:cstheme="majorBidi"/>
          <w:color w:val="auto"/>
          <w:sz w:val="24"/>
          <w:szCs w:val="24"/>
        </w:rPr>
        <w:t xml:space="preserve"> Spearman correlation coefficient of mean discharge versus </w:t>
      </w:r>
      <m:oMath>
        <m:r>
          <m:rPr>
            <m:sty m:val="bi"/>
          </m:rPr>
          <w:rPr>
            <w:rFonts w:ascii="Cambria Math" w:hAnsi="Cambria Math" w:cstheme="majorBidi"/>
            <w:color w:val="auto"/>
            <w:sz w:val="24"/>
            <w:szCs w:val="24"/>
          </w:rPr>
          <m:t>a</m:t>
        </m:r>
      </m:oMath>
      <w:r w:rsidRPr="00854E06">
        <w:rPr>
          <w:rFonts w:cstheme="majorBidi"/>
          <w:color w:val="auto"/>
          <w:sz w:val="24"/>
          <w:szCs w:val="24"/>
        </w:rPr>
        <w:t xml:space="preserve"> and </w:t>
      </w:r>
      <m:oMath>
        <m:r>
          <m:rPr>
            <m:sty m:val="bi"/>
          </m:rPr>
          <w:rPr>
            <w:rFonts w:ascii="Cambria Math" w:hAnsi="Cambria Math" w:cstheme="majorBidi"/>
            <w:color w:val="auto"/>
            <w:sz w:val="24"/>
            <w:szCs w:val="24"/>
          </w:rPr>
          <m:t>b</m:t>
        </m:r>
      </m:oMath>
      <w:r w:rsidRPr="00854E06">
        <w:rPr>
          <w:rFonts w:cstheme="majorBidi"/>
          <w:color w:val="auto"/>
          <w:sz w:val="24"/>
          <w:szCs w:val="24"/>
        </w:rPr>
        <w:t xml:space="preserve"> at annual and monthly levels</w:t>
      </w:r>
      <w:bookmarkEnd w:id="88"/>
    </w:p>
    <w:tbl>
      <w:tblPr>
        <w:tblW w:w="9468"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6"/>
        <w:gridCol w:w="990"/>
        <w:gridCol w:w="1012"/>
        <w:gridCol w:w="1397"/>
        <w:gridCol w:w="1296"/>
        <w:gridCol w:w="1013"/>
        <w:gridCol w:w="1231"/>
        <w:gridCol w:w="1383"/>
      </w:tblGrid>
      <w:tr w:rsidR="003F6E12" w:rsidRPr="00854E06" w:rsidTr="009236E5">
        <w:trPr>
          <w:trHeight w:val="548"/>
          <w:jc w:val="center"/>
        </w:trPr>
        <w:tc>
          <w:tcPr>
            <w:tcW w:w="1146" w:type="dxa"/>
          </w:tcPr>
          <w:p w:rsidR="003F6E12" w:rsidRPr="00854E06" w:rsidRDefault="003F6E12" w:rsidP="003F6E12">
            <w:pPr>
              <w:pStyle w:val="HTMLPreformatted"/>
              <w:tabs>
                <w:tab w:val="clear" w:pos="8244"/>
                <w:tab w:val="left" w:pos="8082"/>
              </w:tabs>
              <w:spacing w:line="360" w:lineRule="auto"/>
              <w:rPr>
                <w:rFonts w:asciiTheme="majorBidi" w:hAnsiTheme="majorBidi" w:cstheme="majorBidi"/>
                <w:sz w:val="24"/>
                <w:szCs w:val="24"/>
              </w:rPr>
            </w:pPr>
          </w:p>
        </w:tc>
        <w:tc>
          <w:tcPr>
            <w:tcW w:w="990" w:type="dxa"/>
            <w:vAlign w:val="center"/>
          </w:tcPr>
          <w:p w:rsidR="003F6E12" w:rsidRPr="00854E06" w:rsidRDefault="003F6E12" w:rsidP="009236E5">
            <w:pPr>
              <w:pStyle w:val="HTMLPreformatted"/>
              <w:spacing w:line="360" w:lineRule="auto"/>
              <w:jc w:val="center"/>
              <w:rPr>
                <w:rFonts w:asciiTheme="majorBidi" w:hAnsiTheme="majorBidi" w:cstheme="majorBidi"/>
                <w:sz w:val="24"/>
                <w:szCs w:val="24"/>
              </w:rPr>
            </w:pPr>
            <w:r w:rsidRPr="00854E06">
              <w:rPr>
                <w:rFonts w:asciiTheme="majorBidi" w:hAnsiTheme="majorBidi" w:cstheme="majorBidi"/>
                <w:sz w:val="24"/>
                <w:szCs w:val="24"/>
              </w:rPr>
              <w:t>Annual</w:t>
            </w:r>
          </w:p>
        </w:tc>
        <w:tc>
          <w:tcPr>
            <w:tcW w:w="1012" w:type="dxa"/>
            <w:vAlign w:val="center"/>
          </w:tcPr>
          <w:p w:rsidR="003F6E12" w:rsidRPr="00854E06" w:rsidRDefault="003F6E12" w:rsidP="009236E5">
            <w:pPr>
              <w:pStyle w:val="HTMLPreformatted"/>
              <w:spacing w:line="360" w:lineRule="auto"/>
              <w:jc w:val="center"/>
              <w:rPr>
                <w:rFonts w:asciiTheme="majorBidi" w:hAnsiTheme="majorBidi" w:cstheme="majorBidi"/>
                <w:sz w:val="24"/>
                <w:szCs w:val="24"/>
              </w:rPr>
            </w:pPr>
            <w:r w:rsidRPr="00854E06">
              <w:rPr>
                <w:rFonts w:asciiTheme="majorBidi" w:hAnsiTheme="majorBidi" w:cstheme="majorBidi"/>
                <w:sz w:val="24"/>
                <w:szCs w:val="24"/>
              </w:rPr>
              <w:t>January</w:t>
            </w:r>
          </w:p>
        </w:tc>
        <w:tc>
          <w:tcPr>
            <w:tcW w:w="1397" w:type="dxa"/>
            <w:vAlign w:val="center"/>
          </w:tcPr>
          <w:p w:rsidR="003F6E12" w:rsidRPr="00854E06" w:rsidRDefault="003F6E12" w:rsidP="009236E5">
            <w:pPr>
              <w:pStyle w:val="HTMLPreformatted"/>
              <w:spacing w:line="360" w:lineRule="auto"/>
              <w:jc w:val="center"/>
              <w:rPr>
                <w:rFonts w:asciiTheme="majorBidi" w:hAnsiTheme="majorBidi" w:cstheme="majorBidi"/>
                <w:sz w:val="24"/>
                <w:szCs w:val="24"/>
              </w:rPr>
            </w:pPr>
            <w:r w:rsidRPr="00854E06">
              <w:rPr>
                <w:rFonts w:asciiTheme="majorBidi" w:hAnsiTheme="majorBidi" w:cstheme="majorBidi"/>
                <w:sz w:val="24"/>
                <w:szCs w:val="24"/>
              </w:rPr>
              <w:t>February</w:t>
            </w:r>
          </w:p>
        </w:tc>
        <w:tc>
          <w:tcPr>
            <w:tcW w:w="1296" w:type="dxa"/>
            <w:vAlign w:val="center"/>
          </w:tcPr>
          <w:p w:rsidR="003F6E12" w:rsidRPr="00854E0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sidRPr="00854E06">
              <w:rPr>
                <w:rFonts w:asciiTheme="majorBidi" w:hAnsiTheme="majorBidi" w:cstheme="majorBidi"/>
                <w:sz w:val="24"/>
                <w:szCs w:val="24"/>
              </w:rPr>
              <w:t>March</w:t>
            </w:r>
          </w:p>
        </w:tc>
        <w:tc>
          <w:tcPr>
            <w:tcW w:w="1013" w:type="dxa"/>
            <w:vAlign w:val="center"/>
          </w:tcPr>
          <w:p w:rsidR="003F6E12" w:rsidRPr="00854E0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sidRPr="00854E06">
              <w:rPr>
                <w:rFonts w:asciiTheme="majorBidi" w:hAnsiTheme="majorBidi" w:cstheme="majorBidi"/>
                <w:sz w:val="24"/>
                <w:szCs w:val="24"/>
              </w:rPr>
              <w:t>April</w:t>
            </w:r>
          </w:p>
        </w:tc>
        <w:tc>
          <w:tcPr>
            <w:tcW w:w="1231" w:type="dxa"/>
            <w:vAlign w:val="center"/>
          </w:tcPr>
          <w:p w:rsidR="003F6E12" w:rsidRPr="00854E0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sidRPr="00854E06">
              <w:rPr>
                <w:rFonts w:asciiTheme="majorBidi" w:hAnsiTheme="majorBidi" w:cstheme="majorBidi"/>
                <w:sz w:val="24"/>
                <w:szCs w:val="24"/>
              </w:rPr>
              <w:t>May</w:t>
            </w:r>
          </w:p>
        </w:tc>
        <w:tc>
          <w:tcPr>
            <w:tcW w:w="1383" w:type="dxa"/>
            <w:vAlign w:val="center"/>
          </w:tcPr>
          <w:p w:rsidR="003F6E12" w:rsidRPr="00854E0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sidRPr="00854E06">
              <w:rPr>
                <w:rFonts w:asciiTheme="majorBidi" w:hAnsiTheme="majorBidi" w:cstheme="majorBidi"/>
                <w:sz w:val="24"/>
                <w:szCs w:val="24"/>
              </w:rPr>
              <w:t>June</w:t>
            </w:r>
          </w:p>
        </w:tc>
      </w:tr>
      <w:tr w:rsidR="003F6E12" w:rsidRPr="00854E06" w:rsidTr="009236E5">
        <w:trPr>
          <w:trHeight w:val="800"/>
          <w:jc w:val="center"/>
        </w:trPr>
        <w:tc>
          <w:tcPr>
            <w:tcW w:w="1146" w:type="dxa"/>
          </w:tcPr>
          <w:p w:rsidR="003F6E12" w:rsidRPr="00854E06" w:rsidRDefault="003F6E12" w:rsidP="003F6E12">
            <w:pPr>
              <w:pStyle w:val="HTMLPreformatted"/>
              <w:spacing w:line="360" w:lineRule="auto"/>
              <w:rPr>
                <w:rFonts w:asciiTheme="majorBidi" w:hAnsiTheme="majorBidi" w:cstheme="majorBidi"/>
                <w:sz w:val="24"/>
                <w:szCs w:val="24"/>
              </w:rPr>
            </w:pPr>
            <m:oMath>
              <m:r>
                <w:rPr>
                  <w:rFonts w:ascii="Cambria Math" w:hAnsi="Cambria Math" w:cstheme="majorBidi"/>
                  <w:sz w:val="24"/>
                  <w:szCs w:val="24"/>
                </w:rPr>
                <m:t>a</m:t>
              </m:r>
            </m:oMath>
            <w:r w:rsidRPr="00854E06">
              <w:rPr>
                <w:rFonts w:asciiTheme="majorBidi" w:hAnsiTheme="majorBidi" w:cstheme="majorBidi"/>
                <w:sz w:val="24"/>
                <w:szCs w:val="24"/>
              </w:rPr>
              <w:t xml:space="preserve"> vs </w:t>
            </w:r>
            <m:oMath>
              <m:r>
                <w:rPr>
                  <w:rFonts w:ascii="Cambria Math" w:hAnsi="Cambria Math" w:cstheme="majorBidi"/>
                  <w:sz w:val="24"/>
                  <w:szCs w:val="24"/>
                </w:rPr>
                <m:t>Q</m:t>
              </m:r>
            </m:oMath>
          </w:p>
        </w:tc>
        <w:tc>
          <w:tcPr>
            <w:tcW w:w="990" w:type="dxa"/>
            <w:vAlign w:val="center"/>
          </w:tcPr>
          <w:p w:rsidR="003F6E12" w:rsidRPr="00AA7076" w:rsidRDefault="00181EC6" w:rsidP="009236E5">
            <w:pPr>
              <w:pStyle w:val="HTMLPreformatted"/>
              <w:spacing w:line="360" w:lineRule="auto"/>
              <w:jc w:val="center"/>
              <w:rPr>
                <w:rFonts w:asciiTheme="majorBidi" w:hAnsiTheme="majorBidi" w:cstheme="majorBidi"/>
                <w:b/>
                <w:bCs/>
                <w:sz w:val="24"/>
                <w:szCs w:val="24"/>
              </w:rPr>
            </w:pPr>
            <w:r>
              <w:rPr>
                <w:rFonts w:asciiTheme="majorBidi" w:hAnsiTheme="majorBidi" w:cstheme="majorBidi"/>
                <w:b/>
                <w:bCs/>
                <w:sz w:val="24"/>
                <w:szCs w:val="24"/>
              </w:rPr>
              <w:t>-0.624</w:t>
            </w:r>
          </w:p>
          <w:p w:rsidR="003F6E12" w:rsidRPr="00AA7076" w:rsidRDefault="003F6E12" w:rsidP="009236E5">
            <w:pPr>
              <w:pStyle w:val="HTMLPreformatted"/>
              <w:spacing w:line="360" w:lineRule="auto"/>
              <w:jc w:val="center"/>
              <w:rPr>
                <w:rFonts w:asciiTheme="majorBidi" w:hAnsiTheme="majorBidi" w:cstheme="majorBidi"/>
                <w:b/>
                <w:bCs/>
                <w:sz w:val="24"/>
                <w:szCs w:val="24"/>
              </w:rPr>
            </w:pPr>
            <w:r>
              <w:rPr>
                <w:rFonts w:asciiTheme="majorBidi" w:hAnsiTheme="majorBidi" w:cstheme="majorBidi"/>
                <w:b/>
                <w:bCs/>
                <w:sz w:val="24"/>
                <w:szCs w:val="24"/>
              </w:rPr>
              <w:t>(***)</w:t>
            </w:r>
          </w:p>
        </w:tc>
        <w:tc>
          <w:tcPr>
            <w:tcW w:w="1012" w:type="dxa"/>
            <w:vAlign w:val="center"/>
          </w:tcPr>
          <w:p w:rsidR="003F6E12" w:rsidRPr="00AA7076" w:rsidRDefault="00181EC6" w:rsidP="009236E5">
            <w:pPr>
              <w:pStyle w:val="HTMLPreformatted"/>
              <w:spacing w:line="360" w:lineRule="auto"/>
              <w:jc w:val="center"/>
              <w:rPr>
                <w:rFonts w:asciiTheme="majorBidi" w:hAnsiTheme="majorBidi" w:cstheme="majorBidi"/>
                <w:b/>
                <w:bCs/>
                <w:sz w:val="24"/>
                <w:szCs w:val="24"/>
              </w:rPr>
            </w:pPr>
            <w:r>
              <w:rPr>
                <w:rFonts w:asciiTheme="majorBidi" w:hAnsiTheme="majorBidi" w:cstheme="majorBidi"/>
                <w:b/>
                <w:bCs/>
                <w:sz w:val="24"/>
                <w:szCs w:val="24"/>
              </w:rPr>
              <w:t>-0.486</w:t>
            </w:r>
          </w:p>
          <w:p w:rsidR="003F6E12" w:rsidRPr="00AA7076" w:rsidRDefault="003F6E12" w:rsidP="009236E5">
            <w:pPr>
              <w:pStyle w:val="HTMLPreformatted"/>
              <w:spacing w:line="360" w:lineRule="auto"/>
              <w:jc w:val="center"/>
              <w:rPr>
                <w:rFonts w:asciiTheme="majorBidi" w:hAnsiTheme="majorBidi" w:cstheme="majorBidi"/>
                <w:b/>
                <w:bCs/>
                <w:sz w:val="24"/>
                <w:szCs w:val="24"/>
              </w:rPr>
            </w:pPr>
            <w:r>
              <w:rPr>
                <w:rFonts w:asciiTheme="majorBidi" w:hAnsiTheme="majorBidi" w:cstheme="majorBidi"/>
                <w:b/>
                <w:bCs/>
                <w:sz w:val="24"/>
                <w:szCs w:val="24"/>
              </w:rPr>
              <w:t>(***)</w:t>
            </w:r>
          </w:p>
        </w:tc>
        <w:tc>
          <w:tcPr>
            <w:tcW w:w="1397" w:type="dxa"/>
            <w:vAlign w:val="center"/>
          </w:tcPr>
          <w:p w:rsidR="003F6E12" w:rsidRPr="00AA7076" w:rsidRDefault="00181EC6" w:rsidP="009236E5">
            <w:pPr>
              <w:pStyle w:val="HTMLPreformatted"/>
              <w:spacing w:line="360" w:lineRule="auto"/>
              <w:jc w:val="center"/>
              <w:rPr>
                <w:rFonts w:asciiTheme="majorBidi" w:hAnsiTheme="majorBidi" w:cstheme="majorBidi"/>
                <w:b/>
                <w:bCs/>
                <w:sz w:val="24"/>
                <w:szCs w:val="24"/>
              </w:rPr>
            </w:pPr>
            <w:r>
              <w:rPr>
                <w:rFonts w:asciiTheme="majorBidi" w:hAnsiTheme="majorBidi" w:cstheme="majorBidi"/>
                <w:b/>
                <w:bCs/>
                <w:sz w:val="24"/>
                <w:szCs w:val="24"/>
              </w:rPr>
              <w:t>-0.451</w:t>
            </w:r>
          </w:p>
          <w:p w:rsidR="003F6E12" w:rsidRPr="00AA7076" w:rsidRDefault="003F6E12" w:rsidP="009236E5">
            <w:pPr>
              <w:pStyle w:val="HTMLPreformatted"/>
              <w:spacing w:line="360" w:lineRule="auto"/>
              <w:jc w:val="center"/>
              <w:rPr>
                <w:rFonts w:asciiTheme="majorBidi" w:hAnsiTheme="majorBidi" w:cstheme="majorBidi"/>
                <w:b/>
                <w:bCs/>
                <w:sz w:val="24"/>
                <w:szCs w:val="24"/>
              </w:rPr>
            </w:pPr>
            <w:r>
              <w:rPr>
                <w:rFonts w:asciiTheme="majorBidi" w:hAnsiTheme="majorBidi" w:cstheme="majorBidi"/>
                <w:b/>
                <w:bCs/>
                <w:sz w:val="24"/>
                <w:szCs w:val="24"/>
              </w:rPr>
              <w:t>(***)</w:t>
            </w:r>
          </w:p>
        </w:tc>
        <w:tc>
          <w:tcPr>
            <w:tcW w:w="1296" w:type="dxa"/>
            <w:vAlign w:val="center"/>
          </w:tcPr>
          <w:p w:rsidR="003F6E12" w:rsidRPr="00AA7076" w:rsidRDefault="00181EC6"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-0.583</w:t>
            </w:r>
          </w:p>
          <w:p w:rsidR="003F6E12" w:rsidRPr="00AA707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w:t>
            </w:r>
          </w:p>
        </w:tc>
        <w:tc>
          <w:tcPr>
            <w:tcW w:w="1013" w:type="dxa"/>
            <w:vAlign w:val="center"/>
          </w:tcPr>
          <w:p w:rsidR="003F6E12" w:rsidRPr="00AA7076" w:rsidRDefault="00DA1C7A"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-0.525</w:t>
            </w:r>
          </w:p>
          <w:p w:rsidR="003F6E12" w:rsidRPr="00AA707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w:t>
            </w:r>
          </w:p>
        </w:tc>
        <w:tc>
          <w:tcPr>
            <w:tcW w:w="1231" w:type="dxa"/>
            <w:vAlign w:val="center"/>
          </w:tcPr>
          <w:p w:rsidR="003F6E12" w:rsidRPr="00AA7076" w:rsidRDefault="00DA1C7A"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-0.627</w:t>
            </w:r>
          </w:p>
          <w:p w:rsidR="003F6E12" w:rsidRPr="00AA707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w:t>
            </w:r>
          </w:p>
        </w:tc>
        <w:tc>
          <w:tcPr>
            <w:tcW w:w="1383" w:type="dxa"/>
            <w:vAlign w:val="center"/>
          </w:tcPr>
          <w:p w:rsidR="003F6E12" w:rsidRPr="00AA7076" w:rsidRDefault="00DA1C7A"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-0.639</w:t>
            </w:r>
          </w:p>
          <w:p w:rsidR="003F6E12" w:rsidRPr="00AA707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w:t>
            </w:r>
          </w:p>
        </w:tc>
      </w:tr>
      <w:tr w:rsidR="003F6E12" w:rsidRPr="00854E06" w:rsidTr="009236E5">
        <w:trPr>
          <w:trHeight w:val="827"/>
          <w:jc w:val="center"/>
        </w:trPr>
        <w:tc>
          <w:tcPr>
            <w:tcW w:w="1146" w:type="dxa"/>
            <w:tcBorders>
              <w:bottom w:val="double" w:sz="4" w:space="0" w:color="auto"/>
            </w:tcBorders>
          </w:tcPr>
          <w:p w:rsidR="003F6E12" w:rsidRPr="00854E06" w:rsidRDefault="003F6E12" w:rsidP="003F6E12">
            <w:pPr>
              <w:pStyle w:val="HTMLPreformatted"/>
              <w:spacing w:line="360" w:lineRule="auto"/>
              <w:rPr>
                <w:rFonts w:asciiTheme="majorBidi" w:hAnsiTheme="majorBidi" w:cstheme="majorBidi"/>
                <w:sz w:val="24"/>
                <w:szCs w:val="24"/>
              </w:rPr>
            </w:pPr>
            <m:oMath>
              <m:r>
                <w:rPr>
                  <w:rFonts w:ascii="Cambria Math" w:hAnsi="Cambria Math" w:cstheme="majorBidi"/>
                  <w:sz w:val="24"/>
                  <w:szCs w:val="24"/>
                </w:rPr>
                <m:t>b</m:t>
              </m:r>
            </m:oMath>
            <w:r w:rsidRPr="00854E06">
              <w:rPr>
                <w:rFonts w:asciiTheme="majorBidi" w:hAnsiTheme="majorBidi" w:cstheme="majorBidi"/>
                <w:sz w:val="24"/>
                <w:szCs w:val="24"/>
              </w:rPr>
              <w:t xml:space="preserve"> vs </w:t>
            </w:r>
            <m:oMath>
              <m:r>
                <w:rPr>
                  <w:rFonts w:ascii="Cambria Math" w:hAnsi="Cambria Math" w:cstheme="majorBidi"/>
                  <w:sz w:val="24"/>
                  <w:szCs w:val="24"/>
                </w:rPr>
                <m:t>Q</m:t>
              </m:r>
            </m:oMath>
          </w:p>
        </w:tc>
        <w:tc>
          <w:tcPr>
            <w:tcW w:w="990" w:type="dxa"/>
            <w:tcBorders>
              <w:bottom w:val="double" w:sz="4" w:space="0" w:color="auto"/>
            </w:tcBorders>
            <w:vAlign w:val="center"/>
          </w:tcPr>
          <w:p w:rsidR="003F6E12" w:rsidRPr="00AA7076" w:rsidRDefault="00181EC6" w:rsidP="009236E5">
            <w:pPr>
              <w:pStyle w:val="HTMLPreformatted"/>
              <w:spacing w:line="360" w:lineRule="auto"/>
              <w:jc w:val="center"/>
              <w:rPr>
                <w:rFonts w:asciiTheme="majorBidi" w:hAnsiTheme="majorBidi" w:cstheme="majorBidi"/>
                <w:b/>
                <w:bCs/>
                <w:sz w:val="24"/>
                <w:szCs w:val="24"/>
              </w:rPr>
            </w:pPr>
            <w:r>
              <w:rPr>
                <w:rFonts w:asciiTheme="majorBidi" w:hAnsiTheme="majorBidi" w:cstheme="majorBidi"/>
                <w:b/>
                <w:bCs/>
                <w:sz w:val="24"/>
                <w:szCs w:val="24"/>
              </w:rPr>
              <w:t>0.246</w:t>
            </w:r>
          </w:p>
          <w:p w:rsidR="003F6E12" w:rsidRPr="00854E06" w:rsidRDefault="003F6E12" w:rsidP="009236E5">
            <w:pPr>
              <w:pStyle w:val="HTMLPreformatted"/>
              <w:spacing w:line="360" w:lineRule="auto"/>
              <w:jc w:val="center"/>
              <w:rPr>
                <w:rFonts w:asciiTheme="majorBidi" w:hAnsiTheme="majorBidi" w:cstheme="majorBidi"/>
                <w:sz w:val="24"/>
                <w:szCs w:val="24"/>
              </w:rPr>
            </w:pPr>
            <w:r w:rsidRPr="00AA7076">
              <w:rPr>
                <w:rFonts w:asciiTheme="majorBidi" w:hAnsiTheme="majorBidi" w:cstheme="majorBidi"/>
                <w:b/>
                <w:bCs/>
                <w:sz w:val="24"/>
                <w:szCs w:val="24"/>
              </w:rPr>
              <w:t>(*)</w:t>
            </w:r>
          </w:p>
        </w:tc>
        <w:tc>
          <w:tcPr>
            <w:tcW w:w="1012" w:type="dxa"/>
            <w:tcBorders>
              <w:bottom w:val="double" w:sz="4" w:space="0" w:color="auto"/>
            </w:tcBorders>
            <w:vAlign w:val="center"/>
          </w:tcPr>
          <w:p w:rsidR="003F6E12" w:rsidRPr="00854E06" w:rsidRDefault="00DA1C7A" w:rsidP="009236E5">
            <w:pPr>
              <w:pStyle w:val="HTMLPreformatted"/>
              <w:spacing w:line="360" w:lineRule="auto"/>
              <w:jc w:val="center"/>
              <w:rPr>
                <w:rFonts w:asciiTheme="majorBidi" w:hAnsiTheme="majorBidi" w:cstheme="majorBidi"/>
                <w:sz w:val="24"/>
                <w:szCs w:val="24"/>
              </w:rPr>
            </w:pPr>
            <w:r>
              <w:rPr>
                <w:rFonts w:asciiTheme="majorBidi" w:hAnsiTheme="majorBidi" w:cstheme="majorBidi"/>
                <w:sz w:val="24"/>
                <w:szCs w:val="24"/>
              </w:rPr>
              <w:t>-0.016</w:t>
            </w:r>
          </w:p>
          <w:p w:rsidR="003F6E12" w:rsidRPr="00854E06" w:rsidRDefault="003F6E12" w:rsidP="009236E5">
            <w:pPr>
              <w:pStyle w:val="HTMLPreformatted"/>
              <w:spacing w:line="360" w:lineRule="auto"/>
              <w:jc w:val="center"/>
              <w:rPr>
                <w:rFonts w:asciiTheme="majorBidi" w:hAnsiTheme="majorBidi" w:cstheme="majorBidi"/>
                <w:sz w:val="24"/>
                <w:szCs w:val="24"/>
              </w:rPr>
            </w:pPr>
          </w:p>
        </w:tc>
        <w:tc>
          <w:tcPr>
            <w:tcW w:w="1397" w:type="dxa"/>
            <w:tcBorders>
              <w:bottom w:val="double" w:sz="4" w:space="0" w:color="auto"/>
            </w:tcBorders>
            <w:vAlign w:val="center"/>
          </w:tcPr>
          <w:p w:rsidR="003F6E12" w:rsidRPr="00854E06" w:rsidRDefault="00DA1C7A" w:rsidP="009236E5">
            <w:pPr>
              <w:pStyle w:val="HTMLPreformatted"/>
              <w:spacing w:line="360" w:lineRule="auto"/>
              <w:jc w:val="center"/>
              <w:rPr>
                <w:rFonts w:asciiTheme="majorBidi" w:hAnsiTheme="majorBidi" w:cstheme="majorBidi"/>
                <w:sz w:val="24"/>
                <w:szCs w:val="24"/>
              </w:rPr>
            </w:pPr>
            <w:r>
              <w:rPr>
                <w:rFonts w:asciiTheme="majorBidi" w:hAnsiTheme="majorBidi" w:cstheme="majorBidi"/>
                <w:sz w:val="24"/>
                <w:szCs w:val="24"/>
              </w:rPr>
              <w:t>0.073</w:t>
            </w:r>
          </w:p>
          <w:p w:rsidR="003F6E12" w:rsidRPr="00854E06" w:rsidRDefault="003F6E12" w:rsidP="009236E5">
            <w:pPr>
              <w:pStyle w:val="HTMLPreformatted"/>
              <w:spacing w:line="360" w:lineRule="auto"/>
              <w:jc w:val="center"/>
              <w:rPr>
                <w:rFonts w:asciiTheme="majorBidi" w:hAnsiTheme="majorBidi" w:cstheme="majorBidi"/>
                <w:sz w:val="24"/>
                <w:szCs w:val="24"/>
              </w:rPr>
            </w:pPr>
          </w:p>
        </w:tc>
        <w:tc>
          <w:tcPr>
            <w:tcW w:w="1296" w:type="dxa"/>
            <w:tcBorders>
              <w:bottom w:val="double" w:sz="4" w:space="0" w:color="auto"/>
            </w:tcBorders>
            <w:vAlign w:val="center"/>
          </w:tcPr>
          <w:p w:rsidR="003F6E12" w:rsidRPr="00854E06" w:rsidRDefault="00DA1C7A"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Pr>
                <w:rFonts w:asciiTheme="majorBidi" w:hAnsiTheme="majorBidi" w:cstheme="majorBidi"/>
                <w:sz w:val="24"/>
                <w:szCs w:val="24"/>
              </w:rPr>
              <w:t>0.287</w:t>
            </w:r>
          </w:p>
          <w:p w:rsidR="003F6E12" w:rsidRPr="00854E0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p>
        </w:tc>
        <w:tc>
          <w:tcPr>
            <w:tcW w:w="1013" w:type="dxa"/>
            <w:tcBorders>
              <w:bottom w:val="double" w:sz="4" w:space="0" w:color="auto"/>
            </w:tcBorders>
            <w:vAlign w:val="center"/>
          </w:tcPr>
          <w:p w:rsidR="003F6E12" w:rsidRPr="00854E06" w:rsidRDefault="00DA1C7A"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Pr>
                <w:rFonts w:asciiTheme="majorBidi" w:hAnsiTheme="majorBidi" w:cstheme="majorBidi"/>
                <w:sz w:val="24"/>
                <w:szCs w:val="24"/>
              </w:rPr>
              <w:t>-0.071</w:t>
            </w:r>
          </w:p>
          <w:p w:rsidR="003F6E12" w:rsidRPr="00854E0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p>
        </w:tc>
        <w:tc>
          <w:tcPr>
            <w:tcW w:w="1231" w:type="dxa"/>
            <w:tcBorders>
              <w:bottom w:val="double" w:sz="4" w:space="0" w:color="auto"/>
            </w:tcBorders>
            <w:vAlign w:val="center"/>
          </w:tcPr>
          <w:p w:rsidR="003F6E12" w:rsidRPr="00854E06" w:rsidRDefault="00DA1C7A"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Pr>
                <w:rFonts w:asciiTheme="majorBidi" w:hAnsiTheme="majorBidi" w:cstheme="majorBidi"/>
                <w:sz w:val="24"/>
                <w:szCs w:val="24"/>
              </w:rPr>
              <w:t>0.162</w:t>
            </w:r>
          </w:p>
          <w:p w:rsidR="003F6E12" w:rsidRPr="00854E0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p>
        </w:tc>
        <w:tc>
          <w:tcPr>
            <w:tcW w:w="1383" w:type="dxa"/>
            <w:tcBorders>
              <w:bottom w:val="double" w:sz="4" w:space="0" w:color="auto"/>
            </w:tcBorders>
            <w:vAlign w:val="center"/>
          </w:tcPr>
          <w:p w:rsidR="003F6E12" w:rsidRPr="00854E06" w:rsidRDefault="00DA1C7A"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Pr>
                <w:rFonts w:asciiTheme="majorBidi" w:hAnsiTheme="majorBidi" w:cstheme="majorBidi"/>
                <w:sz w:val="24"/>
                <w:szCs w:val="24"/>
              </w:rPr>
              <w:t>0.133</w:t>
            </w:r>
          </w:p>
          <w:p w:rsidR="003F6E12" w:rsidRPr="00854E06" w:rsidRDefault="003F6E12"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p>
        </w:tc>
      </w:tr>
      <w:tr w:rsidR="009236E5" w:rsidRPr="00854E06" w:rsidTr="00A1671B">
        <w:trPr>
          <w:trHeight w:val="627"/>
          <w:jc w:val="center"/>
        </w:trPr>
        <w:tc>
          <w:tcPr>
            <w:tcW w:w="2136" w:type="dxa"/>
            <w:gridSpan w:val="2"/>
            <w:tcBorders>
              <w:top w:val="double" w:sz="4" w:space="0" w:color="auto"/>
            </w:tcBorders>
          </w:tcPr>
          <w:p w:rsidR="009236E5" w:rsidRPr="00854E06" w:rsidRDefault="009236E5" w:rsidP="003F6E12">
            <w:pPr>
              <w:pStyle w:val="HTMLPreformatted"/>
              <w:tabs>
                <w:tab w:val="clear" w:pos="916"/>
              </w:tabs>
              <w:spacing w:line="360" w:lineRule="auto"/>
              <w:rPr>
                <w:rFonts w:asciiTheme="majorBidi" w:hAnsiTheme="majorBidi" w:cstheme="majorBidi"/>
                <w:sz w:val="24"/>
                <w:szCs w:val="24"/>
              </w:rPr>
            </w:pPr>
          </w:p>
        </w:tc>
        <w:tc>
          <w:tcPr>
            <w:tcW w:w="1012" w:type="dxa"/>
            <w:tcBorders>
              <w:top w:val="double" w:sz="4" w:space="0" w:color="auto"/>
            </w:tcBorders>
            <w:vAlign w:val="center"/>
          </w:tcPr>
          <w:p w:rsidR="009236E5" w:rsidRPr="003F6E12" w:rsidRDefault="009236E5" w:rsidP="009236E5">
            <w:pPr>
              <w:pStyle w:val="HTMLPreformatted"/>
              <w:tabs>
                <w:tab w:val="clear" w:pos="916"/>
              </w:tabs>
              <w:spacing w:line="360" w:lineRule="auto"/>
              <w:jc w:val="center"/>
              <w:rPr>
                <w:rFonts w:asciiTheme="majorBidi" w:hAnsiTheme="majorBidi" w:cstheme="majorBidi"/>
                <w:sz w:val="24"/>
                <w:szCs w:val="24"/>
              </w:rPr>
            </w:pPr>
            <w:r w:rsidRPr="003F6E12">
              <w:rPr>
                <w:rFonts w:asciiTheme="majorBidi" w:hAnsiTheme="majorBidi" w:cstheme="majorBidi"/>
                <w:sz w:val="24"/>
                <w:szCs w:val="24"/>
              </w:rPr>
              <w:t>July</w:t>
            </w:r>
          </w:p>
        </w:tc>
        <w:tc>
          <w:tcPr>
            <w:tcW w:w="1397" w:type="dxa"/>
            <w:tcBorders>
              <w:top w:val="double" w:sz="4" w:space="0" w:color="auto"/>
            </w:tcBorders>
            <w:vAlign w:val="center"/>
          </w:tcPr>
          <w:p w:rsidR="009236E5" w:rsidRPr="003F6E12" w:rsidRDefault="009236E5" w:rsidP="009236E5">
            <w:pPr>
              <w:pStyle w:val="HTMLPreformatted"/>
              <w:spacing w:line="360" w:lineRule="auto"/>
              <w:jc w:val="center"/>
              <w:rPr>
                <w:rFonts w:asciiTheme="majorBidi" w:hAnsiTheme="majorBidi" w:cstheme="majorBidi"/>
                <w:sz w:val="24"/>
                <w:szCs w:val="24"/>
              </w:rPr>
            </w:pPr>
            <w:r w:rsidRPr="003F6E12">
              <w:rPr>
                <w:rFonts w:asciiTheme="majorBidi" w:hAnsiTheme="majorBidi" w:cstheme="majorBidi"/>
                <w:sz w:val="24"/>
                <w:szCs w:val="24"/>
              </w:rPr>
              <w:t>August</w:t>
            </w:r>
          </w:p>
        </w:tc>
        <w:tc>
          <w:tcPr>
            <w:tcW w:w="1296" w:type="dxa"/>
            <w:tcBorders>
              <w:top w:val="double" w:sz="4" w:space="0" w:color="auto"/>
            </w:tcBorders>
            <w:vAlign w:val="center"/>
          </w:tcPr>
          <w:p w:rsidR="009236E5" w:rsidRPr="003F6E12" w:rsidRDefault="009236E5"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sidRPr="003F6E12">
              <w:rPr>
                <w:rFonts w:asciiTheme="majorBidi" w:hAnsiTheme="majorBidi" w:cstheme="majorBidi"/>
                <w:sz w:val="24"/>
                <w:szCs w:val="24"/>
              </w:rPr>
              <w:t>September</w:t>
            </w:r>
          </w:p>
        </w:tc>
        <w:tc>
          <w:tcPr>
            <w:tcW w:w="1013" w:type="dxa"/>
            <w:tcBorders>
              <w:top w:val="double" w:sz="4" w:space="0" w:color="auto"/>
            </w:tcBorders>
            <w:vAlign w:val="center"/>
          </w:tcPr>
          <w:p w:rsidR="009236E5" w:rsidRPr="003F6E12" w:rsidRDefault="009236E5"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sidRPr="003F6E12">
              <w:rPr>
                <w:rFonts w:asciiTheme="majorBidi" w:hAnsiTheme="majorBidi" w:cstheme="majorBidi"/>
                <w:sz w:val="24"/>
                <w:szCs w:val="24"/>
              </w:rPr>
              <w:t>October</w:t>
            </w:r>
          </w:p>
        </w:tc>
        <w:tc>
          <w:tcPr>
            <w:tcW w:w="1231" w:type="dxa"/>
            <w:tcBorders>
              <w:top w:val="double" w:sz="4" w:space="0" w:color="auto"/>
            </w:tcBorders>
            <w:vAlign w:val="center"/>
          </w:tcPr>
          <w:p w:rsidR="009236E5" w:rsidRPr="003F6E12" w:rsidRDefault="009236E5"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sidRPr="003F6E12">
              <w:rPr>
                <w:rFonts w:asciiTheme="majorBidi" w:hAnsiTheme="majorBidi" w:cstheme="majorBidi"/>
                <w:sz w:val="24"/>
                <w:szCs w:val="24"/>
              </w:rPr>
              <w:t>November</w:t>
            </w:r>
          </w:p>
        </w:tc>
        <w:tc>
          <w:tcPr>
            <w:tcW w:w="1383" w:type="dxa"/>
            <w:tcBorders>
              <w:top w:val="double" w:sz="4" w:space="0" w:color="auto"/>
            </w:tcBorders>
            <w:vAlign w:val="center"/>
          </w:tcPr>
          <w:p w:rsidR="009236E5" w:rsidRPr="003F6E12" w:rsidRDefault="009236E5"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sidRPr="003F6E12">
              <w:rPr>
                <w:rFonts w:asciiTheme="majorBidi" w:hAnsiTheme="majorBidi" w:cstheme="majorBidi"/>
                <w:sz w:val="24"/>
                <w:szCs w:val="24"/>
              </w:rPr>
              <w:t>December</w:t>
            </w:r>
          </w:p>
        </w:tc>
      </w:tr>
      <w:tr w:rsidR="00EC6E3E" w:rsidRPr="00854E06" w:rsidTr="009236E5">
        <w:trPr>
          <w:jc w:val="center"/>
        </w:trPr>
        <w:tc>
          <w:tcPr>
            <w:tcW w:w="1146" w:type="dxa"/>
          </w:tcPr>
          <w:p w:rsidR="00EC6E3E" w:rsidRPr="00854E06" w:rsidRDefault="00EC6E3E" w:rsidP="003F6E12">
            <w:pPr>
              <w:pStyle w:val="HTMLPreformatted"/>
              <w:spacing w:line="360" w:lineRule="auto"/>
              <w:rPr>
                <w:rFonts w:asciiTheme="majorBidi" w:hAnsiTheme="majorBidi" w:cstheme="majorBidi"/>
                <w:sz w:val="24"/>
                <w:szCs w:val="24"/>
              </w:rPr>
            </w:pPr>
            <m:oMath>
              <m:r>
                <w:rPr>
                  <w:rFonts w:ascii="Cambria Math" w:hAnsi="Cambria Math" w:cstheme="majorBidi"/>
                  <w:sz w:val="24"/>
                  <w:szCs w:val="24"/>
                </w:rPr>
                <m:t>a</m:t>
              </m:r>
            </m:oMath>
            <w:r w:rsidRPr="00854E06">
              <w:rPr>
                <w:rFonts w:asciiTheme="majorBidi" w:hAnsiTheme="majorBidi" w:cstheme="majorBidi"/>
                <w:sz w:val="24"/>
                <w:szCs w:val="24"/>
              </w:rPr>
              <w:t xml:space="preserve"> vs </w:t>
            </w:r>
            <m:oMath>
              <m:r>
                <w:rPr>
                  <w:rFonts w:ascii="Cambria Math" w:hAnsi="Cambria Math" w:cstheme="majorBidi"/>
                  <w:sz w:val="24"/>
                  <w:szCs w:val="24"/>
                </w:rPr>
                <m:t>Q</m:t>
              </m:r>
            </m:oMath>
          </w:p>
        </w:tc>
        <w:tc>
          <w:tcPr>
            <w:tcW w:w="990" w:type="dxa"/>
            <w:vMerge w:val="restart"/>
          </w:tcPr>
          <w:p w:rsidR="00EC6E3E" w:rsidRPr="00AA7076" w:rsidRDefault="00EC6E3E" w:rsidP="003F6E12">
            <w:pPr>
              <w:pStyle w:val="HTMLPreformatted"/>
              <w:tabs>
                <w:tab w:val="clear" w:pos="916"/>
              </w:tabs>
              <w:spacing w:line="360" w:lineRule="auto"/>
              <w:rPr>
                <w:rFonts w:asciiTheme="majorBidi" w:hAnsiTheme="majorBidi" w:cstheme="majorBidi"/>
                <w:b/>
                <w:bCs/>
                <w:sz w:val="24"/>
                <w:szCs w:val="24"/>
              </w:rPr>
            </w:pPr>
          </w:p>
        </w:tc>
        <w:tc>
          <w:tcPr>
            <w:tcW w:w="1012" w:type="dxa"/>
            <w:vAlign w:val="center"/>
          </w:tcPr>
          <w:p w:rsidR="00EC6E3E" w:rsidRPr="00AA7076" w:rsidRDefault="00DA1C7A" w:rsidP="009236E5">
            <w:pPr>
              <w:pStyle w:val="HTMLPreformatted"/>
              <w:tabs>
                <w:tab w:val="clear" w:pos="91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-0.634</w:t>
            </w:r>
          </w:p>
          <w:p w:rsidR="00EC6E3E" w:rsidRPr="00AA7076" w:rsidRDefault="00EC6E3E" w:rsidP="009236E5">
            <w:pPr>
              <w:pStyle w:val="HTMLPreformatted"/>
              <w:tabs>
                <w:tab w:val="clear" w:pos="91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w:t>
            </w:r>
          </w:p>
        </w:tc>
        <w:tc>
          <w:tcPr>
            <w:tcW w:w="1397" w:type="dxa"/>
            <w:vAlign w:val="center"/>
          </w:tcPr>
          <w:p w:rsidR="00EC6E3E" w:rsidRPr="00AA7076" w:rsidRDefault="00DA1C7A" w:rsidP="009236E5">
            <w:pPr>
              <w:pStyle w:val="HTMLPreformatted"/>
              <w:spacing w:line="360" w:lineRule="auto"/>
              <w:jc w:val="center"/>
              <w:rPr>
                <w:rFonts w:asciiTheme="majorBidi" w:hAnsiTheme="majorBidi" w:cstheme="majorBidi"/>
                <w:b/>
                <w:bCs/>
                <w:sz w:val="24"/>
                <w:szCs w:val="24"/>
              </w:rPr>
            </w:pPr>
            <w:r>
              <w:rPr>
                <w:rFonts w:asciiTheme="majorBidi" w:hAnsiTheme="majorBidi" w:cstheme="majorBidi"/>
                <w:b/>
                <w:bCs/>
                <w:sz w:val="24"/>
                <w:szCs w:val="24"/>
              </w:rPr>
              <w:t>-0.670</w:t>
            </w:r>
          </w:p>
          <w:p w:rsidR="00EC6E3E" w:rsidRPr="00AA7076" w:rsidRDefault="00EC6E3E" w:rsidP="009236E5">
            <w:pPr>
              <w:pStyle w:val="HTMLPreformatted"/>
              <w:spacing w:line="360" w:lineRule="auto"/>
              <w:jc w:val="center"/>
              <w:rPr>
                <w:rFonts w:asciiTheme="majorBidi" w:hAnsiTheme="majorBidi" w:cstheme="majorBidi"/>
                <w:b/>
                <w:bCs/>
                <w:sz w:val="24"/>
                <w:szCs w:val="24"/>
              </w:rPr>
            </w:pPr>
            <w:r>
              <w:rPr>
                <w:rFonts w:asciiTheme="majorBidi" w:hAnsiTheme="majorBidi" w:cstheme="majorBidi"/>
                <w:b/>
                <w:bCs/>
                <w:sz w:val="24"/>
                <w:szCs w:val="24"/>
              </w:rPr>
              <w:t>(***)</w:t>
            </w:r>
          </w:p>
        </w:tc>
        <w:tc>
          <w:tcPr>
            <w:tcW w:w="1296" w:type="dxa"/>
            <w:vAlign w:val="center"/>
          </w:tcPr>
          <w:p w:rsidR="00EC6E3E" w:rsidRPr="00AA7076" w:rsidRDefault="00DA1C7A"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-0.698</w:t>
            </w:r>
          </w:p>
          <w:p w:rsidR="00EC6E3E" w:rsidRPr="00AA7076" w:rsidRDefault="00EC6E3E"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w:t>
            </w:r>
          </w:p>
        </w:tc>
        <w:tc>
          <w:tcPr>
            <w:tcW w:w="1013" w:type="dxa"/>
            <w:vAlign w:val="center"/>
          </w:tcPr>
          <w:p w:rsidR="00EC6E3E" w:rsidRPr="00AA7076" w:rsidRDefault="00EC6E3E"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sidRPr="00AA7076">
              <w:rPr>
                <w:rFonts w:asciiTheme="majorBidi" w:hAnsiTheme="majorBidi" w:cstheme="majorBidi"/>
                <w:b/>
                <w:bCs/>
                <w:sz w:val="24"/>
                <w:szCs w:val="24"/>
              </w:rPr>
              <w:t>-0.747</w:t>
            </w:r>
          </w:p>
          <w:p w:rsidR="00EC6E3E" w:rsidRPr="00AA7076" w:rsidRDefault="00EC6E3E"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w:t>
            </w:r>
          </w:p>
        </w:tc>
        <w:tc>
          <w:tcPr>
            <w:tcW w:w="1231" w:type="dxa"/>
            <w:vAlign w:val="center"/>
          </w:tcPr>
          <w:p w:rsidR="00EC6E3E" w:rsidRPr="00AA7076" w:rsidRDefault="00DA1C7A"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-0.699</w:t>
            </w:r>
          </w:p>
          <w:p w:rsidR="00EC6E3E" w:rsidRPr="00AA7076" w:rsidRDefault="00EC6E3E"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w:t>
            </w:r>
          </w:p>
        </w:tc>
        <w:tc>
          <w:tcPr>
            <w:tcW w:w="1383" w:type="dxa"/>
            <w:vAlign w:val="center"/>
          </w:tcPr>
          <w:p w:rsidR="00EC6E3E" w:rsidRPr="00AA7076" w:rsidRDefault="00DA1C7A"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-0.558</w:t>
            </w:r>
          </w:p>
          <w:p w:rsidR="00EC6E3E" w:rsidRPr="00AA7076" w:rsidRDefault="00EC6E3E"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w:t>
            </w:r>
          </w:p>
        </w:tc>
      </w:tr>
      <w:tr w:rsidR="00EC6E3E" w:rsidRPr="00854E06" w:rsidTr="009236E5">
        <w:trPr>
          <w:trHeight w:val="584"/>
          <w:jc w:val="center"/>
        </w:trPr>
        <w:tc>
          <w:tcPr>
            <w:tcW w:w="1146" w:type="dxa"/>
          </w:tcPr>
          <w:p w:rsidR="00EC6E3E" w:rsidRPr="00854E06" w:rsidRDefault="00EC6E3E" w:rsidP="003F6E12">
            <w:pPr>
              <w:pStyle w:val="HTMLPreformatted"/>
              <w:spacing w:line="360" w:lineRule="auto"/>
              <w:rPr>
                <w:rFonts w:asciiTheme="majorBidi" w:hAnsiTheme="majorBidi" w:cstheme="majorBidi"/>
                <w:sz w:val="24"/>
                <w:szCs w:val="24"/>
              </w:rPr>
            </w:pPr>
            <m:oMath>
              <m:r>
                <w:rPr>
                  <w:rFonts w:ascii="Cambria Math" w:hAnsi="Cambria Math" w:cstheme="majorBidi"/>
                  <w:sz w:val="24"/>
                  <w:szCs w:val="24"/>
                </w:rPr>
                <m:t>b</m:t>
              </m:r>
            </m:oMath>
            <w:r w:rsidRPr="00854E06">
              <w:rPr>
                <w:rFonts w:asciiTheme="majorBidi" w:hAnsiTheme="majorBidi" w:cstheme="majorBidi"/>
                <w:sz w:val="24"/>
                <w:szCs w:val="24"/>
              </w:rPr>
              <w:t xml:space="preserve"> vs </w:t>
            </w:r>
            <m:oMath>
              <m:r>
                <w:rPr>
                  <w:rFonts w:ascii="Cambria Math" w:hAnsi="Cambria Math" w:cstheme="majorBidi"/>
                  <w:sz w:val="24"/>
                  <w:szCs w:val="24"/>
                </w:rPr>
                <m:t>Q</m:t>
              </m:r>
            </m:oMath>
          </w:p>
        </w:tc>
        <w:tc>
          <w:tcPr>
            <w:tcW w:w="990" w:type="dxa"/>
            <w:vMerge/>
          </w:tcPr>
          <w:p w:rsidR="00EC6E3E" w:rsidRPr="00854E06" w:rsidRDefault="00EC6E3E" w:rsidP="003F6E12">
            <w:pPr>
              <w:pStyle w:val="HTMLPreformatted"/>
              <w:tabs>
                <w:tab w:val="clear" w:pos="916"/>
              </w:tabs>
              <w:spacing w:line="360" w:lineRule="auto"/>
              <w:rPr>
                <w:rFonts w:asciiTheme="majorBidi" w:hAnsiTheme="majorBidi" w:cstheme="majorBidi"/>
                <w:sz w:val="24"/>
                <w:szCs w:val="24"/>
              </w:rPr>
            </w:pPr>
          </w:p>
        </w:tc>
        <w:tc>
          <w:tcPr>
            <w:tcW w:w="1012" w:type="dxa"/>
            <w:vAlign w:val="center"/>
          </w:tcPr>
          <w:p w:rsidR="00EC6E3E" w:rsidRPr="00854E06" w:rsidRDefault="00DA1C7A" w:rsidP="009236E5">
            <w:pPr>
              <w:pStyle w:val="HTMLPreformatted"/>
              <w:tabs>
                <w:tab w:val="clear" w:pos="916"/>
              </w:tabs>
              <w:spacing w:line="360" w:lineRule="auto"/>
              <w:jc w:val="center"/>
              <w:rPr>
                <w:rFonts w:asciiTheme="majorBidi" w:hAnsiTheme="majorBidi" w:cstheme="majorBidi"/>
                <w:sz w:val="24"/>
                <w:szCs w:val="24"/>
              </w:rPr>
            </w:pPr>
            <w:r>
              <w:rPr>
                <w:rFonts w:asciiTheme="majorBidi" w:hAnsiTheme="majorBidi" w:cstheme="majorBidi"/>
                <w:sz w:val="24"/>
                <w:szCs w:val="24"/>
              </w:rPr>
              <w:t>0.179</w:t>
            </w:r>
          </w:p>
          <w:p w:rsidR="00EC6E3E" w:rsidRPr="00854E06" w:rsidRDefault="00EC6E3E" w:rsidP="009236E5">
            <w:pPr>
              <w:pStyle w:val="HTMLPreformatted"/>
              <w:tabs>
                <w:tab w:val="clear" w:pos="916"/>
              </w:tabs>
              <w:spacing w:line="360" w:lineRule="auto"/>
              <w:jc w:val="center"/>
              <w:rPr>
                <w:rFonts w:asciiTheme="majorBidi" w:hAnsiTheme="majorBidi" w:cstheme="majorBidi"/>
                <w:sz w:val="24"/>
                <w:szCs w:val="24"/>
              </w:rPr>
            </w:pPr>
          </w:p>
        </w:tc>
        <w:tc>
          <w:tcPr>
            <w:tcW w:w="1397" w:type="dxa"/>
            <w:vAlign w:val="center"/>
          </w:tcPr>
          <w:p w:rsidR="00EC6E3E" w:rsidRPr="00854E06" w:rsidRDefault="00DA1C7A" w:rsidP="009236E5">
            <w:pPr>
              <w:pStyle w:val="HTMLPreformatted"/>
              <w:spacing w:line="360" w:lineRule="auto"/>
              <w:jc w:val="center"/>
              <w:rPr>
                <w:rFonts w:asciiTheme="majorBidi" w:hAnsiTheme="majorBidi" w:cstheme="majorBidi"/>
                <w:sz w:val="24"/>
                <w:szCs w:val="24"/>
              </w:rPr>
            </w:pPr>
            <w:r>
              <w:rPr>
                <w:rFonts w:asciiTheme="majorBidi" w:hAnsiTheme="majorBidi" w:cstheme="majorBidi"/>
                <w:sz w:val="24"/>
                <w:szCs w:val="24"/>
              </w:rPr>
              <w:t>0.127</w:t>
            </w:r>
          </w:p>
          <w:p w:rsidR="00EC6E3E" w:rsidRPr="00854E06" w:rsidRDefault="00EC6E3E" w:rsidP="009236E5">
            <w:pPr>
              <w:pStyle w:val="HTMLPreformatted"/>
              <w:spacing w:line="360" w:lineRule="auto"/>
              <w:jc w:val="center"/>
              <w:rPr>
                <w:rFonts w:asciiTheme="majorBidi" w:hAnsiTheme="majorBidi" w:cstheme="majorBidi"/>
                <w:sz w:val="24"/>
                <w:szCs w:val="24"/>
              </w:rPr>
            </w:pPr>
          </w:p>
        </w:tc>
        <w:tc>
          <w:tcPr>
            <w:tcW w:w="1296" w:type="dxa"/>
            <w:vAlign w:val="center"/>
          </w:tcPr>
          <w:p w:rsidR="00EC6E3E" w:rsidRPr="00854E06" w:rsidRDefault="00DA1C7A"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Pr>
                <w:rFonts w:asciiTheme="majorBidi" w:hAnsiTheme="majorBidi" w:cstheme="majorBidi"/>
                <w:sz w:val="24"/>
                <w:szCs w:val="24"/>
              </w:rPr>
              <w:t>0.156</w:t>
            </w:r>
          </w:p>
          <w:p w:rsidR="00EC6E3E" w:rsidRPr="00854E06" w:rsidRDefault="00EC6E3E"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p>
        </w:tc>
        <w:tc>
          <w:tcPr>
            <w:tcW w:w="1013" w:type="dxa"/>
            <w:vAlign w:val="center"/>
          </w:tcPr>
          <w:p w:rsidR="00EC6E3E" w:rsidRPr="00854E06" w:rsidRDefault="00DA1C7A"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Pr>
                <w:rFonts w:asciiTheme="majorBidi" w:hAnsiTheme="majorBidi" w:cstheme="majorBidi"/>
                <w:sz w:val="24"/>
                <w:szCs w:val="24"/>
              </w:rPr>
              <w:t>0.237</w:t>
            </w:r>
          </w:p>
          <w:p w:rsidR="00EC6E3E" w:rsidRPr="00854E06" w:rsidRDefault="00EC6E3E"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p>
        </w:tc>
        <w:tc>
          <w:tcPr>
            <w:tcW w:w="1231" w:type="dxa"/>
            <w:vAlign w:val="center"/>
          </w:tcPr>
          <w:p w:rsidR="00EC6E3E" w:rsidRPr="00854E06" w:rsidRDefault="00DA1C7A"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Pr>
                <w:rFonts w:asciiTheme="majorBidi" w:hAnsiTheme="majorBidi" w:cstheme="majorBidi"/>
                <w:sz w:val="24"/>
                <w:szCs w:val="24"/>
              </w:rPr>
              <w:t>0.089</w:t>
            </w:r>
          </w:p>
          <w:p w:rsidR="00EC6E3E" w:rsidRPr="00854E06" w:rsidRDefault="00EC6E3E"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p>
        </w:tc>
        <w:tc>
          <w:tcPr>
            <w:tcW w:w="1383" w:type="dxa"/>
            <w:vAlign w:val="center"/>
          </w:tcPr>
          <w:p w:rsidR="00EC6E3E" w:rsidRPr="00854E06" w:rsidRDefault="00DA1C7A"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r>
              <w:rPr>
                <w:rFonts w:asciiTheme="majorBidi" w:hAnsiTheme="majorBidi" w:cstheme="majorBidi"/>
                <w:sz w:val="24"/>
                <w:szCs w:val="24"/>
              </w:rPr>
              <w:t>0.059</w:t>
            </w:r>
          </w:p>
          <w:p w:rsidR="00EC6E3E" w:rsidRPr="00854E06" w:rsidRDefault="00EC6E3E" w:rsidP="009236E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jc w:val="center"/>
              <w:rPr>
                <w:rFonts w:asciiTheme="majorBidi" w:hAnsiTheme="majorBidi" w:cstheme="majorBidi"/>
                <w:sz w:val="24"/>
                <w:szCs w:val="24"/>
              </w:rPr>
            </w:pPr>
          </w:p>
        </w:tc>
      </w:tr>
    </w:tbl>
    <w:p w:rsidR="00025130" w:rsidRPr="00854E06" w:rsidRDefault="00025130" w:rsidP="007D6D8C">
      <w:pPr>
        <w:pStyle w:val="HTMLPreformatted"/>
        <w:spacing w:before="120" w:line="480" w:lineRule="auto"/>
        <w:ind w:left="1714"/>
        <w:rPr>
          <w:rFonts w:asciiTheme="majorBidi" w:hAnsiTheme="majorBidi" w:cstheme="majorBidi"/>
          <w:sz w:val="24"/>
          <w:szCs w:val="24"/>
        </w:rPr>
      </w:pPr>
      <w:r>
        <w:rPr>
          <w:rFonts w:asciiTheme="majorBidi" w:hAnsiTheme="majorBidi" w:cstheme="majorBidi"/>
          <w:sz w:val="24"/>
          <w:szCs w:val="24"/>
        </w:rPr>
        <w:t>(***)</w:t>
      </w:r>
      <w:r w:rsidRPr="00854E06">
        <w:rPr>
          <w:rFonts w:asciiTheme="majorBidi" w:hAnsiTheme="majorBidi" w:cstheme="majorBidi"/>
          <w:sz w:val="24"/>
          <w:szCs w:val="24"/>
        </w:rPr>
        <w:t>: P &lt;0.001</w:t>
      </w:r>
    </w:p>
    <w:p w:rsidR="00025130" w:rsidRPr="00854E06" w:rsidRDefault="00025130" w:rsidP="007D6D8C">
      <w:pPr>
        <w:pStyle w:val="HTMLPreformatted"/>
        <w:spacing w:line="480" w:lineRule="auto"/>
        <w:ind w:left="1710"/>
        <w:rPr>
          <w:rFonts w:asciiTheme="majorBidi" w:hAnsiTheme="majorBidi" w:cstheme="majorBidi"/>
          <w:sz w:val="24"/>
          <w:szCs w:val="24"/>
        </w:rPr>
      </w:pPr>
      <w:r w:rsidRPr="00854E06">
        <w:rPr>
          <w:rFonts w:asciiTheme="majorBidi" w:hAnsiTheme="majorBidi" w:cstheme="majorBidi"/>
          <w:sz w:val="24"/>
          <w:szCs w:val="24"/>
        </w:rPr>
        <w:t xml:space="preserve"> (*): P &lt; 0.05</w:t>
      </w:r>
    </w:p>
    <w:p w:rsidR="00025130" w:rsidRPr="00854E06" w:rsidRDefault="00025130" w:rsidP="00025130">
      <w:pPr>
        <w:pStyle w:val="Caption"/>
        <w:keepNext/>
        <w:jc w:val="center"/>
        <w:rPr>
          <w:rFonts w:cstheme="majorBidi"/>
          <w:color w:val="auto"/>
          <w:sz w:val="24"/>
          <w:szCs w:val="24"/>
        </w:rPr>
      </w:pPr>
      <w:r w:rsidRPr="00854E06">
        <w:rPr>
          <w:rFonts w:cstheme="majorBidi"/>
        </w:rPr>
        <w:br w:type="page"/>
      </w:r>
      <w:bookmarkStart w:id="89" w:name="_Toc394005471"/>
      <w:proofErr w:type="gramStart"/>
      <w:r w:rsidRPr="00854E06">
        <w:rPr>
          <w:rFonts w:cstheme="majorBidi"/>
          <w:color w:val="auto"/>
          <w:sz w:val="24"/>
          <w:szCs w:val="24"/>
        </w:rPr>
        <w:lastRenderedPageBreak/>
        <w:t xml:space="preserve">Table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Table_5_- \* ARABIC </w:instrText>
      </w:r>
      <w:r w:rsidR="00F41E6A" w:rsidRPr="00854E06">
        <w:rPr>
          <w:rFonts w:cstheme="majorBidi"/>
          <w:color w:val="auto"/>
          <w:sz w:val="24"/>
          <w:szCs w:val="24"/>
        </w:rPr>
        <w:fldChar w:fldCharType="separate"/>
      </w:r>
      <w:r w:rsidR="008E2F67">
        <w:rPr>
          <w:rFonts w:cstheme="majorBidi"/>
          <w:noProof/>
          <w:color w:val="auto"/>
          <w:sz w:val="24"/>
          <w:szCs w:val="24"/>
        </w:rPr>
        <w:t>5</w:t>
      </w:r>
      <w:r w:rsidR="00F41E6A" w:rsidRPr="00854E06">
        <w:rPr>
          <w:rFonts w:cstheme="majorBidi"/>
          <w:color w:val="auto"/>
          <w:sz w:val="24"/>
          <w:szCs w:val="24"/>
        </w:rPr>
        <w:fldChar w:fldCharType="end"/>
      </w:r>
      <w:r w:rsidRPr="00854E06">
        <w:rPr>
          <w:rFonts w:cstheme="majorBidi"/>
          <w:color w:val="auto"/>
          <w:sz w:val="24"/>
          <w:szCs w:val="24"/>
        </w:rPr>
        <w:t>.</w:t>
      </w:r>
      <w:proofErr w:type="gramEnd"/>
      <w:r w:rsidRPr="00854E06">
        <w:rPr>
          <w:rFonts w:cstheme="majorBidi"/>
          <w:color w:val="auto"/>
          <w:sz w:val="24"/>
          <w:szCs w:val="24"/>
        </w:rPr>
        <w:t xml:space="preserve"> Pre- and post-dam stations associated with the dams used in the study</w:t>
      </w:r>
      <w:bookmarkEnd w:id="89"/>
    </w:p>
    <w:tbl>
      <w:tblPr>
        <w:tblW w:w="0" w:type="auto"/>
        <w:jc w:val="center"/>
        <w:tblInd w:w="-2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2208"/>
        <w:gridCol w:w="2099"/>
        <w:gridCol w:w="2261"/>
        <w:gridCol w:w="2100"/>
        <w:gridCol w:w="2251"/>
      </w:tblGrid>
      <w:tr w:rsidR="00025130" w:rsidRPr="00854E06" w:rsidTr="00EC6E3E">
        <w:trPr>
          <w:trHeight w:val="773"/>
          <w:jc w:val="center"/>
        </w:trPr>
        <w:tc>
          <w:tcPr>
            <w:tcW w:w="1818" w:type="dxa"/>
            <w:vMerge w:val="restart"/>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b/>
                <w:bCs/>
                <w:sz w:val="24"/>
                <w:szCs w:val="24"/>
              </w:rPr>
            </w:pPr>
            <w:r w:rsidRPr="00854E06">
              <w:rPr>
                <w:rFonts w:asciiTheme="majorBidi" w:hAnsiTheme="majorBidi" w:cstheme="majorBidi"/>
                <w:b/>
                <w:bCs/>
                <w:sz w:val="24"/>
                <w:szCs w:val="24"/>
              </w:rPr>
              <w:t>Dam</w:t>
            </w:r>
          </w:p>
        </w:tc>
        <w:tc>
          <w:tcPr>
            <w:tcW w:w="2208" w:type="dxa"/>
            <w:vMerge w:val="restart"/>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b/>
                <w:bCs/>
                <w:sz w:val="24"/>
                <w:szCs w:val="24"/>
              </w:rPr>
            </w:pPr>
            <w:r w:rsidRPr="00854E06">
              <w:rPr>
                <w:rFonts w:asciiTheme="majorBidi" w:hAnsiTheme="majorBidi" w:cstheme="majorBidi"/>
                <w:b/>
                <w:bCs/>
                <w:sz w:val="24"/>
                <w:szCs w:val="24"/>
              </w:rPr>
              <w:t>Type of dams</w:t>
            </w:r>
          </w:p>
        </w:tc>
        <w:tc>
          <w:tcPr>
            <w:tcW w:w="4360" w:type="dxa"/>
            <w:gridSpan w:val="2"/>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b/>
                <w:bCs/>
                <w:sz w:val="24"/>
                <w:szCs w:val="24"/>
              </w:rPr>
            </w:pPr>
            <w:r w:rsidRPr="00854E06">
              <w:rPr>
                <w:rFonts w:asciiTheme="majorBidi" w:hAnsiTheme="majorBidi" w:cstheme="majorBidi"/>
                <w:b/>
                <w:bCs/>
                <w:sz w:val="24"/>
                <w:szCs w:val="24"/>
              </w:rPr>
              <w:t xml:space="preserve">Pre-dam station </w:t>
            </w:r>
          </w:p>
        </w:tc>
        <w:tc>
          <w:tcPr>
            <w:tcW w:w="4351" w:type="dxa"/>
            <w:gridSpan w:val="2"/>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b/>
                <w:bCs/>
                <w:sz w:val="24"/>
                <w:szCs w:val="24"/>
              </w:rPr>
            </w:pPr>
            <w:r w:rsidRPr="00854E06">
              <w:rPr>
                <w:rFonts w:asciiTheme="majorBidi" w:hAnsiTheme="majorBidi" w:cstheme="majorBidi"/>
                <w:b/>
                <w:bCs/>
                <w:sz w:val="24"/>
                <w:szCs w:val="24"/>
              </w:rPr>
              <w:t xml:space="preserve">Post-dam station </w:t>
            </w:r>
          </w:p>
        </w:tc>
      </w:tr>
      <w:tr w:rsidR="00025130" w:rsidRPr="00854E06" w:rsidTr="00EC6E3E">
        <w:trPr>
          <w:trHeight w:val="773"/>
          <w:jc w:val="center"/>
        </w:trPr>
        <w:tc>
          <w:tcPr>
            <w:tcW w:w="1818" w:type="dxa"/>
            <w:vMerge/>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b/>
                <w:bCs/>
                <w:sz w:val="24"/>
                <w:szCs w:val="24"/>
              </w:rPr>
            </w:pPr>
          </w:p>
        </w:tc>
        <w:tc>
          <w:tcPr>
            <w:tcW w:w="2208" w:type="dxa"/>
            <w:vMerge/>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b/>
                <w:bCs/>
                <w:sz w:val="24"/>
                <w:szCs w:val="24"/>
              </w:rPr>
            </w:pPr>
          </w:p>
        </w:tc>
        <w:tc>
          <w:tcPr>
            <w:tcW w:w="2099"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b/>
                <w:bCs/>
                <w:sz w:val="24"/>
                <w:szCs w:val="24"/>
              </w:rPr>
            </w:pPr>
            <w:r w:rsidRPr="00854E06">
              <w:rPr>
                <w:rFonts w:asciiTheme="majorBidi" w:hAnsiTheme="majorBidi" w:cstheme="majorBidi"/>
                <w:b/>
                <w:bCs/>
                <w:sz w:val="24"/>
                <w:szCs w:val="24"/>
              </w:rPr>
              <w:t>Station code</w:t>
            </w:r>
          </w:p>
        </w:tc>
        <w:tc>
          <w:tcPr>
            <w:tcW w:w="2261"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b/>
                <w:bCs/>
                <w:sz w:val="24"/>
                <w:szCs w:val="24"/>
              </w:rPr>
            </w:pPr>
            <w:r w:rsidRPr="00854E06">
              <w:rPr>
                <w:rFonts w:asciiTheme="majorBidi" w:hAnsiTheme="majorBidi" w:cstheme="majorBidi"/>
                <w:b/>
                <w:bCs/>
                <w:sz w:val="24"/>
                <w:szCs w:val="24"/>
              </w:rPr>
              <w:t>Distance to the dam</w:t>
            </w:r>
          </w:p>
        </w:tc>
        <w:tc>
          <w:tcPr>
            <w:tcW w:w="2100"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b/>
                <w:bCs/>
                <w:sz w:val="24"/>
                <w:szCs w:val="24"/>
              </w:rPr>
            </w:pPr>
            <w:r w:rsidRPr="00854E06">
              <w:rPr>
                <w:rFonts w:asciiTheme="majorBidi" w:hAnsiTheme="majorBidi" w:cstheme="majorBidi"/>
                <w:b/>
                <w:bCs/>
                <w:sz w:val="24"/>
                <w:szCs w:val="24"/>
              </w:rPr>
              <w:t>Station code</w:t>
            </w:r>
          </w:p>
        </w:tc>
        <w:tc>
          <w:tcPr>
            <w:tcW w:w="2251"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b/>
                <w:bCs/>
                <w:sz w:val="24"/>
                <w:szCs w:val="24"/>
              </w:rPr>
            </w:pPr>
            <w:r w:rsidRPr="00854E06">
              <w:rPr>
                <w:rFonts w:asciiTheme="majorBidi" w:hAnsiTheme="majorBidi" w:cstheme="majorBidi"/>
                <w:b/>
                <w:bCs/>
                <w:sz w:val="24"/>
                <w:szCs w:val="24"/>
              </w:rPr>
              <w:t>Distance to the dam</w:t>
            </w:r>
          </w:p>
        </w:tc>
      </w:tr>
      <w:tr w:rsidR="00025130" w:rsidRPr="00854E06" w:rsidTr="00EC6E3E">
        <w:trPr>
          <w:jc w:val="center"/>
        </w:trPr>
        <w:tc>
          <w:tcPr>
            <w:tcW w:w="1818"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rPr>
                <w:rFonts w:asciiTheme="majorBidi" w:hAnsiTheme="majorBidi" w:cstheme="majorBidi"/>
                <w:sz w:val="24"/>
                <w:szCs w:val="24"/>
              </w:rPr>
            </w:pPr>
            <w:r w:rsidRPr="00854E06">
              <w:rPr>
                <w:rFonts w:asciiTheme="majorBidi" w:hAnsiTheme="majorBidi" w:cstheme="majorBidi"/>
                <w:sz w:val="24"/>
                <w:szCs w:val="24"/>
              </w:rPr>
              <w:t>Blanchard</w:t>
            </w:r>
          </w:p>
        </w:tc>
        <w:tc>
          <w:tcPr>
            <w:tcW w:w="2208"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Hydroelectric dam</w:t>
            </w:r>
          </w:p>
        </w:tc>
        <w:tc>
          <w:tcPr>
            <w:tcW w:w="2099"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07010104-10001</w:t>
            </w:r>
            <w:r w:rsidRPr="00854E06">
              <w:rPr>
                <w:rFonts w:asciiTheme="majorBidi" w:hAnsiTheme="majorBidi" w:cstheme="majorBidi"/>
                <w:sz w:val="24"/>
                <w:szCs w:val="24"/>
                <w:vertAlign w:val="superscript"/>
              </w:rPr>
              <w:t>a</w:t>
            </w:r>
          </w:p>
        </w:tc>
        <w:tc>
          <w:tcPr>
            <w:tcW w:w="2261"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42.95 km</w:t>
            </w:r>
          </w:p>
        </w:tc>
        <w:tc>
          <w:tcPr>
            <w:tcW w:w="2100"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07010104-10003</w:t>
            </w:r>
          </w:p>
        </w:tc>
        <w:tc>
          <w:tcPr>
            <w:tcW w:w="2251"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0.2 km</w:t>
            </w:r>
          </w:p>
        </w:tc>
      </w:tr>
      <w:tr w:rsidR="00EC6E3E" w:rsidRPr="00854E06" w:rsidTr="00EC6E3E">
        <w:trPr>
          <w:jc w:val="center"/>
        </w:trPr>
        <w:tc>
          <w:tcPr>
            <w:tcW w:w="1818" w:type="dxa"/>
            <w:vMerge w:val="restart"/>
            <w:vAlign w:val="center"/>
          </w:tcPr>
          <w:p w:rsidR="00EC6E3E" w:rsidRPr="00854E06" w:rsidRDefault="00EC6E3E"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rPr>
                <w:rFonts w:asciiTheme="majorBidi" w:hAnsiTheme="majorBidi" w:cstheme="majorBidi"/>
                <w:sz w:val="24"/>
                <w:szCs w:val="24"/>
              </w:rPr>
            </w:pPr>
            <w:r w:rsidRPr="00854E06">
              <w:rPr>
                <w:rFonts w:asciiTheme="majorBidi" w:hAnsiTheme="majorBidi" w:cstheme="majorBidi"/>
                <w:sz w:val="24"/>
                <w:szCs w:val="24"/>
              </w:rPr>
              <w:t xml:space="preserve">Coon Rapids </w:t>
            </w:r>
          </w:p>
        </w:tc>
        <w:tc>
          <w:tcPr>
            <w:tcW w:w="2208" w:type="dxa"/>
            <w:vMerge w:val="restart"/>
            <w:vAlign w:val="center"/>
          </w:tcPr>
          <w:p w:rsidR="00EC6E3E" w:rsidRPr="00854E06" w:rsidRDefault="00EC6E3E"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Hydroelectric dam</w:t>
            </w:r>
          </w:p>
        </w:tc>
        <w:tc>
          <w:tcPr>
            <w:tcW w:w="2099" w:type="dxa"/>
            <w:vAlign w:val="center"/>
          </w:tcPr>
          <w:p w:rsidR="00EC6E3E" w:rsidRPr="00854E06" w:rsidRDefault="00EC6E3E"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07010206-10009</w:t>
            </w:r>
          </w:p>
        </w:tc>
        <w:tc>
          <w:tcPr>
            <w:tcW w:w="2261" w:type="dxa"/>
            <w:vMerge w:val="restart"/>
            <w:vAlign w:val="center"/>
          </w:tcPr>
          <w:p w:rsidR="00EC6E3E" w:rsidRPr="00854E06" w:rsidRDefault="00EC6E3E"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8.75 km</w:t>
            </w:r>
          </w:p>
        </w:tc>
        <w:tc>
          <w:tcPr>
            <w:tcW w:w="2100" w:type="dxa"/>
            <w:vAlign w:val="center"/>
          </w:tcPr>
          <w:p w:rsidR="00EC6E3E" w:rsidRPr="00854E06" w:rsidRDefault="00EC6E3E"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07010206-10013</w:t>
            </w:r>
          </w:p>
        </w:tc>
        <w:tc>
          <w:tcPr>
            <w:tcW w:w="2251" w:type="dxa"/>
            <w:vAlign w:val="center"/>
          </w:tcPr>
          <w:p w:rsidR="00EC6E3E" w:rsidRPr="00854E06" w:rsidRDefault="00EC6E3E"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12 km</w:t>
            </w:r>
          </w:p>
        </w:tc>
      </w:tr>
      <w:tr w:rsidR="00EC6E3E" w:rsidRPr="00854E06" w:rsidTr="00EC6E3E">
        <w:trPr>
          <w:jc w:val="center"/>
        </w:trPr>
        <w:tc>
          <w:tcPr>
            <w:tcW w:w="1818" w:type="dxa"/>
            <w:vMerge/>
            <w:vAlign w:val="center"/>
          </w:tcPr>
          <w:p w:rsidR="00EC6E3E" w:rsidRPr="00854E06" w:rsidRDefault="00EC6E3E"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rPr>
                <w:rFonts w:asciiTheme="majorBidi" w:hAnsiTheme="majorBidi" w:cstheme="majorBidi"/>
                <w:sz w:val="24"/>
                <w:szCs w:val="24"/>
              </w:rPr>
            </w:pPr>
          </w:p>
        </w:tc>
        <w:tc>
          <w:tcPr>
            <w:tcW w:w="2208" w:type="dxa"/>
            <w:vMerge/>
            <w:vAlign w:val="center"/>
          </w:tcPr>
          <w:p w:rsidR="00EC6E3E" w:rsidRPr="00854E06" w:rsidRDefault="00EC6E3E"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p>
        </w:tc>
        <w:tc>
          <w:tcPr>
            <w:tcW w:w="2099" w:type="dxa"/>
            <w:vAlign w:val="center"/>
          </w:tcPr>
          <w:p w:rsidR="00EC6E3E" w:rsidRPr="00854E06" w:rsidRDefault="00EC6E3E"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07010206-10009</w:t>
            </w:r>
          </w:p>
        </w:tc>
        <w:tc>
          <w:tcPr>
            <w:tcW w:w="2261" w:type="dxa"/>
            <w:vMerge/>
            <w:vAlign w:val="center"/>
          </w:tcPr>
          <w:p w:rsidR="00EC6E3E" w:rsidRPr="00854E06" w:rsidRDefault="00EC6E3E"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p>
        </w:tc>
        <w:tc>
          <w:tcPr>
            <w:tcW w:w="2100" w:type="dxa"/>
            <w:vAlign w:val="center"/>
          </w:tcPr>
          <w:p w:rsidR="00EC6E3E" w:rsidRPr="00854E06" w:rsidRDefault="00EC6E3E"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 xml:space="preserve">07010206-10011 </w:t>
            </w:r>
          </w:p>
        </w:tc>
        <w:tc>
          <w:tcPr>
            <w:tcW w:w="2251" w:type="dxa"/>
            <w:vAlign w:val="center"/>
          </w:tcPr>
          <w:p w:rsidR="00EC6E3E" w:rsidRPr="00854E06" w:rsidRDefault="00EC6E3E"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30.1 km</w:t>
            </w:r>
          </w:p>
        </w:tc>
      </w:tr>
      <w:tr w:rsidR="00025130" w:rsidRPr="00854E06" w:rsidTr="00EC6E3E">
        <w:trPr>
          <w:jc w:val="center"/>
        </w:trPr>
        <w:tc>
          <w:tcPr>
            <w:tcW w:w="1818"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rPr>
                <w:rFonts w:asciiTheme="majorBidi" w:hAnsiTheme="majorBidi" w:cstheme="majorBidi"/>
                <w:sz w:val="24"/>
                <w:szCs w:val="24"/>
              </w:rPr>
            </w:pPr>
            <w:r w:rsidRPr="00854E06">
              <w:rPr>
                <w:rFonts w:asciiTheme="majorBidi" w:hAnsiTheme="majorBidi" w:cstheme="majorBidi"/>
                <w:sz w:val="24"/>
                <w:szCs w:val="24"/>
              </w:rPr>
              <w:t>Lock and Dam Number Two</w:t>
            </w:r>
          </w:p>
        </w:tc>
        <w:tc>
          <w:tcPr>
            <w:tcW w:w="2208"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Hydroelectric dam</w:t>
            </w:r>
          </w:p>
        </w:tc>
        <w:tc>
          <w:tcPr>
            <w:tcW w:w="2099"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07010206-20019</w:t>
            </w:r>
          </w:p>
        </w:tc>
        <w:tc>
          <w:tcPr>
            <w:tcW w:w="2261"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0.5 km</w:t>
            </w:r>
          </w:p>
        </w:tc>
        <w:tc>
          <w:tcPr>
            <w:tcW w:w="2100"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07010206-20021</w:t>
            </w:r>
          </w:p>
        </w:tc>
        <w:tc>
          <w:tcPr>
            <w:tcW w:w="2251" w:type="dxa"/>
            <w:vAlign w:val="center"/>
          </w:tcPr>
          <w:p w:rsidR="00025130" w:rsidRPr="00854E06" w:rsidRDefault="00025130" w:rsidP="00EC6E3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240" w:after="240"/>
              <w:jc w:val="center"/>
              <w:rPr>
                <w:rFonts w:asciiTheme="majorBidi" w:hAnsiTheme="majorBidi" w:cstheme="majorBidi"/>
                <w:sz w:val="24"/>
                <w:szCs w:val="24"/>
              </w:rPr>
            </w:pPr>
            <w:r w:rsidRPr="00854E06">
              <w:rPr>
                <w:rFonts w:asciiTheme="majorBidi" w:hAnsiTheme="majorBidi" w:cstheme="majorBidi"/>
                <w:sz w:val="24"/>
                <w:szCs w:val="24"/>
              </w:rPr>
              <w:t>0.4 km</w:t>
            </w:r>
          </w:p>
        </w:tc>
      </w:tr>
    </w:tbl>
    <w:p w:rsidR="00025130" w:rsidRPr="00AE3F87" w:rsidRDefault="00025130" w:rsidP="0002513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jc w:val="both"/>
        <w:rPr>
          <w:rFonts w:asciiTheme="majorBidi" w:hAnsiTheme="majorBidi" w:cstheme="majorBidi"/>
          <w:sz w:val="24"/>
          <w:szCs w:val="24"/>
        </w:rPr>
      </w:pPr>
      <w:proofErr w:type="spellStart"/>
      <w:proofErr w:type="gramStart"/>
      <w:r w:rsidRPr="00AE3F87">
        <w:rPr>
          <w:rFonts w:asciiTheme="majorBidi" w:eastAsiaTheme="minorEastAsia" w:hAnsiTheme="majorBidi" w:cstheme="majorBidi"/>
          <w:sz w:val="24"/>
          <w:szCs w:val="24"/>
          <w:vertAlign w:val="superscript"/>
        </w:rPr>
        <w:t>a</w:t>
      </w:r>
      <w:r w:rsidRPr="00AE3F87">
        <w:rPr>
          <w:rFonts w:asciiTheme="majorBidi" w:hAnsiTheme="majorBidi" w:cstheme="majorBidi"/>
          <w:sz w:val="24"/>
          <w:szCs w:val="24"/>
        </w:rPr>
        <w:t>The</w:t>
      </w:r>
      <w:proofErr w:type="spellEnd"/>
      <w:proofErr w:type="gramEnd"/>
      <w:r w:rsidRPr="00AE3F87">
        <w:rPr>
          <w:rFonts w:asciiTheme="majorBidi" w:hAnsiTheme="majorBidi" w:cstheme="majorBidi"/>
          <w:sz w:val="24"/>
          <w:szCs w:val="24"/>
        </w:rPr>
        <w:t xml:space="preserve"> station code consists of the HUC-8 and the site code assigned by the agency that is responsible for the monitoring station. I will use only the site code from this point to refer to the station. </w:t>
      </w:r>
    </w:p>
    <w:p w:rsidR="00025130" w:rsidRPr="00854E06" w:rsidRDefault="00025130" w:rsidP="00025130">
      <w:pPr>
        <w:spacing w:after="200" w:line="276" w:lineRule="auto"/>
        <w:rPr>
          <w:rFonts w:cstheme="majorBidi"/>
        </w:rPr>
      </w:pPr>
      <w:r w:rsidRPr="00854E06">
        <w:rPr>
          <w:rFonts w:cstheme="majorBidi"/>
        </w:rPr>
        <w:br w:type="page"/>
      </w:r>
    </w:p>
    <w:p w:rsidR="00025130" w:rsidRPr="00854E06" w:rsidRDefault="00025130" w:rsidP="00025130">
      <w:pPr>
        <w:pStyle w:val="Caption"/>
        <w:keepNext/>
        <w:jc w:val="center"/>
        <w:rPr>
          <w:rFonts w:cstheme="majorBidi"/>
          <w:color w:val="auto"/>
          <w:sz w:val="24"/>
          <w:szCs w:val="24"/>
        </w:rPr>
      </w:pPr>
      <w:bookmarkStart w:id="90" w:name="_Toc394005472"/>
      <w:r w:rsidRPr="00854E06">
        <w:rPr>
          <w:rFonts w:cstheme="majorBidi"/>
          <w:color w:val="auto"/>
          <w:sz w:val="24"/>
          <w:szCs w:val="24"/>
        </w:rPr>
        <w:lastRenderedPageBreak/>
        <w:t xml:space="preserve">Table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Table_5_- \* ARABIC </w:instrText>
      </w:r>
      <w:r w:rsidR="00F41E6A" w:rsidRPr="00854E06">
        <w:rPr>
          <w:rFonts w:cstheme="majorBidi"/>
          <w:color w:val="auto"/>
          <w:sz w:val="24"/>
          <w:szCs w:val="24"/>
        </w:rPr>
        <w:fldChar w:fldCharType="separate"/>
      </w:r>
      <w:r w:rsidR="008E2F67">
        <w:rPr>
          <w:rFonts w:cstheme="majorBidi"/>
          <w:noProof/>
          <w:color w:val="auto"/>
          <w:sz w:val="24"/>
          <w:szCs w:val="24"/>
        </w:rPr>
        <w:t>6</w:t>
      </w:r>
      <w:r w:rsidR="00F41E6A" w:rsidRPr="00854E06">
        <w:rPr>
          <w:rFonts w:cstheme="majorBidi"/>
          <w:color w:val="auto"/>
          <w:sz w:val="24"/>
          <w:szCs w:val="24"/>
        </w:rPr>
        <w:fldChar w:fldCharType="end"/>
      </w:r>
      <w:r w:rsidRPr="00854E06">
        <w:rPr>
          <w:rFonts w:cstheme="majorBidi"/>
          <w:color w:val="auto"/>
          <w:sz w:val="24"/>
          <w:szCs w:val="24"/>
        </w:rPr>
        <w:t>. Z scores of the comparison of the rating parameters between pre-dam and post-dam stations</w:t>
      </w:r>
      <w:bookmarkEnd w:id="90"/>
    </w:p>
    <w:tbl>
      <w:tblPr>
        <w:tblW w:w="12405"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0"/>
        <w:gridCol w:w="1318"/>
        <w:gridCol w:w="1397"/>
        <w:gridCol w:w="1239"/>
        <w:gridCol w:w="1318"/>
        <w:gridCol w:w="1318"/>
        <w:gridCol w:w="1236"/>
        <w:gridCol w:w="1318"/>
        <w:gridCol w:w="1581"/>
      </w:tblGrid>
      <w:tr w:rsidR="00025130" w:rsidRPr="00854E06">
        <w:trPr>
          <w:trHeight w:val="512"/>
          <w:jc w:val="center"/>
        </w:trPr>
        <w:tc>
          <w:tcPr>
            <w:tcW w:w="1680" w:type="dxa"/>
            <w:vMerge w:val="restart"/>
            <w:tcBorders>
              <w:top w:val="single" w:sz="4" w:space="0" w:color="auto"/>
              <w:left w:val="single" w:sz="4" w:space="0" w:color="auto"/>
            </w:tcBorders>
            <w:vAlign w:val="center"/>
          </w:tcPr>
          <w:p w:rsidR="00025130" w:rsidRPr="00854E06" w:rsidRDefault="00025130" w:rsidP="0072413E">
            <w:pPr>
              <w:jc w:val="center"/>
              <w:rPr>
                <w:rFonts w:cstheme="majorBidi"/>
                <w:color w:val="000000"/>
              </w:rPr>
            </w:pPr>
            <w:r w:rsidRPr="00854E06">
              <w:rPr>
                <w:rFonts w:cstheme="majorBidi"/>
                <w:color w:val="000000"/>
              </w:rPr>
              <w:t>Time period</w:t>
            </w:r>
          </w:p>
        </w:tc>
        <w:tc>
          <w:tcPr>
            <w:tcW w:w="2715" w:type="dxa"/>
            <w:gridSpan w:val="2"/>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Blanchard Dam</w:t>
            </w:r>
          </w:p>
        </w:tc>
        <w:tc>
          <w:tcPr>
            <w:tcW w:w="5111" w:type="dxa"/>
            <w:gridSpan w:val="4"/>
            <w:tcBorders>
              <w:left w:val="double" w:sz="4" w:space="0" w:color="auto"/>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Coon Rapid Dam</w:t>
            </w:r>
          </w:p>
        </w:tc>
        <w:tc>
          <w:tcPr>
            <w:tcW w:w="2899" w:type="dxa"/>
            <w:gridSpan w:val="2"/>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Lock and Dam Number 2</w:t>
            </w:r>
          </w:p>
        </w:tc>
      </w:tr>
      <w:tr w:rsidR="00025130" w:rsidRPr="00854E06">
        <w:trPr>
          <w:trHeight w:val="530"/>
          <w:jc w:val="center"/>
        </w:trPr>
        <w:tc>
          <w:tcPr>
            <w:tcW w:w="1680" w:type="dxa"/>
            <w:vMerge/>
            <w:tcBorders>
              <w:left w:val="single" w:sz="4" w:space="0" w:color="auto"/>
            </w:tcBorders>
          </w:tcPr>
          <w:p w:rsidR="00025130" w:rsidRPr="00854E06" w:rsidRDefault="00025130" w:rsidP="0072413E">
            <w:pPr>
              <w:jc w:val="center"/>
              <w:rPr>
                <w:rFonts w:cstheme="majorBidi"/>
                <w:color w:val="000000"/>
              </w:rPr>
            </w:pPr>
          </w:p>
        </w:tc>
        <w:tc>
          <w:tcPr>
            <w:tcW w:w="2715" w:type="dxa"/>
            <w:gridSpan w:val="2"/>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Stations 10001 vs. 10003</w:t>
            </w:r>
          </w:p>
        </w:tc>
        <w:tc>
          <w:tcPr>
            <w:tcW w:w="2557" w:type="dxa"/>
            <w:gridSpan w:val="2"/>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Stations 10009 vs. 10013</w:t>
            </w:r>
          </w:p>
        </w:tc>
        <w:tc>
          <w:tcPr>
            <w:tcW w:w="2554" w:type="dxa"/>
            <w:gridSpan w:val="2"/>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Stations 10009 vs. 10011</w:t>
            </w:r>
          </w:p>
        </w:tc>
        <w:tc>
          <w:tcPr>
            <w:tcW w:w="2899" w:type="dxa"/>
            <w:gridSpan w:val="2"/>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Stations 20019 vs. 20021</w:t>
            </w:r>
          </w:p>
        </w:tc>
      </w:tr>
      <w:tr w:rsidR="00025130" w:rsidRPr="00854E06">
        <w:trPr>
          <w:trHeight w:val="449"/>
          <w:jc w:val="center"/>
        </w:trPr>
        <w:tc>
          <w:tcPr>
            <w:tcW w:w="1680" w:type="dxa"/>
            <w:vMerge/>
            <w:tcBorders>
              <w:left w:val="single" w:sz="4" w:space="0" w:color="auto"/>
            </w:tcBorders>
          </w:tcPr>
          <w:p w:rsidR="00025130" w:rsidRPr="00854E06" w:rsidRDefault="00025130" w:rsidP="0072413E">
            <w:pPr>
              <w:jc w:val="center"/>
              <w:rPr>
                <w:rFonts w:ascii="Times New Roman" w:hAnsi="Times New Roman" w:cs="Times New Roman"/>
                <w:color w:val="000000"/>
              </w:rPr>
            </w:pPr>
          </w:p>
        </w:tc>
        <w:tc>
          <w:tcPr>
            <w:tcW w:w="1318" w:type="dxa"/>
            <w:shd w:val="clear" w:color="auto" w:fill="auto"/>
            <w:noWrap/>
            <w:vAlign w:val="center"/>
          </w:tcPr>
          <w:p w:rsidR="00025130" w:rsidRPr="00854E06" w:rsidRDefault="00025130" w:rsidP="0072413E">
            <w:pPr>
              <w:jc w:val="center"/>
              <w:rPr>
                <w:rFonts w:ascii="Cambria Math" w:hAnsi="Cambria Math" w:cstheme="majorBidi"/>
                <w:color w:val="000000"/>
                <w:oMath/>
              </w:rPr>
            </w:pPr>
            <m:oMath>
              <m:r>
                <w:rPr>
                  <w:rFonts w:ascii="Cambria Math" w:hAnsi="Cambria Math" w:cstheme="majorBidi"/>
                  <w:color w:val="000000"/>
                </w:rPr>
                <m:t>ln(a)</m:t>
              </m:r>
            </m:oMath>
            <w:r>
              <w:rPr>
                <w:rFonts w:ascii="Times New Roman" w:hAnsi="Times New Roman" w:cs="Times New Roman"/>
                <w:color w:val="000000"/>
                <w:vertAlign w:val="superscript"/>
              </w:rPr>
              <w:t>a</w:t>
            </w:r>
          </w:p>
        </w:tc>
        <w:tc>
          <w:tcPr>
            <w:tcW w:w="1397" w:type="dxa"/>
            <w:tcBorders>
              <w:right w:val="double" w:sz="4" w:space="0" w:color="auto"/>
            </w:tcBorders>
            <w:shd w:val="clear" w:color="auto" w:fill="auto"/>
            <w:noWrap/>
            <w:vAlign w:val="center"/>
          </w:tcPr>
          <w:p w:rsidR="00025130" w:rsidRPr="00854E06" w:rsidRDefault="00025130" w:rsidP="0072413E">
            <w:pPr>
              <w:jc w:val="center"/>
              <w:rPr>
                <w:rFonts w:ascii="Cambria Math" w:hAnsi="Cambria Math" w:cstheme="majorBidi"/>
                <w:color w:val="000000"/>
                <w:oMath/>
              </w:rPr>
            </w:pPr>
            <m:oMathPara>
              <m:oMath>
                <m:r>
                  <w:rPr>
                    <w:rFonts w:ascii="Cambria Math" w:hAnsi="Cambria Math" w:cstheme="majorBidi"/>
                    <w:color w:val="000000"/>
                  </w:rPr>
                  <m:t>b</m:t>
                </m:r>
              </m:oMath>
            </m:oMathPara>
          </w:p>
        </w:tc>
        <w:tc>
          <w:tcPr>
            <w:tcW w:w="1239" w:type="dxa"/>
            <w:tcBorders>
              <w:left w:val="double" w:sz="4" w:space="0" w:color="auto"/>
            </w:tcBorders>
            <w:shd w:val="clear" w:color="auto" w:fill="auto"/>
            <w:noWrap/>
            <w:vAlign w:val="center"/>
          </w:tcPr>
          <w:p w:rsidR="00025130" w:rsidRPr="00854E06" w:rsidRDefault="00025130" w:rsidP="0072413E">
            <w:pPr>
              <w:jc w:val="center"/>
              <w:rPr>
                <w:rFonts w:ascii="Cambria Math" w:hAnsi="Cambria Math" w:cstheme="majorBidi"/>
                <w:color w:val="000000"/>
                <w:oMath/>
              </w:rPr>
            </w:pPr>
            <m:oMathPara>
              <m:oMath>
                <m:r>
                  <w:rPr>
                    <w:rFonts w:ascii="Cambria Math" w:hAnsi="Cambria Math" w:cstheme="majorBidi"/>
                    <w:color w:val="000000"/>
                  </w:rPr>
                  <m:t>ln(a)</m:t>
                </m:r>
              </m:oMath>
            </m:oMathPara>
          </w:p>
        </w:tc>
        <w:tc>
          <w:tcPr>
            <w:tcW w:w="1318" w:type="dxa"/>
            <w:shd w:val="clear" w:color="auto" w:fill="auto"/>
            <w:noWrap/>
            <w:vAlign w:val="center"/>
          </w:tcPr>
          <w:p w:rsidR="00025130" w:rsidRPr="00854E06" w:rsidRDefault="00025130" w:rsidP="0072413E">
            <w:pPr>
              <w:jc w:val="center"/>
              <w:rPr>
                <w:rFonts w:ascii="Cambria Math" w:hAnsi="Cambria Math" w:cstheme="majorBidi"/>
                <w:color w:val="000000"/>
                <w:oMath/>
              </w:rPr>
            </w:pPr>
            <m:oMathPara>
              <m:oMath>
                <m:r>
                  <w:rPr>
                    <w:rFonts w:ascii="Cambria Math" w:hAnsi="Cambria Math" w:cstheme="majorBidi"/>
                    <w:color w:val="000000"/>
                  </w:rPr>
                  <m:t>b</m:t>
                </m:r>
              </m:oMath>
            </m:oMathPara>
          </w:p>
        </w:tc>
        <w:tc>
          <w:tcPr>
            <w:tcW w:w="1318" w:type="dxa"/>
            <w:shd w:val="clear" w:color="auto" w:fill="auto"/>
            <w:noWrap/>
            <w:vAlign w:val="center"/>
          </w:tcPr>
          <w:p w:rsidR="00025130" w:rsidRPr="00854E06" w:rsidRDefault="00025130" w:rsidP="0072413E">
            <w:pPr>
              <w:jc w:val="center"/>
              <w:rPr>
                <w:rFonts w:ascii="Cambria Math" w:hAnsi="Cambria Math" w:cstheme="majorBidi"/>
                <w:color w:val="000000"/>
                <w:oMath/>
              </w:rPr>
            </w:pPr>
            <m:oMathPara>
              <m:oMath>
                <m:r>
                  <w:rPr>
                    <w:rFonts w:ascii="Cambria Math" w:hAnsi="Cambria Math" w:cstheme="majorBidi"/>
                    <w:color w:val="000000"/>
                  </w:rPr>
                  <m:t>ln(a)</m:t>
                </m:r>
              </m:oMath>
            </m:oMathPara>
          </w:p>
        </w:tc>
        <w:tc>
          <w:tcPr>
            <w:tcW w:w="1236" w:type="dxa"/>
            <w:tcBorders>
              <w:right w:val="double" w:sz="4" w:space="0" w:color="auto"/>
            </w:tcBorders>
            <w:shd w:val="clear" w:color="auto" w:fill="auto"/>
            <w:noWrap/>
            <w:vAlign w:val="center"/>
          </w:tcPr>
          <w:p w:rsidR="00025130" w:rsidRPr="00854E06" w:rsidRDefault="00025130" w:rsidP="0072413E">
            <w:pPr>
              <w:jc w:val="center"/>
              <w:rPr>
                <w:rFonts w:ascii="Cambria Math" w:hAnsi="Cambria Math" w:cstheme="majorBidi"/>
                <w:color w:val="000000"/>
                <w:oMath/>
              </w:rPr>
            </w:pPr>
            <m:oMathPara>
              <m:oMath>
                <m:r>
                  <w:rPr>
                    <w:rFonts w:ascii="Cambria Math" w:hAnsi="Cambria Math" w:cstheme="majorBidi"/>
                    <w:color w:val="000000"/>
                  </w:rPr>
                  <m:t>b</m:t>
                </m:r>
              </m:oMath>
            </m:oMathPara>
          </w:p>
        </w:tc>
        <w:tc>
          <w:tcPr>
            <w:tcW w:w="1318" w:type="dxa"/>
            <w:tcBorders>
              <w:left w:val="double" w:sz="4" w:space="0" w:color="auto"/>
            </w:tcBorders>
            <w:shd w:val="clear" w:color="auto" w:fill="auto"/>
            <w:noWrap/>
            <w:vAlign w:val="center"/>
          </w:tcPr>
          <w:p w:rsidR="00025130" w:rsidRPr="00854E06" w:rsidRDefault="00025130" w:rsidP="0072413E">
            <w:pPr>
              <w:jc w:val="center"/>
              <w:rPr>
                <w:rFonts w:ascii="Cambria Math" w:hAnsi="Cambria Math" w:cstheme="majorBidi"/>
                <w:color w:val="000000"/>
                <w:oMath/>
              </w:rPr>
            </w:pPr>
            <m:oMathPara>
              <m:oMath>
                <m:r>
                  <w:rPr>
                    <w:rFonts w:ascii="Cambria Math" w:hAnsi="Cambria Math" w:cstheme="majorBidi"/>
                    <w:color w:val="000000"/>
                  </w:rPr>
                  <m:t>ln(a)</m:t>
                </m:r>
              </m:oMath>
            </m:oMathPara>
          </w:p>
        </w:tc>
        <w:tc>
          <w:tcPr>
            <w:tcW w:w="1581" w:type="dxa"/>
            <w:shd w:val="clear" w:color="auto" w:fill="auto"/>
            <w:noWrap/>
            <w:vAlign w:val="center"/>
          </w:tcPr>
          <w:p w:rsidR="00025130" w:rsidRPr="00854E06" w:rsidRDefault="00025130" w:rsidP="0072413E">
            <w:pPr>
              <w:jc w:val="center"/>
              <w:rPr>
                <w:rFonts w:ascii="Cambria Math" w:hAnsi="Cambria Math" w:cstheme="majorBidi"/>
                <w:color w:val="000000"/>
                <w:oMath/>
              </w:rPr>
            </w:pPr>
            <m:oMathPara>
              <m:oMath>
                <m:r>
                  <w:rPr>
                    <w:rFonts w:ascii="Cambria Math" w:hAnsi="Cambria Math" w:cstheme="majorBidi"/>
                    <w:color w:val="000000"/>
                  </w:rPr>
                  <m:t>b</m:t>
                </m:r>
              </m:oMath>
            </m:oMathPara>
          </w:p>
        </w:tc>
      </w:tr>
      <w:tr w:rsidR="00025130" w:rsidRPr="00854E06">
        <w:trPr>
          <w:trHeight w:val="330"/>
          <w:jc w:val="center"/>
        </w:trPr>
        <w:tc>
          <w:tcPr>
            <w:tcW w:w="1680" w:type="dxa"/>
            <w:vAlign w:val="center"/>
          </w:tcPr>
          <w:p w:rsidR="00025130" w:rsidRPr="00854E06" w:rsidRDefault="00025130" w:rsidP="0072413E">
            <w:pPr>
              <w:jc w:val="right"/>
              <w:rPr>
                <w:rFonts w:cstheme="majorBidi"/>
                <w:color w:val="000000"/>
              </w:rPr>
            </w:pPr>
            <w:r w:rsidRPr="00854E06">
              <w:rPr>
                <w:rFonts w:cstheme="majorBidi"/>
                <w:color w:val="000000"/>
              </w:rPr>
              <w:t>Annual</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-1.068</w:t>
            </w:r>
            <w:r>
              <w:rPr>
                <w:rFonts w:cstheme="majorBidi"/>
                <w:color w:val="000000"/>
                <w:vertAlign w:val="superscript"/>
              </w:rPr>
              <w:t>b</w:t>
            </w:r>
          </w:p>
        </w:tc>
        <w:tc>
          <w:tcPr>
            <w:tcW w:w="1397" w:type="dxa"/>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0.701</w:t>
            </w:r>
          </w:p>
        </w:tc>
        <w:tc>
          <w:tcPr>
            <w:tcW w:w="1239"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0.671</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-0.275</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0.327</w:t>
            </w:r>
          </w:p>
        </w:tc>
        <w:tc>
          <w:tcPr>
            <w:tcW w:w="1236" w:type="dxa"/>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-0.204</w:t>
            </w:r>
          </w:p>
        </w:tc>
        <w:tc>
          <w:tcPr>
            <w:tcW w:w="1318"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-1.665</w:t>
            </w:r>
          </w:p>
        </w:tc>
        <w:tc>
          <w:tcPr>
            <w:tcW w:w="1581"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1.535</w:t>
            </w:r>
          </w:p>
        </w:tc>
      </w:tr>
      <w:tr w:rsidR="00025130" w:rsidRPr="00854E06">
        <w:trPr>
          <w:trHeight w:val="330"/>
          <w:jc w:val="center"/>
        </w:trPr>
        <w:tc>
          <w:tcPr>
            <w:tcW w:w="1680" w:type="dxa"/>
            <w:vAlign w:val="center"/>
          </w:tcPr>
          <w:p w:rsidR="00025130" w:rsidRPr="00854E06" w:rsidRDefault="00025130" w:rsidP="0072413E">
            <w:pPr>
              <w:jc w:val="right"/>
              <w:rPr>
                <w:rFonts w:cstheme="majorBidi"/>
                <w:color w:val="000000"/>
              </w:rPr>
            </w:pPr>
            <w:r w:rsidRPr="00854E06">
              <w:rPr>
                <w:rFonts w:cstheme="majorBidi"/>
                <w:color w:val="000000"/>
              </w:rPr>
              <w:t>January</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-3.298*</w:t>
            </w:r>
          </w:p>
        </w:tc>
        <w:tc>
          <w:tcPr>
            <w:tcW w:w="1397" w:type="dxa"/>
            <w:tcBorders>
              <w:righ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2.809*</w:t>
            </w:r>
          </w:p>
        </w:tc>
        <w:tc>
          <w:tcPr>
            <w:tcW w:w="1239" w:type="dxa"/>
            <w:tcBorders>
              <w:lef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3.169*</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-2.866*</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-0.345</w:t>
            </w:r>
          </w:p>
        </w:tc>
        <w:tc>
          <w:tcPr>
            <w:tcW w:w="1236" w:type="dxa"/>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0.483</w:t>
            </w:r>
          </w:p>
        </w:tc>
        <w:tc>
          <w:tcPr>
            <w:tcW w:w="1318"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1.549</w:t>
            </w:r>
          </w:p>
        </w:tc>
        <w:tc>
          <w:tcPr>
            <w:tcW w:w="1581"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-1.811</w:t>
            </w:r>
          </w:p>
        </w:tc>
      </w:tr>
      <w:tr w:rsidR="00025130" w:rsidRPr="00854E06">
        <w:trPr>
          <w:trHeight w:val="330"/>
          <w:jc w:val="center"/>
        </w:trPr>
        <w:tc>
          <w:tcPr>
            <w:tcW w:w="1680" w:type="dxa"/>
            <w:vAlign w:val="center"/>
          </w:tcPr>
          <w:p w:rsidR="00025130" w:rsidRPr="00854E06" w:rsidRDefault="00025130" w:rsidP="0072413E">
            <w:pPr>
              <w:jc w:val="right"/>
              <w:rPr>
                <w:rFonts w:cstheme="majorBidi"/>
                <w:color w:val="000000"/>
              </w:rPr>
            </w:pPr>
            <w:r w:rsidRPr="00854E06">
              <w:rPr>
                <w:rFonts w:cstheme="majorBidi"/>
                <w:color w:val="000000"/>
              </w:rPr>
              <w:t>February</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-2.948*</w:t>
            </w:r>
          </w:p>
        </w:tc>
        <w:tc>
          <w:tcPr>
            <w:tcW w:w="1397" w:type="dxa"/>
            <w:tcBorders>
              <w:righ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2.405*</w:t>
            </w:r>
          </w:p>
        </w:tc>
        <w:tc>
          <w:tcPr>
            <w:tcW w:w="1239" w:type="dxa"/>
            <w:tcBorders>
              <w:lef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2.714*</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-2.223*</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-0.189</w:t>
            </w:r>
          </w:p>
        </w:tc>
        <w:tc>
          <w:tcPr>
            <w:tcW w:w="1236" w:type="dxa"/>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0.425</w:t>
            </w:r>
          </w:p>
        </w:tc>
        <w:tc>
          <w:tcPr>
            <w:tcW w:w="1318"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0.760</w:t>
            </w:r>
          </w:p>
        </w:tc>
        <w:tc>
          <w:tcPr>
            <w:tcW w:w="1581"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-1.063</w:t>
            </w:r>
          </w:p>
        </w:tc>
      </w:tr>
      <w:tr w:rsidR="00025130" w:rsidRPr="00854E06">
        <w:trPr>
          <w:trHeight w:val="330"/>
          <w:jc w:val="center"/>
        </w:trPr>
        <w:tc>
          <w:tcPr>
            <w:tcW w:w="1680" w:type="dxa"/>
            <w:vAlign w:val="center"/>
          </w:tcPr>
          <w:p w:rsidR="00025130" w:rsidRPr="00854E06" w:rsidRDefault="00025130" w:rsidP="0072413E">
            <w:pPr>
              <w:jc w:val="right"/>
              <w:rPr>
                <w:rFonts w:cstheme="majorBidi"/>
                <w:color w:val="000000"/>
              </w:rPr>
            </w:pPr>
            <w:r w:rsidRPr="00854E06">
              <w:rPr>
                <w:rFonts w:cstheme="majorBidi"/>
                <w:color w:val="000000"/>
              </w:rPr>
              <w:t>March</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-3.563*</w:t>
            </w:r>
          </w:p>
        </w:tc>
        <w:tc>
          <w:tcPr>
            <w:tcW w:w="1397" w:type="dxa"/>
            <w:tcBorders>
              <w:righ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3.314*</w:t>
            </w:r>
          </w:p>
        </w:tc>
        <w:tc>
          <w:tcPr>
            <w:tcW w:w="1239" w:type="dxa"/>
            <w:tcBorders>
              <w:lef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2.006*</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-1.318</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0.461</w:t>
            </w:r>
          </w:p>
        </w:tc>
        <w:tc>
          <w:tcPr>
            <w:tcW w:w="1236" w:type="dxa"/>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-0.168</w:t>
            </w:r>
          </w:p>
        </w:tc>
        <w:tc>
          <w:tcPr>
            <w:tcW w:w="1318"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-0.373</w:t>
            </w:r>
          </w:p>
        </w:tc>
        <w:tc>
          <w:tcPr>
            <w:tcW w:w="1581"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0.420</w:t>
            </w:r>
          </w:p>
        </w:tc>
      </w:tr>
      <w:tr w:rsidR="00025130" w:rsidRPr="00854E06">
        <w:trPr>
          <w:trHeight w:val="330"/>
          <w:jc w:val="center"/>
        </w:trPr>
        <w:tc>
          <w:tcPr>
            <w:tcW w:w="1680" w:type="dxa"/>
            <w:vAlign w:val="center"/>
          </w:tcPr>
          <w:p w:rsidR="00025130" w:rsidRPr="00854E06" w:rsidRDefault="00025130" w:rsidP="0072413E">
            <w:pPr>
              <w:jc w:val="right"/>
              <w:rPr>
                <w:rFonts w:cstheme="majorBidi"/>
                <w:color w:val="000000"/>
              </w:rPr>
            </w:pPr>
            <w:r w:rsidRPr="00854E06">
              <w:rPr>
                <w:rFonts w:cstheme="majorBidi"/>
                <w:color w:val="000000"/>
              </w:rPr>
              <w:t>April</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-2.727*</w:t>
            </w:r>
          </w:p>
        </w:tc>
        <w:tc>
          <w:tcPr>
            <w:tcW w:w="1397" w:type="dxa"/>
            <w:tcBorders>
              <w:righ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2.715*</w:t>
            </w:r>
          </w:p>
        </w:tc>
        <w:tc>
          <w:tcPr>
            <w:tcW w:w="1239"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-0.075</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0.769</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1.065</w:t>
            </w:r>
          </w:p>
        </w:tc>
        <w:tc>
          <w:tcPr>
            <w:tcW w:w="1236" w:type="dxa"/>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-0.946</w:t>
            </w:r>
          </w:p>
        </w:tc>
        <w:tc>
          <w:tcPr>
            <w:tcW w:w="1318" w:type="dxa"/>
            <w:tcBorders>
              <w:lef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-2.049*</w:t>
            </w:r>
          </w:p>
        </w:tc>
        <w:tc>
          <w:tcPr>
            <w:tcW w:w="1581"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2.105*</w:t>
            </w:r>
          </w:p>
        </w:tc>
      </w:tr>
      <w:tr w:rsidR="00025130" w:rsidRPr="00854E06">
        <w:trPr>
          <w:trHeight w:val="330"/>
          <w:jc w:val="center"/>
        </w:trPr>
        <w:tc>
          <w:tcPr>
            <w:tcW w:w="1680" w:type="dxa"/>
            <w:vAlign w:val="center"/>
          </w:tcPr>
          <w:p w:rsidR="00025130" w:rsidRPr="00854E06" w:rsidRDefault="00025130" w:rsidP="0072413E">
            <w:pPr>
              <w:jc w:val="right"/>
              <w:rPr>
                <w:rFonts w:cstheme="majorBidi"/>
                <w:color w:val="000000"/>
              </w:rPr>
            </w:pPr>
            <w:r w:rsidRPr="00854E06">
              <w:rPr>
                <w:rFonts w:cstheme="majorBidi"/>
                <w:color w:val="000000"/>
              </w:rPr>
              <w:t>May</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-5.148*</w:t>
            </w:r>
          </w:p>
        </w:tc>
        <w:tc>
          <w:tcPr>
            <w:tcW w:w="1397" w:type="dxa"/>
            <w:tcBorders>
              <w:righ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4.694*</w:t>
            </w:r>
          </w:p>
        </w:tc>
        <w:tc>
          <w:tcPr>
            <w:tcW w:w="1239"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1.776</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-0.631</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0.785</w:t>
            </w:r>
          </w:p>
        </w:tc>
        <w:tc>
          <w:tcPr>
            <w:tcW w:w="1236" w:type="dxa"/>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-0.453</w:t>
            </w:r>
          </w:p>
        </w:tc>
        <w:tc>
          <w:tcPr>
            <w:tcW w:w="1318"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-1.593</w:t>
            </w:r>
          </w:p>
        </w:tc>
        <w:tc>
          <w:tcPr>
            <w:tcW w:w="1581"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1.525</w:t>
            </w:r>
          </w:p>
        </w:tc>
      </w:tr>
      <w:tr w:rsidR="00025130" w:rsidRPr="00854E06">
        <w:trPr>
          <w:trHeight w:val="330"/>
          <w:jc w:val="center"/>
        </w:trPr>
        <w:tc>
          <w:tcPr>
            <w:tcW w:w="1680" w:type="dxa"/>
            <w:vAlign w:val="center"/>
          </w:tcPr>
          <w:p w:rsidR="00025130" w:rsidRPr="00854E06" w:rsidRDefault="00025130" w:rsidP="0072413E">
            <w:pPr>
              <w:jc w:val="right"/>
              <w:rPr>
                <w:rFonts w:cstheme="majorBidi"/>
                <w:color w:val="000000"/>
              </w:rPr>
            </w:pPr>
            <w:r w:rsidRPr="00854E06">
              <w:rPr>
                <w:rFonts w:cstheme="majorBidi"/>
                <w:color w:val="000000"/>
              </w:rPr>
              <w:t>June</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-6.111*</w:t>
            </w:r>
          </w:p>
        </w:tc>
        <w:tc>
          <w:tcPr>
            <w:tcW w:w="1397" w:type="dxa"/>
            <w:tcBorders>
              <w:righ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4.969*</w:t>
            </w:r>
          </w:p>
        </w:tc>
        <w:tc>
          <w:tcPr>
            <w:tcW w:w="1239" w:type="dxa"/>
            <w:tcBorders>
              <w:lef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2.179*</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-1.154</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0.554</w:t>
            </w:r>
          </w:p>
        </w:tc>
        <w:tc>
          <w:tcPr>
            <w:tcW w:w="1236" w:type="dxa"/>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-0.209</w:t>
            </w:r>
          </w:p>
        </w:tc>
        <w:tc>
          <w:tcPr>
            <w:tcW w:w="1318"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-1.357</w:t>
            </w:r>
          </w:p>
        </w:tc>
        <w:tc>
          <w:tcPr>
            <w:tcW w:w="1581"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1.119</w:t>
            </w:r>
          </w:p>
        </w:tc>
      </w:tr>
      <w:tr w:rsidR="00025130" w:rsidRPr="00854E06">
        <w:trPr>
          <w:trHeight w:val="330"/>
          <w:jc w:val="center"/>
        </w:trPr>
        <w:tc>
          <w:tcPr>
            <w:tcW w:w="1680" w:type="dxa"/>
            <w:vAlign w:val="center"/>
          </w:tcPr>
          <w:p w:rsidR="00025130" w:rsidRPr="00854E06" w:rsidRDefault="00025130" w:rsidP="0072413E">
            <w:pPr>
              <w:jc w:val="right"/>
              <w:rPr>
                <w:rFonts w:cstheme="majorBidi"/>
                <w:color w:val="000000"/>
              </w:rPr>
            </w:pPr>
            <w:r w:rsidRPr="00854E06">
              <w:rPr>
                <w:rFonts w:cstheme="majorBidi"/>
                <w:color w:val="000000"/>
              </w:rPr>
              <w:t>July</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-6.897*</w:t>
            </w:r>
          </w:p>
        </w:tc>
        <w:tc>
          <w:tcPr>
            <w:tcW w:w="1397" w:type="dxa"/>
            <w:tcBorders>
              <w:righ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5.304*</w:t>
            </w:r>
          </w:p>
        </w:tc>
        <w:tc>
          <w:tcPr>
            <w:tcW w:w="1239" w:type="dxa"/>
            <w:tcBorders>
              <w:lef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3.390*</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-2.322*</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0.250</w:t>
            </w:r>
          </w:p>
        </w:tc>
        <w:tc>
          <w:tcPr>
            <w:tcW w:w="1236" w:type="dxa"/>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0.125</w:t>
            </w:r>
          </w:p>
        </w:tc>
        <w:tc>
          <w:tcPr>
            <w:tcW w:w="1318" w:type="dxa"/>
            <w:tcBorders>
              <w:lef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-2.585*</w:t>
            </w:r>
          </w:p>
        </w:tc>
        <w:tc>
          <w:tcPr>
            <w:tcW w:w="1581"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2.319*</w:t>
            </w:r>
          </w:p>
        </w:tc>
      </w:tr>
      <w:tr w:rsidR="00025130" w:rsidRPr="00854E06">
        <w:trPr>
          <w:trHeight w:val="330"/>
          <w:jc w:val="center"/>
        </w:trPr>
        <w:tc>
          <w:tcPr>
            <w:tcW w:w="1680" w:type="dxa"/>
            <w:vAlign w:val="center"/>
          </w:tcPr>
          <w:p w:rsidR="00025130" w:rsidRPr="00854E06" w:rsidRDefault="00025130" w:rsidP="0072413E">
            <w:pPr>
              <w:jc w:val="right"/>
              <w:rPr>
                <w:rFonts w:cstheme="majorBidi"/>
                <w:color w:val="000000"/>
              </w:rPr>
            </w:pPr>
            <w:r w:rsidRPr="00854E06">
              <w:rPr>
                <w:rFonts w:cstheme="majorBidi"/>
                <w:color w:val="000000"/>
              </w:rPr>
              <w:t>August</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-5.696*</w:t>
            </w:r>
          </w:p>
        </w:tc>
        <w:tc>
          <w:tcPr>
            <w:tcW w:w="1397" w:type="dxa"/>
            <w:tcBorders>
              <w:righ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3.885*</w:t>
            </w:r>
          </w:p>
        </w:tc>
        <w:tc>
          <w:tcPr>
            <w:tcW w:w="1239" w:type="dxa"/>
            <w:tcBorders>
              <w:lef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4.221*</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-3.379*</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-0.310</w:t>
            </w:r>
          </w:p>
        </w:tc>
        <w:tc>
          <w:tcPr>
            <w:tcW w:w="1236" w:type="dxa"/>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0.559</w:t>
            </w:r>
          </w:p>
        </w:tc>
        <w:tc>
          <w:tcPr>
            <w:tcW w:w="1318"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-1.549</w:t>
            </w:r>
          </w:p>
        </w:tc>
        <w:tc>
          <w:tcPr>
            <w:tcW w:w="1581"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1.111</w:t>
            </w:r>
          </w:p>
        </w:tc>
      </w:tr>
      <w:tr w:rsidR="00025130" w:rsidRPr="00854E06">
        <w:trPr>
          <w:trHeight w:val="330"/>
          <w:jc w:val="center"/>
        </w:trPr>
        <w:tc>
          <w:tcPr>
            <w:tcW w:w="1680" w:type="dxa"/>
            <w:vAlign w:val="center"/>
          </w:tcPr>
          <w:p w:rsidR="00025130" w:rsidRPr="00854E06" w:rsidRDefault="00025130" w:rsidP="0072413E">
            <w:pPr>
              <w:jc w:val="right"/>
              <w:rPr>
                <w:rFonts w:cstheme="majorBidi"/>
                <w:color w:val="000000"/>
              </w:rPr>
            </w:pPr>
            <w:r w:rsidRPr="00854E06">
              <w:rPr>
                <w:rFonts w:cstheme="majorBidi"/>
                <w:color w:val="000000"/>
              </w:rPr>
              <w:t>September</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-4.666*</w:t>
            </w:r>
          </w:p>
        </w:tc>
        <w:tc>
          <w:tcPr>
            <w:tcW w:w="1397" w:type="dxa"/>
            <w:tcBorders>
              <w:righ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3.496*</w:t>
            </w:r>
          </w:p>
        </w:tc>
        <w:tc>
          <w:tcPr>
            <w:tcW w:w="1239" w:type="dxa"/>
            <w:tcBorders>
              <w:lef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2.253*</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-1.713</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0.137</w:t>
            </w:r>
          </w:p>
        </w:tc>
        <w:tc>
          <w:tcPr>
            <w:tcW w:w="1236" w:type="dxa"/>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0.000</w:t>
            </w:r>
          </w:p>
        </w:tc>
        <w:tc>
          <w:tcPr>
            <w:tcW w:w="1318"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-1.628</w:t>
            </w:r>
          </w:p>
        </w:tc>
        <w:tc>
          <w:tcPr>
            <w:tcW w:w="1581"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1.296</w:t>
            </w:r>
          </w:p>
        </w:tc>
      </w:tr>
      <w:tr w:rsidR="00025130" w:rsidRPr="00854E06">
        <w:trPr>
          <w:trHeight w:val="330"/>
          <w:jc w:val="center"/>
        </w:trPr>
        <w:tc>
          <w:tcPr>
            <w:tcW w:w="1680" w:type="dxa"/>
            <w:vAlign w:val="center"/>
          </w:tcPr>
          <w:p w:rsidR="00025130" w:rsidRPr="00854E06" w:rsidRDefault="00025130" w:rsidP="0072413E">
            <w:pPr>
              <w:jc w:val="right"/>
              <w:rPr>
                <w:rFonts w:cstheme="majorBidi"/>
                <w:color w:val="000000"/>
              </w:rPr>
            </w:pPr>
            <w:r w:rsidRPr="00854E06">
              <w:rPr>
                <w:rFonts w:cstheme="majorBidi"/>
                <w:color w:val="000000"/>
              </w:rPr>
              <w:t>October</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-4.916*</w:t>
            </w:r>
          </w:p>
        </w:tc>
        <w:tc>
          <w:tcPr>
            <w:tcW w:w="1397" w:type="dxa"/>
            <w:tcBorders>
              <w:righ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3.962*</w:t>
            </w:r>
          </w:p>
        </w:tc>
        <w:tc>
          <w:tcPr>
            <w:tcW w:w="1239"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1.761</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-1.447</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0.145</w:t>
            </w:r>
          </w:p>
        </w:tc>
        <w:tc>
          <w:tcPr>
            <w:tcW w:w="1236" w:type="dxa"/>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-0.097</w:t>
            </w:r>
          </w:p>
        </w:tc>
        <w:tc>
          <w:tcPr>
            <w:tcW w:w="1318"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-1.272</w:t>
            </w:r>
          </w:p>
        </w:tc>
        <w:tc>
          <w:tcPr>
            <w:tcW w:w="1581"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0.814</w:t>
            </w:r>
          </w:p>
        </w:tc>
      </w:tr>
      <w:tr w:rsidR="00025130" w:rsidRPr="00854E06">
        <w:trPr>
          <w:trHeight w:val="330"/>
          <w:jc w:val="center"/>
        </w:trPr>
        <w:tc>
          <w:tcPr>
            <w:tcW w:w="1680" w:type="dxa"/>
            <w:vAlign w:val="center"/>
          </w:tcPr>
          <w:p w:rsidR="00025130" w:rsidRPr="00854E06" w:rsidRDefault="00025130" w:rsidP="0072413E">
            <w:pPr>
              <w:jc w:val="right"/>
              <w:rPr>
                <w:rFonts w:cstheme="majorBidi"/>
                <w:color w:val="000000"/>
              </w:rPr>
            </w:pPr>
            <w:r w:rsidRPr="00854E06">
              <w:rPr>
                <w:rFonts w:cstheme="majorBidi"/>
                <w:color w:val="000000"/>
              </w:rPr>
              <w:t>November</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-3.059*</w:t>
            </w:r>
          </w:p>
        </w:tc>
        <w:tc>
          <w:tcPr>
            <w:tcW w:w="1397" w:type="dxa"/>
            <w:tcBorders>
              <w:righ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2.504*</w:t>
            </w:r>
          </w:p>
        </w:tc>
        <w:tc>
          <w:tcPr>
            <w:tcW w:w="1239" w:type="dxa"/>
            <w:tcBorders>
              <w:lef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2.293*</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-2.309*</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-0.150</w:t>
            </w:r>
          </w:p>
        </w:tc>
        <w:tc>
          <w:tcPr>
            <w:tcW w:w="1236" w:type="dxa"/>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0.177</w:t>
            </w:r>
          </w:p>
        </w:tc>
        <w:tc>
          <w:tcPr>
            <w:tcW w:w="1318"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-0.739</w:t>
            </w:r>
          </w:p>
        </w:tc>
        <w:tc>
          <w:tcPr>
            <w:tcW w:w="1581"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0.350</w:t>
            </w:r>
          </w:p>
        </w:tc>
      </w:tr>
      <w:tr w:rsidR="00025130" w:rsidRPr="00854E06">
        <w:trPr>
          <w:trHeight w:val="330"/>
          <w:jc w:val="center"/>
        </w:trPr>
        <w:tc>
          <w:tcPr>
            <w:tcW w:w="1680" w:type="dxa"/>
            <w:vAlign w:val="center"/>
          </w:tcPr>
          <w:p w:rsidR="00025130" w:rsidRPr="00854E06" w:rsidRDefault="00025130" w:rsidP="0072413E">
            <w:pPr>
              <w:jc w:val="right"/>
              <w:rPr>
                <w:rFonts w:cstheme="majorBidi"/>
                <w:color w:val="000000"/>
              </w:rPr>
            </w:pPr>
            <w:r w:rsidRPr="00854E06">
              <w:rPr>
                <w:rFonts w:cstheme="majorBidi"/>
                <w:color w:val="000000"/>
              </w:rPr>
              <w:t>December</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-3.341*</w:t>
            </w:r>
          </w:p>
        </w:tc>
        <w:tc>
          <w:tcPr>
            <w:tcW w:w="1397" w:type="dxa"/>
            <w:tcBorders>
              <w:righ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2.820*</w:t>
            </w:r>
          </w:p>
        </w:tc>
        <w:tc>
          <w:tcPr>
            <w:tcW w:w="1239" w:type="dxa"/>
            <w:tcBorders>
              <w:left w:val="double" w:sz="4" w:space="0" w:color="auto"/>
            </w:tcBorders>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2.966*</w:t>
            </w:r>
          </w:p>
        </w:tc>
        <w:tc>
          <w:tcPr>
            <w:tcW w:w="1318" w:type="dxa"/>
            <w:shd w:val="clear" w:color="auto" w:fill="auto"/>
            <w:noWrap/>
            <w:vAlign w:val="center"/>
          </w:tcPr>
          <w:p w:rsidR="00025130" w:rsidRPr="00854E06" w:rsidRDefault="00025130" w:rsidP="0072413E">
            <w:pPr>
              <w:jc w:val="center"/>
              <w:rPr>
                <w:rFonts w:cstheme="majorBidi"/>
                <w:b/>
                <w:bCs/>
                <w:color w:val="000000"/>
              </w:rPr>
            </w:pPr>
            <w:r w:rsidRPr="00854E06">
              <w:rPr>
                <w:rFonts w:cstheme="majorBidi"/>
                <w:b/>
                <w:bCs/>
                <w:color w:val="000000"/>
              </w:rPr>
              <w:t>-2.877*</w:t>
            </w:r>
          </w:p>
        </w:tc>
        <w:tc>
          <w:tcPr>
            <w:tcW w:w="1318"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-0.319</w:t>
            </w:r>
          </w:p>
        </w:tc>
        <w:tc>
          <w:tcPr>
            <w:tcW w:w="1236" w:type="dxa"/>
            <w:tcBorders>
              <w:righ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0.450</w:t>
            </w:r>
          </w:p>
        </w:tc>
        <w:tc>
          <w:tcPr>
            <w:tcW w:w="1318" w:type="dxa"/>
            <w:tcBorders>
              <w:left w:val="doub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0.596</w:t>
            </w:r>
          </w:p>
        </w:tc>
        <w:tc>
          <w:tcPr>
            <w:tcW w:w="1581"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-0.939</w:t>
            </w:r>
          </w:p>
        </w:tc>
      </w:tr>
    </w:tbl>
    <w:p w:rsidR="00025130" w:rsidRPr="00AE3F87" w:rsidRDefault="00025130" w:rsidP="0002513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rPr>
          <w:rFonts w:asciiTheme="majorBidi" w:hAnsiTheme="majorBidi" w:cstheme="majorBidi"/>
          <w:sz w:val="24"/>
          <w:szCs w:val="24"/>
        </w:rPr>
      </w:pPr>
      <w:r w:rsidRPr="00AE3F87">
        <w:rPr>
          <w:rFonts w:asciiTheme="majorBidi" w:hAnsiTheme="majorBidi" w:cstheme="majorBidi"/>
          <w:sz w:val="24"/>
          <w:szCs w:val="24"/>
        </w:rPr>
        <w:t>(*): Statistically significant difference between pre-dam and post-dam stations.</w:t>
      </w:r>
    </w:p>
    <w:p w:rsidR="00025130" w:rsidRPr="00AE3F87" w:rsidRDefault="00025130" w:rsidP="0002513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rPr>
          <w:rFonts w:asciiTheme="majorBidi" w:hAnsiTheme="majorBidi" w:cstheme="majorBidi"/>
          <w:sz w:val="24"/>
          <w:szCs w:val="24"/>
        </w:rPr>
      </w:pPr>
      <w:proofErr w:type="spellStart"/>
      <w:proofErr w:type="gramStart"/>
      <w:r w:rsidRPr="00AE3F87">
        <w:rPr>
          <w:rFonts w:asciiTheme="majorBidi" w:hAnsiTheme="majorBidi" w:cstheme="majorBidi"/>
          <w:sz w:val="24"/>
          <w:szCs w:val="24"/>
          <w:vertAlign w:val="superscript"/>
        </w:rPr>
        <w:t>a</w:t>
      </w:r>
      <w:proofErr w:type="spellEnd"/>
      <w:proofErr w:type="gramEnd"/>
      <w:r w:rsidRPr="00AE3F87">
        <w:rPr>
          <w:rFonts w:asciiTheme="majorBidi" w:hAnsiTheme="majorBidi" w:cstheme="majorBidi"/>
          <w:sz w:val="24"/>
          <w:szCs w:val="24"/>
        </w:rPr>
        <w:t xml:space="preserve"> The rating parameter that was used in the Z test.</w:t>
      </w:r>
    </w:p>
    <w:p w:rsidR="00025130" w:rsidRPr="00AE3F87" w:rsidRDefault="00025130" w:rsidP="0002513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rPr>
          <w:rFonts w:asciiTheme="majorBidi" w:hAnsiTheme="majorBidi" w:cstheme="majorBidi"/>
          <w:sz w:val="24"/>
          <w:szCs w:val="24"/>
        </w:rPr>
      </w:pPr>
      <w:proofErr w:type="gramStart"/>
      <w:r w:rsidRPr="00AE3F87">
        <w:rPr>
          <w:rFonts w:asciiTheme="majorBidi" w:hAnsiTheme="majorBidi" w:cstheme="majorBidi"/>
          <w:sz w:val="24"/>
          <w:szCs w:val="24"/>
          <w:vertAlign w:val="superscript"/>
        </w:rPr>
        <w:t>b</w:t>
      </w:r>
      <w:proofErr w:type="gramEnd"/>
      <w:r w:rsidRPr="00AE3F87">
        <w:rPr>
          <w:rFonts w:asciiTheme="majorBidi" w:hAnsiTheme="majorBidi" w:cstheme="majorBidi"/>
          <w:sz w:val="24"/>
          <w:szCs w:val="24"/>
        </w:rPr>
        <w:t xml:space="preserve"> The value of the Z score</w:t>
      </w:r>
    </w:p>
    <w:p w:rsidR="00025130" w:rsidRDefault="00025130" w:rsidP="0002513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uto"/>
        <w:rPr>
          <w:rFonts w:asciiTheme="majorBidi" w:hAnsiTheme="majorBidi" w:cstheme="majorBidi"/>
          <w:i/>
          <w:iCs/>
          <w:sz w:val="24"/>
          <w:szCs w:val="24"/>
        </w:rPr>
      </w:pPr>
    </w:p>
    <w:p w:rsidR="00025130" w:rsidRDefault="00025130" w:rsidP="0002513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uto"/>
        <w:rPr>
          <w:rFonts w:asciiTheme="majorBidi" w:hAnsiTheme="majorBidi" w:cstheme="majorBidi"/>
          <w:i/>
          <w:iCs/>
          <w:sz w:val="24"/>
          <w:szCs w:val="24"/>
        </w:rPr>
      </w:pPr>
    </w:p>
    <w:p w:rsidR="00DB0055" w:rsidRPr="00854E06" w:rsidRDefault="00DB0055" w:rsidP="0002513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uto"/>
        <w:rPr>
          <w:rFonts w:asciiTheme="majorBidi" w:hAnsiTheme="majorBidi" w:cstheme="majorBidi"/>
          <w:i/>
          <w:iCs/>
          <w:sz w:val="24"/>
          <w:szCs w:val="24"/>
        </w:rPr>
      </w:pPr>
    </w:p>
    <w:p w:rsidR="00025130" w:rsidRPr="00DB0055" w:rsidRDefault="00DB0055" w:rsidP="00DB0055">
      <w:pPr>
        <w:pStyle w:val="Caption"/>
        <w:jc w:val="center"/>
        <w:rPr>
          <w:rFonts w:cstheme="majorBidi"/>
          <w:b w:val="0"/>
          <w:bCs w:val="0"/>
          <w:color w:val="auto"/>
          <w:sz w:val="24"/>
          <w:szCs w:val="24"/>
        </w:rPr>
      </w:pPr>
      <w:r w:rsidRPr="00DB0055">
        <w:rPr>
          <w:color w:val="auto"/>
          <w:sz w:val="24"/>
          <w:szCs w:val="24"/>
        </w:rPr>
        <w:lastRenderedPageBreak/>
        <w:t xml:space="preserve">Table 5 - </w:t>
      </w:r>
      <w:r w:rsidRPr="00DB0055">
        <w:rPr>
          <w:color w:val="auto"/>
          <w:sz w:val="24"/>
          <w:szCs w:val="24"/>
        </w:rPr>
        <w:fldChar w:fldCharType="begin"/>
      </w:r>
      <w:r w:rsidRPr="00DB0055">
        <w:rPr>
          <w:color w:val="auto"/>
          <w:sz w:val="24"/>
          <w:szCs w:val="24"/>
        </w:rPr>
        <w:instrText xml:space="preserve"> SEQ Table_5_- \* ARABIC </w:instrText>
      </w:r>
      <w:r w:rsidRPr="00DB0055">
        <w:rPr>
          <w:color w:val="auto"/>
          <w:sz w:val="24"/>
          <w:szCs w:val="24"/>
        </w:rPr>
        <w:fldChar w:fldCharType="separate"/>
      </w:r>
      <w:r w:rsidR="008E2F67">
        <w:rPr>
          <w:noProof/>
          <w:color w:val="auto"/>
          <w:sz w:val="24"/>
          <w:szCs w:val="24"/>
        </w:rPr>
        <w:t>7</w:t>
      </w:r>
      <w:r w:rsidRPr="00DB0055">
        <w:rPr>
          <w:color w:val="auto"/>
          <w:sz w:val="24"/>
          <w:szCs w:val="24"/>
        </w:rPr>
        <w:fldChar w:fldCharType="end"/>
      </w:r>
      <w:r w:rsidRPr="00DB0055">
        <w:rPr>
          <w:noProof/>
          <w:color w:val="auto"/>
          <w:sz w:val="24"/>
          <w:szCs w:val="24"/>
        </w:rPr>
        <w:t>. Correlation coefficients between the monthly rating parameters at 64 gauging stations and percentage of cumulative land use contributing to these stations in the UMRB</w:t>
      </w:r>
    </w:p>
    <w:tbl>
      <w:tblPr>
        <w:tblW w:w="129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5"/>
        <w:gridCol w:w="1296"/>
        <w:gridCol w:w="1296"/>
        <w:gridCol w:w="1296"/>
        <w:gridCol w:w="1296"/>
        <w:gridCol w:w="1296"/>
        <w:gridCol w:w="1296"/>
        <w:gridCol w:w="1494"/>
        <w:gridCol w:w="1350"/>
      </w:tblGrid>
      <w:tr w:rsidR="00025130" w:rsidRPr="00854E06">
        <w:trPr>
          <w:trHeight w:val="330"/>
        </w:trPr>
        <w:tc>
          <w:tcPr>
            <w:tcW w:w="12975" w:type="dxa"/>
            <w:gridSpan w:val="9"/>
            <w:shd w:val="clear" w:color="auto" w:fill="auto"/>
            <w:noWrap/>
            <w:vAlign w:val="center"/>
          </w:tcPr>
          <w:p w:rsidR="00025130" w:rsidRPr="00854E06" w:rsidRDefault="00025130" w:rsidP="0072413E">
            <w:pPr>
              <w:jc w:val="center"/>
              <w:rPr>
                <w:rFonts w:cstheme="majorBidi"/>
                <w:b/>
                <w:bCs/>
                <w:i/>
                <w:iCs/>
                <w:color w:val="000000"/>
              </w:rPr>
            </w:pPr>
            <w:r w:rsidRPr="00854E06">
              <w:rPr>
                <w:rFonts w:cstheme="majorBidi"/>
                <w:b/>
                <w:bCs/>
                <w:i/>
                <w:iCs/>
                <w:color w:val="000000"/>
              </w:rPr>
              <w:t>Spearman correlation coefficients (</w:t>
            </w:r>
            <w:proofErr w:type="spellStart"/>
            <w:r w:rsidRPr="00854E06">
              <w:rPr>
                <w:rFonts w:cstheme="majorBidi"/>
                <w:b/>
                <w:bCs/>
                <w:i/>
                <w:iCs/>
                <w:color w:val="000000"/>
              </w:rPr>
              <w:t>r</w:t>
            </w:r>
            <w:r w:rsidRPr="00854E06">
              <w:rPr>
                <w:rFonts w:cstheme="majorBidi"/>
                <w:b/>
                <w:bCs/>
                <w:i/>
                <w:iCs/>
                <w:color w:val="000000"/>
                <w:vertAlign w:val="subscript"/>
              </w:rPr>
              <w:t>s</w:t>
            </w:r>
            <w:proofErr w:type="spellEnd"/>
            <w:r w:rsidRPr="00854E06">
              <w:rPr>
                <w:rFonts w:cstheme="majorBidi"/>
                <w:b/>
                <w:bCs/>
                <w:i/>
                <w:iCs/>
                <w:color w:val="000000"/>
              </w:rPr>
              <w:t>)</w:t>
            </w:r>
          </w:p>
        </w:tc>
      </w:tr>
      <w:tr w:rsidR="00025130" w:rsidRPr="00854E06">
        <w:trPr>
          <w:trHeight w:val="674"/>
        </w:trPr>
        <w:tc>
          <w:tcPr>
            <w:tcW w:w="2355" w:type="dxa"/>
            <w:shd w:val="clear" w:color="auto" w:fill="auto"/>
            <w:noWrap/>
            <w:vAlign w:val="center"/>
          </w:tcPr>
          <w:p w:rsidR="00025130" w:rsidRPr="00854E06" w:rsidRDefault="00025130" w:rsidP="0072413E">
            <w:pPr>
              <w:jc w:val="center"/>
              <w:rPr>
                <w:rFonts w:cstheme="majorBidi"/>
                <w:i/>
                <w:iCs/>
                <w:color w:val="000000"/>
              </w:rPr>
            </w:pPr>
            <w:r w:rsidRPr="00854E06">
              <w:rPr>
                <w:rFonts w:cstheme="majorBidi"/>
                <w:i/>
                <w:iCs/>
                <w:color w:val="000000"/>
              </w:rPr>
              <w:t xml:space="preserve">Monthly coefficient </w:t>
            </w:r>
            <m:oMath>
              <m:r>
                <w:rPr>
                  <w:rFonts w:ascii="Cambria Math" w:hAnsi="Cambria Math" w:cstheme="majorBidi"/>
                  <w:color w:val="000000"/>
                </w:rPr>
                <m:t>a</m:t>
              </m:r>
            </m:oMath>
          </w:p>
        </w:tc>
        <w:tc>
          <w:tcPr>
            <w:tcW w:w="1296"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Water</w:t>
            </w:r>
          </w:p>
        </w:tc>
        <w:tc>
          <w:tcPr>
            <w:tcW w:w="1296"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Developed area</w:t>
            </w:r>
          </w:p>
        </w:tc>
        <w:tc>
          <w:tcPr>
            <w:tcW w:w="1296"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Barren</w:t>
            </w:r>
          </w:p>
        </w:tc>
        <w:tc>
          <w:tcPr>
            <w:tcW w:w="1296"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Forested</w:t>
            </w:r>
          </w:p>
        </w:tc>
        <w:tc>
          <w:tcPr>
            <w:tcW w:w="1296" w:type="dxa"/>
            <w:shd w:val="clear" w:color="auto" w:fill="auto"/>
            <w:noWrap/>
            <w:vAlign w:val="center"/>
          </w:tcPr>
          <w:p w:rsidR="00025130" w:rsidRPr="00854E06" w:rsidRDefault="00025130" w:rsidP="0072413E">
            <w:pPr>
              <w:jc w:val="center"/>
              <w:rPr>
                <w:rFonts w:cstheme="majorBidi"/>
                <w:color w:val="000000"/>
              </w:rPr>
            </w:pPr>
            <w:proofErr w:type="spellStart"/>
            <w:r w:rsidRPr="00854E06">
              <w:rPr>
                <w:rFonts w:cstheme="majorBidi"/>
                <w:color w:val="000000"/>
              </w:rPr>
              <w:t>Shrubland</w:t>
            </w:r>
            <w:proofErr w:type="spellEnd"/>
          </w:p>
        </w:tc>
        <w:tc>
          <w:tcPr>
            <w:tcW w:w="1296"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Semi-natural</w:t>
            </w:r>
          </w:p>
        </w:tc>
        <w:tc>
          <w:tcPr>
            <w:tcW w:w="1494"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Agriculture</w:t>
            </w:r>
          </w:p>
        </w:tc>
        <w:tc>
          <w:tcPr>
            <w:tcW w:w="1350" w:type="dxa"/>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Wetland</w:t>
            </w:r>
          </w:p>
        </w:tc>
      </w:tr>
      <w:tr w:rsidR="00025130" w:rsidRPr="00854E06">
        <w:trPr>
          <w:trHeight w:val="330"/>
        </w:trPr>
        <w:tc>
          <w:tcPr>
            <w:tcW w:w="2355" w:type="dxa"/>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January</w:t>
            </w:r>
          </w:p>
        </w:tc>
        <w:tc>
          <w:tcPr>
            <w:tcW w:w="1296" w:type="dxa"/>
            <w:shd w:val="clear" w:color="auto" w:fill="auto"/>
            <w:noWrap/>
            <w:vAlign w:val="bottom"/>
          </w:tcPr>
          <w:p w:rsidR="00025130" w:rsidRPr="00854E06" w:rsidRDefault="00FA7851" w:rsidP="0072413E">
            <w:pPr>
              <w:jc w:val="right"/>
              <w:rPr>
                <w:rFonts w:cstheme="majorBidi"/>
                <w:b/>
                <w:bCs/>
                <w:color w:val="000000"/>
              </w:rPr>
            </w:pPr>
            <w:r>
              <w:rPr>
                <w:rFonts w:cstheme="majorBidi"/>
                <w:b/>
                <w:bCs/>
                <w:color w:val="000000"/>
              </w:rPr>
              <w:t>-0.339</w:t>
            </w:r>
            <w:r w:rsidR="00025130" w:rsidRPr="00854E06">
              <w:rPr>
                <w:rFonts w:cstheme="majorBidi"/>
                <w:b/>
                <w:bCs/>
                <w:color w:val="000000"/>
              </w:rPr>
              <w:t>**</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-0.121</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-0.222</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-0.040</w:t>
            </w:r>
          </w:p>
        </w:tc>
        <w:tc>
          <w:tcPr>
            <w:tcW w:w="1296" w:type="dxa"/>
            <w:shd w:val="clear" w:color="auto" w:fill="auto"/>
            <w:noWrap/>
            <w:vAlign w:val="bottom"/>
          </w:tcPr>
          <w:p w:rsidR="00FA7851" w:rsidRPr="00FA7851" w:rsidRDefault="00FA7851" w:rsidP="00FA7851">
            <w:pPr>
              <w:jc w:val="right"/>
              <w:rPr>
                <w:rFonts w:cstheme="majorBidi"/>
                <w:color w:val="000000"/>
              </w:rPr>
            </w:pPr>
            <w:r>
              <w:rPr>
                <w:rFonts w:cstheme="majorBidi"/>
                <w:color w:val="000000"/>
              </w:rPr>
              <w:t>-0.135</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0.007</w:t>
            </w:r>
          </w:p>
        </w:tc>
        <w:tc>
          <w:tcPr>
            <w:tcW w:w="1494"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0.225</w:t>
            </w:r>
          </w:p>
        </w:tc>
        <w:tc>
          <w:tcPr>
            <w:tcW w:w="1350"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0.152</w:t>
            </w:r>
          </w:p>
        </w:tc>
      </w:tr>
      <w:tr w:rsidR="00025130" w:rsidRPr="00854E06">
        <w:trPr>
          <w:trHeight w:val="330"/>
        </w:trPr>
        <w:tc>
          <w:tcPr>
            <w:tcW w:w="2355" w:type="dxa"/>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February</w:t>
            </w:r>
          </w:p>
        </w:tc>
        <w:tc>
          <w:tcPr>
            <w:tcW w:w="1296" w:type="dxa"/>
            <w:shd w:val="clear" w:color="auto" w:fill="auto"/>
            <w:noWrap/>
            <w:vAlign w:val="bottom"/>
          </w:tcPr>
          <w:p w:rsidR="00025130" w:rsidRPr="00854E06" w:rsidRDefault="00025130" w:rsidP="0072413E">
            <w:pPr>
              <w:jc w:val="right"/>
              <w:rPr>
                <w:rFonts w:cstheme="majorBidi"/>
                <w:b/>
                <w:bCs/>
                <w:color w:val="000000"/>
              </w:rPr>
            </w:pPr>
            <w:r w:rsidRPr="00854E06">
              <w:rPr>
                <w:rFonts w:cstheme="majorBidi"/>
                <w:b/>
                <w:bCs/>
                <w:color w:val="000000"/>
              </w:rPr>
              <w:t>-0.319**</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-0.097</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-0.202</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-0.014</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-0.106</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0.068</w:t>
            </w:r>
          </w:p>
        </w:tc>
        <w:tc>
          <w:tcPr>
            <w:tcW w:w="1494"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0.212</w:t>
            </w:r>
          </w:p>
        </w:tc>
        <w:tc>
          <w:tcPr>
            <w:tcW w:w="1350"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w:t>
            </w:r>
            <w:r w:rsidR="00297A2C">
              <w:rPr>
                <w:rFonts w:cstheme="majorBidi"/>
                <w:color w:val="000000"/>
              </w:rPr>
              <w:t>26</w:t>
            </w:r>
          </w:p>
        </w:tc>
      </w:tr>
      <w:tr w:rsidR="00025130" w:rsidRPr="00854E06">
        <w:trPr>
          <w:trHeight w:val="330"/>
        </w:trPr>
        <w:tc>
          <w:tcPr>
            <w:tcW w:w="2355" w:type="dxa"/>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March</w:t>
            </w:r>
          </w:p>
        </w:tc>
        <w:tc>
          <w:tcPr>
            <w:tcW w:w="1296" w:type="dxa"/>
            <w:shd w:val="clear" w:color="auto" w:fill="auto"/>
            <w:noWrap/>
            <w:vAlign w:val="bottom"/>
          </w:tcPr>
          <w:p w:rsidR="00025130" w:rsidRPr="00854E06" w:rsidRDefault="00FA7851" w:rsidP="0072413E">
            <w:pPr>
              <w:jc w:val="right"/>
              <w:rPr>
                <w:rFonts w:cstheme="majorBidi"/>
                <w:b/>
                <w:bCs/>
                <w:color w:val="000000"/>
              </w:rPr>
            </w:pPr>
            <w:r>
              <w:rPr>
                <w:rFonts w:cstheme="majorBidi"/>
                <w:b/>
                <w:bCs/>
                <w:color w:val="000000"/>
              </w:rPr>
              <w:t>-0.263</w:t>
            </w:r>
            <w:r w:rsidR="00025130" w:rsidRPr="00854E06">
              <w:rPr>
                <w:rFonts w:cstheme="majorBidi"/>
                <w:b/>
                <w:bCs/>
                <w:color w:val="000000"/>
              </w:rPr>
              <w:t>**</w:t>
            </w:r>
          </w:p>
        </w:tc>
        <w:tc>
          <w:tcPr>
            <w:tcW w:w="1296" w:type="dxa"/>
            <w:shd w:val="clear" w:color="auto" w:fill="auto"/>
            <w:noWrap/>
            <w:vAlign w:val="bottom"/>
          </w:tcPr>
          <w:p w:rsidR="00025130" w:rsidRPr="00854E06" w:rsidRDefault="00025130" w:rsidP="0072413E">
            <w:pPr>
              <w:jc w:val="right"/>
              <w:rPr>
                <w:rFonts w:cstheme="majorBidi"/>
                <w:color w:val="000000"/>
              </w:rPr>
            </w:pPr>
            <w:r w:rsidRPr="00854E06">
              <w:rPr>
                <w:rFonts w:cstheme="majorBidi"/>
                <w:color w:val="000000"/>
              </w:rPr>
              <w:t>-0</w:t>
            </w:r>
            <w:r w:rsidR="00FA7851">
              <w:rPr>
                <w:rFonts w:cstheme="majorBidi"/>
                <w:color w:val="000000"/>
              </w:rPr>
              <w:t>.059</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-0.267</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-0.054</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-0.165</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-0.019</w:t>
            </w:r>
          </w:p>
        </w:tc>
        <w:tc>
          <w:tcPr>
            <w:tcW w:w="1494"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0.152</w:t>
            </w:r>
          </w:p>
        </w:tc>
        <w:tc>
          <w:tcPr>
            <w:tcW w:w="1350" w:type="dxa"/>
            <w:shd w:val="clear" w:color="auto" w:fill="auto"/>
            <w:noWrap/>
            <w:vAlign w:val="bottom"/>
          </w:tcPr>
          <w:p w:rsidR="00025130" w:rsidRPr="00854E06" w:rsidRDefault="00297A2C" w:rsidP="0072413E">
            <w:pPr>
              <w:jc w:val="right"/>
              <w:rPr>
                <w:rFonts w:cstheme="majorBidi"/>
                <w:color w:val="000000"/>
              </w:rPr>
            </w:pPr>
            <w:r>
              <w:rPr>
                <w:rFonts w:cstheme="majorBidi"/>
                <w:color w:val="000000"/>
              </w:rPr>
              <w:t>0.115</w:t>
            </w:r>
          </w:p>
        </w:tc>
      </w:tr>
      <w:tr w:rsidR="00025130" w:rsidRPr="00854E06">
        <w:trPr>
          <w:trHeight w:val="330"/>
        </w:trPr>
        <w:tc>
          <w:tcPr>
            <w:tcW w:w="2355" w:type="dxa"/>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April</w:t>
            </w:r>
          </w:p>
        </w:tc>
        <w:tc>
          <w:tcPr>
            <w:tcW w:w="1296" w:type="dxa"/>
            <w:shd w:val="clear" w:color="auto" w:fill="auto"/>
            <w:noWrap/>
            <w:vAlign w:val="bottom"/>
          </w:tcPr>
          <w:p w:rsidR="00025130" w:rsidRPr="00854E06" w:rsidRDefault="00FA7851" w:rsidP="0072413E">
            <w:pPr>
              <w:jc w:val="right"/>
              <w:rPr>
                <w:rFonts w:cstheme="majorBidi"/>
                <w:b/>
                <w:bCs/>
                <w:color w:val="000000"/>
              </w:rPr>
            </w:pPr>
            <w:r>
              <w:rPr>
                <w:rFonts w:cstheme="majorBidi"/>
                <w:b/>
                <w:bCs/>
                <w:color w:val="000000"/>
              </w:rPr>
              <w:t>-0.270</w:t>
            </w:r>
            <w:r w:rsidR="00025130" w:rsidRPr="00854E06">
              <w:rPr>
                <w:rFonts w:cstheme="majorBidi"/>
                <w:b/>
                <w:bCs/>
                <w:color w:val="000000"/>
              </w:rPr>
              <w:t>**</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-0.141</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-0.197</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0.052</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-0.099</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0.176</w:t>
            </w:r>
          </w:p>
        </w:tc>
        <w:tc>
          <w:tcPr>
            <w:tcW w:w="1494"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0.146</w:t>
            </w:r>
          </w:p>
        </w:tc>
        <w:tc>
          <w:tcPr>
            <w:tcW w:w="1350" w:type="dxa"/>
            <w:shd w:val="clear" w:color="auto" w:fill="auto"/>
            <w:noWrap/>
            <w:vAlign w:val="bottom"/>
          </w:tcPr>
          <w:p w:rsidR="00025130" w:rsidRPr="00854E06" w:rsidRDefault="00297A2C" w:rsidP="0072413E">
            <w:pPr>
              <w:jc w:val="right"/>
              <w:rPr>
                <w:rFonts w:cstheme="majorBidi"/>
                <w:color w:val="000000"/>
              </w:rPr>
            </w:pPr>
            <w:r>
              <w:rPr>
                <w:rFonts w:cstheme="majorBidi"/>
                <w:color w:val="000000"/>
              </w:rPr>
              <w:t>0.133</w:t>
            </w:r>
          </w:p>
        </w:tc>
      </w:tr>
      <w:tr w:rsidR="00025130" w:rsidRPr="00854E06">
        <w:trPr>
          <w:trHeight w:val="330"/>
        </w:trPr>
        <w:tc>
          <w:tcPr>
            <w:tcW w:w="2355" w:type="dxa"/>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May</w:t>
            </w:r>
          </w:p>
        </w:tc>
        <w:tc>
          <w:tcPr>
            <w:tcW w:w="1296" w:type="dxa"/>
            <w:shd w:val="clear" w:color="auto" w:fill="auto"/>
            <w:noWrap/>
            <w:vAlign w:val="bottom"/>
          </w:tcPr>
          <w:p w:rsidR="00025130" w:rsidRPr="00854E06" w:rsidRDefault="00FA7851" w:rsidP="0072413E">
            <w:pPr>
              <w:jc w:val="right"/>
              <w:rPr>
                <w:rFonts w:cstheme="majorBidi"/>
                <w:b/>
                <w:bCs/>
                <w:color w:val="000000"/>
              </w:rPr>
            </w:pPr>
            <w:r>
              <w:rPr>
                <w:rFonts w:cstheme="majorBidi"/>
                <w:b/>
                <w:bCs/>
                <w:color w:val="000000"/>
              </w:rPr>
              <w:t>-0.311</w:t>
            </w:r>
            <w:r w:rsidR="00025130" w:rsidRPr="00854E06">
              <w:rPr>
                <w:rFonts w:cstheme="majorBidi"/>
                <w:b/>
                <w:bCs/>
                <w:color w:val="000000"/>
              </w:rPr>
              <w:t>**</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-0.095</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-0.171</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0.013</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-0.118</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0.100</w:t>
            </w:r>
          </w:p>
        </w:tc>
        <w:tc>
          <w:tcPr>
            <w:tcW w:w="1494"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0.159</w:t>
            </w:r>
          </w:p>
        </w:tc>
        <w:tc>
          <w:tcPr>
            <w:tcW w:w="1350" w:type="dxa"/>
            <w:shd w:val="clear" w:color="auto" w:fill="auto"/>
            <w:noWrap/>
            <w:vAlign w:val="bottom"/>
          </w:tcPr>
          <w:p w:rsidR="00025130" w:rsidRPr="00854E06" w:rsidRDefault="00297A2C" w:rsidP="0072413E">
            <w:pPr>
              <w:jc w:val="right"/>
              <w:rPr>
                <w:rFonts w:cstheme="majorBidi"/>
                <w:color w:val="000000"/>
              </w:rPr>
            </w:pPr>
            <w:r>
              <w:rPr>
                <w:rFonts w:cstheme="majorBidi"/>
                <w:color w:val="000000"/>
              </w:rPr>
              <w:t>0.054</w:t>
            </w:r>
          </w:p>
        </w:tc>
      </w:tr>
      <w:tr w:rsidR="00025130" w:rsidRPr="00854E06">
        <w:trPr>
          <w:trHeight w:val="330"/>
        </w:trPr>
        <w:tc>
          <w:tcPr>
            <w:tcW w:w="2355" w:type="dxa"/>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June</w:t>
            </w:r>
          </w:p>
        </w:tc>
        <w:tc>
          <w:tcPr>
            <w:tcW w:w="1296" w:type="dxa"/>
            <w:shd w:val="clear" w:color="auto" w:fill="auto"/>
            <w:noWrap/>
            <w:vAlign w:val="bottom"/>
          </w:tcPr>
          <w:p w:rsidR="00025130" w:rsidRPr="00854E06" w:rsidRDefault="00FA7851" w:rsidP="0072413E">
            <w:pPr>
              <w:jc w:val="right"/>
              <w:rPr>
                <w:rFonts w:cstheme="majorBidi"/>
                <w:b/>
                <w:bCs/>
                <w:color w:val="000000"/>
              </w:rPr>
            </w:pPr>
            <w:r>
              <w:rPr>
                <w:rFonts w:cstheme="majorBidi"/>
                <w:b/>
                <w:bCs/>
                <w:color w:val="000000"/>
              </w:rPr>
              <w:t>-0.327</w:t>
            </w:r>
            <w:r w:rsidR="00025130" w:rsidRPr="00854E06">
              <w:rPr>
                <w:rFonts w:cstheme="majorBidi"/>
                <w:b/>
                <w:bCs/>
                <w:color w:val="000000"/>
              </w:rPr>
              <w:t>**</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-0.056</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-0.144</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0.027</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-0.105</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0.121</w:t>
            </w:r>
          </w:p>
        </w:tc>
        <w:tc>
          <w:tcPr>
            <w:tcW w:w="1494"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0.136</w:t>
            </w:r>
          </w:p>
        </w:tc>
        <w:tc>
          <w:tcPr>
            <w:tcW w:w="1350" w:type="dxa"/>
            <w:shd w:val="clear" w:color="auto" w:fill="auto"/>
            <w:noWrap/>
            <w:vAlign w:val="bottom"/>
          </w:tcPr>
          <w:p w:rsidR="00025130" w:rsidRPr="00854E06" w:rsidRDefault="00297A2C" w:rsidP="0072413E">
            <w:pPr>
              <w:jc w:val="right"/>
              <w:rPr>
                <w:rFonts w:cstheme="majorBidi"/>
                <w:color w:val="000000"/>
              </w:rPr>
            </w:pPr>
            <w:r>
              <w:rPr>
                <w:rFonts w:cstheme="majorBidi"/>
                <w:color w:val="000000"/>
              </w:rPr>
              <w:t>0.042</w:t>
            </w:r>
          </w:p>
        </w:tc>
      </w:tr>
      <w:tr w:rsidR="00025130" w:rsidRPr="00854E06">
        <w:trPr>
          <w:trHeight w:val="330"/>
        </w:trPr>
        <w:tc>
          <w:tcPr>
            <w:tcW w:w="2355" w:type="dxa"/>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July</w:t>
            </w:r>
          </w:p>
        </w:tc>
        <w:tc>
          <w:tcPr>
            <w:tcW w:w="1296" w:type="dxa"/>
            <w:shd w:val="clear" w:color="auto" w:fill="auto"/>
            <w:noWrap/>
            <w:vAlign w:val="bottom"/>
          </w:tcPr>
          <w:p w:rsidR="00025130" w:rsidRPr="00854E06" w:rsidRDefault="00FA7851" w:rsidP="0072413E">
            <w:pPr>
              <w:jc w:val="right"/>
              <w:rPr>
                <w:rFonts w:cstheme="majorBidi"/>
                <w:b/>
                <w:bCs/>
                <w:color w:val="000000"/>
              </w:rPr>
            </w:pPr>
            <w:r>
              <w:rPr>
                <w:rFonts w:cstheme="majorBidi"/>
                <w:b/>
                <w:bCs/>
                <w:color w:val="000000"/>
              </w:rPr>
              <w:t>-0.304</w:t>
            </w:r>
            <w:r w:rsidR="00025130" w:rsidRPr="00854E06">
              <w:rPr>
                <w:rFonts w:cstheme="majorBidi"/>
                <w:b/>
                <w:bCs/>
                <w:color w:val="000000"/>
              </w:rPr>
              <w:t>*</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-0.052</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-0.177</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0.017</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-0.093</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0.082</w:t>
            </w:r>
          </w:p>
        </w:tc>
        <w:tc>
          <w:tcPr>
            <w:tcW w:w="1494"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0.121</w:t>
            </w:r>
          </w:p>
        </w:tc>
        <w:tc>
          <w:tcPr>
            <w:tcW w:w="1350" w:type="dxa"/>
            <w:shd w:val="clear" w:color="auto" w:fill="auto"/>
            <w:noWrap/>
            <w:vAlign w:val="bottom"/>
          </w:tcPr>
          <w:p w:rsidR="00025130" w:rsidRPr="00854E06" w:rsidRDefault="00297A2C" w:rsidP="0072413E">
            <w:pPr>
              <w:jc w:val="right"/>
              <w:rPr>
                <w:rFonts w:cstheme="majorBidi"/>
                <w:color w:val="000000"/>
              </w:rPr>
            </w:pPr>
            <w:r>
              <w:rPr>
                <w:rFonts w:cstheme="majorBidi"/>
                <w:color w:val="000000"/>
              </w:rPr>
              <w:t>0.061</w:t>
            </w:r>
          </w:p>
        </w:tc>
      </w:tr>
      <w:tr w:rsidR="00025130" w:rsidRPr="00854E06">
        <w:trPr>
          <w:trHeight w:val="330"/>
        </w:trPr>
        <w:tc>
          <w:tcPr>
            <w:tcW w:w="2355" w:type="dxa"/>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August</w:t>
            </w:r>
          </w:p>
        </w:tc>
        <w:tc>
          <w:tcPr>
            <w:tcW w:w="1296" w:type="dxa"/>
            <w:shd w:val="clear" w:color="auto" w:fill="auto"/>
            <w:noWrap/>
            <w:vAlign w:val="bottom"/>
          </w:tcPr>
          <w:p w:rsidR="00025130" w:rsidRPr="00854E06" w:rsidRDefault="00FA7851" w:rsidP="0072413E">
            <w:pPr>
              <w:jc w:val="right"/>
              <w:rPr>
                <w:rFonts w:cstheme="majorBidi"/>
                <w:b/>
                <w:bCs/>
                <w:color w:val="000000"/>
              </w:rPr>
            </w:pPr>
            <w:r>
              <w:rPr>
                <w:rFonts w:cstheme="majorBidi"/>
                <w:b/>
                <w:bCs/>
                <w:color w:val="000000"/>
              </w:rPr>
              <w:t>-0.343</w:t>
            </w:r>
            <w:r w:rsidR="00025130" w:rsidRPr="00854E06">
              <w:rPr>
                <w:rFonts w:cstheme="majorBidi"/>
                <w:b/>
                <w:bCs/>
                <w:color w:val="000000"/>
              </w:rPr>
              <w:t>**</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-0.042</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-0.170</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-0.030</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-0.107</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0.084</w:t>
            </w:r>
          </w:p>
        </w:tc>
        <w:tc>
          <w:tcPr>
            <w:tcW w:w="1494"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0.148</w:t>
            </w:r>
          </w:p>
        </w:tc>
        <w:tc>
          <w:tcPr>
            <w:tcW w:w="1350" w:type="dxa"/>
            <w:shd w:val="clear" w:color="auto" w:fill="auto"/>
            <w:noWrap/>
            <w:vAlign w:val="bottom"/>
          </w:tcPr>
          <w:p w:rsidR="00025130" w:rsidRPr="00854E06" w:rsidRDefault="00297A2C" w:rsidP="0072413E">
            <w:pPr>
              <w:jc w:val="right"/>
              <w:rPr>
                <w:rFonts w:cstheme="majorBidi"/>
                <w:color w:val="000000"/>
              </w:rPr>
            </w:pPr>
            <w:r>
              <w:rPr>
                <w:rFonts w:cstheme="majorBidi"/>
                <w:color w:val="000000"/>
              </w:rPr>
              <w:t>0.018</w:t>
            </w:r>
          </w:p>
        </w:tc>
      </w:tr>
      <w:tr w:rsidR="00025130" w:rsidRPr="00854E06">
        <w:trPr>
          <w:trHeight w:val="330"/>
        </w:trPr>
        <w:tc>
          <w:tcPr>
            <w:tcW w:w="2355" w:type="dxa"/>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September</w:t>
            </w:r>
          </w:p>
        </w:tc>
        <w:tc>
          <w:tcPr>
            <w:tcW w:w="1296" w:type="dxa"/>
            <w:shd w:val="clear" w:color="auto" w:fill="auto"/>
            <w:noWrap/>
            <w:vAlign w:val="bottom"/>
          </w:tcPr>
          <w:p w:rsidR="00025130" w:rsidRPr="00854E06" w:rsidRDefault="00FA7851" w:rsidP="0072413E">
            <w:pPr>
              <w:jc w:val="right"/>
              <w:rPr>
                <w:rFonts w:cstheme="majorBidi"/>
                <w:b/>
                <w:bCs/>
                <w:color w:val="000000"/>
              </w:rPr>
            </w:pPr>
            <w:r>
              <w:rPr>
                <w:rFonts w:cstheme="majorBidi"/>
                <w:b/>
                <w:bCs/>
                <w:color w:val="000000"/>
              </w:rPr>
              <w:t>-0.346</w:t>
            </w:r>
            <w:r w:rsidR="00025130" w:rsidRPr="00854E06">
              <w:rPr>
                <w:rFonts w:cstheme="majorBidi"/>
                <w:b/>
                <w:bCs/>
                <w:color w:val="000000"/>
              </w:rPr>
              <w:t>**</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-0.119</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-0.135</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0.018</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-0.081</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0.072</w:t>
            </w:r>
          </w:p>
        </w:tc>
        <w:tc>
          <w:tcPr>
            <w:tcW w:w="1494"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0.174</w:t>
            </w:r>
          </w:p>
        </w:tc>
        <w:tc>
          <w:tcPr>
            <w:tcW w:w="1350" w:type="dxa"/>
            <w:shd w:val="clear" w:color="auto" w:fill="auto"/>
            <w:noWrap/>
            <w:vAlign w:val="bottom"/>
          </w:tcPr>
          <w:p w:rsidR="00025130" w:rsidRPr="00854E06" w:rsidRDefault="00297A2C" w:rsidP="0072413E">
            <w:pPr>
              <w:jc w:val="right"/>
              <w:rPr>
                <w:rFonts w:cstheme="majorBidi"/>
                <w:color w:val="000000"/>
              </w:rPr>
            </w:pPr>
            <w:r>
              <w:rPr>
                <w:rFonts w:cstheme="majorBidi"/>
                <w:color w:val="000000"/>
              </w:rPr>
              <w:t>0.033</w:t>
            </w:r>
          </w:p>
        </w:tc>
      </w:tr>
      <w:tr w:rsidR="00025130" w:rsidRPr="00854E06" w:rsidTr="00202D6C">
        <w:trPr>
          <w:trHeight w:val="359"/>
        </w:trPr>
        <w:tc>
          <w:tcPr>
            <w:tcW w:w="2355" w:type="dxa"/>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October</w:t>
            </w:r>
          </w:p>
        </w:tc>
        <w:tc>
          <w:tcPr>
            <w:tcW w:w="1296" w:type="dxa"/>
            <w:shd w:val="clear" w:color="auto" w:fill="auto"/>
            <w:noWrap/>
            <w:vAlign w:val="bottom"/>
          </w:tcPr>
          <w:p w:rsidR="00025130" w:rsidRPr="00854E06" w:rsidRDefault="00FA7851" w:rsidP="0072413E">
            <w:pPr>
              <w:jc w:val="right"/>
              <w:rPr>
                <w:rFonts w:cstheme="majorBidi"/>
                <w:b/>
                <w:bCs/>
                <w:color w:val="000000"/>
              </w:rPr>
            </w:pPr>
            <w:r>
              <w:rPr>
                <w:rFonts w:cstheme="majorBidi"/>
                <w:b/>
                <w:bCs/>
                <w:color w:val="000000"/>
              </w:rPr>
              <w:t>-0.388</w:t>
            </w:r>
            <w:r w:rsidR="00025130" w:rsidRPr="00854E06">
              <w:rPr>
                <w:rFonts w:cstheme="majorBidi"/>
                <w:b/>
                <w:bCs/>
                <w:color w:val="000000"/>
              </w:rPr>
              <w:t>**</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-0.122</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-0.172</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-0.001</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-0.079</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0.049</w:t>
            </w:r>
          </w:p>
        </w:tc>
        <w:tc>
          <w:tcPr>
            <w:tcW w:w="1494"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0.225</w:t>
            </w:r>
          </w:p>
        </w:tc>
        <w:tc>
          <w:tcPr>
            <w:tcW w:w="1350" w:type="dxa"/>
            <w:shd w:val="clear" w:color="auto" w:fill="auto"/>
            <w:noWrap/>
            <w:vAlign w:val="bottom"/>
          </w:tcPr>
          <w:p w:rsidR="00025130" w:rsidRPr="00854E06" w:rsidRDefault="00297A2C" w:rsidP="0072413E">
            <w:pPr>
              <w:jc w:val="right"/>
              <w:rPr>
                <w:rFonts w:cstheme="majorBidi"/>
                <w:color w:val="000000"/>
              </w:rPr>
            </w:pPr>
            <w:r>
              <w:rPr>
                <w:rFonts w:cstheme="majorBidi"/>
                <w:color w:val="000000"/>
              </w:rPr>
              <w:t>0.093</w:t>
            </w:r>
          </w:p>
        </w:tc>
      </w:tr>
      <w:tr w:rsidR="00025130" w:rsidRPr="00854E06">
        <w:trPr>
          <w:trHeight w:val="330"/>
        </w:trPr>
        <w:tc>
          <w:tcPr>
            <w:tcW w:w="2355" w:type="dxa"/>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November</w:t>
            </w:r>
          </w:p>
        </w:tc>
        <w:tc>
          <w:tcPr>
            <w:tcW w:w="1296" w:type="dxa"/>
            <w:shd w:val="clear" w:color="auto" w:fill="auto"/>
            <w:noWrap/>
            <w:vAlign w:val="bottom"/>
          </w:tcPr>
          <w:p w:rsidR="00025130" w:rsidRPr="00854E06" w:rsidRDefault="00FA7851" w:rsidP="0072413E">
            <w:pPr>
              <w:jc w:val="right"/>
              <w:rPr>
                <w:rFonts w:cstheme="majorBidi"/>
                <w:b/>
                <w:bCs/>
                <w:color w:val="000000"/>
              </w:rPr>
            </w:pPr>
            <w:r>
              <w:rPr>
                <w:rFonts w:cstheme="majorBidi"/>
                <w:b/>
                <w:bCs/>
                <w:color w:val="000000"/>
              </w:rPr>
              <w:t>-0.351</w:t>
            </w:r>
            <w:r w:rsidR="00025130" w:rsidRPr="00854E06">
              <w:rPr>
                <w:rFonts w:cstheme="majorBidi"/>
                <w:b/>
                <w:bCs/>
                <w:color w:val="000000"/>
              </w:rPr>
              <w:t>**</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-0.159</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-0.171</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0.046</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-0.064</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0.027</w:t>
            </w:r>
          </w:p>
        </w:tc>
        <w:tc>
          <w:tcPr>
            <w:tcW w:w="1494"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0.199</w:t>
            </w:r>
          </w:p>
        </w:tc>
        <w:tc>
          <w:tcPr>
            <w:tcW w:w="1350" w:type="dxa"/>
            <w:shd w:val="clear" w:color="auto" w:fill="auto"/>
            <w:noWrap/>
            <w:vAlign w:val="bottom"/>
          </w:tcPr>
          <w:p w:rsidR="00025130" w:rsidRPr="00854E06" w:rsidRDefault="00297A2C" w:rsidP="0072413E">
            <w:pPr>
              <w:jc w:val="right"/>
              <w:rPr>
                <w:rFonts w:cstheme="majorBidi"/>
                <w:color w:val="000000"/>
              </w:rPr>
            </w:pPr>
            <w:r>
              <w:rPr>
                <w:rFonts w:cstheme="majorBidi"/>
                <w:color w:val="000000"/>
              </w:rPr>
              <w:t>0.068</w:t>
            </w:r>
          </w:p>
        </w:tc>
      </w:tr>
      <w:tr w:rsidR="00025130" w:rsidRPr="00854E06">
        <w:trPr>
          <w:trHeight w:val="330"/>
        </w:trPr>
        <w:tc>
          <w:tcPr>
            <w:tcW w:w="2355" w:type="dxa"/>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December</w:t>
            </w:r>
          </w:p>
        </w:tc>
        <w:tc>
          <w:tcPr>
            <w:tcW w:w="1296" w:type="dxa"/>
            <w:shd w:val="clear" w:color="auto" w:fill="auto"/>
            <w:noWrap/>
            <w:vAlign w:val="bottom"/>
          </w:tcPr>
          <w:p w:rsidR="00025130" w:rsidRPr="00854E06" w:rsidRDefault="00FA7851" w:rsidP="0072413E">
            <w:pPr>
              <w:jc w:val="right"/>
              <w:rPr>
                <w:rFonts w:cstheme="majorBidi"/>
                <w:b/>
                <w:bCs/>
                <w:color w:val="000000"/>
              </w:rPr>
            </w:pPr>
            <w:r>
              <w:rPr>
                <w:rFonts w:cstheme="majorBidi"/>
                <w:b/>
                <w:bCs/>
                <w:color w:val="000000"/>
              </w:rPr>
              <w:t>-0.285</w:t>
            </w:r>
            <w:r w:rsidR="00025130" w:rsidRPr="00854E06">
              <w:rPr>
                <w:rFonts w:cstheme="majorBidi"/>
                <w:b/>
                <w:bCs/>
                <w:color w:val="000000"/>
              </w:rPr>
              <w:t>**</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-0.187</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-0.159</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0.077</w:t>
            </w:r>
          </w:p>
        </w:tc>
        <w:tc>
          <w:tcPr>
            <w:tcW w:w="1296" w:type="dxa"/>
            <w:shd w:val="clear" w:color="auto" w:fill="auto"/>
            <w:noWrap/>
            <w:vAlign w:val="bottom"/>
          </w:tcPr>
          <w:p w:rsidR="00025130" w:rsidRPr="00FA7851" w:rsidRDefault="00FA7851" w:rsidP="0072413E">
            <w:pPr>
              <w:jc w:val="right"/>
              <w:rPr>
                <w:rFonts w:cstheme="majorBidi"/>
                <w:color w:val="000000"/>
              </w:rPr>
            </w:pPr>
            <w:r>
              <w:rPr>
                <w:rFonts w:cstheme="majorBidi"/>
                <w:color w:val="000000"/>
              </w:rPr>
              <w:t>-0.087</w:t>
            </w:r>
          </w:p>
        </w:tc>
        <w:tc>
          <w:tcPr>
            <w:tcW w:w="1296"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-0.022</w:t>
            </w:r>
          </w:p>
        </w:tc>
        <w:tc>
          <w:tcPr>
            <w:tcW w:w="1494" w:type="dxa"/>
            <w:shd w:val="clear" w:color="auto" w:fill="auto"/>
            <w:noWrap/>
            <w:vAlign w:val="bottom"/>
          </w:tcPr>
          <w:p w:rsidR="00025130" w:rsidRPr="00854E06" w:rsidRDefault="00FA7851" w:rsidP="0072413E">
            <w:pPr>
              <w:jc w:val="right"/>
              <w:rPr>
                <w:rFonts w:cstheme="majorBidi"/>
                <w:color w:val="000000"/>
              </w:rPr>
            </w:pPr>
            <w:r>
              <w:rPr>
                <w:rFonts w:cstheme="majorBidi"/>
                <w:color w:val="000000"/>
              </w:rPr>
              <w:t>0.142</w:t>
            </w:r>
          </w:p>
        </w:tc>
        <w:tc>
          <w:tcPr>
            <w:tcW w:w="1350" w:type="dxa"/>
            <w:shd w:val="clear" w:color="auto" w:fill="auto"/>
            <w:noWrap/>
            <w:vAlign w:val="bottom"/>
          </w:tcPr>
          <w:p w:rsidR="00025130" w:rsidRPr="00854E06" w:rsidRDefault="00297A2C" w:rsidP="0072413E">
            <w:pPr>
              <w:jc w:val="right"/>
              <w:rPr>
                <w:rFonts w:cstheme="majorBidi"/>
                <w:color w:val="000000"/>
              </w:rPr>
            </w:pPr>
            <w:r>
              <w:rPr>
                <w:rFonts w:cstheme="majorBidi"/>
                <w:color w:val="000000"/>
              </w:rPr>
              <w:t>0.088</w:t>
            </w:r>
          </w:p>
        </w:tc>
      </w:tr>
      <w:tr w:rsidR="00025130" w:rsidRPr="00854E06">
        <w:trPr>
          <w:trHeight w:val="330"/>
        </w:trPr>
        <w:tc>
          <w:tcPr>
            <w:tcW w:w="1297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025130" w:rsidRPr="00854E06" w:rsidRDefault="00025130" w:rsidP="0072413E">
            <w:pPr>
              <w:jc w:val="center"/>
              <w:rPr>
                <w:rFonts w:cstheme="majorBidi"/>
                <w:b/>
                <w:bCs/>
                <w:i/>
                <w:iCs/>
                <w:color w:val="000000"/>
              </w:rPr>
            </w:pPr>
            <w:r w:rsidRPr="00854E06">
              <w:rPr>
                <w:rFonts w:cstheme="majorBidi"/>
                <w:b/>
                <w:bCs/>
                <w:i/>
                <w:iCs/>
                <w:color w:val="000000"/>
              </w:rPr>
              <w:t>Pearson correlation coefficients (</w:t>
            </w:r>
            <w:proofErr w:type="spellStart"/>
            <w:r w:rsidRPr="00854E06">
              <w:rPr>
                <w:rFonts w:cstheme="majorBidi"/>
                <w:b/>
                <w:bCs/>
                <w:i/>
                <w:iCs/>
                <w:color w:val="000000"/>
              </w:rPr>
              <w:t>r</w:t>
            </w:r>
            <w:r w:rsidRPr="00854E06">
              <w:rPr>
                <w:rFonts w:cstheme="majorBidi"/>
                <w:b/>
                <w:bCs/>
                <w:i/>
                <w:iCs/>
                <w:color w:val="000000"/>
                <w:vertAlign w:val="subscript"/>
              </w:rPr>
              <w:t>p</w:t>
            </w:r>
            <w:proofErr w:type="spellEnd"/>
            <w:r w:rsidRPr="00854E06">
              <w:rPr>
                <w:rFonts w:cstheme="majorBidi"/>
                <w:b/>
                <w:bCs/>
                <w:i/>
                <w:iCs/>
                <w:color w:val="000000"/>
              </w:rPr>
              <w:t>)</w:t>
            </w:r>
          </w:p>
        </w:tc>
      </w:tr>
      <w:tr w:rsidR="00025130" w:rsidRPr="00854E06">
        <w:trPr>
          <w:trHeight w:val="701"/>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025130" w:rsidRPr="00854E06" w:rsidRDefault="00025130" w:rsidP="0072413E">
            <w:pPr>
              <w:jc w:val="center"/>
              <w:rPr>
                <w:rFonts w:cstheme="majorBidi"/>
                <w:i/>
                <w:iCs/>
                <w:color w:val="000000"/>
              </w:rPr>
            </w:pPr>
            <w:r w:rsidRPr="00854E06">
              <w:rPr>
                <w:rFonts w:cstheme="majorBidi"/>
                <w:i/>
                <w:iCs/>
                <w:color w:val="000000"/>
              </w:rPr>
              <w:t xml:space="preserve">Monthly exponent </w:t>
            </w:r>
            <m:oMath>
              <m:r>
                <w:rPr>
                  <w:rFonts w:ascii="Cambria Math" w:hAnsi="Cambria Math" w:cstheme="majorBidi"/>
                  <w:color w:val="000000"/>
                </w:rPr>
                <m:t>b</m:t>
              </m:r>
            </m:oMath>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Water</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Developed area</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Barren</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Forested</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5130" w:rsidRPr="00854E06" w:rsidRDefault="00025130" w:rsidP="0072413E">
            <w:pPr>
              <w:jc w:val="center"/>
              <w:rPr>
                <w:rFonts w:cstheme="majorBidi"/>
                <w:color w:val="000000"/>
              </w:rPr>
            </w:pPr>
            <w:proofErr w:type="spellStart"/>
            <w:r w:rsidRPr="00854E06">
              <w:rPr>
                <w:rFonts w:cstheme="majorBidi"/>
                <w:color w:val="000000"/>
              </w:rPr>
              <w:t>Shrubland</w:t>
            </w:r>
            <w:proofErr w:type="spellEnd"/>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Semi-natural</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Agriculture</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025130" w:rsidRPr="00854E06" w:rsidRDefault="00025130" w:rsidP="0072413E">
            <w:pPr>
              <w:jc w:val="center"/>
              <w:rPr>
                <w:rFonts w:cstheme="majorBidi"/>
                <w:color w:val="000000"/>
              </w:rPr>
            </w:pPr>
            <w:r w:rsidRPr="00854E06">
              <w:rPr>
                <w:rFonts w:cstheme="majorBidi"/>
                <w:color w:val="000000"/>
              </w:rPr>
              <w:t>Wetland</w:t>
            </w:r>
          </w:p>
        </w:tc>
      </w:tr>
      <w:tr w:rsidR="00025130" w:rsidRPr="00854E06">
        <w:trPr>
          <w:trHeight w:val="33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January</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0.008</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025130" w:rsidP="0072413E">
            <w:pPr>
              <w:jc w:val="right"/>
              <w:rPr>
                <w:rFonts w:cstheme="majorBidi"/>
                <w:color w:val="000000"/>
              </w:rPr>
            </w:pPr>
            <w:r w:rsidRPr="00854E06">
              <w:rPr>
                <w:rFonts w:cstheme="majorBidi"/>
                <w:color w:val="000000"/>
              </w:rPr>
              <w:t>-0</w:t>
            </w:r>
            <w:r w:rsidR="004609F2">
              <w:rPr>
                <w:rFonts w:cstheme="majorBidi"/>
                <w:color w:val="000000"/>
              </w:rPr>
              <w:t>.225</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0.036</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0.197</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-0.016</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4609F2" w:rsidRDefault="004609F2" w:rsidP="0072413E">
            <w:pPr>
              <w:jc w:val="right"/>
              <w:rPr>
                <w:rFonts w:cstheme="majorBidi"/>
                <w:color w:val="000000"/>
              </w:rPr>
            </w:pPr>
            <w:r w:rsidRPr="004609F2">
              <w:rPr>
                <w:rFonts w:cstheme="majorBidi"/>
                <w:color w:val="000000"/>
              </w:rPr>
              <w:t>0.054</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0.023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0.000</w:t>
            </w:r>
          </w:p>
        </w:tc>
      </w:tr>
      <w:tr w:rsidR="00025130" w:rsidRPr="00854E06">
        <w:trPr>
          <w:trHeight w:val="33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February</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0.029</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-0.202</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0.096</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0.110</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-0.021</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-0.037</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0.043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0.004</w:t>
            </w:r>
          </w:p>
        </w:tc>
      </w:tr>
      <w:tr w:rsidR="00025130" w:rsidRPr="00854E06">
        <w:trPr>
          <w:trHeight w:val="33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March</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0.070</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-0.140</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0.014</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0.108</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0.031</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4609F2" w:rsidRDefault="004609F2" w:rsidP="0072413E">
            <w:pPr>
              <w:jc w:val="right"/>
              <w:rPr>
                <w:rFonts w:cstheme="majorBidi"/>
                <w:color w:val="000000"/>
              </w:rPr>
            </w:pPr>
            <w:r>
              <w:rPr>
                <w:rFonts w:cstheme="majorBidi"/>
                <w:color w:val="000000"/>
              </w:rPr>
              <w:t>-0.017</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0.017</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-0.101</w:t>
            </w:r>
          </w:p>
        </w:tc>
      </w:tr>
      <w:tr w:rsidR="00025130" w:rsidRPr="00854E06" w:rsidTr="005D33A7">
        <w:trPr>
          <w:trHeight w:val="33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April</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0.092</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-0.075</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-0.029</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0.031</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0.010</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-0.159</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0.066</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-0.015</w:t>
            </w:r>
          </w:p>
        </w:tc>
      </w:tr>
      <w:tr w:rsidR="00025130" w:rsidRPr="00854E06" w:rsidTr="005D33A7">
        <w:trPr>
          <w:trHeight w:val="33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025130" w:rsidRPr="00854E06" w:rsidRDefault="00025130" w:rsidP="0072413E">
            <w:pPr>
              <w:jc w:val="right"/>
              <w:rPr>
                <w:rFonts w:cstheme="majorBidi"/>
                <w:color w:val="000000"/>
              </w:rPr>
            </w:pPr>
            <w:r w:rsidRPr="00854E06">
              <w:rPr>
                <w:rFonts w:cstheme="majorBidi"/>
                <w:color w:val="000000"/>
              </w:rPr>
              <w:t>May</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0.212</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-0.141</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-0.008</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0.102</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025130" w:rsidP="0072413E">
            <w:pPr>
              <w:jc w:val="right"/>
              <w:rPr>
                <w:rFonts w:cstheme="majorBidi"/>
                <w:color w:val="000000"/>
              </w:rPr>
            </w:pPr>
            <w:r w:rsidRPr="00854E06">
              <w:rPr>
                <w:rFonts w:cstheme="majorBidi"/>
                <w:color w:val="000000"/>
              </w:rPr>
              <w:t>0</w:t>
            </w:r>
            <w:r w:rsidR="004609F2">
              <w:rPr>
                <w:rFonts w:cstheme="majorBidi"/>
                <w:color w:val="000000"/>
              </w:rPr>
              <w:t>.054</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-0.146</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-0.026</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025130" w:rsidRPr="00854E06" w:rsidRDefault="004609F2" w:rsidP="0072413E">
            <w:pPr>
              <w:jc w:val="right"/>
              <w:rPr>
                <w:rFonts w:cstheme="majorBidi"/>
                <w:color w:val="000000"/>
              </w:rPr>
            </w:pPr>
            <w:r>
              <w:rPr>
                <w:rFonts w:cstheme="majorBidi"/>
                <w:color w:val="000000"/>
              </w:rPr>
              <w:t>-0.115</w:t>
            </w:r>
          </w:p>
        </w:tc>
      </w:tr>
      <w:tr w:rsidR="005D33A7" w:rsidRPr="00854E06" w:rsidTr="005D33A7">
        <w:trPr>
          <w:trHeight w:val="330"/>
        </w:trPr>
        <w:tc>
          <w:tcPr>
            <w:tcW w:w="2355" w:type="dxa"/>
            <w:tcBorders>
              <w:top w:val="single" w:sz="4" w:space="0" w:color="auto"/>
              <w:left w:val="nil"/>
              <w:bottom w:val="nil"/>
              <w:right w:val="nil"/>
            </w:tcBorders>
            <w:shd w:val="clear" w:color="auto" w:fill="auto"/>
            <w:vAlign w:val="center"/>
          </w:tcPr>
          <w:p w:rsidR="005D33A7" w:rsidRPr="00854E06" w:rsidRDefault="005D33A7" w:rsidP="0072413E">
            <w:pPr>
              <w:jc w:val="right"/>
              <w:rPr>
                <w:rFonts w:cstheme="majorBidi"/>
                <w:color w:val="000000"/>
              </w:rPr>
            </w:pPr>
          </w:p>
        </w:tc>
        <w:tc>
          <w:tcPr>
            <w:tcW w:w="1296" w:type="dxa"/>
            <w:tcBorders>
              <w:top w:val="single" w:sz="4" w:space="0" w:color="auto"/>
              <w:left w:val="nil"/>
              <w:bottom w:val="nil"/>
              <w:right w:val="nil"/>
            </w:tcBorders>
            <w:shd w:val="clear" w:color="auto" w:fill="auto"/>
            <w:noWrap/>
            <w:vAlign w:val="bottom"/>
          </w:tcPr>
          <w:p w:rsidR="005D33A7" w:rsidRPr="00854E06" w:rsidRDefault="005D33A7" w:rsidP="0072413E">
            <w:pPr>
              <w:jc w:val="right"/>
              <w:rPr>
                <w:rFonts w:cstheme="majorBidi"/>
                <w:color w:val="000000"/>
              </w:rPr>
            </w:pPr>
          </w:p>
        </w:tc>
        <w:tc>
          <w:tcPr>
            <w:tcW w:w="1296" w:type="dxa"/>
            <w:tcBorders>
              <w:top w:val="single" w:sz="4" w:space="0" w:color="auto"/>
              <w:left w:val="nil"/>
              <w:bottom w:val="nil"/>
              <w:right w:val="nil"/>
            </w:tcBorders>
            <w:shd w:val="clear" w:color="auto" w:fill="auto"/>
            <w:noWrap/>
            <w:vAlign w:val="bottom"/>
          </w:tcPr>
          <w:p w:rsidR="005D33A7" w:rsidRPr="00854E06" w:rsidRDefault="005D33A7" w:rsidP="0072413E">
            <w:pPr>
              <w:jc w:val="right"/>
              <w:rPr>
                <w:rFonts w:cstheme="majorBidi"/>
                <w:color w:val="000000"/>
              </w:rPr>
            </w:pPr>
          </w:p>
        </w:tc>
        <w:tc>
          <w:tcPr>
            <w:tcW w:w="1296" w:type="dxa"/>
            <w:tcBorders>
              <w:top w:val="single" w:sz="4" w:space="0" w:color="auto"/>
              <w:left w:val="nil"/>
              <w:bottom w:val="nil"/>
              <w:right w:val="nil"/>
            </w:tcBorders>
            <w:shd w:val="clear" w:color="auto" w:fill="auto"/>
            <w:noWrap/>
            <w:vAlign w:val="bottom"/>
          </w:tcPr>
          <w:p w:rsidR="005D33A7" w:rsidRPr="00854E06" w:rsidRDefault="005D33A7" w:rsidP="0072413E">
            <w:pPr>
              <w:jc w:val="right"/>
              <w:rPr>
                <w:rFonts w:cstheme="majorBidi"/>
                <w:color w:val="000000"/>
              </w:rPr>
            </w:pPr>
          </w:p>
        </w:tc>
        <w:tc>
          <w:tcPr>
            <w:tcW w:w="1296" w:type="dxa"/>
            <w:tcBorders>
              <w:top w:val="single" w:sz="4" w:space="0" w:color="auto"/>
              <w:left w:val="nil"/>
              <w:bottom w:val="nil"/>
              <w:right w:val="nil"/>
            </w:tcBorders>
            <w:shd w:val="clear" w:color="auto" w:fill="auto"/>
            <w:noWrap/>
            <w:vAlign w:val="bottom"/>
          </w:tcPr>
          <w:p w:rsidR="005D33A7" w:rsidRDefault="005D33A7" w:rsidP="0072413E">
            <w:pPr>
              <w:jc w:val="right"/>
              <w:rPr>
                <w:rFonts w:cstheme="majorBidi"/>
                <w:color w:val="000000"/>
              </w:rPr>
            </w:pPr>
          </w:p>
          <w:p w:rsidR="005D33A7" w:rsidRPr="00854E06" w:rsidRDefault="005D33A7" w:rsidP="0072413E">
            <w:pPr>
              <w:jc w:val="right"/>
              <w:rPr>
                <w:rFonts w:cstheme="majorBidi"/>
                <w:color w:val="000000"/>
              </w:rPr>
            </w:pPr>
          </w:p>
        </w:tc>
        <w:tc>
          <w:tcPr>
            <w:tcW w:w="1296" w:type="dxa"/>
            <w:tcBorders>
              <w:top w:val="single" w:sz="4" w:space="0" w:color="auto"/>
              <w:left w:val="nil"/>
              <w:bottom w:val="nil"/>
              <w:right w:val="nil"/>
            </w:tcBorders>
            <w:shd w:val="clear" w:color="auto" w:fill="auto"/>
            <w:noWrap/>
            <w:vAlign w:val="bottom"/>
          </w:tcPr>
          <w:p w:rsidR="005D33A7" w:rsidRPr="00854E06" w:rsidRDefault="005D33A7" w:rsidP="0072413E">
            <w:pPr>
              <w:jc w:val="right"/>
              <w:rPr>
                <w:rFonts w:cstheme="majorBidi"/>
                <w:color w:val="000000"/>
              </w:rPr>
            </w:pPr>
          </w:p>
        </w:tc>
        <w:tc>
          <w:tcPr>
            <w:tcW w:w="1296" w:type="dxa"/>
            <w:tcBorders>
              <w:top w:val="single" w:sz="4" w:space="0" w:color="auto"/>
              <w:left w:val="nil"/>
              <w:bottom w:val="nil"/>
              <w:right w:val="nil"/>
            </w:tcBorders>
            <w:shd w:val="clear" w:color="auto" w:fill="auto"/>
            <w:noWrap/>
            <w:vAlign w:val="bottom"/>
          </w:tcPr>
          <w:p w:rsidR="005D33A7" w:rsidRPr="00854E06" w:rsidRDefault="005D33A7" w:rsidP="0072413E">
            <w:pPr>
              <w:jc w:val="right"/>
              <w:rPr>
                <w:rFonts w:cstheme="majorBidi"/>
                <w:color w:val="000000"/>
              </w:rPr>
            </w:pPr>
          </w:p>
        </w:tc>
        <w:tc>
          <w:tcPr>
            <w:tcW w:w="1494" w:type="dxa"/>
            <w:tcBorders>
              <w:top w:val="single" w:sz="4" w:space="0" w:color="auto"/>
              <w:left w:val="nil"/>
              <w:bottom w:val="nil"/>
              <w:right w:val="nil"/>
            </w:tcBorders>
            <w:shd w:val="clear" w:color="auto" w:fill="auto"/>
            <w:noWrap/>
            <w:vAlign w:val="bottom"/>
          </w:tcPr>
          <w:p w:rsidR="005D33A7" w:rsidRPr="00854E06" w:rsidRDefault="005D33A7" w:rsidP="0072413E">
            <w:pPr>
              <w:jc w:val="right"/>
              <w:rPr>
                <w:rFonts w:cstheme="majorBidi"/>
                <w:color w:val="000000"/>
              </w:rPr>
            </w:pPr>
          </w:p>
        </w:tc>
        <w:tc>
          <w:tcPr>
            <w:tcW w:w="1350" w:type="dxa"/>
            <w:tcBorders>
              <w:top w:val="single" w:sz="4" w:space="0" w:color="auto"/>
              <w:left w:val="nil"/>
              <w:bottom w:val="nil"/>
              <w:right w:val="nil"/>
            </w:tcBorders>
            <w:shd w:val="clear" w:color="auto" w:fill="auto"/>
            <w:noWrap/>
            <w:vAlign w:val="bottom"/>
          </w:tcPr>
          <w:p w:rsidR="005D33A7" w:rsidRPr="00854E06" w:rsidRDefault="005D33A7" w:rsidP="0072413E">
            <w:pPr>
              <w:jc w:val="right"/>
              <w:rPr>
                <w:rFonts w:cstheme="majorBidi"/>
                <w:color w:val="000000"/>
              </w:rPr>
            </w:pPr>
          </w:p>
        </w:tc>
      </w:tr>
      <w:tr w:rsidR="00DB0055" w:rsidRPr="00202D6C" w:rsidTr="005D33A7">
        <w:trPr>
          <w:trHeight w:val="330"/>
        </w:trPr>
        <w:tc>
          <w:tcPr>
            <w:tcW w:w="12975" w:type="dxa"/>
            <w:gridSpan w:val="9"/>
            <w:tcBorders>
              <w:top w:val="nil"/>
              <w:left w:val="nil"/>
              <w:bottom w:val="single" w:sz="4" w:space="0" w:color="auto"/>
              <w:right w:val="nil"/>
            </w:tcBorders>
            <w:shd w:val="clear" w:color="auto" w:fill="auto"/>
            <w:vAlign w:val="center"/>
          </w:tcPr>
          <w:p w:rsidR="00DB0055" w:rsidRPr="00202D6C" w:rsidRDefault="00DB0055" w:rsidP="00BE03C8">
            <w:pPr>
              <w:jc w:val="center"/>
              <w:rPr>
                <w:rFonts w:cstheme="majorBidi"/>
                <w:b/>
                <w:bCs/>
                <w:color w:val="000000"/>
              </w:rPr>
            </w:pPr>
            <w:r w:rsidRPr="00202D6C">
              <w:rPr>
                <w:rFonts w:cstheme="majorBidi"/>
                <w:b/>
                <w:bCs/>
                <w:color w:val="000000"/>
              </w:rPr>
              <w:lastRenderedPageBreak/>
              <w:t>Table 5 – 7. Continued.</w:t>
            </w:r>
          </w:p>
        </w:tc>
      </w:tr>
      <w:tr w:rsidR="00DB0055" w:rsidRPr="00854E06" w:rsidTr="00BE03C8">
        <w:trPr>
          <w:trHeight w:val="330"/>
        </w:trPr>
        <w:tc>
          <w:tcPr>
            <w:tcW w:w="1297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DB0055" w:rsidRPr="00854E06" w:rsidRDefault="00DB0055" w:rsidP="00BE03C8">
            <w:pPr>
              <w:jc w:val="center"/>
              <w:rPr>
                <w:rFonts w:cstheme="majorBidi"/>
                <w:b/>
                <w:bCs/>
                <w:i/>
                <w:iCs/>
                <w:color w:val="000000"/>
              </w:rPr>
            </w:pPr>
            <w:r w:rsidRPr="00854E06">
              <w:rPr>
                <w:rFonts w:cstheme="majorBidi"/>
                <w:b/>
                <w:bCs/>
                <w:i/>
                <w:iCs/>
                <w:color w:val="000000"/>
              </w:rPr>
              <w:t>Pearson correlation coefficients (</w:t>
            </w:r>
            <w:proofErr w:type="spellStart"/>
            <w:r w:rsidRPr="00854E06">
              <w:rPr>
                <w:rFonts w:cstheme="majorBidi"/>
                <w:b/>
                <w:bCs/>
                <w:i/>
                <w:iCs/>
                <w:color w:val="000000"/>
              </w:rPr>
              <w:t>r</w:t>
            </w:r>
            <w:r w:rsidRPr="00854E06">
              <w:rPr>
                <w:rFonts w:cstheme="majorBidi"/>
                <w:b/>
                <w:bCs/>
                <w:i/>
                <w:iCs/>
                <w:color w:val="000000"/>
                <w:vertAlign w:val="subscript"/>
              </w:rPr>
              <w:t>p</w:t>
            </w:r>
            <w:proofErr w:type="spellEnd"/>
            <w:r w:rsidRPr="00854E06">
              <w:rPr>
                <w:rFonts w:cstheme="majorBidi"/>
                <w:b/>
                <w:bCs/>
                <w:i/>
                <w:iCs/>
                <w:color w:val="000000"/>
              </w:rPr>
              <w:t>)</w:t>
            </w:r>
          </w:p>
        </w:tc>
      </w:tr>
      <w:tr w:rsidR="00DB0055" w:rsidRPr="00854E06" w:rsidTr="00BE03C8">
        <w:trPr>
          <w:trHeight w:val="33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DB0055" w:rsidRPr="00854E06" w:rsidRDefault="00DB0055" w:rsidP="00BE03C8">
            <w:pPr>
              <w:jc w:val="center"/>
              <w:rPr>
                <w:rFonts w:cstheme="majorBidi"/>
                <w:i/>
                <w:iCs/>
                <w:color w:val="000000"/>
              </w:rPr>
            </w:pPr>
            <w:r w:rsidRPr="00854E06">
              <w:rPr>
                <w:rFonts w:cstheme="majorBidi"/>
                <w:i/>
                <w:iCs/>
                <w:color w:val="000000"/>
              </w:rPr>
              <w:t xml:space="preserve">Monthly exponent </w:t>
            </w:r>
            <m:oMath>
              <m:r>
                <w:rPr>
                  <w:rFonts w:ascii="Cambria Math" w:hAnsi="Cambria Math" w:cstheme="majorBidi"/>
                  <w:color w:val="000000"/>
                </w:rPr>
                <m:t>b</m:t>
              </m:r>
            </m:oMath>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0055" w:rsidRPr="00854E06" w:rsidRDefault="00DB0055" w:rsidP="00BE03C8">
            <w:pPr>
              <w:jc w:val="center"/>
              <w:rPr>
                <w:rFonts w:cstheme="majorBidi"/>
                <w:color w:val="000000"/>
              </w:rPr>
            </w:pPr>
            <w:r w:rsidRPr="00854E06">
              <w:rPr>
                <w:rFonts w:cstheme="majorBidi"/>
                <w:color w:val="000000"/>
              </w:rPr>
              <w:t>Water</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0055" w:rsidRPr="00854E06" w:rsidRDefault="00DB0055" w:rsidP="00BE03C8">
            <w:pPr>
              <w:jc w:val="center"/>
              <w:rPr>
                <w:rFonts w:cstheme="majorBidi"/>
                <w:color w:val="000000"/>
              </w:rPr>
            </w:pPr>
            <w:r w:rsidRPr="00854E06">
              <w:rPr>
                <w:rFonts w:cstheme="majorBidi"/>
                <w:color w:val="000000"/>
              </w:rPr>
              <w:t>Developed area</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0055" w:rsidRPr="00854E06" w:rsidRDefault="00DB0055" w:rsidP="00BE03C8">
            <w:pPr>
              <w:jc w:val="center"/>
              <w:rPr>
                <w:rFonts w:cstheme="majorBidi"/>
                <w:color w:val="000000"/>
              </w:rPr>
            </w:pPr>
            <w:r w:rsidRPr="00854E06">
              <w:rPr>
                <w:rFonts w:cstheme="majorBidi"/>
                <w:color w:val="000000"/>
              </w:rPr>
              <w:t>Barren</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0055" w:rsidRPr="00854E06" w:rsidRDefault="00DB0055" w:rsidP="00BE03C8">
            <w:pPr>
              <w:jc w:val="center"/>
              <w:rPr>
                <w:rFonts w:cstheme="majorBidi"/>
                <w:color w:val="000000"/>
              </w:rPr>
            </w:pPr>
            <w:r w:rsidRPr="00854E06">
              <w:rPr>
                <w:rFonts w:cstheme="majorBidi"/>
                <w:color w:val="000000"/>
              </w:rPr>
              <w:t>Forested</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0055" w:rsidRPr="00854E06" w:rsidRDefault="00DB0055" w:rsidP="00BE03C8">
            <w:pPr>
              <w:jc w:val="center"/>
              <w:rPr>
                <w:rFonts w:cstheme="majorBidi"/>
                <w:color w:val="000000"/>
              </w:rPr>
            </w:pPr>
            <w:proofErr w:type="spellStart"/>
            <w:r w:rsidRPr="00854E06">
              <w:rPr>
                <w:rFonts w:cstheme="majorBidi"/>
                <w:color w:val="000000"/>
              </w:rPr>
              <w:t>Shrubland</w:t>
            </w:r>
            <w:proofErr w:type="spellEnd"/>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0055" w:rsidRPr="00854E06" w:rsidRDefault="00DB0055" w:rsidP="00BE03C8">
            <w:pPr>
              <w:jc w:val="center"/>
              <w:rPr>
                <w:rFonts w:cstheme="majorBidi"/>
                <w:color w:val="000000"/>
              </w:rPr>
            </w:pPr>
            <w:r w:rsidRPr="00854E06">
              <w:rPr>
                <w:rFonts w:cstheme="majorBidi"/>
                <w:color w:val="000000"/>
              </w:rPr>
              <w:t>Semi-natural</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0055" w:rsidRPr="00854E06" w:rsidRDefault="00DB0055" w:rsidP="00BE03C8">
            <w:pPr>
              <w:jc w:val="center"/>
              <w:rPr>
                <w:rFonts w:cstheme="majorBidi"/>
                <w:color w:val="000000"/>
              </w:rPr>
            </w:pPr>
            <w:r w:rsidRPr="00854E06">
              <w:rPr>
                <w:rFonts w:cstheme="majorBidi"/>
                <w:color w:val="000000"/>
              </w:rPr>
              <w:t>Agriculture</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0055" w:rsidRPr="00854E06" w:rsidRDefault="00DB0055" w:rsidP="00BE03C8">
            <w:pPr>
              <w:jc w:val="center"/>
              <w:rPr>
                <w:rFonts w:cstheme="majorBidi"/>
                <w:color w:val="000000"/>
              </w:rPr>
            </w:pPr>
            <w:r w:rsidRPr="00854E06">
              <w:rPr>
                <w:rFonts w:cstheme="majorBidi"/>
                <w:color w:val="000000"/>
              </w:rPr>
              <w:t>Wetland</w:t>
            </w:r>
          </w:p>
        </w:tc>
      </w:tr>
      <w:tr w:rsidR="00FA7851" w:rsidRPr="00854E06" w:rsidTr="00BE03C8">
        <w:trPr>
          <w:trHeight w:val="33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FA7851" w:rsidRPr="00854E06" w:rsidRDefault="00FA7851" w:rsidP="00BE03C8">
            <w:pPr>
              <w:jc w:val="right"/>
              <w:rPr>
                <w:rFonts w:cstheme="majorBidi"/>
                <w:color w:val="000000"/>
              </w:rPr>
            </w:pPr>
            <w:r>
              <w:rPr>
                <w:rFonts w:cstheme="majorBidi"/>
                <w:color w:val="000000"/>
              </w:rPr>
              <w:t>June</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A7851" w:rsidRPr="004609F2" w:rsidRDefault="00FA7851" w:rsidP="00BE03C8">
            <w:pPr>
              <w:jc w:val="right"/>
              <w:rPr>
                <w:rFonts w:cstheme="majorBidi"/>
                <w:color w:val="000000"/>
              </w:rPr>
            </w:pPr>
            <w:r>
              <w:rPr>
                <w:rFonts w:cstheme="majorBidi"/>
                <w:color w:val="000000"/>
              </w:rPr>
              <w:t>0.051</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A7851" w:rsidRPr="004609F2" w:rsidRDefault="00FA7851" w:rsidP="00BE03C8">
            <w:pPr>
              <w:jc w:val="right"/>
              <w:rPr>
                <w:rFonts w:cstheme="majorBidi"/>
                <w:color w:val="000000"/>
              </w:rPr>
            </w:pPr>
            <w:r>
              <w:rPr>
                <w:rFonts w:cstheme="majorBidi"/>
                <w:color w:val="000000"/>
              </w:rPr>
              <w:t>-0.091</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A7851" w:rsidRPr="00854E06" w:rsidRDefault="00FA7851" w:rsidP="00BE03C8">
            <w:pPr>
              <w:jc w:val="right"/>
              <w:rPr>
                <w:rFonts w:cstheme="majorBidi"/>
                <w:color w:val="000000"/>
              </w:rPr>
            </w:pPr>
            <w:r>
              <w:rPr>
                <w:rFonts w:cstheme="majorBidi"/>
                <w:color w:val="000000"/>
              </w:rPr>
              <w:t>-0.061</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A7851" w:rsidRPr="00854E06" w:rsidRDefault="00FA7851" w:rsidP="00BE03C8">
            <w:pPr>
              <w:jc w:val="right"/>
              <w:rPr>
                <w:rFonts w:cstheme="majorBidi"/>
                <w:color w:val="000000"/>
              </w:rPr>
            </w:pPr>
            <w:r>
              <w:rPr>
                <w:rFonts w:cstheme="majorBidi"/>
                <w:color w:val="000000"/>
              </w:rPr>
              <w:t>0.091</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A7851" w:rsidRPr="00854E06" w:rsidRDefault="00FA7851" w:rsidP="00BE03C8">
            <w:pPr>
              <w:jc w:val="right"/>
              <w:rPr>
                <w:rFonts w:cstheme="majorBidi"/>
                <w:color w:val="000000"/>
              </w:rPr>
            </w:pPr>
            <w:r>
              <w:rPr>
                <w:rFonts w:cstheme="majorBidi"/>
                <w:color w:val="000000"/>
              </w:rPr>
              <w:t>0.078</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A7851" w:rsidRPr="00854E06" w:rsidRDefault="00FA7851" w:rsidP="00BE03C8">
            <w:pPr>
              <w:jc w:val="right"/>
              <w:rPr>
                <w:rFonts w:cstheme="majorBidi"/>
                <w:color w:val="000000"/>
              </w:rPr>
            </w:pPr>
            <w:r>
              <w:rPr>
                <w:rFonts w:cstheme="majorBidi"/>
                <w:color w:val="000000"/>
              </w:rPr>
              <w:t>-0.132</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FA7851" w:rsidRPr="00854E06" w:rsidRDefault="00FA7851" w:rsidP="00BE03C8">
            <w:pPr>
              <w:jc w:val="right"/>
              <w:rPr>
                <w:rFonts w:cstheme="majorBidi"/>
                <w:color w:val="000000"/>
              </w:rPr>
            </w:pPr>
            <w:r>
              <w:rPr>
                <w:rFonts w:cstheme="majorBidi"/>
                <w:color w:val="000000"/>
              </w:rPr>
              <w:t>0.073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FA7851" w:rsidRPr="00854E06" w:rsidRDefault="00FA7851" w:rsidP="00BE03C8">
            <w:pPr>
              <w:jc w:val="right"/>
              <w:rPr>
                <w:rFonts w:cstheme="majorBidi"/>
                <w:color w:val="000000"/>
              </w:rPr>
            </w:pPr>
            <w:r>
              <w:rPr>
                <w:rFonts w:cstheme="majorBidi"/>
                <w:color w:val="000000"/>
              </w:rPr>
              <w:t>-0.127</w:t>
            </w:r>
          </w:p>
        </w:tc>
      </w:tr>
      <w:tr w:rsidR="00DB0055" w:rsidRPr="00854E06" w:rsidTr="00BE03C8">
        <w:trPr>
          <w:trHeight w:val="33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DB0055" w:rsidRPr="00854E06" w:rsidRDefault="00DB0055" w:rsidP="00BE03C8">
            <w:pPr>
              <w:jc w:val="right"/>
              <w:rPr>
                <w:rFonts w:cstheme="majorBidi"/>
                <w:color w:val="000000"/>
              </w:rPr>
            </w:pPr>
            <w:r w:rsidRPr="00854E06">
              <w:rPr>
                <w:rFonts w:cstheme="majorBidi"/>
                <w:color w:val="000000"/>
              </w:rPr>
              <w:t>July</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4609F2" w:rsidRDefault="004609F2" w:rsidP="00BE03C8">
            <w:pPr>
              <w:jc w:val="right"/>
              <w:rPr>
                <w:rFonts w:cstheme="majorBidi"/>
                <w:color w:val="000000"/>
              </w:rPr>
            </w:pPr>
            <w:r w:rsidRPr="004609F2">
              <w:rPr>
                <w:rFonts w:cstheme="majorBidi"/>
                <w:color w:val="000000"/>
              </w:rPr>
              <w:t>0.096</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4609F2" w:rsidRDefault="004609F2" w:rsidP="00BE03C8">
            <w:pPr>
              <w:jc w:val="right"/>
              <w:rPr>
                <w:rFonts w:cstheme="majorBidi"/>
                <w:color w:val="000000"/>
              </w:rPr>
            </w:pPr>
            <w:r w:rsidRPr="004609F2">
              <w:rPr>
                <w:rFonts w:cstheme="majorBidi"/>
                <w:color w:val="000000"/>
              </w:rPr>
              <w:t>-0.163</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0.028</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0.087</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0.064</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-0.061</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0.081</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-0.129</w:t>
            </w:r>
          </w:p>
        </w:tc>
      </w:tr>
      <w:tr w:rsidR="00DB0055" w:rsidRPr="00854E06" w:rsidTr="00BE03C8">
        <w:trPr>
          <w:trHeight w:val="33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DB0055" w:rsidRPr="00854E06" w:rsidRDefault="00DB0055" w:rsidP="00BE03C8">
            <w:pPr>
              <w:jc w:val="right"/>
              <w:rPr>
                <w:rFonts w:cstheme="majorBidi"/>
                <w:color w:val="000000"/>
              </w:rPr>
            </w:pPr>
            <w:r w:rsidRPr="00854E06">
              <w:rPr>
                <w:rFonts w:cstheme="majorBidi"/>
                <w:color w:val="000000"/>
              </w:rPr>
              <w:t>August</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4609F2" w:rsidRDefault="004609F2" w:rsidP="00BE03C8">
            <w:pPr>
              <w:jc w:val="right"/>
              <w:rPr>
                <w:rFonts w:cstheme="majorBidi"/>
                <w:color w:val="000000"/>
              </w:rPr>
            </w:pPr>
            <w:r w:rsidRPr="004609F2">
              <w:rPr>
                <w:rFonts w:cstheme="majorBidi"/>
                <w:color w:val="000000"/>
              </w:rPr>
              <w:t>0.090</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4609F2" w:rsidRDefault="004609F2" w:rsidP="00BE03C8">
            <w:pPr>
              <w:jc w:val="right"/>
              <w:rPr>
                <w:rFonts w:cstheme="majorBidi"/>
                <w:color w:val="000000"/>
              </w:rPr>
            </w:pPr>
            <w:r w:rsidRPr="004609F2">
              <w:rPr>
                <w:rFonts w:cstheme="majorBidi"/>
                <w:color w:val="000000"/>
              </w:rPr>
              <w:t>-0.168</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-0.078</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0.112</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0.046</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-0.089</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0.115</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-0.067</w:t>
            </w:r>
          </w:p>
        </w:tc>
      </w:tr>
      <w:tr w:rsidR="00DB0055" w:rsidRPr="00854E06" w:rsidTr="00BE03C8">
        <w:trPr>
          <w:trHeight w:val="33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DB0055" w:rsidRPr="00854E06" w:rsidRDefault="00DB0055" w:rsidP="00BE03C8">
            <w:pPr>
              <w:jc w:val="right"/>
              <w:rPr>
                <w:rFonts w:cstheme="majorBidi"/>
                <w:color w:val="000000"/>
              </w:rPr>
            </w:pPr>
            <w:r w:rsidRPr="00854E06">
              <w:rPr>
                <w:rFonts w:cstheme="majorBidi"/>
                <w:color w:val="000000"/>
              </w:rPr>
              <w:t>September</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4609F2" w:rsidRDefault="004609F2" w:rsidP="00BE03C8">
            <w:pPr>
              <w:jc w:val="right"/>
              <w:rPr>
                <w:rFonts w:cstheme="majorBidi"/>
                <w:color w:val="000000"/>
              </w:rPr>
            </w:pPr>
            <w:r w:rsidRPr="004609F2">
              <w:rPr>
                <w:rFonts w:cstheme="majorBidi"/>
                <w:color w:val="000000"/>
              </w:rPr>
              <w:t>0.026</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4609F2" w:rsidRDefault="004609F2" w:rsidP="00BE03C8">
            <w:pPr>
              <w:jc w:val="right"/>
              <w:rPr>
                <w:rFonts w:cstheme="majorBidi"/>
                <w:color w:val="000000"/>
              </w:rPr>
            </w:pPr>
            <w:r w:rsidRPr="004609F2">
              <w:rPr>
                <w:rFonts w:cstheme="majorBidi"/>
                <w:color w:val="000000"/>
              </w:rPr>
              <w:t>-0.222</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-0.057</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FA7851" w:rsidRDefault="00FA7851" w:rsidP="00BE03C8">
            <w:pPr>
              <w:jc w:val="right"/>
              <w:rPr>
                <w:rFonts w:cstheme="majorBidi"/>
                <w:color w:val="000000"/>
              </w:rPr>
            </w:pPr>
            <w:r w:rsidRPr="00FA7851">
              <w:rPr>
                <w:rFonts w:cstheme="majorBidi"/>
                <w:color w:val="000000"/>
              </w:rPr>
              <w:t>0.104</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FA7851" w:rsidRDefault="00FA7851" w:rsidP="00BE03C8">
            <w:pPr>
              <w:jc w:val="right"/>
              <w:rPr>
                <w:rFonts w:cstheme="majorBidi"/>
                <w:color w:val="000000"/>
              </w:rPr>
            </w:pPr>
            <w:r w:rsidRPr="00FA7851">
              <w:rPr>
                <w:rFonts w:cstheme="majorBidi"/>
                <w:color w:val="000000"/>
              </w:rPr>
              <w:t>0.057</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FA7851" w:rsidRDefault="00FA7851" w:rsidP="00BE03C8">
            <w:pPr>
              <w:jc w:val="right"/>
              <w:rPr>
                <w:rFonts w:cstheme="majorBidi"/>
                <w:color w:val="000000"/>
              </w:rPr>
            </w:pPr>
            <w:r w:rsidRPr="00FA7851">
              <w:rPr>
                <w:rFonts w:cstheme="majorBidi"/>
                <w:color w:val="000000"/>
              </w:rPr>
              <w:t>-0.075</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0.034</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-0.009</w:t>
            </w:r>
          </w:p>
        </w:tc>
      </w:tr>
      <w:tr w:rsidR="00DB0055" w:rsidRPr="00854E06" w:rsidTr="00BE03C8">
        <w:trPr>
          <w:trHeight w:val="33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DB0055" w:rsidRPr="00854E06" w:rsidRDefault="00DB0055" w:rsidP="00BE03C8">
            <w:pPr>
              <w:jc w:val="right"/>
              <w:rPr>
                <w:rFonts w:cstheme="majorBidi"/>
                <w:color w:val="000000"/>
              </w:rPr>
            </w:pPr>
            <w:r w:rsidRPr="00854E06">
              <w:rPr>
                <w:rFonts w:cstheme="majorBidi"/>
                <w:color w:val="000000"/>
              </w:rPr>
              <w:t>October</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4609F2" w:rsidRDefault="004609F2" w:rsidP="00BE03C8">
            <w:pPr>
              <w:jc w:val="right"/>
              <w:rPr>
                <w:rFonts w:cstheme="majorBidi"/>
                <w:color w:val="000000"/>
              </w:rPr>
            </w:pPr>
            <w:r w:rsidRPr="004609F2">
              <w:rPr>
                <w:rFonts w:cstheme="majorBidi"/>
                <w:color w:val="000000"/>
              </w:rPr>
              <w:t>0.090</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4609F2" w:rsidRDefault="004609F2" w:rsidP="00BE03C8">
            <w:pPr>
              <w:jc w:val="right"/>
              <w:rPr>
                <w:rFonts w:cstheme="majorBidi"/>
                <w:color w:val="000000"/>
              </w:rPr>
            </w:pPr>
            <w:r w:rsidRPr="004609F2">
              <w:rPr>
                <w:rFonts w:cstheme="majorBidi"/>
                <w:color w:val="000000"/>
              </w:rPr>
              <w:t>-0.191</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-0.045</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FA7851" w:rsidRDefault="00FA7851" w:rsidP="00BE03C8">
            <w:pPr>
              <w:jc w:val="right"/>
              <w:rPr>
                <w:rFonts w:cstheme="majorBidi"/>
                <w:color w:val="000000"/>
              </w:rPr>
            </w:pPr>
            <w:r w:rsidRPr="00FA7851">
              <w:rPr>
                <w:rFonts w:cstheme="majorBidi"/>
                <w:color w:val="000000"/>
              </w:rPr>
              <w:t>0.230</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FA7851" w:rsidRDefault="00FA7851" w:rsidP="00BE03C8">
            <w:pPr>
              <w:jc w:val="right"/>
              <w:rPr>
                <w:rFonts w:cstheme="majorBidi"/>
                <w:color w:val="000000"/>
              </w:rPr>
            </w:pPr>
            <w:r w:rsidRPr="00FA7851">
              <w:rPr>
                <w:rFonts w:cstheme="majorBidi"/>
                <w:color w:val="000000"/>
              </w:rPr>
              <w:t>0.045</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FA7851" w:rsidRDefault="00FA7851" w:rsidP="00BE03C8">
            <w:pPr>
              <w:jc w:val="right"/>
              <w:rPr>
                <w:rFonts w:cstheme="majorBidi"/>
                <w:color w:val="000000"/>
              </w:rPr>
            </w:pPr>
            <w:r w:rsidRPr="00FA7851">
              <w:rPr>
                <w:rFonts w:cstheme="majorBidi"/>
                <w:color w:val="000000"/>
              </w:rPr>
              <w:t>-0.052</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-0.110</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-0.057</w:t>
            </w:r>
          </w:p>
        </w:tc>
      </w:tr>
      <w:tr w:rsidR="00DB0055" w:rsidRPr="00854E06" w:rsidTr="00BE03C8">
        <w:trPr>
          <w:trHeight w:val="33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DB0055" w:rsidRPr="00854E06" w:rsidRDefault="00DB0055" w:rsidP="00BE03C8">
            <w:pPr>
              <w:jc w:val="right"/>
              <w:rPr>
                <w:rFonts w:cstheme="majorBidi"/>
                <w:color w:val="000000"/>
              </w:rPr>
            </w:pPr>
            <w:r w:rsidRPr="00854E06">
              <w:rPr>
                <w:rFonts w:cstheme="majorBidi"/>
                <w:color w:val="000000"/>
              </w:rPr>
              <w:t>November</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4609F2" w:rsidRDefault="004609F2" w:rsidP="00BE03C8">
            <w:pPr>
              <w:jc w:val="right"/>
              <w:rPr>
                <w:rFonts w:cstheme="majorBidi"/>
                <w:color w:val="000000"/>
              </w:rPr>
            </w:pPr>
            <w:r w:rsidRPr="004609F2">
              <w:rPr>
                <w:rFonts w:cstheme="majorBidi"/>
                <w:color w:val="000000"/>
              </w:rPr>
              <w:t>0.207</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4609F2" w:rsidRDefault="004609F2" w:rsidP="00BE03C8">
            <w:pPr>
              <w:jc w:val="right"/>
              <w:rPr>
                <w:rFonts w:cstheme="majorBidi"/>
                <w:color w:val="000000"/>
              </w:rPr>
            </w:pPr>
            <w:r w:rsidRPr="004609F2">
              <w:rPr>
                <w:rFonts w:cstheme="majorBidi"/>
                <w:color w:val="000000"/>
              </w:rPr>
              <w:t>-0.171</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0.004</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FA7851" w:rsidRDefault="00FA7851" w:rsidP="00BE03C8">
            <w:pPr>
              <w:jc w:val="right"/>
              <w:rPr>
                <w:rFonts w:cstheme="majorBidi"/>
                <w:color w:val="000000"/>
              </w:rPr>
            </w:pPr>
            <w:r w:rsidRPr="00FA7851">
              <w:rPr>
                <w:rFonts w:cstheme="majorBidi"/>
                <w:color w:val="000000"/>
              </w:rPr>
              <w:t>0.145</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FA7851" w:rsidRDefault="00FA7851" w:rsidP="00BE03C8">
            <w:pPr>
              <w:jc w:val="right"/>
              <w:rPr>
                <w:rFonts w:cstheme="majorBidi"/>
                <w:color w:val="000000"/>
              </w:rPr>
            </w:pPr>
            <w:r w:rsidRPr="00FA7851">
              <w:rPr>
                <w:rFonts w:cstheme="majorBidi"/>
                <w:color w:val="000000"/>
              </w:rPr>
              <w:t>0.027</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FA7851" w:rsidRDefault="00FA7851" w:rsidP="00BE03C8">
            <w:pPr>
              <w:jc w:val="right"/>
              <w:rPr>
                <w:rFonts w:cstheme="majorBidi"/>
                <w:color w:val="000000"/>
              </w:rPr>
            </w:pPr>
            <w:r w:rsidRPr="00FA7851">
              <w:rPr>
                <w:rFonts w:cstheme="majorBidi"/>
                <w:color w:val="000000"/>
              </w:rPr>
              <w:t>-0.058</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-0.043</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-0.043</w:t>
            </w:r>
          </w:p>
        </w:tc>
      </w:tr>
      <w:tr w:rsidR="00DB0055" w:rsidRPr="00854E06" w:rsidTr="00BE03C8">
        <w:trPr>
          <w:trHeight w:val="330"/>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tcPr>
          <w:p w:rsidR="00DB0055" w:rsidRPr="00854E06" w:rsidRDefault="00DB0055" w:rsidP="00BE03C8">
            <w:pPr>
              <w:jc w:val="right"/>
              <w:rPr>
                <w:rFonts w:cstheme="majorBidi"/>
                <w:color w:val="000000"/>
              </w:rPr>
            </w:pPr>
            <w:r w:rsidRPr="00854E06">
              <w:rPr>
                <w:rFonts w:cstheme="majorBidi"/>
                <w:color w:val="000000"/>
              </w:rPr>
              <w:t>December</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4609F2" w:rsidRDefault="004609F2" w:rsidP="00BE03C8">
            <w:pPr>
              <w:jc w:val="right"/>
              <w:rPr>
                <w:rFonts w:cstheme="majorBidi"/>
                <w:color w:val="000000"/>
              </w:rPr>
            </w:pPr>
            <w:r w:rsidRPr="004609F2">
              <w:rPr>
                <w:rFonts w:cstheme="majorBidi"/>
                <w:color w:val="000000"/>
              </w:rPr>
              <w:t>0.106</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4609F2" w:rsidRDefault="004609F2" w:rsidP="00BE03C8">
            <w:pPr>
              <w:jc w:val="right"/>
              <w:rPr>
                <w:rFonts w:cstheme="majorBidi"/>
                <w:color w:val="000000"/>
              </w:rPr>
            </w:pPr>
            <w:r w:rsidRPr="004609F2">
              <w:rPr>
                <w:rFonts w:cstheme="majorBidi"/>
                <w:color w:val="000000"/>
              </w:rPr>
              <w:t>-0.099</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-0.054</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FA7851" w:rsidRDefault="00FA7851" w:rsidP="00BE03C8">
            <w:pPr>
              <w:jc w:val="right"/>
              <w:rPr>
                <w:rFonts w:cstheme="majorBidi"/>
                <w:color w:val="000000"/>
              </w:rPr>
            </w:pPr>
            <w:r w:rsidRPr="00FA7851">
              <w:rPr>
                <w:rFonts w:cstheme="majorBidi"/>
                <w:color w:val="000000"/>
              </w:rPr>
              <w:t>0.084</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FA7851" w:rsidRDefault="00FA7851" w:rsidP="00BE03C8">
            <w:pPr>
              <w:jc w:val="right"/>
              <w:rPr>
                <w:rFonts w:cstheme="majorBidi"/>
                <w:color w:val="000000"/>
              </w:rPr>
            </w:pPr>
            <w:r w:rsidRPr="00FA7851">
              <w:rPr>
                <w:rFonts w:cstheme="majorBidi"/>
                <w:color w:val="000000"/>
              </w:rPr>
              <w:t>0.041</w:t>
            </w: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FA7851" w:rsidRDefault="00FA7851" w:rsidP="00BE03C8">
            <w:pPr>
              <w:jc w:val="right"/>
              <w:rPr>
                <w:rFonts w:cstheme="majorBidi"/>
                <w:color w:val="000000"/>
              </w:rPr>
            </w:pPr>
            <w:r w:rsidRPr="00FA7851">
              <w:rPr>
                <w:rFonts w:cstheme="majorBidi"/>
                <w:color w:val="000000"/>
              </w:rPr>
              <w:t>0.021</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0.026</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B0055" w:rsidRPr="00854E06" w:rsidRDefault="00FA7851" w:rsidP="00BE03C8">
            <w:pPr>
              <w:jc w:val="right"/>
              <w:rPr>
                <w:rFonts w:cstheme="majorBidi"/>
                <w:color w:val="000000"/>
              </w:rPr>
            </w:pPr>
            <w:r>
              <w:rPr>
                <w:rFonts w:cstheme="majorBidi"/>
                <w:color w:val="000000"/>
              </w:rPr>
              <w:t>-0.033</w:t>
            </w:r>
          </w:p>
        </w:tc>
      </w:tr>
    </w:tbl>
    <w:p w:rsidR="00025130" w:rsidRPr="00854E06" w:rsidRDefault="00DB0055" w:rsidP="0002513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rPr>
          <w:rFonts w:asciiTheme="majorBidi" w:hAnsiTheme="majorBidi" w:cstheme="majorBidi"/>
          <w:sz w:val="24"/>
          <w:szCs w:val="24"/>
        </w:rPr>
      </w:pPr>
      <w:r>
        <w:rPr>
          <w:rFonts w:asciiTheme="majorBidi" w:hAnsiTheme="majorBidi" w:cstheme="majorBidi"/>
          <w:sz w:val="24"/>
          <w:szCs w:val="24"/>
        </w:rPr>
        <w:t xml:space="preserve"> </w:t>
      </w:r>
      <w:r w:rsidR="00025130">
        <w:rPr>
          <w:rFonts w:asciiTheme="majorBidi" w:hAnsiTheme="majorBidi" w:cstheme="majorBidi"/>
          <w:sz w:val="24"/>
          <w:szCs w:val="24"/>
        </w:rPr>
        <w:t>(***)</w:t>
      </w:r>
      <w:r w:rsidR="00025130" w:rsidRPr="00854E06">
        <w:rPr>
          <w:rFonts w:asciiTheme="majorBidi" w:hAnsiTheme="majorBidi" w:cstheme="majorBidi"/>
          <w:sz w:val="24"/>
          <w:szCs w:val="24"/>
        </w:rPr>
        <w:t>: P &lt; 0.01</w:t>
      </w:r>
    </w:p>
    <w:p w:rsidR="00025130" w:rsidRPr="00854E06" w:rsidRDefault="00025130" w:rsidP="0002513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120" w:after="120" w:line="480" w:lineRule="auto"/>
        <w:rPr>
          <w:rFonts w:asciiTheme="majorBidi" w:hAnsiTheme="majorBidi" w:cstheme="majorBidi"/>
          <w:sz w:val="24"/>
          <w:szCs w:val="24"/>
        </w:rPr>
      </w:pPr>
      <w:r w:rsidRPr="00854E06">
        <w:rPr>
          <w:rFonts w:asciiTheme="majorBidi" w:hAnsiTheme="majorBidi" w:cstheme="majorBidi"/>
          <w:sz w:val="24"/>
          <w:szCs w:val="24"/>
        </w:rPr>
        <w:t>(*): P &lt; 0.05</w:t>
      </w:r>
    </w:p>
    <w:p w:rsidR="00025130" w:rsidRDefault="00025130" w:rsidP="00E0606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uto"/>
        <w:rPr>
          <w:rFonts w:asciiTheme="majorBidi" w:hAnsiTheme="majorBidi" w:cstheme="majorBidi"/>
          <w:sz w:val="24"/>
          <w:szCs w:val="24"/>
        </w:rPr>
        <w:sectPr w:rsidR="00025130">
          <w:pgSz w:w="15840" w:h="12240" w:orient="landscape"/>
          <w:pgMar w:top="1440" w:right="1440" w:bottom="1440" w:left="1440" w:header="720" w:footer="720" w:gutter="0"/>
          <w:cols w:space="720"/>
          <w:docGrid w:linePitch="360"/>
        </w:sectPr>
      </w:pPr>
    </w:p>
    <w:p w:rsidR="00025130" w:rsidRPr="00854E06" w:rsidRDefault="00406BED" w:rsidP="00025130">
      <w:pPr>
        <w:keepNext/>
        <w:spacing w:line="480" w:lineRule="auto"/>
        <w:jc w:val="center"/>
      </w:pPr>
      <w:r>
        <w:rPr>
          <w:noProof/>
        </w:rPr>
        <w:lastRenderedPageBreak/>
        <w:drawing>
          <wp:inline distT="0" distB="0" distL="0" distR="0" wp14:anchorId="5BA72860" wp14:editId="36C4CD7B">
            <wp:extent cx="3739896" cy="2602345"/>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_loga_annual.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739896" cy="2602345"/>
                    </a:xfrm>
                    <a:prstGeom prst="rect">
                      <a:avLst/>
                    </a:prstGeom>
                  </pic:spPr>
                </pic:pic>
              </a:graphicData>
            </a:graphic>
          </wp:inline>
        </w:drawing>
      </w:r>
    </w:p>
    <w:p w:rsidR="00025130" w:rsidRDefault="00025130" w:rsidP="00025130">
      <w:pPr>
        <w:pStyle w:val="Caption"/>
        <w:keepNext/>
        <w:jc w:val="center"/>
        <w:rPr>
          <w:rFonts w:cstheme="majorBidi"/>
          <w:color w:val="auto"/>
          <w:sz w:val="24"/>
          <w:szCs w:val="24"/>
        </w:rPr>
      </w:pPr>
      <w:bookmarkStart w:id="91" w:name="_Toc387129238"/>
      <w:bookmarkStart w:id="92" w:name="_Toc393312246"/>
      <w:bookmarkStart w:id="93" w:name="_Toc393799559"/>
      <w:proofErr w:type="gramStart"/>
      <w:r w:rsidRPr="00854E06">
        <w:rPr>
          <w:rFonts w:cstheme="majorBidi"/>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1</w:t>
      </w:r>
      <w:r w:rsidR="00F41E6A" w:rsidRPr="00854E06">
        <w:rPr>
          <w:rFonts w:cstheme="majorBidi"/>
          <w:color w:val="auto"/>
          <w:sz w:val="24"/>
          <w:szCs w:val="24"/>
        </w:rPr>
        <w:fldChar w:fldCharType="end"/>
      </w:r>
      <w:r w:rsidRPr="00854E06">
        <w:rPr>
          <w:rFonts w:cstheme="majorBidi"/>
          <w:color w:val="auto"/>
          <w:sz w:val="24"/>
          <w:szCs w:val="24"/>
        </w:rPr>
        <w:t>.</w:t>
      </w:r>
      <w:proofErr w:type="gramEnd"/>
      <w:r w:rsidRPr="00854E06">
        <w:rPr>
          <w:rFonts w:cstheme="majorBidi"/>
          <w:color w:val="auto"/>
          <w:sz w:val="24"/>
          <w:szCs w:val="24"/>
        </w:rPr>
        <w:t xml:space="preserve"> Histogram of the annual </w:t>
      </w:r>
      <m:oMath>
        <m:r>
          <m:rPr>
            <m:sty m:val="bi"/>
          </m:rPr>
          <w:rPr>
            <w:rFonts w:ascii="Cambria Math" w:hAnsi="Cambria Math" w:cstheme="majorBidi"/>
            <w:color w:val="auto"/>
            <w:sz w:val="24"/>
            <w:szCs w:val="24"/>
          </w:rPr>
          <m:t>ln(a)</m:t>
        </m:r>
      </m:oMath>
      <w:r w:rsidRPr="00854E06">
        <w:rPr>
          <w:rFonts w:cstheme="majorBidi"/>
          <w:color w:val="auto"/>
          <w:sz w:val="24"/>
          <w:szCs w:val="24"/>
        </w:rPr>
        <w:t xml:space="preserve"> as measured at 6</w:t>
      </w:r>
      <w:r w:rsidR="00E06476">
        <w:rPr>
          <w:rFonts w:cstheme="majorBidi"/>
          <w:color w:val="auto"/>
          <w:sz w:val="24"/>
          <w:szCs w:val="24"/>
        </w:rPr>
        <w:t>4</w:t>
      </w:r>
      <w:r w:rsidRPr="00854E06">
        <w:rPr>
          <w:rFonts w:cstheme="majorBidi"/>
          <w:color w:val="auto"/>
          <w:sz w:val="24"/>
          <w:szCs w:val="24"/>
        </w:rPr>
        <w:t xml:space="preserve"> gauging stations in the UMRB</w:t>
      </w:r>
      <w:bookmarkEnd w:id="91"/>
      <w:r w:rsidRPr="00854E06">
        <w:rPr>
          <w:rFonts w:cstheme="majorBidi"/>
          <w:color w:val="auto"/>
          <w:sz w:val="24"/>
          <w:szCs w:val="24"/>
        </w:rPr>
        <w:t>.</w:t>
      </w:r>
      <w:bookmarkEnd w:id="92"/>
      <w:bookmarkEnd w:id="93"/>
    </w:p>
    <w:p w:rsidR="00025130" w:rsidRPr="00854E06" w:rsidRDefault="00406BED" w:rsidP="00025130">
      <w:pPr>
        <w:spacing w:line="480" w:lineRule="auto"/>
        <w:jc w:val="center"/>
        <w:rPr>
          <w:rFonts w:eastAsiaTheme="minorEastAsia" w:cstheme="majorBidi"/>
        </w:rPr>
      </w:pPr>
      <w:r>
        <w:rPr>
          <w:rFonts w:eastAsiaTheme="minorEastAsia" w:cstheme="majorBidi"/>
          <w:noProof/>
        </w:rPr>
        <w:drawing>
          <wp:inline distT="0" distB="0" distL="0" distR="0" wp14:anchorId="370BC306" wp14:editId="594580C4">
            <wp:extent cx="3739896" cy="2602345"/>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_b_annual.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739896" cy="2602345"/>
                    </a:xfrm>
                    <a:prstGeom prst="rect">
                      <a:avLst/>
                    </a:prstGeom>
                  </pic:spPr>
                </pic:pic>
              </a:graphicData>
            </a:graphic>
          </wp:inline>
        </w:drawing>
      </w:r>
    </w:p>
    <w:p w:rsidR="00025130" w:rsidRDefault="00025130" w:rsidP="00E06476">
      <w:pPr>
        <w:pStyle w:val="Caption"/>
        <w:jc w:val="center"/>
        <w:rPr>
          <w:rFonts w:cstheme="majorBidi"/>
          <w:color w:val="auto"/>
          <w:sz w:val="24"/>
          <w:szCs w:val="24"/>
        </w:rPr>
      </w:pPr>
      <w:bookmarkStart w:id="94" w:name="_Toc387129239"/>
      <w:bookmarkStart w:id="95" w:name="_Toc393312247"/>
      <w:bookmarkStart w:id="96" w:name="_Toc393799560"/>
      <w:proofErr w:type="gramStart"/>
      <w:r w:rsidRPr="00854E06">
        <w:rPr>
          <w:rFonts w:cstheme="majorBidi"/>
          <w:color w:val="auto"/>
          <w:sz w:val="24"/>
          <w:szCs w:val="24"/>
        </w:rPr>
        <w:t>Figure 5 -</w:t>
      </w:r>
      <w:r w:rsidR="00F41E6A" w:rsidRPr="00AA7076">
        <w:rPr>
          <w:color w:val="auto"/>
          <w:sz w:val="24"/>
          <w:szCs w:val="24"/>
        </w:rPr>
        <w:fldChar w:fldCharType="begin"/>
      </w:r>
      <w:r w:rsidRPr="00AA7076">
        <w:rPr>
          <w:color w:val="auto"/>
          <w:sz w:val="24"/>
          <w:szCs w:val="24"/>
        </w:rPr>
        <w:instrText xml:space="preserve"> SEQ Figure_5_- \* ARABIC </w:instrText>
      </w:r>
      <w:r w:rsidR="00F41E6A" w:rsidRPr="00AA7076">
        <w:rPr>
          <w:color w:val="auto"/>
          <w:sz w:val="24"/>
          <w:szCs w:val="24"/>
        </w:rPr>
        <w:fldChar w:fldCharType="separate"/>
      </w:r>
      <w:r w:rsidR="008E2F67">
        <w:rPr>
          <w:noProof/>
          <w:color w:val="auto"/>
          <w:sz w:val="24"/>
          <w:szCs w:val="24"/>
        </w:rPr>
        <w:t>2</w:t>
      </w:r>
      <w:r w:rsidR="00F41E6A" w:rsidRPr="00AA7076">
        <w:rPr>
          <w:color w:val="auto"/>
          <w:sz w:val="24"/>
          <w:szCs w:val="24"/>
        </w:rPr>
        <w:fldChar w:fldCharType="end"/>
      </w:r>
      <w:r w:rsidRPr="00854E06">
        <w:rPr>
          <w:rFonts w:cstheme="majorBidi"/>
          <w:color w:val="auto"/>
          <w:sz w:val="24"/>
          <w:szCs w:val="24"/>
        </w:rPr>
        <w:t>.</w:t>
      </w:r>
      <w:proofErr w:type="gramEnd"/>
      <w:r w:rsidRPr="00854E06">
        <w:rPr>
          <w:rFonts w:cstheme="majorBidi"/>
          <w:color w:val="auto"/>
          <w:sz w:val="24"/>
          <w:szCs w:val="24"/>
        </w:rPr>
        <w:t xml:space="preserve"> Histogram of the annual exponent </w:t>
      </w:r>
      <m:oMath>
        <m:r>
          <m:rPr>
            <m:sty m:val="bi"/>
          </m:rPr>
          <w:rPr>
            <w:rFonts w:ascii="Cambria Math" w:hAnsi="Cambria Math" w:cstheme="majorBidi"/>
            <w:color w:val="auto"/>
            <w:sz w:val="24"/>
            <w:szCs w:val="24"/>
          </w:rPr>
          <m:t>b</m:t>
        </m:r>
      </m:oMath>
      <w:r w:rsidRPr="00854E06">
        <w:rPr>
          <w:rFonts w:cstheme="majorBidi"/>
          <w:color w:val="auto"/>
          <w:sz w:val="24"/>
          <w:szCs w:val="24"/>
        </w:rPr>
        <w:t xml:space="preserve"> as measured at 6</w:t>
      </w:r>
      <w:r w:rsidR="00E06476">
        <w:rPr>
          <w:rFonts w:cstheme="majorBidi"/>
          <w:color w:val="auto"/>
          <w:sz w:val="24"/>
          <w:szCs w:val="24"/>
        </w:rPr>
        <w:t>4</w:t>
      </w:r>
      <w:r w:rsidRPr="00854E06">
        <w:rPr>
          <w:rFonts w:cstheme="majorBidi"/>
          <w:color w:val="auto"/>
          <w:sz w:val="24"/>
          <w:szCs w:val="24"/>
        </w:rPr>
        <w:t xml:space="preserve"> gauging stations in the UMRB</w:t>
      </w:r>
      <w:bookmarkEnd w:id="94"/>
      <w:r w:rsidRPr="00854E06">
        <w:rPr>
          <w:rFonts w:cstheme="majorBidi"/>
          <w:color w:val="auto"/>
          <w:sz w:val="24"/>
          <w:szCs w:val="24"/>
        </w:rPr>
        <w:t>.</w:t>
      </w:r>
      <w:bookmarkEnd w:id="95"/>
      <w:bookmarkEnd w:id="96"/>
    </w:p>
    <w:p w:rsidR="00025130" w:rsidRPr="00AA7076" w:rsidRDefault="004E3B34" w:rsidP="00025130">
      <w:pPr>
        <w:jc w:val="center"/>
      </w:pPr>
      <w:r>
        <w:rPr>
          <w:noProof/>
        </w:rPr>
        <w:lastRenderedPageBreak/>
        <w:drawing>
          <wp:inline distT="0" distB="0" distL="0" distR="0" wp14:anchorId="5A69B2E6" wp14:editId="2400F746">
            <wp:extent cx="3991912" cy="3036498"/>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_a_annual.jpeg"/>
                    <pic:cNvPicPr/>
                  </pic:nvPicPr>
                  <pic:blipFill>
                    <a:blip r:embed="rId34">
                      <a:extLst>
                        <a:ext uri="{28A0092B-C50C-407E-A947-70E740481C1C}">
                          <a14:useLocalDpi xmlns:a14="http://schemas.microsoft.com/office/drawing/2010/main" val="0"/>
                        </a:ext>
                      </a:extLst>
                    </a:blip>
                    <a:stretch>
                      <a:fillRect/>
                    </a:stretch>
                  </pic:blipFill>
                  <pic:spPr>
                    <a:xfrm>
                      <a:off x="0" y="0"/>
                      <a:ext cx="3999843" cy="3042531"/>
                    </a:xfrm>
                    <a:prstGeom prst="rect">
                      <a:avLst/>
                    </a:prstGeom>
                  </pic:spPr>
                </pic:pic>
              </a:graphicData>
            </a:graphic>
          </wp:inline>
        </w:drawing>
      </w:r>
    </w:p>
    <w:p w:rsidR="00025130" w:rsidRPr="00AA7076" w:rsidRDefault="00025130" w:rsidP="00025130">
      <w:pPr>
        <w:pStyle w:val="Caption"/>
        <w:jc w:val="center"/>
        <w:rPr>
          <w:rFonts w:cstheme="majorBidi"/>
          <w:color w:val="auto"/>
          <w:sz w:val="24"/>
          <w:szCs w:val="24"/>
        </w:rPr>
      </w:pPr>
      <w:bookmarkStart w:id="97" w:name="_Toc393312248"/>
      <w:bookmarkStart w:id="98" w:name="_Toc393799561"/>
      <w:proofErr w:type="gramStart"/>
      <w:r w:rsidRPr="00AA7076">
        <w:rPr>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3</w:t>
      </w:r>
      <w:r w:rsidR="00F41E6A" w:rsidRPr="00854E06">
        <w:rPr>
          <w:rFonts w:cstheme="majorBidi"/>
          <w:color w:val="auto"/>
          <w:sz w:val="24"/>
          <w:szCs w:val="24"/>
        </w:rPr>
        <w:fldChar w:fldCharType="end"/>
      </w:r>
      <w:r w:rsidRPr="00AA7076">
        <w:rPr>
          <w:color w:val="auto"/>
          <w:sz w:val="24"/>
          <w:szCs w:val="24"/>
        </w:rPr>
        <w:t>.</w:t>
      </w:r>
      <w:proofErr w:type="gramEnd"/>
      <w:r w:rsidRPr="00AA7076">
        <w:rPr>
          <w:color w:val="auto"/>
          <w:sz w:val="24"/>
          <w:szCs w:val="24"/>
        </w:rPr>
        <w:t xml:space="preserve"> Histogram of the annual </w:t>
      </w:r>
      <m:oMath>
        <m:r>
          <m:rPr>
            <m:sty m:val="bi"/>
          </m:rPr>
          <w:rPr>
            <w:rFonts w:ascii="Cambria Math" w:hAnsi="Cambria Math"/>
            <w:color w:val="auto"/>
            <w:sz w:val="24"/>
            <w:szCs w:val="24"/>
          </w:rPr>
          <m:t>a</m:t>
        </m:r>
      </m:oMath>
      <w:r w:rsidRPr="00AA7076">
        <w:rPr>
          <w:color w:val="auto"/>
          <w:sz w:val="24"/>
          <w:szCs w:val="24"/>
        </w:rPr>
        <w:t xml:space="preserve"> as measured at 6</w:t>
      </w:r>
      <w:r w:rsidR="00E06476">
        <w:rPr>
          <w:color w:val="auto"/>
          <w:sz w:val="24"/>
          <w:szCs w:val="24"/>
        </w:rPr>
        <w:t>4</w:t>
      </w:r>
      <w:r w:rsidRPr="00AA7076">
        <w:rPr>
          <w:color w:val="auto"/>
          <w:sz w:val="24"/>
          <w:szCs w:val="24"/>
        </w:rPr>
        <w:t xml:space="preserve"> gauging stations in the UMRB.</w:t>
      </w:r>
      <w:bookmarkEnd w:id="97"/>
      <w:bookmarkEnd w:id="98"/>
    </w:p>
    <w:p w:rsidR="00025130" w:rsidRPr="00627E41" w:rsidRDefault="00025130" w:rsidP="00025130">
      <w:pPr>
        <w:rPr>
          <w:rFonts w:eastAsiaTheme="minorEastAsia"/>
        </w:rPr>
      </w:pPr>
    </w:p>
    <w:p w:rsidR="00025130" w:rsidRPr="00854E06" w:rsidRDefault="004E3B34" w:rsidP="00025130">
      <w:pPr>
        <w:keepNext/>
        <w:spacing w:line="480" w:lineRule="auto"/>
        <w:jc w:val="center"/>
        <w:rPr>
          <w:rFonts w:cstheme="majorBidi"/>
        </w:rPr>
      </w:pPr>
      <w:r>
        <w:rPr>
          <w:rFonts w:cstheme="majorBidi"/>
          <w:noProof/>
        </w:rPr>
        <w:drawing>
          <wp:inline distT="0" distB="0" distL="0" distR="0" wp14:anchorId="541B0A7A" wp14:editId="2C6DC031">
            <wp:extent cx="5486400" cy="381762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_loga_mon.jpeg"/>
                    <pic:cNvPicPr/>
                  </pic:nvPicPr>
                  <pic:blipFill>
                    <a:blip r:embed="rId35">
                      <a:extLst>
                        <a:ext uri="{28A0092B-C50C-407E-A947-70E740481C1C}">
                          <a14:useLocalDpi xmlns:a14="http://schemas.microsoft.com/office/drawing/2010/main" val="0"/>
                        </a:ext>
                      </a:extLst>
                    </a:blip>
                    <a:stretch>
                      <a:fillRect/>
                    </a:stretch>
                  </pic:blipFill>
                  <pic:spPr>
                    <a:xfrm>
                      <a:off x="0" y="0"/>
                      <a:ext cx="5486400" cy="3817620"/>
                    </a:xfrm>
                    <a:prstGeom prst="rect">
                      <a:avLst/>
                    </a:prstGeom>
                  </pic:spPr>
                </pic:pic>
              </a:graphicData>
            </a:graphic>
          </wp:inline>
        </w:drawing>
      </w:r>
    </w:p>
    <w:p w:rsidR="00025130" w:rsidRDefault="00025130" w:rsidP="00025130">
      <w:pPr>
        <w:pStyle w:val="Caption"/>
        <w:jc w:val="center"/>
        <w:rPr>
          <w:rFonts w:cstheme="majorBidi"/>
          <w:color w:val="auto"/>
          <w:sz w:val="24"/>
          <w:szCs w:val="24"/>
        </w:rPr>
      </w:pPr>
      <w:bookmarkStart w:id="99" w:name="_Toc387129240"/>
      <w:bookmarkStart w:id="100" w:name="_Toc393312249"/>
      <w:bookmarkStart w:id="101" w:name="_Toc393799562"/>
      <w:proofErr w:type="gramStart"/>
      <w:r w:rsidRPr="00854E06">
        <w:rPr>
          <w:rFonts w:cstheme="majorBidi"/>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4</w:t>
      </w:r>
      <w:r w:rsidR="00F41E6A" w:rsidRPr="00854E06">
        <w:rPr>
          <w:rFonts w:cstheme="majorBidi"/>
          <w:color w:val="auto"/>
          <w:sz w:val="24"/>
          <w:szCs w:val="24"/>
        </w:rPr>
        <w:fldChar w:fldCharType="end"/>
      </w:r>
      <w:r w:rsidRPr="00854E06">
        <w:rPr>
          <w:rFonts w:cstheme="majorBidi"/>
          <w:color w:val="auto"/>
          <w:sz w:val="24"/>
          <w:szCs w:val="24"/>
        </w:rPr>
        <w:t>.</w:t>
      </w:r>
      <w:proofErr w:type="gramEnd"/>
      <w:r w:rsidRPr="00854E06">
        <w:rPr>
          <w:rFonts w:cstheme="majorBidi"/>
          <w:color w:val="auto"/>
          <w:sz w:val="24"/>
          <w:szCs w:val="24"/>
        </w:rPr>
        <w:t xml:space="preserve"> Histograms of the monthly  </w:t>
      </w:r>
      <m:oMath>
        <m:r>
          <m:rPr>
            <m:sty m:val="bi"/>
          </m:rPr>
          <w:rPr>
            <w:rFonts w:ascii="Cambria Math" w:hAnsi="Cambria Math" w:cstheme="majorBidi"/>
            <w:color w:val="auto"/>
            <w:sz w:val="24"/>
            <w:szCs w:val="24"/>
          </w:rPr>
          <m:t>ln(a)</m:t>
        </m:r>
      </m:oMath>
      <w:r w:rsidRPr="00854E06">
        <w:rPr>
          <w:rFonts w:cstheme="majorBidi"/>
          <w:color w:val="auto"/>
          <w:sz w:val="24"/>
          <w:szCs w:val="24"/>
        </w:rPr>
        <w:t xml:space="preserve"> as measured at 6</w:t>
      </w:r>
      <w:r w:rsidR="00E06476">
        <w:rPr>
          <w:rFonts w:cstheme="majorBidi"/>
          <w:color w:val="auto"/>
          <w:sz w:val="24"/>
          <w:szCs w:val="24"/>
        </w:rPr>
        <w:t>4</w:t>
      </w:r>
      <w:r w:rsidRPr="00854E06">
        <w:rPr>
          <w:rFonts w:cstheme="majorBidi"/>
          <w:color w:val="auto"/>
          <w:sz w:val="24"/>
          <w:szCs w:val="24"/>
        </w:rPr>
        <w:t xml:space="preserve"> gauging stations in the UMRB</w:t>
      </w:r>
      <w:bookmarkEnd w:id="99"/>
      <w:r w:rsidRPr="00854E06">
        <w:rPr>
          <w:rFonts w:cstheme="majorBidi"/>
          <w:color w:val="auto"/>
          <w:sz w:val="24"/>
          <w:szCs w:val="24"/>
        </w:rPr>
        <w:t>.</w:t>
      </w:r>
      <w:bookmarkEnd w:id="100"/>
      <w:bookmarkEnd w:id="101"/>
    </w:p>
    <w:p w:rsidR="00025130" w:rsidRPr="00AA7076" w:rsidRDefault="00025130" w:rsidP="00025130"/>
    <w:p w:rsidR="00025130" w:rsidRPr="00854E06" w:rsidRDefault="00EC3564" w:rsidP="00EC3564">
      <w:pPr>
        <w:keepNext/>
        <w:spacing w:line="480" w:lineRule="auto"/>
        <w:jc w:val="center"/>
        <w:rPr>
          <w:rFonts w:cstheme="majorBidi"/>
        </w:rPr>
      </w:pPr>
      <w:r>
        <w:rPr>
          <w:rFonts w:cstheme="majorBidi"/>
          <w:noProof/>
        </w:rPr>
        <w:lastRenderedPageBreak/>
        <w:drawing>
          <wp:inline distT="0" distB="0" distL="0" distR="0" wp14:anchorId="0972D16D" wp14:editId="14D8E9DD">
            <wp:extent cx="5943600" cy="5501641"/>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_b_mon.jpeg"/>
                    <pic:cNvPicPr/>
                  </pic:nvPicPr>
                  <pic:blipFill>
                    <a:blip r:embed="rId36">
                      <a:extLst>
                        <a:ext uri="{28A0092B-C50C-407E-A947-70E740481C1C}">
                          <a14:useLocalDpi xmlns:a14="http://schemas.microsoft.com/office/drawing/2010/main" val="0"/>
                        </a:ext>
                      </a:extLst>
                    </a:blip>
                    <a:stretch>
                      <a:fillRect/>
                    </a:stretch>
                  </pic:blipFill>
                  <pic:spPr>
                    <a:xfrm>
                      <a:off x="0" y="0"/>
                      <a:ext cx="5943600" cy="5501641"/>
                    </a:xfrm>
                    <a:prstGeom prst="rect">
                      <a:avLst/>
                    </a:prstGeom>
                  </pic:spPr>
                </pic:pic>
              </a:graphicData>
            </a:graphic>
          </wp:inline>
        </w:drawing>
      </w:r>
    </w:p>
    <w:p w:rsidR="00025130" w:rsidRDefault="00025130" w:rsidP="00025130">
      <w:pPr>
        <w:pStyle w:val="Caption"/>
        <w:jc w:val="center"/>
        <w:rPr>
          <w:rFonts w:cstheme="majorBidi"/>
          <w:color w:val="auto"/>
          <w:sz w:val="24"/>
          <w:szCs w:val="24"/>
        </w:rPr>
      </w:pPr>
      <w:bookmarkStart w:id="102" w:name="_Toc387129241"/>
      <w:bookmarkStart w:id="103" w:name="_Toc393312250"/>
      <w:bookmarkStart w:id="104" w:name="_Toc393799563"/>
      <w:proofErr w:type="gramStart"/>
      <w:r w:rsidRPr="00854E06">
        <w:rPr>
          <w:rFonts w:cstheme="majorBidi"/>
          <w:color w:val="auto"/>
          <w:sz w:val="24"/>
          <w:szCs w:val="24"/>
        </w:rPr>
        <w:t xml:space="preserve">Figure 5 - </w:t>
      </w:r>
      <w:r w:rsidR="00F41E6A" w:rsidRPr="00AA7076">
        <w:rPr>
          <w:rFonts w:cstheme="majorBidi"/>
          <w:color w:val="auto"/>
          <w:sz w:val="24"/>
          <w:szCs w:val="24"/>
        </w:rPr>
        <w:fldChar w:fldCharType="begin"/>
      </w:r>
      <w:r w:rsidRPr="00AA7076">
        <w:rPr>
          <w:rFonts w:cstheme="majorBidi"/>
          <w:color w:val="auto"/>
          <w:sz w:val="24"/>
          <w:szCs w:val="24"/>
        </w:rPr>
        <w:instrText xml:space="preserve"> SEQ Figure_5_- \* ARABIC </w:instrText>
      </w:r>
      <w:r w:rsidR="00F41E6A" w:rsidRPr="00AA7076">
        <w:rPr>
          <w:rFonts w:cstheme="majorBidi"/>
          <w:color w:val="auto"/>
          <w:sz w:val="24"/>
          <w:szCs w:val="24"/>
        </w:rPr>
        <w:fldChar w:fldCharType="separate"/>
      </w:r>
      <w:r w:rsidR="008E2F67">
        <w:rPr>
          <w:rFonts w:cstheme="majorBidi"/>
          <w:noProof/>
          <w:color w:val="auto"/>
          <w:sz w:val="24"/>
          <w:szCs w:val="24"/>
        </w:rPr>
        <w:t>5</w:t>
      </w:r>
      <w:r w:rsidR="00F41E6A" w:rsidRPr="00AA7076">
        <w:rPr>
          <w:rFonts w:cstheme="majorBidi"/>
          <w:color w:val="auto"/>
          <w:sz w:val="24"/>
          <w:szCs w:val="24"/>
        </w:rPr>
        <w:fldChar w:fldCharType="end"/>
      </w:r>
      <w:r w:rsidRPr="00854E06">
        <w:rPr>
          <w:rFonts w:cstheme="majorBidi"/>
          <w:color w:val="auto"/>
          <w:sz w:val="24"/>
          <w:szCs w:val="24"/>
        </w:rPr>
        <w:t>.</w:t>
      </w:r>
      <w:proofErr w:type="gramEnd"/>
      <w:r w:rsidRPr="00854E06">
        <w:rPr>
          <w:rFonts w:cstheme="majorBidi"/>
          <w:color w:val="auto"/>
          <w:sz w:val="24"/>
          <w:szCs w:val="24"/>
        </w:rPr>
        <w:t xml:space="preserve"> Histogram of the monthly exponent </w:t>
      </w:r>
      <m:oMath>
        <m:r>
          <m:rPr>
            <m:sty m:val="bi"/>
          </m:rPr>
          <w:rPr>
            <w:rFonts w:ascii="Cambria Math" w:hAnsi="Cambria Math" w:cstheme="majorBidi"/>
            <w:color w:val="auto"/>
            <w:sz w:val="24"/>
            <w:szCs w:val="24"/>
          </w:rPr>
          <m:t>b</m:t>
        </m:r>
      </m:oMath>
      <w:r w:rsidRPr="00854E06">
        <w:rPr>
          <w:rFonts w:cstheme="majorBidi"/>
          <w:color w:val="auto"/>
          <w:sz w:val="24"/>
          <w:szCs w:val="24"/>
        </w:rPr>
        <w:t xml:space="preserve"> as measured at 6</w:t>
      </w:r>
      <w:r w:rsidR="00E06476">
        <w:rPr>
          <w:rFonts w:cstheme="majorBidi"/>
          <w:color w:val="auto"/>
          <w:sz w:val="24"/>
          <w:szCs w:val="24"/>
        </w:rPr>
        <w:t>4</w:t>
      </w:r>
      <w:r w:rsidRPr="00854E06">
        <w:rPr>
          <w:rFonts w:cstheme="majorBidi"/>
          <w:color w:val="auto"/>
          <w:sz w:val="24"/>
          <w:szCs w:val="24"/>
        </w:rPr>
        <w:t xml:space="preserve"> gauging stations in the UMRB</w:t>
      </w:r>
      <w:bookmarkEnd w:id="102"/>
      <w:r w:rsidRPr="00854E06">
        <w:rPr>
          <w:rFonts w:cstheme="majorBidi"/>
          <w:color w:val="auto"/>
          <w:sz w:val="24"/>
          <w:szCs w:val="24"/>
        </w:rPr>
        <w:t>.</w:t>
      </w:r>
      <w:bookmarkEnd w:id="103"/>
      <w:bookmarkEnd w:id="104"/>
    </w:p>
    <w:p w:rsidR="00025130" w:rsidRPr="00627E41" w:rsidRDefault="00025130" w:rsidP="00025130">
      <w:r>
        <w:rPr>
          <w:noProof/>
        </w:rPr>
        <w:lastRenderedPageBreak/>
        <w:drawing>
          <wp:inline distT="0" distB="0" distL="0" distR="0" wp14:anchorId="60907DA7" wp14:editId="22315C9E">
            <wp:extent cx="5943600" cy="55016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_a_mon.jpeg"/>
                    <pic:cNvPicPr/>
                  </pic:nvPicPr>
                  <pic:blipFill>
                    <a:blip r:embed="rId37">
                      <a:extLst>
                        <a:ext uri="{28A0092B-C50C-407E-A947-70E740481C1C}">
                          <a14:useLocalDpi xmlns:a14="http://schemas.microsoft.com/office/drawing/2010/main" val="0"/>
                        </a:ext>
                      </a:extLst>
                    </a:blip>
                    <a:stretch>
                      <a:fillRect/>
                    </a:stretch>
                  </pic:blipFill>
                  <pic:spPr>
                    <a:xfrm>
                      <a:off x="0" y="0"/>
                      <a:ext cx="5943600" cy="5501640"/>
                    </a:xfrm>
                    <a:prstGeom prst="rect">
                      <a:avLst/>
                    </a:prstGeom>
                  </pic:spPr>
                </pic:pic>
              </a:graphicData>
            </a:graphic>
          </wp:inline>
        </w:drawing>
      </w:r>
    </w:p>
    <w:p w:rsidR="00025130" w:rsidRPr="00AA7076" w:rsidRDefault="00025130" w:rsidP="00025130">
      <w:pPr>
        <w:pStyle w:val="Caption"/>
        <w:jc w:val="center"/>
        <w:rPr>
          <w:rFonts w:eastAsiaTheme="minorEastAsia" w:cstheme="majorBidi"/>
          <w:color w:val="auto"/>
          <w:sz w:val="24"/>
          <w:szCs w:val="24"/>
        </w:rPr>
      </w:pPr>
      <w:bookmarkStart w:id="105" w:name="_Toc393312251"/>
      <w:bookmarkStart w:id="106" w:name="_Toc393799564"/>
      <w:proofErr w:type="gramStart"/>
      <w:r w:rsidRPr="00AA7076">
        <w:rPr>
          <w:rFonts w:cstheme="majorBidi"/>
          <w:color w:val="auto"/>
          <w:sz w:val="24"/>
          <w:szCs w:val="24"/>
        </w:rPr>
        <w:t>Figure 5 -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6</w:t>
      </w:r>
      <w:r w:rsidR="00F41E6A" w:rsidRPr="00854E06">
        <w:rPr>
          <w:rFonts w:cstheme="majorBidi"/>
          <w:color w:val="auto"/>
          <w:sz w:val="24"/>
          <w:szCs w:val="24"/>
        </w:rPr>
        <w:fldChar w:fldCharType="end"/>
      </w:r>
      <w:r w:rsidRPr="00AA7076">
        <w:rPr>
          <w:rFonts w:cstheme="majorBidi"/>
          <w:color w:val="auto"/>
          <w:sz w:val="24"/>
          <w:szCs w:val="24"/>
        </w:rPr>
        <w:t>.</w:t>
      </w:r>
      <w:proofErr w:type="gramEnd"/>
      <w:r w:rsidRPr="00AA7076">
        <w:rPr>
          <w:rFonts w:cstheme="majorBidi"/>
          <w:color w:val="auto"/>
          <w:sz w:val="24"/>
          <w:szCs w:val="24"/>
        </w:rPr>
        <w:t xml:space="preserve"> </w:t>
      </w:r>
      <w:r w:rsidRPr="00854E06">
        <w:rPr>
          <w:rFonts w:cstheme="majorBidi"/>
          <w:color w:val="auto"/>
          <w:sz w:val="24"/>
          <w:szCs w:val="24"/>
        </w:rPr>
        <w:t xml:space="preserve">Histograms of the monthly  </w:t>
      </w:r>
      <m:oMath>
        <m:r>
          <m:rPr>
            <m:sty m:val="bi"/>
          </m:rPr>
          <w:rPr>
            <w:rFonts w:ascii="Cambria Math" w:hAnsi="Cambria Math" w:cstheme="majorBidi"/>
            <w:color w:val="auto"/>
            <w:sz w:val="24"/>
            <w:szCs w:val="24"/>
          </w:rPr>
          <m:t>a</m:t>
        </m:r>
      </m:oMath>
      <w:r w:rsidRPr="00854E06">
        <w:rPr>
          <w:rFonts w:cstheme="majorBidi"/>
          <w:color w:val="auto"/>
          <w:sz w:val="24"/>
          <w:szCs w:val="24"/>
        </w:rPr>
        <w:t xml:space="preserve"> as measured at 6</w:t>
      </w:r>
      <w:r w:rsidR="00E06476">
        <w:rPr>
          <w:rFonts w:cstheme="majorBidi"/>
          <w:color w:val="auto"/>
          <w:sz w:val="24"/>
          <w:szCs w:val="24"/>
        </w:rPr>
        <w:t>4</w:t>
      </w:r>
      <w:r w:rsidRPr="00854E06">
        <w:rPr>
          <w:rFonts w:cstheme="majorBidi"/>
          <w:color w:val="auto"/>
          <w:sz w:val="24"/>
          <w:szCs w:val="24"/>
        </w:rPr>
        <w:t xml:space="preserve"> gauging stations in the UMRB.</w:t>
      </w:r>
      <w:bookmarkEnd w:id="105"/>
      <w:bookmarkEnd w:id="106"/>
    </w:p>
    <w:p w:rsidR="00025130" w:rsidRPr="00854E06" w:rsidRDefault="00025130" w:rsidP="00025130">
      <w:pPr>
        <w:spacing w:line="480" w:lineRule="auto"/>
        <w:jc w:val="center"/>
        <w:rPr>
          <w:rFonts w:eastAsiaTheme="minorEastAsia" w:cstheme="majorBidi"/>
        </w:rPr>
      </w:pPr>
    </w:p>
    <w:p w:rsidR="00025130" w:rsidRPr="00854E06" w:rsidRDefault="00025130" w:rsidP="00025130">
      <w:pPr>
        <w:keepNext/>
        <w:spacing w:line="480" w:lineRule="auto"/>
        <w:jc w:val="center"/>
        <w:rPr>
          <w:rFonts w:cstheme="majorBidi"/>
        </w:rPr>
      </w:pPr>
      <w:r w:rsidRPr="00854E06">
        <w:rPr>
          <w:rFonts w:cstheme="majorBidi"/>
          <w:noProof/>
        </w:rPr>
        <w:lastRenderedPageBreak/>
        <w:drawing>
          <wp:inline distT="0" distB="0" distL="0" distR="0" wp14:anchorId="5ABAD0EB" wp14:editId="4BEDB810">
            <wp:extent cx="4874196" cy="6915873"/>
            <wp:effectExtent l="19050" t="19050" r="22225" b="184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vetype_annual [Converted].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870533" cy="6910676"/>
                    </a:xfrm>
                    <a:prstGeom prst="rect">
                      <a:avLst/>
                    </a:prstGeom>
                    <a:ln>
                      <a:solidFill>
                        <a:schemeClr val="tx1"/>
                      </a:solidFill>
                    </a:ln>
                  </pic:spPr>
                </pic:pic>
              </a:graphicData>
            </a:graphic>
          </wp:inline>
        </w:drawing>
      </w:r>
    </w:p>
    <w:p w:rsidR="00025130" w:rsidRPr="00854E06" w:rsidRDefault="00025130" w:rsidP="00025130">
      <w:pPr>
        <w:pStyle w:val="Caption"/>
        <w:jc w:val="center"/>
        <w:rPr>
          <w:rFonts w:cstheme="majorBidi"/>
          <w:color w:val="auto"/>
          <w:sz w:val="24"/>
          <w:szCs w:val="24"/>
        </w:rPr>
      </w:pPr>
      <w:bookmarkStart w:id="107" w:name="_Toc387129242"/>
      <w:bookmarkStart w:id="108" w:name="_Toc393312252"/>
      <w:bookmarkStart w:id="109" w:name="_Toc393799565"/>
      <w:r w:rsidRPr="00854E06">
        <w:rPr>
          <w:rFonts w:cstheme="majorBidi"/>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7</w:t>
      </w:r>
      <w:r w:rsidR="00F41E6A" w:rsidRPr="00854E06">
        <w:rPr>
          <w:rFonts w:cstheme="majorBidi"/>
          <w:color w:val="auto"/>
          <w:sz w:val="24"/>
          <w:szCs w:val="24"/>
        </w:rPr>
        <w:fldChar w:fldCharType="end"/>
      </w:r>
      <w:r w:rsidRPr="00854E06">
        <w:rPr>
          <w:rFonts w:cstheme="majorBidi"/>
          <w:color w:val="auto"/>
          <w:sz w:val="24"/>
          <w:szCs w:val="24"/>
        </w:rPr>
        <w:t xml:space="preserve">. </w:t>
      </w:r>
      <w:proofErr w:type="gramStart"/>
      <w:r w:rsidRPr="00854E06">
        <w:rPr>
          <w:rFonts w:cstheme="majorBidi"/>
          <w:color w:val="auto"/>
          <w:sz w:val="24"/>
          <w:szCs w:val="24"/>
        </w:rPr>
        <w:t>Distribution of the shapes of the suspended sediment rating curve at annual level</w:t>
      </w:r>
      <w:bookmarkEnd w:id="107"/>
      <w:r w:rsidRPr="00854E06">
        <w:rPr>
          <w:rFonts w:cstheme="majorBidi"/>
          <w:color w:val="auto"/>
          <w:sz w:val="24"/>
          <w:szCs w:val="24"/>
        </w:rPr>
        <w:t>.</w:t>
      </w:r>
      <w:bookmarkEnd w:id="108"/>
      <w:bookmarkEnd w:id="109"/>
      <w:proofErr w:type="gramEnd"/>
    </w:p>
    <w:p w:rsidR="00025130" w:rsidRPr="00854E06" w:rsidRDefault="00025130" w:rsidP="00025130">
      <w:pPr>
        <w:keepNext/>
        <w:spacing w:line="480" w:lineRule="auto"/>
        <w:jc w:val="center"/>
        <w:rPr>
          <w:rFonts w:cstheme="majorBidi"/>
          <w:b/>
        </w:rPr>
        <w:sectPr w:rsidR="00025130" w:rsidRPr="00854E06">
          <w:footerReference w:type="default" r:id="rId39"/>
          <w:pgSz w:w="12240" w:h="15840"/>
          <w:pgMar w:top="1440" w:right="1440" w:bottom="1440" w:left="1440" w:header="720" w:footer="720" w:gutter="0"/>
          <w:cols w:space="720"/>
          <w:docGrid w:linePitch="360"/>
        </w:sectPr>
      </w:pPr>
    </w:p>
    <w:p w:rsidR="003F6E12" w:rsidRDefault="003F6E12" w:rsidP="00025130">
      <w:pPr>
        <w:keepNext/>
        <w:spacing w:line="480" w:lineRule="auto"/>
        <w:jc w:val="center"/>
        <w:rPr>
          <w:rFonts w:cstheme="majorBidi"/>
          <w:b/>
        </w:rPr>
      </w:pPr>
      <w:bookmarkStart w:id="110" w:name="_Toc393312253"/>
      <w:bookmarkStart w:id="111" w:name="_Toc393799566"/>
      <w:r>
        <w:rPr>
          <w:rFonts w:cstheme="majorBidi"/>
          <w:b/>
          <w:noProof/>
        </w:rPr>
        <w:lastRenderedPageBreak/>
        <w:drawing>
          <wp:anchor distT="0" distB="0" distL="114300" distR="114300" simplePos="0" relativeHeight="251669504" behindDoc="1" locked="0" layoutInCell="1" allowOverlap="1" wp14:anchorId="79BB1ED7" wp14:editId="1A9B26ED">
            <wp:simplePos x="0" y="0"/>
            <wp:positionH relativeFrom="column">
              <wp:posOffset>322063</wp:posOffset>
            </wp:positionH>
            <wp:positionV relativeFrom="paragraph">
              <wp:posOffset>-119159</wp:posOffset>
            </wp:positionV>
            <wp:extent cx="3601085" cy="5106670"/>
            <wp:effectExtent l="19050" t="19050" r="18415" b="1778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l_moran_b_annual [Converted].jpg"/>
                    <pic:cNvPicPr/>
                  </pic:nvPicPr>
                  <pic:blipFill>
                    <a:blip r:embed="rId40">
                      <a:extLst>
                        <a:ext uri="{28A0092B-C50C-407E-A947-70E740481C1C}">
                          <a14:useLocalDpi xmlns:a14="http://schemas.microsoft.com/office/drawing/2010/main" val="0"/>
                        </a:ext>
                      </a:extLst>
                    </a:blip>
                    <a:stretch>
                      <a:fillRect/>
                    </a:stretch>
                  </pic:blipFill>
                  <pic:spPr>
                    <a:xfrm>
                      <a:off x="0" y="0"/>
                      <a:ext cx="3601085" cy="510667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rFonts w:cstheme="majorBidi"/>
          <w:b/>
          <w:noProof/>
        </w:rPr>
        <mc:AlternateContent>
          <mc:Choice Requires="wpg">
            <w:drawing>
              <wp:anchor distT="0" distB="0" distL="114300" distR="114300" simplePos="0" relativeHeight="251668480" behindDoc="0" locked="0" layoutInCell="1" allowOverlap="1" wp14:anchorId="4D311F80" wp14:editId="70923D53">
                <wp:simplePos x="0" y="0"/>
                <wp:positionH relativeFrom="column">
                  <wp:posOffset>1542553</wp:posOffset>
                </wp:positionH>
                <wp:positionV relativeFrom="paragraph">
                  <wp:posOffset>-246490</wp:posOffset>
                </wp:positionV>
                <wp:extent cx="3156668" cy="4866198"/>
                <wp:effectExtent l="0" t="0" r="24765" b="29845"/>
                <wp:wrapNone/>
                <wp:docPr id="49" name="Group 49"/>
                <wp:cNvGraphicFramePr/>
                <a:graphic xmlns:a="http://schemas.openxmlformats.org/drawingml/2006/main">
                  <a:graphicData uri="http://schemas.microsoft.com/office/word/2010/wordprocessingGroup">
                    <wpg:wgp>
                      <wpg:cNvGrpSpPr/>
                      <wpg:grpSpPr>
                        <a:xfrm>
                          <a:off x="0" y="0"/>
                          <a:ext cx="3156668" cy="4866198"/>
                          <a:chOff x="0" y="421422"/>
                          <a:chExt cx="3156844" cy="4866225"/>
                        </a:xfrm>
                      </wpg:grpSpPr>
                      <wps:wsp>
                        <wps:cNvPr id="65" name="Rectangle 65"/>
                        <wps:cNvSpPr>
                          <a:spLocks/>
                        </wps:cNvSpPr>
                        <wps:spPr>
                          <a:xfrm>
                            <a:off x="0" y="1908314"/>
                            <a:ext cx="659765" cy="48450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Straight Connector 67"/>
                        <wps:cNvCnPr>
                          <a:cxnSpLocks/>
                        </wps:cNvCnPr>
                        <wps:spPr>
                          <a:xfrm flipV="1">
                            <a:off x="659958" y="421422"/>
                            <a:ext cx="2496886" cy="148548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6" name="Straight Connector 66"/>
                        <wps:cNvCnPr>
                          <a:cxnSpLocks/>
                        </wps:cNvCnPr>
                        <wps:spPr>
                          <a:xfrm>
                            <a:off x="659958" y="2393251"/>
                            <a:ext cx="2496886" cy="2894396"/>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49" o:spid="_x0000_s1026" style="position:absolute;margin-left:121.45pt;margin-top:-19.4pt;width:248.55pt;height:383.15pt;z-index:251668480;mso-width-relative:margin;mso-height-relative:margin" coordorigin=",4214" coordsize="31568,486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">
                <v:rect id="Rectangle 65" o:spid="_x0000_s1027" style="position:absolute;top:19083;width:6597;height:4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FRGMQA&#10;AADbAAAADwAAAGRycy9kb3ducmV2LnhtbESPT2vCQBTE74LfYXmCN90YrG1TVxFB/HMz7aHHR/aZ&#10;DWbfhuwa0376riD0OMzMb5jlure16Kj1lWMFs2kCgrhwuuJSwdfnbvIGwgdkjbVjUvBDHtar4WCJ&#10;mXZ3PlOXh1JECPsMFZgQmkxKXxiy6KeuIY7exbUWQ5RtKXWL9wi3tUyTZCEtVhwXDDa0NVRc85uN&#10;lDT9PZ7z1+TU7b8vBb7PdyYclBqP+s0HiEB9+A8/2wetYPECjy/xB8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BURjEAAAA2wAAAA8AAAAAAAAAAAAAAAAAmAIAAGRycy9k&#10;b3ducmV2LnhtbFBLBQYAAAAABAAEAPUAAACJAwAAAAA=&#10;" filled="f" strokecolor="black [3213]">
                  <v:path arrowok="t"/>
                </v:rect>
                <v:line id="Straight Connector 67" o:spid="_x0000_s1028" style="position:absolute;flip:y;visibility:visible;mso-wrap-style:square" from="6599,4214" to="31568,19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NMwMQAAADbAAAADwAAAGRycy9kb3ducmV2LnhtbESPUWvCMBSF3wf+h3AHe5vpZNbZGUWF&#10;wdiL2PkDLs21KWtuahK19tebwWCPh3POdziLVW9bcSEfGscKXsYZCOLK6YZrBYfvj+c3ECEia2wd&#10;k4IbBVgtRw8LLLS78p4uZaxFgnAoUIGJsSukDJUhi2HsOuLkHZ23GJP0tdQerwluWznJslxabDgt&#10;GOxoa6j6Kc9WQTvEwzDfbM2QnV5verfLnZ9+KfX02K/fQUTq43/4r/2pFeQz+P2Sfo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00zAxAAAANsAAAAPAAAAAAAAAAAA&#10;AAAAAKECAABkcnMvZG93bnJldi54bWxQSwUGAAAAAAQABAD5AAAAkgMAAAAA&#10;" strokecolor="black [3213]">
                  <o:lock v:ext="edit" shapetype="f"/>
                </v:line>
                <v:line id="Straight Connector 66" o:spid="_x0000_s1029" style="position:absolute;visibility:visible;mso-wrap-style:square" from="6599,23932" to="31568,528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jLqsQAAADbAAAADwAAAGRycy9kb3ducmV2LnhtbESPT2vCQBTE7wW/w/KE3upGwURSVwmC&#10;UOvJf/T6yL4mqdm3YXcb0356Vyj0OMzMb5jlejCt6Mn5xrKC6SQBQVxa3XCl4HzavixA+ICssbVM&#10;Cn7Iw3o1elpiru2ND9QfQyUihH2OCuoQulxKX9Zk0E9sRxy9T+sMhihdJbXDW4SbVs6SJJUGG44L&#10;NXa0qam8Hr+NgkX5/uWKrNhN55cu++1n+3T7kSn1PB6KVxCBhvAf/mu/aQVpCo8v8QfI1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6MuqxAAAANsAAAAPAAAAAAAAAAAA&#10;AAAAAKECAABkcnMvZG93bnJldi54bWxQSwUGAAAAAAQABAD5AAAAkgMAAAAA&#10;" strokecolor="black [3213]">
                  <o:lock v:ext="edit" shapetype="f"/>
                </v:line>
              </v:group>
            </w:pict>
          </mc:Fallback>
        </mc:AlternateContent>
      </w:r>
      <w:r w:rsidRPr="00854E06">
        <w:rPr>
          <w:rFonts w:cstheme="majorBidi"/>
          <w:b/>
          <w:noProof/>
        </w:rPr>
        <w:drawing>
          <wp:anchor distT="0" distB="0" distL="114300" distR="114300" simplePos="0" relativeHeight="251662848" behindDoc="0" locked="0" layoutInCell="1" allowOverlap="1" wp14:anchorId="35479276" wp14:editId="15CA95B5">
            <wp:simplePos x="0" y="0"/>
            <wp:positionH relativeFrom="column">
              <wp:posOffset>4699000</wp:posOffset>
            </wp:positionH>
            <wp:positionV relativeFrom="paragraph">
              <wp:posOffset>-247015</wp:posOffset>
            </wp:positionV>
            <wp:extent cx="3410585" cy="4857750"/>
            <wp:effectExtent l="19050" t="19050" r="18415" b="1905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l_moran_b_annual_closeup [Converted].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410585" cy="4857750"/>
                    </a:xfrm>
                    <a:prstGeom prst="rect">
                      <a:avLst/>
                    </a:prstGeom>
                    <a:ln>
                      <a:solidFill>
                        <a:schemeClr val="tx1">
                          <a:lumMod val="95000"/>
                          <a:lumOff val="5000"/>
                        </a:schemeClr>
                      </a:solidFill>
                    </a:ln>
                  </pic:spPr>
                </pic:pic>
              </a:graphicData>
            </a:graphic>
            <wp14:sizeRelH relativeFrom="margin">
              <wp14:pctWidth>0</wp14:pctWidth>
            </wp14:sizeRelH>
            <wp14:sizeRelV relativeFrom="margin">
              <wp14:pctHeight>0</wp14:pctHeight>
            </wp14:sizeRelV>
          </wp:anchor>
        </w:drawing>
      </w:r>
    </w:p>
    <w:p w:rsidR="003F6E12" w:rsidRDefault="003F6E12" w:rsidP="00025130">
      <w:pPr>
        <w:keepNext/>
        <w:spacing w:line="480" w:lineRule="auto"/>
        <w:jc w:val="center"/>
        <w:rPr>
          <w:rFonts w:cstheme="majorBidi"/>
          <w:b/>
        </w:rPr>
      </w:pPr>
    </w:p>
    <w:p w:rsidR="00025130" w:rsidRPr="00854E06" w:rsidRDefault="00025130" w:rsidP="00025130">
      <w:pPr>
        <w:keepNext/>
        <w:spacing w:line="480" w:lineRule="auto"/>
        <w:jc w:val="center"/>
        <w:rPr>
          <w:rFonts w:eastAsiaTheme="minorEastAsia" w:cstheme="majorBidi"/>
          <w:b/>
        </w:rPr>
      </w:pPr>
      <w:r w:rsidRPr="00854E06">
        <w:rPr>
          <w:rFonts w:cstheme="majorBidi"/>
          <w:b/>
        </w:rPr>
        <w:t xml:space="preserve">Figure </w:t>
      </w:r>
      <w:r w:rsidRPr="00854E06">
        <w:rPr>
          <w:rFonts w:cstheme="majorBidi"/>
          <w:b/>
          <w:bCs/>
        </w:rPr>
        <w:t xml:space="preserve">5 - </w:t>
      </w:r>
      <w:r w:rsidR="00F41E6A" w:rsidRPr="00854E06">
        <w:rPr>
          <w:rFonts w:cstheme="majorBidi"/>
          <w:b/>
          <w:bCs/>
        </w:rPr>
        <w:fldChar w:fldCharType="begin"/>
      </w:r>
      <w:r w:rsidRPr="00854E06">
        <w:rPr>
          <w:rFonts w:cstheme="majorBidi"/>
          <w:b/>
          <w:bCs/>
        </w:rPr>
        <w:instrText xml:space="preserve"> SEQ Figure_5_- \* ARABIC </w:instrText>
      </w:r>
      <w:r w:rsidR="00F41E6A" w:rsidRPr="00854E06">
        <w:rPr>
          <w:rFonts w:cstheme="majorBidi"/>
          <w:b/>
          <w:bCs/>
        </w:rPr>
        <w:fldChar w:fldCharType="separate"/>
      </w:r>
      <w:r w:rsidR="008E2F67">
        <w:rPr>
          <w:rFonts w:cstheme="majorBidi"/>
          <w:b/>
          <w:bCs/>
          <w:noProof/>
        </w:rPr>
        <w:t>8</w:t>
      </w:r>
      <w:r w:rsidR="00F41E6A" w:rsidRPr="00854E06">
        <w:rPr>
          <w:rFonts w:cstheme="majorBidi"/>
          <w:b/>
          <w:bCs/>
        </w:rPr>
        <w:fldChar w:fldCharType="end"/>
      </w:r>
      <w:r w:rsidRPr="00854E06">
        <w:rPr>
          <w:rFonts w:cstheme="majorBidi"/>
          <w:b/>
        </w:rPr>
        <w:t xml:space="preserve">. Map of the Local Moran’s I of the rating exponent </w:t>
      </w:r>
      <m:oMath>
        <m:r>
          <m:rPr>
            <m:sty m:val="bi"/>
          </m:rPr>
          <w:rPr>
            <w:rFonts w:ascii="Cambria Math" w:hAnsi="Cambria Math" w:cstheme="majorBidi"/>
          </w:rPr>
          <m:t>b</m:t>
        </m:r>
      </m:oMath>
      <w:r w:rsidRPr="00854E06">
        <w:rPr>
          <w:rFonts w:cstheme="majorBidi"/>
          <w:b/>
        </w:rPr>
        <w:t xml:space="preserve"> at the annual level.</w:t>
      </w:r>
      <w:bookmarkEnd w:id="110"/>
      <w:bookmarkEnd w:id="111"/>
    </w:p>
    <w:p w:rsidR="00025130" w:rsidRPr="00854E06" w:rsidRDefault="00025130" w:rsidP="00025130">
      <w:pPr>
        <w:rPr>
          <w:rFonts w:eastAsiaTheme="minorEastAsia"/>
        </w:rPr>
        <w:sectPr w:rsidR="00025130" w:rsidRPr="00854E06">
          <w:pgSz w:w="15840" w:h="12240" w:orient="landscape"/>
          <w:pgMar w:top="1440" w:right="1440" w:bottom="1440" w:left="1440" w:header="720" w:footer="720" w:gutter="0"/>
          <w:cols w:space="720"/>
          <w:docGrid w:linePitch="360"/>
        </w:sectPr>
      </w:pPr>
    </w:p>
    <w:p w:rsidR="00025130" w:rsidRPr="00854E06" w:rsidRDefault="00A43112" w:rsidP="00025130">
      <w:pPr>
        <w:rPr>
          <w:rFonts w:eastAsiaTheme="minorEastAsia"/>
        </w:rPr>
      </w:pPr>
      <w:r>
        <w:rPr>
          <w:rFonts w:eastAsiaTheme="minorEastAsia"/>
          <w:noProof/>
        </w:rPr>
        <w:lastRenderedPageBreak/>
        <w:drawing>
          <wp:inline distT="0" distB="0" distL="0" distR="0" wp14:anchorId="17DDF641" wp14:editId="393CE99D">
            <wp:extent cx="5943600" cy="413575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_loga_b_annual.jpeg"/>
                    <pic:cNvPicPr/>
                  </pic:nvPicPr>
                  <pic:blipFill>
                    <a:blip r:embed="rId42">
                      <a:extLst>
                        <a:ext uri="{28A0092B-C50C-407E-A947-70E740481C1C}">
                          <a14:useLocalDpi xmlns:a14="http://schemas.microsoft.com/office/drawing/2010/main" val="0"/>
                        </a:ext>
                      </a:extLst>
                    </a:blip>
                    <a:stretch>
                      <a:fillRect/>
                    </a:stretch>
                  </pic:blipFill>
                  <pic:spPr>
                    <a:xfrm>
                      <a:off x="0" y="0"/>
                      <a:ext cx="5943600" cy="4135755"/>
                    </a:xfrm>
                    <a:prstGeom prst="rect">
                      <a:avLst/>
                    </a:prstGeom>
                  </pic:spPr>
                </pic:pic>
              </a:graphicData>
            </a:graphic>
          </wp:inline>
        </w:drawing>
      </w:r>
    </w:p>
    <w:p w:rsidR="00025130" w:rsidRPr="00025130" w:rsidRDefault="00025130" w:rsidP="00025130">
      <w:pPr>
        <w:rPr>
          <w:rFonts w:cstheme="majorBidi"/>
        </w:rPr>
      </w:pPr>
    </w:p>
    <w:p w:rsidR="00025130" w:rsidRPr="00025130" w:rsidRDefault="00025130" w:rsidP="00025130">
      <w:pPr>
        <w:rPr>
          <w:rFonts w:cstheme="majorBidi"/>
        </w:rPr>
      </w:pPr>
    </w:p>
    <w:p w:rsidR="00025130" w:rsidRPr="00854E06" w:rsidRDefault="004F12D3" w:rsidP="00025130">
      <w:pPr>
        <w:pStyle w:val="Caption"/>
        <w:jc w:val="center"/>
        <w:rPr>
          <w:rFonts w:eastAsiaTheme="minorEastAsia" w:cstheme="majorBidi"/>
          <w:color w:val="auto"/>
          <w:sz w:val="24"/>
          <w:szCs w:val="24"/>
        </w:rPr>
      </w:pPr>
      <w:bookmarkStart w:id="112" w:name="_Toc393312254"/>
      <w:bookmarkStart w:id="113" w:name="_Toc393799567"/>
      <w:r>
        <w:rPr>
          <w:rFonts w:cstheme="majorBidi"/>
          <w:color w:val="auto"/>
          <w:sz w:val="24"/>
          <w:szCs w:val="24"/>
        </w:rPr>
        <w:t>F</w:t>
      </w:r>
      <w:r w:rsidR="00025130" w:rsidRPr="00854E06">
        <w:rPr>
          <w:rFonts w:cstheme="majorBidi"/>
          <w:color w:val="auto"/>
          <w:sz w:val="24"/>
          <w:szCs w:val="24"/>
        </w:rPr>
        <w:t xml:space="preserve">igure </w:t>
      </w:r>
      <w:r w:rsidR="00025130" w:rsidRPr="00854E06">
        <w:rPr>
          <w:rFonts w:cstheme="majorBidi"/>
          <w:bCs w:val="0"/>
          <w:color w:val="auto"/>
          <w:sz w:val="24"/>
          <w:szCs w:val="24"/>
        </w:rPr>
        <w:t xml:space="preserve">5 - </w:t>
      </w:r>
      <w:r w:rsidR="00F41E6A" w:rsidRPr="00854E06">
        <w:rPr>
          <w:rFonts w:cstheme="majorBidi"/>
          <w:bCs w:val="0"/>
          <w:color w:val="auto"/>
          <w:sz w:val="24"/>
          <w:szCs w:val="24"/>
        </w:rPr>
        <w:fldChar w:fldCharType="begin"/>
      </w:r>
      <w:r w:rsidR="00025130" w:rsidRPr="00854E06">
        <w:rPr>
          <w:rFonts w:cstheme="majorBidi"/>
          <w:bCs w:val="0"/>
          <w:color w:val="auto"/>
          <w:sz w:val="24"/>
          <w:szCs w:val="24"/>
        </w:rPr>
        <w:instrText xml:space="preserve"> SEQ Figure_5_- \* ARABIC </w:instrText>
      </w:r>
      <w:r w:rsidR="00F41E6A" w:rsidRPr="00854E06">
        <w:rPr>
          <w:rFonts w:cstheme="majorBidi"/>
          <w:bCs w:val="0"/>
          <w:color w:val="auto"/>
          <w:sz w:val="24"/>
          <w:szCs w:val="24"/>
        </w:rPr>
        <w:fldChar w:fldCharType="separate"/>
      </w:r>
      <w:r w:rsidR="008E2F67">
        <w:rPr>
          <w:rFonts w:cstheme="majorBidi"/>
          <w:bCs w:val="0"/>
          <w:noProof/>
          <w:color w:val="auto"/>
          <w:sz w:val="24"/>
          <w:szCs w:val="24"/>
        </w:rPr>
        <w:t>9</w:t>
      </w:r>
      <w:r w:rsidR="00F41E6A" w:rsidRPr="00854E06">
        <w:rPr>
          <w:rFonts w:cstheme="majorBidi"/>
          <w:bCs w:val="0"/>
          <w:color w:val="auto"/>
          <w:sz w:val="24"/>
          <w:szCs w:val="24"/>
        </w:rPr>
        <w:fldChar w:fldCharType="end"/>
      </w:r>
      <w:r w:rsidR="00025130" w:rsidRPr="00854E06">
        <w:rPr>
          <w:rFonts w:cstheme="majorBidi"/>
          <w:color w:val="auto"/>
          <w:sz w:val="24"/>
          <w:szCs w:val="24"/>
        </w:rPr>
        <w:t xml:space="preserve">. </w:t>
      </w:r>
      <w:proofErr w:type="gramStart"/>
      <w:r w:rsidR="00025130" w:rsidRPr="00854E06">
        <w:rPr>
          <w:rFonts w:cstheme="majorBidi"/>
          <w:color w:val="auto"/>
          <w:sz w:val="24"/>
          <w:szCs w:val="24"/>
        </w:rPr>
        <w:t xml:space="preserve">Scatterplot of </w:t>
      </w:r>
      <m:oMath>
        <m:r>
          <m:rPr>
            <m:sty m:val="bi"/>
          </m:rPr>
          <w:rPr>
            <w:rFonts w:ascii="Cambria Math" w:hAnsi="Cambria Math" w:cstheme="majorBidi"/>
            <w:color w:val="auto"/>
            <w:sz w:val="24"/>
            <w:szCs w:val="24"/>
          </w:rPr>
          <m:t>ln(a)</m:t>
        </m:r>
      </m:oMath>
      <w:r w:rsidR="00025130" w:rsidRPr="00854E06">
        <w:rPr>
          <w:rFonts w:cstheme="majorBidi"/>
          <w:color w:val="auto"/>
          <w:sz w:val="24"/>
          <w:szCs w:val="24"/>
        </w:rPr>
        <w:t xml:space="preserve"> and </w:t>
      </w:r>
      <m:oMath>
        <m:r>
          <m:rPr>
            <m:sty m:val="bi"/>
          </m:rPr>
          <w:rPr>
            <w:rFonts w:ascii="Cambria Math" w:hAnsi="Cambria Math" w:cstheme="majorBidi"/>
            <w:color w:val="auto"/>
            <w:sz w:val="24"/>
            <w:szCs w:val="24"/>
          </w:rPr>
          <m:t>b</m:t>
        </m:r>
      </m:oMath>
      <w:r w:rsidR="00025130" w:rsidRPr="00854E06">
        <w:rPr>
          <w:rFonts w:cstheme="majorBidi"/>
          <w:color w:val="auto"/>
          <w:sz w:val="24"/>
          <w:szCs w:val="24"/>
        </w:rPr>
        <w:t xml:space="preserve"> as measured at 6</w:t>
      </w:r>
      <w:r w:rsidR="00E06476">
        <w:rPr>
          <w:rFonts w:cstheme="majorBidi"/>
          <w:color w:val="auto"/>
          <w:sz w:val="24"/>
          <w:szCs w:val="24"/>
        </w:rPr>
        <w:t>4</w:t>
      </w:r>
      <w:r w:rsidR="00025130" w:rsidRPr="00854E06">
        <w:rPr>
          <w:rFonts w:cstheme="majorBidi"/>
          <w:color w:val="auto"/>
          <w:sz w:val="24"/>
          <w:szCs w:val="24"/>
        </w:rPr>
        <w:t xml:space="preserve"> gauging stations in the UMRB at the annual level.</w:t>
      </w:r>
      <w:bookmarkEnd w:id="112"/>
      <w:bookmarkEnd w:id="113"/>
      <w:proofErr w:type="gramEnd"/>
    </w:p>
    <w:p w:rsidR="00025130" w:rsidRPr="00854E06" w:rsidRDefault="00F872E8" w:rsidP="006473B4">
      <w:pPr>
        <w:keepNext/>
        <w:spacing w:line="480" w:lineRule="auto"/>
        <w:jc w:val="center"/>
        <w:rPr>
          <w:rFonts w:cstheme="majorBidi"/>
        </w:rPr>
      </w:pPr>
      <w:r>
        <w:rPr>
          <w:rFonts w:cstheme="majorBidi"/>
          <w:noProof/>
        </w:rPr>
        <w:lastRenderedPageBreak/>
        <w:drawing>
          <wp:inline distT="0" distB="0" distL="0" distR="0" wp14:anchorId="70DB093E" wp14:editId="1DFE8E3B">
            <wp:extent cx="5943600" cy="413575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_lna_b_annual.jpeg"/>
                    <pic:cNvPicPr/>
                  </pic:nvPicPr>
                  <pic:blipFill>
                    <a:blip r:embed="rId43">
                      <a:extLst>
                        <a:ext uri="{28A0092B-C50C-407E-A947-70E740481C1C}">
                          <a14:useLocalDpi xmlns:a14="http://schemas.microsoft.com/office/drawing/2010/main" val="0"/>
                        </a:ext>
                      </a:extLst>
                    </a:blip>
                    <a:stretch>
                      <a:fillRect/>
                    </a:stretch>
                  </pic:blipFill>
                  <pic:spPr>
                    <a:xfrm>
                      <a:off x="0" y="0"/>
                      <a:ext cx="5943600" cy="4135755"/>
                    </a:xfrm>
                    <a:prstGeom prst="rect">
                      <a:avLst/>
                    </a:prstGeom>
                  </pic:spPr>
                </pic:pic>
              </a:graphicData>
            </a:graphic>
          </wp:inline>
        </w:drawing>
      </w:r>
    </w:p>
    <w:p w:rsidR="00025130" w:rsidRPr="00854E06" w:rsidRDefault="00025130" w:rsidP="00025130">
      <w:pPr>
        <w:pStyle w:val="Caption"/>
        <w:jc w:val="center"/>
        <w:rPr>
          <w:rFonts w:eastAsiaTheme="minorEastAsia" w:cstheme="majorBidi"/>
          <w:color w:val="auto"/>
          <w:sz w:val="24"/>
          <w:szCs w:val="24"/>
        </w:rPr>
      </w:pPr>
      <w:bookmarkStart w:id="114" w:name="_Toc393312255"/>
      <w:bookmarkStart w:id="115" w:name="_Toc393799568"/>
      <w:r w:rsidRPr="00854E06">
        <w:rPr>
          <w:rFonts w:cstheme="majorBidi"/>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10</w:t>
      </w:r>
      <w:r w:rsidR="00F41E6A" w:rsidRPr="00854E06">
        <w:rPr>
          <w:rFonts w:cstheme="majorBidi"/>
          <w:color w:val="auto"/>
          <w:sz w:val="24"/>
          <w:szCs w:val="24"/>
        </w:rPr>
        <w:fldChar w:fldCharType="end"/>
      </w:r>
      <w:r w:rsidRPr="00854E06">
        <w:rPr>
          <w:rFonts w:cstheme="majorBidi"/>
          <w:color w:val="auto"/>
          <w:sz w:val="24"/>
          <w:szCs w:val="24"/>
        </w:rPr>
        <w:t xml:space="preserve">. </w:t>
      </w:r>
      <w:proofErr w:type="gramStart"/>
      <w:r w:rsidRPr="00854E06">
        <w:rPr>
          <w:rFonts w:cstheme="majorBidi"/>
          <w:color w:val="auto"/>
          <w:sz w:val="24"/>
          <w:szCs w:val="24"/>
        </w:rPr>
        <w:t xml:space="preserve">Scatterplots of </w:t>
      </w:r>
      <m:oMath>
        <m:r>
          <m:rPr>
            <m:sty m:val="bi"/>
          </m:rPr>
          <w:rPr>
            <w:rFonts w:ascii="Cambria Math" w:hAnsi="Cambria Math" w:cstheme="majorBidi"/>
            <w:color w:val="auto"/>
            <w:sz w:val="24"/>
            <w:szCs w:val="24"/>
          </w:rPr>
          <m:t>ln(a)</m:t>
        </m:r>
      </m:oMath>
      <w:r w:rsidRPr="00854E06">
        <w:rPr>
          <w:rFonts w:cstheme="majorBidi"/>
          <w:color w:val="auto"/>
          <w:sz w:val="24"/>
          <w:szCs w:val="24"/>
        </w:rPr>
        <w:t xml:space="preserve"> and </w:t>
      </w:r>
      <m:oMath>
        <m:r>
          <m:rPr>
            <m:sty m:val="bi"/>
          </m:rPr>
          <w:rPr>
            <w:rFonts w:ascii="Cambria Math" w:hAnsi="Cambria Math" w:cstheme="majorBidi"/>
            <w:color w:val="auto"/>
            <w:sz w:val="24"/>
            <w:szCs w:val="24"/>
          </w:rPr>
          <m:t>b</m:t>
        </m:r>
      </m:oMath>
      <w:r w:rsidRPr="00854E06">
        <w:rPr>
          <w:rFonts w:cstheme="majorBidi"/>
          <w:color w:val="auto"/>
          <w:sz w:val="24"/>
          <w:szCs w:val="24"/>
        </w:rPr>
        <w:t xml:space="preserve"> as measured at 6</w:t>
      </w:r>
      <w:r w:rsidR="00E06476">
        <w:rPr>
          <w:rFonts w:cstheme="majorBidi"/>
          <w:color w:val="auto"/>
          <w:sz w:val="24"/>
          <w:szCs w:val="24"/>
        </w:rPr>
        <w:t>4</w:t>
      </w:r>
      <w:r w:rsidRPr="00854E06">
        <w:rPr>
          <w:rFonts w:cstheme="majorBidi"/>
          <w:color w:val="auto"/>
          <w:sz w:val="24"/>
          <w:szCs w:val="24"/>
        </w:rPr>
        <w:t xml:space="preserve"> gauging stations in the UMRB.</w:t>
      </w:r>
      <w:bookmarkEnd w:id="114"/>
      <w:bookmarkEnd w:id="115"/>
      <w:proofErr w:type="gramEnd"/>
    </w:p>
    <w:p w:rsidR="00025130" w:rsidRPr="00854E06" w:rsidRDefault="00025130" w:rsidP="00025130">
      <w:pPr>
        <w:spacing w:line="480" w:lineRule="auto"/>
        <w:jc w:val="center"/>
        <w:rPr>
          <w:rFonts w:eastAsiaTheme="minorEastAsia" w:cstheme="majorBidi"/>
        </w:rPr>
      </w:pPr>
    </w:p>
    <w:tbl>
      <w:tblPr>
        <w:tblW w:w="0" w:type="auto"/>
        <w:jc w:val="center"/>
        <w:tblLook w:val="04A0" w:firstRow="1" w:lastRow="0" w:firstColumn="1" w:lastColumn="0" w:noHBand="0" w:noVBand="1"/>
      </w:tblPr>
      <w:tblGrid>
        <w:gridCol w:w="6460"/>
      </w:tblGrid>
      <w:tr w:rsidR="00025130" w:rsidRPr="00854E06">
        <w:trPr>
          <w:trHeight w:val="4860"/>
          <w:jc w:val="center"/>
        </w:trPr>
        <w:tc>
          <w:tcPr>
            <w:tcW w:w="5238" w:type="dxa"/>
          </w:tcPr>
          <w:p w:rsidR="00025130" w:rsidRPr="00854E06" w:rsidRDefault="00025130" w:rsidP="0072413E">
            <w:pPr>
              <w:spacing w:line="480" w:lineRule="auto"/>
              <w:jc w:val="center"/>
              <w:rPr>
                <w:rFonts w:eastAsiaTheme="minorEastAsia" w:cstheme="majorBidi"/>
              </w:rPr>
            </w:pPr>
            <w:r w:rsidRPr="00854E06">
              <w:rPr>
                <w:rFonts w:eastAsiaTheme="minorEastAsia" w:cstheme="majorBidi"/>
                <w:noProof/>
              </w:rPr>
              <w:lastRenderedPageBreak/>
              <w:drawing>
                <wp:inline distT="0" distB="0" distL="0" distR="0" wp14:anchorId="49A326E7" wp14:editId="131851F9">
                  <wp:extent cx="3965021" cy="3200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_loga_b_largestream.jpe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965021" cy="3200400"/>
                          </a:xfrm>
                          <a:prstGeom prst="rect">
                            <a:avLst/>
                          </a:prstGeom>
                        </pic:spPr>
                      </pic:pic>
                    </a:graphicData>
                  </a:graphic>
                </wp:inline>
              </w:drawing>
            </w:r>
          </w:p>
          <w:p w:rsidR="00025130" w:rsidRPr="00854E06" w:rsidRDefault="00823A82" w:rsidP="0072413E">
            <w:pPr>
              <w:spacing w:line="480" w:lineRule="auto"/>
              <w:jc w:val="center"/>
              <w:rPr>
                <w:rFonts w:eastAsiaTheme="minorEastAsia" w:cstheme="majorBidi"/>
              </w:rPr>
            </w:pPr>
            <w:r>
              <w:rPr>
                <w:rFonts w:eastAsiaTheme="minorEastAsia" w:cstheme="majorBidi"/>
              </w:rPr>
              <w:t>(a)</w:t>
            </w:r>
          </w:p>
        </w:tc>
      </w:tr>
      <w:tr w:rsidR="00025130" w:rsidRPr="00854E06">
        <w:trPr>
          <w:trHeight w:val="5310"/>
          <w:jc w:val="center"/>
        </w:trPr>
        <w:tc>
          <w:tcPr>
            <w:tcW w:w="5238" w:type="dxa"/>
          </w:tcPr>
          <w:p w:rsidR="00025130" w:rsidRPr="00854E06" w:rsidRDefault="00025130" w:rsidP="0072413E">
            <w:pPr>
              <w:spacing w:line="480" w:lineRule="auto"/>
              <w:jc w:val="center"/>
              <w:rPr>
                <w:rFonts w:eastAsiaTheme="minorEastAsia" w:cstheme="majorBidi"/>
              </w:rPr>
            </w:pPr>
            <w:r w:rsidRPr="00854E06">
              <w:rPr>
                <w:rFonts w:eastAsiaTheme="minorEastAsia" w:cstheme="majorBidi"/>
                <w:noProof/>
              </w:rPr>
              <w:drawing>
                <wp:inline distT="0" distB="0" distL="0" distR="0" wp14:anchorId="270D8012" wp14:editId="4BF6F85F">
                  <wp:extent cx="3848668" cy="310648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_loga_b_smallstreams.jpe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870901" cy="3124430"/>
                          </a:xfrm>
                          <a:prstGeom prst="rect">
                            <a:avLst/>
                          </a:prstGeom>
                        </pic:spPr>
                      </pic:pic>
                    </a:graphicData>
                  </a:graphic>
                </wp:inline>
              </w:drawing>
            </w:r>
          </w:p>
          <w:p w:rsidR="00025130" w:rsidRPr="00854E06" w:rsidRDefault="00823A82" w:rsidP="0072413E">
            <w:pPr>
              <w:spacing w:line="480" w:lineRule="auto"/>
              <w:jc w:val="center"/>
              <w:rPr>
                <w:rFonts w:eastAsiaTheme="minorEastAsia" w:cstheme="majorBidi"/>
                <w:noProof/>
              </w:rPr>
            </w:pPr>
            <w:r>
              <w:rPr>
                <w:rFonts w:eastAsiaTheme="minorEastAsia" w:cstheme="majorBidi"/>
              </w:rPr>
              <w:t>(b)</w:t>
            </w:r>
          </w:p>
        </w:tc>
      </w:tr>
    </w:tbl>
    <w:p w:rsidR="00025130" w:rsidRPr="00854E06" w:rsidRDefault="00025130" w:rsidP="00823A82">
      <w:pPr>
        <w:pStyle w:val="Caption"/>
        <w:jc w:val="center"/>
        <w:rPr>
          <w:rFonts w:cstheme="majorBidi"/>
          <w:color w:val="auto"/>
          <w:sz w:val="24"/>
          <w:szCs w:val="24"/>
        </w:rPr>
      </w:pPr>
      <w:bookmarkStart w:id="116" w:name="_Toc393312256"/>
      <w:bookmarkStart w:id="117" w:name="_Toc393799569"/>
      <w:r w:rsidRPr="00854E06">
        <w:rPr>
          <w:rFonts w:cstheme="majorBidi"/>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11</w:t>
      </w:r>
      <w:r w:rsidR="00F41E6A" w:rsidRPr="00854E06">
        <w:rPr>
          <w:rFonts w:cstheme="majorBidi"/>
          <w:color w:val="auto"/>
          <w:sz w:val="24"/>
          <w:szCs w:val="24"/>
        </w:rPr>
        <w:fldChar w:fldCharType="end"/>
      </w:r>
      <w:r w:rsidRPr="00854E06">
        <w:rPr>
          <w:rFonts w:cstheme="majorBidi"/>
          <w:color w:val="auto"/>
          <w:sz w:val="24"/>
          <w:szCs w:val="24"/>
        </w:rPr>
        <w:t xml:space="preserve">. Scatterplots of </w:t>
      </w:r>
      <m:oMath>
        <m:r>
          <m:rPr>
            <m:sty m:val="bi"/>
          </m:rPr>
          <w:rPr>
            <w:rFonts w:ascii="Cambria Math" w:hAnsi="Cambria Math" w:cstheme="majorBidi"/>
            <w:color w:val="auto"/>
            <w:sz w:val="24"/>
            <w:szCs w:val="24"/>
          </w:rPr>
          <m:t>ln(a)</m:t>
        </m:r>
      </m:oMath>
      <w:r w:rsidRPr="00854E06">
        <w:rPr>
          <w:rFonts w:cstheme="majorBidi"/>
          <w:color w:val="auto"/>
          <w:sz w:val="24"/>
          <w:szCs w:val="24"/>
        </w:rPr>
        <w:t xml:space="preserve"> and </w:t>
      </w:r>
      <m:oMath>
        <m:r>
          <m:rPr>
            <m:sty m:val="bi"/>
          </m:rPr>
          <w:rPr>
            <w:rFonts w:ascii="Cambria Math" w:hAnsi="Cambria Math" w:cstheme="majorBidi"/>
            <w:color w:val="auto"/>
            <w:sz w:val="24"/>
            <w:szCs w:val="24"/>
          </w:rPr>
          <m:t>b</m:t>
        </m:r>
      </m:oMath>
      <w:r w:rsidRPr="00854E06">
        <w:rPr>
          <w:rFonts w:cstheme="majorBidi"/>
          <w:color w:val="auto"/>
          <w:sz w:val="24"/>
          <w:szCs w:val="24"/>
        </w:rPr>
        <w:t xml:space="preserve"> </w:t>
      </w:r>
      <w:r w:rsidR="00823A82">
        <w:rPr>
          <w:rFonts w:cstheme="majorBidi"/>
          <w:color w:val="auto"/>
          <w:sz w:val="24"/>
          <w:szCs w:val="24"/>
        </w:rPr>
        <w:t xml:space="preserve">at the annual level </w:t>
      </w:r>
      <w:r w:rsidRPr="00854E06">
        <w:rPr>
          <w:rFonts w:cstheme="majorBidi"/>
          <w:color w:val="auto"/>
          <w:sz w:val="24"/>
          <w:szCs w:val="24"/>
        </w:rPr>
        <w:t xml:space="preserve">in </w:t>
      </w:r>
      <w:r w:rsidR="00823A82">
        <w:rPr>
          <w:rFonts w:cstheme="majorBidi"/>
          <w:color w:val="auto"/>
          <w:sz w:val="24"/>
          <w:szCs w:val="24"/>
        </w:rPr>
        <w:t xml:space="preserve">(a) </w:t>
      </w:r>
      <w:r w:rsidRPr="00854E06">
        <w:rPr>
          <w:rFonts w:cstheme="majorBidi"/>
          <w:color w:val="auto"/>
          <w:sz w:val="24"/>
          <w:szCs w:val="24"/>
        </w:rPr>
        <w:t>large streams</w:t>
      </w:r>
      <w:r w:rsidR="00823A82">
        <w:rPr>
          <w:rFonts w:cstheme="majorBidi"/>
          <w:color w:val="auto"/>
          <w:sz w:val="24"/>
          <w:szCs w:val="24"/>
        </w:rPr>
        <w:t xml:space="preserve"> </w:t>
      </w:r>
      <w:r w:rsidR="00823A82" w:rsidRPr="00823A82">
        <w:rPr>
          <w:rFonts w:cstheme="majorBidi"/>
          <w:color w:val="auto"/>
          <w:sz w:val="24"/>
          <w:szCs w:val="24"/>
        </w:rPr>
        <w:t>(218 to 6596 m</w:t>
      </w:r>
      <w:r w:rsidR="00823A82" w:rsidRPr="00823A82">
        <w:rPr>
          <w:rFonts w:cstheme="majorBidi"/>
          <w:color w:val="auto"/>
          <w:sz w:val="24"/>
          <w:szCs w:val="24"/>
          <w:vertAlign w:val="superscript"/>
        </w:rPr>
        <w:t>3</w:t>
      </w:r>
      <w:r w:rsidR="00823A82">
        <w:rPr>
          <w:rFonts w:cstheme="majorBidi"/>
          <w:color w:val="auto"/>
          <w:sz w:val="24"/>
          <w:szCs w:val="24"/>
        </w:rPr>
        <w:t>/s)</w:t>
      </w:r>
      <w:r w:rsidRPr="00854E06">
        <w:rPr>
          <w:rFonts w:cstheme="majorBidi"/>
          <w:color w:val="auto"/>
          <w:sz w:val="24"/>
          <w:szCs w:val="24"/>
        </w:rPr>
        <w:t xml:space="preserve"> and </w:t>
      </w:r>
      <w:r w:rsidR="00823A82">
        <w:rPr>
          <w:rFonts w:cstheme="majorBidi"/>
          <w:color w:val="auto"/>
          <w:sz w:val="24"/>
          <w:szCs w:val="24"/>
        </w:rPr>
        <w:t xml:space="preserve">(b) </w:t>
      </w:r>
      <w:r w:rsidRPr="00854E06">
        <w:rPr>
          <w:rFonts w:cstheme="majorBidi"/>
          <w:color w:val="auto"/>
          <w:sz w:val="24"/>
          <w:szCs w:val="24"/>
        </w:rPr>
        <w:t xml:space="preserve">small streams </w:t>
      </w:r>
      <w:r w:rsidR="00823A82" w:rsidRPr="00823A82">
        <w:rPr>
          <w:rFonts w:cstheme="majorBidi"/>
          <w:color w:val="auto"/>
          <w:sz w:val="24"/>
          <w:szCs w:val="24"/>
        </w:rPr>
        <w:t>(2 to 218 m</w:t>
      </w:r>
      <w:r w:rsidR="00823A82" w:rsidRPr="00823A82">
        <w:rPr>
          <w:rFonts w:cstheme="majorBidi"/>
          <w:color w:val="auto"/>
          <w:sz w:val="24"/>
          <w:szCs w:val="24"/>
          <w:vertAlign w:val="superscript"/>
        </w:rPr>
        <w:t>3</w:t>
      </w:r>
      <w:r w:rsidR="00823A82" w:rsidRPr="00823A82">
        <w:rPr>
          <w:rFonts w:cstheme="majorBidi"/>
          <w:color w:val="auto"/>
          <w:sz w:val="24"/>
          <w:szCs w:val="24"/>
        </w:rPr>
        <w:t>/s)</w:t>
      </w:r>
      <w:r w:rsidRPr="00854E06">
        <w:rPr>
          <w:rFonts w:cstheme="majorBidi"/>
          <w:color w:val="auto"/>
          <w:sz w:val="24"/>
          <w:szCs w:val="24"/>
        </w:rPr>
        <w:t>.</w:t>
      </w:r>
      <w:bookmarkEnd w:id="116"/>
      <w:bookmarkEnd w:id="117"/>
    </w:p>
    <w:p w:rsidR="00025130" w:rsidRPr="00854E06" w:rsidRDefault="00025130" w:rsidP="00025130">
      <w:pPr>
        <w:keepNext/>
        <w:spacing w:line="480" w:lineRule="auto"/>
        <w:jc w:val="center"/>
        <w:rPr>
          <w:rFonts w:cstheme="majorBidi"/>
        </w:rPr>
      </w:pPr>
      <w:r w:rsidRPr="00854E06">
        <w:rPr>
          <w:rFonts w:eastAsiaTheme="minorEastAsia" w:cstheme="majorBidi"/>
          <w:noProof/>
        </w:rPr>
        <w:lastRenderedPageBreak/>
        <w:drawing>
          <wp:inline distT="0" distB="0" distL="0" distR="0" wp14:anchorId="5CA33970" wp14:editId="7CDF7139">
            <wp:extent cx="5943600" cy="4797425"/>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_loga_b_mon_largestream.jpeg"/>
                    <pic:cNvPicPr/>
                  </pic:nvPicPr>
                  <pic:blipFill>
                    <a:blip r:embed="rId46">
                      <a:extLst>
                        <a:ext uri="{28A0092B-C50C-407E-A947-70E740481C1C}">
                          <a14:useLocalDpi xmlns:a14="http://schemas.microsoft.com/office/drawing/2010/main" val="0"/>
                        </a:ext>
                      </a:extLst>
                    </a:blip>
                    <a:stretch>
                      <a:fillRect/>
                    </a:stretch>
                  </pic:blipFill>
                  <pic:spPr>
                    <a:xfrm>
                      <a:off x="0" y="0"/>
                      <a:ext cx="5943600" cy="4797425"/>
                    </a:xfrm>
                    <a:prstGeom prst="rect">
                      <a:avLst/>
                    </a:prstGeom>
                  </pic:spPr>
                </pic:pic>
              </a:graphicData>
            </a:graphic>
          </wp:inline>
        </w:drawing>
      </w:r>
    </w:p>
    <w:p w:rsidR="00025130" w:rsidRPr="00854E06" w:rsidRDefault="00025130" w:rsidP="00025130">
      <w:pPr>
        <w:pStyle w:val="Caption"/>
        <w:jc w:val="center"/>
        <w:rPr>
          <w:rFonts w:eastAsiaTheme="minorEastAsia" w:cstheme="majorBidi"/>
          <w:color w:val="auto"/>
          <w:sz w:val="24"/>
          <w:szCs w:val="24"/>
        </w:rPr>
      </w:pPr>
      <w:bookmarkStart w:id="118" w:name="_Toc393312257"/>
      <w:bookmarkStart w:id="119" w:name="_Toc393799570"/>
      <w:r w:rsidRPr="00854E06">
        <w:rPr>
          <w:rFonts w:cstheme="majorBidi"/>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12</w:t>
      </w:r>
      <w:r w:rsidR="00F41E6A" w:rsidRPr="00854E06">
        <w:rPr>
          <w:rFonts w:cstheme="majorBidi"/>
          <w:color w:val="auto"/>
          <w:sz w:val="24"/>
          <w:szCs w:val="24"/>
        </w:rPr>
        <w:fldChar w:fldCharType="end"/>
      </w:r>
      <w:r w:rsidRPr="00854E06">
        <w:rPr>
          <w:rFonts w:cstheme="majorBidi"/>
          <w:color w:val="auto"/>
          <w:sz w:val="24"/>
          <w:szCs w:val="24"/>
        </w:rPr>
        <w:t xml:space="preserve">. </w:t>
      </w:r>
      <w:proofErr w:type="gramStart"/>
      <w:r w:rsidRPr="00854E06">
        <w:rPr>
          <w:rFonts w:cstheme="majorBidi"/>
          <w:color w:val="auto"/>
          <w:sz w:val="24"/>
          <w:szCs w:val="24"/>
        </w:rPr>
        <w:t xml:space="preserve">Scatterplot between </w:t>
      </w:r>
      <m:oMath>
        <m:r>
          <m:rPr>
            <m:sty m:val="bi"/>
          </m:rPr>
          <w:rPr>
            <w:rFonts w:ascii="Cambria Math" w:hAnsi="Cambria Math" w:cstheme="majorBidi"/>
            <w:color w:val="auto"/>
            <w:sz w:val="24"/>
            <w:szCs w:val="24"/>
          </w:rPr>
          <m:t>ln(a)</m:t>
        </m:r>
      </m:oMath>
      <w:r w:rsidRPr="00854E06">
        <w:rPr>
          <w:rFonts w:cstheme="majorBidi"/>
          <w:color w:val="auto"/>
          <w:sz w:val="24"/>
          <w:szCs w:val="24"/>
        </w:rPr>
        <w:t xml:space="preserve"> and </w:t>
      </w:r>
      <m:oMath>
        <m:r>
          <m:rPr>
            <m:sty m:val="bi"/>
          </m:rPr>
          <w:rPr>
            <w:rFonts w:ascii="Cambria Math" w:hAnsi="Cambria Math" w:cstheme="majorBidi"/>
            <w:color w:val="auto"/>
            <w:sz w:val="24"/>
            <w:szCs w:val="24"/>
          </w:rPr>
          <m:t>b</m:t>
        </m:r>
      </m:oMath>
      <w:r w:rsidRPr="00854E06">
        <w:rPr>
          <w:rFonts w:cstheme="majorBidi"/>
          <w:color w:val="auto"/>
          <w:sz w:val="24"/>
          <w:szCs w:val="24"/>
        </w:rPr>
        <w:t xml:space="preserve"> in large streams at the monthly level.</w:t>
      </w:r>
      <w:bookmarkEnd w:id="118"/>
      <w:bookmarkEnd w:id="119"/>
      <w:proofErr w:type="gramEnd"/>
    </w:p>
    <w:p w:rsidR="00025130" w:rsidRPr="00854E06" w:rsidRDefault="006473B4" w:rsidP="00025130">
      <w:pPr>
        <w:keepNext/>
        <w:spacing w:line="480" w:lineRule="auto"/>
        <w:jc w:val="center"/>
        <w:rPr>
          <w:rFonts w:cstheme="majorBidi"/>
        </w:rPr>
      </w:pPr>
      <w:r>
        <w:rPr>
          <w:rFonts w:cstheme="majorBidi"/>
          <w:noProof/>
        </w:rPr>
        <w:lastRenderedPageBreak/>
        <w:drawing>
          <wp:inline distT="0" distB="0" distL="0" distR="0" wp14:anchorId="23079B5C" wp14:editId="75DFD170">
            <wp:extent cx="5607170" cy="519022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_loga_b_smallstreams.jpeg"/>
                    <pic:cNvPicPr/>
                  </pic:nvPicPr>
                  <pic:blipFill>
                    <a:blip r:embed="rId47">
                      <a:extLst>
                        <a:ext uri="{28A0092B-C50C-407E-A947-70E740481C1C}">
                          <a14:useLocalDpi xmlns:a14="http://schemas.microsoft.com/office/drawing/2010/main" val="0"/>
                        </a:ext>
                      </a:extLst>
                    </a:blip>
                    <a:stretch>
                      <a:fillRect/>
                    </a:stretch>
                  </pic:blipFill>
                  <pic:spPr>
                    <a:xfrm>
                      <a:off x="0" y="0"/>
                      <a:ext cx="5607170" cy="5190227"/>
                    </a:xfrm>
                    <a:prstGeom prst="rect">
                      <a:avLst/>
                    </a:prstGeom>
                  </pic:spPr>
                </pic:pic>
              </a:graphicData>
            </a:graphic>
          </wp:inline>
        </w:drawing>
      </w:r>
    </w:p>
    <w:p w:rsidR="00025130" w:rsidRPr="00854E06" w:rsidRDefault="00025130" w:rsidP="00025130">
      <w:pPr>
        <w:pStyle w:val="Caption"/>
        <w:jc w:val="center"/>
        <w:rPr>
          <w:rFonts w:eastAsiaTheme="minorEastAsia" w:cstheme="majorBidi"/>
          <w:color w:val="auto"/>
          <w:sz w:val="24"/>
          <w:szCs w:val="24"/>
        </w:rPr>
      </w:pPr>
      <w:bookmarkStart w:id="120" w:name="_Toc393312258"/>
      <w:bookmarkStart w:id="121" w:name="_Toc393799571"/>
      <w:r w:rsidRPr="00854E06">
        <w:rPr>
          <w:rFonts w:cstheme="majorBidi"/>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13</w:t>
      </w:r>
      <w:r w:rsidR="00F41E6A" w:rsidRPr="00854E06">
        <w:rPr>
          <w:rFonts w:cstheme="majorBidi"/>
          <w:color w:val="auto"/>
          <w:sz w:val="24"/>
          <w:szCs w:val="24"/>
        </w:rPr>
        <w:fldChar w:fldCharType="end"/>
      </w:r>
      <w:r w:rsidRPr="00854E06">
        <w:rPr>
          <w:rFonts w:cstheme="majorBidi"/>
          <w:color w:val="auto"/>
          <w:sz w:val="24"/>
          <w:szCs w:val="24"/>
        </w:rPr>
        <w:t xml:space="preserve">. </w:t>
      </w:r>
      <w:proofErr w:type="gramStart"/>
      <w:r w:rsidRPr="00854E06">
        <w:rPr>
          <w:rFonts w:cstheme="majorBidi"/>
          <w:color w:val="auto"/>
          <w:sz w:val="24"/>
          <w:szCs w:val="24"/>
        </w:rPr>
        <w:t xml:space="preserve">Scatterplot of </w:t>
      </w:r>
      <m:oMath>
        <m:r>
          <m:rPr>
            <m:sty m:val="bi"/>
          </m:rPr>
          <w:rPr>
            <w:rFonts w:ascii="Cambria Math" w:hAnsi="Cambria Math" w:cstheme="majorBidi"/>
            <w:color w:val="auto"/>
            <w:sz w:val="24"/>
            <w:szCs w:val="24"/>
          </w:rPr>
          <m:t>ln(a)</m:t>
        </m:r>
      </m:oMath>
      <w:r w:rsidRPr="00854E06">
        <w:rPr>
          <w:rFonts w:cstheme="majorBidi"/>
          <w:color w:val="auto"/>
          <w:sz w:val="24"/>
          <w:szCs w:val="24"/>
        </w:rPr>
        <w:t xml:space="preserve"> and </w:t>
      </w:r>
      <m:oMath>
        <m:r>
          <m:rPr>
            <m:sty m:val="bi"/>
          </m:rPr>
          <w:rPr>
            <w:rFonts w:ascii="Cambria Math" w:hAnsi="Cambria Math" w:cstheme="majorBidi"/>
            <w:color w:val="auto"/>
            <w:sz w:val="24"/>
            <w:szCs w:val="24"/>
          </w:rPr>
          <m:t>b</m:t>
        </m:r>
      </m:oMath>
      <w:r w:rsidRPr="00854E06">
        <w:rPr>
          <w:rFonts w:cstheme="majorBidi"/>
          <w:color w:val="auto"/>
          <w:sz w:val="24"/>
          <w:szCs w:val="24"/>
        </w:rPr>
        <w:t xml:space="preserve"> in small streams at the monthly level.</w:t>
      </w:r>
      <w:bookmarkEnd w:id="120"/>
      <w:bookmarkEnd w:id="121"/>
      <w:proofErr w:type="gramEnd"/>
    </w:p>
    <w:p w:rsidR="00025130" w:rsidRPr="00854E06" w:rsidRDefault="00025130" w:rsidP="00025130">
      <w:pPr>
        <w:spacing w:line="480" w:lineRule="auto"/>
        <w:jc w:val="center"/>
        <w:rPr>
          <w:rFonts w:eastAsiaTheme="minorEastAsia" w:cstheme="majorBidi"/>
        </w:rPr>
      </w:pPr>
    </w:p>
    <w:p w:rsidR="00025130" w:rsidRPr="00854E06" w:rsidRDefault="00F872E8" w:rsidP="00025130">
      <w:pPr>
        <w:spacing w:line="480" w:lineRule="auto"/>
        <w:jc w:val="center"/>
        <w:rPr>
          <w:rFonts w:eastAsiaTheme="minorEastAsia" w:cstheme="majorBidi"/>
        </w:rPr>
      </w:pPr>
      <w:r>
        <w:rPr>
          <w:rFonts w:eastAsiaTheme="minorEastAsia" w:cstheme="majorBidi"/>
          <w:noProof/>
        </w:rPr>
        <w:lastRenderedPageBreak/>
        <w:drawing>
          <wp:inline distT="0" distB="0" distL="0" distR="0" wp14:anchorId="2672BEA9" wp14:editId="1B090E5F">
            <wp:extent cx="4428543" cy="3081528"/>
            <wp:effectExtent l="0" t="0" r="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_a_q_annual.jpeg"/>
                    <pic:cNvPicPr/>
                  </pic:nvPicPr>
                  <pic:blipFill>
                    <a:blip r:embed="rId48">
                      <a:extLst>
                        <a:ext uri="{28A0092B-C50C-407E-A947-70E740481C1C}">
                          <a14:useLocalDpi xmlns:a14="http://schemas.microsoft.com/office/drawing/2010/main" val="0"/>
                        </a:ext>
                      </a:extLst>
                    </a:blip>
                    <a:stretch>
                      <a:fillRect/>
                    </a:stretch>
                  </pic:blipFill>
                  <pic:spPr>
                    <a:xfrm>
                      <a:off x="0" y="0"/>
                      <a:ext cx="4428543" cy="3081528"/>
                    </a:xfrm>
                    <a:prstGeom prst="rect">
                      <a:avLst/>
                    </a:prstGeom>
                  </pic:spPr>
                </pic:pic>
              </a:graphicData>
            </a:graphic>
          </wp:inline>
        </w:drawing>
      </w:r>
    </w:p>
    <w:p w:rsidR="00025130" w:rsidRPr="00854E06" w:rsidRDefault="00F872E8" w:rsidP="00025130">
      <w:pPr>
        <w:keepNext/>
        <w:spacing w:line="480" w:lineRule="auto"/>
        <w:jc w:val="center"/>
        <w:rPr>
          <w:rFonts w:cstheme="majorBidi"/>
        </w:rPr>
      </w:pPr>
      <w:r>
        <w:rPr>
          <w:rFonts w:cstheme="majorBidi"/>
          <w:noProof/>
        </w:rPr>
        <w:drawing>
          <wp:inline distT="0" distB="0" distL="0" distR="0" wp14:anchorId="45791619" wp14:editId="515190C7">
            <wp:extent cx="4428543" cy="3081528"/>
            <wp:effectExtent l="0" t="0" r="0" b="508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_b_q_annual.jpeg"/>
                    <pic:cNvPicPr/>
                  </pic:nvPicPr>
                  <pic:blipFill>
                    <a:blip r:embed="rId49">
                      <a:extLst>
                        <a:ext uri="{28A0092B-C50C-407E-A947-70E740481C1C}">
                          <a14:useLocalDpi xmlns:a14="http://schemas.microsoft.com/office/drawing/2010/main" val="0"/>
                        </a:ext>
                      </a:extLst>
                    </a:blip>
                    <a:stretch>
                      <a:fillRect/>
                    </a:stretch>
                  </pic:blipFill>
                  <pic:spPr>
                    <a:xfrm>
                      <a:off x="0" y="0"/>
                      <a:ext cx="4428543" cy="3081528"/>
                    </a:xfrm>
                    <a:prstGeom prst="rect">
                      <a:avLst/>
                    </a:prstGeom>
                  </pic:spPr>
                </pic:pic>
              </a:graphicData>
            </a:graphic>
          </wp:inline>
        </w:drawing>
      </w:r>
    </w:p>
    <w:p w:rsidR="00025130" w:rsidRDefault="00025130" w:rsidP="00025130">
      <w:pPr>
        <w:pStyle w:val="Caption"/>
        <w:jc w:val="center"/>
        <w:rPr>
          <w:rFonts w:cstheme="majorBidi"/>
          <w:color w:val="auto"/>
          <w:sz w:val="24"/>
          <w:szCs w:val="24"/>
        </w:rPr>
      </w:pPr>
      <w:bookmarkStart w:id="122" w:name="_Toc393312259"/>
      <w:bookmarkStart w:id="123" w:name="_Toc393799572"/>
      <w:r w:rsidRPr="00854E06">
        <w:rPr>
          <w:rFonts w:cstheme="majorBidi"/>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14</w:t>
      </w:r>
      <w:r w:rsidR="00F41E6A" w:rsidRPr="00854E06">
        <w:rPr>
          <w:rFonts w:cstheme="majorBidi"/>
          <w:color w:val="auto"/>
          <w:sz w:val="24"/>
          <w:szCs w:val="24"/>
        </w:rPr>
        <w:fldChar w:fldCharType="end"/>
      </w:r>
      <w:r w:rsidRPr="00854E06">
        <w:rPr>
          <w:rFonts w:cstheme="majorBidi"/>
          <w:color w:val="auto"/>
          <w:sz w:val="24"/>
          <w:szCs w:val="24"/>
        </w:rPr>
        <w:t xml:space="preserve">. Scatterplot of mean annual stream discharge versus the annual coefficient </w:t>
      </w:r>
      <m:oMath>
        <m:r>
          <m:rPr>
            <m:sty m:val="bi"/>
          </m:rPr>
          <w:rPr>
            <w:rFonts w:ascii="Cambria Math" w:hAnsi="Cambria Math" w:cstheme="majorBidi"/>
            <w:color w:val="auto"/>
            <w:sz w:val="24"/>
            <w:szCs w:val="24"/>
          </w:rPr>
          <m:t>a</m:t>
        </m:r>
      </m:oMath>
      <w:r w:rsidRPr="00854E06">
        <w:rPr>
          <w:rFonts w:cstheme="majorBidi"/>
          <w:color w:val="auto"/>
          <w:sz w:val="24"/>
          <w:szCs w:val="24"/>
        </w:rPr>
        <w:t xml:space="preserve"> and the annual </w:t>
      </w:r>
      <w:proofErr w:type="gramStart"/>
      <w:r w:rsidRPr="00854E06">
        <w:rPr>
          <w:rFonts w:cstheme="majorBidi"/>
          <w:color w:val="auto"/>
          <w:sz w:val="24"/>
          <w:szCs w:val="24"/>
        </w:rPr>
        <w:t xml:space="preserve">exponent </w:t>
      </w:r>
      <w:proofErr w:type="gramEnd"/>
      <m:oMath>
        <m:r>
          <m:rPr>
            <m:sty m:val="bi"/>
          </m:rPr>
          <w:rPr>
            <w:rFonts w:ascii="Cambria Math" w:hAnsi="Cambria Math" w:cstheme="majorBidi"/>
            <w:color w:val="auto"/>
            <w:sz w:val="24"/>
            <w:szCs w:val="24"/>
          </w:rPr>
          <m:t>b</m:t>
        </m:r>
      </m:oMath>
      <w:r w:rsidRPr="00854E06">
        <w:rPr>
          <w:rFonts w:cstheme="majorBidi"/>
          <w:color w:val="auto"/>
          <w:sz w:val="24"/>
          <w:szCs w:val="24"/>
        </w:rPr>
        <w:t>.</w:t>
      </w:r>
      <w:bookmarkEnd w:id="122"/>
      <w:bookmarkEnd w:id="123"/>
    </w:p>
    <w:p w:rsidR="00025130" w:rsidRPr="00725138" w:rsidRDefault="00025130" w:rsidP="00E06476">
      <w:pPr>
        <w:jc w:val="center"/>
      </w:pPr>
      <w:r>
        <w:rPr>
          <w:noProof/>
        </w:rPr>
        <w:lastRenderedPageBreak/>
        <w:drawing>
          <wp:inline distT="0" distB="0" distL="0" distR="0" wp14:anchorId="412BF803" wp14:editId="4ED65D23">
            <wp:extent cx="4084320" cy="3780614"/>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_loga_logQ.jpeg"/>
                    <pic:cNvPicPr/>
                  </pic:nvPicPr>
                  <pic:blipFill>
                    <a:blip r:embed="rId50">
                      <a:extLst>
                        <a:ext uri="{28A0092B-C50C-407E-A947-70E740481C1C}">
                          <a14:useLocalDpi xmlns:a14="http://schemas.microsoft.com/office/drawing/2010/main" val="0"/>
                        </a:ext>
                      </a:extLst>
                    </a:blip>
                    <a:stretch>
                      <a:fillRect/>
                    </a:stretch>
                  </pic:blipFill>
                  <pic:spPr>
                    <a:xfrm>
                      <a:off x="0" y="0"/>
                      <a:ext cx="4087401" cy="3783466"/>
                    </a:xfrm>
                    <a:prstGeom prst="rect">
                      <a:avLst/>
                    </a:prstGeom>
                  </pic:spPr>
                </pic:pic>
              </a:graphicData>
            </a:graphic>
          </wp:inline>
        </w:drawing>
      </w:r>
    </w:p>
    <w:p w:rsidR="00025130" w:rsidRPr="00AA7076" w:rsidRDefault="00025130" w:rsidP="00025130">
      <w:pPr>
        <w:pStyle w:val="Caption"/>
        <w:jc w:val="center"/>
        <w:rPr>
          <w:rFonts w:eastAsiaTheme="minorEastAsia" w:cstheme="majorBidi"/>
          <w:color w:val="auto"/>
          <w:sz w:val="24"/>
          <w:szCs w:val="24"/>
        </w:rPr>
      </w:pPr>
      <w:bookmarkStart w:id="124" w:name="_Toc393312260"/>
      <w:bookmarkStart w:id="125" w:name="_Toc393799573"/>
      <w:r w:rsidRPr="00AA7076">
        <w:rPr>
          <w:rFonts w:cstheme="majorBidi"/>
          <w:color w:val="auto"/>
          <w:sz w:val="24"/>
          <w:szCs w:val="24"/>
        </w:rPr>
        <w:t xml:space="preserve">Figure 5 - </w:t>
      </w:r>
      <w:r w:rsidR="00F41E6A" w:rsidRPr="00AA7076">
        <w:rPr>
          <w:rFonts w:cstheme="majorBidi"/>
          <w:color w:val="auto"/>
          <w:sz w:val="24"/>
          <w:szCs w:val="24"/>
        </w:rPr>
        <w:fldChar w:fldCharType="begin"/>
      </w:r>
      <w:r w:rsidRPr="00AA7076">
        <w:rPr>
          <w:rFonts w:cstheme="majorBidi"/>
          <w:color w:val="auto"/>
          <w:sz w:val="24"/>
          <w:szCs w:val="24"/>
        </w:rPr>
        <w:instrText xml:space="preserve"> SEQ Figure_5_- \* ARABIC </w:instrText>
      </w:r>
      <w:r w:rsidR="00F41E6A" w:rsidRPr="00AA7076">
        <w:rPr>
          <w:rFonts w:cstheme="majorBidi"/>
          <w:color w:val="auto"/>
          <w:sz w:val="24"/>
          <w:szCs w:val="24"/>
        </w:rPr>
        <w:fldChar w:fldCharType="separate"/>
      </w:r>
      <w:r w:rsidR="008E2F67">
        <w:rPr>
          <w:rFonts w:cstheme="majorBidi"/>
          <w:noProof/>
          <w:color w:val="auto"/>
          <w:sz w:val="24"/>
          <w:szCs w:val="24"/>
        </w:rPr>
        <w:t>15</w:t>
      </w:r>
      <w:r w:rsidR="00F41E6A" w:rsidRPr="00AA7076">
        <w:rPr>
          <w:rFonts w:cstheme="majorBidi"/>
          <w:color w:val="auto"/>
          <w:sz w:val="24"/>
          <w:szCs w:val="24"/>
        </w:rPr>
        <w:fldChar w:fldCharType="end"/>
      </w:r>
      <w:r w:rsidRPr="00AA7076">
        <w:rPr>
          <w:rFonts w:cstheme="majorBidi"/>
          <w:color w:val="auto"/>
          <w:sz w:val="24"/>
          <w:szCs w:val="24"/>
        </w:rPr>
        <w:t xml:space="preserve">. Scatterplot of mean annual stream discharge versus the annual coefficient </w:t>
      </w:r>
      <m:oMath>
        <m:r>
          <m:rPr>
            <m:sty m:val="bi"/>
          </m:rPr>
          <w:rPr>
            <w:rFonts w:ascii="Cambria Math" w:hAnsi="Cambria Math" w:cstheme="majorBidi"/>
            <w:color w:val="auto"/>
            <w:sz w:val="24"/>
            <w:szCs w:val="24"/>
          </w:rPr>
          <m:t>a</m:t>
        </m:r>
      </m:oMath>
      <w:r w:rsidRPr="00AA7076">
        <w:rPr>
          <w:rFonts w:cstheme="majorBidi"/>
          <w:color w:val="auto"/>
          <w:sz w:val="24"/>
          <w:szCs w:val="24"/>
        </w:rPr>
        <w:t xml:space="preserve"> in logarithmic forms</w:t>
      </w:r>
      <w:bookmarkEnd w:id="124"/>
      <w:bookmarkEnd w:id="125"/>
    </w:p>
    <w:p w:rsidR="00025130" w:rsidRPr="00854E06" w:rsidRDefault="00025130" w:rsidP="00025130">
      <w:pPr>
        <w:keepNext/>
        <w:spacing w:line="480" w:lineRule="auto"/>
        <w:jc w:val="center"/>
        <w:rPr>
          <w:rFonts w:cstheme="majorBidi"/>
        </w:rPr>
      </w:pPr>
      <w:r w:rsidRPr="00854E06">
        <w:rPr>
          <w:rFonts w:eastAsiaTheme="minorEastAsia" w:cstheme="majorBidi"/>
          <w:noProof/>
        </w:rPr>
        <w:lastRenderedPageBreak/>
        <w:drawing>
          <wp:inline distT="0" distB="0" distL="0" distR="0" wp14:anchorId="10BFDD96" wp14:editId="2BA47D1D">
            <wp:extent cx="5943600" cy="5501640"/>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_a_q_mon.jpeg"/>
                    <pic:cNvPicPr/>
                  </pic:nvPicPr>
                  <pic:blipFill>
                    <a:blip r:embed="rId51">
                      <a:extLst>
                        <a:ext uri="{28A0092B-C50C-407E-A947-70E740481C1C}">
                          <a14:useLocalDpi xmlns:a14="http://schemas.microsoft.com/office/drawing/2010/main" val="0"/>
                        </a:ext>
                      </a:extLst>
                    </a:blip>
                    <a:stretch>
                      <a:fillRect/>
                    </a:stretch>
                  </pic:blipFill>
                  <pic:spPr>
                    <a:xfrm>
                      <a:off x="0" y="0"/>
                      <a:ext cx="5943600" cy="5501640"/>
                    </a:xfrm>
                    <a:prstGeom prst="rect">
                      <a:avLst/>
                    </a:prstGeom>
                  </pic:spPr>
                </pic:pic>
              </a:graphicData>
            </a:graphic>
          </wp:inline>
        </w:drawing>
      </w:r>
    </w:p>
    <w:p w:rsidR="00025130" w:rsidRDefault="00025130" w:rsidP="00025130">
      <w:pPr>
        <w:pStyle w:val="Caption"/>
        <w:jc w:val="center"/>
        <w:rPr>
          <w:rFonts w:cstheme="majorBidi"/>
          <w:color w:val="auto"/>
          <w:sz w:val="24"/>
          <w:szCs w:val="24"/>
        </w:rPr>
      </w:pPr>
      <w:bookmarkStart w:id="126" w:name="_Toc393312261"/>
      <w:bookmarkStart w:id="127" w:name="_Toc393799574"/>
      <w:r w:rsidRPr="00854E06">
        <w:rPr>
          <w:rFonts w:cstheme="majorBidi"/>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16</w:t>
      </w:r>
      <w:r w:rsidR="00F41E6A" w:rsidRPr="00854E06">
        <w:rPr>
          <w:rFonts w:cstheme="majorBidi"/>
          <w:color w:val="auto"/>
          <w:sz w:val="24"/>
          <w:szCs w:val="24"/>
        </w:rPr>
        <w:fldChar w:fldCharType="end"/>
      </w:r>
      <w:r w:rsidRPr="00854E06">
        <w:rPr>
          <w:rFonts w:cstheme="majorBidi"/>
          <w:color w:val="auto"/>
          <w:sz w:val="24"/>
          <w:szCs w:val="24"/>
        </w:rPr>
        <w:t xml:space="preserve">.  Scatterplot of mean monthly stream discharge versus monthly </w:t>
      </w:r>
      <w:proofErr w:type="gramStart"/>
      <w:r w:rsidRPr="00854E06">
        <w:rPr>
          <w:rFonts w:cstheme="majorBidi"/>
          <w:color w:val="auto"/>
          <w:sz w:val="24"/>
          <w:szCs w:val="24"/>
        </w:rPr>
        <w:t xml:space="preserve">coefficient </w:t>
      </w:r>
      <w:proofErr w:type="gramEnd"/>
      <m:oMath>
        <m:r>
          <m:rPr>
            <m:sty m:val="bi"/>
          </m:rPr>
          <w:rPr>
            <w:rFonts w:ascii="Cambria Math" w:hAnsi="Cambria Math" w:cstheme="majorBidi"/>
            <w:color w:val="auto"/>
            <w:sz w:val="24"/>
            <w:szCs w:val="24"/>
          </w:rPr>
          <m:t>a</m:t>
        </m:r>
      </m:oMath>
      <w:r w:rsidRPr="00854E06">
        <w:rPr>
          <w:rFonts w:cstheme="majorBidi"/>
          <w:color w:val="auto"/>
          <w:sz w:val="24"/>
          <w:szCs w:val="24"/>
        </w:rPr>
        <w:t>.</w:t>
      </w:r>
      <w:bookmarkEnd w:id="126"/>
      <w:bookmarkEnd w:id="127"/>
    </w:p>
    <w:p w:rsidR="00025130" w:rsidRPr="00725138" w:rsidRDefault="00025130" w:rsidP="00025130">
      <w:r>
        <w:rPr>
          <w:noProof/>
        </w:rPr>
        <w:lastRenderedPageBreak/>
        <w:drawing>
          <wp:inline distT="0" distB="0" distL="0" distR="0" wp14:anchorId="60608F29" wp14:editId="7360F8A0">
            <wp:extent cx="5943600" cy="465074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ot_logq_loga_mon.jpeg"/>
                    <pic:cNvPicPr/>
                  </pic:nvPicPr>
                  <pic:blipFill>
                    <a:blip r:embed="rId52">
                      <a:extLst>
                        <a:ext uri="{28A0092B-C50C-407E-A947-70E740481C1C}">
                          <a14:useLocalDpi xmlns:a14="http://schemas.microsoft.com/office/drawing/2010/main" val="0"/>
                        </a:ext>
                      </a:extLst>
                    </a:blip>
                    <a:stretch>
                      <a:fillRect/>
                    </a:stretch>
                  </pic:blipFill>
                  <pic:spPr>
                    <a:xfrm>
                      <a:off x="0" y="0"/>
                      <a:ext cx="5943600" cy="4650740"/>
                    </a:xfrm>
                    <a:prstGeom prst="rect">
                      <a:avLst/>
                    </a:prstGeom>
                  </pic:spPr>
                </pic:pic>
              </a:graphicData>
            </a:graphic>
          </wp:inline>
        </w:drawing>
      </w:r>
    </w:p>
    <w:p w:rsidR="00025130" w:rsidRPr="00725138" w:rsidRDefault="00025130" w:rsidP="00025130">
      <w:pPr>
        <w:pStyle w:val="Caption"/>
        <w:jc w:val="center"/>
        <w:rPr>
          <w:rFonts w:eastAsiaTheme="minorEastAsia"/>
          <w:color w:val="auto"/>
          <w:sz w:val="24"/>
          <w:szCs w:val="24"/>
        </w:rPr>
      </w:pPr>
      <w:bookmarkStart w:id="128" w:name="_Toc393312262"/>
      <w:bookmarkStart w:id="129" w:name="_Toc393799575"/>
      <w:r w:rsidRPr="00725138">
        <w:rPr>
          <w:color w:val="auto"/>
          <w:sz w:val="24"/>
          <w:szCs w:val="24"/>
        </w:rPr>
        <w:t xml:space="preserve">Figure 5 - </w:t>
      </w:r>
      <w:r w:rsidR="00F41E6A" w:rsidRPr="00725138">
        <w:rPr>
          <w:color w:val="auto"/>
          <w:sz w:val="24"/>
          <w:szCs w:val="24"/>
        </w:rPr>
        <w:fldChar w:fldCharType="begin"/>
      </w:r>
      <w:r w:rsidRPr="00725138">
        <w:rPr>
          <w:color w:val="auto"/>
          <w:sz w:val="24"/>
          <w:szCs w:val="24"/>
        </w:rPr>
        <w:instrText xml:space="preserve"> SEQ Figure_5_- \* ARABIC </w:instrText>
      </w:r>
      <w:r w:rsidR="00F41E6A" w:rsidRPr="00725138">
        <w:rPr>
          <w:color w:val="auto"/>
          <w:sz w:val="24"/>
          <w:szCs w:val="24"/>
        </w:rPr>
        <w:fldChar w:fldCharType="separate"/>
      </w:r>
      <w:r w:rsidR="008E2F67">
        <w:rPr>
          <w:noProof/>
          <w:color w:val="auto"/>
          <w:sz w:val="24"/>
          <w:szCs w:val="24"/>
        </w:rPr>
        <w:t>17</w:t>
      </w:r>
      <w:r w:rsidR="00F41E6A" w:rsidRPr="00725138">
        <w:rPr>
          <w:color w:val="auto"/>
          <w:sz w:val="24"/>
          <w:szCs w:val="24"/>
        </w:rPr>
        <w:fldChar w:fldCharType="end"/>
      </w:r>
      <w:r w:rsidRPr="00725138">
        <w:rPr>
          <w:color w:val="auto"/>
          <w:sz w:val="24"/>
          <w:szCs w:val="24"/>
        </w:rPr>
        <w:t xml:space="preserve">. </w:t>
      </w:r>
      <w:proofErr w:type="gramStart"/>
      <w:r w:rsidRPr="00725138">
        <w:rPr>
          <w:color w:val="auto"/>
          <w:sz w:val="24"/>
          <w:szCs w:val="24"/>
        </w:rPr>
        <w:t xml:space="preserve">Scatterplot of mean monthly stream discharge versus monthly coefficient </w:t>
      </w:r>
      <m:oMath>
        <m:r>
          <m:rPr>
            <m:sty m:val="bi"/>
          </m:rPr>
          <w:rPr>
            <w:rFonts w:ascii="Cambria Math" w:hAnsi="Cambria Math"/>
            <w:color w:val="auto"/>
            <w:sz w:val="24"/>
            <w:szCs w:val="24"/>
          </w:rPr>
          <m:t>a</m:t>
        </m:r>
      </m:oMath>
      <w:r w:rsidRPr="00725138">
        <w:rPr>
          <w:color w:val="auto"/>
          <w:sz w:val="24"/>
          <w:szCs w:val="24"/>
        </w:rPr>
        <w:t xml:space="preserve"> in logarithmic form.</w:t>
      </w:r>
      <w:bookmarkEnd w:id="128"/>
      <w:bookmarkEnd w:id="129"/>
      <w:proofErr w:type="gramEnd"/>
    </w:p>
    <w:p w:rsidR="00025130" w:rsidRPr="00854E06" w:rsidRDefault="00025130" w:rsidP="00025130">
      <w:pPr>
        <w:keepNext/>
        <w:spacing w:line="480" w:lineRule="auto"/>
        <w:jc w:val="center"/>
        <w:rPr>
          <w:rFonts w:cstheme="majorBidi"/>
        </w:rPr>
      </w:pPr>
    </w:p>
    <w:p w:rsidR="00025130" w:rsidRPr="00854E06" w:rsidRDefault="006473B4" w:rsidP="00025130">
      <w:pPr>
        <w:pStyle w:val="Caption"/>
        <w:keepNext/>
        <w:jc w:val="center"/>
      </w:pPr>
      <w:r>
        <w:rPr>
          <w:noProof/>
        </w:rPr>
        <w:drawing>
          <wp:inline distT="0" distB="0" distL="0" distR="0" wp14:anchorId="6A2EFF12" wp14:editId="27FC336D">
            <wp:extent cx="5300561" cy="490641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_b_q.jpeg"/>
                    <pic:cNvPicPr/>
                  </pic:nvPicPr>
                  <pic:blipFill>
                    <a:blip r:embed="rId53">
                      <a:extLst>
                        <a:ext uri="{28A0092B-C50C-407E-A947-70E740481C1C}">
                          <a14:useLocalDpi xmlns:a14="http://schemas.microsoft.com/office/drawing/2010/main" val="0"/>
                        </a:ext>
                      </a:extLst>
                    </a:blip>
                    <a:stretch>
                      <a:fillRect/>
                    </a:stretch>
                  </pic:blipFill>
                  <pic:spPr>
                    <a:xfrm>
                      <a:off x="0" y="0"/>
                      <a:ext cx="5300561" cy="4906417"/>
                    </a:xfrm>
                    <a:prstGeom prst="rect">
                      <a:avLst/>
                    </a:prstGeom>
                  </pic:spPr>
                </pic:pic>
              </a:graphicData>
            </a:graphic>
          </wp:inline>
        </w:drawing>
      </w:r>
    </w:p>
    <w:p w:rsidR="00025130" w:rsidRPr="00854E06" w:rsidRDefault="00025130" w:rsidP="00025130">
      <w:pPr>
        <w:pStyle w:val="Caption"/>
        <w:jc w:val="center"/>
        <w:rPr>
          <w:rFonts w:eastAsiaTheme="minorEastAsia" w:cstheme="majorBidi"/>
          <w:color w:val="auto"/>
          <w:sz w:val="24"/>
          <w:szCs w:val="24"/>
        </w:rPr>
      </w:pPr>
      <w:bookmarkStart w:id="130" w:name="_Toc393312263"/>
      <w:bookmarkStart w:id="131" w:name="_Toc393799576"/>
      <w:r w:rsidRPr="00854E06">
        <w:rPr>
          <w:rFonts w:cstheme="majorBidi"/>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18</w:t>
      </w:r>
      <w:r w:rsidR="00F41E6A" w:rsidRPr="00854E06">
        <w:rPr>
          <w:rFonts w:cstheme="majorBidi"/>
          <w:color w:val="auto"/>
          <w:sz w:val="24"/>
          <w:szCs w:val="24"/>
        </w:rPr>
        <w:fldChar w:fldCharType="end"/>
      </w:r>
      <w:r w:rsidRPr="00854E06">
        <w:rPr>
          <w:rFonts w:cstheme="majorBidi"/>
          <w:color w:val="auto"/>
          <w:sz w:val="24"/>
          <w:szCs w:val="24"/>
        </w:rPr>
        <w:t xml:space="preserve">. Scatterplot of mean monthly stream discharge versus monthly </w:t>
      </w:r>
      <w:proofErr w:type="gramStart"/>
      <w:r w:rsidRPr="00854E06">
        <w:rPr>
          <w:rFonts w:cstheme="majorBidi"/>
          <w:color w:val="auto"/>
          <w:sz w:val="24"/>
          <w:szCs w:val="24"/>
        </w:rPr>
        <w:t xml:space="preserve">exponent </w:t>
      </w:r>
      <w:proofErr w:type="gramEnd"/>
      <m:oMath>
        <m:r>
          <m:rPr>
            <m:sty m:val="bi"/>
          </m:rPr>
          <w:rPr>
            <w:rFonts w:ascii="Cambria Math" w:hAnsi="Cambria Math" w:cstheme="majorBidi"/>
            <w:color w:val="auto"/>
            <w:sz w:val="24"/>
            <w:szCs w:val="24"/>
          </w:rPr>
          <m:t>b</m:t>
        </m:r>
      </m:oMath>
      <w:r w:rsidRPr="00854E06">
        <w:rPr>
          <w:rFonts w:cstheme="majorBidi"/>
          <w:color w:val="auto"/>
          <w:sz w:val="24"/>
          <w:szCs w:val="24"/>
        </w:rPr>
        <w:t>.</w:t>
      </w:r>
      <w:bookmarkEnd w:id="130"/>
      <w:bookmarkEnd w:id="131"/>
    </w:p>
    <w:p w:rsidR="00025130" w:rsidRDefault="00025130" w:rsidP="00025130"/>
    <w:p w:rsidR="00025130" w:rsidRPr="00025130" w:rsidRDefault="00025130" w:rsidP="00025130"/>
    <w:p w:rsidR="00025130" w:rsidRPr="00025130" w:rsidRDefault="00025130" w:rsidP="00025130"/>
    <w:p w:rsidR="00025130" w:rsidRPr="00025130" w:rsidRDefault="00025130" w:rsidP="00025130"/>
    <w:p w:rsidR="00025130" w:rsidRPr="00025130" w:rsidRDefault="00025130" w:rsidP="00025130"/>
    <w:p w:rsidR="00025130" w:rsidRPr="00025130" w:rsidRDefault="00025130" w:rsidP="00025130"/>
    <w:p w:rsidR="00025130" w:rsidRPr="00025130" w:rsidRDefault="00025130" w:rsidP="00025130">
      <w:pPr>
        <w:sectPr w:rsidR="00025130" w:rsidRPr="00025130">
          <w:pgSz w:w="12240" w:h="15840"/>
          <w:pgMar w:top="1440" w:right="1440" w:bottom="1440" w:left="1440" w:header="720" w:footer="720" w:gutter="0"/>
          <w:cols w:space="720"/>
          <w:docGrid w:linePitch="360"/>
        </w:sectPr>
      </w:pPr>
    </w:p>
    <w:p w:rsidR="00025130" w:rsidRPr="00854E06" w:rsidRDefault="00025130" w:rsidP="00025130">
      <w:pPr>
        <w:spacing w:after="200" w:line="276" w:lineRule="auto"/>
        <w:rPr>
          <w:rFonts w:cstheme="majorBidi"/>
        </w:rPr>
      </w:pPr>
      <w:r w:rsidRPr="00854E06">
        <w:rPr>
          <w:rFonts w:cstheme="majorBidi"/>
          <w:noProof/>
        </w:rPr>
        <w:lastRenderedPageBreak/>
        <w:drawing>
          <wp:inline distT="0" distB="0" distL="0" distR="0" wp14:anchorId="114DA6EE" wp14:editId="6B09B321">
            <wp:extent cx="7613675" cy="5383033"/>
            <wp:effectExtent l="19050" t="19050" r="25400" b="273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vetype_month [Converted].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7613675" cy="5383033"/>
                    </a:xfrm>
                    <a:prstGeom prst="rect">
                      <a:avLst/>
                    </a:prstGeom>
                    <a:ln>
                      <a:solidFill>
                        <a:schemeClr val="tx1"/>
                      </a:solidFill>
                    </a:ln>
                  </pic:spPr>
                </pic:pic>
              </a:graphicData>
            </a:graphic>
          </wp:inline>
        </w:drawing>
      </w:r>
    </w:p>
    <w:p w:rsidR="00025130" w:rsidRPr="00854E06" w:rsidRDefault="00025130" w:rsidP="00025130">
      <w:pPr>
        <w:pStyle w:val="Caption"/>
        <w:jc w:val="center"/>
        <w:rPr>
          <w:rFonts w:cstheme="majorBidi"/>
          <w:color w:val="auto"/>
          <w:sz w:val="24"/>
          <w:szCs w:val="24"/>
        </w:rPr>
      </w:pPr>
      <w:bookmarkStart w:id="132" w:name="_Toc393312264"/>
      <w:bookmarkStart w:id="133" w:name="_Toc393799577"/>
      <w:r w:rsidRPr="00854E06">
        <w:rPr>
          <w:rFonts w:cstheme="majorBidi"/>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19</w:t>
      </w:r>
      <w:r w:rsidR="00F41E6A" w:rsidRPr="00854E06">
        <w:rPr>
          <w:rFonts w:cstheme="majorBidi"/>
          <w:color w:val="auto"/>
          <w:sz w:val="24"/>
          <w:szCs w:val="24"/>
        </w:rPr>
        <w:fldChar w:fldCharType="end"/>
      </w:r>
      <w:r w:rsidRPr="00854E06">
        <w:rPr>
          <w:rFonts w:cstheme="majorBidi"/>
          <w:color w:val="auto"/>
          <w:sz w:val="24"/>
          <w:szCs w:val="24"/>
        </w:rPr>
        <w:t xml:space="preserve">. </w:t>
      </w:r>
      <w:proofErr w:type="gramStart"/>
      <w:r w:rsidRPr="00854E06">
        <w:rPr>
          <w:rFonts w:cstheme="majorBidi"/>
          <w:color w:val="auto"/>
          <w:sz w:val="24"/>
          <w:szCs w:val="24"/>
        </w:rPr>
        <w:t>Distribution of the shapes of the suspended sediment rating curve at the monthly level.</w:t>
      </w:r>
      <w:bookmarkEnd w:id="132"/>
      <w:bookmarkEnd w:id="133"/>
      <w:proofErr w:type="gramEnd"/>
    </w:p>
    <w:p w:rsidR="00025130" w:rsidRDefault="00025130" w:rsidP="00025130"/>
    <w:p w:rsidR="00025130" w:rsidRDefault="00025130" w:rsidP="00FE661F">
      <w:pPr>
        <w:jc w:val="center"/>
      </w:pPr>
      <w:r w:rsidRPr="00854E06">
        <w:rPr>
          <w:rFonts w:cstheme="majorBidi"/>
          <w:noProof/>
        </w:rPr>
        <w:drawing>
          <wp:inline distT="0" distB="0" distL="0" distR="0" wp14:anchorId="6E29DB71" wp14:editId="56D471D0">
            <wp:extent cx="5943600" cy="4213666"/>
            <wp:effectExtent l="19050" t="19050" r="19050" b="158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l_moran_b_monthly [Converted].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943600" cy="4213666"/>
                    </a:xfrm>
                    <a:prstGeom prst="rect">
                      <a:avLst/>
                    </a:prstGeom>
                    <a:ln>
                      <a:solidFill>
                        <a:schemeClr val="tx1"/>
                      </a:solidFill>
                    </a:ln>
                  </pic:spPr>
                </pic:pic>
              </a:graphicData>
            </a:graphic>
          </wp:inline>
        </w:drawing>
      </w:r>
    </w:p>
    <w:p w:rsidR="00025130" w:rsidRDefault="00025130" w:rsidP="00025130"/>
    <w:p w:rsidR="00025130" w:rsidRPr="00854E06" w:rsidRDefault="00025130" w:rsidP="00025130">
      <w:pPr>
        <w:pStyle w:val="Caption"/>
        <w:jc w:val="center"/>
        <w:rPr>
          <w:rFonts w:cstheme="majorBidi"/>
          <w:color w:val="auto"/>
          <w:sz w:val="24"/>
          <w:szCs w:val="24"/>
        </w:rPr>
      </w:pPr>
      <w:bookmarkStart w:id="134" w:name="_Toc387129245"/>
      <w:bookmarkStart w:id="135" w:name="_Toc393312265"/>
      <w:bookmarkStart w:id="136" w:name="_Toc393799578"/>
      <w:r w:rsidRPr="00854E06">
        <w:rPr>
          <w:rFonts w:cstheme="majorBidi"/>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20</w:t>
      </w:r>
      <w:r w:rsidR="00F41E6A" w:rsidRPr="00854E06">
        <w:rPr>
          <w:rFonts w:cstheme="majorBidi"/>
          <w:color w:val="auto"/>
          <w:sz w:val="24"/>
          <w:szCs w:val="24"/>
        </w:rPr>
        <w:fldChar w:fldCharType="end"/>
      </w:r>
      <w:r w:rsidRPr="00854E06">
        <w:rPr>
          <w:rFonts w:cstheme="majorBidi"/>
          <w:color w:val="auto"/>
          <w:sz w:val="24"/>
          <w:szCs w:val="24"/>
        </w:rPr>
        <w:t xml:space="preserve">. Map of the Local Moran’s I of the rating exponent </w:t>
      </w:r>
      <m:oMath>
        <m:r>
          <m:rPr>
            <m:sty m:val="bi"/>
          </m:rPr>
          <w:rPr>
            <w:rFonts w:ascii="Cambria Math" w:hAnsi="Cambria Math" w:cstheme="majorBidi"/>
            <w:color w:val="auto"/>
            <w:sz w:val="24"/>
            <w:szCs w:val="24"/>
          </w:rPr>
          <m:t>b</m:t>
        </m:r>
      </m:oMath>
      <w:r w:rsidRPr="00854E06">
        <w:rPr>
          <w:rFonts w:cstheme="majorBidi"/>
          <w:color w:val="auto"/>
          <w:sz w:val="24"/>
          <w:szCs w:val="24"/>
        </w:rPr>
        <w:t xml:space="preserve"> at the monthly level</w:t>
      </w:r>
      <w:bookmarkEnd w:id="134"/>
      <w:r w:rsidRPr="00854E06">
        <w:rPr>
          <w:rFonts w:cstheme="majorBidi"/>
          <w:color w:val="auto"/>
          <w:sz w:val="24"/>
          <w:szCs w:val="24"/>
        </w:rPr>
        <w:t>.</w:t>
      </w:r>
      <w:bookmarkEnd w:id="135"/>
      <w:bookmarkEnd w:id="136"/>
    </w:p>
    <w:p w:rsidR="00025130" w:rsidRPr="00854E06" w:rsidRDefault="00025130" w:rsidP="00025130">
      <w:pPr>
        <w:keepNext/>
        <w:spacing w:line="480" w:lineRule="auto"/>
        <w:jc w:val="center"/>
        <w:rPr>
          <w:rFonts w:cstheme="majorBidi"/>
        </w:rPr>
        <w:sectPr w:rsidR="00025130" w:rsidRPr="00854E06">
          <w:pgSz w:w="15840" w:h="12240" w:orient="landscape"/>
          <w:pgMar w:top="1440" w:right="1440" w:bottom="1440" w:left="1440" w:header="720" w:footer="720" w:gutter="0"/>
          <w:cols w:space="720"/>
          <w:docGrid w:linePitch="360"/>
        </w:sectPr>
      </w:pPr>
    </w:p>
    <w:p w:rsidR="00025130" w:rsidRPr="00854E06" w:rsidRDefault="00FA27C4" w:rsidP="00025130">
      <w:pPr>
        <w:spacing w:after="200" w:line="276" w:lineRule="auto"/>
        <w:jc w:val="center"/>
        <w:rPr>
          <w:rFonts w:ascii="Times New Roman" w:hAnsi="Times New Roman" w:cs="Times New Roman"/>
          <w:b/>
          <w:bCs/>
        </w:rPr>
      </w:pPr>
      <w:r>
        <w:rPr>
          <w:rFonts w:ascii="Times New Roman" w:hAnsi="Times New Roman" w:cs="Times New Roman"/>
          <w:b/>
          <w:bCs/>
          <w:noProof/>
        </w:rPr>
        <w:lastRenderedPageBreak/>
        <w:drawing>
          <wp:inline distT="0" distB="0" distL="0" distR="0" wp14:anchorId="2F1F2AD4" wp14:editId="59BAE0EE">
            <wp:extent cx="5943600" cy="5501640"/>
            <wp:effectExtent l="0" t="0" r="0" b="381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fference in seasons - a.jpeg"/>
                    <pic:cNvPicPr/>
                  </pic:nvPicPr>
                  <pic:blipFill>
                    <a:blip r:embed="rId56">
                      <a:extLst>
                        <a:ext uri="{28A0092B-C50C-407E-A947-70E740481C1C}">
                          <a14:useLocalDpi xmlns:a14="http://schemas.microsoft.com/office/drawing/2010/main" val="0"/>
                        </a:ext>
                      </a:extLst>
                    </a:blip>
                    <a:stretch>
                      <a:fillRect/>
                    </a:stretch>
                  </pic:blipFill>
                  <pic:spPr>
                    <a:xfrm>
                      <a:off x="0" y="0"/>
                      <a:ext cx="5943600" cy="5501640"/>
                    </a:xfrm>
                    <a:prstGeom prst="rect">
                      <a:avLst/>
                    </a:prstGeom>
                  </pic:spPr>
                </pic:pic>
              </a:graphicData>
            </a:graphic>
          </wp:inline>
        </w:drawing>
      </w:r>
    </w:p>
    <w:p w:rsidR="00025130" w:rsidRPr="00854E06" w:rsidRDefault="00025130" w:rsidP="00025130">
      <w:pPr>
        <w:pStyle w:val="Caption"/>
        <w:jc w:val="center"/>
        <w:rPr>
          <w:rFonts w:cstheme="majorBidi"/>
          <w:b w:val="0"/>
          <w:bCs w:val="0"/>
          <w:color w:val="auto"/>
          <w:sz w:val="24"/>
          <w:szCs w:val="24"/>
        </w:rPr>
      </w:pPr>
      <w:bookmarkStart w:id="137" w:name="_Toc393312266"/>
      <w:bookmarkStart w:id="138" w:name="_Toc393799579"/>
      <w:r w:rsidRPr="00854E06">
        <w:rPr>
          <w:rFonts w:cstheme="majorBidi"/>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21</w:t>
      </w:r>
      <w:r w:rsidR="00F41E6A" w:rsidRPr="00854E06">
        <w:rPr>
          <w:rFonts w:cstheme="majorBidi"/>
          <w:color w:val="auto"/>
          <w:sz w:val="24"/>
          <w:szCs w:val="24"/>
        </w:rPr>
        <w:fldChar w:fldCharType="end"/>
      </w:r>
      <w:r w:rsidRPr="00854E06">
        <w:rPr>
          <w:rFonts w:cstheme="majorBidi"/>
          <w:color w:val="auto"/>
          <w:sz w:val="24"/>
          <w:szCs w:val="24"/>
        </w:rPr>
        <w:t xml:space="preserve">. </w:t>
      </w:r>
      <w:proofErr w:type="gramStart"/>
      <w:r w:rsidRPr="00854E06">
        <w:rPr>
          <w:rFonts w:cstheme="majorBidi"/>
          <w:color w:val="auto"/>
          <w:sz w:val="24"/>
          <w:szCs w:val="24"/>
        </w:rPr>
        <w:t xml:space="preserve">The number of significant differences in the monthly values of </w:t>
      </w:r>
      <m:oMath>
        <m:r>
          <m:rPr>
            <m:sty m:val="bi"/>
          </m:rPr>
          <w:rPr>
            <w:rFonts w:ascii="Cambria Math" w:hAnsi="Cambria Math" w:cstheme="majorBidi"/>
            <w:color w:val="auto"/>
            <w:sz w:val="24"/>
            <w:szCs w:val="24"/>
          </w:rPr>
          <m:t>ln(a)</m:t>
        </m:r>
      </m:oMath>
      <w:r w:rsidRPr="00854E06">
        <w:rPr>
          <w:rFonts w:cstheme="majorBidi"/>
          <w:color w:val="auto"/>
          <w:sz w:val="24"/>
          <w:szCs w:val="24"/>
        </w:rPr>
        <w:t xml:space="preserve"> between pairs of seasons.</w:t>
      </w:r>
      <w:bookmarkEnd w:id="137"/>
      <w:bookmarkEnd w:id="138"/>
      <w:proofErr w:type="gramEnd"/>
    </w:p>
    <w:p w:rsidR="00025130" w:rsidRPr="00854E06" w:rsidRDefault="00FA27C4" w:rsidP="00025130">
      <w:pPr>
        <w:spacing w:after="200" w:line="276" w:lineRule="auto"/>
        <w:jc w:val="center"/>
        <w:rPr>
          <w:rFonts w:ascii="Times New Roman" w:eastAsiaTheme="minorHAnsi" w:hAnsi="Times New Roman" w:cs="Times New Roman"/>
          <w:b/>
          <w:bCs/>
        </w:rPr>
      </w:pPr>
      <w:r>
        <w:rPr>
          <w:rFonts w:ascii="Times New Roman" w:eastAsiaTheme="minorHAnsi" w:hAnsi="Times New Roman" w:cs="Times New Roman"/>
          <w:b/>
          <w:bCs/>
          <w:noProof/>
        </w:rPr>
        <w:lastRenderedPageBreak/>
        <w:drawing>
          <wp:inline distT="0" distB="0" distL="0" distR="0" wp14:anchorId="7153E319" wp14:editId="3A3C31B7">
            <wp:extent cx="5943600" cy="58324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fferences in seasons - b.jpeg"/>
                    <pic:cNvPicPr/>
                  </pic:nvPicPr>
                  <pic:blipFill>
                    <a:blip r:embed="rId57">
                      <a:extLst>
                        <a:ext uri="{28A0092B-C50C-407E-A947-70E740481C1C}">
                          <a14:useLocalDpi xmlns:a14="http://schemas.microsoft.com/office/drawing/2010/main" val="0"/>
                        </a:ext>
                      </a:extLst>
                    </a:blip>
                    <a:stretch>
                      <a:fillRect/>
                    </a:stretch>
                  </pic:blipFill>
                  <pic:spPr>
                    <a:xfrm>
                      <a:off x="0" y="0"/>
                      <a:ext cx="5943600" cy="5832475"/>
                    </a:xfrm>
                    <a:prstGeom prst="rect">
                      <a:avLst/>
                    </a:prstGeom>
                  </pic:spPr>
                </pic:pic>
              </a:graphicData>
            </a:graphic>
          </wp:inline>
        </w:drawing>
      </w:r>
    </w:p>
    <w:p w:rsidR="00025130" w:rsidRPr="00854E06" w:rsidRDefault="00025130" w:rsidP="00025130">
      <w:pPr>
        <w:pStyle w:val="Caption"/>
        <w:jc w:val="center"/>
        <w:rPr>
          <w:rFonts w:eastAsiaTheme="minorHAnsi" w:cstheme="majorBidi"/>
          <w:b w:val="0"/>
          <w:bCs w:val="0"/>
          <w:color w:val="auto"/>
          <w:sz w:val="24"/>
          <w:szCs w:val="24"/>
        </w:rPr>
      </w:pPr>
      <w:bookmarkStart w:id="139" w:name="_Toc393312267"/>
      <w:bookmarkStart w:id="140" w:name="_Toc393799580"/>
      <w:r w:rsidRPr="00854E06">
        <w:rPr>
          <w:rFonts w:cstheme="majorBidi"/>
          <w:color w:val="auto"/>
          <w:sz w:val="24"/>
          <w:szCs w:val="24"/>
        </w:rPr>
        <w:t xml:space="preserve">Figure 5 - </w:t>
      </w:r>
      <w:r w:rsidR="00F41E6A" w:rsidRPr="00854E06">
        <w:rPr>
          <w:rFonts w:cstheme="majorBidi"/>
          <w:color w:val="auto"/>
          <w:sz w:val="24"/>
          <w:szCs w:val="24"/>
        </w:rPr>
        <w:fldChar w:fldCharType="begin"/>
      </w:r>
      <w:r w:rsidRPr="00854E06">
        <w:rPr>
          <w:rFonts w:cstheme="majorBidi"/>
          <w:color w:val="auto"/>
          <w:sz w:val="24"/>
          <w:szCs w:val="24"/>
        </w:rPr>
        <w:instrText xml:space="preserve"> SEQ Figure_5_- \* ARABIC </w:instrText>
      </w:r>
      <w:r w:rsidR="00F41E6A" w:rsidRPr="00854E06">
        <w:rPr>
          <w:rFonts w:cstheme="majorBidi"/>
          <w:color w:val="auto"/>
          <w:sz w:val="24"/>
          <w:szCs w:val="24"/>
        </w:rPr>
        <w:fldChar w:fldCharType="separate"/>
      </w:r>
      <w:r w:rsidR="008E2F67">
        <w:rPr>
          <w:rFonts w:cstheme="majorBidi"/>
          <w:noProof/>
          <w:color w:val="auto"/>
          <w:sz w:val="24"/>
          <w:szCs w:val="24"/>
        </w:rPr>
        <w:t>22</w:t>
      </w:r>
      <w:r w:rsidR="00F41E6A" w:rsidRPr="00854E06">
        <w:rPr>
          <w:rFonts w:cstheme="majorBidi"/>
          <w:color w:val="auto"/>
          <w:sz w:val="24"/>
          <w:szCs w:val="24"/>
        </w:rPr>
        <w:fldChar w:fldCharType="end"/>
      </w:r>
      <w:r w:rsidRPr="00854E06">
        <w:rPr>
          <w:rFonts w:cstheme="majorBidi"/>
          <w:color w:val="auto"/>
          <w:sz w:val="24"/>
          <w:szCs w:val="24"/>
        </w:rPr>
        <w:t xml:space="preserve">. </w:t>
      </w:r>
      <w:proofErr w:type="gramStart"/>
      <w:r w:rsidRPr="00854E06">
        <w:rPr>
          <w:rFonts w:cstheme="majorBidi"/>
          <w:color w:val="auto"/>
          <w:sz w:val="24"/>
          <w:szCs w:val="24"/>
        </w:rPr>
        <w:t xml:space="preserve">The number of significant differences in the monthly values of </w:t>
      </w:r>
      <m:oMath>
        <m:r>
          <m:rPr>
            <m:sty m:val="bi"/>
          </m:rPr>
          <w:rPr>
            <w:rFonts w:ascii="Cambria Math" w:hAnsi="Cambria Math" w:cstheme="majorBidi"/>
            <w:color w:val="auto"/>
            <w:sz w:val="24"/>
            <w:szCs w:val="24"/>
          </w:rPr>
          <m:t>b</m:t>
        </m:r>
      </m:oMath>
      <w:r w:rsidRPr="00854E06">
        <w:rPr>
          <w:rFonts w:cstheme="majorBidi"/>
          <w:color w:val="auto"/>
          <w:sz w:val="24"/>
          <w:szCs w:val="24"/>
        </w:rPr>
        <w:t xml:space="preserve"> between pairs of seasons.</w:t>
      </w:r>
      <w:bookmarkEnd w:id="139"/>
      <w:bookmarkEnd w:id="140"/>
      <w:proofErr w:type="gramEnd"/>
    </w:p>
    <w:p w:rsidR="00025130" w:rsidRPr="00854E06" w:rsidRDefault="00025130" w:rsidP="00025130">
      <w:pPr>
        <w:spacing w:after="200" w:line="276" w:lineRule="auto"/>
        <w:jc w:val="center"/>
        <w:rPr>
          <w:rFonts w:ascii="Times New Roman" w:hAnsi="Times New Roman" w:cs="Times New Roman"/>
          <w:b/>
          <w:bCs/>
        </w:rPr>
      </w:pPr>
    </w:p>
    <w:p w:rsidR="00025130" w:rsidRPr="00025130" w:rsidRDefault="00025130" w:rsidP="00025130">
      <w:pPr>
        <w:sectPr w:rsidR="00025130" w:rsidRPr="00025130">
          <w:pgSz w:w="12240" w:h="15840"/>
          <w:pgMar w:top="1440" w:right="1440" w:bottom="1440" w:left="1440" w:header="720" w:footer="720" w:gutter="0"/>
          <w:cols w:space="720"/>
          <w:docGrid w:linePitch="360"/>
        </w:sectPr>
      </w:pPr>
    </w:p>
    <w:p w:rsidR="00492725" w:rsidRPr="00854E06" w:rsidRDefault="00492725" w:rsidP="00492725">
      <w:pPr>
        <w:pStyle w:val="Heading1"/>
      </w:pPr>
      <w:bookmarkStart w:id="141" w:name="_Toc394525575"/>
      <w:r w:rsidRPr="00854E06">
        <w:lastRenderedPageBreak/>
        <w:t>Discussion</w:t>
      </w:r>
      <w:bookmarkEnd w:id="141"/>
    </w:p>
    <w:p w:rsidR="006473B4" w:rsidRPr="00854E06" w:rsidRDefault="006473B4" w:rsidP="003C0F07">
      <w:pPr>
        <w:spacing w:line="480" w:lineRule="auto"/>
        <w:ind w:firstLine="810"/>
        <w:jc w:val="both"/>
        <w:rPr>
          <w:rFonts w:eastAsiaTheme="minorHAnsi"/>
        </w:rPr>
      </w:pPr>
      <w:r w:rsidRPr="00854E06">
        <w:rPr>
          <w:rFonts w:eastAsiaTheme="minorHAnsi"/>
        </w:rPr>
        <w:t>The discussion in this chapter is divided into sections according to the research</w:t>
      </w:r>
      <w:r w:rsidR="003C0F07">
        <w:rPr>
          <w:rFonts w:eastAsiaTheme="minorHAnsi"/>
        </w:rPr>
        <w:t xml:space="preserve"> questions proposed in Chapter I</w:t>
      </w:r>
      <w:r w:rsidRPr="00854E06">
        <w:rPr>
          <w:rFonts w:eastAsiaTheme="minorHAnsi"/>
        </w:rPr>
        <w:t xml:space="preserve">. </w:t>
      </w:r>
    </w:p>
    <w:p w:rsidR="006473B4" w:rsidRPr="00624DF1" w:rsidRDefault="006473B4" w:rsidP="00624DF1">
      <w:pPr>
        <w:pStyle w:val="Heading2"/>
        <w:numPr>
          <w:ilvl w:val="0"/>
          <w:numId w:val="38"/>
        </w:numPr>
        <w:ind w:left="360"/>
      </w:pPr>
      <w:bookmarkStart w:id="142" w:name="_Toc390715105"/>
      <w:bookmarkStart w:id="143" w:name="_Toc394525576"/>
      <w:r w:rsidRPr="00624DF1">
        <w:t>Descriptive statistics and spatial patterns of rating parameters</w:t>
      </w:r>
      <w:bookmarkEnd w:id="142"/>
      <w:bookmarkEnd w:id="143"/>
    </w:p>
    <w:p w:rsidR="003C0F07" w:rsidRPr="003C0F07" w:rsidRDefault="003C0F07" w:rsidP="003C0F07">
      <w:pPr>
        <w:spacing w:line="480" w:lineRule="auto"/>
        <w:ind w:firstLine="720"/>
        <w:jc w:val="both"/>
        <w:rPr>
          <w:rFonts w:eastAsiaTheme="minorEastAsia" w:cstheme="majorBidi"/>
        </w:rPr>
      </w:pPr>
      <w:r w:rsidRPr="003C0F07">
        <w:rPr>
          <w:rFonts w:cstheme="majorBidi"/>
        </w:rPr>
        <w:t xml:space="preserve">The rating coefficient </w:t>
      </w:r>
      <m:oMath>
        <m:r>
          <w:rPr>
            <w:rFonts w:ascii="Cambria Math" w:hAnsi="Cambria Math" w:cstheme="majorBidi"/>
          </w:rPr>
          <m:t>a</m:t>
        </m:r>
      </m:oMath>
      <w:r w:rsidRPr="003C0F07">
        <w:rPr>
          <w:rFonts w:cstheme="majorBidi"/>
        </w:rPr>
        <w:t xml:space="preserve"> represents the sediment concentration at unit flow at the monitoring stations. Hence, the value of the coefficient </w:t>
      </w:r>
      <m:oMath>
        <m:r>
          <w:rPr>
            <w:rFonts w:ascii="Cambria Math" w:hAnsi="Cambria Math" w:cstheme="majorBidi"/>
          </w:rPr>
          <m:t>a</m:t>
        </m:r>
      </m:oMath>
      <w:r w:rsidRPr="003C0F07">
        <w:rPr>
          <w:rFonts w:cstheme="majorBidi"/>
        </w:rPr>
        <w:t xml:space="preserve"> at a station is closely related to the sources of sediment from upstream. The </w:t>
      </w:r>
      <m:oMath>
        <m:r>
          <w:rPr>
            <w:rFonts w:ascii="Cambria Math" w:hAnsi="Cambria Math" w:cstheme="majorBidi"/>
          </w:rPr>
          <m:t>a</m:t>
        </m:r>
      </m:oMath>
      <w:r w:rsidRPr="003C0F07">
        <w:rPr>
          <w:rFonts w:eastAsiaTheme="minorEastAsia" w:cstheme="majorBidi"/>
        </w:rPr>
        <w:t xml:space="preserve"> </w:t>
      </w:r>
      <w:r w:rsidRPr="003C0F07">
        <w:rPr>
          <w:rFonts w:cstheme="majorBidi"/>
        </w:rPr>
        <w:t xml:space="preserve">coefficients </w:t>
      </w:r>
      <w:r w:rsidRPr="003C0F07">
        <w:rPr>
          <w:rFonts w:eastAsiaTheme="minorEastAsia" w:cstheme="majorBidi"/>
        </w:rPr>
        <w:t xml:space="preserve">of tributaries of the Mississippi River had a wider range compared to those of the main channel (Table 6.1), which indicates the variety of flow regimes and sediment sources in the tributaries. </w:t>
      </w:r>
    </w:p>
    <w:p w:rsidR="003C0F07" w:rsidRPr="003C0F07" w:rsidRDefault="003C0F07" w:rsidP="00FC4BE8">
      <w:pPr>
        <w:spacing w:line="480" w:lineRule="auto"/>
        <w:ind w:firstLine="720"/>
        <w:jc w:val="both"/>
        <w:rPr>
          <w:rFonts w:eastAsiaTheme="minorEastAsia" w:cstheme="majorBidi"/>
        </w:rPr>
      </w:pPr>
      <w:r>
        <w:rPr>
          <w:rFonts w:cstheme="majorBidi"/>
          <w:color w:val="222222"/>
          <w:shd w:val="clear" w:color="auto" w:fill="FFFFFF"/>
        </w:rPr>
        <w:t>Compared to other studies, v</w:t>
      </w:r>
      <w:r w:rsidRPr="003C0F07">
        <w:rPr>
          <w:rFonts w:cstheme="majorBidi"/>
          <w:color w:val="222222"/>
          <w:shd w:val="clear" w:color="auto" w:fill="FFFFFF"/>
        </w:rPr>
        <w:t xml:space="preserve">alues of the rating parameters varied depending on the time level of the data and the equation form of the rating curve. </w:t>
      </w:r>
      <w:r w:rsidRPr="003C0F07">
        <w:rPr>
          <w:rFonts w:eastAsiaTheme="minorEastAsia" w:cstheme="majorBidi"/>
        </w:rPr>
        <w:t xml:space="preserve"> In Table 6.1, the monthly rating parameters in this study can be compared to those developed by Hu </w:t>
      </w:r>
      <w:r w:rsidRPr="0019736D">
        <w:rPr>
          <w:rFonts w:eastAsiaTheme="minorEastAsia" w:cstheme="majorBidi"/>
        </w:rPr>
        <w:t>et al. (2011)</w:t>
      </w:r>
      <w:r w:rsidRPr="003C0F07">
        <w:rPr>
          <w:rFonts w:eastAsiaTheme="minorEastAsia" w:cstheme="majorBidi"/>
        </w:rPr>
        <w:t xml:space="preserve"> as they were both derived from monthly load and discharge data. Like the </w:t>
      </w:r>
      <w:proofErr w:type="spellStart"/>
      <w:r w:rsidRPr="003C0F07">
        <w:rPr>
          <w:rFonts w:eastAsiaTheme="minorEastAsia" w:cstheme="majorBidi"/>
        </w:rPr>
        <w:t>Changjiang</w:t>
      </w:r>
      <w:proofErr w:type="spellEnd"/>
      <w:r w:rsidRPr="003C0F07">
        <w:rPr>
          <w:rFonts w:eastAsiaTheme="minorEastAsia" w:cstheme="majorBidi"/>
        </w:rPr>
        <w:t xml:space="preserve"> River basin, the UMRB has a large drainage area in which soil conservation practices have been implemented for decades. Hence, low values of the coefficients </w:t>
      </w:r>
      <m:oMath>
        <m:r>
          <w:rPr>
            <w:rFonts w:ascii="Cambria Math" w:eastAsiaTheme="minorEastAsia" w:hAnsi="Cambria Math" w:cstheme="majorBidi"/>
          </w:rPr>
          <m:t>a</m:t>
        </m:r>
      </m:oMath>
      <w:r w:rsidR="00FC4BE8" w:rsidRPr="003C0F07">
        <w:rPr>
          <w:rFonts w:eastAsiaTheme="minorEastAsia" w:cstheme="majorBidi"/>
        </w:rPr>
        <w:t xml:space="preserve"> </w:t>
      </w:r>
      <w:r w:rsidRPr="003C0F07">
        <w:rPr>
          <w:rFonts w:eastAsiaTheme="minorEastAsia" w:cstheme="majorBidi"/>
        </w:rPr>
        <w:t xml:space="preserve">in both studies </w:t>
      </w:r>
      <w:r>
        <w:rPr>
          <w:rFonts w:eastAsiaTheme="minorEastAsia" w:cstheme="majorBidi"/>
        </w:rPr>
        <w:t xml:space="preserve">arguably </w:t>
      </w:r>
      <w:r w:rsidRPr="003C0F07">
        <w:rPr>
          <w:rFonts w:eastAsiaTheme="minorEastAsia" w:cstheme="majorBidi"/>
        </w:rPr>
        <w:t xml:space="preserve">indicate low sediment concentrations in streams of these two basins. These results are compatible with the conclusion in previous studies of Meade and Moody (2010) and </w:t>
      </w:r>
      <w:proofErr w:type="spellStart"/>
      <w:r w:rsidRPr="003C0F07">
        <w:rPr>
          <w:rFonts w:eastAsiaTheme="minorEastAsia" w:cstheme="majorBidi"/>
        </w:rPr>
        <w:t>Heimann</w:t>
      </w:r>
      <w:proofErr w:type="spellEnd"/>
      <w:r w:rsidRPr="003C0F07">
        <w:rPr>
          <w:rFonts w:eastAsiaTheme="minorEastAsia" w:cstheme="majorBidi"/>
        </w:rPr>
        <w:t xml:space="preserve"> et al. (2011) that the sediment concentrations in several rivers in the UMRB were decreasing because of soil conservation and the presence of dams. </w:t>
      </w:r>
    </w:p>
    <w:p w:rsidR="006473B4" w:rsidRPr="00F065A4" w:rsidRDefault="006473B4" w:rsidP="006473B4">
      <w:pPr>
        <w:spacing w:line="480" w:lineRule="auto"/>
        <w:ind w:firstLine="360"/>
        <w:jc w:val="both"/>
        <w:rPr>
          <w:rFonts w:eastAsiaTheme="minorEastAsia" w:cstheme="majorBidi"/>
        </w:rPr>
        <w:sectPr w:rsidR="006473B4" w:rsidRPr="00F065A4">
          <w:pgSz w:w="12240" w:h="15840"/>
          <w:pgMar w:top="1440" w:right="1440" w:bottom="1440" w:left="1440" w:header="720" w:footer="720" w:gutter="0"/>
          <w:cols w:space="720"/>
          <w:docGrid w:linePitch="360"/>
        </w:sectPr>
      </w:pPr>
      <w:r>
        <w:rPr>
          <w:rFonts w:eastAsiaTheme="minorEastAsia" w:cstheme="majorBidi"/>
        </w:rPr>
        <w:t xml:space="preserve"> </w:t>
      </w:r>
    </w:p>
    <w:p w:rsidR="006473B4" w:rsidRPr="00301EAB" w:rsidRDefault="00301EAB" w:rsidP="00301EAB">
      <w:pPr>
        <w:pStyle w:val="Caption"/>
        <w:jc w:val="center"/>
        <w:rPr>
          <w:rFonts w:cstheme="majorBidi"/>
          <w:b w:val="0"/>
          <w:color w:val="auto"/>
          <w:sz w:val="24"/>
          <w:szCs w:val="24"/>
        </w:rPr>
      </w:pPr>
      <w:bookmarkStart w:id="144" w:name="_Toc394013067"/>
      <w:proofErr w:type="gramStart"/>
      <w:r w:rsidRPr="00301EAB">
        <w:rPr>
          <w:color w:val="auto"/>
          <w:sz w:val="24"/>
          <w:szCs w:val="24"/>
        </w:rPr>
        <w:lastRenderedPageBreak/>
        <w:t xml:space="preserve">Table 6 - </w:t>
      </w:r>
      <w:r w:rsidRPr="00301EAB">
        <w:rPr>
          <w:color w:val="auto"/>
          <w:sz w:val="24"/>
          <w:szCs w:val="24"/>
        </w:rPr>
        <w:fldChar w:fldCharType="begin"/>
      </w:r>
      <w:r w:rsidRPr="00301EAB">
        <w:rPr>
          <w:color w:val="auto"/>
          <w:sz w:val="24"/>
          <w:szCs w:val="24"/>
        </w:rPr>
        <w:instrText xml:space="preserve"> SEQ Table_6_- \* ARABIC </w:instrText>
      </w:r>
      <w:r w:rsidRPr="00301EAB">
        <w:rPr>
          <w:color w:val="auto"/>
          <w:sz w:val="24"/>
          <w:szCs w:val="24"/>
        </w:rPr>
        <w:fldChar w:fldCharType="separate"/>
      </w:r>
      <w:r w:rsidR="008E2F67">
        <w:rPr>
          <w:noProof/>
          <w:color w:val="auto"/>
          <w:sz w:val="24"/>
          <w:szCs w:val="24"/>
        </w:rPr>
        <w:t>1</w:t>
      </w:r>
      <w:r w:rsidRPr="00301EAB">
        <w:rPr>
          <w:color w:val="auto"/>
          <w:sz w:val="24"/>
          <w:szCs w:val="24"/>
        </w:rPr>
        <w:fldChar w:fldCharType="end"/>
      </w:r>
      <w:r w:rsidRPr="00301EAB">
        <w:rPr>
          <w:color w:val="auto"/>
          <w:sz w:val="24"/>
          <w:szCs w:val="24"/>
        </w:rPr>
        <w:t>.</w:t>
      </w:r>
      <w:proofErr w:type="gramEnd"/>
      <w:r w:rsidRPr="00301EAB">
        <w:rPr>
          <w:color w:val="auto"/>
          <w:sz w:val="24"/>
          <w:szCs w:val="24"/>
        </w:rPr>
        <w:t xml:space="preserve"> The rating parameters of some rivers in other studies and this</w:t>
      </w:r>
      <w:r>
        <w:rPr>
          <w:color w:val="auto"/>
          <w:sz w:val="24"/>
          <w:szCs w:val="24"/>
        </w:rPr>
        <w:t xml:space="preserve"> study</w:t>
      </w:r>
      <w:bookmarkEnd w:id="144"/>
    </w:p>
    <w:tbl>
      <w:tblPr>
        <w:tblW w:w="12222" w:type="dxa"/>
        <w:jc w:val="center"/>
        <w:tblInd w:w="-2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3150"/>
        <w:gridCol w:w="2277"/>
        <w:gridCol w:w="2232"/>
        <w:gridCol w:w="1260"/>
        <w:gridCol w:w="1512"/>
      </w:tblGrid>
      <w:tr w:rsidR="006473B4" w:rsidRPr="00854E06" w:rsidTr="00F70E08">
        <w:trPr>
          <w:trHeight w:val="1673"/>
          <w:jc w:val="center"/>
        </w:trPr>
        <w:tc>
          <w:tcPr>
            <w:tcW w:w="1791"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Study</w:t>
            </w:r>
          </w:p>
        </w:tc>
        <w:tc>
          <w:tcPr>
            <w:tcW w:w="315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Study Area</w:t>
            </w:r>
          </w:p>
        </w:tc>
        <w:tc>
          <w:tcPr>
            <w:tcW w:w="2277" w:type="dxa"/>
            <w:vAlign w:val="center"/>
          </w:tcPr>
          <w:p w:rsidR="006473B4" w:rsidRPr="00854E06" w:rsidRDefault="006473B4" w:rsidP="00F70E08">
            <w:pPr>
              <w:pStyle w:val="ListParagraph"/>
              <w:spacing w:line="240" w:lineRule="auto"/>
              <w:ind w:left="0"/>
              <w:jc w:val="center"/>
              <w:rPr>
                <w:rFonts w:asciiTheme="majorBidi" w:eastAsiaTheme="minorEastAsia" w:hAnsiTheme="majorBidi" w:cstheme="majorBidi"/>
                <w:sz w:val="24"/>
                <w:szCs w:val="24"/>
              </w:rPr>
            </w:pPr>
            <w:r w:rsidRPr="00854E06">
              <w:rPr>
                <w:rFonts w:asciiTheme="majorBidi" w:hAnsiTheme="majorBidi" w:cstheme="majorBidi"/>
                <w:sz w:val="24"/>
                <w:szCs w:val="24"/>
              </w:rPr>
              <w:t xml:space="preserve">Range of the annual rating coefficient </w:t>
            </w:r>
            <m:oMath>
              <m:r>
                <w:rPr>
                  <w:rFonts w:ascii="Cambria Math" w:hAnsi="Cambria Math" w:cstheme="majorBidi"/>
                  <w:sz w:val="24"/>
                  <w:szCs w:val="24"/>
                </w:rPr>
                <m:t>a</m:t>
              </m:r>
            </m:oMath>
          </w:p>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(kg/s)(s/m</w:t>
            </w:r>
            <w:r w:rsidRPr="00854E06">
              <w:rPr>
                <w:rFonts w:asciiTheme="majorBidi" w:hAnsiTheme="majorBidi" w:cstheme="majorBidi"/>
                <w:sz w:val="24"/>
                <w:szCs w:val="24"/>
                <w:vertAlign w:val="superscript"/>
              </w:rPr>
              <w:t>3</w:t>
            </w:r>
            <w:r w:rsidRPr="00854E06">
              <w:rPr>
                <w:rFonts w:asciiTheme="majorBidi" w:hAnsiTheme="majorBidi" w:cstheme="majorBidi"/>
                <w:sz w:val="24"/>
                <w:szCs w:val="24"/>
              </w:rPr>
              <w:t>)</w:t>
            </w:r>
            <w:r w:rsidRPr="00854E06">
              <w:rPr>
                <w:rFonts w:asciiTheme="majorBidi" w:hAnsiTheme="majorBidi" w:cstheme="majorBidi"/>
                <w:sz w:val="24"/>
                <w:szCs w:val="24"/>
                <w:vertAlign w:val="superscript"/>
              </w:rPr>
              <w:t>b</w:t>
            </w:r>
          </w:p>
        </w:tc>
        <w:tc>
          <w:tcPr>
            <w:tcW w:w="2232"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 xml:space="preserve">Range of the annual rating exponent </w:t>
            </w:r>
            <m:oMath>
              <m:r>
                <w:rPr>
                  <w:rFonts w:ascii="Cambria Math" w:hAnsi="Cambria Math" w:cstheme="majorBidi"/>
                  <w:sz w:val="24"/>
                  <w:szCs w:val="24"/>
                </w:rPr>
                <m:t>b</m:t>
              </m:r>
            </m:oMath>
            <w:r w:rsidRPr="00F7118A">
              <w:rPr>
                <w:rFonts w:asciiTheme="majorBidi" w:eastAsiaTheme="minorEastAsia" w:hAnsiTheme="majorBidi" w:cstheme="majorBidi"/>
                <w:sz w:val="24"/>
                <w:szCs w:val="24"/>
                <w:vertAlign w:val="superscript"/>
              </w:rPr>
              <w:t>a</w:t>
            </w:r>
            <w:r w:rsidRPr="00854E06">
              <w:rPr>
                <w:rFonts w:asciiTheme="majorBidi" w:hAnsiTheme="majorBidi" w:cstheme="majorBidi"/>
                <w:sz w:val="24"/>
                <w:szCs w:val="24"/>
              </w:rPr>
              <w:t xml:space="preserve"> (derived for load versus discharge) (</w:t>
            </w:r>
            <w:proofErr w:type="spellStart"/>
            <w:r w:rsidRPr="00854E06">
              <w:rPr>
                <w:rFonts w:asciiTheme="majorBidi" w:hAnsiTheme="majorBidi" w:cstheme="majorBidi"/>
                <w:sz w:val="24"/>
                <w:szCs w:val="24"/>
              </w:rPr>
              <w:t>unitless</w:t>
            </w:r>
            <w:proofErr w:type="spellEnd"/>
            <w:r w:rsidRPr="00854E06">
              <w:rPr>
                <w:rFonts w:asciiTheme="majorBidi" w:hAnsiTheme="majorBidi" w:cstheme="majorBidi"/>
                <w:sz w:val="24"/>
                <w:szCs w:val="24"/>
              </w:rPr>
              <w:t>)</w:t>
            </w:r>
          </w:p>
        </w:tc>
        <w:tc>
          <w:tcPr>
            <w:tcW w:w="126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Time level of data</w:t>
            </w:r>
          </w:p>
        </w:tc>
        <w:tc>
          <w:tcPr>
            <w:tcW w:w="1512"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Equation of the rating curve used</w:t>
            </w:r>
          </w:p>
        </w:tc>
      </w:tr>
      <w:tr w:rsidR="006473B4" w:rsidRPr="00854E06" w:rsidTr="006473B4">
        <w:trPr>
          <w:jc w:val="center"/>
        </w:trPr>
        <w:tc>
          <w:tcPr>
            <w:tcW w:w="1791" w:type="dxa"/>
            <w:vAlign w:val="center"/>
          </w:tcPr>
          <w:p w:rsidR="006473B4" w:rsidRPr="00854E06" w:rsidRDefault="006473B4" w:rsidP="00F70E08">
            <w:pPr>
              <w:pStyle w:val="ListParagraph"/>
              <w:spacing w:line="240" w:lineRule="auto"/>
              <w:ind w:left="0"/>
              <w:rPr>
                <w:rFonts w:asciiTheme="majorBidi" w:hAnsiTheme="majorBidi" w:cstheme="majorBidi"/>
                <w:sz w:val="24"/>
                <w:szCs w:val="24"/>
              </w:rPr>
            </w:pPr>
            <w:proofErr w:type="spellStart"/>
            <w:r w:rsidRPr="00854E06">
              <w:rPr>
                <w:rFonts w:asciiTheme="majorBidi" w:hAnsiTheme="majorBidi" w:cstheme="majorBidi"/>
                <w:sz w:val="24"/>
                <w:szCs w:val="24"/>
              </w:rPr>
              <w:t>Syvitski</w:t>
            </w:r>
            <w:proofErr w:type="spellEnd"/>
            <w:r w:rsidRPr="00854E06">
              <w:rPr>
                <w:rFonts w:asciiTheme="majorBidi" w:hAnsiTheme="majorBidi" w:cstheme="majorBidi"/>
                <w:sz w:val="24"/>
                <w:szCs w:val="24"/>
              </w:rPr>
              <w:t xml:space="preserve"> et al (2000)</w:t>
            </w:r>
          </w:p>
        </w:tc>
        <w:tc>
          <w:tcPr>
            <w:tcW w:w="315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North America rivers</w:t>
            </w:r>
          </w:p>
        </w:tc>
        <w:tc>
          <w:tcPr>
            <w:tcW w:w="2277"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0 – 0.19</w:t>
            </w:r>
          </w:p>
        </w:tc>
        <w:tc>
          <w:tcPr>
            <w:tcW w:w="2232"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1.38 – 2.81</w:t>
            </w:r>
          </w:p>
        </w:tc>
        <w:tc>
          <w:tcPr>
            <w:tcW w:w="126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Daily</w:t>
            </w:r>
          </w:p>
        </w:tc>
        <w:tc>
          <w:tcPr>
            <w:tcW w:w="1512" w:type="dxa"/>
            <w:vAlign w:val="center"/>
          </w:tcPr>
          <w:p w:rsidR="006473B4" w:rsidRDefault="006473B4" w:rsidP="00F70E08">
            <w:pPr>
              <w:jc w:val="center"/>
            </w:pPr>
            <m:oMathPara>
              <m:oMath>
                <m:r>
                  <w:rPr>
                    <w:rFonts w:ascii="Cambria Math" w:hAnsi="Cambria Math" w:cstheme="majorBidi"/>
                  </w:rPr>
                  <m:t>C=a</m:t>
                </m:r>
                <m:sSup>
                  <m:sSupPr>
                    <m:ctrlPr>
                      <w:rPr>
                        <w:rFonts w:ascii="Cambria Math" w:eastAsiaTheme="minorHAnsi" w:hAnsi="Cambria Math" w:cstheme="majorBidi"/>
                        <w:i/>
                      </w:rPr>
                    </m:ctrlPr>
                  </m:sSupPr>
                  <m:e>
                    <m:r>
                      <w:rPr>
                        <w:rFonts w:ascii="Cambria Math" w:hAnsi="Cambria Math" w:cstheme="majorBidi"/>
                      </w:rPr>
                      <m:t>Q</m:t>
                    </m:r>
                  </m:e>
                  <m:sup>
                    <m:r>
                      <w:rPr>
                        <w:rFonts w:ascii="Cambria Math" w:hAnsi="Cambria Math" w:cstheme="majorBidi"/>
                      </w:rPr>
                      <m:t>b-1</m:t>
                    </m:r>
                  </m:sup>
                </m:sSup>
              </m:oMath>
            </m:oMathPara>
          </w:p>
        </w:tc>
      </w:tr>
      <w:tr w:rsidR="006473B4" w:rsidRPr="00854E06" w:rsidTr="006473B4">
        <w:trPr>
          <w:jc w:val="center"/>
        </w:trPr>
        <w:tc>
          <w:tcPr>
            <w:tcW w:w="1791" w:type="dxa"/>
            <w:vAlign w:val="center"/>
          </w:tcPr>
          <w:p w:rsidR="006473B4" w:rsidRPr="00854E06" w:rsidRDefault="006473B4" w:rsidP="00F70E08">
            <w:pPr>
              <w:pStyle w:val="ListParagraph"/>
              <w:spacing w:line="240" w:lineRule="auto"/>
              <w:ind w:left="0"/>
              <w:rPr>
                <w:rFonts w:asciiTheme="majorBidi" w:hAnsiTheme="majorBidi" w:cstheme="majorBidi"/>
                <w:sz w:val="24"/>
                <w:szCs w:val="24"/>
              </w:rPr>
            </w:pPr>
            <w:proofErr w:type="spellStart"/>
            <w:r w:rsidRPr="00854E06">
              <w:rPr>
                <w:rFonts w:asciiTheme="majorBidi" w:hAnsiTheme="majorBidi" w:cstheme="majorBidi"/>
                <w:sz w:val="24"/>
                <w:szCs w:val="24"/>
              </w:rPr>
              <w:t>Asselman</w:t>
            </w:r>
            <w:proofErr w:type="spellEnd"/>
            <w:r w:rsidRPr="00854E06">
              <w:rPr>
                <w:rFonts w:asciiTheme="majorBidi" w:hAnsiTheme="majorBidi" w:cstheme="majorBidi"/>
                <w:sz w:val="24"/>
                <w:szCs w:val="24"/>
              </w:rPr>
              <w:t xml:space="preserve"> (2000)</w:t>
            </w:r>
          </w:p>
        </w:tc>
        <w:tc>
          <w:tcPr>
            <w:tcW w:w="315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Rhine River, Germany</w:t>
            </w:r>
          </w:p>
        </w:tc>
        <w:tc>
          <w:tcPr>
            <w:tcW w:w="2277"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0.00</w:t>
            </w:r>
            <w:r>
              <w:rPr>
                <w:rFonts w:asciiTheme="majorBidi" w:hAnsiTheme="majorBidi" w:cstheme="majorBidi"/>
                <w:sz w:val="24"/>
                <w:szCs w:val="24"/>
              </w:rPr>
              <w:t>03</w:t>
            </w:r>
            <w:r w:rsidRPr="00854E06">
              <w:rPr>
                <w:rFonts w:asciiTheme="majorBidi" w:hAnsiTheme="majorBidi" w:cstheme="majorBidi"/>
                <w:sz w:val="24"/>
                <w:szCs w:val="24"/>
              </w:rPr>
              <w:t xml:space="preserve"> – </w:t>
            </w:r>
            <w:r>
              <w:rPr>
                <w:rFonts w:asciiTheme="majorBidi" w:hAnsiTheme="majorBidi" w:cstheme="majorBidi"/>
                <w:sz w:val="24"/>
                <w:szCs w:val="24"/>
              </w:rPr>
              <w:t>306</w:t>
            </w:r>
          </w:p>
        </w:tc>
        <w:tc>
          <w:tcPr>
            <w:tcW w:w="2232"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0.74 – 2.55</w:t>
            </w:r>
            <w:r w:rsidRPr="00854E06">
              <w:rPr>
                <w:rFonts w:asciiTheme="majorBidi" w:hAnsiTheme="majorBidi" w:cstheme="majorBidi"/>
                <w:sz w:val="24"/>
                <w:szCs w:val="24"/>
              </w:rPr>
              <w:t xml:space="preserve"> </w:t>
            </w:r>
          </w:p>
        </w:tc>
        <w:tc>
          <w:tcPr>
            <w:tcW w:w="126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Daily</w:t>
            </w:r>
          </w:p>
        </w:tc>
        <w:tc>
          <w:tcPr>
            <w:tcW w:w="1512" w:type="dxa"/>
            <w:vAlign w:val="center"/>
          </w:tcPr>
          <w:p w:rsidR="006473B4" w:rsidRDefault="006473B4" w:rsidP="00F70E08">
            <w:pPr>
              <w:jc w:val="center"/>
            </w:pPr>
            <m:oMathPara>
              <m:oMath>
                <m:r>
                  <w:rPr>
                    <w:rFonts w:ascii="Cambria Math" w:hAnsi="Cambria Math" w:cstheme="majorBidi"/>
                  </w:rPr>
                  <m:t>C=a</m:t>
                </m:r>
                <m:sSup>
                  <m:sSupPr>
                    <m:ctrlPr>
                      <w:rPr>
                        <w:rFonts w:ascii="Cambria Math" w:eastAsiaTheme="minorHAnsi" w:hAnsi="Cambria Math" w:cstheme="majorBidi"/>
                        <w:i/>
                      </w:rPr>
                    </m:ctrlPr>
                  </m:sSupPr>
                  <m:e>
                    <m:r>
                      <w:rPr>
                        <w:rFonts w:ascii="Cambria Math" w:hAnsi="Cambria Math" w:cstheme="majorBidi"/>
                      </w:rPr>
                      <m:t>Q</m:t>
                    </m:r>
                  </m:e>
                  <m:sup>
                    <m:r>
                      <w:rPr>
                        <w:rFonts w:ascii="Cambria Math" w:hAnsi="Cambria Math" w:cstheme="majorBidi"/>
                      </w:rPr>
                      <m:t>b-1</m:t>
                    </m:r>
                  </m:sup>
                </m:sSup>
              </m:oMath>
            </m:oMathPara>
          </w:p>
        </w:tc>
      </w:tr>
      <w:tr w:rsidR="006473B4" w:rsidRPr="00854E06" w:rsidTr="006473B4">
        <w:trPr>
          <w:jc w:val="center"/>
        </w:trPr>
        <w:tc>
          <w:tcPr>
            <w:tcW w:w="1791" w:type="dxa"/>
            <w:vAlign w:val="center"/>
          </w:tcPr>
          <w:p w:rsidR="006473B4" w:rsidRPr="00854E06" w:rsidRDefault="006473B4" w:rsidP="00F70E08">
            <w:pPr>
              <w:pStyle w:val="ListParagraph"/>
              <w:spacing w:line="240" w:lineRule="auto"/>
              <w:ind w:left="0"/>
              <w:rPr>
                <w:rFonts w:asciiTheme="majorBidi" w:hAnsiTheme="majorBidi" w:cstheme="majorBidi"/>
                <w:sz w:val="24"/>
                <w:szCs w:val="24"/>
              </w:rPr>
            </w:pPr>
            <w:r w:rsidRPr="00854E06">
              <w:rPr>
                <w:rFonts w:asciiTheme="majorBidi" w:hAnsiTheme="majorBidi" w:cstheme="majorBidi"/>
                <w:sz w:val="24"/>
                <w:szCs w:val="24"/>
              </w:rPr>
              <w:t>Hu et al (2011)</w:t>
            </w:r>
          </w:p>
        </w:tc>
        <w:tc>
          <w:tcPr>
            <w:tcW w:w="315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proofErr w:type="spellStart"/>
            <w:r w:rsidRPr="00854E06">
              <w:rPr>
                <w:rFonts w:asciiTheme="majorBidi" w:hAnsiTheme="majorBidi" w:cstheme="majorBidi"/>
                <w:sz w:val="24"/>
                <w:szCs w:val="24"/>
              </w:rPr>
              <w:t>Changjiang</w:t>
            </w:r>
            <w:proofErr w:type="spellEnd"/>
            <w:r w:rsidRPr="00854E06">
              <w:rPr>
                <w:rFonts w:asciiTheme="majorBidi" w:hAnsiTheme="majorBidi" w:cstheme="majorBidi"/>
                <w:sz w:val="24"/>
                <w:szCs w:val="24"/>
              </w:rPr>
              <w:t xml:space="preserve"> River, China</w:t>
            </w:r>
          </w:p>
        </w:tc>
        <w:tc>
          <w:tcPr>
            <w:tcW w:w="2277"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0</w:t>
            </w:r>
            <w:r>
              <w:rPr>
                <w:rFonts w:asciiTheme="majorBidi" w:hAnsiTheme="majorBidi" w:cstheme="majorBidi"/>
                <w:sz w:val="24"/>
                <w:szCs w:val="24"/>
              </w:rPr>
              <w:t xml:space="preserve"> – 0.06</w:t>
            </w:r>
          </w:p>
        </w:tc>
        <w:tc>
          <w:tcPr>
            <w:tcW w:w="2232"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1.82</w:t>
            </w:r>
            <w:r w:rsidRPr="00854E06">
              <w:rPr>
                <w:rFonts w:asciiTheme="majorBidi" w:hAnsiTheme="majorBidi" w:cstheme="majorBidi"/>
                <w:sz w:val="24"/>
                <w:szCs w:val="24"/>
              </w:rPr>
              <w:t xml:space="preserve"> – </w:t>
            </w:r>
            <w:r>
              <w:rPr>
                <w:rFonts w:asciiTheme="majorBidi" w:hAnsiTheme="majorBidi" w:cstheme="majorBidi"/>
                <w:sz w:val="24"/>
                <w:szCs w:val="24"/>
              </w:rPr>
              <w:t>3.33</w:t>
            </w:r>
          </w:p>
        </w:tc>
        <w:tc>
          <w:tcPr>
            <w:tcW w:w="126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Monthly</w:t>
            </w:r>
          </w:p>
        </w:tc>
        <w:tc>
          <w:tcPr>
            <w:tcW w:w="1512"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m:oMathPara>
              <m:oMath>
                <m:r>
                  <w:rPr>
                    <w:rFonts w:ascii="Cambria Math" w:hAnsi="Cambria Math" w:cstheme="majorBidi"/>
                    <w:sz w:val="24"/>
                    <w:szCs w:val="24"/>
                  </w:rPr>
                  <m:t>C=a</m:t>
                </m:r>
                <m:sSup>
                  <m:sSupPr>
                    <m:ctrlPr>
                      <w:rPr>
                        <w:rFonts w:ascii="Cambria Math" w:hAnsi="Cambria Math" w:cstheme="majorBidi"/>
                        <w:i/>
                        <w:sz w:val="24"/>
                        <w:szCs w:val="24"/>
                      </w:rPr>
                    </m:ctrlPr>
                  </m:sSupPr>
                  <m:e>
                    <m:r>
                      <w:rPr>
                        <w:rFonts w:ascii="Cambria Math" w:hAnsi="Cambria Math" w:cstheme="majorBidi"/>
                        <w:sz w:val="24"/>
                        <w:szCs w:val="24"/>
                      </w:rPr>
                      <m:t>Q</m:t>
                    </m:r>
                  </m:e>
                  <m:sup>
                    <m:r>
                      <w:rPr>
                        <w:rFonts w:ascii="Cambria Math" w:hAnsi="Cambria Math" w:cstheme="majorBidi"/>
                        <w:sz w:val="24"/>
                        <w:szCs w:val="24"/>
                      </w:rPr>
                      <m:t>b-1</m:t>
                    </m:r>
                  </m:sup>
                </m:sSup>
              </m:oMath>
            </m:oMathPara>
          </w:p>
        </w:tc>
      </w:tr>
      <w:tr w:rsidR="006473B4" w:rsidRPr="00854E06" w:rsidTr="006473B4">
        <w:trPr>
          <w:jc w:val="center"/>
        </w:trPr>
        <w:tc>
          <w:tcPr>
            <w:tcW w:w="1791" w:type="dxa"/>
            <w:vAlign w:val="center"/>
          </w:tcPr>
          <w:p w:rsidR="006473B4" w:rsidRPr="00854E06" w:rsidRDefault="006473B4" w:rsidP="00F70E08">
            <w:pPr>
              <w:pStyle w:val="ListParagraph"/>
              <w:spacing w:line="240" w:lineRule="auto"/>
              <w:ind w:left="0"/>
              <w:rPr>
                <w:rFonts w:asciiTheme="majorBidi" w:hAnsiTheme="majorBidi" w:cstheme="majorBidi"/>
                <w:sz w:val="24"/>
                <w:szCs w:val="24"/>
              </w:rPr>
            </w:pPr>
            <w:r>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{"citationID":"BACUNz2v","properties":{"formattedCitation":"(Reid and Frostick 1987)","plainCitation":"(Reid and Frostick 1987)"},"citationItems":[{"id":556,"uris":["http://zotero.org/users/1706519/items/IATHWKHV"],"uri":["http://zotero.org/users/1706519/items/IATHWKHV"],"itemData":{"id":556,"type":"chapter","title":"Discussion of conceptual models of sediment transport in stream","container-title":"Sediment Transport in Gravel-Bed Rivers","publisher":"John Wiley","publisher-place":"New York","page":"410-411","event-place":"New York","author":[{"family":"Reid","given":"I."},{"family":"Frostick","given":"L.E."}],"issued":{"date-parts":[["1987"]]}}}],"schema":"https://github.com/citation-style-language/schema/raw/master/csl-citation.json"} </w:instrText>
            </w:r>
            <w:r>
              <w:rPr>
                <w:rFonts w:asciiTheme="majorBidi" w:hAnsiTheme="majorBidi" w:cstheme="majorBidi"/>
                <w:sz w:val="24"/>
                <w:szCs w:val="24"/>
              </w:rPr>
              <w:fldChar w:fldCharType="separate"/>
            </w:r>
            <w:r w:rsidRPr="0012293A">
              <w:rPr>
                <w:rFonts w:ascii="Times New Roman" w:hAnsi="Times New Roman" w:cs="Times New Roman"/>
                <w:sz w:val="24"/>
              </w:rPr>
              <w:t xml:space="preserve">Reid and Frostick </w:t>
            </w:r>
            <w:r>
              <w:rPr>
                <w:rFonts w:ascii="Times New Roman" w:hAnsi="Times New Roman" w:cs="Times New Roman"/>
                <w:sz w:val="24"/>
              </w:rPr>
              <w:t>(</w:t>
            </w:r>
            <w:r w:rsidRPr="0012293A">
              <w:rPr>
                <w:rFonts w:ascii="Times New Roman" w:hAnsi="Times New Roman" w:cs="Times New Roman"/>
                <w:sz w:val="24"/>
              </w:rPr>
              <w:t>1987)</w:t>
            </w:r>
            <w:r>
              <w:rPr>
                <w:rFonts w:asciiTheme="majorBidi" w:hAnsiTheme="majorBidi" w:cstheme="majorBidi"/>
                <w:sz w:val="24"/>
                <w:szCs w:val="24"/>
              </w:rPr>
              <w:fldChar w:fldCharType="end"/>
            </w:r>
          </w:p>
        </w:tc>
        <w:tc>
          <w:tcPr>
            <w:tcW w:w="315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Rivers of temperate and humid climate</w:t>
            </w:r>
          </w:p>
        </w:tc>
        <w:tc>
          <w:tcPr>
            <w:tcW w:w="2277"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0.004 – 40</w:t>
            </w:r>
          </w:p>
        </w:tc>
        <w:tc>
          <w:tcPr>
            <w:tcW w:w="2232"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2.4 – 3.5</w:t>
            </w:r>
          </w:p>
        </w:tc>
        <w:tc>
          <w:tcPr>
            <w:tcW w:w="1260" w:type="dxa"/>
            <w:vAlign w:val="center"/>
          </w:tcPr>
          <w:p w:rsidR="006473B4"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Daily</w:t>
            </w:r>
          </w:p>
        </w:tc>
        <w:tc>
          <w:tcPr>
            <w:tcW w:w="1512" w:type="dxa"/>
            <w:vAlign w:val="center"/>
          </w:tcPr>
          <w:p w:rsidR="006473B4" w:rsidRDefault="006473B4" w:rsidP="00F70E08">
            <w:pPr>
              <w:pStyle w:val="ListParagraph"/>
              <w:spacing w:line="240" w:lineRule="auto"/>
              <w:ind w:left="0"/>
              <w:jc w:val="center"/>
              <w:rPr>
                <w:rFonts w:ascii="Times New Roman" w:eastAsia="Calibri" w:hAnsi="Times New Roman" w:cs="Times New Roman"/>
                <w:sz w:val="24"/>
                <w:szCs w:val="24"/>
              </w:rPr>
            </w:pPr>
            <m:oMathPara>
              <m:oMath>
                <m:r>
                  <w:rPr>
                    <w:rFonts w:ascii="Cambria Math" w:hAnsi="Cambria Math" w:cstheme="majorBidi"/>
                    <w:sz w:val="24"/>
                    <w:szCs w:val="24"/>
                  </w:rPr>
                  <m:t>C=a</m:t>
                </m:r>
                <m:sSup>
                  <m:sSupPr>
                    <m:ctrlPr>
                      <w:rPr>
                        <w:rFonts w:ascii="Cambria Math" w:hAnsi="Cambria Math" w:cstheme="majorBidi"/>
                        <w:i/>
                        <w:sz w:val="24"/>
                        <w:szCs w:val="24"/>
                      </w:rPr>
                    </m:ctrlPr>
                  </m:sSupPr>
                  <m:e>
                    <m:r>
                      <w:rPr>
                        <w:rFonts w:ascii="Cambria Math" w:hAnsi="Cambria Math" w:cstheme="majorBidi"/>
                        <w:sz w:val="24"/>
                        <w:szCs w:val="24"/>
                      </w:rPr>
                      <m:t>Q</m:t>
                    </m:r>
                  </m:e>
                  <m:sup>
                    <m:r>
                      <w:rPr>
                        <w:rFonts w:ascii="Cambria Math" w:hAnsi="Cambria Math" w:cstheme="majorBidi"/>
                        <w:sz w:val="24"/>
                        <w:szCs w:val="24"/>
                      </w:rPr>
                      <m:t>b-1</m:t>
                    </m:r>
                  </m:sup>
                </m:sSup>
              </m:oMath>
            </m:oMathPara>
          </w:p>
        </w:tc>
      </w:tr>
      <w:tr w:rsidR="006473B4" w:rsidRPr="00854E06" w:rsidTr="006473B4">
        <w:trPr>
          <w:jc w:val="center"/>
        </w:trPr>
        <w:tc>
          <w:tcPr>
            <w:tcW w:w="1791" w:type="dxa"/>
            <w:vAlign w:val="center"/>
          </w:tcPr>
          <w:p w:rsidR="006473B4" w:rsidRPr="00854E06" w:rsidRDefault="006473B4" w:rsidP="00F70E08">
            <w:pPr>
              <w:pStyle w:val="ListParagraph"/>
              <w:spacing w:line="240" w:lineRule="auto"/>
              <w:ind w:left="0"/>
              <w:rPr>
                <w:rFonts w:asciiTheme="majorBidi" w:hAnsiTheme="majorBidi" w:cstheme="majorBidi"/>
                <w:sz w:val="24"/>
                <w:szCs w:val="24"/>
              </w:rPr>
            </w:pPr>
            <w:r w:rsidRPr="00854E06">
              <w:rPr>
                <w:rFonts w:asciiTheme="majorBidi" w:hAnsiTheme="majorBidi" w:cstheme="majorBidi"/>
                <w:sz w:val="24"/>
                <w:szCs w:val="24"/>
              </w:rPr>
              <w:t>This study</w:t>
            </w:r>
          </w:p>
        </w:tc>
        <w:tc>
          <w:tcPr>
            <w:tcW w:w="315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Mississippi River (main  channel)</w:t>
            </w:r>
          </w:p>
        </w:tc>
        <w:tc>
          <w:tcPr>
            <w:tcW w:w="2277"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0 – 0.009</w:t>
            </w:r>
          </w:p>
        </w:tc>
        <w:tc>
          <w:tcPr>
            <w:tcW w:w="2232"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1.06 – 3.37</w:t>
            </w:r>
          </w:p>
        </w:tc>
        <w:tc>
          <w:tcPr>
            <w:tcW w:w="126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Annual</w:t>
            </w:r>
          </w:p>
        </w:tc>
        <w:tc>
          <w:tcPr>
            <w:tcW w:w="1512"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m:oMathPara>
              <m:oMath>
                <m:r>
                  <w:rPr>
                    <w:rFonts w:ascii="Cambria Math" w:hAnsi="Cambria Math" w:cstheme="majorBidi"/>
                    <w:sz w:val="24"/>
                    <w:szCs w:val="24"/>
                  </w:rPr>
                  <m:t>L=a</m:t>
                </m:r>
                <m:sSup>
                  <m:sSupPr>
                    <m:ctrlPr>
                      <w:rPr>
                        <w:rFonts w:ascii="Cambria Math" w:hAnsi="Cambria Math" w:cstheme="majorBidi"/>
                        <w:i/>
                        <w:sz w:val="24"/>
                        <w:szCs w:val="24"/>
                      </w:rPr>
                    </m:ctrlPr>
                  </m:sSupPr>
                  <m:e>
                    <m:r>
                      <w:rPr>
                        <w:rFonts w:ascii="Cambria Math" w:hAnsi="Cambria Math" w:cstheme="majorBidi"/>
                        <w:sz w:val="24"/>
                        <w:szCs w:val="24"/>
                      </w:rPr>
                      <m:t>Q</m:t>
                    </m:r>
                  </m:e>
                  <m:sup>
                    <m:r>
                      <w:rPr>
                        <w:rFonts w:ascii="Cambria Math" w:hAnsi="Cambria Math" w:cstheme="majorBidi"/>
                        <w:sz w:val="24"/>
                        <w:szCs w:val="24"/>
                      </w:rPr>
                      <m:t>b</m:t>
                    </m:r>
                  </m:sup>
                </m:sSup>
              </m:oMath>
            </m:oMathPara>
          </w:p>
        </w:tc>
      </w:tr>
      <w:tr w:rsidR="006473B4" w:rsidRPr="00854E06" w:rsidTr="006473B4">
        <w:trPr>
          <w:jc w:val="center"/>
        </w:trPr>
        <w:tc>
          <w:tcPr>
            <w:tcW w:w="1791" w:type="dxa"/>
            <w:vAlign w:val="center"/>
          </w:tcPr>
          <w:p w:rsidR="006473B4" w:rsidRPr="00854E06" w:rsidRDefault="006473B4" w:rsidP="00F70E08">
            <w:pPr>
              <w:pStyle w:val="ListParagraph"/>
              <w:spacing w:line="240" w:lineRule="auto"/>
              <w:ind w:left="0"/>
              <w:rPr>
                <w:rFonts w:asciiTheme="majorBidi" w:hAnsiTheme="majorBidi" w:cstheme="majorBidi"/>
                <w:sz w:val="24"/>
                <w:szCs w:val="24"/>
              </w:rPr>
            </w:pPr>
            <w:r w:rsidRPr="00854E06">
              <w:rPr>
                <w:rFonts w:asciiTheme="majorBidi" w:hAnsiTheme="majorBidi" w:cstheme="majorBidi"/>
                <w:sz w:val="24"/>
                <w:szCs w:val="24"/>
              </w:rPr>
              <w:t>This study</w:t>
            </w:r>
          </w:p>
        </w:tc>
        <w:tc>
          <w:tcPr>
            <w:tcW w:w="315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Mississippi River</w:t>
            </w:r>
          </w:p>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(tributaries)</w:t>
            </w:r>
          </w:p>
        </w:tc>
        <w:tc>
          <w:tcPr>
            <w:tcW w:w="2277"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0</w:t>
            </w:r>
            <w:r w:rsidRPr="00854E06">
              <w:rPr>
                <w:rFonts w:asciiTheme="majorBidi" w:hAnsiTheme="majorBidi" w:cstheme="majorBidi"/>
                <w:sz w:val="24"/>
                <w:szCs w:val="24"/>
              </w:rPr>
              <w:t xml:space="preserve"> – 0.25</w:t>
            </w:r>
          </w:p>
        </w:tc>
        <w:tc>
          <w:tcPr>
            <w:tcW w:w="2232"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0.90 – 4.27</w:t>
            </w:r>
          </w:p>
        </w:tc>
        <w:tc>
          <w:tcPr>
            <w:tcW w:w="126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Annual</w:t>
            </w:r>
          </w:p>
        </w:tc>
        <w:tc>
          <w:tcPr>
            <w:tcW w:w="1512"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m:oMathPara>
              <m:oMath>
                <m:r>
                  <w:rPr>
                    <w:rFonts w:ascii="Cambria Math" w:hAnsi="Cambria Math" w:cstheme="majorBidi"/>
                    <w:sz w:val="24"/>
                    <w:szCs w:val="24"/>
                  </w:rPr>
                  <m:t>L=a</m:t>
                </m:r>
                <m:sSup>
                  <m:sSupPr>
                    <m:ctrlPr>
                      <w:rPr>
                        <w:rFonts w:ascii="Cambria Math" w:hAnsi="Cambria Math" w:cstheme="majorBidi"/>
                        <w:i/>
                        <w:sz w:val="24"/>
                        <w:szCs w:val="24"/>
                      </w:rPr>
                    </m:ctrlPr>
                  </m:sSupPr>
                  <m:e>
                    <m:r>
                      <w:rPr>
                        <w:rFonts w:ascii="Cambria Math" w:hAnsi="Cambria Math" w:cstheme="majorBidi"/>
                        <w:sz w:val="24"/>
                        <w:szCs w:val="24"/>
                      </w:rPr>
                      <m:t>Q</m:t>
                    </m:r>
                  </m:e>
                  <m:sup>
                    <m:r>
                      <w:rPr>
                        <w:rFonts w:ascii="Cambria Math" w:hAnsi="Cambria Math" w:cstheme="majorBidi"/>
                        <w:sz w:val="24"/>
                        <w:szCs w:val="24"/>
                      </w:rPr>
                      <m:t>b</m:t>
                    </m:r>
                  </m:sup>
                </m:sSup>
              </m:oMath>
            </m:oMathPara>
          </w:p>
        </w:tc>
      </w:tr>
      <w:tr w:rsidR="006473B4" w:rsidRPr="00854E06" w:rsidTr="006473B4">
        <w:trPr>
          <w:jc w:val="center"/>
        </w:trPr>
        <w:tc>
          <w:tcPr>
            <w:tcW w:w="1791" w:type="dxa"/>
            <w:vAlign w:val="center"/>
          </w:tcPr>
          <w:p w:rsidR="006473B4" w:rsidRPr="00854E06" w:rsidRDefault="006473B4" w:rsidP="00F70E08">
            <w:pPr>
              <w:pStyle w:val="ListParagraph"/>
              <w:spacing w:line="240" w:lineRule="auto"/>
              <w:ind w:left="0"/>
              <w:rPr>
                <w:rFonts w:asciiTheme="majorBidi" w:hAnsiTheme="majorBidi" w:cstheme="majorBidi"/>
                <w:sz w:val="24"/>
                <w:szCs w:val="24"/>
              </w:rPr>
            </w:pPr>
            <w:r>
              <w:rPr>
                <w:rFonts w:asciiTheme="majorBidi" w:hAnsiTheme="majorBidi" w:cstheme="majorBidi"/>
                <w:sz w:val="24"/>
                <w:szCs w:val="24"/>
              </w:rPr>
              <w:t>This study</w:t>
            </w:r>
          </w:p>
        </w:tc>
        <w:tc>
          <w:tcPr>
            <w:tcW w:w="315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Mississippi River (main channel)</w:t>
            </w:r>
          </w:p>
        </w:tc>
        <w:tc>
          <w:tcPr>
            <w:tcW w:w="2277" w:type="dxa"/>
            <w:vAlign w:val="center"/>
          </w:tcPr>
          <w:p w:rsidR="006473B4"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0 – 0.19</w:t>
            </w:r>
          </w:p>
        </w:tc>
        <w:tc>
          <w:tcPr>
            <w:tcW w:w="2232"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0.62 – 3.30</w:t>
            </w:r>
          </w:p>
        </w:tc>
        <w:tc>
          <w:tcPr>
            <w:tcW w:w="1260" w:type="dxa"/>
            <w:vAlign w:val="center"/>
          </w:tcPr>
          <w:p w:rsidR="006473B4"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Monthly</w:t>
            </w:r>
          </w:p>
        </w:tc>
        <w:tc>
          <w:tcPr>
            <w:tcW w:w="1512" w:type="dxa"/>
            <w:vAlign w:val="center"/>
          </w:tcPr>
          <w:p w:rsidR="006473B4" w:rsidRDefault="006473B4" w:rsidP="00F70E08">
            <w:pPr>
              <w:pStyle w:val="ListParagraph"/>
              <w:spacing w:line="240" w:lineRule="auto"/>
              <w:ind w:left="0"/>
              <w:jc w:val="center"/>
              <w:rPr>
                <w:rFonts w:ascii="Times New Roman" w:eastAsia="Calibri" w:hAnsi="Times New Roman" w:cs="Times New Roman"/>
                <w:sz w:val="24"/>
                <w:szCs w:val="24"/>
              </w:rPr>
            </w:pPr>
            <m:oMathPara>
              <m:oMath>
                <m:r>
                  <w:rPr>
                    <w:rFonts w:ascii="Cambria Math" w:hAnsi="Cambria Math" w:cstheme="majorBidi"/>
                    <w:sz w:val="24"/>
                    <w:szCs w:val="24"/>
                  </w:rPr>
                  <m:t>L=a</m:t>
                </m:r>
                <m:sSup>
                  <m:sSupPr>
                    <m:ctrlPr>
                      <w:rPr>
                        <w:rFonts w:ascii="Cambria Math" w:hAnsi="Cambria Math" w:cstheme="majorBidi"/>
                        <w:i/>
                        <w:sz w:val="24"/>
                        <w:szCs w:val="24"/>
                      </w:rPr>
                    </m:ctrlPr>
                  </m:sSupPr>
                  <m:e>
                    <m:r>
                      <w:rPr>
                        <w:rFonts w:ascii="Cambria Math" w:hAnsi="Cambria Math" w:cstheme="majorBidi"/>
                        <w:sz w:val="24"/>
                        <w:szCs w:val="24"/>
                      </w:rPr>
                      <m:t>Q</m:t>
                    </m:r>
                  </m:e>
                  <m:sup>
                    <m:r>
                      <w:rPr>
                        <w:rFonts w:ascii="Cambria Math" w:hAnsi="Cambria Math" w:cstheme="majorBidi"/>
                        <w:sz w:val="24"/>
                        <w:szCs w:val="24"/>
                      </w:rPr>
                      <m:t>b</m:t>
                    </m:r>
                  </m:sup>
                </m:sSup>
              </m:oMath>
            </m:oMathPara>
          </w:p>
        </w:tc>
      </w:tr>
      <w:tr w:rsidR="006473B4" w:rsidRPr="00854E06" w:rsidTr="006473B4">
        <w:trPr>
          <w:jc w:val="center"/>
        </w:trPr>
        <w:tc>
          <w:tcPr>
            <w:tcW w:w="1791" w:type="dxa"/>
            <w:vAlign w:val="center"/>
          </w:tcPr>
          <w:p w:rsidR="006473B4" w:rsidRPr="00854E06" w:rsidRDefault="006473B4" w:rsidP="00F70E08">
            <w:pPr>
              <w:pStyle w:val="ListParagraph"/>
              <w:spacing w:line="240" w:lineRule="auto"/>
              <w:ind w:left="0"/>
              <w:rPr>
                <w:rFonts w:asciiTheme="majorBidi" w:hAnsiTheme="majorBidi" w:cstheme="majorBidi"/>
                <w:sz w:val="24"/>
                <w:szCs w:val="24"/>
              </w:rPr>
            </w:pPr>
            <w:r w:rsidRPr="00854E06">
              <w:rPr>
                <w:rFonts w:asciiTheme="majorBidi" w:hAnsiTheme="majorBidi" w:cstheme="majorBidi"/>
                <w:sz w:val="24"/>
                <w:szCs w:val="24"/>
              </w:rPr>
              <w:t>This study</w:t>
            </w:r>
          </w:p>
        </w:tc>
        <w:tc>
          <w:tcPr>
            <w:tcW w:w="3150" w:type="dxa"/>
            <w:vAlign w:val="center"/>
          </w:tcPr>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Mississippi River</w:t>
            </w:r>
          </w:p>
          <w:p w:rsidR="006473B4" w:rsidRPr="00854E06" w:rsidRDefault="006473B4" w:rsidP="00F70E08">
            <w:pPr>
              <w:pStyle w:val="ListParagraph"/>
              <w:spacing w:line="240" w:lineRule="auto"/>
              <w:ind w:left="0"/>
              <w:jc w:val="center"/>
              <w:rPr>
                <w:rFonts w:asciiTheme="majorBidi" w:hAnsiTheme="majorBidi" w:cstheme="majorBidi"/>
                <w:sz w:val="24"/>
                <w:szCs w:val="24"/>
              </w:rPr>
            </w:pPr>
            <w:r w:rsidRPr="00854E06">
              <w:rPr>
                <w:rFonts w:asciiTheme="majorBidi" w:hAnsiTheme="majorBidi" w:cstheme="majorBidi"/>
                <w:sz w:val="24"/>
                <w:szCs w:val="24"/>
              </w:rPr>
              <w:t>(tributaries)</w:t>
            </w:r>
          </w:p>
        </w:tc>
        <w:tc>
          <w:tcPr>
            <w:tcW w:w="2277" w:type="dxa"/>
            <w:vAlign w:val="center"/>
          </w:tcPr>
          <w:p w:rsidR="006473B4"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0 – 0.24</w:t>
            </w:r>
          </w:p>
        </w:tc>
        <w:tc>
          <w:tcPr>
            <w:tcW w:w="2232" w:type="dxa"/>
            <w:vAlign w:val="center"/>
          </w:tcPr>
          <w:p w:rsidR="006473B4"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0.09 – 3.72</w:t>
            </w:r>
          </w:p>
        </w:tc>
        <w:tc>
          <w:tcPr>
            <w:tcW w:w="1260" w:type="dxa"/>
            <w:vAlign w:val="center"/>
          </w:tcPr>
          <w:p w:rsidR="006473B4" w:rsidRDefault="006473B4" w:rsidP="00F70E08">
            <w:pPr>
              <w:pStyle w:val="ListParagraph"/>
              <w:spacing w:line="240" w:lineRule="auto"/>
              <w:ind w:left="0"/>
              <w:jc w:val="center"/>
              <w:rPr>
                <w:rFonts w:asciiTheme="majorBidi" w:hAnsiTheme="majorBidi" w:cstheme="majorBidi"/>
                <w:sz w:val="24"/>
                <w:szCs w:val="24"/>
              </w:rPr>
            </w:pPr>
            <w:r>
              <w:rPr>
                <w:rFonts w:asciiTheme="majorBidi" w:hAnsiTheme="majorBidi" w:cstheme="majorBidi"/>
                <w:sz w:val="24"/>
                <w:szCs w:val="24"/>
              </w:rPr>
              <w:t>Monthly</w:t>
            </w:r>
          </w:p>
        </w:tc>
        <w:tc>
          <w:tcPr>
            <w:tcW w:w="1512" w:type="dxa"/>
            <w:vAlign w:val="center"/>
          </w:tcPr>
          <w:p w:rsidR="006473B4" w:rsidRDefault="006473B4" w:rsidP="00F70E08">
            <w:pPr>
              <w:pStyle w:val="ListParagraph"/>
              <w:spacing w:line="240" w:lineRule="auto"/>
              <w:ind w:left="0"/>
              <w:jc w:val="center"/>
              <w:rPr>
                <w:rFonts w:ascii="Times New Roman" w:eastAsia="Calibri" w:hAnsi="Times New Roman" w:cs="Times New Roman"/>
                <w:sz w:val="24"/>
                <w:szCs w:val="24"/>
              </w:rPr>
            </w:pPr>
            <m:oMathPara>
              <m:oMath>
                <m:r>
                  <w:rPr>
                    <w:rFonts w:ascii="Cambria Math" w:hAnsi="Cambria Math" w:cstheme="majorBidi"/>
                    <w:sz w:val="24"/>
                    <w:szCs w:val="24"/>
                  </w:rPr>
                  <m:t>L=a</m:t>
                </m:r>
                <m:sSup>
                  <m:sSupPr>
                    <m:ctrlPr>
                      <w:rPr>
                        <w:rFonts w:ascii="Cambria Math" w:hAnsi="Cambria Math" w:cstheme="majorBidi"/>
                        <w:i/>
                        <w:sz w:val="24"/>
                        <w:szCs w:val="24"/>
                      </w:rPr>
                    </m:ctrlPr>
                  </m:sSupPr>
                  <m:e>
                    <m:r>
                      <w:rPr>
                        <w:rFonts w:ascii="Cambria Math" w:hAnsi="Cambria Math" w:cstheme="majorBidi"/>
                        <w:sz w:val="24"/>
                        <w:szCs w:val="24"/>
                      </w:rPr>
                      <m:t>Q</m:t>
                    </m:r>
                  </m:e>
                  <m:sup>
                    <m:r>
                      <w:rPr>
                        <w:rFonts w:ascii="Cambria Math" w:hAnsi="Cambria Math" w:cstheme="majorBidi"/>
                        <w:sz w:val="24"/>
                        <w:szCs w:val="24"/>
                      </w:rPr>
                      <m:t>b</m:t>
                    </m:r>
                  </m:sup>
                </m:sSup>
              </m:oMath>
            </m:oMathPara>
          </w:p>
        </w:tc>
      </w:tr>
    </w:tbl>
    <w:p w:rsidR="006473B4" w:rsidRPr="00854E06" w:rsidRDefault="006473B4" w:rsidP="00F70E08">
      <w:pPr>
        <w:spacing w:before="120"/>
        <w:jc w:val="both"/>
        <w:rPr>
          <w:rFonts w:cstheme="majorBidi"/>
        </w:rPr>
      </w:pPr>
      <w:proofErr w:type="spellStart"/>
      <w:proofErr w:type="gramStart"/>
      <w:r w:rsidRPr="00F7118A">
        <w:rPr>
          <w:rFonts w:cstheme="majorBidi"/>
          <w:vertAlign w:val="superscript"/>
        </w:rPr>
        <w:t>a</w:t>
      </w:r>
      <w:proofErr w:type="spellEnd"/>
      <w:proofErr w:type="gramEnd"/>
      <w:r w:rsidRPr="00854E06">
        <w:rPr>
          <w:rFonts w:cstheme="majorBidi"/>
        </w:rPr>
        <w:t xml:space="preserve"> The exponent </w:t>
      </w:r>
      <m:oMath>
        <m:r>
          <w:rPr>
            <w:rFonts w:ascii="Cambria Math" w:hAnsi="Cambria Math" w:cstheme="majorBidi"/>
          </w:rPr>
          <m:t>b</m:t>
        </m:r>
      </m:oMath>
      <w:r w:rsidR="003C0F07">
        <w:rPr>
          <w:rFonts w:cstheme="majorBidi"/>
        </w:rPr>
        <w:t xml:space="preserve"> in this table is referred</w:t>
      </w:r>
      <w:r w:rsidRPr="00854E06">
        <w:rPr>
          <w:rFonts w:cstheme="majorBidi"/>
        </w:rPr>
        <w:t xml:space="preserve"> to the load-based exponent derived in this study. </w:t>
      </w:r>
      <w:r w:rsidR="003C0F07">
        <w:rPr>
          <w:rFonts w:cstheme="majorBidi"/>
        </w:rPr>
        <w:t xml:space="preserve">Hence, for the studies that used sediment concentration, rating exponent equals </w:t>
      </w:r>
      <m:oMath>
        <m:r>
          <w:rPr>
            <w:rFonts w:ascii="Cambria Math" w:hAnsi="Cambria Math" w:cstheme="majorBidi"/>
          </w:rPr>
          <m:t xml:space="preserve">b </m:t>
        </m:r>
      </m:oMath>
      <w:r w:rsidR="003C0F07" w:rsidRPr="003C0F07">
        <w:rPr>
          <w:rFonts w:cstheme="majorBidi"/>
        </w:rPr>
        <w:t>– 1</w:t>
      </w:r>
      <w:r w:rsidR="003C0F07">
        <w:rPr>
          <w:rFonts w:cstheme="majorBidi"/>
        </w:rPr>
        <w:t xml:space="preserve">. </w:t>
      </w:r>
    </w:p>
    <w:p w:rsidR="006473B4" w:rsidRDefault="006473B4" w:rsidP="006473B4">
      <w:pPr>
        <w:spacing w:line="480" w:lineRule="auto"/>
        <w:jc w:val="both"/>
        <w:rPr>
          <w:rFonts w:cstheme="majorBidi"/>
        </w:rPr>
        <w:sectPr w:rsidR="006473B4" w:rsidSect="006473B4">
          <w:pgSz w:w="15840" w:h="12240" w:orient="landscape"/>
          <w:pgMar w:top="1440" w:right="1440" w:bottom="1440" w:left="1440" w:header="720" w:footer="720" w:gutter="0"/>
          <w:cols w:space="720"/>
          <w:docGrid w:linePitch="360"/>
        </w:sectPr>
      </w:pPr>
    </w:p>
    <w:p w:rsidR="003C0F07" w:rsidRDefault="003C0F07" w:rsidP="00480B3F">
      <w:pPr>
        <w:spacing w:line="480" w:lineRule="auto"/>
        <w:ind w:firstLine="720"/>
        <w:jc w:val="both"/>
        <w:rPr>
          <w:rFonts w:cstheme="majorBidi"/>
        </w:rPr>
      </w:pPr>
      <w:r w:rsidRPr="00854E06">
        <w:rPr>
          <w:rFonts w:cstheme="majorBidi"/>
        </w:rPr>
        <w:lastRenderedPageBreak/>
        <w:t>V</w:t>
      </w:r>
      <w:r>
        <w:rPr>
          <w:rFonts w:cstheme="majorBidi"/>
        </w:rPr>
        <w:t>alues of the exponent</w:t>
      </w:r>
      <w:r w:rsidRPr="00854E06">
        <w:rPr>
          <w:rFonts w:cstheme="majorBidi"/>
        </w:rPr>
        <w:t xml:space="preserve"> </w:t>
      </w:r>
      <m:oMath>
        <m:r>
          <w:rPr>
            <w:rFonts w:ascii="Cambria Math" w:hAnsi="Cambria Math" w:cstheme="majorBidi"/>
          </w:rPr>
          <m:t>b</m:t>
        </m:r>
      </m:oMath>
      <w:r>
        <w:rPr>
          <w:rFonts w:cstheme="majorBidi"/>
        </w:rPr>
        <w:t xml:space="preserve"> at the annual and monthly levels indicate that at 64 gauging stations, the rating curves present linear, concave, or convex shapes. </w:t>
      </w:r>
      <w:r>
        <w:rPr>
          <w:rFonts w:eastAsiaTheme="minorEastAsia" w:cstheme="majorBidi"/>
        </w:rPr>
        <w:t xml:space="preserve">Most of the monthly exponent </w:t>
      </w:r>
      <m:oMath>
        <m:r>
          <w:rPr>
            <w:rFonts w:ascii="Cambria Math" w:eastAsiaTheme="minorEastAsia" w:hAnsi="Cambria Math" w:cstheme="majorBidi"/>
          </w:rPr>
          <m:t>b</m:t>
        </m:r>
      </m:oMath>
      <w:r>
        <w:rPr>
          <w:rFonts w:eastAsiaTheme="minorEastAsia" w:cstheme="majorBidi"/>
        </w:rPr>
        <w:t xml:space="preserve"> that is smaller than one appeared in winter months (Appendix</w:t>
      </w:r>
      <w:r w:rsidR="00D45A61">
        <w:rPr>
          <w:rFonts w:eastAsiaTheme="minorEastAsia" w:cstheme="majorBidi"/>
        </w:rPr>
        <w:t xml:space="preserve"> A</w:t>
      </w:r>
      <w:r w:rsidR="00F90C2B">
        <w:rPr>
          <w:rFonts w:eastAsiaTheme="minorEastAsia" w:cstheme="majorBidi"/>
        </w:rPr>
        <w:t>5</w:t>
      </w:r>
      <w:r>
        <w:rPr>
          <w:rFonts w:eastAsiaTheme="minorEastAsia" w:cstheme="majorBidi"/>
        </w:rPr>
        <w:t>), during which time</w:t>
      </w:r>
      <w:r w:rsidR="00E74205">
        <w:rPr>
          <w:rFonts w:eastAsiaTheme="minorEastAsia" w:cstheme="majorBidi"/>
        </w:rPr>
        <w:t xml:space="preserve"> the</w:t>
      </w:r>
      <w:r>
        <w:rPr>
          <w:rFonts w:eastAsiaTheme="minorEastAsia" w:cstheme="majorBidi"/>
        </w:rPr>
        <w:t xml:space="preserve"> supply of sediment is limited due to frozen ground.  </w:t>
      </w:r>
      <w:r>
        <w:rPr>
          <w:rFonts w:cstheme="majorBidi"/>
        </w:rPr>
        <w:t xml:space="preserve">Most of the stations in the UMRB have convex rating curves at the annual level, even those in the tributaries. Convex rating curves suggest a transport-limited system in most of the streams in the UMRB, indicating a limit in the hydraulic power of the streams to carry sediment. </w:t>
      </w:r>
      <w:r w:rsidR="0066630C">
        <w:rPr>
          <w:rFonts w:cstheme="majorBidi"/>
        </w:rPr>
        <w:t xml:space="preserve"> </w:t>
      </w:r>
      <w:r>
        <w:rPr>
          <w:rFonts w:cstheme="majorBidi"/>
        </w:rPr>
        <w:t xml:space="preserve">These results may relate to the fact that many rivers, especially the main stem, in the basin are highly affected by engineering works such as locks and dams. </w:t>
      </w:r>
      <w:r w:rsidR="00D45A61">
        <w:rPr>
          <w:rFonts w:cstheme="majorBidi"/>
        </w:rPr>
        <w:fldChar w:fldCharType="begin"/>
      </w:r>
      <w:r w:rsidR="00D45A61">
        <w:rPr>
          <w:rFonts w:cstheme="majorBidi"/>
        </w:rPr>
        <w:instrText xml:space="preserve"> ADDIN ZOTERO_ITEM CSL_CITATION {"citationID":"fVcM6TkA","properties":{"formattedCitation":"(Asselman 1999; Hu et al. 2011)","plainCitation":"(Asselman 1999; Hu et al. 2011)"},"citationItems":[{"id":420,"uris":["http://zotero.org/users/1706519/items/DGGNRI8I"],"uri":["http://zotero.org/users/1706519/items/DGGNRI8I"],"itemData":{"id":420,"type":"article-journal","title":"Suspended sediment dynamics in a large drainage basin: the River Rhine","container-title":"Hydrological Processes","page":"1437–1450","volume":"13","issue":"10","source":"Wiley Online Library","abstract":"The behaviour of suspended sediment in rivers is often a function of energy conditions, i.e. sediment is stored at low flow and transported under high discharge conditions. The timing of maximum sediment transport can, however, also be related to mixing and routing of water and sediment from different sources. In this study suspended sediment transport was studied in the River Rhine between Kaub and the German–Dutch border. As concentrations decrease over a runoff season and as the relationship between water discharge and suspended sediment concentrations during most floods is characterized by clockwise hysteresis, it is concluded that sediment depletion occurs during a hydrological year and during individual floods. However, analyses of the sediment contribution from the River Mosel indicate that clockwise hysteresis may result from sediment depletion as well as from early sediment supply from a tributary. Thus, although the suspended sediment behaviour in the downstream part of the River Rhine is partly a transport phenomenon related to energy conditions, mixing and routing of water from different sources also plays an important role.Suspended sediment transport during floods was modelled using a ‘supply-based’ model. Addition of a sediment supply term to the sediment rating curve leads to a model that produces better estimates of instantaneous suspended sediment concentrations during high discharge events. A major constriction of the model is that it cannot be used to predict suspended sediment concentrations as long as the amount of sediment in storage and the timing of sediment supply are unknown. Copyright © 1999 John Wiley &amp; Sons, Ltd.","DOI":"10.1002/(SICI)1099-1085(199907)13:10&lt;1437::AID-HYP821&gt;3.0.CO;2-J","ISSN":"1099-1085","shortTitle":"Suspended sediment dynamics in a large drainage basin","language":"en","author":[{"family":"Asselman","given":"N. E. M."}],"issued":{"date-parts":[["1999"]]},"accessed":{"date-parts":[["2014",1,31]],"season":"00:15:06"}}},{"id":13,"uris":["http://zotero.org/users/1706519/items/46DM75PA"],"uri":["http://zotero.org/users/1706519/items/46DM75PA"],"itemData":{"id":13,"type":"article-journal","title":"Temporal and spatial variations of sediment rating curves in the Changjiang (Yangtze River) basin and their implications","container-title":"Quaternary International","page":"34-43","volume":"230","issue":"1–2","source":"ScienceDirect","abstract":"The natural hydrologic regime of the Changjiang (Yangtze River) in China has been disturbed considerably by intensified human activities over the past five decades. In this study, sediment rating curves were analyzed based on monthly data of water discharge and suspended-sediment concentration at stations in the upper (Yichang station), middle (Hankou station) and lower (Datong station) reaches of the Changjiang in different periods from 1955 to 2007. Temporal and spatial variations of the sediment rating curves were analyzed with respect to the impact of human activities and watershed characteristics. Results indicate that human disturbances have had a substantial impact on sediment rating parameters, with the magnitude of the impact related to the scale of the river sections. As indicated by the sediment rating parameters, the sediment transport regimes between the upper and the mid-lower reaches differ significantly. In particular, the impoundment of the Three Gorges Dam in 2003 changed the sediment transport regimes in the upper and mid-lower reaches of Changjiang into similar regimes characterized by a decrease in the sediment transport capacity of high water discharge. Furthermore, the sediment rating curve at the Datong station in 1955–1968 was applied to estimate the potential sediment load (1969–2007) in the absence of human influences. The mean annual sediment deficit caused by human activities has increased from 80 Mt/yr (1969–1985) to 250 Mt/yr (2003–2007). This indicates that intensified human activities in the Changjiang basin, especially the construction of the Three Gorges Dam, have altered the natural sediment transport process, and have thus become a dominant force in Changjiang sediment delivery to the sea.","DOI":"10.1016/j.quaint.2009.08.018","ISSN":"1040-6182","shortTitle":"Quaternary Sea Level and Palaeoenvironmental Reconstructions in the Coastal Zone of East and Southeast Asia","journalAbbreviation":"Quaternary International","author":[{"family":"Hu","given":"Bangqi"},{"family":"Wang","given":"Houjie"},{"family":"Yang","given":"Zuosheng"},{"family":"Sun","given":"Xiaoxia"}],"issued":{"date-parts":[["2011",1,15]]},"accessed":{"date-parts":[["2013",8,10]]}}}],"schema":"https://github.com/citation-style-language/schema/raw/master/csl-citation.json"} </w:instrText>
      </w:r>
      <w:r w:rsidR="00D45A61">
        <w:rPr>
          <w:rFonts w:cstheme="majorBidi"/>
        </w:rPr>
        <w:fldChar w:fldCharType="separate"/>
      </w:r>
      <w:r w:rsidR="00D45A61">
        <w:rPr>
          <w:rFonts w:ascii="Times New Roman" w:hAnsi="Times New Roman" w:cs="Times New Roman"/>
        </w:rPr>
        <w:t>Asselman (2000) and</w:t>
      </w:r>
      <w:r w:rsidR="00D45A61" w:rsidRPr="00D45A61">
        <w:rPr>
          <w:rFonts w:ascii="Times New Roman" w:hAnsi="Times New Roman" w:cs="Times New Roman"/>
        </w:rPr>
        <w:t xml:space="preserve"> Hu et al. </w:t>
      </w:r>
      <w:r w:rsidR="00D45A61">
        <w:rPr>
          <w:rFonts w:ascii="Times New Roman" w:hAnsi="Times New Roman" w:cs="Times New Roman"/>
        </w:rPr>
        <w:t>(</w:t>
      </w:r>
      <w:r w:rsidR="00D45A61" w:rsidRPr="00D45A61">
        <w:rPr>
          <w:rFonts w:ascii="Times New Roman" w:hAnsi="Times New Roman" w:cs="Times New Roman"/>
        </w:rPr>
        <w:t>2011)</w:t>
      </w:r>
      <w:r w:rsidR="00D45A61">
        <w:rPr>
          <w:rFonts w:cstheme="majorBidi"/>
        </w:rPr>
        <w:fldChar w:fldCharType="end"/>
      </w:r>
      <w:r w:rsidR="00D45A61">
        <w:rPr>
          <w:rFonts w:cstheme="majorBidi"/>
        </w:rPr>
        <w:t xml:space="preserve"> suggested </w:t>
      </w:r>
      <w:r w:rsidR="00835093">
        <w:rPr>
          <w:rFonts w:cstheme="majorBidi"/>
        </w:rPr>
        <w:t xml:space="preserve">that </w:t>
      </w:r>
      <w:r w:rsidR="00D45A61">
        <w:rPr>
          <w:rFonts w:cstheme="majorBidi"/>
        </w:rPr>
        <w:t xml:space="preserve">higher values of the exponent </w:t>
      </w:r>
      <m:oMath>
        <m:r>
          <w:rPr>
            <w:rFonts w:ascii="Cambria Math" w:hAnsi="Cambria Math" w:cstheme="majorBidi"/>
          </w:rPr>
          <m:t>b</m:t>
        </m:r>
      </m:oMath>
      <w:r w:rsidR="00835093">
        <w:rPr>
          <w:rFonts w:cstheme="majorBidi"/>
        </w:rPr>
        <w:t xml:space="preserve"> were associated</w:t>
      </w:r>
      <w:r w:rsidR="00D45A61">
        <w:rPr>
          <w:rFonts w:cstheme="majorBidi"/>
        </w:rPr>
        <w:t xml:space="preserve"> with th</w:t>
      </w:r>
      <w:r w:rsidR="00835093">
        <w:rPr>
          <w:rFonts w:cstheme="majorBidi"/>
        </w:rPr>
        <w:t xml:space="preserve">e presence of dams in the river, indicating the importance of high discharge in transporting sediment </w:t>
      </w:r>
      <w:r w:rsidR="00654C11">
        <w:rPr>
          <w:rFonts w:cstheme="majorBidi"/>
        </w:rPr>
        <w:t>i</w:t>
      </w:r>
      <w:r w:rsidR="00835093">
        <w:rPr>
          <w:rFonts w:cstheme="majorBidi"/>
        </w:rPr>
        <w:t>n regulated rivers</w:t>
      </w:r>
      <w:r w:rsidR="00654C11">
        <w:rPr>
          <w:rFonts w:cstheme="majorBidi"/>
        </w:rPr>
        <w:t>.</w:t>
      </w:r>
      <w:r w:rsidR="00D45A61">
        <w:rPr>
          <w:rFonts w:cstheme="majorBidi"/>
        </w:rPr>
        <w:t xml:space="preserve"> </w:t>
      </w:r>
      <w:r w:rsidR="00480B3F">
        <w:rPr>
          <w:rFonts w:cstheme="majorBidi"/>
        </w:rPr>
        <w:t>The convex shape of the rating curves, on the other hand, might represent the importance of h</w:t>
      </w:r>
      <w:r w:rsidR="00654C11">
        <w:rPr>
          <w:rFonts w:cstheme="majorBidi"/>
        </w:rPr>
        <w:t>igh discharge</w:t>
      </w:r>
      <w:r w:rsidR="00480B3F">
        <w:rPr>
          <w:rFonts w:cstheme="majorBidi"/>
        </w:rPr>
        <w:t>, which</w:t>
      </w:r>
      <w:r w:rsidR="00654C11">
        <w:rPr>
          <w:rFonts w:cstheme="majorBidi"/>
        </w:rPr>
        <w:t xml:space="preserve"> could </w:t>
      </w:r>
      <w:r w:rsidR="00480B3F">
        <w:rPr>
          <w:rFonts w:cstheme="majorBidi"/>
        </w:rPr>
        <w:t>be capable of</w:t>
      </w:r>
      <w:r w:rsidR="00E74205">
        <w:rPr>
          <w:rFonts w:cstheme="majorBidi"/>
        </w:rPr>
        <w:t xml:space="preserve"> transporting </w:t>
      </w:r>
      <w:r w:rsidR="00D45A61">
        <w:rPr>
          <w:rFonts w:cstheme="majorBidi"/>
        </w:rPr>
        <w:t xml:space="preserve">sediment </w:t>
      </w:r>
      <w:r w:rsidR="00654C11">
        <w:rPr>
          <w:rFonts w:cstheme="majorBidi"/>
        </w:rPr>
        <w:t>of larger grain size,</w:t>
      </w:r>
      <w:r w:rsidR="00480B3F">
        <w:rPr>
          <w:rFonts w:cstheme="majorBidi"/>
        </w:rPr>
        <w:t xml:space="preserve"> due to high competence of</w:t>
      </w:r>
      <w:r w:rsidR="00654C11">
        <w:rPr>
          <w:rFonts w:cstheme="majorBidi"/>
        </w:rPr>
        <w:t xml:space="preserve"> flow at high discharge</w:t>
      </w:r>
      <w:r w:rsidR="00F96258">
        <w:rPr>
          <w:rFonts w:cstheme="majorBidi"/>
        </w:rPr>
        <w:t xml:space="preserve"> </w:t>
      </w:r>
      <w:r w:rsidR="00F96258">
        <w:rPr>
          <w:rFonts w:cstheme="majorBidi"/>
        </w:rPr>
        <w:fldChar w:fldCharType="begin"/>
      </w:r>
      <w:r w:rsidR="00F96258">
        <w:rPr>
          <w:rFonts w:cstheme="majorBidi"/>
        </w:rPr>
        <w:instrText xml:space="preserve"> ADDIN ZOTERO_ITEM CSL_CITATION {"citationID":"EknHxtdS","properties":{"formattedCitation":"(Walling 1974)","plainCitation":"(Walling 1974)"},"citationItems":[{"id":95,"uris":["http://zotero.org/users/1706519/items/N529G6P7"],"uri":["http://zotero.org/users/1706519/items/N529G6P7"],"itemData":{"id":95,"type":"book","title":"Suspended sediment and solube yield from a small catchment prior to urbanization. In Gregory, K.J and Walling, D.E (eds) Fluvial Processes in Instrumented Watersheds","publisher":"Institute of British Geographers Special Publication 6, IBG","number-of-pages":"169-192","source":"Google Books","ISBN":"9781845930295","shortTitle":"Soil Erosion and Sediment Redistribution in River Catchments","language":"en","author":[{"family":"Walling","given":"D. E."}],"issued":{"date-parts":[["1974"]]}}}],"schema":"https://github.com/citation-style-language/schema/raw/master/csl-citation.json"} </w:instrText>
      </w:r>
      <w:r w:rsidR="00F96258">
        <w:rPr>
          <w:rFonts w:cstheme="majorBidi"/>
        </w:rPr>
        <w:fldChar w:fldCharType="separate"/>
      </w:r>
      <w:r w:rsidR="00F96258" w:rsidRPr="00F96258">
        <w:rPr>
          <w:rFonts w:ascii="Times New Roman" w:hAnsi="Times New Roman" w:cs="Times New Roman"/>
        </w:rPr>
        <w:t>(Walling 1974)</w:t>
      </w:r>
      <w:r w:rsidR="00F96258">
        <w:rPr>
          <w:rFonts w:cstheme="majorBidi"/>
        </w:rPr>
        <w:fldChar w:fldCharType="end"/>
      </w:r>
      <w:r w:rsidR="00D45A61">
        <w:rPr>
          <w:rFonts w:cstheme="majorBidi"/>
        </w:rPr>
        <w:t>. Such effect</w:t>
      </w:r>
      <w:r w:rsidR="00654C11">
        <w:rPr>
          <w:rFonts w:cstheme="majorBidi"/>
        </w:rPr>
        <w:t>s result</w:t>
      </w:r>
      <w:r w:rsidR="00D45A61">
        <w:rPr>
          <w:rFonts w:cstheme="majorBidi"/>
        </w:rPr>
        <w:t xml:space="preserve"> in </w:t>
      </w:r>
      <w:r>
        <w:rPr>
          <w:rFonts w:cstheme="majorBidi"/>
        </w:rPr>
        <w:t>an increasing rate</w:t>
      </w:r>
      <w:r w:rsidR="00D45A61">
        <w:rPr>
          <w:rFonts w:cstheme="majorBidi"/>
        </w:rPr>
        <w:t xml:space="preserve"> of suspended sediment load</w:t>
      </w:r>
      <w:r>
        <w:rPr>
          <w:rFonts w:cstheme="majorBidi"/>
        </w:rPr>
        <w:t xml:space="preserve"> </w:t>
      </w:r>
      <w:r w:rsidR="00D45A61">
        <w:rPr>
          <w:rFonts w:cstheme="majorBidi"/>
        </w:rPr>
        <w:t>with the increase of</w:t>
      </w:r>
      <w:r>
        <w:rPr>
          <w:rFonts w:cstheme="majorBidi"/>
        </w:rPr>
        <w:t xml:space="preserve"> discharge. </w:t>
      </w:r>
      <w:r w:rsidR="00801111">
        <w:rPr>
          <w:rFonts w:cstheme="majorBidi"/>
        </w:rPr>
        <w:t xml:space="preserve">The importance of high discharge in carrying large grain size of sediment was shown in a study by </w:t>
      </w:r>
      <w:r w:rsidR="00835093">
        <w:rPr>
          <w:rFonts w:cstheme="majorBidi"/>
        </w:rPr>
        <w:fldChar w:fldCharType="begin"/>
      </w:r>
      <w:r w:rsidR="00835093">
        <w:rPr>
          <w:rFonts w:cstheme="majorBidi"/>
        </w:rPr>
        <w:instrText xml:space="preserve"> ADDIN ZOTERO_ITEM CSL_CITATION {"citationID":"6eMwMIVA","properties":{"formattedCitation":"(Holmes 1996)","plainCitation":"(Holmes 1996)"},"citationItems":[{"id":627,"uris":["http://zotero.org/users/1706519/items/Z5J9T67W"],"uri":["http://zotero.org/users/1706519/items/Z5J9T67W"],"itemData":{"id":627,"type":"report","title":"Sediment transport in the lower Missouri and the central Mississippi rivers, June 26 through September 14, 1993","publisher":"United States Geological Survey","source":"pubs.er.usgs.gov","abstract":"Sediment data were collected for five sediment stations on the lower Missouri and the central Mississippi rivers during the 1993 flood. During the period of June 26 to September 14, 1993, 55 million metric tons was transported past St. Louis, Missouri by the Mississippi River. Sediment was stored in the Missouri River floodplain above the Mississippi River as more than 22,000 hectares of floodplain had newly deposited sediments from the receding floodwater.","URL":"http://pubs.water.usgs.gov/circ1120-i","number":"CIR - 1120-I","author":[{"family":"Holmes","given":"Robert R."}],"issued":{"date-parts":[["1996"]]},"accessed":{"date-parts":[["2014",7,28]]}}}],"schema":"https://github.com/citation-style-language/schema/raw/master/csl-citation.json"} </w:instrText>
      </w:r>
      <w:r w:rsidR="00835093">
        <w:rPr>
          <w:rFonts w:cstheme="majorBidi"/>
        </w:rPr>
        <w:fldChar w:fldCharType="separate"/>
      </w:r>
      <w:r w:rsidR="00835093" w:rsidRPr="00835093">
        <w:rPr>
          <w:rFonts w:ascii="Times New Roman" w:hAnsi="Times New Roman" w:cs="Times New Roman"/>
        </w:rPr>
        <w:t xml:space="preserve">Holmes </w:t>
      </w:r>
      <w:r w:rsidR="00835093">
        <w:rPr>
          <w:rFonts w:ascii="Times New Roman" w:hAnsi="Times New Roman" w:cs="Times New Roman"/>
        </w:rPr>
        <w:t>(</w:t>
      </w:r>
      <w:r w:rsidR="00835093" w:rsidRPr="00835093">
        <w:rPr>
          <w:rFonts w:ascii="Times New Roman" w:hAnsi="Times New Roman" w:cs="Times New Roman"/>
        </w:rPr>
        <w:t>1996)</w:t>
      </w:r>
      <w:r w:rsidR="00835093">
        <w:rPr>
          <w:rFonts w:cstheme="majorBidi"/>
        </w:rPr>
        <w:fldChar w:fldCharType="end"/>
      </w:r>
      <w:r w:rsidR="00801111">
        <w:rPr>
          <w:rFonts w:cstheme="majorBidi"/>
        </w:rPr>
        <w:t>, in which</w:t>
      </w:r>
      <w:r w:rsidR="00835093">
        <w:rPr>
          <w:rFonts w:cstheme="majorBidi"/>
        </w:rPr>
        <w:t xml:space="preserve"> the sediment grain size distribution in the flood of 1993</w:t>
      </w:r>
      <w:r w:rsidR="00801111">
        <w:rPr>
          <w:rFonts w:cstheme="majorBidi"/>
        </w:rPr>
        <w:t xml:space="preserve"> was investigated</w:t>
      </w:r>
      <w:r w:rsidR="00835093">
        <w:rPr>
          <w:rFonts w:cstheme="majorBidi"/>
        </w:rPr>
        <w:t xml:space="preserve"> </w:t>
      </w:r>
      <w:r w:rsidR="00801111">
        <w:rPr>
          <w:rFonts w:cstheme="majorBidi"/>
        </w:rPr>
        <w:t xml:space="preserve">at </w:t>
      </w:r>
      <w:r w:rsidR="00F96258">
        <w:rPr>
          <w:rFonts w:cstheme="majorBidi"/>
        </w:rPr>
        <w:t xml:space="preserve">some stations </w:t>
      </w:r>
      <w:r w:rsidR="00835093">
        <w:rPr>
          <w:rFonts w:cstheme="majorBidi"/>
        </w:rPr>
        <w:t>in the</w:t>
      </w:r>
      <w:r w:rsidR="00F96258">
        <w:rPr>
          <w:rFonts w:cstheme="majorBidi"/>
        </w:rPr>
        <w:t xml:space="preserve"> central</w:t>
      </w:r>
      <w:r w:rsidR="00835093">
        <w:rPr>
          <w:rFonts w:cstheme="majorBidi"/>
        </w:rPr>
        <w:t xml:space="preserve"> Mississippi River.</w:t>
      </w:r>
      <w:r w:rsidR="00801111">
        <w:rPr>
          <w:rFonts w:cstheme="majorBidi"/>
        </w:rPr>
        <w:t xml:space="preserve"> The study showed a high portion of suspended sand carried during the flood, indicating large storage of sand-sized sediment </w:t>
      </w:r>
      <w:r w:rsidR="00480B3F">
        <w:rPr>
          <w:rFonts w:cstheme="majorBidi"/>
        </w:rPr>
        <w:t>at multiple sites prior</w:t>
      </w:r>
      <w:r w:rsidR="00801111">
        <w:rPr>
          <w:rFonts w:cstheme="majorBidi"/>
        </w:rPr>
        <w:t xml:space="preserve"> to 1993. </w:t>
      </w:r>
      <w:r w:rsidR="00835093">
        <w:rPr>
          <w:rFonts w:cstheme="majorBidi"/>
        </w:rPr>
        <w:t xml:space="preserve"> </w:t>
      </w:r>
      <w:r>
        <w:rPr>
          <w:rFonts w:cstheme="majorBidi"/>
        </w:rPr>
        <w:t xml:space="preserve"> </w:t>
      </w:r>
    </w:p>
    <w:p w:rsidR="00E74205" w:rsidRDefault="00E74205" w:rsidP="00E74205">
      <w:pPr>
        <w:spacing w:line="480" w:lineRule="auto"/>
        <w:ind w:firstLine="720"/>
        <w:jc w:val="both"/>
        <w:rPr>
          <w:rFonts w:cstheme="majorBidi"/>
        </w:rPr>
      </w:pPr>
      <w:r>
        <w:rPr>
          <w:rFonts w:cstheme="majorBidi"/>
        </w:rPr>
        <w:t>The transport-limited system in the UMRB, determined from sediment rating curves in this thesis, seems to contradict the conclusion of Meade and Moody (2010), whose study found a declining trend of sediment yield at the mouth of the Mississippi River. They concluded that sediment transport has shifted to a supply-limit</w:t>
      </w:r>
      <w:r w:rsidR="00F8648D">
        <w:rPr>
          <w:rFonts w:cstheme="majorBidi"/>
        </w:rPr>
        <w:t>ed condition in the Mississippi-</w:t>
      </w:r>
      <w:r>
        <w:rPr>
          <w:rFonts w:cstheme="majorBidi"/>
        </w:rPr>
        <w:t xml:space="preserve">Missouri River </w:t>
      </w:r>
      <w:r>
        <w:rPr>
          <w:rFonts w:cstheme="majorBidi"/>
        </w:rPr>
        <w:lastRenderedPageBreak/>
        <w:t xml:space="preserve">basin. The difference between the conclusions of this thesis study and the study by Meade and Moody could be attributed to different approaches and definitions of supply/transport-limited systems in the two studies. Meade and Moody (2010) defined the supply-limited system based on the decreasing rate of fine sediment yield at the mouth of the basin over decades, which was attributed to conservation practices and engineering constructions in the basin. Meanwhile, this thesis defined the transport-limited system based on the interrelation between suspended sediment load and stream discharge, which is represented as the rating curves. On the other hand, in the study by Meade and Moody, after the </w:t>
      </w:r>
      <w:proofErr w:type="spellStart"/>
      <w:r>
        <w:rPr>
          <w:rFonts w:cstheme="majorBidi"/>
        </w:rPr>
        <w:t>mid 1960s</w:t>
      </w:r>
      <w:proofErr w:type="spellEnd"/>
      <w:r>
        <w:rPr>
          <w:rFonts w:cstheme="majorBidi"/>
        </w:rPr>
        <w:t xml:space="preserve">, at least half of the suspended sediment in the Mississippi River at </w:t>
      </w:r>
      <w:proofErr w:type="spellStart"/>
      <w:r>
        <w:rPr>
          <w:rFonts w:cstheme="majorBidi"/>
        </w:rPr>
        <w:t>Tarbert</w:t>
      </w:r>
      <w:proofErr w:type="spellEnd"/>
      <w:r>
        <w:rPr>
          <w:rFonts w:cstheme="majorBidi"/>
        </w:rPr>
        <w:t xml:space="preserve"> Landing, New Orleans, was from the UMRB and the Ohio River indicating a large supply of suspended sediment from the Upper Basin. Thus, while the Lower Mississippi Basin might have become supply-limited, the UMRB was still the major source of suspended sediment </w:t>
      </w:r>
      <w:r w:rsidR="00F8648D">
        <w:rPr>
          <w:rFonts w:cstheme="majorBidi"/>
        </w:rPr>
        <w:t>at the mouth of the Mississippi-</w:t>
      </w:r>
      <w:r>
        <w:rPr>
          <w:rFonts w:cstheme="majorBidi"/>
        </w:rPr>
        <w:t>Missouri River basin and did not present a supply-limited system.</w:t>
      </w:r>
    </w:p>
    <w:p w:rsidR="00E74205" w:rsidRDefault="00E74205" w:rsidP="00F8648D">
      <w:pPr>
        <w:spacing w:line="480" w:lineRule="auto"/>
        <w:ind w:firstLine="720"/>
        <w:jc w:val="both"/>
        <w:rPr>
          <w:rFonts w:eastAsiaTheme="minorEastAsia" w:cstheme="majorBidi"/>
        </w:rPr>
      </w:pPr>
      <w:r>
        <w:rPr>
          <w:rFonts w:ascii="Times New Roman" w:hAnsi="Times New Roman" w:cs="Times New Roman"/>
        </w:rPr>
        <w:t xml:space="preserve">Some stations in this dataset present the suspended load and discharge in the period of 1993 to 1998 (Appendix A1). Although the flood in 1993 might have flushed out the stored sediment from local storage sites </w:t>
      </w:r>
      <w:r>
        <w:rPr>
          <w:rFonts w:ascii="Times New Roman" w:hAnsi="Times New Roman" w:cs="Times New Roman"/>
        </w:rPr>
        <w:fldChar w:fldCharType="begin"/>
      </w:r>
      <w:r>
        <w:rPr>
          <w:rFonts w:ascii="Times New Roman" w:hAnsi="Times New Roman" w:cs="Times New Roman"/>
        </w:rPr>
        <w:instrText xml:space="preserve"> ADDIN ZOTERO_ITEM CSL_CITATION {"citationID":"4wwR33bJ","properties":{"formattedCitation":"(Horowitz 2010)","plainCitation":"(Horowitz 2010)"},"citationItems":[{"id":521,"uris":["http://zotero.org/users/1706519/items/JPU3HZ2M"],"uri":["http://zotero.org/users/1706519/items/JPU3HZ2M"],"itemData":{"id":521,"type":"article-journal","title":"A quarter century of declining suspended sediment fluxes in the Mississippi River and the effect of the 1993 flood","container-title":"Hydrological Processes","page":"13–34","volume":"24","issue":"1","source":"Wiley Online Library","abstract":"Annual fluxes, flow-weighted concentrations and linear least squares trendline calculations for a number of long-term Mississippi River Basin (MRB) sampling sites covering 1981 through 2007, whilst somewhat ‘noisy’, display long-term patterns of decline. Annual flow-weighted concentration plots display the same long-term patterns of decline, but are less noisy because they reduce/eliminate variations due to interannual discharge differences. The declines appear greatest in the middle MRB, but also are evident elsewhere. The pattern for the lower Ohio River differs and may reflect ongoing construction at the Olmsted lock and dam that began in 1993 and currently is ongoing. The ‘Great Flood of 1993’ appears to have superimposed a step function (a sharp drop) on the long-term rate of decline in suspended sediment concentrations (SSC), annual fluxes and flow-weighted concentrations in the middle MRB at St Louis and Thebes, Missouri and Vicksburg, Mississippi, and in the lower MRB at St Francisville, Louisiana. Evidence for a step function at other sites is less substantial, but may have occurred. The step function appears to have resulted from losses in available (erodible) sediment, rather than to a reduction in discharge; hence, the MRB appears to be supply limited rather than discharge limited. These evaluations support the need for daily discharge and SSC data collections in the MRB to better address questions regarding long-term trends in sediment-related issues. This is apparent when the results for the Mississippi River at Thebes and St Louis sites are compared with those from other MRB sites where intensive (daily) data collections are lacking. Published in 2009 by John Wiley &amp; Sons, Ltd.","DOI":"10.1002/hyp.7425","ISSN":"1099-1085","language":"en","author":[{"family":"Horowitz","given":"Arthur J."}],"issued":{"date-parts":[["2010"]]},"accessed":{"date-parts":[["2014",3,10]]}}}],"schema":"https://github.com/citation-style-language/schema/raw/master/csl-citation.json"} </w:instrText>
      </w:r>
      <w:r>
        <w:rPr>
          <w:rFonts w:ascii="Times New Roman" w:hAnsi="Times New Roman" w:cs="Times New Roman"/>
        </w:rPr>
        <w:fldChar w:fldCharType="separate"/>
      </w:r>
      <w:r w:rsidRPr="00E569A8">
        <w:rPr>
          <w:rFonts w:ascii="Times New Roman" w:hAnsi="Times New Roman" w:cs="Times New Roman"/>
        </w:rPr>
        <w:t>(Horowitz 2010)</w:t>
      </w:r>
      <w:r>
        <w:rPr>
          <w:rFonts w:ascii="Times New Roman" w:hAnsi="Times New Roman" w:cs="Times New Roman"/>
        </w:rPr>
        <w:fldChar w:fldCharType="end"/>
      </w:r>
      <w:r>
        <w:rPr>
          <w:rFonts w:ascii="Times New Roman" w:hAnsi="Times New Roman" w:cs="Times New Roman"/>
        </w:rPr>
        <w:t>, the sediment rating curves at these stations continued to represent transport-limited systems. This result provides evidence suggesting that</w:t>
      </w:r>
      <w:r w:rsidR="00F8648D">
        <w:rPr>
          <w:rFonts w:ascii="Times New Roman" w:hAnsi="Times New Roman" w:cs="Times New Roman"/>
        </w:rPr>
        <w:t xml:space="preserve"> </w:t>
      </w:r>
      <w:r>
        <w:rPr>
          <w:rFonts w:ascii="Times New Roman" w:hAnsi="Times New Roman" w:cs="Times New Roman"/>
        </w:rPr>
        <w:t>sediment transport in the UMRB, at the annual level, might have remained transport-limited after the flood in 1993.</w:t>
      </w:r>
    </w:p>
    <w:p w:rsidR="00F8648D" w:rsidRDefault="00F8648D" w:rsidP="00F8648D">
      <w:pPr>
        <w:spacing w:line="480" w:lineRule="auto"/>
        <w:ind w:firstLine="720"/>
        <w:jc w:val="both"/>
      </w:pPr>
      <w:r>
        <w:t xml:space="preserve">The Missouri River provides an abundant source of sediment into the Mississippi River. At station 270001, located at the mouth of the Missouri River, and station 30001, on the Mississippi River below the confluence with the Missouri River, suspended sediment loads in the dataset were larger than those for the Mississippi River above the Missouri-Mississippi </w:t>
      </w:r>
      <w:r>
        <w:lastRenderedPageBreak/>
        <w:t xml:space="preserve">confluence. Values of the exponent </w:t>
      </w:r>
      <m:oMath>
        <m:r>
          <w:rPr>
            <w:rFonts w:ascii="Cambria Math" w:hAnsi="Cambria Math"/>
          </w:rPr>
          <m:t>b</m:t>
        </m:r>
      </m:oMath>
      <w:r>
        <w:t xml:space="preserve"> at these two stations also indicate a transport-limited system, which may either reflect the large input of sediment from the Missouri River that is increasingly transported with the rise of discharge, or the additional sediment of larger grain size that is entrained into the stream as discharge increases. </w:t>
      </w:r>
    </w:p>
    <w:p w:rsidR="00733B84" w:rsidRPr="00733B84" w:rsidRDefault="00733B84" w:rsidP="00733B84">
      <w:pPr>
        <w:spacing w:line="480" w:lineRule="auto"/>
        <w:ind w:firstLine="720"/>
        <w:jc w:val="both"/>
        <w:rPr>
          <w:rFonts w:cstheme="majorBidi"/>
        </w:rPr>
      </w:pPr>
      <w:bookmarkStart w:id="145" w:name="_Toc390715106"/>
      <w:r w:rsidRPr="00733B84">
        <w:rPr>
          <w:rFonts w:cstheme="majorBidi"/>
        </w:rPr>
        <w:t xml:space="preserve">The Global Moran’s I of the annual coefficients </w:t>
      </w:r>
      <m:oMath>
        <m:r>
          <w:rPr>
            <w:rFonts w:ascii="Cambria Math" w:hAnsi="Cambria Math" w:cstheme="majorBidi"/>
          </w:rPr>
          <m:t>a</m:t>
        </m:r>
      </m:oMath>
      <w:r w:rsidRPr="00733B84">
        <w:rPr>
          <w:rFonts w:cstheme="majorBidi"/>
        </w:rPr>
        <w:t xml:space="preserve"> was not significant, indicating that there was no spatial autocorrelation in the values of the </w:t>
      </w:r>
      <w:proofErr w:type="gramStart"/>
      <w:r w:rsidRPr="00733B84">
        <w:rPr>
          <w:rFonts w:cstheme="majorBidi"/>
        </w:rPr>
        <w:t xml:space="preserve">coefficient </w:t>
      </w:r>
      <w:proofErr w:type="gramEnd"/>
      <m:oMath>
        <m:r>
          <w:rPr>
            <w:rFonts w:ascii="Cambria Math" w:hAnsi="Cambria Math" w:cstheme="majorBidi"/>
          </w:rPr>
          <m:t>a</m:t>
        </m:r>
      </m:oMath>
      <w:r w:rsidRPr="00733B84">
        <w:rPr>
          <w:rFonts w:eastAsiaTheme="minorEastAsia" w:cstheme="majorBidi"/>
        </w:rPr>
        <w:t xml:space="preserve">. </w:t>
      </w:r>
      <w:r w:rsidRPr="00733B84">
        <w:rPr>
          <w:rFonts w:cstheme="majorBidi"/>
        </w:rPr>
        <w:t xml:space="preserve">The random pattern of the coefficient </w:t>
      </w:r>
      <m:oMath>
        <m:r>
          <w:rPr>
            <w:rFonts w:ascii="Cambria Math" w:hAnsi="Cambria Math" w:cstheme="majorBidi"/>
          </w:rPr>
          <m:t>a</m:t>
        </m:r>
      </m:oMath>
      <w:r w:rsidRPr="00733B84">
        <w:rPr>
          <w:rFonts w:cstheme="majorBidi"/>
        </w:rPr>
        <w:t xml:space="preserve"> may be explained by the variety of flow regimes of streams in the UMRB, which relates to streams’ bed forms. The heavy navigational engineering structures present in the basin may enhance the variety of flow regimes in different stream segments.</w:t>
      </w:r>
    </w:p>
    <w:p w:rsidR="00733B84" w:rsidRPr="00733B84" w:rsidRDefault="00733B84" w:rsidP="00733B84">
      <w:pPr>
        <w:spacing w:line="480" w:lineRule="auto"/>
        <w:ind w:firstLine="720"/>
        <w:jc w:val="both"/>
        <w:rPr>
          <w:rFonts w:cstheme="majorBidi"/>
        </w:rPr>
      </w:pPr>
      <w:r w:rsidRPr="00733B84">
        <w:rPr>
          <w:rFonts w:cstheme="majorBidi"/>
        </w:rPr>
        <w:t xml:space="preserve">  The Global Moran’s I showed a clustering pattern of the annual </w:t>
      </w:r>
      <w:proofErr w:type="gramStart"/>
      <w:r w:rsidRPr="00733B84">
        <w:rPr>
          <w:rFonts w:cstheme="majorBidi"/>
        </w:rPr>
        <w:t xml:space="preserve">exponent </w:t>
      </w:r>
      <w:proofErr w:type="gramEnd"/>
      <m:oMath>
        <m:r>
          <w:rPr>
            <w:rFonts w:ascii="Cambria Math" w:hAnsi="Cambria Math" w:cstheme="majorBidi"/>
          </w:rPr>
          <m:t>b</m:t>
        </m:r>
      </m:oMath>
      <w:r w:rsidRPr="00733B84">
        <w:rPr>
          <w:rFonts w:cstheme="majorBidi"/>
        </w:rPr>
        <w:t xml:space="preserve">. For example, at Pool 5 and Pool 6, values of </w:t>
      </w:r>
      <m:oMath>
        <m:r>
          <w:rPr>
            <w:rFonts w:ascii="Cambria Math" w:hAnsi="Cambria Math" w:cstheme="majorBidi"/>
          </w:rPr>
          <m:t>b</m:t>
        </m:r>
      </m:oMath>
      <w:r w:rsidRPr="00733B84">
        <w:rPr>
          <w:rFonts w:cstheme="majorBidi"/>
        </w:rPr>
        <w:t xml:space="preserve"> fluctuate between 3.06 and 4.27, the highest values of exponent </w:t>
      </w:r>
      <m:oMath>
        <m:r>
          <w:rPr>
            <w:rFonts w:ascii="Cambria Math" w:hAnsi="Cambria Math" w:cstheme="majorBidi"/>
          </w:rPr>
          <m:t>b</m:t>
        </m:r>
      </m:oMath>
      <w:r w:rsidRPr="00733B84">
        <w:rPr>
          <w:rFonts w:cstheme="majorBidi"/>
        </w:rPr>
        <w:t xml:space="preserve"> among the stations in the basin. Such high exponents </w:t>
      </w:r>
      <m:oMath>
        <m:r>
          <w:rPr>
            <w:rFonts w:ascii="Cambria Math" w:hAnsi="Cambria Math" w:cstheme="majorBidi"/>
          </w:rPr>
          <m:t>b</m:t>
        </m:r>
      </m:oMath>
      <w:r w:rsidRPr="00733B84">
        <w:rPr>
          <w:rFonts w:cstheme="majorBidi"/>
        </w:rPr>
        <w:t xml:space="preserve"> indicate a substantially increasing rate of suspended load with an increase of discharge. Increasing discharge might be considered as a proxy for increasing </w:t>
      </w:r>
      <w:proofErr w:type="spellStart"/>
      <w:r w:rsidRPr="00733B84">
        <w:rPr>
          <w:rFonts w:cstheme="majorBidi"/>
        </w:rPr>
        <w:t>erosivity</w:t>
      </w:r>
      <w:proofErr w:type="spellEnd"/>
      <w:r w:rsidRPr="00733B84">
        <w:rPr>
          <w:rFonts w:cstheme="majorBidi"/>
        </w:rPr>
        <w:t xml:space="preserve"> of the flow that would be capable to entrain particles of large sizes that would not have been transported in lower flows. Hence, a local source of sediment stored in this area might be a reason for such clustering pattern of the annual </w:t>
      </w:r>
      <w:proofErr w:type="gramStart"/>
      <w:r w:rsidRPr="00733B84">
        <w:rPr>
          <w:rFonts w:cstheme="majorBidi"/>
        </w:rPr>
        <w:t xml:space="preserve">exponent </w:t>
      </w:r>
      <w:proofErr w:type="gramEnd"/>
      <m:oMath>
        <m:r>
          <w:rPr>
            <w:rFonts w:ascii="Cambria Math" w:hAnsi="Cambria Math" w:cstheme="majorBidi"/>
          </w:rPr>
          <m:t>b</m:t>
        </m:r>
      </m:oMath>
      <w:r w:rsidRPr="00733B84">
        <w:rPr>
          <w:rFonts w:cstheme="majorBidi"/>
        </w:rPr>
        <w:t>.</w:t>
      </w:r>
    </w:p>
    <w:p w:rsidR="006473B4" w:rsidRPr="00624DF1" w:rsidRDefault="006473B4" w:rsidP="00523FFD">
      <w:pPr>
        <w:pStyle w:val="Heading2"/>
        <w:numPr>
          <w:ilvl w:val="0"/>
          <w:numId w:val="38"/>
        </w:numPr>
        <w:ind w:left="360"/>
      </w:pPr>
      <w:bookmarkStart w:id="146" w:name="_Toc394525577"/>
      <w:r w:rsidRPr="00624DF1">
        <w:t xml:space="preserve">The relationship between </w:t>
      </w:r>
      <m:oMath>
        <m:r>
          <m:rPr>
            <m:sty m:val="bi"/>
          </m:rPr>
          <w:rPr>
            <w:rFonts w:ascii="Cambria Math" w:hAnsi="Cambria Math"/>
          </w:rPr>
          <m:t>ln</m:t>
        </m:r>
        <m:r>
          <m:rPr>
            <m:sty m:val="b"/>
          </m:rPr>
          <w:rPr>
            <w:rFonts w:ascii="Cambria Math" w:hAnsi="Cambria Math"/>
          </w:rPr>
          <m:t>(</m:t>
        </m:r>
        <m:r>
          <m:rPr>
            <m:sty m:val="bi"/>
          </m:rPr>
          <w:rPr>
            <w:rFonts w:ascii="Cambria Math" w:hAnsi="Cambria Math"/>
          </w:rPr>
          <m:t>a</m:t>
        </m:r>
        <m:r>
          <m:rPr>
            <m:sty m:val="b"/>
          </m:rPr>
          <w:rPr>
            <w:rFonts w:ascii="Cambria Math" w:hAnsi="Cambria Math"/>
          </w:rPr>
          <m:t>)</m:t>
        </m:r>
      </m:oMath>
      <w:r w:rsidRPr="00624DF1">
        <w:t xml:space="preserve"> and </w:t>
      </w:r>
      <m:oMath>
        <m:r>
          <m:rPr>
            <m:sty m:val="bi"/>
          </m:rPr>
          <w:rPr>
            <w:rFonts w:ascii="Cambria Math" w:hAnsi="Cambria Math"/>
          </w:rPr>
          <m:t>b</m:t>
        </m:r>
      </m:oMath>
      <w:r w:rsidRPr="00624DF1">
        <w:t xml:space="preserve"> at annual and monthly levels</w:t>
      </w:r>
      <w:bookmarkEnd w:id="145"/>
      <w:bookmarkEnd w:id="146"/>
    </w:p>
    <w:p w:rsidR="0080646D" w:rsidRPr="006D5DF5" w:rsidRDefault="0080646D" w:rsidP="0080646D">
      <w:pPr>
        <w:pStyle w:val="ListParagraph"/>
        <w:spacing w:line="480" w:lineRule="auto"/>
        <w:ind w:left="0" w:firstLine="720"/>
        <w:jc w:val="both"/>
        <w:rPr>
          <w:rFonts w:asciiTheme="majorBidi" w:hAnsiTheme="majorBidi" w:cstheme="majorBidi"/>
          <w:sz w:val="24"/>
          <w:szCs w:val="24"/>
        </w:rPr>
      </w:pPr>
      <w:r>
        <w:rPr>
          <w:rFonts w:asciiTheme="majorBidi" w:hAnsiTheme="majorBidi" w:cstheme="majorBidi"/>
          <w:sz w:val="24"/>
          <w:szCs w:val="24"/>
        </w:rPr>
        <w:t>The</w:t>
      </w:r>
      <w:r w:rsidRPr="00854E06">
        <w:rPr>
          <w:rFonts w:asciiTheme="majorBidi" w:hAnsiTheme="majorBidi" w:cstheme="majorBidi"/>
          <w:sz w:val="24"/>
          <w:szCs w:val="24"/>
        </w:rPr>
        <w:t xml:space="preserve"> negative relationships between </w:t>
      </w:r>
      <m:oMath>
        <m:r>
          <w:rPr>
            <w:rFonts w:ascii="Cambria Math" w:hAnsi="Cambria Math" w:cstheme="majorBidi"/>
            <w:sz w:val="24"/>
            <w:szCs w:val="24"/>
          </w:rPr>
          <m:t>ln(a)</m:t>
        </m:r>
      </m:oMath>
      <w:r w:rsidRPr="00854E06">
        <w:rPr>
          <w:rFonts w:asciiTheme="majorBidi" w:hAnsiTheme="majorBidi" w:cstheme="majorBidi"/>
          <w:sz w:val="24"/>
          <w:szCs w:val="24"/>
        </w:rPr>
        <w:t xml:space="preserve"> and </w:t>
      </w:r>
      <m:oMath>
        <m:r>
          <w:rPr>
            <w:rFonts w:ascii="Cambria Math" w:hAnsi="Cambria Math" w:cstheme="majorBidi"/>
            <w:sz w:val="24"/>
            <w:szCs w:val="24"/>
          </w:rPr>
          <m:t>b</m:t>
        </m:r>
      </m:oMath>
      <w:r w:rsidRPr="00854E06">
        <w:rPr>
          <w:rFonts w:asciiTheme="majorBidi" w:hAnsiTheme="majorBidi" w:cstheme="majorBidi"/>
          <w:sz w:val="24"/>
          <w:szCs w:val="24"/>
        </w:rPr>
        <w:t xml:space="preserve"> at annual and monthly levels suggest that</w:t>
      </w:r>
      <w:r>
        <w:rPr>
          <w:rFonts w:asciiTheme="majorBidi" w:hAnsiTheme="majorBidi" w:cstheme="majorBidi"/>
          <w:sz w:val="24"/>
          <w:szCs w:val="24"/>
        </w:rPr>
        <w:t>,</w:t>
      </w:r>
      <w:r w:rsidRPr="00854E06">
        <w:rPr>
          <w:rFonts w:asciiTheme="majorBidi" w:hAnsiTheme="majorBidi" w:cstheme="majorBidi"/>
          <w:sz w:val="24"/>
          <w:szCs w:val="24"/>
        </w:rPr>
        <w:t xml:space="preserve"> for rivers with small values of </w:t>
      </w:r>
      <w:r>
        <w:rPr>
          <w:rFonts w:asciiTheme="majorBidi" w:hAnsiTheme="majorBidi" w:cstheme="majorBidi"/>
          <w:sz w:val="24"/>
          <w:szCs w:val="24"/>
        </w:rPr>
        <w:t xml:space="preserve">the </w:t>
      </w:r>
      <w:r w:rsidRPr="00854E06">
        <w:rPr>
          <w:rFonts w:asciiTheme="majorBidi" w:hAnsiTheme="majorBidi" w:cstheme="majorBidi"/>
          <w:sz w:val="24"/>
          <w:szCs w:val="24"/>
        </w:rPr>
        <w:t xml:space="preserve">intercept (i.e. </w:t>
      </w:r>
      <w:proofErr w:type="gramStart"/>
      <w:r w:rsidRPr="00854E06">
        <w:rPr>
          <w:rFonts w:asciiTheme="majorBidi" w:hAnsiTheme="majorBidi" w:cstheme="majorBidi"/>
          <w:sz w:val="24"/>
          <w:szCs w:val="24"/>
        </w:rPr>
        <w:t xml:space="preserve">small </w:t>
      </w:r>
      <w:proofErr w:type="gramEnd"/>
      <m:oMath>
        <m:r>
          <w:rPr>
            <w:rFonts w:ascii="Cambria Math" w:hAnsi="Cambria Math" w:cstheme="majorBidi"/>
            <w:sz w:val="24"/>
            <w:szCs w:val="24"/>
          </w:rPr>
          <m:t>ln(a)</m:t>
        </m:r>
      </m:oMath>
      <w:r w:rsidRPr="00854E06">
        <w:rPr>
          <w:rFonts w:asciiTheme="majorBidi" w:hAnsiTheme="majorBidi" w:cstheme="majorBidi"/>
          <w:sz w:val="24"/>
          <w:szCs w:val="24"/>
        </w:rPr>
        <w:t xml:space="preserve">), the slope of the log-transformed graph </w:t>
      </w:r>
      <w:r w:rsidRPr="006D5DF5">
        <w:rPr>
          <w:rFonts w:asciiTheme="majorBidi" w:hAnsiTheme="majorBidi" w:cstheme="majorBidi"/>
          <w:sz w:val="24"/>
          <w:szCs w:val="24"/>
        </w:rPr>
        <w:t xml:space="preserve">tends to be steeper (i.e. large exponent </w:t>
      </w:r>
      <m:oMath>
        <m:r>
          <w:rPr>
            <w:rFonts w:ascii="Cambria Math" w:hAnsi="Cambria Math" w:cstheme="majorBidi"/>
            <w:sz w:val="24"/>
            <w:szCs w:val="24"/>
          </w:rPr>
          <m:t>b</m:t>
        </m:r>
      </m:oMath>
      <w:r w:rsidRPr="006D5DF5">
        <w:rPr>
          <w:rFonts w:asciiTheme="majorBidi" w:hAnsiTheme="majorBidi" w:cstheme="majorBidi"/>
          <w:sz w:val="24"/>
          <w:szCs w:val="24"/>
        </w:rPr>
        <w:t xml:space="preserve">).  </w:t>
      </w:r>
      <w:r>
        <w:rPr>
          <w:rFonts w:asciiTheme="majorBidi" w:hAnsiTheme="majorBidi" w:cstheme="majorBidi"/>
          <w:sz w:val="24"/>
          <w:szCs w:val="24"/>
        </w:rPr>
        <w:t xml:space="preserve">Such a </w:t>
      </w:r>
      <w:r w:rsidRPr="006473B4">
        <w:rPr>
          <w:rFonts w:asciiTheme="majorBidi" w:hAnsiTheme="majorBidi" w:cstheme="majorBidi"/>
          <w:sz w:val="24"/>
          <w:szCs w:val="24"/>
        </w:rPr>
        <w:t>relationship between the intercept and the slope of the logarithmic graph of suspended load and discharge has been</w:t>
      </w:r>
      <w:r w:rsidRPr="006D5DF5">
        <w:rPr>
          <w:rFonts w:asciiTheme="majorBidi" w:hAnsiTheme="majorBidi" w:cstheme="majorBidi"/>
          <w:sz w:val="24"/>
          <w:szCs w:val="24"/>
        </w:rPr>
        <w:t xml:space="preserve"> seen in other studies </w:t>
      </w:r>
      <w:r w:rsidRPr="006D5DF5">
        <w:rPr>
          <w:rFonts w:asciiTheme="majorBidi" w:hAnsiTheme="majorBidi" w:cstheme="majorBidi"/>
          <w:sz w:val="24"/>
          <w:szCs w:val="24"/>
        </w:rPr>
        <w:fldChar w:fldCharType="begin"/>
      </w:r>
      <w:r w:rsidRPr="006D5DF5">
        <w:rPr>
          <w:rFonts w:asciiTheme="majorBidi" w:hAnsiTheme="majorBidi" w:cstheme="majorBidi"/>
          <w:sz w:val="24"/>
          <w:szCs w:val="24"/>
        </w:rPr>
        <w:instrText xml:space="preserve"> ADDIN ZOTERO_ITEM CSL_CITATION {"citationID":"3sRVvYFF","properties":{"formattedCitation":"(Thomas 1988; Syvitski et al. 2000; Asselman 2000; Hu et al. 2011)","plainCitation":"(Thomas 1988; Syvitski et al. 2000; Asselman 2000; Hu et al. 2011)","dontUpdate":true},"citationItems":[{"id":229,"uris":["http://zotero.org/users/1706519/items/A2H9BACF"],"uri":["http://zotero.org/users/1706519/items/A2H9BACF"],"itemData":{"id":229,"type":"article-journal","title":"Monitoring baseline suspended sediment in forested basins: the effects of sampling on suspended sediment rating curves","container-title":"Hydrological Sciences Journal","page":"499-514","volume":"33","issue":"5","source":"CrossRef","DOI":"10.1080/02626668809491277","ISSN":"0262-6667, 2150-3435","shortTitle":"Monitoring baseline suspended sediment in forested basins","language":"en","author":[{"family":"Thomas","given":"Robert B."}],"issued":{"date-parts":[["1988",10]]},"accessed":{"date-parts":[["2014",4,10]]}}},{"id":478,"uris":["http://zotero.org/users/1706519/items/GEFUKJJ9"],"uri":["http://zotero.org/users/1706519/items/GEFUKJJ9"],"itemData":{"id":478,"type":"article-journal","title":"Estimating fluvial sediment transport: The rating parameters","container-title":"Water Resources Research","page":"2747–2760","volume":"36","issue":"9","source":"Wiley Online Library","abstract":"Correlations between suspended sediment load rating parameters, river basin morphology, and climate provide information about the physical controls on the sediment load in rivers and are used to create predictive equations for the sediment rating parameters. Long-term time-averaged values of discharge, suspended load, flow duration, flow peakedness, and temporally averaged values of precipitation, temperature, and range in temperature were coupled with the drainage area and basin relief to establish statistical relationships with the sediment rating parameters for 59 gauging stations. Rating parameters (a and b) are defined by a power law relating daily discharge values of a river (Q) and its sediment concentration Cs, where Cs = aQb. The rating coefficient a (the mathematical concentration at Q = 1 m3/s) is inversely proportional to the long-term mean discharge and is secondarily related to the average air temperature and the basin's topographic relief. The rating exponent b (the log-log slope of the power law) correlates most strongly with the average air temperature and basin relief and has lesser correlations with the long-term load of the river (which is related to basin relief and drainage area). The rating equation describes the long-term character of the suspended sediment load in a river. Each river undergoes higher-frequency variability (decadal, interannual, and storm event) around this characteristic response, controlled by weather patterns and channel recovery from extreme precipitation events.","DOI":"10.1029/2000WR900133","ISSN":"1944-7973","shortTitle":"Estimating fluvial sediment transport","language":"en","author":[{"family":"Syvitski","given":"James P."},{"family":"Morehead","given":"Mark D."},{"family":"Bahr","given":"David B."},{"family":"Mulder","given":"Thierry"}],"issued":{"date-parts":[["2000"]]},"accessed":{"date-parts":[["2014",2,19]]}}},{"id":135,"uris":["http://zotero.org/users/1706519/items/VK5GWIIQ"],"uri":["http://zotero.org/users/1706519/items/VK5GWIIQ"],"itemData":{"id":135,"type":"article-journal","title":"Fitting and interpretation of sediment rating curves","container-title":"Journal of Hydrology","page":"228-248","volume":"234","issue":"3–4","source":"ScienceDirect","abstract":"A large part of the sediment in lowland rivers is transported as wash load. As wash load is a non-capacity load it often is modelled using empirical relations, such as the rating curve technique. Sediment rating curves in the form of a power function are derived for several locations along the river Rhine and its main tributaries, using different fitting procedures. Inaccuracies in estimated sediment loads are analysed, and spatial differences in the shapes of the fitted rating curves are related to watershed characteristics.\n\nRating curves obtained by least squares regression on logarithmic transformed data underestimate long-term sediment transport rates by 10–50%. Better estimates are obtained when nonlinear least squares regression is applied. The steepness of the fitted rating curves decreases along the main channel of the Rhine in a downstream direction. Contrary to what is generally believed this is not related to changes in the sediment transport regime. A better indication of the sediment transport regime is obtained when the slope/intercept pairs of the fitted rating curves are plotted in a graph. All locations that plot on the same line have a common discharge-concentration value and appear to be characterised by a similar sediment transport regime. At locations of which the slope/intercept pairs plot on higher lines, a larger part of the annual sediment load is transported during high discharge.","DOI":"10.1016/S0022-1694(00)00253-5","ISSN":"0022-1694","journalAbbreviation":"Journal of Hydrology","author":[{"family":"Asselman","given":"N.E.M."}],"issued":{"date-parts":[["2000",7,1]]},"accessed":{"date-parts":[["2013",8,13]]}}},{"id":13,"uris":["http://zotero.org/users/1706519/items/46DM75PA"],"uri":["http://zotero.org/users/1706519/items/46DM75PA"],"itemData":{"id":13,"type":"article-journal","title":"Temporal and spatial variations of sediment rating curves in the Changjiang (Yangtze River) basin and their implications","container-title":"Quaternary International","page":"34-43","volume":"230","issue":"1–2","source":"ScienceDirect","abstract":"The natural hydrologic regime of the Changjiang (Yangtze River) in China has been disturbed considerably by intensified human activities over the past five decades. In this study, sediment rating curves were analyzed based on monthly data of water discharge and suspended-sediment concentration at stations in the upper (Yichang station), middle (Hankou station) and lower (Datong station) reaches of the Changjiang in different periods from 1955 to 2007. Temporal and spatial variations of the sediment rating curves were analyzed with respect to the impact of human activities and watershed characteristics. Results indicate that human disturbances have had a substantial impact on sediment rating parameters, with the magnitude of the impact related to the scale of the river sections. As indicated by the sediment rating parameters, the sediment transport regimes between the upper and the mid-lower reaches differ significantly. In particular, the impoundment of the Three Gorges Dam in 2003 changed the sediment transport regimes in the upper and mid-lower reaches of Changjiang into similar regimes characterized by a decrease in the sediment transport capacity of high water discharge. Furthermore, the sediment rating curve at the Datong station in 1955–1968 was applied to estimate the potential sediment load (1969–2007) in the absence of human influences. The mean annual sediment deficit caused by human activities has increased from 80 Mt/yr (1969–1985) to 250 Mt/yr (2003–2007). This indicates that intensified human activities in the Changjiang basin, especially the construction of the Three Gorges Dam, have altered the natural sediment transport process, and have thus become a dominant force in Changjiang sediment delivery to the sea.","DOI":"10.1016/j.quaint.2009.08.018","ISSN":"1040-6182","shortTitle":"Quaternary Sea Level and Palaeoenvironmental Reconstructions in the Coastal Zone of East and Southeast Asia","journalAbbreviation":"Quaternary International","author":[{"family":"Hu","given":"Bangqi"},{"family":"Wang","given":"Houjie"},{"family":"Yang","given":"Zuosheng"},{"family":"Sun","given":"Xiaoxia"}],"issued":{"date-parts":[["2011",1,15]]},"accessed":{"date-parts":[["2013",8,10]]}}}],"schema":"https://github.com/citation-style-language/schema/raw/master/csl-citation.json"} </w:instrText>
      </w:r>
      <w:r w:rsidRPr="006D5DF5">
        <w:rPr>
          <w:rFonts w:asciiTheme="majorBidi" w:hAnsiTheme="majorBidi" w:cstheme="majorBidi"/>
          <w:sz w:val="24"/>
          <w:szCs w:val="24"/>
        </w:rPr>
        <w:fldChar w:fldCharType="separate"/>
      </w:r>
      <w:r w:rsidRPr="006D5DF5">
        <w:rPr>
          <w:rFonts w:asciiTheme="majorBidi" w:hAnsiTheme="majorBidi" w:cstheme="majorBidi"/>
          <w:sz w:val="24"/>
          <w:szCs w:val="24"/>
        </w:rPr>
        <w:t>(Thomas 1988; Asselman 2000; Hu et al. 2011)</w:t>
      </w:r>
      <w:r w:rsidRPr="006D5DF5">
        <w:rPr>
          <w:rFonts w:asciiTheme="majorBidi" w:hAnsiTheme="majorBidi" w:cstheme="majorBidi"/>
          <w:sz w:val="24"/>
          <w:szCs w:val="24"/>
        </w:rPr>
        <w:fldChar w:fldCharType="end"/>
      </w:r>
      <w:r w:rsidRPr="006D5DF5">
        <w:rPr>
          <w:rFonts w:asciiTheme="majorBidi" w:hAnsiTheme="majorBidi" w:cstheme="majorBidi"/>
          <w:sz w:val="24"/>
          <w:szCs w:val="24"/>
        </w:rPr>
        <w:t xml:space="preserve">. Although the rating parameters in </w:t>
      </w:r>
      <w:r w:rsidRPr="006D5DF5">
        <w:rPr>
          <w:rFonts w:asciiTheme="majorBidi" w:hAnsiTheme="majorBidi" w:cstheme="majorBidi"/>
          <w:sz w:val="24"/>
          <w:szCs w:val="24"/>
        </w:rPr>
        <w:lastRenderedPageBreak/>
        <w:t xml:space="preserve">those studies were derived from suspended sediment concentration, the linearity of the relationship between </w:t>
      </w:r>
      <m:oMath>
        <m:r>
          <w:rPr>
            <w:rFonts w:ascii="Cambria Math" w:hAnsi="Cambria Math" w:cstheme="majorBidi"/>
            <w:sz w:val="24"/>
            <w:szCs w:val="24"/>
          </w:rPr>
          <m:t>ln(a)</m:t>
        </m:r>
      </m:oMath>
      <w:r w:rsidRPr="006D5DF5">
        <w:rPr>
          <w:rFonts w:asciiTheme="majorBidi" w:hAnsiTheme="majorBidi" w:cstheme="majorBidi"/>
          <w:sz w:val="24"/>
          <w:szCs w:val="24"/>
        </w:rPr>
        <w:t xml:space="preserve"> and </w:t>
      </w:r>
      <m:oMath>
        <m:r>
          <w:rPr>
            <w:rFonts w:ascii="Cambria Math" w:hAnsi="Cambria Math" w:cstheme="majorBidi"/>
            <w:sz w:val="24"/>
            <w:szCs w:val="24"/>
          </w:rPr>
          <m:t>b</m:t>
        </m:r>
      </m:oMath>
      <w:r w:rsidRPr="006D5DF5">
        <w:rPr>
          <w:rFonts w:asciiTheme="majorBidi" w:hAnsiTheme="majorBidi" w:cstheme="majorBidi"/>
          <w:sz w:val="24"/>
          <w:szCs w:val="24"/>
        </w:rPr>
        <w:t xml:space="preserve"> in this study is comparable to </w:t>
      </w:r>
      <w:r>
        <w:rPr>
          <w:rFonts w:asciiTheme="majorBidi" w:hAnsiTheme="majorBidi" w:cstheme="majorBidi"/>
          <w:sz w:val="24"/>
          <w:szCs w:val="24"/>
        </w:rPr>
        <w:t xml:space="preserve">the linearity in </w:t>
      </w:r>
      <w:r w:rsidRPr="006D5DF5">
        <w:rPr>
          <w:rFonts w:asciiTheme="majorBidi" w:hAnsiTheme="majorBidi" w:cstheme="majorBidi"/>
          <w:sz w:val="24"/>
          <w:szCs w:val="24"/>
        </w:rPr>
        <w:t>those</w:t>
      </w:r>
      <w:r>
        <w:rPr>
          <w:rFonts w:asciiTheme="majorBidi" w:hAnsiTheme="majorBidi" w:cstheme="majorBidi"/>
          <w:sz w:val="24"/>
          <w:szCs w:val="24"/>
        </w:rPr>
        <w:t xml:space="preserve"> studies</w:t>
      </w:r>
      <w:r w:rsidRPr="006D5DF5">
        <w:rPr>
          <w:rFonts w:asciiTheme="majorBidi" w:hAnsiTheme="majorBidi" w:cstheme="majorBidi"/>
          <w:sz w:val="24"/>
          <w:szCs w:val="24"/>
        </w:rPr>
        <w:t xml:space="preserve">, as the exponent derived from sediment concentration equals </w:t>
      </w:r>
      <m:oMath>
        <m:r>
          <w:rPr>
            <w:rFonts w:ascii="Cambria Math" w:hAnsi="Cambria Math" w:cstheme="majorBidi"/>
            <w:sz w:val="24"/>
            <w:szCs w:val="24"/>
          </w:rPr>
          <m:t>b</m:t>
        </m:r>
      </m:oMath>
      <w:r w:rsidRPr="006D5DF5">
        <w:rPr>
          <w:rFonts w:asciiTheme="majorBidi" w:hAnsiTheme="majorBidi" w:cstheme="majorBidi"/>
          <w:sz w:val="24"/>
          <w:szCs w:val="24"/>
        </w:rPr>
        <w:t xml:space="preserve"> – 1</w:t>
      </w:r>
      <w:r>
        <w:rPr>
          <w:rFonts w:asciiTheme="majorBidi" w:hAnsiTheme="majorBidi" w:cstheme="majorBidi"/>
          <w:sz w:val="24"/>
          <w:szCs w:val="24"/>
        </w:rPr>
        <w:t xml:space="preserve">, </w:t>
      </w:r>
      <w:r w:rsidRPr="006D5DF5">
        <w:rPr>
          <w:rFonts w:asciiTheme="majorBidi" w:hAnsiTheme="majorBidi" w:cstheme="majorBidi"/>
          <w:sz w:val="24"/>
          <w:szCs w:val="24"/>
        </w:rPr>
        <w:t xml:space="preserve">where </w:t>
      </w:r>
      <m:oMath>
        <m:r>
          <w:rPr>
            <w:rFonts w:ascii="Cambria Math" w:hAnsi="Cambria Math" w:cstheme="majorBidi"/>
            <w:sz w:val="24"/>
            <w:szCs w:val="24"/>
          </w:rPr>
          <m:t>b</m:t>
        </m:r>
      </m:oMath>
      <w:r w:rsidRPr="006D5DF5">
        <w:rPr>
          <w:rFonts w:asciiTheme="majorBidi" w:hAnsiTheme="majorBidi" w:cstheme="majorBidi"/>
          <w:sz w:val="24"/>
          <w:szCs w:val="24"/>
        </w:rPr>
        <w:t xml:space="preserve"> is the rating exponent</w:t>
      </w:r>
      <w:r>
        <w:rPr>
          <w:rFonts w:asciiTheme="majorBidi" w:hAnsiTheme="majorBidi" w:cstheme="majorBidi"/>
          <w:sz w:val="24"/>
          <w:szCs w:val="24"/>
        </w:rPr>
        <w:t xml:space="preserve"> developed from the sediment load used</w:t>
      </w:r>
      <w:r w:rsidRPr="006D5DF5">
        <w:rPr>
          <w:rFonts w:asciiTheme="majorBidi" w:hAnsiTheme="majorBidi" w:cstheme="majorBidi"/>
          <w:sz w:val="24"/>
          <w:szCs w:val="24"/>
        </w:rPr>
        <w:t xml:space="preserve"> in this study. </w:t>
      </w:r>
      <w:r>
        <w:rPr>
          <w:rFonts w:asciiTheme="majorBidi" w:hAnsiTheme="majorBidi" w:cstheme="majorBidi"/>
          <w:sz w:val="24"/>
          <w:szCs w:val="24"/>
        </w:rPr>
        <w:t xml:space="preserve">Thomas (1988) explained that the strong correlation between </w:t>
      </w:r>
      <m:oMath>
        <m:r>
          <w:rPr>
            <w:rFonts w:ascii="Cambria Math" w:hAnsi="Cambria Math" w:cstheme="majorBidi"/>
            <w:sz w:val="24"/>
            <w:szCs w:val="24"/>
          </w:rPr>
          <m:t>ln(a)</m:t>
        </m:r>
      </m:oMath>
      <w:r>
        <w:rPr>
          <w:rFonts w:asciiTheme="majorBidi" w:hAnsiTheme="majorBidi" w:cstheme="majorBidi"/>
          <w:sz w:val="24"/>
          <w:szCs w:val="24"/>
        </w:rPr>
        <w:t xml:space="preserve"> and </w:t>
      </w:r>
      <m:oMath>
        <m:r>
          <w:rPr>
            <w:rFonts w:ascii="Cambria Math" w:hAnsi="Cambria Math" w:cstheme="majorBidi"/>
            <w:sz w:val="24"/>
            <w:szCs w:val="24"/>
          </w:rPr>
          <m:t>b</m:t>
        </m:r>
      </m:oMath>
      <w:r>
        <w:rPr>
          <w:rFonts w:asciiTheme="majorBidi" w:hAnsiTheme="majorBidi" w:cstheme="majorBidi"/>
          <w:sz w:val="24"/>
          <w:szCs w:val="24"/>
        </w:rPr>
        <w:t xml:space="preserve"> is because the rating curves tend to go through a “common point” that is the mean sediment concentration or load, and </w:t>
      </w:r>
      <m:oMath>
        <m:r>
          <w:rPr>
            <w:rFonts w:ascii="Cambria Math" w:hAnsi="Cambria Math" w:cstheme="majorBidi"/>
            <w:sz w:val="24"/>
            <w:szCs w:val="24"/>
          </w:rPr>
          <m:t>b</m:t>
        </m:r>
      </m:oMath>
      <w:r>
        <w:rPr>
          <w:rFonts w:asciiTheme="majorBidi" w:hAnsiTheme="majorBidi" w:cstheme="majorBidi"/>
          <w:sz w:val="24"/>
          <w:szCs w:val="24"/>
        </w:rPr>
        <w:t xml:space="preserve"> was then expressed as a linear function of </w:t>
      </w:r>
      <m:oMath>
        <m:r>
          <w:rPr>
            <w:rFonts w:ascii="Cambria Math" w:hAnsi="Cambria Math" w:cstheme="majorBidi"/>
            <w:sz w:val="24"/>
            <w:szCs w:val="24"/>
          </w:rPr>
          <m:t>ln(a)</m:t>
        </m:r>
      </m:oMath>
      <w:r>
        <w:rPr>
          <w:rFonts w:asciiTheme="majorBidi" w:hAnsiTheme="majorBidi" w:cstheme="majorBidi"/>
          <w:sz w:val="24"/>
          <w:szCs w:val="24"/>
        </w:rPr>
        <w:t xml:space="preserve"> with parameters that depend on the coordinate of the common point. </w:t>
      </w:r>
      <w:r w:rsidRPr="006D5DF5">
        <w:rPr>
          <w:rFonts w:asciiTheme="majorBidi" w:hAnsiTheme="majorBidi" w:cstheme="majorBidi"/>
          <w:sz w:val="24"/>
          <w:szCs w:val="24"/>
        </w:rPr>
        <w:t xml:space="preserve">The sediment rating curves in other studies were developed at a </w:t>
      </w:r>
      <w:r>
        <w:rPr>
          <w:rFonts w:asciiTheme="majorBidi" w:hAnsiTheme="majorBidi" w:cstheme="majorBidi"/>
          <w:sz w:val="24"/>
          <w:szCs w:val="24"/>
        </w:rPr>
        <w:t xml:space="preserve">single </w:t>
      </w:r>
      <w:r w:rsidRPr="006D5DF5">
        <w:rPr>
          <w:rFonts w:asciiTheme="majorBidi" w:hAnsiTheme="majorBidi" w:cstheme="majorBidi"/>
          <w:sz w:val="24"/>
          <w:szCs w:val="24"/>
        </w:rPr>
        <w:t xml:space="preserve">station or at multiple stations along a relatively short river. Hence, </w:t>
      </w:r>
      <w:r>
        <w:rPr>
          <w:rFonts w:asciiTheme="majorBidi" w:hAnsiTheme="majorBidi" w:cstheme="majorBidi"/>
          <w:sz w:val="24"/>
          <w:szCs w:val="24"/>
        </w:rPr>
        <w:t xml:space="preserve">slope </w:t>
      </w:r>
      <m:oMath>
        <m:r>
          <w:rPr>
            <w:rFonts w:ascii="Cambria Math" w:hAnsi="Cambria Math" w:cstheme="majorBidi"/>
            <w:sz w:val="24"/>
            <w:szCs w:val="24"/>
          </w:rPr>
          <m:t>b</m:t>
        </m:r>
      </m:oMath>
      <w:r>
        <w:rPr>
          <w:rFonts w:asciiTheme="majorBidi" w:hAnsiTheme="majorBidi" w:cstheme="majorBidi"/>
          <w:sz w:val="24"/>
          <w:szCs w:val="24"/>
        </w:rPr>
        <w:t xml:space="preserve"> and intercept </w:t>
      </w:r>
      <m:oMath>
        <m:r>
          <w:rPr>
            <w:rFonts w:ascii="Cambria Math" w:hAnsi="Cambria Math" w:cstheme="majorBidi"/>
            <w:sz w:val="24"/>
            <w:szCs w:val="24"/>
          </w:rPr>
          <m:t>ln(a)</m:t>
        </m:r>
      </m:oMath>
      <w:r>
        <w:rPr>
          <w:rFonts w:asciiTheme="majorBidi" w:hAnsiTheme="majorBidi" w:cstheme="majorBidi"/>
          <w:sz w:val="24"/>
          <w:szCs w:val="24"/>
        </w:rPr>
        <w:t xml:space="preserve"> </w:t>
      </w:r>
      <w:r w:rsidRPr="006D5DF5">
        <w:rPr>
          <w:rFonts w:asciiTheme="majorBidi" w:hAnsiTheme="majorBidi" w:cstheme="majorBidi"/>
          <w:sz w:val="24"/>
          <w:szCs w:val="24"/>
        </w:rPr>
        <w:t>in those studies</w:t>
      </w:r>
      <w:r w:rsidR="00733B84">
        <w:rPr>
          <w:rFonts w:asciiTheme="majorBidi" w:hAnsiTheme="majorBidi" w:cstheme="majorBidi"/>
          <w:sz w:val="24"/>
          <w:szCs w:val="24"/>
        </w:rPr>
        <w:t xml:space="preserve"> were</w:t>
      </w:r>
      <w:r>
        <w:rPr>
          <w:rFonts w:asciiTheme="majorBidi" w:hAnsiTheme="majorBidi" w:cstheme="majorBidi"/>
          <w:sz w:val="24"/>
          <w:szCs w:val="24"/>
        </w:rPr>
        <w:t xml:space="preserve"> more likely to have a negative relationship</w:t>
      </w:r>
      <w:r w:rsidRPr="006D5DF5">
        <w:rPr>
          <w:rFonts w:asciiTheme="majorBidi" w:hAnsiTheme="majorBidi" w:cstheme="majorBidi"/>
          <w:sz w:val="24"/>
          <w:szCs w:val="24"/>
        </w:rPr>
        <w:t>,</w:t>
      </w:r>
      <w:r>
        <w:rPr>
          <w:rFonts w:asciiTheme="majorBidi" w:hAnsiTheme="majorBidi" w:cstheme="majorBidi"/>
          <w:sz w:val="24"/>
          <w:szCs w:val="24"/>
        </w:rPr>
        <w:t xml:space="preserve"> as</w:t>
      </w:r>
      <w:r w:rsidRPr="006D5DF5">
        <w:rPr>
          <w:rFonts w:asciiTheme="majorBidi" w:hAnsiTheme="majorBidi" w:cstheme="majorBidi"/>
          <w:sz w:val="24"/>
          <w:szCs w:val="24"/>
        </w:rPr>
        <w:t xml:space="preserve"> datasets ha</w:t>
      </w:r>
      <w:r>
        <w:rPr>
          <w:rFonts w:asciiTheme="majorBidi" w:hAnsiTheme="majorBidi" w:cstheme="majorBidi"/>
          <w:sz w:val="24"/>
          <w:szCs w:val="24"/>
        </w:rPr>
        <w:t>d</w:t>
      </w:r>
      <w:r w:rsidRPr="006D5DF5">
        <w:rPr>
          <w:rFonts w:asciiTheme="majorBidi" w:hAnsiTheme="majorBidi" w:cstheme="majorBidi"/>
          <w:sz w:val="24"/>
          <w:szCs w:val="24"/>
        </w:rPr>
        <w:t xml:space="preserve"> similar mean values of log-transformed discharge and sediment loa</w:t>
      </w:r>
      <w:r>
        <w:rPr>
          <w:rFonts w:asciiTheme="majorBidi" w:hAnsiTheme="majorBidi" w:cstheme="majorBidi"/>
          <w:sz w:val="24"/>
          <w:szCs w:val="24"/>
        </w:rPr>
        <w:t>d</w:t>
      </w:r>
      <w:r w:rsidRPr="006D5DF5">
        <w:rPr>
          <w:rFonts w:asciiTheme="majorBidi" w:hAnsiTheme="majorBidi" w:cstheme="majorBidi"/>
          <w:sz w:val="24"/>
          <w:szCs w:val="24"/>
        </w:rPr>
        <w:t xml:space="preserve">. In this study, the rating curves were derived for different stations </w:t>
      </w:r>
      <w:r>
        <w:rPr>
          <w:rFonts w:asciiTheme="majorBidi" w:hAnsiTheme="majorBidi" w:cstheme="majorBidi"/>
          <w:sz w:val="24"/>
          <w:szCs w:val="24"/>
        </w:rPr>
        <w:t>o</w:t>
      </w:r>
      <w:r w:rsidRPr="006D5DF5">
        <w:rPr>
          <w:rFonts w:asciiTheme="majorBidi" w:hAnsiTheme="majorBidi" w:cstheme="majorBidi"/>
          <w:sz w:val="24"/>
          <w:szCs w:val="24"/>
        </w:rPr>
        <w:t xml:space="preserve">n different rivers in the UMRB, yet </w:t>
      </w:r>
      <m:oMath>
        <m:r>
          <w:rPr>
            <w:rFonts w:ascii="Cambria Math" w:hAnsi="Cambria Math" w:cstheme="majorBidi"/>
            <w:sz w:val="24"/>
            <w:szCs w:val="24"/>
          </w:rPr>
          <m:t>ln(a)</m:t>
        </m:r>
      </m:oMath>
      <w:r w:rsidRPr="006D5DF5">
        <w:rPr>
          <w:rFonts w:asciiTheme="majorBidi" w:hAnsiTheme="majorBidi" w:cstheme="majorBidi"/>
          <w:sz w:val="24"/>
          <w:szCs w:val="24"/>
        </w:rPr>
        <w:t xml:space="preserve"> and </w:t>
      </w:r>
      <m:oMath>
        <m:r>
          <w:rPr>
            <w:rFonts w:ascii="Cambria Math" w:hAnsi="Cambria Math" w:cstheme="majorBidi"/>
            <w:sz w:val="24"/>
            <w:szCs w:val="24"/>
          </w:rPr>
          <m:t>b</m:t>
        </m:r>
      </m:oMath>
      <w:r w:rsidRPr="006D5DF5">
        <w:rPr>
          <w:rFonts w:asciiTheme="majorBidi" w:hAnsiTheme="majorBidi" w:cstheme="majorBidi"/>
          <w:sz w:val="24"/>
          <w:szCs w:val="24"/>
        </w:rPr>
        <w:t xml:space="preserve"> still had a negative correlation (Table 5-4). </w:t>
      </w:r>
      <w:r w:rsidRPr="006D5DF5">
        <w:rPr>
          <w:rFonts w:asciiTheme="majorBidi" w:hAnsiTheme="majorBidi" w:cstheme="majorBidi"/>
          <w:sz w:val="24"/>
          <w:szCs w:val="24"/>
        </w:rPr>
        <w:fldChar w:fldCharType="begin"/>
      </w:r>
      <w:r w:rsidRPr="006D5DF5">
        <w:rPr>
          <w:rFonts w:asciiTheme="majorBidi" w:hAnsiTheme="majorBidi" w:cstheme="majorBidi"/>
          <w:sz w:val="24"/>
          <w:szCs w:val="24"/>
        </w:rPr>
        <w:instrText xml:space="preserve"> ADDIN ZOTERO_ITEM CSL_CITATION {"citationID":"QG6TALiJ","properties":{"formattedCitation":"(Syvitski et al. 2000)","plainCitation":"(Syvitski et al. 2000)","dontUpdate":true},"citationItems":[{"id":478,"uris":["http://zotero.org/users/1706519/items/GEFUKJJ9"],"uri":["http://zotero.org/users/1706519/items/GEFUKJJ9"],"itemData":{"id":478,"type":"article-journal","title":"Estimating fluvial sediment transport: The rating parameters","container-title":"Water Resources Research","page":"2747–2760","volume":"36","issue":"9","source":"Wiley Online Library","abstract":"Correlations between suspended sediment load rating parameters, river basin morphology, and climate provide information about the physical controls on the sediment load in rivers and are used to create predictive equations for the sediment rating parameters. Long-term time-averaged values of discharge, suspended load, flow duration, flow peakedness, and temporally averaged values of precipitation, temperature, and range in temperature were coupled with the drainage area and basin relief to establish statistical relationships with the sediment rating parameters for 59 gauging stations. Rating parameters (a and b) are defined by a power law relating daily discharge values of a river (Q) and its sediment concentration Cs, where Cs = aQb. The rating coefficient a (the mathematical concentration at Q = 1 m3/s) is inversely proportional to the long-term mean discharge and is secondarily related to the average air temperature and the basin's topographic relief. The rating exponent b (the log-log slope of the power law) correlates most strongly with the average air temperature and basin relief and has lesser correlations with the long-term load of the river (which is related to basin relief and drainage area). The rating equation describes the long-term character of the suspended sediment load in a river. Each river undergoes higher-frequency variability (decadal, interannual, and storm event) around this characteristic response, controlled by weather patterns and channel recovery from extreme precipitation events.","DOI":"10.1029/2000WR900133","ISSN":"1944-7973","shortTitle":"Estimating fluvial sediment transport","language":"en","author":[{"family":"Syvitski","given":"James P."},{"family":"Morehead","given":"Mark D."},{"family":"Bahr","given":"David B."},{"family":"Mulder","given":"Thierry"}],"issued":{"date-parts":[["2000"]]},"accessed":{"date-parts":[["2014",2,19]]}}}],"schema":"https://github.com/citation-style-language/schema/raw/master/csl-citation.json"} </w:instrText>
      </w:r>
      <w:r w:rsidRPr="006D5DF5">
        <w:rPr>
          <w:rFonts w:asciiTheme="majorBidi" w:hAnsiTheme="majorBidi" w:cstheme="majorBidi"/>
          <w:sz w:val="24"/>
          <w:szCs w:val="24"/>
        </w:rPr>
        <w:fldChar w:fldCharType="separate"/>
      </w:r>
      <w:r w:rsidRPr="006D5DF5">
        <w:rPr>
          <w:rFonts w:asciiTheme="majorBidi" w:hAnsiTheme="majorBidi" w:cstheme="majorBidi"/>
          <w:sz w:val="24"/>
          <w:szCs w:val="24"/>
        </w:rPr>
        <w:t>Syvitski et al. (2000)</w:t>
      </w:r>
      <w:r w:rsidRPr="006D5DF5">
        <w:rPr>
          <w:rFonts w:asciiTheme="majorBidi" w:hAnsiTheme="majorBidi" w:cstheme="majorBidi"/>
          <w:sz w:val="24"/>
          <w:szCs w:val="24"/>
        </w:rPr>
        <w:fldChar w:fldCharType="end"/>
      </w:r>
      <w:r w:rsidRPr="006D5DF5">
        <w:rPr>
          <w:rFonts w:asciiTheme="majorBidi" w:hAnsiTheme="majorBidi" w:cstheme="majorBidi"/>
          <w:sz w:val="24"/>
          <w:szCs w:val="24"/>
        </w:rPr>
        <w:t xml:space="preserve"> found a stronger negative relationship between </w:t>
      </w:r>
      <m:oMath>
        <m:r>
          <w:rPr>
            <w:rFonts w:ascii="Cambria Math" w:hAnsi="Cambria Math" w:cstheme="majorBidi"/>
            <w:sz w:val="24"/>
            <w:szCs w:val="24"/>
          </w:rPr>
          <m:t>ln(a)</m:t>
        </m:r>
      </m:oMath>
      <w:r w:rsidRPr="006D5DF5">
        <w:rPr>
          <w:rFonts w:asciiTheme="majorBidi" w:hAnsiTheme="majorBidi" w:cstheme="majorBidi"/>
          <w:sz w:val="24"/>
          <w:szCs w:val="24"/>
        </w:rPr>
        <w:t xml:space="preserve"> and </w:t>
      </w:r>
      <m:oMath>
        <m:r>
          <w:rPr>
            <w:rFonts w:ascii="Cambria Math" w:hAnsi="Cambria Math" w:cstheme="majorBidi"/>
            <w:sz w:val="24"/>
            <w:szCs w:val="24"/>
          </w:rPr>
          <m:t>b</m:t>
        </m:r>
      </m:oMath>
      <w:r w:rsidRPr="006D5DF5">
        <w:rPr>
          <w:rFonts w:asciiTheme="majorBidi" w:hAnsiTheme="majorBidi" w:cstheme="majorBidi"/>
          <w:sz w:val="24"/>
          <w:szCs w:val="24"/>
        </w:rPr>
        <w:t xml:space="preserve"> (R</w:t>
      </w:r>
      <w:r w:rsidRPr="006D5DF5">
        <w:rPr>
          <w:rFonts w:asciiTheme="majorBidi" w:hAnsiTheme="majorBidi" w:cstheme="majorBidi"/>
          <w:sz w:val="24"/>
          <w:szCs w:val="24"/>
          <w:vertAlign w:val="superscript"/>
        </w:rPr>
        <w:t>2</w:t>
      </w:r>
      <w:r w:rsidRPr="006D5DF5">
        <w:rPr>
          <w:rFonts w:asciiTheme="majorBidi" w:hAnsiTheme="majorBidi" w:cstheme="majorBidi"/>
          <w:sz w:val="24"/>
          <w:szCs w:val="24"/>
        </w:rPr>
        <w:t xml:space="preserve"> = 0.73) among different rivers in North America. They explained that this correlation was because of “physical control</w:t>
      </w:r>
      <w:r>
        <w:rPr>
          <w:rFonts w:asciiTheme="majorBidi" w:hAnsiTheme="majorBidi" w:cstheme="majorBidi"/>
          <w:sz w:val="24"/>
          <w:szCs w:val="24"/>
        </w:rPr>
        <w:t>s</w:t>
      </w:r>
      <w:r w:rsidRPr="006D5DF5">
        <w:rPr>
          <w:rFonts w:asciiTheme="majorBidi" w:hAnsiTheme="majorBidi" w:cstheme="majorBidi"/>
          <w:sz w:val="24"/>
          <w:szCs w:val="24"/>
        </w:rPr>
        <w:t xml:space="preserve"> on North American rivers which create a natural balance between the two rating parameters” (p. 2753). Although the study by </w:t>
      </w:r>
      <w:proofErr w:type="spellStart"/>
      <w:r w:rsidRPr="006D5DF5">
        <w:rPr>
          <w:rFonts w:asciiTheme="majorBidi" w:hAnsiTheme="majorBidi" w:cstheme="majorBidi"/>
          <w:sz w:val="24"/>
          <w:szCs w:val="24"/>
        </w:rPr>
        <w:t>Syvitski</w:t>
      </w:r>
      <w:proofErr w:type="spellEnd"/>
      <w:r w:rsidRPr="006D5DF5">
        <w:rPr>
          <w:rFonts w:asciiTheme="majorBidi" w:hAnsiTheme="majorBidi" w:cstheme="majorBidi"/>
          <w:sz w:val="24"/>
          <w:szCs w:val="24"/>
        </w:rPr>
        <w:t xml:space="preserve"> et al. was at the global scale</w:t>
      </w:r>
      <w:r>
        <w:rPr>
          <w:rFonts w:asciiTheme="majorBidi" w:hAnsiTheme="majorBidi" w:cstheme="majorBidi"/>
          <w:sz w:val="24"/>
          <w:szCs w:val="24"/>
        </w:rPr>
        <w:t xml:space="preserve"> (samples of rivers in North America, Europe, and China)</w:t>
      </w:r>
      <w:r w:rsidRPr="006D5DF5">
        <w:rPr>
          <w:rFonts w:asciiTheme="majorBidi" w:hAnsiTheme="majorBidi" w:cstheme="majorBidi"/>
          <w:sz w:val="24"/>
          <w:szCs w:val="24"/>
        </w:rPr>
        <w:t xml:space="preserve">, the relationship between </w:t>
      </w:r>
      <m:oMath>
        <m:r>
          <w:rPr>
            <w:rFonts w:ascii="Cambria Math" w:hAnsi="Cambria Math" w:cstheme="majorBidi"/>
            <w:sz w:val="24"/>
            <w:szCs w:val="24"/>
          </w:rPr>
          <m:t>ln(a)</m:t>
        </m:r>
      </m:oMath>
      <w:r w:rsidRPr="006D5DF5">
        <w:rPr>
          <w:rFonts w:asciiTheme="majorBidi" w:hAnsiTheme="majorBidi" w:cstheme="majorBidi"/>
          <w:sz w:val="24"/>
          <w:szCs w:val="24"/>
        </w:rPr>
        <w:t xml:space="preserve"> and </w:t>
      </w:r>
      <m:oMath>
        <m:r>
          <w:rPr>
            <w:rFonts w:ascii="Cambria Math" w:hAnsi="Cambria Math" w:cstheme="majorBidi"/>
            <w:sz w:val="24"/>
            <w:szCs w:val="24"/>
          </w:rPr>
          <m:t>b</m:t>
        </m:r>
      </m:oMath>
      <w:r w:rsidRPr="006D5DF5">
        <w:rPr>
          <w:rFonts w:asciiTheme="majorBidi" w:hAnsiTheme="majorBidi" w:cstheme="majorBidi"/>
          <w:sz w:val="24"/>
          <w:szCs w:val="24"/>
        </w:rPr>
        <w:t xml:space="preserve"> in their study was </w:t>
      </w:r>
      <w:r>
        <w:rPr>
          <w:rFonts w:asciiTheme="majorBidi" w:hAnsiTheme="majorBidi" w:cstheme="majorBidi"/>
          <w:sz w:val="24"/>
          <w:szCs w:val="24"/>
        </w:rPr>
        <w:t xml:space="preserve">slightly </w:t>
      </w:r>
      <w:r w:rsidRPr="006D5DF5">
        <w:rPr>
          <w:rFonts w:asciiTheme="majorBidi" w:hAnsiTheme="majorBidi" w:cstheme="majorBidi"/>
          <w:sz w:val="24"/>
          <w:szCs w:val="24"/>
        </w:rPr>
        <w:t xml:space="preserve">stronger than those in this </w:t>
      </w:r>
      <w:r>
        <w:rPr>
          <w:rFonts w:asciiTheme="majorBidi" w:hAnsiTheme="majorBidi" w:cstheme="majorBidi"/>
          <w:sz w:val="24"/>
          <w:szCs w:val="24"/>
        </w:rPr>
        <w:t>thesis</w:t>
      </w:r>
      <w:r w:rsidRPr="006D5DF5">
        <w:rPr>
          <w:rFonts w:asciiTheme="majorBidi" w:hAnsiTheme="majorBidi" w:cstheme="majorBidi"/>
          <w:sz w:val="24"/>
          <w:szCs w:val="24"/>
        </w:rPr>
        <w:t xml:space="preserve"> (R</w:t>
      </w:r>
      <w:r w:rsidRPr="006D5DF5">
        <w:rPr>
          <w:rFonts w:asciiTheme="majorBidi" w:hAnsiTheme="majorBidi" w:cstheme="majorBidi"/>
          <w:sz w:val="24"/>
          <w:szCs w:val="24"/>
          <w:vertAlign w:val="superscript"/>
        </w:rPr>
        <w:t>2</w:t>
      </w:r>
      <w:r w:rsidRPr="006D5DF5">
        <w:rPr>
          <w:rFonts w:asciiTheme="majorBidi" w:hAnsiTheme="majorBidi" w:cstheme="majorBidi"/>
          <w:sz w:val="24"/>
          <w:szCs w:val="24"/>
        </w:rPr>
        <w:t xml:space="preserve"> = 0.67). </w:t>
      </w:r>
    </w:p>
    <w:p w:rsidR="0080646D" w:rsidRPr="00854E06" w:rsidRDefault="0080646D" w:rsidP="0080646D">
      <w:pPr>
        <w:pStyle w:val="ListParagraph"/>
        <w:spacing w:line="480" w:lineRule="auto"/>
        <w:ind w:left="0" w:firstLine="720"/>
        <w:jc w:val="both"/>
        <w:rPr>
          <w:rFonts w:asciiTheme="majorBidi" w:hAnsiTheme="majorBidi" w:cstheme="majorBidi"/>
          <w:color w:val="31849B" w:themeColor="accent5" w:themeShade="BF"/>
          <w:sz w:val="24"/>
          <w:szCs w:val="24"/>
        </w:rPr>
      </w:pPr>
      <w:r w:rsidRPr="00854E06">
        <w:rPr>
          <w:rFonts w:asciiTheme="majorBidi" w:hAnsiTheme="majorBidi" w:cstheme="majorBidi"/>
          <w:sz w:val="24"/>
          <w:szCs w:val="24"/>
        </w:rPr>
        <w:t xml:space="preserve">In this study, the relationship of </w:t>
      </w:r>
      <m:oMath>
        <m:r>
          <w:rPr>
            <w:rFonts w:ascii="Cambria Math" w:hAnsi="Cambria Math" w:cstheme="majorBidi"/>
            <w:sz w:val="24"/>
            <w:szCs w:val="24"/>
          </w:rPr>
          <m:t>ln(a)</m:t>
        </m:r>
      </m:oMath>
      <w:r w:rsidRPr="00854E06">
        <w:rPr>
          <w:rFonts w:asciiTheme="majorBidi" w:hAnsiTheme="majorBidi" w:cstheme="majorBidi"/>
          <w:sz w:val="24"/>
          <w:szCs w:val="24"/>
        </w:rPr>
        <w:t xml:space="preserve"> and the exponent </w:t>
      </w:r>
      <m:oMath>
        <m:r>
          <w:rPr>
            <w:rFonts w:ascii="Cambria Math" w:hAnsi="Cambria Math" w:cstheme="majorBidi"/>
            <w:sz w:val="24"/>
            <w:szCs w:val="24"/>
          </w:rPr>
          <m:t>b</m:t>
        </m:r>
      </m:oMath>
      <w:r w:rsidRPr="00854E06">
        <w:rPr>
          <w:rFonts w:asciiTheme="majorBidi" w:hAnsiTheme="majorBidi" w:cstheme="majorBidi"/>
          <w:sz w:val="24"/>
          <w:szCs w:val="24"/>
        </w:rPr>
        <w:t xml:space="preserve"> was stronger at locations in rivers of high discharge (Figure 5-9, Table 5-3) at both annual and monthly levels. Meanwhile, th</w:t>
      </w:r>
      <w:r>
        <w:rPr>
          <w:rFonts w:asciiTheme="majorBidi" w:hAnsiTheme="majorBidi" w:cstheme="majorBidi"/>
          <w:sz w:val="24"/>
          <w:szCs w:val="24"/>
        </w:rPr>
        <w:t xml:space="preserve">e </w:t>
      </w:r>
      <w:r w:rsidRPr="00854E06">
        <w:rPr>
          <w:rFonts w:asciiTheme="majorBidi" w:hAnsiTheme="majorBidi" w:cstheme="majorBidi"/>
          <w:sz w:val="24"/>
          <w:szCs w:val="24"/>
        </w:rPr>
        <w:t xml:space="preserve">relationship was much weaker, or even not significant, for small streams. </w:t>
      </w:r>
      <w:r>
        <w:rPr>
          <w:rFonts w:asciiTheme="majorBidi" w:hAnsiTheme="majorBidi" w:cstheme="majorBidi"/>
          <w:sz w:val="24"/>
          <w:szCs w:val="24"/>
        </w:rPr>
        <w:t>This difference may occur because</w:t>
      </w:r>
      <w:r w:rsidRPr="00854E06">
        <w:rPr>
          <w:rFonts w:asciiTheme="majorBidi" w:hAnsiTheme="majorBidi" w:cstheme="majorBidi"/>
          <w:sz w:val="24"/>
          <w:szCs w:val="24"/>
        </w:rPr>
        <w:t xml:space="preserve"> </w:t>
      </w:r>
      <w:r>
        <w:rPr>
          <w:rFonts w:asciiTheme="majorBidi" w:hAnsiTheme="majorBidi" w:cstheme="majorBidi"/>
          <w:sz w:val="24"/>
          <w:szCs w:val="24"/>
        </w:rPr>
        <w:t xml:space="preserve">stations on </w:t>
      </w:r>
      <w:r w:rsidRPr="00854E06">
        <w:rPr>
          <w:rFonts w:asciiTheme="majorBidi" w:hAnsiTheme="majorBidi" w:cstheme="majorBidi"/>
          <w:sz w:val="24"/>
          <w:szCs w:val="24"/>
        </w:rPr>
        <w:t>the large streams in the region, which connect to the main stem of the Mississippi River, are located close to each other</w:t>
      </w:r>
      <w:r>
        <w:rPr>
          <w:rFonts w:asciiTheme="majorBidi" w:hAnsiTheme="majorBidi" w:cstheme="majorBidi"/>
          <w:sz w:val="24"/>
          <w:szCs w:val="24"/>
        </w:rPr>
        <w:t>, whereas gauging stations on</w:t>
      </w:r>
      <w:r w:rsidRPr="00854E06">
        <w:rPr>
          <w:rFonts w:asciiTheme="majorBidi" w:hAnsiTheme="majorBidi" w:cstheme="majorBidi"/>
          <w:sz w:val="24"/>
          <w:szCs w:val="24"/>
        </w:rPr>
        <w:t xml:space="preserve"> the small </w:t>
      </w:r>
      <w:r w:rsidRPr="00854E06">
        <w:rPr>
          <w:rFonts w:asciiTheme="majorBidi" w:hAnsiTheme="majorBidi" w:cstheme="majorBidi"/>
          <w:sz w:val="24"/>
          <w:szCs w:val="24"/>
        </w:rPr>
        <w:lastRenderedPageBreak/>
        <w:t xml:space="preserve">streams are scattered in different parts of the basin. The distribution of stations in the basin could be a reason for the difference in the relationship between </w:t>
      </w:r>
      <m:oMath>
        <m:r>
          <w:rPr>
            <w:rFonts w:ascii="Cambria Math" w:hAnsi="Cambria Math" w:cstheme="majorBidi"/>
            <w:sz w:val="24"/>
            <w:szCs w:val="24"/>
          </w:rPr>
          <m:t>ln(a)</m:t>
        </m:r>
      </m:oMath>
      <w:r w:rsidRPr="00854E06">
        <w:rPr>
          <w:rFonts w:asciiTheme="majorBidi" w:hAnsiTheme="majorBidi" w:cstheme="majorBidi"/>
          <w:sz w:val="24"/>
          <w:szCs w:val="24"/>
        </w:rPr>
        <w:t xml:space="preserve"> and </w:t>
      </w:r>
      <m:oMath>
        <m:r>
          <w:rPr>
            <w:rFonts w:ascii="Cambria Math" w:hAnsi="Cambria Math" w:cstheme="majorBidi"/>
            <w:sz w:val="24"/>
            <w:szCs w:val="24"/>
          </w:rPr>
          <m:t>b</m:t>
        </m:r>
      </m:oMath>
      <w:r w:rsidRPr="00854E06">
        <w:rPr>
          <w:rFonts w:asciiTheme="majorBidi" w:hAnsiTheme="majorBidi" w:cstheme="majorBidi"/>
          <w:sz w:val="24"/>
          <w:szCs w:val="24"/>
        </w:rPr>
        <w:t xml:space="preserve"> in large streams versus small streams. </w:t>
      </w:r>
    </w:p>
    <w:p w:rsidR="006473B4" w:rsidRPr="00624DF1" w:rsidRDefault="006473B4" w:rsidP="00523FFD">
      <w:pPr>
        <w:pStyle w:val="Heading2"/>
        <w:numPr>
          <w:ilvl w:val="0"/>
          <w:numId w:val="38"/>
        </w:numPr>
        <w:ind w:left="360"/>
      </w:pPr>
      <w:bookmarkStart w:id="147" w:name="_Toc390715107"/>
      <w:bookmarkStart w:id="148" w:name="_Toc394525578"/>
      <w:r w:rsidRPr="00624DF1">
        <w:t>The association between rating parameters and stream discharge</w:t>
      </w:r>
      <w:bookmarkEnd w:id="147"/>
      <w:bookmarkEnd w:id="148"/>
    </w:p>
    <w:p w:rsidR="00EF1ABD" w:rsidRPr="00854E06" w:rsidRDefault="00EF1ABD" w:rsidP="00EF1ABD">
      <w:pPr>
        <w:spacing w:line="480" w:lineRule="auto"/>
        <w:ind w:firstLine="720"/>
        <w:jc w:val="both"/>
        <w:rPr>
          <w:rFonts w:cstheme="majorBidi"/>
        </w:rPr>
      </w:pPr>
      <w:bookmarkStart w:id="149" w:name="_Toc390715108"/>
      <w:r w:rsidRPr="00854E06">
        <w:rPr>
          <w:rFonts w:cstheme="majorBidi"/>
        </w:rPr>
        <w:t xml:space="preserve">The negative Spearman correlation between the rating coefficient </w:t>
      </w:r>
      <m:oMath>
        <m:r>
          <w:rPr>
            <w:rFonts w:ascii="Cambria Math" w:hAnsi="Cambria Math" w:cstheme="majorBidi"/>
          </w:rPr>
          <m:t>a</m:t>
        </m:r>
      </m:oMath>
      <w:r w:rsidRPr="00854E06">
        <w:rPr>
          <w:rFonts w:cstheme="majorBidi"/>
        </w:rPr>
        <w:t xml:space="preserve"> and mean discharge was</w:t>
      </w:r>
      <w:r>
        <w:rPr>
          <w:rFonts w:cstheme="majorBidi"/>
        </w:rPr>
        <w:t xml:space="preserve"> statistically significant </w:t>
      </w:r>
      <w:r w:rsidRPr="00854E06">
        <w:rPr>
          <w:rFonts w:cstheme="majorBidi"/>
        </w:rPr>
        <w:t xml:space="preserve">at both annual and monthly levels (at annual level: </w:t>
      </w:r>
      <w:proofErr w:type="spellStart"/>
      <w:r w:rsidRPr="00854E06">
        <w:rPr>
          <w:rFonts w:cstheme="majorBidi"/>
        </w:rPr>
        <w:t>r</w:t>
      </w:r>
      <w:r w:rsidRPr="00854E06">
        <w:rPr>
          <w:rFonts w:cstheme="majorBidi"/>
          <w:vertAlign w:val="subscript"/>
        </w:rPr>
        <w:t>s</w:t>
      </w:r>
      <w:proofErr w:type="spellEnd"/>
      <w:r w:rsidRPr="00854E06">
        <w:rPr>
          <w:rFonts w:cstheme="majorBidi"/>
        </w:rPr>
        <w:t xml:space="preserve"> = -0.601, at monthly level: </w:t>
      </w:r>
      <w:proofErr w:type="spellStart"/>
      <w:r w:rsidRPr="00854E06">
        <w:rPr>
          <w:rFonts w:cstheme="majorBidi"/>
        </w:rPr>
        <w:t>r</w:t>
      </w:r>
      <w:r w:rsidRPr="00854E06">
        <w:rPr>
          <w:rFonts w:cstheme="majorBidi"/>
          <w:vertAlign w:val="subscript"/>
        </w:rPr>
        <w:t>s</w:t>
      </w:r>
      <w:proofErr w:type="spellEnd"/>
      <w:r w:rsidRPr="00854E06">
        <w:rPr>
          <w:rFonts w:cstheme="majorBidi"/>
        </w:rPr>
        <w:t xml:space="preserve"> = -0.462 to -0.747). The relationship indicates that rivers with larger discharge</w:t>
      </w:r>
      <w:r>
        <w:rPr>
          <w:rFonts w:cstheme="majorBidi"/>
        </w:rPr>
        <w:t>s</w:t>
      </w:r>
      <w:r w:rsidRPr="00854E06">
        <w:rPr>
          <w:rFonts w:cstheme="majorBidi"/>
        </w:rPr>
        <w:t xml:space="preserve"> have smaller suspended sediment concentrations</w:t>
      </w:r>
      <w:r>
        <w:rPr>
          <w:rFonts w:cstheme="majorBidi"/>
        </w:rPr>
        <w:t xml:space="preserve"> at unit flow</w:t>
      </w:r>
      <w:r w:rsidRPr="00854E06">
        <w:rPr>
          <w:rFonts w:cstheme="majorBidi"/>
        </w:rPr>
        <w:t xml:space="preserve">. This result agrees with </w:t>
      </w:r>
      <w:r>
        <w:rPr>
          <w:rFonts w:cstheme="majorBidi"/>
        </w:rPr>
        <w:t>those</w:t>
      </w:r>
      <w:r w:rsidRPr="00854E06">
        <w:rPr>
          <w:rFonts w:cstheme="majorBidi"/>
        </w:rPr>
        <w:t xml:space="preserve"> in </w:t>
      </w:r>
      <w:r>
        <w:rPr>
          <w:rFonts w:cstheme="majorBidi"/>
        </w:rPr>
        <w:t xml:space="preserve">the study by </w:t>
      </w:r>
      <w:proofErr w:type="spellStart"/>
      <w:r w:rsidRPr="00854E06">
        <w:rPr>
          <w:rFonts w:cstheme="majorBidi"/>
        </w:rPr>
        <w:t>Syvitski</w:t>
      </w:r>
      <w:proofErr w:type="spellEnd"/>
      <w:r w:rsidRPr="00854E06">
        <w:rPr>
          <w:rFonts w:cstheme="majorBidi"/>
        </w:rPr>
        <w:t xml:space="preserve"> et al</w:t>
      </w:r>
      <w:r>
        <w:rPr>
          <w:rFonts w:cstheme="majorBidi"/>
        </w:rPr>
        <w:t>.</w:t>
      </w:r>
      <w:r w:rsidRPr="00854E06">
        <w:rPr>
          <w:rFonts w:cstheme="majorBidi"/>
        </w:rPr>
        <w:t xml:space="preserve"> (2000)</w:t>
      </w:r>
      <w:r>
        <w:rPr>
          <w:rFonts w:cstheme="majorBidi"/>
        </w:rPr>
        <w:t>, who</w:t>
      </w:r>
      <w:r w:rsidRPr="00854E06">
        <w:rPr>
          <w:rFonts w:cstheme="majorBidi"/>
        </w:rPr>
        <w:t xml:space="preserve"> also found a negative correlation between mean annual discharge and the coefficient </w:t>
      </w:r>
      <m:oMath>
        <m:r>
          <w:rPr>
            <w:rFonts w:ascii="Cambria Math" w:hAnsi="Cambria Math" w:cstheme="majorBidi"/>
          </w:rPr>
          <m:t>a</m:t>
        </m:r>
      </m:oMath>
      <w:r w:rsidRPr="00854E06">
        <w:rPr>
          <w:rFonts w:cstheme="majorBidi"/>
        </w:rPr>
        <w:t xml:space="preserve"> (R</w:t>
      </w:r>
      <w:r w:rsidRPr="00854E06">
        <w:rPr>
          <w:rFonts w:cstheme="majorBidi"/>
          <w:vertAlign w:val="superscript"/>
        </w:rPr>
        <w:t>2</w:t>
      </w:r>
      <w:r w:rsidRPr="00854E06">
        <w:rPr>
          <w:rFonts w:cstheme="majorBidi"/>
        </w:rPr>
        <w:t xml:space="preserve"> = 0.65). The negative correlation between the rating coefficient </w:t>
      </w:r>
      <m:oMath>
        <m:r>
          <w:rPr>
            <w:rFonts w:ascii="Cambria Math" w:hAnsi="Cambria Math" w:cstheme="majorBidi"/>
          </w:rPr>
          <m:t>a</m:t>
        </m:r>
      </m:oMath>
      <w:r w:rsidRPr="00854E06">
        <w:rPr>
          <w:rFonts w:cstheme="majorBidi"/>
        </w:rPr>
        <w:t xml:space="preserve"> and discharge could be explained by the ratio of sediment yield to discharge</w:t>
      </w:r>
      <w:r>
        <w:rPr>
          <w:rFonts w:cstheme="majorBidi"/>
        </w:rPr>
        <w:t xml:space="preserve"> and suggests that in large rivers, the rating curve tends to have a small intercept and steeper slope (as </w:t>
      </w:r>
      <m:oMath>
        <m:r>
          <w:rPr>
            <w:rFonts w:ascii="Cambria Math" w:hAnsi="Cambria Math" w:cstheme="majorBidi"/>
          </w:rPr>
          <m:t>ln(a)</m:t>
        </m:r>
      </m:oMath>
      <w:r>
        <w:rPr>
          <w:rFonts w:cstheme="majorBidi"/>
        </w:rPr>
        <w:t xml:space="preserve"> and </w:t>
      </w:r>
      <m:oMath>
        <m:r>
          <w:rPr>
            <w:rFonts w:ascii="Cambria Math" w:hAnsi="Cambria Math" w:cstheme="majorBidi"/>
          </w:rPr>
          <m:t>b</m:t>
        </m:r>
      </m:oMath>
      <w:r>
        <w:rPr>
          <w:rFonts w:cstheme="majorBidi"/>
        </w:rPr>
        <w:t xml:space="preserve"> are negatively correlated). In other words, given the same increase in discharge, a larger river will have a higher increasing rate of sediment load compared to a smaller river</w:t>
      </w:r>
      <w:r w:rsidR="00943A92">
        <w:rPr>
          <w:rFonts w:cstheme="majorBidi"/>
        </w:rPr>
        <w:t xml:space="preserve">, as an increment </w:t>
      </w:r>
      <w:r>
        <w:rPr>
          <w:rFonts w:cstheme="majorBidi"/>
        </w:rPr>
        <w:t>of high discharge might be likely to exceed a threshold that makes the stream competent to carry sediment at larger grain size</w:t>
      </w:r>
      <w:r w:rsidR="005527F8">
        <w:rPr>
          <w:rFonts w:cstheme="majorBidi"/>
        </w:rPr>
        <w:t>s</w:t>
      </w:r>
      <w:r>
        <w:rPr>
          <w:rFonts w:cstheme="majorBidi"/>
        </w:rPr>
        <w:t>. This interpretation could be more applicable to those river</w:t>
      </w:r>
      <w:r w:rsidR="00D86B0F">
        <w:rPr>
          <w:rFonts w:cstheme="majorBidi"/>
        </w:rPr>
        <w:t>s</w:t>
      </w:r>
      <w:r>
        <w:rPr>
          <w:rFonts w:cstheme="majorBidi"/>
        </w:rPr>
        <w:t xml:space="preserve"> with mean annual discharge &gt; 218m</w:t>
      </w:r>
      <w:r w:rsidR="00733B84" w:rsidRPr="00733B84">
        <w:rPr>
          <w:rFonts w:cstheme="majorBidi"/>
          <w:vertAlign w:val="superscript"/>
        </w:rPr>
        <w:t>3</w:t>
      </w:r>
      <w:r>
        <w:rPr>
          <w:rFonts w:cstheme="majorBidi"/>
        </w:rPr>
        <w:t xml:space="preserve">/s, as the correlation of </w:t>
      </w:r>
      <m:oMath>
        <m:r>
          <w:rPr>
            <w:rFonts w:ascii="Cambria Math" w:hAnsi="Cambria Math" w:cstheme="majorBidi"/>
          </w:rPr>
          <m:t>ln(a)</m:t>
        </m:r>
      </m:oMath>
      <w:r>
        <w:rPr>
          <w:rFonts w:cstheme="majorBidi"/>
        </w:rPr>
        <w:t xml:space="preserve"> and </w:t>
      </w:r>
      <m:oMath>
        <m:r>
          <w:rPr>
            <w:rFonts w:ascii="Cambria Math" w:hAnsi="Cambria Math" w:cstheme="majorBidi"/>
          </w:rPr>
          <m:t>b</m:t>
        </m:r>
      </m:oMath>
      <w:r>
        <w:rPr>
          <w:rFonts w:cstheme="majorBidi"/>
        </w:rPr>
        <w:t xml:space="preserve"> is stronger for those streams.  </w:t>
      </w:r>
    </w:p>
    <w:p w:rsidR="00EF1ABD" w:rsidRPr="00854E06" w:rsidRDefault="00EF1ABD" w:rsidP="00EF1ABD">
      <w:pPr>
        <w:spacing w:line="480" w:lineRule="auto"/>
        <w:ind w:firstLine="720"/>
        <w:jc w:val="both"/>
        <w:rPr>
          <w:rFonts w:cstheme="majorBidi"/>
        </w:rPr>
      </w:pPr>
      <w:r w:rsidRPr="00854E06">
        <w:rPr>
          <w:rFonts w:cstheme="majorBidi"/>
        </w:rPr>
        <w:t xml:space="preserve">The rating exponent </w:t>
      </w:r>
      <m:oMath>
        <m:r>
          <w:rPr>
            <w:rFonts w:ascii="Cambria Math" w:hAnsi="Cambria Math" w:cstheme="majorBidi"/>
          </w:rPr>
          <m:t>b</m:t>
        </m:r>
      </m:oMath>
      <w:r w:rsidRPr="00854E06">
        <w:rPr>
          <w:rFonts w:cstheme="majorBidi"/>
        </w:rPr>
        <w:t>, on the other hand, had a weak positive relationship with mean annual discharge</w:t>
      </w:r>
      <w:r>
        <w:rPr>
          <w:rFonts w:cstheme="majorBidi"/>
        </w:rPr>
        <w:t xml:space="preserve"> </w:t>
      </w:r>
      <w:r w:rsidRPr="00854E06">
        <w:rPr>
          <w:rFonts w:cstheme="majorBidi"/>
        </w:rPr>
        <w:t>(</w:t>
      </w:r>
      <w:proofErr w:type="spellStart"/>
      <w:r w:rsidRPr="00854E06">
        <w:rPr>
          <w:rFonts w:cstheme="majorBidi"/>
        </w:rPr>
        <w:t>r</w:t>
      </w:r>
      <w:r w:rsidRPr="00854E06">
        <w:rPr>
          <w:rFonts w:cstheme="majorBidi"/>
          <w:vertAlign w:val="subscript"/>
        </w:rPr>
        <w:t>s</w:t>
      </w:r>
      <w:proofErr w:type="spellEnd"/>
      <w:r w:rsidRPr="00854E06">
        <w:rPr>
          <w:rFonts w:cstheme="majorBidi"/>
        </w:rPr>
        <w:t xml:space="preserve"> = 0.251)</w:t>
      </w:r>
      <w:r>
        <w:rPr>
          <w:rFonts w:cstheme="majorBidi"/>
        </w:rPr>
        <w:t xml:space="preserve">, </w:t>
      </w:r>
      <w:r w:rsidRPr="00854E06">
        <w:rPr>
          <w:rFonts w:cstheme="majorBidi"/>
        </w:rPr>
        <w:t>indicat</w:t>
      </w:r>
      <w:r>
        <w:rPr>
          <w:rFonts w:cstheme="majorBidi"/>
        </w:rPr>
        <w:t>ing</w:t>
      </w:r>
      <w:r w:rsidRPr="00854E06">
        <w:rPr>
          <w:rFonts w:cstheme="majorBidi"/>
        </w:rPr>
        <w:t xml:space="preserve"> that</w:t>
      </w:r>
      <w:r>
        <w:rPr>
          <w:rFonts w:cstheme="majorBidi"/>
        </w:rPr>
        <w:t>,</w:t>
      </w:r>
      <w:r w:rsidRPr="00854E06">
        <w:rPr>
          <w:rFonts w:cstheme="majorBidi"/>
        </w:rPr>
        <w:t xml:space="preserve"> at the annual level, suspended sediment loads in large streams likely increase at faster rates than those in small streams. However, this relationship was not significant </w:t>
      </w:r>
      <w:r>
        <w:rPr>
          <w:rFonts w:cstheme="majorBidi"/>
        </w:rPr>
        <w:t>at</w:t>
      </w:r>
      <w:r w:rsidRPr="00854E06">
        <w:rPr>
          <w:rFonts w:cstheme="majorBidi"/>
        </w:rPr>
        <w:t xml:space="preserve"> the monthly</w:t>
      </w:r>
      <w:r>
        <w:rPr>
          <w:rFonts w:cstheme="majorBidi"/>
        </w:rPr>
        <w:t xml:space="preserve"> level of analysis. Such results could be attributed to the nature of the </w:t>
      </w:r>
      <w:proofErr w:type="gramStart"/>
      <w:r>
        <w:rPr>
          <w:rFonts w:cstheme="majorBidi"/>
        </w:rPr>
        <w:t xml:space="preserve">exponent  </w:t>
      </w:r>
      <w:proofErr w:type="gramEnd"/>
      <m:oMath>
        <m:r>
          <w:rPr>
            <w:rFonts w:ascii="Cambria Math" w:hAnsi="Cambria Math" w:cstheme="majorBidi"/>
          </w:rPr>
          <m:t>b</m:t>
        </m:r>
      </m:oMath>
      <w:r>
        <w:rPr>
          <w:rFonts w:cstheme="majorBidi"/>
        </w:rPr>
        <w:t xml:space="preserve">, which represents the dynamic of the sediment transport by river </w:t>
      </w:r>
      <w:r>
        <w:rPr>
          <w:rFonts w:cstheme="majorBidi"/>
        </w:rPr>
        <w:lastRenderedPageBreak/>
        <w:t xml:space="preserve">flow. In fact, the amount of sediment transported is not only affected by the competence of stream discharge and grain size of sediment </w:t>
      </w:r>
      <w:r>
        <w:rPr>
          <w:rFonts w:cstheme="majorBidi"/>
        </w:rPr>
        <w:fldChar w:fldCharType="begin"/>
      </w:r>
      <w:r>
        <w:rPr>
          <w:rFonts w:cstheme="majorBidi"/>
        </w:rPr>
        <w:instrText xml:space="preserve"> ADDIN ZOTERO_ITEM CSL_CITATION {"citationID":"uYuxnH3A","properties":{"formattedCitation":"(Hickin 1995)","plainCitation":"(Hickin 1995)"},"citationItems":[{"id":604,"uris":["http://zotero.org/users/1706519/items/3NG9XHQP"],"uri":["http://zotero.org/users/1706519/items/3NG9XHQP"],"itemData":{"id":604,"type":"book","title":"River geomorphology","publisher":"Wiley","number-of-pages":"280","source":"Google Books","abstract":"Contains a selection of 12 river studies that are extremely current and includes recently completed and ongoing original research. Fluvial sediment production and transport, overbank sedimentation, channel scour and hydraulic geometry, human impacts on river systems and the dynamics of large-scale river geomorphology recorded by satellite imagery are among the issues covered. Although the collection is thematic, it also reflects the rich diversity of perspectives and interests of international river scientists.","ISBN":"9780471955313","language":"en","author":[{"family":"Hickin","given":"Edward J."}],"issued":{"date-parts":[["1995",6,20]]}}}],"schema":"https://github.com/citation-style-language/schema/raw/master/csl-citation.json"} </w:instrText>
      </w:r>
      <w:r>
        <w:rPr>
          <w:rFonts w:cstheme="majorBidi"/>
        </w:rPr>
        <w:fldChar w:fldCharType="separate"/>
      </w:r>
      <w:r w:rsidRPr="00B552B3">
        <w:rPr>
          <w:rFonts w:ascii="Times New Roman" w:hAnsi="Times New Roman" w:cs="Times New Roman"/>
        </w:rPr>
        <w:t>(Hickin 1995)</w:t>
      </w:r>
      <w:r>
        <w:rPr>
          <w:rFonts w:cstheme="majorBidi"/>
        </w:rPr>
        <w:fldChar w:fldCharType="end"/>
      </w:r>
      <w:r>
        <w:rPr>
          <w:rFonts w:cstheme="majorBidi"/>
        </w:rPr>
        <w:t xml:space="preserve">, but also by basin relief and surface temperature </w:t>
      </w:r>
      <w:r>
        <w:rPr>
          <w:rFonts w:cstheme="majorBidi"/>
        </w:rPr>
        <w:fldChar w:fldCharType="begin"/>
      </w:r>
      <w:r>
        <w:rPr>
          <w:rFonts w:cstheme="majorBidi"/>
        </w:rPr>
        <w:instrText xml:space="preserve"> ADDIN ZOTERO_ITEM CSL_CITATION {"citationID":"q5MWxn42","properties":{"formattedCitation":"(Syvitski et al. 2000)","plainCitation":"(Syvitski et al. 2000)"},"citationItems":[{"id":478,"uris":["http://zotero.org/users/1706519/items/GEFUKJJ9"],"uri":["http://zotero.org/users/1706519/items/GEFUKJJ9"],"itemData":{"id":478,"type":"article-journal","title":"Estimating fluvial sediment transport: The rating parameters","container-title":"Water Resources Research","page":"2747–2760","volume":"36","issue":"9","source":"Wiley Online Library","abstract":"Correlations between suspended sediment load rating parameters, river basin morphology, and climate provide information about the physical controls on the sediment load in rivers and are used to create predictive equations for the sediment rating parameters. Long-term time-averaged values of discharge, suspended load, flow duration, flow peakedness, and temporally averaged values of precipitation, temperature, and range in temperature were coupled with the drainage area and basin relief to establish statistical relationships with the sediment rating parameters for 59 gauging stations. Rating parameters (a and b) are defined by a power law relating daily discharge values of a river (Q) and its sediment concentration Cs, where Cs = aQb. The rating coefficient a (the mathematical concentration at Q = 1 m3/s) is inversely proportional to the long-term mean discharge and is secondarily related to the average air temperature and the basin's topographic relief. The rating exponent b (the log-log slope of the power law) correlates most strongly with the average air temperature and basin relief and has lesser correlations with the long-term load of the river (which is related to basin relief and drainage area). The rating equation describes the long-term character of the suspended sediment load in a river. Each river undergoes higher-frequency variability (decadal, interannual, and storm event) around this characteristic response, controlled by weather patterns and channel recovery from extreme precipitation events.","DOI":"10.1029/2000WR900133","ISSN":"1944-7973","shortTitle":"Estimating fluvial sediment transport","language":"en","author":[{"family":"Syvitski","given":"James P."},{"family":"Morehead","given":"Mark D."},{"family":"Bahr","given":"David B."},{"family":"Mulder","given":"Thierry"}],"issued":{"date-parts":[["2000"]]},"accessed":{"date-parts":[["2014",2,19]]}}}],"schema":"https://github.com/citation-style-language/schema/raw/master/csl-citation.json"} </w:instrText>
      </w:r>
      <w:r>
        <w:rPr>
          <w:rFonts w:cstheme="majorBidi"/>
        </w:rPr>
        <w:fldChar w:fldCharType="separate"/>
      </w:r>
      <w:r w:rsidRPr="00B552B3">
        <w:rPr>
          <w:rFonts w:ascii="Times New Roman" w:hAnsi="Times New Roman" w:cs="Times New Roman"/>
        </w:rPr>
        <w:t>(Syvitski et al. 2000)</w:t>
      </w:r>
      <w:r>
        <w:rPr>
          <w:rFonts w:cstheme="majorBidi"/>
        </w:rPr>
        <w:fldChar w:fldCharType="end"/>
      </w:r>
      <w:r>
        <w:rPr>
          <w:rFonts w:cstheme="majorBidi"/>
        </w:rPr>
        <w:t xml:space="preserve">. Hence, it is understandable if </w:t>
      </w:r>
      <m:oMath>
        <m:r>
          <w:rPr>
            <w:rFonts w:ascii="Cambria Math" w:hAnsi="Cambria Math" w:cstheme="majorBidi"/>
          </w:rPr>
          <m:t>b</m:t>
        </m:r>
      </m:oMath>
      <w:r>
        <w:rPr>
          <w:rFonts w:cstheme="majorBidi"/>
        </w:rPr>
        <w:t xml:space="preserve"> does not have a strong or any correlation with stream discharge.</w:t>
      </w:r>
    </w:p>
    <w:p w:rsidR="006473B4" w:rsidRPr="00854E06" w:rsidRDefault="006473B4" w:rsidP="00523FFD">
      <w:pPr>
        <w:pStyle w:val="Heading2"/>
        <w:numPr>
          <w:ilvl w:val="0"/>
          <w:numId w:val="38"/>
        </w:numPr>
        <w:ind w:left="360"/>
      </w:pPr>
      <w:bookmarkStart w:id="150" w:name="_Toc394525579"/>
      <w:r w:rsidRPr="00854E06">
        <w:t>Seasonal patterns of the monthly rating parameters</w:t>
      </w:r>
      <w:bookmarkEnd w:id="149"/>
      <w:bookmarkEnd w:id="150"/>
      <w:r w:rsidRPr="00854E06">
        <w:t xml:space="preserve"> </w:t>
      </w:r>
    </w:p>
    <w:p w:rsidR="00943A92" w:rsidRPr="00854E06" w:rsidRDefault="00943A92" w:rsidP="00943A92">
      <w:pPr>
        <w:spacing w:line="480" w:lineRule="auto"/>
        <w:ind w:firstLine="810"/>
        <w:jc w:val="both"/>
        <w:rPr>
          <w:rFonts w:cstheme="majorBidi"/>
        </w:rPr>
      </w:pPr>
      <w:r>
        <w:rPr>
          <w:rFonts w:cstheme="majorBidi"/>
        </w:rPr>
        <w:t xml:space="preserve">Results from the two-sample Z test show that </w:t>
      </w:r>
      <w:r w:rsidRPr="00854E06">
        <w:rPr>
          <w:rFonts w:cstheme="majorBidi"/>
        </w:rPr>
        <w:t xml:space="preserve">the coefficient </w:t>
      </w:r>
      <m:oMath>
        <m:r>
          <w:rPr>
            <w:rFonts w:ascii="Cambria Math" w:hAnsi="Cambria Math" w:cstheme="majorBidi"/>
          </w:rPr>
          <m:t>a</m:t>
        </m:r>
      </m:oMath>
      <w:r w:rsidRPr="00854E06">
        <w:rPr>
          <w:rFonts w:cstheme="majorBidi"/>
        </w:rPr>
        <w:t xml:space="preserve"> was significantly larger in summer than in winter. In particular, the mean of coefficient </w:t>
      </w:r>
      <m:oMath>
        <m:r>
          <w:rPr>
            <w:rFonts w:ascii="Cambria Math" w:hAnsi="Cambria Math" w:cstheme="majorBidi"/>
          </w:rPr>
          <m:t>a</m:t>
        </m:r>
      </m:oMath>
      <w:r w:rsidRPr="00854E06">
        <w:rPr>
          <w:rFonts w:cstheme="majorBidi"/>
        </w:rPr>
        <w:t xml:space="preserve"> in summer is 674% larger tha</w:t>
      </w:r>
      <w:r>
        <w:rPr>
          <w:rFonts w:cstheme="majorBidi"/>
        </w:rPr>
        <w:t>n the mean for</w:t>
      </w:r>
      <w:r w:rsidRPr="00854E06">
        <w:rPr>
          <w:rFonts w:cstheme="majorBidi"/>
        </w:rPr>
        <w:t xml:space="preserve"> winter months. </w:t>
      </w:r>
      <w:r>
        <w:rPr>
          <w:rFonts w:cstheme="majorBidi"/>
        </w:rPr>
        <w:t>P</w:t>
      </w:r>
      <w:r w:rsidRPr="00854E06">
        <w:rPr>
          <w:rFonts w:cstheme="majorBidi"/>
        </w:rPr>
        <w:t>ossible explanation</w:t>
      </w:r>
      <w:r>
        <w:rPr>
          <w:rFonts w:cstheme="majorBidi"/>
        </w:rPr>
        <w:t>s</w:t>
      </w:r>
      <w:r w:rsidRPr="00854E06">
        <w:rPr>
          <w:rFonts w:cstheme="majorBidi"/>
        </w:rPr>
        <w:t xml:space="preserve"> </w:t>
      </w:r>
      <w:r>
        <w:rPr>
          <w:rFonts w:cstheme="majorBidi"/>
        </w:rPr>
        <w:t>are</w:t>
      </w:r>
      <w:r w:rsidRPr="00854E06">
        <w:rPr>
          <w:rFonts w:cstheme="majorBidi"/>
        </w:rPr>
        <w:t xml:space="preserve"> that agricultural activities, which occur mostly in summer, yield more sediment into the streams in summer than in other seasons of the year</w:t>
      </w:r>
      <w:r>
        <w:rPr>
          <w:rFonts w:cstheme="majorBidi"/>
        </w:rPr>
        <w:t>; or</w:t>
      </w:r>
      <w:r w:rsidRPr="00854E06">
        <w:rPr>
          <w:rFonts w:cstheme="majorBidi"/>
        </w:rPr>
        <w:t xml:space="preserve"> </w:t>
      </w:r>
      <w:r>
        <w:rPr>
          <w:rFonts w:cstheme="majorBidi"/>
        </w:rPr>
        <w:t xml:space="preserve">that, </w:t>
      </w:r>
      <w:r w:rsidRPr="00854E06">
        <w:rPr>
          <w:rFonts w:cstheme="majorBidi"/>
        </w:rPr>
        <w:t>because most of the surface land is frozen in winter, little sediment enters the stream</w:t>
      </w:r>
      <w:r>
        <w:rPr>
          <w:rFonts w:cstheme="majorBidi"/>
        </w:rPr>
        <w:t>s</w:t>
      </w:r>
      <w:r w:rsidRPr="00854E06">
        <w:rPr>
          <w:rFonts w:cstheme="majorBidi"/>
        </w:rPr>
        <w:t xml:space="preserve"> during the winter.  </w:t>
      </w:r>
    </w:p>
    <w:p w:rsidR="00943A92" w:rsidRPr="00854E06" w:rsidRDefault="00943A92" w:rsidP="00943A92">
      <w:pPr>
        <w:spacing w:line="480" w:lineRule="auto"/>
        <w:ind w:firstLine="810"/>
        <w:jc w:val="both"/>
        <w:rPr>
          <w:rFonts w:cstheme="majorBidi"/>
        </w:rPr>
      </w:pPr>
      <w:r w:rsidRPr="00854E06">
        <w:rPr>
          <w:rFonts w:cstheme="majorBidi"/>
        </w:rPr>
        <w:t xml:space="preserve">The exponent </w:t>
      </w:r>
      <m:oMath>
        <m:r>
          <w:rPr>
            <w:rFonts w:ascii="Cambria Math" w:hAnsi="Cambria Math" w:cstheme="majorBidi"/>
          </w:rPr>
          <m:t>b</m:t>
        </m:r>
      </m:oMath>
      <w:r w:rsidRPr="00854E06">
        <w:rPr>
          <w:rFonts w:cstheme="majorBidi"/>
        </w:rPr>
        <w:t xml:space="preserve"> is significantly higher in spring than in winter. This coincides with the snowmelt that happens during late spring, which releases</w:t>
      </w:r>
      <w:r>
        <w:rPr>
          <w:rFonts w:cstheme="majorBidi"/>
        </w:rPr>
        <w:t xml:space="preserve"> </w:t>
      </w:r>
      <w:r w:rsidRPr="00854E06">
        <w:rPr>
          <w:rFonts w:cstheme="majorBidi"/>
        </w:rPr>
        <w:t xml:space="preserve">sediment into the rivers at a high rate </w:t>
      </w:r>
      <w:r w:rsidRPr="00854E06">
        <w:rPr>
          <w:rFonts w:cstheme="majorBidi"/>
        </w:rPr>
        <w:fldChar w:fldCharType="begin"/>
      </w:r>
      <w:r w:rsidRPr="00854E06">
        <w:rPr>
          <w:rFonts w:cstheme="majorBidi"/>
        </w:rPr>
        <w:instrText xml:space="preserve"> ADDIN ZOTERO_ITEM CSL_CITATION {"citationID":"UB1Of9vX","properties":{"formattedCitation":"(Julien and Vensel 2005)","plainCitation":"(Julien and Vensel 2005)"},"citationItems":[{"id":47,"uris":["http://zotero.org/users/1706519/items/AWEMXXW7"],"uri":["http://zotero.org/users/1706519/items/AWEMXXW7"],"itemData":{"id":47,"type":"report","title":"Review of Sedimentation Issues on the Mississippi River","publisher":"Dept. of Civil and Environmental Engineering","genre":"Report Presented to the UNESCO: ISI","author":[{"family":"Julien","given":"Pierre Y."},{"family":"Vensel","given":"Chad W."}],"issued":{"date-parts":[["2005",11]]}}}],"schema":"https://github.com/citation-style-language/schema/raw/master/csl-citation.json"} </w:instrText>
      </w:r>
      <w:r w:rsidRPr="00854E06">
        <w:rPr>
          <w:rFonts w:cstheme="majorBidi"/>
        </w:rPr>
        <w:fldChar w:fldCharType="separate"/>
      </w:r>
      <w:r w:rsidRPr="00854E06">
        <w:rPr>
          <w:rFonts w:ascii="Times New Roman" w:hAnsi="Times New Roman" w:cs="Times New Roman"/>
        </w:rPr>
        <w:t>(Julien and Vensel 2005)</w:t>
      </w:r>
      <w:r w:rsidRPr="00854E06">
        <w:rPr>
          <w:rFonts w:cstheme="majorBidi"/>
        </w:rPr>
        <w:fldChar w:fldCharType="end"/>
      </w:r>
      <w:r w:rsidR="005527F8">
        <w:rPr>
          <w:rFonts w:cstheme="majorBidi"/>
        </w:rPr>
        <w:t>.</w:t>
      </w:r>
      <w:r w:rsidRPr="00854E06">
        <w:rPr>
          <w:rFonts w:cstheme="majorBidi"/>
        </w:rPr>
        <w:t xml:space="preserve"> Moreover, spring is the time </w:t>
      </w:r>
      <w:r>
        <w:rPr>
          <w:rFonts w:cstheme="majorBidi"/>
        </w:rPr>
        <w:t>when</w:t>
      </w:r>
      <w:r w:rsidRPr="00854E06">
        <w:rPr>
          <w:rFonts w:cstheme="majorBidi"/>
        </w:rPr>
        <w:t xml:space="preserve"> annual peak </w:t>
      </w:r>
      <w:r>
        <w:rPr>
          <w:rFonts w:cstheme="majorBidi"/>
        </w:rPr>
        <w:t>flow occurs in the region. T</w:t>
      </w:r>
      <w:r w:rsidRPr="00854E06">
        <w:rPr>
          <w:rFonts w:cstheme="majorBidi"/>
        </w:rPr>
        <w:t xml:space="preserve">he higher values of the exponent </w:t>
      </w:r>
      <m:oMath>
        <m:r>
          <w:rPr>
            <w:rFonts w:ascii="Cambria Math" w:hAnsi="Cambria Math" w:cstheme="majorBidi"/>
          </w:rPr>
          <m:t>b</m:t>
        </m:r>
      </m:oMath>
      <w:r w:rsidRPr="00854E06">
        <w:rPr>
          <w:rFonts w:cstheme="majorBidi"/>
        </w:rPr>
        <w:t xml:space="preserve"> may be due to the higher erosive potential of the stream and/or the more readily transported sediment from runoff on thawing soil during </w:t>
      </w:r>
      <w:r>
        <w:rPr>
          <w:rFonts w:cstheme="majorBidi"/>
        </w:rPr>
        <w:t xml:space="preserve">the </w:t>
      </w:r>
      <w:r w:rsidRPr="00854E06">
        <w:rPr>
          <w:rFonts w:cstheme="majorBidi"/>
        </w:rPr>
        <w:t xml:space="preserve">snowmelt time. </w:t>
      </w:r>
      <w:r>
        <w:rPr>
          <w:rFonts w:cstheme="majorBidi"/>
        </w:rPr>
        <w:t xml:space="preserve">Therefore, in spring, the changing rate of suspended load with the increase of discharge is higher than in winter. </w:t>
      </w:r>
      <w:r w:rsidRPr="00854E06">
        <w:rPr>
          <w:rFonts w:cstheme="majorBidi"/>
        </w:rPr>
        <w:t xml:space="preserve">Similarly, </w:t>
      </w:r>
      <w:r w:rsidRPr="00854E06">
        <w:rPr>
          <w:rFonts w:cstheme="majorBidi"/>
        </w:rPr>
        <w:fldChar w:fldCharType="begin"/>
      </w:r>
      <w:r w:rsidRPr="00854E06">
        <w:rPr>
          <w:rFonts w:cstheme="majorBidi"/>
        </w:rPr>
        <w:instrText xml:space="preserve"> ADDIN ZOTERO_ITEM CSL_CITATION {"citationID":"Da2fRbEG","properties":{"formattedCitation":"(Sichingabula 1998)","plainCitation":"(Sichingabula 1998)"},"citationItems":[{"id":119,"uris":["http://zotero.org/users/1706519/items/T7BE928X"],"uri":["http://zotero.org/users/1706519/items/T7BE928X"],"itemData":{"id":119,"type":"article-journal","title":"Factors controlling variations in suspended sediment concentration for single-valued sediment rating curves, Fraser River, British Columbia, Canada","container-title":"Hydrological Processes","page":"1869–1894","volume":"12","issue":"12","source":"Wiley Online Library","abstract":"Functional (regression) and cause-and-effect analytical methods were employed in the investigation of factors controlling single-value sediment–discharge relationships for individual hydrological events in the Fraser River Basin. Of 1025 hydrological events identified in the 97 years of the 9-stations discharge record monitored by the Water Survey of Canada (1960–1988), 49 were associated with linear, non-linear (concave and convex) sediment rating curves. Analysis revealed that time of events offered a partial explanation for the occurrence of single-valued curves because events occurring in isolation or in quick succession did not always produce single-valued curves owing to variations in hydrograph characteristics and temporal and spatial peak attenuation factors. Hydrologically, linear and non-linear sediment rating curves were distinguished by the influence of preceding discharge or antecedent moisture, which tends to generate quick or delayed runoff, thereby causing rapid or slow increases in sediment concentration in concert with discharge changes. Hydraulically, linear curves were shown to be controlled by rates of stream bed scour (rising stage) similar to those for channel filling (falling stage); concave curves by rates of scouring (rising stage) similar to those of filling but different from those of rescouring (falling stage); and convex curves by rates of filling and scouring (rising stage) different from those of filling and rescouring (falling stages), all in relation to the timing of the exceedance of the threshold discharge for stream bed scour. Meteorologically, bed scour and fill approximately coincided with the timing of precipitation, if any, on the rising and/or falling stages under subzero (T≤0 °C), low (1≤T≤9 °C) and moderate (10≤T≤19 °C) temperature conditions. It is concluded that a combination of temporal, spatial, hydrological, hydraulic and meteorological factors control variations in sediment concentration during single hydrological events on the Fraser River in a complex fashion. Multivariate analysis of these factors should greatly improve prediction of sediment transport in the Fraser River Basin. © 1998 John Wiley &amp; Sons, Ltd.","DOI":"10.1002/(SICI)1099-1085(19981015)12:12&lt;1869::AID-HYP648&gt;3.0.CO;2-G","ISSN":"1099-1085","language":"en","author":[{"family":"Sichingabula","given":"Henry M."}],"issued":{"date-parts":[["1998"]]},"accessed":{"date-parts":[["2013",8,13]]}}}],"schema":"https://github.com/citation-style-language/schema/raw/master/csl-citation.json"} </w:instrText>
      </w:r>
      <w:r w:rsidRPr="00854E06">
        <w:rPr>
          <w:rFonts w:cstheme="majorBidi"/>
        </w:rPr>
        <w:fldChar w:fldCharType="separate"/>
      </w:r>
      <w:r w:rsidRPr="00854E06">
        <w:rPr>
          <w:rFonts w:ascii="Times New Roman" w:hAnsi="Times New Roman" w:cs="Times New Roman"/>
        </w:rPr>
        <w:t>Sichingabula (1998)</w:t>
      </w:r>
      <w:r w:rsidRPr="00854E06">
        <w:rPr>
          <w:rFonts w:cstheme="majorBidi"/>
        </w:rPr>
        <w:fldChar w:fldCharType="end"/>
      </w:r>
      <w:r w:rsidRPr="00854E06">
        <w:rPr>
          <w:rFonts w:cstheme="majorBidi"/>
        </w:rPr>
        <w:t xml:space="preserve"> found that, in the Fraser River (Canada), the shape of the sediment rating </w:t>
      </w:r>
      <w:r w:rsidR="005527F8">
        <w:rPr>
          <w:rFonts w:cstheme="majorBidi"/>
        </w:rPr>
        <w:t>curve was mostly convex (i.e.</w:t>
      </w:r>
      <w:r w:rsidRPr="00854E06">
        <w:rPr>
          <w:rFonts w:cstheme="majorBidi"/>
        </w:rPr>
        <w:t xml:space="preserve"> </w:t>
      </w:r>
      <m:oMath>
        <m:r>
          <w:rPr>
            <w:rFonts w:ascii="Cambria Math" w:hAnsi="Cambria Math" w:cstheme="majorBidi"/>
          </w:rPr>
          <m:t>b</m:t>
        </m:r>
      </m:oMath>
      <w:r w:rsidR="005527F8">
        <w:rPr>
          <w:rFonts w:cstheme="majorBidi"/>
        </w:rPr>
        <w:t xml:space="preserve"> &gt; 1</w:t>
      </w:r>
      <w:r w:rsidRPr="00854E06">
        <w:rPr>
          <w:rFonts w:cstheme="majorBidi"/>
        </w:rPr>
        <w:t>) during the annual snowmelt</w:t>
      </w:r>
      <w:r>
        <w:rPr>
          <w:rFonts w:cstheme="majorBidi"/>
        </w:rPr>
        <w:t xml:space="preserve"> periods</w:t>
      </w:r>
      <w:r w:rsidRPr="00854E06">
        <w:rPr>
          <w:rFonts w:cstheme="majorBidi"/>
        </w:rPr>
        <w:t xml:space="preserve">. </w:t>
      </w:r>
    </w:p>
    <w:p w:rsidR="008A41CE" w:rsidRPr="00854E06" w:rsidRDefault="008A41CE" w:rsidP="008A41CE">
      <w:pPr>
        <w:spacing w:line="480" w:lineRule="auto"/>
        <w:ind w:firstLine="810"/>
        <w:jc w:val="both"/>
        <w:rPr>
          <w:rFonts w:cstheme="majorBidi"/>
        </w:rPr>
      </w:pPr>
      <w:r w:rsidRPr="00854E06">
        <w:rPr>
          <w:rFonts w:cstheme="majorBidi"/>
        </w:rPr>
        <w:t xml:space="preserve">A change in the shape of the rating curve implies a change in the sediment transport regime. For example, </w:t>
      </w:r>
      <w:r w:rsidRPr="00081EBD">
        <w:rPr>
          <w:rFonts w:cstheme="majorBidi"/>
        </w:rPr>
        <w:t xml:space="preserve">at stations </w:t>
      </w:r>
      <w:r w:rsidRPr="00081EBD">
        <w:rPr>
          <w:rStyle w:val="CommentReference"/>
          <w:rFonts w:eastAsiaTheme="majorEastAsia"/>
          <w:sz w:val="24"/>
        </w:rPr>
        <w:t>30002, 40001, and 240001, the rating curves were convex in April</w:t>
      </w:r>
      <w:r w:rsidRPr="00854E06">
        <w:rPr>
          <w:rStyle w:val="CommentReference"/>
          <w:rFonts w:eastAsiaTheme="majorEastAsia"/>
        </w:rPr>
        <w:t xml:space="preserve"> </w:t>
      </w:r>
      <w:r w:rsidRPr="00854E06">
        <w:rPr>
          <w:rFonts w:cstheme="majorBidi"/>
        </w:rPr>
        <w:t xml:space="preserve">but linear in September. </w:t>
      </w:r>
      <w:r>
        <w:rPr>
          <w:rFonts w:cstheme="majorBidi"/>
        </w:rPr>
        <w:t xml:space="preserve">The convex rating curve in April indicates the erosive power of the </w:t>
      </w:r>
      <w:r>
        <w:rPr>
          <w:rFonts w:cstheme="majorBidi"/>
        </w:rPr>
        <w:lastRenderedPageBreak/>
        <w:t xml:space="preserve">stream during the annual high flow. </w:t>
      </w:r>
      <w:r w:rsidRPr="00854E06">
        <w:rPr>
          <w:rFonts w:cstheme="majorBidi"/>
        </w:rPr>
        <w:t xml:space="preserve">The linear rating curve implies a balance in the </w:t>
      </w:r>
      <w:r>
        <w:rPr>
          <w:rFonts w:cstheme="majorBidi"/>
        </w:rPr>
        <w:t>amount</w:t>
      </w:r>
      <w:r w:rsidRPr="00854E06">
        <w:rPr>
          <w:rFonts w:cstheme="majorBidi"/>
        </w:rPr>
        <w:t xml:space="preserve"> of sediment provided into streams and the carrier – stream flow</w:t>
      </w:r>
      <w:r>
        <w:rPr>
          <w:rFonts w:cstheme="majorBidi"/>
        </w:rPr>
        <w:t xml:space="preserve"> – given that the flow is lower in September</w:t>
      </w:r>
      <w:r w:rsidRPr="00854E06">
        <w:rPr>
          <w:rFonts w:cstheme="majorBidi"/>
        </w:rPr>
        <w:t xml:space="preserve">. </w:t>
      </w:r>
      <w:r>
        <w:rPr>
          <w:rFonts w:cstheme="majorBidi"/>
        </w:rPr>
        <w:t xml:space="preserve">On the other hands, at some stations such as 30007, 40007, 70005, 260007, and 290001, the monthly rating curve changed </w:t>
      </w:r>
      <w:r w:rsidRPr="00854E06">
        <w:rPr>
          <w:rFonts w:cstheme="majorBidi"/>
        </w:rPr>
        <w:t>from concave to convex, or from linear to convex,</w:t>
      </w:r>
      <w:r>
        <w:rPr>
          <w:rFonts w:cstheme="majorBidi"/>
        </w:rPr>
        <w:t xml:space="preserve"> which</w:t>
      </w:r>
      <w:r w:rsidRPr="00854E06">
        <w:rPr>
          <w:rFonts w:cstheme="majorBidi"/>
        </w:rPr>
        <w:t xml:space="preserve"> indicates</w:t>
      </w:r>
      <w:r w:rsidR="00D86B0F">
        <w:rPr>
          <w:rFonts w:cstheme="majorBidi"/>
        </w:rPr>
        <w:t xml:space="preserve"> an excess of </w:t>
      </w:r>
      <w:r>
        <w:rPr>
          <w:rFonts w:cstheme="majorBidi"/>
        </w:rPr>
        <w:t>sediment</w:t>
      </w:r>
      <w:r w:rsidRPr="00854E06">
        <w:rPr>
          <w:rFonts w:cstheme="majorBidi"/>
        </w:rPr>
        <w:t xml:space="preserve"> getting into </w:t>
      </w:r>
      <w:r>
        <w:rPr>
          <w:rFonts w:cstheme="majorBidi"/>
        </w:rPr>
        <w:t xml:space="preserve">the </w:t>
      </w:r>
      <w:r w:rsidRPr="00854E06">
        <w:rPr>
          <w:rFonts w:cstheme="majorBidi"/>
        </w:rPr>
        <w:t xml:space="preserve">stream, so that even during the annual low flow </w:t>
      </w:r>
      <w:r>
        <w:rPr>
          <w:rFonts w:cstheme="majorBidi"/>
        </w:rPr>
        <w:t>(September)</w:t>
      </w:r>
      <w:r w:rsidRPr="00854E06">
        <w:rPr>
          <w:rFonts w:cstheme="majorBidi"/>
        </w:rPr>
        <w:t xml:space="preserve">, the suspended sediment load increases quickly </w:t>
      </w:r>
      <w:r>
        <w:rPr>
          <w:rFonts w:cstheme="majorBidi"/>
        </w:rPr>
        <w:t>with</w:t>
      </w:r>
      <w:r w:rsidRPr="00854E06">
        <w:rPr>
          <w:rFonts w:cstheme="majorBidi"/>
        </w:rPr>
        <w:t xml:space="preserve"> a small increase of stream discharge. </w:t>
      </w:r>
    </w:p>
    <w:p w:rsidR="00943A92" w:rsidRPr="00854E06" w:rsidRDefault="00943A92" w:rsidP="00943A92">
      <w:pPr>
        <w:spacing w:line="480" w:lineRule="auto"/>
        <w:ind w:firstLine="810"/>
        <w:jc w:val="both"/>
        <w:rPr>
          <w:rFonts w:cstheme="majorBidi"/>
        </w:rPr>
      </w:pPr>
      <w:r>
        <w:rPr>
          <w:rFonts w:cstheme="majorBidi"/>
        </w:rPr>
        <w:t>The Local Moran’s I showed that t</w:t>
      </w:r>
      <w:r w:rsidRPr="00854E06">
        <w:rPr>
          <w:rFonts w:cstheme="majorBidi"/>
        </w:rPr>
        <w:t xml:space="preserve">he spatial </w:t>
      </w:r>
      <w:r>
        <w:rPr>
          <w:rFonts w:cstheme="majorBidi"/>
        </w:rPr>
        <w:t xml:space="preserve">clustering </w:t>
      </w:r>
      <w:r w:rsidRPr="00854E06">
        <w:rPr>
          <w:rFonts w:cstheme="majorBidi"/>
        </w:rPr>
        <w:t xml:space="preserve">pattern in the values of the exponent </w:t>
      </w:r>
      <m:oMath>
        <m:r>
          <w:rPr>
            <w:rFonts w:ascii="Cambria Math" w:hAnsi="Cambria Math" w:cstheme="majorBidi"/>
          </w:rPr>
          <m:t>b</m:t>
        </m:r>
      </m:oMath>
      <w:r w:rsidRPr="00854E06">
        <w:rPr>
          <w:rFonts w:cstheme="majorBidi"/>
        </w:rPr>
        <w:t xml:space="preserve"> was not consistent from April to September (Figure 5-16). Hence, the local factors that cause the clustering pattern of the exponent </w:t>
      </w:r>
      <m:oMath>
        <m:r>
          <w:rPr>
            <w:rFonts w:ascii="Cambria Math" w:hAnsi="Cambria Math" w:cstheme="majorBidi"/>
          </w:rPr>
          <m:t>b</m:t>
        </m:r>
      </m:oMath>
      <w:r w:rsidRPr="00854E06">
        <w:rPr>
          <w:rFonts w:cstheme="majorBidi"/>
        </w:rPr>
        <w:t xml:space="preserve"> appear to exist during some part of but not throughout the year. </w:t>
      </w:r>
    </w:p>
    <w:p w:rsidR="006473B4" w:rsidRPr="00854E06" w:rsidRDefault="006473B4" w:rsidP="00523FFD">
      <w:pPr>
        <w:pStyle w:val="Heading2"/>
        <w:numPr>
          <w:ilvl w:val="0"/>
          <w:numId w:val="38"/>
        </w:numPr>
        <w:ind w:left="360"/>
      </w:pPr>
      <w:bookmarkStart w:id="151" w:name="_Toc390715109"/>
      <w:bookmarkStart w:id="152" w:name="_Toc394525580"/>
      <w:r w:rsidRPr="00854E06">
        <w:t>The effect of dams on the rating parameters</w:t>
      </w:r>
      <w:bookmarkEnd w:id="151"/>
      <w:bookmarkEnd w:id="152"/>
    </w:p>
    <w:p w:rsidR="002948D0" w:rsidRPr="00FC6D7A" w:rsidRDefault="002948D0" w:rsidP="008A41CE">
      <w:pPr>
        <w:pStyle w:val="ListParagraph"/>
        <w:spacing w:line="480" w:lineRule="auto"/>
        <w:ind w:left="0" w:firstLine="720"/>
        <w:jc w:val="both"/>
        <w:rPr>
          <w:rFonts w:asciiTheme="majorBidi" w:hAnsiTheme="majorBidi" w:cstheme="majorBidi"/>
          <w:sz w:val="24"/>
          <w:szCs w:val="24"/>
        </w:rPr>
      </w:pPr>
      <w:r>
        <w:rPr>
          <w:rFonts w:asciiTheme="majorBidi" w:hAnsiTheme="majorBidi" w:cstheme="majorBidi"/>
          <w:sz w:val="24"/>
          <w:szCs w:val="24"/>
        </w:rPr>
        <w:t>The literature shows</w:t>
      </w:r>
      <w:r w:rsidRPr="00FC6D7A">
        <w:rPr>
          <w:rFonts w:asciiTheme="majorBidi" w:hAnsiTheme="majorBidi" w:cstheme="majorBidi"/>
          <w:sz w:val="24"/>
          <w:szCs w:val="24"/>
        </w:rPr>
        <w:t xml:space="preserve"> that dams in the Mississippi River </w:t>
      </w:r>
      <w:r>
        <w:rPr>
          <w:rFonts w:asciiTheme="majorBidi" w:hAnsiTheme="majorBidi" w:cstheme="majorBidi"/>
          <w:sz w:val="24"/>
          <w:szCs w:val="24"/>
        </w:rPr>
        <w:t>serve as sediment traps</w:t>
      </w:r>
      <w:r w:rsidRPr="00FC6D7A">
        <w:rPr>
          <w:rFonts w:asciiTheme="majorBidi" w:hAnsiTheme="majorBidi" w:cstheme="majorBidi"/>
          <w:sz w:val="24"/>
          <w:szCs w:val="24"/>
        </w:rPr>
        <w:t>. Hence, the outflow stream of a dam usually lacks sediment. Differences in the rating parameters</w:t>
      </w:r>
      <w:r>
        <w:rPr>
          <w:rFonts w:asciiTheme="majorBidi" w:hAnsiTheme="majorBidi" w:cstheme="majorBidi"/>
          <w:sz w:val="24"/>
          <w:szCs w:val="24"/>
        </w:rPr>
        <w:t xml:space="preserve"> above and below dams</w:t>
      </w:r>
      <w:r w:rsidRPr="00FC6D7A">
        <w:rPr>
          <w:rFonts w:asciiTheme="majorBidi" w:hAnsiTheme="majorBidi" w:cstheme="majorBidi"/>
          <w:sz w:val="24"/>
          <w:szCs w:val="24"/>
        </w:rPr>
        <w:t xml:space="preserve"> would reflect the effect of dams </w:t>
      </w:r>
      <w:r>
        <w:rPr>
          <w:rFonts w:asciiTheme="majorBidi" w:hAnsiTheme="majorBidi" w:cstheme="majorBidi"/>
          <w:sz w:val="24"/>
          <w:szCs w:val="24"/>
        </w:rPr>
        <w:t>o</w:t>
      </w:r>
      <w:r w:rsidRPr="00FC6D7A">
        <w:rPr>
          <w:rFonts w:asciiTheme="majorBidi" w:hAnsiTheme="majorBidi" w:cstheme="majorBidi"/>
          <w:sz w:val="24"/>
          <w:szCs w:val="24"/>
        </w:rPr>
        <w:t xml:space="preserve">n the sediment transport associated with stream discharge. Based on the physical meaning of the rating parameters and the effect of dams on sediment transport, one would expect the coefficient </w:t>
      </w:r>
      <m:oMath>
        <m:r>
          <w:rPr>
            <w:rFonts w:ascii="Cambria Math" w:hAnsi="Cambria Math" w:cstheme="majorBidi"/>
            <w:sz w:val="24"/>
            <w:szCs w:val="24"/>
          </w:rPr>
          <m:t>a</m:t>
        </m:r>
      </m:oMath>
      <w:r w:rsidRPr="00FC6D7A">
        <w:rPr>
          <w:rFonts w:asciiTheme="majorBidi" w:hAnsiTheme="majorBidi" w:cstheme="majorBidi"/>
          <w:sz w:val="24"/>
          <w:szCs w:val="24"/>
        </w:rPr>
        <w:t xml:space="preserve"> (i.e. sediment concentration</w:t>
      </w:r>
      <w:r>
        <w:rPr>
          <w:rFonts w:asciiTheme="majorBidi" w:hAnsiTheme="majorBidi" w:cstheme="majorBidi"/>
          <w:sz w:val="24"/>
          <w:szCs w:val="24"/>
        </w:rPr>
        <w:t xml:space="preserve"> at unit flow</w:t>
      </w:r>
      <w:r w:rsidRPr="00FC6D7A">
        <w:rPr>
          <w:rFonts w:asciiTheme="majorBidi" w:hAnsiTheme="majorBidi" w:cstheme="majorBidi"/>
          <w:sz w:val="24"/>
          <w:szCs w:val="24"/>
        </w:rPr>
        <w:t xml:space="preserve">) </w:t>
      </w:r>
      <w:r>
        <w:rPr>
          <w:rFonts w:asciiTheme="majorBidi" w:hAnsiTheme="majorBidi" w:cstheme="majorBidi"/>
          <w:sz w:val="24"/>
          <w:szCs w:val="24"/>
        </w:rPr>
        <w:t>to</w:t>
      </w:r>
      <w:r w:rsidRPr="00FC6D7A">
        <w:rPr>
          <w:rFonts w:asciiTheme="majorBidi" w:hAnsiTheme="majorBidi" w:cstheme="majorBidi"/>
          <w:sz w:val="24"/>
          <w:szCs w:val="24"/>
        </w:rPr>
        <w:t xml:space="preserve"> be higher in the pre-dam reach</w:t>
      </w:r>
      <w:r w:rsidR="008A41CE">
        <w:rPr>
          <w:rFonts w:asciiTheme="majorBidi" w:hAnsiTheme="majorBidi" w:cstheme="majorBidi"/>
          <w:sz w:val="24"/>
          <w:szCs w:val="24"/>
        </w:rPr>
        <w:t xml:space="preserve"> (at a</w:t>
      </w:r>
      <w:r>
        <w:rPr>
          <w:rFonts w:asciiTheme="majorBidi" w:hAnsiTheme="majorBidi" w:cstheme="majorBidi"/>
          <w:sz w:val="24"/>
          <w:szCs w:val="24"/>
        </w:rPr>
        <w:t xml:space="preserve"> gauging station locate</w:t>
      </w:r>
      <w:r w:rsidR="00D86B0F">
        <w:rPr>
          <w:rFonts w:asciiTheme="majorBidi" w:hAnsiTheme="majorBidi" w:cstheme="majorBidi"/>
          <w:sz w:val="24"/>
          <w:szCs w:val="24"/>
        </w:rPr>
        <w:t>d</w:t>
      </w:r>
      <w:r>
        <w:rPr>
          <w:rFonts w:asciiTheme="majorBidi" w:hAnsiTheme="majorBidi" w:cstheme="majorBidi"/>
          <w:sz w:val="24"/>
          <w:szCs w:val="24"/>
        </w:rPr>
        <w:t xml:space="preserve"> above the reservoir of the dam)</w:t>
      </w:r>
      <w:r w:rsidRPr="00FC6D7A">
        <w:rPr>
          <w:rFonts w:asciiTheme="majorBidi" w:hAnsiTheme="majorBidi" w:cstheme="majorBidi"/>
          <w:sz w:val="24"/>
          <w:szCs w:val="24"/>
        </w:rPr>
        <w:t xml:space="preserve">, and the exponent </w:t>
      </w:r>
      <m:oMath>
        <m:r>
          <w:rPr>
            <w:rFonts w:ascii="Cambria Math" w:hAnsi="Cambria Math" w:cstheme="majorBidi"/>
            <w:sz w:val="24"/>
            <w:szCs w:val="24"/>
          </w:rPr>
          <m:t>b</m:t>
        </m:r>
      </m:oMath>
      <w:r w:rsidRPr="00FC6D7A">
        <w:rPr>
          <w:rFonts w:asciiTheme="majorBidi" w:hAnsiTheme="majorBidi" w:cstheme="majorBidi"/>
          <w:sz w:val="24"/>
          <w:szCs w:val="24"/>
        </w:rPr>
        <w:t xml:space="preserve"> (i.e. erosivity of stream) </w:t>
      </w:r>
      <w:r>
        <w:rPr>
          <w:rFonts w:asciiTheme="majorBidi" w:hAnsiTheme="majorBidi" w:cstheme="majorBidi"/>
          <w:sz w:val="24"/>
          <w:szCs w:val="24"/>
        </w:rPr>
        <w:t>to</w:t>
      </w:r>
      <w:r w:rsidRPr="00FC6D7A">
        <w:rPr>
          <w:rFonts w:asciiTheme="majorBidi" w:hAnsiTheme="majorBidi" w:cstheme="majorBidi"/>
          <w:sz w:val="24"/>
          <w:szCs w:val="24"/>
        </w:rPr>
        <w:t xml:space="preserve"> be higher in the post-dam reach. In fact, studies have found that the values of </w:t>
      </w:r>
      <m:oMath>
        <m:r>
          <w:rPr>
            <w:rFonts w:ascii="Cambria Math" w:hAnsi="Cambria Math" w:cstheme="majorBidi"/>
            <w:sz w:val="24"/>
            <w:szCs w:val="24"/>
          </w:rPr>
          <m:t>b</m:t>
        </m:r>
      </m:oMath>
      <w:r w:rsidRPr="00FC6D7A">
        <w:rPr>
          <w:rFonts w:asciiTheme="majorBidi" w:hAnsiTheme="majorBidi" w:cstheme="majorBidi"/>
          <w:sz w:val="24"/>
          <w:szCs w:val="24"/>
        </w:rPr>
        <w:t xml:space="preserve"> were higher in a downstream flow with the presence of a dam </w:t>
      </w:r>
      <w:r w:rsidRPr="00FC6D7A">
        <w:rPr>
          <w:rFonts w:asciiTheme="majorBidi" w:hAnsiTheme="majorBidi" w:cstheme="majorBidi"/>
          <w:sz w:val="24"/>
          <w:szCs w:val="24"/>
        </w:rPr>
        <w:fldChar w:fldCharType="begin"/>
      </w:r>
      <w:r w:rsidRPr="00FC6D7A">
        <w:rPr>
          <w:rFonts w:asciiTheme="majorBidi" w:hAnsiTheme="majorBidi" w:cstheme="majorBidi"/>
          <w:sz w:val="24"/>
          <w:szCs w:val="24"/>
        </w:rPr>
        <w:instrText xml:space="preserve"> ADDIN ZOTERO_ITEM CSL_CITATION {"citationID":"oVCIZlE7","properties":{"formattedCitation":"(Asselman 2000; Hu et al. 2011)","plainCitation":"(Asselman 2000; Hu et al. 2011)"},"citationItems":[{"id":135,"uris":["http://zotero.org/users/1706519/items/VK5GWIIQ"],"uri":["http://zotero.org/users/1706519/items/VK5GWIIQ"],"itemData":{"id":135,"type":"article-journal","title":"Fitting and interpretation of sediment rating curves","container-title":"Journal of Hydrology","page":"228-248","volume":"234","issue":"3–4","source":"ScienceDirect","abstract":"A large part of the sediment in lowland rivers is transported as wash load. As wash load is a non-capacity load it often is modelled using empirical relations, such as the rating curve technique. Sediment rating curves in the form of a power function are derived for several locations along the river Rhine and its main tributaries, using different fitting procedures. Inaccuracies in estimated sediment loads are analysed, and spatial differences in the shapes of the fitted rating curves are related to watershed characteristics.\n\nRating curves obtained by least squares regression on logarithmic transformed data underestimate long-term sediment transport rates by 10–50%. Better estimates are obtained when nonlinear least squares regression is applied. The steepness of the fitted rating curves decreases along the main channel of the Rhine in a downstream direction. Contrary to what is generally believed this is not related to changes in the sediment transport regime. A better indication of the sediment transport regime is obtained when the slope/intercept pairs of the fitted rating curves are plotted in a graph. All locations that plot on the same line have a common discharge-concentration value and appear to be characterised by a similar sediment transport regime. At locations of which the slope/intercept pairs plot on higher lines, a larger part of the annual sediment load is transported during high discharge.","DOI":"10.1016/S0022-1694(00)00253-5","ISSN":"0022-1694","journalAbbreviation":"Journal of Hydrology","author":[{"family":"Asselman","given":"N.E.M."}],"issued":{"date-parts":[["2000",7,1]]},"accessed":{"date-parts":[["2013",8,13]]}}},{"id":13,"uris":["http://zotero.org/users/1706519/items/46DM75PA"],"uri":["http://zotero.org/users/1706519/items/46DM75PA"],"itemData":{"id":13,"type":"article-journal","title":"Temporal and spatial variations of sediment rating curves in the Changjiang (Yangtze River) basin and their implications","container-title":"Quaternary International","page":"34-43","volume":"230","issue":"1–2","source":"ScienceDirect","abstract":"The natural hydrologic regime of the Changjiang (Yangtze River) in China has been disturbed considerably by intensified human activities over the past five decades. In this study, sediment rating curves were analyzed based on monthly data of water discharge and suspended-sediment concentration at stations in the upper (Yichang station), middle (Hankou station) and lower (Datong station) reaches of the Changjiang in different periods from 1955 to 2007. Temporal and spatial variations of the sediment rating curves were analyzed with respect to the impact of human activities and watershed characteristics. Results indicate that human disturbances have had a substantial impact on sediment rating parameters, with the magnitude of the impact related to the scale of the river sections. As indicated by the sediment rating parameters, the sediment transport regimes between the upper and the mid-lower reaches differ significantly. In particular, the impoundment of the Three Gorges Dam in 2003 changed the sediment transport regimes in the upper and mid-lower reaches of Changjiang into similar regimes characterized by a decrease in the sediment transport capacity of high water discharge. Furthermore, the sediment rating curve at the Datong station in 1955–1968 was applied to estimate the potential sediment load (1969–2007) in the absence of human influences. The mean annual sediment deficit caused by human activities has increased from 80 Mt/yr (1969–1985) to 250 Mt/yr (2003–2007). This indicates that intensified human activities in the Changjiang basin, especially the construction of the Three Gorges Dam, have altered the natural sediment transport process, and have thus become a dominant force in Changjiang sediment delivery to the sea.","DOI":"10.1016/j.quaint.2009.08.018","ISSN":"1040-6182","shortTitle":"Quaternary Sea Level and Palaeoenvironmental Reconstructions in the Coastal Zone of East and Southeast Asia","journalAbbreviation":"Quaternary International","author":[{"family":"Hu","given":"Bangqi"},{"family":"Wang","given":"Houjie"},{"family":"Yang","given":"Zuosheng"},{"family":"Sun","given":"Xiaoxia"}],"issued":{"date-parts":[["2011",1,15]]},"accessed":{"date-parts":[["2013",8,10]]}}}],"schema":"https://github.com/citation-style-language/schema/raw/master/csl-citation.json"} </w:instrText>
      </w:r>
      <w:r w:rsidRPr="00FC6D7A">
        <w:rPr>
          <w:rFonts w:asciiTheme="majorBidi" w:hAnsiTheme="majorBidi" w:cstheme="majorBidi"/>
          <w:sz w:val="24"/>
          <w:szCs w:val="24"/>
        </w:rPr>
        <w:fldChar w:fldCharType="separate"/>
      </w:r>
      <w:r w:rsidRPr="00FC6D7A">
        <w:rPr>
          <w:rFonts w:asciiTheme="majorBidi" w:hAnsiTheme="majorBidi" w:cstheme="majorBidi"/>
          <w:sz w:val="24"/>
          <w:szCs w:val="24"/>
        </w:rPr>
        <w:t>(Asselman 2000; Hu et al. 2011)</w:t>
      </w:r>
      <w:r w:rsidRPr="00FC6D7A">
        <w:rPr>
          <w:rFonts w:asciiTheme="majorBidi" w:hAnsiTheme="majorBidi" w:cstheme="majorBidi"/>
          <w:sz w:val="24"/>
          <w:szCs w:val="24"/>
        </w:rPr>
        <w:fldChar w:fldCharType="end"/>
      </w:r>
      <w:r w:rsidRPr="00FC6D7A">
        <w:rPr>
          <w:rFonts w:asciiTheme="majorBidi" w:hAnsiTheme="majorBidi" w:cstheme="majorBidi"/>
          <w:sz w:val="24"/>
          <w:szCs w:val="24"/>
        </w:rPr>
        <w:t xml:space="preserve">. The disadvantage of the analysis </w:t>
      </w:r>
      <w:r>
        <w:rPr>
          <w:rFonts w:asciiTheme="majorBidi" w:hAnsiTheme="majorBidi" w:cstheme="majorBidi"/>
          <w:sz w:val="24"/>
          <w:szCs w:val="24"/>
        </w:rPr>
        <w:t xml:space="preserve">in this thesis </w:t>
      </w:r>
      <w:r w:rsidRPr="00FC6D7A">
        <w:rPr>
          <w:rFonts w:asciiTheme="majorBidi" w:hAnsiTheme="majorBidi" w:cstheme="majorBidi"/>
          <w:sz w:val="24"/>
          <w:szCs w:val="24"/>
        </w:rPr>
        <w:t xml:space="preserve">for this question </w:t>
      </w:r>
      <w:r>
        <w:rPr>
          <w:rFonts w:asciiTheme="majorBidi" w:hAnsiTheme="majorBidi" w:cstheme="majorBidi"/>
          <w:sz w:val="24"/>
          <w:szCs w:val="24"/>
        </w:rPr>
        <w:t>was</w:t>
      </w:r>
      <w:r w:rsidRPr="00FC6D7A">
        <w:rPr>
          <w:rFonts w:asciiTheme="majorBidi" w:hAnsiTheme="majorBidi" w:cstheme="majorBidi"/>
          <w:sz w:val="24"/>
          <w:szCs w:val="24"/>
        </w:rPr>
        <w:t xml:space="preserve"> that the sample size is small (only three dams </w:t>
      </w:r>
      <w:r>
        <w:rPr>
          <w:rFonts w:asciiTheme="majorBidi" w:hAnsiTheme="majorBidi" w:cstheme="majorBidi"/>
          <w:sz w:val="24"/>
          <w:szCs w:val="24"/>
        </w:rPr>
        <w:t>were</w:t>
      </w:r>
      <w:r w:rsidRPr="00FC6D7A">
        <w:rPr>
          <w:rFonts w:asciiTheme="majorBidi" w:hAnsiTheme="majorBidi" w:cstheme="majorBidi"/>
          <w:sz w:val="24"/>
          <w:szCs w:val="24"/>
        </w:rPr>
        <w:t xml:space="preserve"> studied), and </w:t>
      </w:r>
      <w:r>
        <w:rPr>
          <w:rFonts w:asciiTheme="majorBidi" w:hAnsiTheme="majorBidi" w:cstheme="majorBidi"/>
          <w:sz w:val="24"/>
          <w:szCs w:val="24"/>
        </w:rPr>
        <w:t xml:space="preserve">that </w:t>
      </w:r>
      <w:r w:rsidRPr="00FC6D7A">
        <w:rPr>
          <w:rFonts w:asciiTheme="majorBidi" w:hAnsiTheme="majorBidi" w:cstheme="majorBidi"/>
          <w:sz w:val="24"/>
          <w:szCs w:val="24"/>
        </w:rPr>
        <w:t xml:space="preserve">the conditions among the dams are not similar (i.e. differences in distances of stations to the dams). </w:t>
      </w:r>
      <w:r>
        <w:rPr>
          <w:rFonts w:asciiTheme="majorBidi" w:hAnsiTheme="majorBidi" w:cstheme="majorBidi"/>
          <w:sz w:val="24"/>
          <w:szCs w:val="24"/>
        </w:rPr>
        <w:t xml:space="preserve"> Hence, </w:t>
      </w:r>
      <w:r w:rsidRPr="00FC6D7A">
        <w:rPr>
          <w:rFonts w:asciiTheme="majorBidi" w:hAnsiTheme="majorBidi" w:cstheme="majorBidi"/>
          <w:sz w:val="24"/>
          <w:szCs w:val="24"/>
        </w:rPr>
        <w:t xml:space="preserve">it is </w:t>
      </w:r>
      <w:r>
        <w:rPr>
          <w:rFonts w:asciiTheme="majorBidi" w:hAnsiTheme="majorBidi" w:cstheme="majorBidi"/>
          <w:sz w:val="24"/>
          <w:szCs w:val="24"/>
        </w:rPr>
        <w:lastRenderedPageBreak/>
        <w:t xml:space="preserve">not </w:t>
      </w:r>
      <w:r w:rsidRPr="00FC6D7A">
        <w:rPr>
          <w:rFonts w:asciiTheme="majorBidi" w:hAnsiTheme="majorBidi" w:cstheme="majorBidi"/>
          <w:sz w:val="24"/>
          <w:szCs w:val="24"/>
        </w:rPr>
        <w:t>possible to draw general conclusion</w:t>
      </w:r>
      <w:r>
        <w:rPr>
          <w:rFonts w:asciiTheme="majorBidi" w:hAnsiTheme="majorBidi" w:cstheme="majorBidi"/>
          <w:sz w:val="24"/>
          <w:szCs w:val="24"/>
        </w:rPr>
        <w:t>s</w:t>
      </w:r>
      <w:r w:rsidRPr="00FC6D7A">
        <w:rPr>
          <w:rFonts w:asciiTheme="majorBidi" w:hAnsiTheme="majorBidi" w:cstheme="majorBidi"/>
          <w:sz w:val="24"/>
          <w:szCs w:val="24"/>
        </w:rPr>
        <w:t xml:space="preserve"> </w:t>
      </w:r>
      <w:r>
        <w:rPr>
          <w:rFonts w:asciiTheme="majorBidi" w:hAnsiTheme="majorBidi" w:cstheme="majorBidi"/>
          <w:sz w:val="24"/>
          <w:szCs w:val="24"/>
        </w:rPr>
        <w:t xml:space="preserve">from this preliminary analysis </w:t>
      </w:r>
      <w:r w:rsidRPr="00FC6D7A">
        <w:rPr>
          <w:rFonts w:asciiTheme="majorBidi" w:hAnsiTheme="majorBidi" w:cstheme="majorBidi"/>
          <w:sz w:val="24"/>
          <w:szCs w:val="24"/>
        </w:rPr>
        <w:t>about the effect of dams on the rating parameters.</w:t>
      </w:r>
    </w:p>
    <w:p w:rsidR="006473B4" w:rsidRPr="00854E06" w:rsidRDefault="006473B4" w:rsidP="00523FFD">
      <w:pPr>
        <w:pStyle w:val="Heading2"/>
        <w:numPr>
          <w:ilvl w:val="0"/>
          <w:numId w:val="38"/>
        </w:numPr>
        <w:ind w:left="360"/>
      </w:pPr>
      <w:bookmarkStart w:id="153" w:name="_Toc390715110"/>
      <w:bookmarkStart w:id="154" w:name="_Toc394525581"/>
      <w:r w:rsidRPr="00854E06">
        <w:t>The effects of land cover on the rating parameters at the annual and monthly levels</w:t>
      </w:r>
      <w:bookmarkEnd w:id="153"/>
      <w:bookmarkEnd w:id="154"/>
      <w:r w:rsidRPr="00854E06">
        <w:t xml:space="preserve"> </w:t>
      </w:r>
    </w:p>
    <w:p w:rsidR="002948D0" w:rsidRPr="00854E06" w:rsidRDefault="002948D0" w:rsidP="002948D0">
      <w:pPr>
        <w:pStyle w:val="ListParagraph"/>
        <w:spacing w:line="480" w:lineRule="auto"/>
        <w:ind w:left="0" w:firstLine="720"/>
        <w:jc w:val="both"/>
        <w:rPr>
          <w:rFonts w:asciiTheme="majorBidi" w:hAnsiTheme="majorBidi" w:cstheme="majorBidi"/>
          <w:sz w:val="24"/>
          <w:szCs w:val="24"/>
        </w:rPr>
      </w:pPr>
      <w:r w:rsidRPr="00854E06">
        <w:rPr>
          <w:rFonts w:asciiTheme="majorBidi" w:hAnsiTheme="majorBidi" w:cstheme="majorBidi"/>
          <w:sz w:val="24"/>
          <w:szCs w:val="24"/>
        </w:rPr>
        <w:t xml:space="preserve">No effect of land cover on the annual rating parameters was detected with the Spearman correlation test in this study. However, there were some statistically significant correlations between rating parameters and the percentages of different classes of land cover in the contributing areas of gauging stations when analyzed at the monthly level. At the monthly level, the rating coefficient </w:t>
      </w:r>
      <m:oMath>
        <m:r>
          <w:rPr>
            <w:rFonts w:ascii="Cambria Math" w:hAnsi="Cambria Math" w:cstheme="majorBidi"/>
            <w:sz w:val="24"/>
            <w:szCs w:val="24"/>
          </w:rPr>
          <m:t>a</m:t>
        </m:r>
      </m:oMath>
      <w:r w:rsidRPr="00854E06">
        <w:rPr>
          <w:rFonts w:asciiTheme="majorBidi" w:hAnsiTheme="majorBidi" w:cstheme="majorBidi"/>
          <w:sz w:val="24"/>
          <w:szCs w:val="24"/>
        </w:rPr>
        <w:t xml:space="preserve"> was negatively correlated with the percentage of land cover in the class "water" in the contributing area of the gauging station. Land classified as "water" in the UMRB consists of open water only and includes rivers, lakes, and ponds</w:t>
      </w:r>
      <w:r>
        <w:rPr>
          <w:rFonts w:asciiTheme="majorBidi" w:hAnsiTheme="majorBidi" w:cstheme="majorBidi"/>
          <w:sz w:val="24"/>
          <w:szCs w:val="24"/>
        </w:rPr>
        <w:t xml:space="preserve">. The negative correlation between </w:t>
      </w:r>
      <m:oMath>
        <m:r>
          <w:rPr>
            <w:rFonts w:ascii="Cambria Math" w:hAnsi="Cambria Math" w:cstheme="majorBidi"/>
            <w:sz w:val="24"/>
            <w:szCs w:val="24"/>
          </w:rPr>
          <m:t>a</m:t>
        </m:r>
      </m:oMath>
      <w:r>
        <w:rPr>
          <w:rFonts w:asciiTheme="majorBidi" w:hAnsiTheme="majorBidi" w:cstheme="majorBidi"/>
          <w:sz w:val="24"/>
          <w:szCs w:val="24"/>
        </w:rPr>
        <w:t xml:space="preserve"> and percentage of land cover of class “water” simply represents the correlation between </w:t>
      </w:r>
      <m:oMath>
        <m:r>
          <w:rPr>
            <w:rFonts w:ascii="Cambria Math" w:hAnsi="Cambria Math" w:cstheme="majorBidi"/>
            <w:sz w:val="24"/>
            <w:szCs w:val="24"/>
          </w:rPr>
          <m:t>a</m:t>
        </m:r>
      </m:oMath>
      <w:r>
        <w:rPr>
          <w:rFonts w:asciiTheme="majorBidi" w:hAnsiTheme="majorBidi" w:cstheme="majorBidi"/>
          <w:sz w:val="24"/>
          <w:szCs w:val="24"/>
        </w:rPr>
        <w:t xml:space="preserve"> and stream discharge.</w:t>
      </w:r>
      <w:r w:rsidRPr="00854E06">
        <w:rPr>
          <w:rFonts w:asciiTheme="majorBidi" w:hAnsiTheme="majorBidi" w:cstheme="majorBidi"/>
          <w:sz w:val="24"/>
          <w:szCs w:val="24"/>
        </w:rPr>
        <w:t xml:space="preserve"> </w:t>
      </w:r>
    </w:p>
    <w:p w:rsidR="002948D0" w:rsidRPr="00854E06" w:rsidRDefault="002948D0" w:rsidP="002948D0">
      <w:pPr>
        <w:pStyle w:val="ListParagraph"/>
        <w:spacing w:line="480" w:lineRule="auto"/>
        <w:ind w:left="0" w:firstLine="720"/>
        <w:jc w:val="both"/>
        <w:rPr>
          <w:rFonts w:asciiTheme="majorBidi" w:hAnsiTheme="majorBidi" w:cstheme="majorBidi"/>
          <w:sz w:val="24"/>
          <w:szCs w:val="24"/>
        </w:rPr>
      </w:pPr>
      <w:r w:rsidRPr="00854E06">
        <w:rPr>
          <w:rFonts w:asciiTheme="majorBidi" w:hAnsiTheme="majorBidi" w:cstheme="majorBidi"/>
          <w:sz w:val="24"/>
          <w:szCs w:val="24"/>
        </w:rPr>
        <w:t>One finding in this study is the lack of correlation between the rating parameters and the percentage of agricultural lands</w:t>
      </w:r>
      <w:r>
        <w:rPr>
          <w:rFonts w:asciiTheme="majorBidi" w:hAnsiTheme="majorBidi" w:cstheme="majorBidi"/>
          <w:sz w:val="24"/>
          <w:szCs w:val="24"/>
        </w:rPr>
        <w:t xml:space="preserve"> in the contributing portion of the basin</w:t>
      </w:r>
      <w:r w:rsidRPr="00854E06">
        <w:rPr>
          <w:rFonts w:asciiTheme="majorBidi" w:hAnsiTheme="majorBidi" w:cstheme="majorBidi"/>
          <w:sz w:val="24"/>
          <w:szCs w:val="24"/>
        </w:rPr>
        <w:t>, even though agricultural lands account for more than 45% of the land cover in the basin (Table 3-1). Although other studies</w:t>
      </w:r>
      <w:r w:rsidR="005F6C2E">
        <w:rPr>
          <w:rFonts w:asciiTheme="majorBidi" w:hAnsiTheme="majorBidi" w:cstheme="majorBidi"/>
          <w:sz w:val="24"/>
          <w:szCs w:val="24"/>
        </w:rPr>
        <w:t xml:space="preserve"> have</w:t>
      </w:r>
      <w:r w:rsidRPr="00854E06">
        <w:rPr>
          <w:rFonts w:asciiTheme="majorBidi" w:hAnsiTheme="majorBidi" w:cstheme="majorBidi"/>
          <w:sz w:val="24"/>
          <w:szCs w:val="24"/>
        </w:rPr>
        <w:t xml:space="preserve"> found that agricultural activities affected the suspended sediment concentration/load in streams </w:t>
      </w:r>
      <w:r w:rsidRPr="00854E06">
        <w:rPr>
          <w:rFonts w:asciiTheme="majorBidi" w:hAnsiTheme="majorBidi" w:cstheme="majorBidi"/>
          <w:sz w:val="24"/>
          <w:szCs w:val="24"/>
        </w:rPr>
        <w:fldChar w:fldCharType="begin"/>
      </w:r>
      <w:r w:rsidRPr="00854E06">
        <w:rPr>
          <w:rFonts w:asciiTheme="majorBidi" w:hAnsiTheme="majorBidi" w:cstheme="majorBidi"/>
          <w:sz w:val="24"/>
          <w:szCs w:val="24"/>
        </w:rPr>
        <w:instrText xml:space="preserve"> ADDIN ZOTERO_ITEM CSL_CITATION {"citationID":"zviqrUhm","properties":{"formattedCitation":"(Lopes, Ffolliott, and Baker Jr. 2001; Mitsch et al. 2001; Julien and Vensel 2005)","plainCitation":"(Lopes, Ffolliott, and Baker Jr. 2001; Mitsch et al. 2001; Julien and Vensel 2005)"},"citationItems":[{"id":550,"uris":["http://zotero.org/users/1706519/items/KFD776GA"],"uri":["http://zotero.org/users/1706519/items/KFD776GA"],"itemData":{"id":550,"type":"article-journal","title":"Impacts of Vegetative Practices on Suspended Sediment from Watersheds of Arizona","container-title":"Journal of Water Resources Planning and Management","page":"41-47","volume":"127","issue":"1","source":"ASCE","abstract":"Effects of vegetative practices on suspended sediment discharge from ponderosa pine forests and -juniper woodlands in north-central Arizona are examined. Sediment-rating curves were developed to analyze the impacts. Disturbance from vegetative practices generally increased suspended sediment transport above those of control (reference) watersheds. Completely cleared and strip-cut ponderosa pine watersheds produced higher sediment concentrations than did a control watershed. Likewise, cabled and herbicide-treated -juniper watersheds yielded higher sediment-laden streamflows than did a control. Sediment transport regimes are also related to streamflow-generation mechanisms and hydrograph stages. Although about 85% of the data analyzed represented snowmelt-runoff events in both vegetative types, derivation of sediment-rating curves based on streamflow-generation mechanisms improved the sensitivity of the analysis. Sediment data collected during rising and falling hydrograph stages varied between the two vegetative types. Sediment concentrations were generally higher in the rising stage than in the falling stage for ponderosa pine watersheds. There was no clear evidence of higher sediment concentrations in the rising stage of the hydrograph as compared to the falling stage in the -juniper watersheds.","DOI":"10.1061/(ASCE)0733-9496(2001)127:1(41)","ISSN":"0733-9496","author":[{"family":"Lopes","given":"V."},{"family":"Ffolliott","given":"P."},{"family":"Baker Jr.","given":"M."}],"issued":{"date-parts":[["2001"]]},"accessed":{"date-parts":[["2014",5,2]]}}},{"id":471,"uris":["http://zotero.org/users/1706519/items/VVUVK9I3"],"uri":["http://zotero.org/users/1706519/items/VVUVK9I3"],"itemData":{"id":471,"type":"article-journal","title":"Reducing nitrogen loading to the Gulf of Mexico from the Mississippi River basIn: strategies to counter a persistent ecological problem","container-title":"BioScience","page":"373-388","volume":"51","shortTitle":"Reducing nitrogen loading to the Gulf of Mexico from the Mississippi River basIn","author":[{"family":"Mitsch","given":""},{"family":"Day","given":"Jr"},{"family":"Gilliam","given":"J. W."},{"family":"Groffman","given":"P. M."},{"family":"Hey","given":"D. L."},{"family":"Randall","given":"G. W."},{"family":"Wang","given":"N."}],"issued":{"date-parts":[["2001"]]}}},{"id":47,"uris":["http://zotero.org/users/1706519/items/AWEMXXW7"],"uri":["http://zotero.org/users/1706519/items/AWEMXXW7"],"itemData":{"id":47,"type":"report","title":"Review of Sedimentation Issues on the Mississippi River","publisher":"Dept. of Civil and Environmental Engineering","genre":"Report Presented to the UNESCO: ISI","author":[{"family":"Julien","given":"Pierre Y."},{"family":"Vensel","given":"Chad W."}],"issued":{"date-parts":[["2005",11]]}}}],"schema":"https://github.com/citation-style-language/schema/raw/master/csl-citation.json"} </w:instrText>
      </w:r>
      <w:r w:rsidRPr="00854E06">
        <w:rPr>
          <w:rFonts w:asciiTheme="majorBidi" w:hAnsiTheme="majorBidi" w:cstheme="majorBidi"/>
          <w:sz w:val="24"/>
          <w:szCs w:val="24"/>
        </w:rPr>
        <w:fldChar w:fldCharType="separate"/>
      </w:r>
      <w:r w:rsidRPr="00854E06">
        <w:rPr>
          <w:rFonts w:asciiTheme="majorBidi" w:hAnsiTheme="majorBidi" w:cstheme="majorBidi"/>
          <w:sz w:val="24"/>
          <w:szCs w:val="24"/>
        </w:rPr>
        <w:t>(Lopes et al. 2001; Mitsch et al. 2001; Julien and Vensel 2005)</w:t>
      </w:r>
      <w:r w:rsidRPr="00854E06">
        <w:rPr>
          <w:rFonts w:asciiTheme="majorBidi" w:hAnsiTheme="majorBidi" w:cstheme="majorBidi"/>
          <w:sz w:val="24"/>
          <w:szCs w:val="24"/>
        </w:rPr>
        <w:fldChar w:fldCharType="end"/>
      </w:r>
      <w:r w:rsidRPr="00854E06">
        <w:rPr>
          <w:rFonts w:asciiTheme="majorBidi" w:hAnsiTheme="majorBidi" w:cstheme="majorBidi"/>
          <w:sz w:val="24"/>
          <w:szCs w:val="24"/>
        </w:rPr>
        <w:t xml:space="preserve">, </w:t>
      </w:r>
      <w:r>
        <w:rPr>
          <w:rFonts w:asciiTheme="majorBidi" w:hAnsiTheme="majorBidi" w:cstheme="majorBidi"/>
          <w:sz w:val="24"/>
          <w:szCs w:val="24"/>
        </w:rPr>
        <w:t>I found</w:t>
      </w:r>
      <w:r w:rsidRPr="00854E06">
        <w:rPr>
          <w:rFonts w:asciiTheme="majorBidi" w:hAnsiTheme="majorBidi" w:cstheme="majorBidi"/>
          <w:sz w:val="24"/>
          <w:szCs w:val="24"/>
        </w:rPr>
        <w:t xml:space="preserve"> no significant correlation between percentage of agriculture and the rating parameters at either the annual</w:t>
      </w:r>
      <w:r>
        <w:rPr>
          <w:rFonts w:asciiTheme="majorBidi" w:hAnsiTheme="majorBidi" w:cstheme="majorBidi"/>
          <w:sz w:val="24"/>
          <w:szCs w:val="24"/>
        </w:rPr>
        <w:t xml:space="preserve"> and monthly level of analysis.</w:t>
      </w:r>
      <w:r w:rsidRPr="00854E06">
        <w:rPr>
          <w:rFonts w:asciiTheme="majorBidi" w:hAnsiTheme="majorBidi" w:cstheme="majorBidi"/>
          <w:sz w:val="24"/>
          <w:szCs w:val="24"/>
        </w:rPr>
        <w:t xml:space="preserve"> This could be because the rating parameters do not have a linear relationship</w:t>
      </w:r>
      <w:r>
        <w:rPr>
          <w:rFonts w:asciiTheme="majorBidi" w:hAnsiTheme="majorBidi" w:cstheme="majorBidi"/>
          <w:sz w:val="24"/>
          <w:szCs w:val="24"/>
        </w:rPr>
        <w:t xml:space="preserve"> with the proportion of land in agriculture</w:t>
      </w:r>
      <w:r w:rsidRPr="00854E06">
        <w:rPr>
          <w:rFonts w:asciiTheme="majorBidi" w:hAnsiTheme="majorBidi" w:cstheme="majorBidi"/>
          <w:sz w:val="24"/>
          <w:szCs w:val="24"/>
        </w:rPr>
        <w:t>, or because</w:t>
      </w:r>
      <w:r>
        <w:rPr>
          <w:rFonts w:asciiTheme="majorBidi" w:hAnsiTheme="majorBidi" w:cstheme="majorBidi"/>
          <w:sz w:val="24"/>
          <w:szCs w:val="24"/>
        </w:rPr>
        <w:t xml:space="preserve"> of a lack of</w:t>
      </w:r>
      <w:r w:rsidRPr="00854E06">
        <w:rPr>
          <w:rFonts w:asciiTheme="majorBidi" w:hAnsiTheme="majorBidi" w:cstheme="majorBidi"/>
          <w:sz w:val="24"/>
          <w:szCs w:val="24"/>
        </w:rPr>
        <w:t xml:space="preserve"> other </w:t>
      </w:r>
      <w:r>
        <w:rPr>
          <w:rFonts w:asciiTheme="majorBidi" w:hAnsiTheme="majorBidi" w:cstheme="majorBidi"/>
          <w:sz w:val="24"/>
          <w:szCs w:val="24"/>
        </w:rPr>
        <w:t xml:space="preserve">controlling </w:t>
      </w:r>
      <w:r w:rsidRPr="00854E06">
        <w:rPr>
          <w:rFonts w:asciiTheme="majorBidi" w:hAnsiTheme="majorBidi" w:cstheme="majorBidi"/>
          <w:sz w:val="24"/>
          <w:szCs w:val="24"/>
        </w:rPr>
        <w:t>factors</w:t>
      </w:r>
      <w:r>
        <w:rPr>
          <w:rFonts w:asciiTheme="majorBidi" w:hAnsiTheme="majorBidi" w:cstheme="majorBidi"/>
          <w:sz w:val="24"/>
          <w:szCs w:val="24"/>
        </w:rPr>
        <w:t xml:space="preserve"> in the analysis.</w:t>
      </w:r>
      <w:r w:rsidRPr="00854E06">
        <w:rPr>
          <w:rFonts w:asciiTheme="majorBidi" w:hAnsiTheme="majorBidi" w:cstheme="majorBidi"/>
          <w:sz w:val="24"/>
          <w:szCs w:val="24"/>
        </w:rPr>
        <w:t xml:space="preserve"> Factors that could also be taken into account include soil </w:t>
      </w:r>
      <w:proofErr w:type="spellStart"/>
      <w:r w:rsidRPr="00854E06">
        <w:rPr>
          <w:rFonts w:asciiTheme="majorBidi" w:hAnsiTheme="majorBidi" w:cstheme="majorBidi"/>
          <w:sz w:val="24"/>
          <w:szCs w:val="24"/>
        </w:rPr>
        <w:t>erodibility</w:t>
      </w:r>
      <w:proofErr w:type="spellEnd"/>
      <w:r w:rsidRPr="00854E06">
        <w:rPr>
          <w:rFonts w:asciiTheme="majorBidi" w:hAnsiTheme="majorBidi" w:cstheme="majorBidi"/>
          <w:sz w:val="24"/>
          <w:szCs w:val="24"/>
        </w:rPr>
        <w:t xml:space="preserve">, temperature, precipitation, and stream velocity. Other factors include the relative distance from </w:t>
      </w:r>
      <w:r w:rsidRPr="00854E06">
        <w:rPr>
          <w:rFonts w:asciiTheme="majorBidi" w:hAnsiTheme="majorBidi" w:cstheme="majorBidi"/>
          <w:sz w:val="24"/>
          <w:szCs w:val="24"/>
        </w:rPr>
        <w:lastRenderedPageBreak/>
        <w:t>the agricultural</w:t>
      </w:r>
      <w:r>
        <w:rPr>
          <w:rFonts w:asciiTheme="majorBidi" w:hAnsiTheme="majorBidi" w:cstheme="majorBidi"/>
          <w:sz w:val="24"/>
          <w:szCs w:val="24"/>
        </w:rPr>
        <w:t xml:space="preserve"> sites</w:t>
      </w:r>
      <w:r w:rsidRPr="00854E06">
        <w:rPr>
          <w:rFonts w:asciiTheme="majorBidi" w:hAnsiTheme="majorBidi" w:cstheme="majorBidi"/>
          <w:sz w:val="24"/>
          <w:szCs w:val="24"/>
        </w:rPr>
        <w:t xml:space="preserve"> to the tributary network, the connectivity of runoff pathways, or the presence of sediment sinks between a land parcel and the river, which could cause disconnection between sediment sources and rivers.  On the other hand, the design of the analysis did not avoid the problem of nested input</w:t>
      </w:r>
      <w:r>
        <w:rPr>
          <w:rFonts w:asciiTheme="majorBidi" w:hAnsiTheme="majorBidi" w:cstheme="majorBidi"/>
          <w:sz w:val="24"/>
          <w:szCs w:val="24"/>
        </w:rPr>
        <w:t xml:space="preserve"> in hydrologic modelling</w:t>
      </w:r>
      <w:r w:rsidRPr="00854E06">
        <w:rPr>
          <w:rFonts w:asciiTheme="majorBidi" w:hAnsiTheme="majorBidi" w:cstheme="majorBidi"/>
          <w:sz w:val="24"/>
          <w:szCs w:val="24"/>
        </w:rPr>
        <w:t xml:space="preserve"> (i.e. the percentage of land use contributing to a station includes all land in the basin that contributes runoff and sediment to that point), which may </w:t>
      </w:r>
      <w:r>
        <w:rPr>
          <w:rFonts w:asciiTheme="majorBidi" w:hAnsiTheme="majorBidi" w:cstheme="majorBidi"/>
          <w:sz w:val="24"/>
          <w:szCs w:val="24"/>
        </w:rPr>
        <w:t>affect</w:t>
      </w:r>
      <w:r w:rsidRPr="00854E06">
        <w:rPr>
          <w:rFonts w:asciiTheme="majorBidi" w:hAnsiTheme="majorBidi" w:cstheme="majorBidi"/>
          <w:sz w:val="24"/>
          <w:szCs w:val="24"/>
        </w:rPr>
        <w:t xml:space="preserve"> the correlation between sediment rating curve parameters and land cover</w:t>
      </w:r>
      <w:r>
        <w:rPr>
          <w:rFonts w:asciiTheme="majorBidi" w:hAnsiTheme="majorBidi" w:cstheme="majorBidi"/>
          <w:sz w:val="24"/>
          <w:szCs w:val="24"/>
        </w:rPr>
        <w:t xml:space="preserve"> by violating the assumption of independent errors in the linear regression</w:t>
      </w:r>
      <w:r w:rsidRPr="00854E06">
        <w:rPr>
          <w:rFonts w:asciiTheme="majorBidi" w:hAnsiTheme="majorBidi" w:cstheme="majorBidi"/>
          <w:sz w:val="24"/>
          <w:szCs w:val="24"/>
        </w:rPr>
        <w:t>. Another reason for the non-significant results may be that the percentage of land use contributing to each station was not the best choice of parameter to link land use to sediment in the rivers. Some other indices that could be used include NDVI (Normalized Difference Vegetation Index) or absolute values of land use contributing to the catchment of each station</w:t>
      </w:r>
      <w:r>
        <w:rPr>
          <w:rFonts w:asciiTheme="majorBidi" w:hAnsiTheme="majorBidi" w:cstheme="majorBidi"/>
          <w:sz w:val="24"/>
          <w:szCs w:val="24"/>
        </w:rPr>
        <w:t xml:space="preserve">, as suggested in study of </w:t>
      </w:r>
      <w:r>
        <w:rPr>
          <w:rFonts w:asciiTheme="majorBidi" w:hAnsiTheme="majorBidi" w:cstheme="majorBidi"/>
          <w:sz w:val="24"/>
          <w:szCs w:val="24"/>
        </w:rPr>
        <w:fldChar w:fldCharType="begin"/>
      </w:r>
      <w:r>
        <w:rPr>
          <w:rFonts w:asciiTheme="majorBidi" w:hAnsiTheme="majorBidi" w:cstheme="majorBidi"/>
          <w:sz w:val="24"/>
          <w:szCs w:val="24"/>
        </w:rPr>
        <w:instrText xml:space="preserve"> ADDIN ZOTERO_ITEM CSL_CITATION {"citationID":"QqUSxbmW","properties":{"formattedCitation":"(Wang et al. 2013)","plainCitation":"(Wang et al. 2013)"},"citationItems":[{"id":547,"uris":["http://zotero.org/users/1706519/items/VMCXGXWE"],"uri":["http://zotero.org/users/1706519/items/VMCXGXWE"],"itemData":{"id":547,"type":"article-journal","title":"Development and Interpretation of New Sediment Rating Curve Considering the Effect of Vegetation Cover for Asian Basins","container-title":"The Scientific World Journal","page":"e154375","volume":"2013","source":"www.hindawi.com","abstract":"Suspended sediment concentration of a river can provide very important perspective on erosion or soil loss of one river basin ecosystem. The changes of land use and land cover, such as deforestation or afforestation, affect sediment yield process of a catchment through changing the hydrological cycle of the area. A sediment rating curve can describe the average relation between discharge and suspended sediment concentration for a certain location. However, the sediment load of a river is likely to be undersimulated from water discharge using least squares regression of log-transformed variables and the sediment rating curve does not consider temporal changes of vegetation cover. The Normalized Difference Vegetation Index (NDVI) can well be used to analyze the status of the vegetation cover well. Thus long time monthly NDVI data was used to detect vegetation change in the past 19 years in this study. Then monthly suspended sediment concentration and discharge from 1988 to 2006 in Laichau station were used to develop one new sediment rating curve and were validated in other Asian basins. The new sediment model can describe the relationship among sediment yield, streamflow, and vegetation cover, which can be the basis for soil conservation and sustainable ecosystem management.","DOI":"10.1155/2013/154375","language":"en","author":[{"family":"Wang","given":"Jie"},{"family":"Ishidaira","given":"Hiroshi"},{"family":"Sun","given":"Wenchao"},{"family":"Ning","given":"Shaowei"}],"issued":{"date-parts":[["2013",12,24]]},"accessed":{"date-parts":[["2014",5,2]]}}}],"schema":"https://github.com/citation-style-language/schema/raw/master/csl-citation.json"} </w:instrText>
      </w:r>
      <w:r>
        <w:rPr>
          <w:rFonts w:asciiTheme="majorBidi" w:hAnsiTheme="majorBidi" w:cstheme="majorBidi"/>
          <w:sz w:val="24"/>
          <w:szCs w:val="24"/>
        </w:rPr>
        <w:fldChar w:fldCharType="separate"/>
      </w:r>
      <w:r w:rsidRPr="00D60CA8">
        <w:rPr>
          <w:rFonts w:ascii="Times New Roman" w:hAnsi="Times New Roman" w:cs="Times New Roman"/>
          <w:sz w:val="24"/>
        </w:rPr>
        <w:t xml:space="preserve">Wang et al. </w:t>
      </w:r>
      <w:r>
        <w:rPr>
          <w:rFonts w:ascii="Times New Roman" w:hAnsi="Times New Roman" w:cs="Times New Roman"/>
          <w:sz w:val="24"/>
        </w:rPr>
        <w:t>(</w:t>
      </w:r>
      <w:r w:rsidRPr="00D60CA8">
        <w:rPr>
          <w:rFonts w:ascii="Times New Roman" w:hAnsi="Times New Roman" w:cs="Times New Roman"/>
          <w:sz w:val="24"/>
        </w:rPr>
        <w:t>2013)</w:t>
      </w:r>
      <w:r>
        <w:rPr>
          <w:rFonts w:asciiTheme="majorBidi" w:hAnsiTheme="majorBidi" w:cstheme="majorBidi"/>
          <w:sz w:val="24"/>
          <w:szCs w:val="24"/>
        </w:rPr>
        <w:fldChar w:fldCharType="end"/>
      </w:r>
      <w:r w:rsidRPr="00854E06">
        <w:rPr>
          <w:rFonts w:asciiTheme="majorBidi" w:hAnsiTheme="majorBidi" w:cstheme="majorBidi"/>
          <w:sz w:val="24"/>
          <w:szCs w:val="24"/>
        </w:rPr>
        <w:t xml:space="preserve">. </w:t>
      </w:r>
    </w:p>
    <w:p w:rsidR="002948D0" w:rsidRPr="00854E06" w:rsidRDefault="002948D0" w:rsidP="006473B4">
      <w:pPr>
        <w:pStyle w:val="ListParagraph"/>
        <w:spacing w:line="480" w:lineRule="auto"/>
        <w:ind w:left="0" w:firstLine="270"/>
        <w:jc w:val="both"/>
        <w:rPr>
          <w:rFonts w:asciiTheme="majorBidi" w:hAnsiTheme="majorBidi" w:cstheme="majorBidi"/>
          <w:sz w:val="24"/>
          <w:szCs w:val="24"/>
        </w:rPr>
      </w:pPr>
    </w:p>
    <w:p w:rsidR="009864AD" w:rsidRPr="00854E06" w:rsidRDefault="009864AD">
      <w:pPr>
        <w:spacing w:after="200" w:line="276" w:lineRule="auto"/>
        <w:rPr>
          <w:rFonts w:eastAsiaTheme="minorHAnsi" w:cstheme="majorBidi"/>
        </w:rPr>
      </w:pPr>
      <w:r w:rsidRPr="00854E06">
        <w:rPr>
          <w:rFonts w:cstheme="majorBidi"/>
        </w:rPr>
        <w:br w:type="page"/>
      </w:r>
    </w:p>
    <w:p w:rsidR="00742E9F" w:rsidRPr="00854E06" w:rsidRDefault="00742E9F" w:rsidP="00742E9F">
      <w:pPr>
        <w:pStyle w:val="Heading1"/>
        <w:rPr>
          <w:rFonts w:eastAsiaTheme="minorHAnsi"/>
        </w:rPr>
      </w:pPr>
      <w:bookmarkStart w:id="155" w:name="_Toc394525582"/>
      <w:r w:rsidRPr="00854E06">
        <w:lastRenderedPageBreak/>
        <w:t>Conclusions and Recommendations</w:t>
      </w:r>
      <w:bookmarkEnd w:id="155"/>
    </w:p>
    <w:p w:rsidR="00742E9F" w:rsidRPr="00854E06" w:rsidRDefault="00742E9F" w:rsidP="00742E9F">
      <w:pPr>
        <w:spacing w:line="480" w:lineRule="auto"/>
        <w:ind w:left="360"/>
        <w:rPr>
          <w:rFonts w:ascii="Times New Roman" w:hAnsi="Times New Roman" w:cs="Times New Roman"/>
        </w:rPr>
      </w:pPr>
    </w:p>
    <w:p w:rsidR="00D57296" w:rsidRPr="00854E06" w:rsidRDefault="00D57296" w:rsidP="00D57296">
      <w:pPr>
        <w:spacing w:line="480" w:lineRule="auto"/>
        <w:ind w:firstLine="720"/>
        <w:jc w:val="both"/>
        <w:rPr>
          <w:rFonts w:ascii="Times New Roman" w:hAnsi="Times New Roman" w:cs="Times New Roman"/>
        </w:rPr>
      </w:pPr>
      <w:r w:rsidRPr="00854E06">
        <w:rPr>
          <w:rFonts w:ascii="Times New Roman" w:hAnsi="Times New Roman" w:cs="Times New Roman"/>
        </w:rPr>
        <w:t xml:space="preserve">Rating curves have been used in many studies to model the empirical relationship between suspended sediment load and stream discharge.  In this study, I calculated and examined the sediment rating curve parameters </w:t>
      </w:r>
      <m:oMath>
        <m:r>
          <w:rPr>
            <w:rFonts w:ascii="Cambria Math" w:hAnsi="Cambria Math" w:cs="Times New Roman"/>
          </w:rPr>
          <m:t>a</m:t>
        </m:r>
      </m:oMath>
      <w:r w:rsidRPr="00854E06">
        <w:rPr>
          <w:rFonts w:ascii="Times New Roman" w:hAnsi="Times New Roman" w:cs="Times New Roman"/>
        </w:rPr>
        <w:t xml:space="preserve"> and </w:t>
      </w:r>
      <m:oMath>
        <m:r>
          <w:rPr>
            <w:rFonts w:ascii="Cambria Math" w:hAnsi="Cambria Math" w:cs="Times New Roman"/>
          </w:rPr>
          <m:t>b</m:t>
        </m:r>
      </m:oMath>
      <w:r w:rsidRPr="00854E06">
        <w:rPr>
          <w:rFonts w:ascii="Times New Roman" w:hAnsi="Times New Roman" w:cs="Times New Roman"/>
        </w:rPr>
        <w:t xml:space="preserve"> to characterize the annual and monthly sediment transport at 6</w:t>
      </w:r>
      <w:r>
        <w:rPr>
          <w:rFonts w:ascii="Times New Roman" w:hAnsi="Times New Roman" w:cs="Times New Roman"/>
        </w:rPr>
        <w:t>4</w:t>
      </w:r>
      <w:r w:rsidRPr="00854E06">
        <w:rPr>
          <w:rFonts w:ascii="Times New Roman" w:hAnsi="Times New Roman" w:cs="Times New Roman"/>
        </w:rPr>
        <w:t xml:space="preserve"> gauging stations in the UMRB. The major findings are:</w:t>
      </w:r>
    </w:p>
    <w:p w:rsidR="00D57296" w:rsidRPr="00854E06" w:rsidRDefault="00D57296" w:rsidP="00D57296">
      <w:pPr>
        <w:pStyle w:val="ListParagraph"/>
        <w:numPr>
          <w:ilvl w:val="0"/>
          <w:numId w:val="35"/>
        </w:numPr>
        <w:spacing w:line="480" w:lineRule="auto"/>
        <w:jc w:val="both"/>
        <w:rPr>
          <w:rFonts w:ascii="Times New Roman" w:hAnsi="Times New Roman" w:cs="Times New Roman"/>
        </w:rPr>
      </w:pPr>
      <w:r w:rsidRPr="00854E06">
        <w:rPr>
          <w:rFonts w:ascii="Times New Roman" w:eastAsia="Times New Roman" w:hAnsi="Times New Roman" w:cs="Times New Roman"/>
          <w:sz w:val="24"/>
          <w:szCs w:val="24"/>
        </w:rPr>
        <w:t xml:space="preserve">The ranges of the annual rating coefficient </w:t>
      </w:r>
      <m:oMath>
        <m:r>
          <w:rPr>
            <w:rFonts w:ascii="Cambria Math" w:eastAsia="Times New Roman" w:hAnsi="Cambria Math" w:cs="Times New Roman"/>
            <w:sz w:val="24"/>
            <w:szCs w:val="24"/>
          </w:rPr>
          <m:t>a</m:t>
        </m:r>
      </m:oMath>
      <w:r w:rsidRPr="00854E06">
        <w:rPr>
          <w:rFonts w:ascii="Times New Roman" w:eastAsia="Times New Roman" w:hAnsi="Times New Roman" w:cs="Times New Roman"/>
          <w:sz w:val="24"/>
          <w:szCs w:val="24"/>
        </w:rPr>
        <w:t xml:space="preserve"> and exponent </w:t>
      </w:r>
      <m:oMath>
        <m:r>
          <w:rPr>
            <w:rFonts w:ascii="Cambria Math" w:eastAsia="Times New Roman" w:hAnsi="Cambria Math" w:cs="Times New Roman"/>
            <w:sz w:val="24"/>
            <w:szCs w:val="24"/>
          </w:rPr>
          <m:t>b</m:t>
        </m:r>
      </m:oMath>
      <w:r w:rsidRPr="00854E06">
        <w:rPr>
          <w:rFonts w:ascii="Times New Roman" w:eastAsia="Times New Roman" w:hAnsi="Times New Roman" w:cs="Times New Roman"/>
          <w:sz w:val="24"/>
          <w:szCs w:val="24"/>
        </w:rPr>
        <w:t xml:space="preserve"> are </w:t>
      </w:r>
      <w:r>
        <w:rPr>
          <w:rFonts w:ascii="Times New Roman" w:eastAsia="Times New Roman" w:hAnsi="Times New Roman" w:cs="Times New Roman"/>
          <w:sz w:val="24"/>
          <w:szCs w:val="24"/>
        </w:rPr>
        <w:t>from 0</w:t>
      </w:r>
      <w:r w:rsidRPr="00854E06">
        <w:rPr>
          <w:rFonts w:ascii="Times New Roman" w:eastAsia="Times New Roman" w:hAnsi="Times New Roman" w:cs="Times New Roman"/>
          <w:sz w:val="24"/>
          <w:szCs w:val="24"/>
        </w:rPr>
        <w:t xml:space="preserve"> to 0.25</w:t>
      </w:r>
      <w:r>
        <w:rPr>
          <w:rFonts w:ascii="Times New Roman" w:eastAsia="Times New Roman" w:hAnsi="Times New Roman" w:cs="Times New Roman"/>
          <w:sz w:val="24"/>
          <w:szCs w:val="24"/>
        </w:rPr>
        <w:t xml:space="preserve"> </w:t>
      </w:r>
      <w:r w:rsidRPr="008B73D4">
        <w:rPr>
          <w:rFonts w:ascii="Times New Roman" w:eastAsiaTheme="minorEastAsia" w:hAnsi="Times New Roman" w:cs="Times New Roman"/>
        </w:rPr>
        <w:t>(kg/s</w:t>
      </w:r>
      <w:proofErr w:type="gramStart"/>
      <w:r w:rsidRPr="008B73D4">
        <w:rPr>
          <w:rFonts w:ascii="Times New Roman" w:eastAsiaTheme="minorEastAsia" w:hAnsi="Times New Roman" w:cs="Times New Roman"/>
        </w:rPr>
        <w:t>)(</w:t>
      </w:r>
      <w:proofErr w:type="gramEnd"/>
      <w:r w:rsidRPr="008B73D4">
        <w:rPr>
          <w:rFonts w:ascii="Times New Roman" w:eastAsiaTheme="minorEastAsia" w:hAnsi="Times New Roman" w:cs="Times New Roman"/>
        </w:rPr>
        <w:t>s/m</w:t>
      </w:r>
      <w:r w:rsidRPr="008B73D4">
        <w:rPr>
          <w:rFonts w:ascii="Times New Roman" w:eastAsiaTheme="minorEastAsia" w:hAnsi="Times New Roman" w:cs="Times New Roman"/>
          <w:vertAlign w:val="superscript"/>
        </w:rPr>
        <w:t>3</w:t>
      </w:r>
      <w:r w:rsidRPr="008B73D4">
        <w:rPr>
          <w:rFonts w:ascii="Times New Roman" w:eastAsiaTheme="minorEastAsia" w:hAnsi="Times New Roman" w:cs="Times New Roman"/>
        </w:rPr>
        <w:t>)</w:t>
      </w:r>
      <w:r w:rsidRPr="008B73D4">
        <w:rPr>
          <w:rFonts w:ascii="Times New Roman" w:eastAsiaTheme="minorEastAsia" w:hAnsi="Times New Roman" w:cs="Times New Roman"/>
          <w:vertAlign w:val="superscript"/>
        </w:rPr>
        <w:t>b</w:t>
      </w:r>
      <w:r w:rsidRPr="00854E06">
        <w:rPr>
          <w:rFonts w:ascii="Times New Roman" w:eastAsia="Times New Roman" w:hAnsi="Times New Roman" w:cs="Times New Roman"/>
          <w:sz w:val="24"/>
          <w:szCs w:val="24"/>
        </w:rPr>
        <w:t xml:space="preserve"> an</w:t>
      </w:r>
      <w:r>
        <w:rPr>
          <w:rFonts w:ascii="Times New Roman" w:eastAsia="Times New Roman" w:hAnsi="Times New Roman" w:cs="Times New Roman"/>
          <w:sz w:val="24"/>
          <w:szCs w:val="24"/>
        </w:rPr>
        <w:t>d 0.91</w:t>
      </w:r>
      <w:r w:rsidRPr="00854E06">
        <w:rPr>
          <w:rFonts w:ascii="Times New Roman" w:eastAsia="Times New Roman" w:hAnsi="Times New Roman" w:cs="Times New Roman"/>
          <w:sz w:val="24"/>
          <w:szCs w:val="24"/>
        </w:rPr>
        <w:t xml:space="preserve"> to 4.27, respectively. The ranges of the monthly rating coefficient </w:t>
      </w:r>
      <m:oMath>
        <m:r>
          <w:rPr>
            <w:rFonts w:ascii="Cambria Math" w:eastAsia="Times New Roman" w:hAnsi="Cambria Math" w:cs="Times New Roman"/>
            <w:sz w:val="24"/>
            <w:szCs w:val="24"/>
          </w:rPr>
          <m:t>a</m:t>
        </m:r>
      </m:oMath>
      <w:r w:rsidRPr="00854E06">
        <w:rPr>
          <w:rFonts w:ascii="Times New Roman" w:eastAsia="Times New Roman" w:hAnsi="Times New Roman" w:cs="Times New Roman"/>
          <w:sz w:val="24"/>
          <w:szCs w:val="24"/>
        </w:rPr>
        <w:t xml:space="preserve"> and exponent </w:t>
      </w:r>
      <m:oMath>
        <m:r>
          <w:rPr>
            <w:rFonts w:ascii="Cambria Math" w:eastAsia="Times New Roman" w:hAnsi="Cambria Math" w:cs="Times New Roman"/>
            <w:sz w:val="24"/>
            <w:szCs w:val="24"/>
          </w:rPr>
          <m:t>b</m:t>
        </m:r>
      </m:oMath>
      <w:r w:rsidRPr="00854E06">
        <w:rPr>
          <w:rFonts w:ascii="Times New Roman" w:eastAsia="Times New Roman" w:hAnsi="Times New Roman" w:cs="Times New Roman"/>
          <w:sz w:val="24"/>
          <w:szCs w:val="24"/>
        </w:rPr>
        <w:t xml:space="preserve"> are </w:t>
      </w:r>
      <w:r>
        <w:rPr>
          <w:rFonts w:ascii="Times New Roman" w:eastAsia="Times New Roman" w:hAnsi="Times New Roman" w:cs="Times New Roman"/>
          <w:sz w:val="24"/>
          <w:szCs w:val="24"/>
        </w:rPr>
        <w:t>from 0 to</w:t>
      </w:r>
      <w:r w:rsidRPr="00854E06">
        <w:rPr>
          <w:rFonts w:ascii="Times New Roman" w:eastAsia="Times New Roman" w:hAnsi="Times New Roman" w:cs="Times New Roman"/>
          <w:sz w:val="24"/>
          <w:szCs w:val="24"/>
        </w:rPr>
        <w:t xml:space="preserve"> 0.239 </w:t>
      </w:r>
      <w:r w:rsidRPr="008B73D4">
        <w:rPr>
          <w:rFonts w:ascii="Times New Roman" w:eastAsiaTheme="minorEastAsia" w:hAnsi="Times New Roman" w:cs="Times New Roman"/>
        </w:rPr>
        <w:t>(kg/s</w:t>
      </w:r>
      <w:proofErr w:type="gramStart"/>
      <w:r w:rsidRPr="008B73D4">
        <w:rPr>
          <w:rFonts w:ascii="Times New Roman" w:eastAsiaTheme="minorEastAsia" w:hAnsi="Times New Roman" w:cs="Times New Roman"/>
        </w:rPr>
        <w:t>)(</w:t>
      </w:r>
      <w:proofErr w:type="gramEnd"/>
      <w:r w:rsidRPr="008B73D4">
        <w:rPr>
          <w:rFonts w:ascii="Times New Roman" w:eastAsiaTheme="minorEastAsia" w:hAnsi="Times New Roman" w:cs="Times New Roman"/>
        </w:rPr>
        <w:t>s/m</w:t>
      </w:r>
      <w:r w:rsidRPr="008B73D4">
        <w:rPr>
          <w:rFonts w:ascii="Times New Roman" w:eastAsiaTheme="minorEastAsia" w:hAnsi="Times New Roman" w:cs="Times New Roman"/>
          <w:vertAlign w:val="superscript"/>
        </w:rPr>
        <w:t>3</w:t>
      </w:r>
      <w:r w:rsidRPr="008B73D4">
        <w:rPr>
          <w:rFonts w:ascii="Times New Roman" w:eastAsiaTheme="minorEastAsia" w:hAnsi="Times New Roman" w:cs="Times New Roman"/>
        </w:rPr>
        <w:t>)</w:t>
      </w:r>
      <w:r w:rsidRPr="008B73D4">
        <w:rPr>
          <w:rFonts w:ascii="Times New Roman" w:eastAsiaTheme="minorEastAsia" w:hAnsi="Times New Roman" w:cs="Times New Roman"/>
          <w:vertAlign w:val="superscript"/>
        </w:rPr>
        <w:t>b</w:t>
      </w:r>
      <w:r w:rsidRPr="00854E0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and 0.09</w:t>
      </w:r>
      <w:r w:rsidRPr="00854E0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sidRPr="00854E06">
        <w:rPr>
          <w:rFonts w:ascii="Times New Roman" w:eastAsia="Times New Roman" w:hAnsi="Times New Roman" w:cs="Times New Roman"/>
          <w:sz w:val="24"/>
          <w:szCs w:val="24"/>
        </w:rPr>
        <w:t>o 3.72, respectively.</w:t>
      </w:r>
    </w:p>
    <w:p w:rsidR="00D57296" w:rsidRPr="00854E06" w:rsidRDefault="00D57296" w:rsidP="00D57296">
      <w:pPr>
        <w:pStyle w:val="ListParagraph"/>
        <w:numPr>
          <w:ilvl w:val="0"/>
          <w:numId w:val="3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Small values of annual and monthly coefficient </w:t>
      </w:r>
      <m:oMath>
        <m:r>
          <w:rPr>
            <w:rFonts w:ascii="Cambria Math" w:hAnsi="Cambria Math" w:cs="Times New Roman"/>
            <w:sz w:val="24"/>
            <w:szCs w:val="24"/>
          </w:rPr>
          <m:t>a</m:t>
        </m:r>
      </m:oMath>
      <w:r>
        <w:rPr>
          <w:rFonts w:ascii="Times New Roman" w:hAnsi="Times New Roman" w:cs="Times New Roman"/>
          <w:sz w:val="24"/>
          <w:szCs w:val="24"/>
        </w:rPr>
        <w:t xml:space="preserve"> indicate small sediment concentrations at unit flow the rivers, especially in the Upper Mississippi River. </w:t>
      </w:r>
      <w:r w:rsidRPr="00854E06">
        <w:rPr>
          <w:rFonts w:ascii="Times New Roman" w:hAnsi="Times New Roman" w:cs="Times New Roman"/>
          <w:sz w:val="24"/>
          <w:szCs w:val="24"/>
        </w:rPr>
        <w:t xml:space="preserve">  </w:t>
      </w:r>
    </w:p>
    <w:p w:rsidR="00D57296" w:rsidRPr="00854E06" w:rsidRDefault="00D57296" w:rsidP="00D57296">
      <w:pPr>
        <w:pStyle w:val="ListParagraph"/>
        <w:numPr>
          <w:ilvl w:val="0"/>
          <w:numId w:val="34"/>
        </w:numPr>
        <w:spacing w:after="0" w:line="480" w:lineRule="auto"/>
        <w:jc w:val="both"/>
        <w:rPr>
          <w:rFonts w:ascii="Times New Roman" w:hAnsi="Times New Roman" w:cs="Times New Roman"/>
          <w:sz w:val="24"/>
          <w:szCs w:val="24"/>
        </w:rPr>
      </w:pPr>
      <w:r w:rsidRPr="00854E06">
        <w:rPr>
          <w:rFonts w:ascii="Times New Roman" w:hAnsi="Times New Roman" w:cs="Times New Roman"/>
          <w:sz w:val="24"/>
          <w:szCs w:val="24"/>
        </w:rPr>
        <w:t xml:space="preserve">The dominant shape of sediment rating curves in the URMB is convex at both annual and monthly levels of analysis. The convex shape of the rating curves indicates a transport-limited condition in the relationship between suspended sediment load and stream discharge. This information provides a general picture about sediment transport associated with discharge in the UMRB. </w:t>
      </w:r>
    </w:p>
    <w:p w:rsidR="00D57296" w:rsidRPr="00854E06" w:rsidRDefault="00D57296" w:rsidP="00D57296">
      <w:pPr>
        <w:pStyle w:val="ListParagraph"/>
        <w:numPr>
          <w:ilvl w:val="0"/>
          <w:numId w:val="34"/>
        </w:numPr>
        <w:spacing w:after="0" w:line="480" w:lineRule="auto"/>
        <w:jc w:val="both"/>
        <w:rPr>
          <w:rFonts w:ascii="Times New Roman" w:hAnsi="Times New Roman" w:cs="Times New Roman"/>
          <w:sz w:val="24"/>
          <w:szCs w:val="24"/>
        </w:rPr>
      </w:pPr>
      <w:proofErr w:type="gramStart"/>
      <w:r w:rsidRPr="00854E06">
        <w:rPr>
          <w:rFonts w:ascii="Times New Roman" w:hAnsi="Times New Roman" w:cs="Times New Roman"/>
          <w:sz w:val="24"/>
          <w:szCs w:val="24"/>
        </w:rPr>
        <w:t xml:space="preserve">This study found that </w:t>
      </w:r>
      <m:oMath>
        <m:r>
          <w:rPr>
            <w:rFonts w:ascii="Cambria Math" w:hAnsi="Cambria Math" w:cs="Times New Roman"/>
            <w:sz w:val="24"/>
            <w:szCs w:val="24"/>
          </w:rPr>
          <m:t>ln(a)</m:t>
        </m:r>
      </m:oMath>
      <w:r w:rsidRPr="00854E06">
        <w:rPr>
          <w:rFonts w:ascii="Times New Roman" w:hAnsi="Times New Roman" w:cs="Times New Roman"/>
          <w:sz w:val="24"/>
          <w:szCs w:val="24"/>
        </w:rPr>
        <w:t xml:space="preserve"> and </w:t>
      </w:r>
      <m:oMath>
        <m:r>
          <w:rPr>
            <w:rFonts w:ascii="Cambria Math" w:hAnsi="Cambria Math" w:cs="Times New Roman"/>
            <w:sz w:val="24"/>
            <w:szCs w:val="24"/>
          </w:rPr>
          <m:t>b</m:t>
        </m:r>
      </m:oMath>
      <w:r w:rsidRPr="00854E06">
        <w:rPr>
          <w:rFonts w:ascii="Times New Roman" w:hAnsi="Times New Roman" w:cs="Times New Roman"/>
          <w:sz w:val="24"/>
          <w:szCs w:val="24"/>
        </w:rPr>
        <w:t xml:space="preserve"> were</w:t>
      </w:r>
      <w:proofErr w:type="gramEnd"/>
      <w:r w:rsidRPr="00854E06">
        <w:rPr>
          <w:rFonts w:ascii="Times New Roman" w:hAnsi="Times New Roman" w:cs="Times New Roman"/>
          <w:sz w:val="24"/>
          <w:szCs w:val="24"/>
        </w:rPr>
        <w:t xml:space="preserve"> significantly correlated at both annual and monthly levels. However, the strength of this relationship varied with stream size. The correlation was stronger among large streams (streams with mean annual discharge &gt; 218 m</w:t>
      </w:r>
      <w:r w:rsidRPr="00854E06">
        <w:rPr>
          <w:rFonts w:ascii="Times New Roman" w:hAnsi="Times New Roman" w:cs="Times New Roman"/>
          <w:sz w:val="24"/>
          <w:szCs w:val="24"/>
          <w:vertAlign w:val="superscript"/>
        </w:rPr>
        <w:t>3</w:t>
      </w:r>
      <w:r w:rsidRPr="00854E06">
        <w:rPr>
          <w:rFonts w:ascii="Times New Roman" w:hAnsi="Times New Roman" w:cs="Times New Roman"/>
          <w:sz w:val="24"/>
          <w:szCs w:val="24"/>
        </w:rPr>
        <w:t xml:space="preserve">/s) than when the analysis lumped parameters of all stream sizes together. Among small streams, the correlation between </w:t>
      </w:r>
      <m:oMath>
        <m:r>
          <w:rPr>
            <w:rFonts w:ascii="Cambria Math" w:hAnsi="Cambria Math" w:cs="Times New Roman"/>
            <w:sz w:val="24"/>
            <w:szCs w:val="24"/>
          </w:rPr>
          <m:t>ln(a)</m:t>
        </m:r>
      </m:oMath>
      <w:r w:rsidRPr="00854E06">
        <w:rPr>
          <w:rFonts w:ascii="Times New Roman" w:hAnsi="Times New Roman" w:cs="Times New Roman"/>
          <w:sz w:val="24"/>
          <w:szCs w:val="24"/>
        </w:rPr>
        <w:t xml:space="preserve"> and </w:t>
      </w:r>
      <m:oMath>
        <m:r>
          <w:rPr>
            <w:rFonts w:ascii="Cambria Math" w:hAnsi="Cambria Math" w:cs="Times New Roman"/>
            <w:sz w:val="24"/>
            <w:szCs w:val="24"/>
          </w:rPr>
          <m:t>b</m:t>
        </m:r>
      </m:oMath>
      <w:r w:rsidRPr="00854E06">
        <w:rPr>
          <w:rFonts w:ascii="Times New Roman" w:hAnsi="Times New Roman" w:cs="Times New Roman"/>
          <w:sz w:val="24"/>
          <w:szCs w:val="24"/>
        </w:rPr>
        <w:t xml:space="preserve"> was weak at the annual level and was not significant at the monthly level, with the exceptions of March and April. This finding </w:t>
      </w:r>
      <w:r w:rsidRPr="00854E06">
        <w:rPr>
          <w:rFonts w:ascii="Times New Roman" w:hAnsi="Times New Roman" w:cs="Times New Roman"/>
          <w:sz w:val="24"/>
          <w:szCs w:val="24"/>
        </w:rPr>
        <w:lastRenderedPageBreak/>
        <w:t xml:space="preserve">suggests </w:t>
      </w:r>
      <w:r>
        <w:rPr>
          <w:rFonts w:ascii="Times New Roman" w:hAnsi="Times New Roman" w:cs="Times New Roman"/>
          <w:sz w:val="24"/>
          <w:szCs w:val="24"/>
        </w:rPr>
        <w:t>that stream sizes or distribution of the stream may create</w:t>
      </w:r>
      <w:r w:rsidRPr="00854E06">
        <w:rPr>
          <w:rFonts w:ascii="Times New Roman" w:hAnsi="Times New Roman" w:cs="Times New Roman"/>
          <w:sz w:val="24"/>
          <w:szCs w:val="24"/>
        </w:rPr>
        <w:t xml:space="preserve"> such</w:t>
      </w:r>
      <w:r>
        <w:rPr>
          <w:rFonts w:ascii="Times New Roman" w:hAnsi="Times New Roman" w:cs="Times New Roman"/>
          <w:sz w:val="24"/>
          <w:szCs w:val="24"/>
        </w:rPr>
        <w:t xml:space="preserve"> a strong</w:t>
      </w:r>
      <w:r w:rsidRPr="00854E06">
        <w:rPr>
          <w:rFonts w:ascii="Times New Roman" w:hAnsi="Times New Roman" w:cs="Times New Roman"/>
          <w:sz w:val="24"/>
          <w:szCs w:val="24"/>
        </w:rPr>
        <w:t xml:space="preserve"> correlation between the intercept and </w:t>
      </w:r>
      <w:r>
        <w:rPr>
          <w:rFonts w:ascii="Times New Roman" w:hAnsi="Times New Roman" w:cs="Times New Roman"/>
          <w:sz w:val="24"/>
          <w:szCs w:val="24"/>
        </w:rPr>
        <w:t>the slope of the logarithmic</w:t>
      </w:r>
      <w:r w:rsidRPr="00854E06">
        <w:rPr>
          <w:rFonts w:ascii="Times New Roman" w:hAnsi="Times New Roman" w:cs="Times New Roman"/>
          <w:sz w:val="24"/>
          <w:szCs w:val="24"/>
        </w:rPr>
        <w:t xml:space="preserve"> rating curve. </w:t>
      </w:r>
    </w:p>
    <w:p w:rsidR="00D57296" w:rsidRDefault="00D57296" w:rsidP="00D57296">
      <w:pPr>
        <w:pStyle w:val="ListParagraph"/>
        <w:numPr>
          <w:ilvl w:val="0"/>
          <w:numId w:val="34"/>
        </w:numPr>
        <w:spacing w:after="0" w:line="480" w:lineRule="auto"/>
        <w:jc w:val="both"/>
        <w:rPr>
          <w:rFonts w:ascii="Times New Roman" w:hAnsi="Times New Roman" w:cs="Times New Roman"/>
          <w:sz w:val="24"/>
          <w:szCs w:val="24"/>
        </w:rPr>
      </w:pPr>
      <w:r w:rsidRPr="00854E06">
        <w:rPr>
          <w:rFonts w:ascii="Times New Roman" w:hAnsi="Times New Roman" w:cs="Times New Roman"/>
          <w:sz w:val="24"/>
          <w:szCs w:val="24"/>
        </w:rPr>
        <w:t xml:space="preserve">There was a </w:t>
      </w:r>
      <w:r>
        <w:rPr>
          <w:rFonts w:ascii="Times New Roman" w:hAnsi="Times New Roman" w:cs="Times New Roman"/>
          <w:sz w:val="24"/>
          <w:szCs w:val="24"/>
        </w:rPr>
        <w:t xml:space="preserve">statistically </w:t>
      </w:r>
      <w:r w:rsidRPr="00854E06">
        <w:rPr>
          <w:rFonts w:ascii="Times New Roman" w:hAnsi="Times New Roman" w:cs="Times New Roman"/>
          <w:sz w:val="24"/>
          <w:szCs w:val="24"/>
        </w:rPr>
        <w:t xml:space="preserve">significant correlation between the rating coefficient </w:t>
      </w:r>
      <m:oMath>
        <m:r>
          <w:rPr>
            <w:rFonts w:ascii="Cambria Math" w:hAnsi="Cambria Math" w:cs="Times New Roman"/>
            <w:sz w:val="24"/>
            <w:szCs w:val="24"/>
          </w:rPr>
          <m:t>a</m:t>
        </m:r>
      </m:oMath>
      <w:r w:rsidRPr="00854E06">
        <w:rPr>
          <w:rFonts w:ascii="Times New Roman" w:hAnsi="Times New Roman" w:cs="Times New Roman"/>
          <w:sz w:val="24"/>
          <w:szCs w:val="24"/>
        </w:rPr>
        <w:t xml:space="preserve"> and mean stream discharge at both annual and monthly levels of analysis. The rating </w:t>
      </w:r>
      <w:proofErr w:type="gramStart"/>
      <w:r w:rsidRPr="00854E06">
        <w:rPr>
          <w:rFonts w:ascii="Times New Roman" w:hAnsi="Times New Roman" w:cs="Times New Roman"/>
          <w:sz w:val="24"/>
          <w:szCs w:val="24"/>
        </w:rPr>
        <w:t xml:space="preserve">exponent </w:t>
      </w:r>
      <w:proofErr w:type="gramEnd"/>
      <m:oMath>
        <m:r>
          <w:rPr>
            <w:rFonts w:ascii="Cambria Math" w:hAnsi="Cambria Math" w:cs="Times New Roman"/>
            <w:sz w:val="24"/>
            <w:szCs w:val="24"/>
          </w:rPr>
          <m:t>b</m:t>
        </m:r>
      </m:oMath>
      <w:r w:rsidRPr="00854E06">
        <w:rPr>
          <w:rFonts w:ascii="Times New Roman" w:eastAsiaTheme="minorEastAsia" w:hAnsi="Times New Roman" w:cs="Times New Roman"/>
          <w:sz w:val="24"/>
          <w:szCs w:val="24"/>
        </w:rPr>
        <w:t>, on the other hand,</w:t>
      </w:r>
      <w:r w:rsidRPr="00854E06">
        <w:rPr>
          <w:rFonts w:ascii="Times New Roman" w:hAnsi="Times New Roman" w:cs="Times New Roman"/>
          <w:sz w:val="24"/>
          <w:szCs w:val="24"/>
        </w:rPr>
        <w:t xml:space="preserve"> was weakly correlated</w:t>
      </w:r>
      <w:r>
        <w:rPr>
          <w:rFonts w:ascii="Times New Roman" w:hAnsi="Times New Roman" w:cs="Times New Roman"/>
          <w:sz w:val="24"/>
          <w:szCs w:val="24"/>
        </w:rPr>
        <w:t xml:space="preserve"> with mean annual discharge;</w:t>
      </w:r>
      <w:r w:rsidRPr="00854E06">
        <w:rPr>
          <w:rFonts w:ascii="Times New Roman" w:hAnsi="Times New Roman" w:cs="Times New Roman"/>
          <w:sz w:val="24"/>
          <w:szCs w:val="24"/>
        </w:rPr>
        <w:t xml:space="preserve"> this correlation was not </w:t>
      </w:r>
      <w:r>
        <w:rPr>
          <w:rFonts w:ascii="Times New Roman" w:hAnsi="Times New Roman" w:cs="Times New Roman"/>
          <w:sz w:val="24"/>
          <w:szCs w:val="24"/>
        </w:rPr>
        <w:t xml:space="preserve">even statistically </w:t>
      </w:r>
      <w:r w:rsidRPr="00854E06">
        <w:rPr>
          <w:rFonts w:ascii="Times New Roman" w:hAnsi="Times New Roman" w:cs="Times New Roman"/>
          <w:sz w:val="24"/>
          <w:szCs w:val="24"/>
        </w:rPr>
        <w:t xml:space="preserve">significant for monthly values. </w:t>
      </w:r>
    </w:p>
    <w:p w:rsidR="00D57296" w:rsidRPr="00854E06" w:rsidRDefault="00D57296" w:rsidP="00D57296">
      <w:pPr>
        <w:pStyle w:val="ListParagraph"/>
        <w:numPr>
          <w:ilvl w:val="0"/>
          <w:numId w:val="3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found that the coefficient </w:t>
      </w:r>
      <m:oMath>
        <m:r>
          <w:rPr>
            <w:rFonts w:ascii="Cambria Math" w:hAnsi="Cambria Math" w:cs="Times New Roman"/>
            <w:sz w:val="24"/>
            <w:szCs w:val="24"/>
          </w:rPr>
          <m:t>a</m:t>
        </m:r>
      </m:oMath>
      <w:r>
        <w:rPr>
          <w:rFonts w:ascii="Times New Roman" w:hAnsi="Times New Roman" w:cs="Times New Roman"/>
          <w:sz w:val="24"/>
          <w:szCs w:val="24"/>
        </w:rPr>
        <w:t xml:space="preserve"> and exponent </w:t>
      </w:r>
      <m:oMath>
        <m:r>
          <w:rPr>
            <w:rFonts w:ascii="Cambria Math" w:hAnsi="Cambria Math" w:cs="Times New Roman"/>
            <w:sz w:val="24"/>
            <w:szCs w:val="24"/>
          </w:rPr>
          <m:t>b</m:t>
        </m:r>
      </m:oMath>
      <w:r>
        <w:rPr>
          <w:rFonts w:ascii="Times New Roman" w:hAnsi="Times New Roman" w:cs="Times New Roman"/>
          <w:sz w:val="24"/>
          <w:szCs w:val="24"/>
        </w:rPr>
        <w:t xml:space="preserve"> were smaller in winter, compared to summer and spring, respectively. The results indicate low supply of sediment into streams due to frozen ground, and the inactive state of streams in transporting sediment during winter months, in comparison with other seasons. </w:t>
      </w:r>
    </w:p>
    <w:p w:rsidR="00D57296" w:rsidRDefault="00D57296" w:rsidP="00D57296">
      <w:pPr>
        <w:spacing w:line="480" w:lineRule="auto"/>
        <w:ind w:firstLine="720"/>
        <w:jc w:val="both"/>
        <w:rPr>
          <w:rFonts w:ascii="Times New Roman" w:hAnsi="Times New Roman" w:cs="Times New Roman"/>
        </w:rPr>
      </w:pPr>
      <w:r>
        <w:rPr>
          <w:rFonts w:ascii="Times New Roman" w:hAnsi="Times New Roman" w:cs="Times New Roman"/>
        </w:rPr>
        <w:t>Although the study of Meade and Moody (2010) stated that the Missouri–Mississippi River system had shifted to a supply-limited system of sediment transport, the results from this thesis show that the UMRB still had a transport-limited system. The difference in the conclusions of the two studies might be attributed to the definition of supply/transport-limited system, and how the issue was approached in each the study. While Meade and Muddy defined the supply-limited system based on the declining trend of sediment yielded, this thesis defined the transport-limited system based on the interrelationship between suspended sediment load and stream discharge. Hence, interpretation of technical terms should also consider the approach of study that refers to that term.</w:t>
      </w:r>
    </w:p>
    <w:p w:rsidR="005F6C2E" w:rsidRPr="00854E06" w:rsidRDefault="005F6C2E" w:rsidP="005F6C2E">
      <w:pPr>
        <w:spacing w:line="480" w:lineRule="auto"/>
        <w:ind w:firstLine="720"/>
        <w:jc w:val="both"/>
        <w:rPr>
          <w:rFonts w:ascii="Times New Roman" w:hAnsi="Times New Roman" w:cs="Times New Roman"/>
        </w:rPr>
      </w:pPr>
      <w:r>
        <w:rPr>
          <w:rFonts w:ascii="Times New Roman" w:hAnsi="Times New Roman" w:cs="Times New Roman"/>
        </w:rPr>
        <w:t xml:space="preserve">The annual transport-limited system observed at several stations with data after 1993 suggests a contradictory conclusion about the effect of the flood in 1993 on sediment transport in the UMRB as compared to other studies (Horowitz 2010). However, the disadvantage of this analysis is the short time record at those stations (1993–1998). Future studies could still consider </w:t>
      </w:r>
      <w:r>
        <w:rPr>
          <w:rFonts w:ascii="Times New Roman" w:hAnsi="Times New Roman" w:cs="Times New Roman"/>
        </w:rPr>
        <w:lastRenderedPageBreak/>
        <w:t>using the sediment rating curve to explore the interrelationship between suspended load and discharge prior to and after 1993 with a longer time record. Such study would shed light on the effect of the Great Flood on sediment transport in the UMRB.</w:t>
      </w:r>
    </w:p>
    <w:p w:rsidR="001B5A5F" w:rsidRDefault="001B5A5F" w:rsidP="003907AB">
      <w:pPr>
        <w:pStyle w:val="Heading1"/>
        <w:numPr>
          <w:ilvl w:val="0"/>
          <w:numId w:val="0"/>
        </w:numPr>
        <w:ind w:left="720"/>
        <w:jc w:val="left"/>
      </w:pPr>
    </w:p>
    <w:p w:rsidR="001B5A5F" w:rsidRDefault="001B5A5F" w:rsidP="003907AB">
      <w:pPr>
        <w:pStyle w:val="Heading1"/>
        <w:numPr>
          <w:ilvl w:val="0"/>
          <w:numId w:val="0"/>
        </w:numPr>
        <w:ind w:left="720"/>
        <w:jc w:val="left"/>
      </w:pPr>
    </w:p>
    <w:p w:rsidR="001B5A5F" w:rsidRDefault="001B5A5F" w:rsidP="001B5A5F"/>
    <w:p w:rsidR="001B5A5F" w:rsidRPr="001B5A5F" w:rsidRDefault="001B5A5F" w:rsidP="001B5A5F"/>
    <w:p w:rsidR="001B5A5F" w:rsidRDefault="001B5A5F" w:rsidP="003907AB">
      <w:pPr>
        <w:pStyle w:val="Heading1"/>
        <w:numPr>
          <w:ilvl w:val="0"/>
          <w:numId w:val="0"/>
        </w:numPr>
        <w:ind w:left="720"/>
        <w:jc w:val="left"/>
      </w:pPr>
    </w:p>
    <w:p w:rsidR="001B5A5F" w:rsidRDefault="001B5A5F" w:rsidP="001B5A5F"/>
    <w:p w:rsidR="001B5A5F" w:rsidRDefault="001B5A5F" w:rsidP="001B5A5F"/>
    <w:p w:rsidR="001B5A5F" w:rsidRDefault="001B5A5F" w:rsidP="001B5A5F"/>
    <w:p w:rsidR="001B5A5F" w:rsidRDefault="001B5A5F" w:rsidP="001B5A5F"/>
    <w:p w:rsidR="001B5A5F" w:rsidRDefault="001B5A5F" w:rsidP="001B5A5F"/>
    <w:p w:rsidR="001B5A5F" w:rsidRDefault="001B5A5F" w:rsidP="001B5A5F"/>
    <w:p w:rsidR="001B5A5F" w:rsidRPr="001B5A5F" w:rsidRDefault="001B5A5F" w:rsidP="001B5A5F"/>
    <w:p w:rsidR="0043791B" w:rsidRDefault="0043791B" w:rsidP="0043791B">
      <w:pPr>
        <w:pStyle w:val="Heading1"/>
        <w:numPr>
          <w:ilvl w:val="0"/>
          <w:numId w:val="0"/>
        </w:numPr>
        <w:ind w:left="720"/>
      </w:pPr>
    </w:p>
    <w:p w:rsidR="0043791B" w:rsidRDefault="0043791B" w:rsidP="0043791B">
      <w:pPr>
        <w:pStyle w:val="Heading1"/>
        <w:numPr>
          <w:ilvl w:val="0"/>
          <w:numId w:val="0"/>
        </w:numPr>
        <w:ind w:left="720"/>
      </w:pPr>
    </w:p>
    <w:p w:rsidR="0043791B" w:rsidRDefault="0043791B" w:rsidP="0043791B">
      <w:pPr>
        <w:pStyle w:val="Heading1"/>
        <w:numPr>
          <w:ilvl w:val="0"/>
          <w:numId w:val="0"/>
        </w:numPr>
        <w:ind w:left="720"/>
      </w:pPr>
    </w:p>
    <w:p w:rsidR="0043791B" w:rsidRDefault="0043791B" w:rsidP="0043791B">
      <w:pPr>
        <w:pStyle w:val="Heading1"/>
        <w:numPr>
          <w:ilvl w:val="0"/>
          <w:numId w:val="0"/>
        </w:numPr>
        <w:ind w:left="720"/>
      </w:pPr>
    </w:p>
    <w:p w:rsidR="0043791B" w:rsidRDefault="0043791B" w:rsidP="0043791B">
      <w:pPr>
        <w:pStyle w:val="Heading1"/>
        <w:numPr>
          <w:ilvl w:val="0"/>
          <w:numId w:val="0"/>
        </w:numPr>
        <w:ind w:left="720"/>
      </w:pPr>
    </w:p>
    <w:p w:rsidR="0043791B" w:rsidRDefault="003907AB" w:rsidP="0043791B">
      <w:pPr>
        <w:pStyle w:val="Heading1"/>
        <w:numPr>
          <w:ilvl w:val="0"/>
          <w:numId w:val="0"/>
        </w:numPr>
        <w:ind w:left="720"/>
      </w:pPr>
      <w:bookmarkStart w:id="156" w:name="_Toc394525583"/>
      <w:r w:rsidRPr="00854E06">
        <w:t>References Cited</w:t>
      </w:r>
      <w:bookmarkEnd w:id="156"/>
    </w:p>
    <w:p w:rsidR="0043791B" w:rsidRDefault="0043791B" w:rsidP="0043791B">
      <w:pPr>
        <w:rPr>
          <w:rFonts w:eastAsiaTheme="majorEastAsia" w:cstheme="majorBidi"/>
          <w:sz w:val="32"/>
          <w:szCs w:val="28"/>
        </w:rPr>
      </w:pPr>
      <w:r>
        <w:br w:type="page"/>
      </w:r>
    </w:p>
    <w:p w:rsidR="00F96258" w:rsidRDefault="00F41E6A" w:rsidP="00CC5D37">
      <w:pPr>
        <w:pStyle w:val="Bibliography"/>
        <w:spacing w:line="360" w:lineRule="auto"/>
      </w:pPr>
      <w:r w:rsidRPr="00854E06">
        <w:lastRenderedPageBreak/>
        <w:fldChar w:fldCharType="begin"/>
      </w:r>
      <w:r w:rsidR="0045452B">
        <w:instrText xml:space="preserve"> ADDIN ZOTERO_BIBL {"custom":[]} CSL_BIBLIOGRAPHY </w:instrText>
      </w:r>
      <w:r w:rsidRPr="00854E06">
        <w:fldChar w:fldCharType="separate"/>
      </w:r>
      <w:r w:rsidR="00F96258">
        <w:t xml:space="preserve">Ackerman, Steven A., and John A. Knox. 2011. </w:t>
      </w:r>
      <w:r w:rsidR="00F96258">
        <w:rPr>
          <w:i/>
          <w:iCs/>
        </w:rPr>
        <w:t>Meteorology: Understanding the Atmosphere</w:t>
      </w:r>
      <w:r w:rsidR="00F96258">
        <w:t>. 580: Johes and Barlett Learning. http://www.barnesandnoble.com/w/meteorology-steven-a-ackerman/1100116211.</w:t>
      </w:r>
    </w:p>
    <w:p w:rsidR="00F96258" w:rsidRDefault="00F96258" w:rsidP="00CC5D37">
      <w:pPr>
        <w:pStyle w:val="Bibliography"/>
        <w:spacing w:line="360" w:lineRule="auto"/>
      </w:pPr>
      <w:r>
        <w:t xml:space="preserve">Alexander, Jason S., Richard C. Wilson, and W. Reed Green. 2012. </w:t>
      </w:r>
      <w:r>
        <w:rPr>
          <w:i/>
          <w:iCs/>
        </w:rPr>
        <w:t>USGS Circular 1375: A Brief History and Summary of the Effects of River Engineering and Dams on the Mississippi River System and Delta</w:t>
      </w:r>
      <w:r>
        <w:t>. http://pubs.usgs.gov/circ/1375/.</w:t>
      </w:r>
    </w:p>
    <w:p w:rsidR="00F96258" w:rsidRDefault="00F96258" w:rsidP="00CC5D37">
      <w:pPr>
        <w:pStyle w:val="Bibliography"/>
        <w:spacing w:line="360" w:lineRule="auto"/>
      </w:pPr>
      <w:r>
        <w:t xml:space="preserve">Araujo, H. Andres, Andrew B. Cooper, Marwan A. Hassan, and Jeremy Venditti. “Estimating Suspended Sediment Concentrations in Areas with Limited Hydrological Data Using a Mixed-Effects Model.” </w:t>
      </w:r>
      <w:r>
        <w:rPr>
          <w:i/>
          <w:iCs/>
        </w:rPr>
        <w:t>Hydrological Processes</w:t>
      </w:r>
      <w:r>
        <w:t>.</w:t>
      </w:r>
    </w:p>
    <w:p w:rsidR="00F96258" w:rsidRDefault="00F96258" w:rsidP="00CC5D37">
      <w:pPr>
        <w:pStyle w:val="Bibliography"/>
        <w:spacing w:line="360" w:lineRule="auto"/>
      </w:pPr>
      <w:r>
        <w:t xml:space="preserve">Asselman, N. E. M. 1999. “Suspended Sediment Dynamics in a Large Drainage Basin: The River Rhine.” </w:t>
      </w:r>
      <w:r>
        <w:rPr>
          <w:i/>
          <w:iCs/>
        </w:rPr>
        <w:t>Hydrological Processes</w:t>
      </w:r>
      <w:r>
        <w:t xml:space="preserve"> 13 (10): 1437–50. doi:10.1002/(SICI)1099-1085(199907)13:10&lt;1437::AID-HYP821&gt;3.0.CO;2-J.</w:t>
      </w:r>
    </w:p>
    <w:p w:rsidR="00F96258" w:rsidRDefault="00F96258" w:rsidP="00CC5D37">
      <w:pPr>
        <w:pStyle w:val="Bibliography"/>
        <w:spacing w:line="360" w:lineRule="auto"/>
      </w:pPr>
      <w:r>
        <w:t xml:space="preserve">Asselman, N.E.M. 2000. “Fitting and Interpretation of Sediment Rating Curves.” </w:t>
      </w:r>
      <w:r>
        <w:rPr>
          <w:i/>
          <w:iCs/>
        </w:rPr>
        <w:t>Journal of Hydrology</w:t>
      </w:r>
      <w:r>
        <w:t xml:space="preserve"> 234 (3–4): 228–48. doi:10.1016/S0022-1694(00)00253-5.</w:t>
      </w:r>
    </w:p>
    <w:p w:rsidR="00F96258" w:rsidRDefault="00F96258" w:rsidP="00CC5D37">
      <w:pPr>
        <w:pStyle w:val="Bibliography"/>
        <w:spacing w:line="360" w:lineRule="auto"/>
      </w:pPr>
      <w:r>
        <w:t xml:space="preserve">Auld, A. H., and Schubel J.R. 1978. “Effects of Suspended Sediment on Fish Eggs and Larvae: A Laboratory Assessment.” </w:t>
      </w:r>
      <w:r>
        <w:rPr>
          <w:i/>
          <w:iCs/>
        </w:rPr>
        <w:t>Estuarine and Coastal Marine Science</w:t>
      </w:r>
      <w:r>
        <w:t xml:space="preserve"> 6: 153–64.</w:t>
      </w:r>
    </w:p>
    <w:p w:rsidR="00F96258" w:rsidRDefault="00F96258" w:rsidP="00CC5D37">
      <w:pPr>
        <w:pStyle w:val="Bibliography"/>
        <w:spacing w:line="360" w:lineRule="auto"/>
      </w:pPr>
      <w:r>
        <w:t xml:space="preserve">Bhowmik, Nani G., and J. Rodger Adams. 1989. “Successional Changes in Habitat Caused by Sedimentation in Navigation Pools.” In </w:t>
      </w:r>
      <w:r>
        <w:rPr>
          <w:i/>
          <w:iCs/>
        </w:rPr>
        <w:t>Sediment/Water Interactions</w:t>
      </w:r>
      <w:r>
        <w:t>, edited by Peter G. Sly and Barry T. Hart, 17–27. Developments in Hydrobiology 50. Springer Netherlands. http://link.springer.com/chapter/10.1007/978-94-009-2376-8_3.</w:t>
      </w:r>
    </w:p>
    <w:p w:rsidR="00F96258" w:rsidRDefault="00F96258" w:rsidP="00CC5D37">
      <w:pPr>
        <w:pStyle w:val="Bibliography"/>
        <w:spacing w:line="360" w:lineRule="auto"/>
      </w:pPr>
      <w:r>
        <w:t xml:space="preserve">Bourke, M. C. 2002. “Suspended Sediment Concentrations and Geomorphic Effect of Sub-Bankfull Flow in a Central Australian Stream.” </w:t>
      </w:r>
      <w:r>
        <w:rPr>
          <w:i/>
          <w:iCs/>
        </w:rPr>
        <w:t>The Structure, Function and Management Implications of Fluvial Sedimentary Systems</w:t>
      </w:r>
      <w:r>
        <w:t>, 315–24.</w:t>
      </w:r>
    </w:p>
    <w:p w:rsidR="00F96258" w:rsidRDefault="00F96258" w:rsidP="00CC5D37">
      <w:pPr>
        <w:pStyle w:val="Bibliography"/>
        <w:spacing w:line="360" w:lineRule="auto"/>
      </w:pPr>
      <w:r>
        <w:t xml:space="preserve">Box, Jayne Brim, and Joann Mossa. 1999. “Sediment, Land Use, and Freshwater Mussels: Prospects and Problems.” </w:t>
      </w:r>
      <w:r>
        <w:rPr>
          <w:i/>
          <w:iCs/>
        </w:rPr>
        <w:t>Journal of the North American Benthological Society</w:t>
      </w:r>
      <w:r>
        <w:t xml:space="preserve"> 18 (1): 99–117. doi:10.2307/1468011.</w:t>
      </w:r>
    </w:p>
    <w:p w:rsidR="00F96258" w:rsidRDefault="00F96258" w:rsidP="00CC5D37">
      <w:pPr>
        <w:pStyle w:val="Bibliography"/>
        <w:spacing w:line="360" w:lineRule="auto"/>
      </w:pPr>
      <w:r>
        <w:t xml:space="preserve">Browne, W. H. 1980. “Effect of Navigation Dams on Banks of the Ohio River.” In </w:t>
      </w:r>
      <w:r>
        <w:rPr>
          <w:i/>
          <w:iCs/>
        </w:rPr>
        <w:t>Proceedings of the National Waterways Roundtable</w:t>
      </w:r>
      <w:r>
        <w:t>. U.S. Army Engineer Water Resources Support Center, Fort Belvoir, VA.</w:t>
      </w:r>
    </w:p>
    <w:p w:rsidR="00F96258" w:rsidRDefault="00F96258" w:rsidP="00CC5D37">
      <w:pPr>
        <w:pStyle w:val="Bibliography"/>
        <w:spacing w:line="360" w:lineRule="auto"/>
      </w:pPr>
      <w:r>
        <w:lastRenderedPageBreak/>
        <w:t xml:space="preserve">Campbell, F. B., and H. A. Bauder. 1940. “A Rating-Curve Method for Determining Silt-Discharge of Streams.” </w:t>
      </w:r>
      <w:r>
        <w:rPr>
          <w:i/>
          <w:iCs/>
        </w:rPr>
        <w:t>Transactions, American Geophysical Union</w:t>
      </w:r>
      <w:r>
        <w:t xml:space="preserve"> 21: 603–7. doi:10.1029/TR021i002p00603.</w:t>
      </w:r>
    </w:p>
    <w:p w:rsidR="00F96258" w:rsidRDefault="00F96258" w:rsidP="00CC5D37">
      <w:pPr>
        <w:pStyle w:val="Bibliography"/>
        <w:spacing w:line="360" w:lineRule="auto"/>
      </w:pPr>
      <w:r>
        <w:t xml:space="preserve">Caracciolo, C., M. Napoli, F. Porcù, F. Prodi, S. Dietrich, C. Zanchi, and S. Orlandini. 2012. “Raindrop Size Distribution and Soil Erosion.” </w:t>
      </w:r>
      <w:r>
        <w:rPr>
          <w:i/>
          <w:iCs/>
        </w:rPr>
        <w:t>Journal of Irrigation and Drainage Engineering</w:t>
      </w:r>
      <w:r>
        <w:t xml:space="preserve"> 138 (5): 461–69. doi:10.1061/(ASCE)IR.1943-4774.0000412.</w:t>
      </w:r>
    </w:p>
    <w:p w:rsidR="00F96258" w:rsidRDefault="00F96258" w:rsidP="00CC5D37">
      <w:pPr>
        <w:pStyle w:val="Bibliography"/>
        <w:spacing w:line="360" w:lineRule="auto"/>
      </w:pPr>
      <w:r>
        <w:t xml:space="preserve">Colby, B. R. 1956. </w:t>
      </w:r>
      <w:r>
        <w:rPr>
          <w:i/>
          <w:iCs/>
        </w:rPr>
        <w:t>Relationship of Sediment Discharge to Streamflow</w:t>
      </w:r>
      <w:r>
        <w:t>. OFR - 56-27. United States Geological Survey. http://pubs.er.usgs.gov/publication/ofr5627.</w:t>
      </w:r>
    </w:p>
    <w:p w:rsidR="00F96258" w:rsidRDefault="00F96258" w:rsidP="00CC5D37">
      <w:pPr>
        <w:pStyle w:val="Bibliography"/>
        <w:spacing w:line="360" w:lineRule="auto"/>
      </w:pPr>
      <w:r>
        <w:t xml:space="preserve">Crawford, C.G. 1998. </w:t>
      </w:r>
      <w:r>
        <w:rPr>
          <w:i/>
          <w:iCs/>
        </w:rPr>
        <w:t>LOADEST2 Version 1.101: Single Station Version of LOADEST, , a Program to Calculate Mean River Loads at 149 Coastal National Stream Quality Accounting Network (NASQAN) Stations</w:t>
      </w:r>
      <w:r>
        <w:t>. 5957 Lakeside Boulevard, Indianapolis, Indiana 46278: USGS in Cooperation with the National Oceanic and Atmospheric Administration.</w:t>
      </w:r>
    </w:p>
    <w:p w:rsidR="00F96258" w:rsidRDefault="00F96258" w:rsidP="00CC5D37">
      <w:pPr>
        <w:pStyle w:val="Bibliography"/>
        <w:spacing w:line="360" w:lineRule="auto"/>
      </w:pPr>
      <w:r>
        <w:t xml:space="preserve">Curini, A., A. Simon, R. Thomas, and F. Shields. 2002. “Case Study: Channel Stability of the Missouri River, Eastern Montana.” </w:t>
      </w:r>
      <w:r>
        <w:rPr>
          <w:i/>
          <w:iCs/>
        </w:rPr>
        <w:t>Journal of Hydraulic Engineering</w:t>
      </w:r>
      <w:r>
        <w:t xml:space="preserve"> 128 (10): 880–90. doi:10.1061/(ASCE)0733-9429(2002)128:10(880).</w:t>
      </w:r>
    </w:p>
    <w:p w:rsidR="00F96258" w:rsidRDefault="00F96258" w:rsidP="00CC5D37">
      <w:pPr>
        <w:pStyle w:val="Bibliography"/>
        <w:spacing w:line="360" w:lineRule="auto"/>
      </w:pPr>
      <w:r>
        <w:t>Daly, C., and G. Taylor. 1998. “United States Average Monthly or Annual Precipitation 1961-1990”. Corvallis, OR: Spatial Climate Analysis Service at Oregon State University.</w:t>
      </w:r>
    </w:p>
    <w:p w:rsidR="00F96258" w:rsidRDefault="00F96258" w:rsidP="00CC5D37">
      <w:pPr>
        <w:pStyle w:val="Bibliography"/>
        <w:spacing w:line="360" w:lineRule="auto"/>
      </w:pPr>
      <w:r>
        <w:t xml:space="preserve">Davinroy, Rob, Jon Hendrickson, and Lyle Steffen. 2006. </w:t>
      </w:r>
      <w:r>
        <w:rPr>
          <w:i/>
          <w:iCs/>
        </w:rPr>
        <w:t>Sedimentation in the Upper Mississippi River Basin</w:t>
      </w:r>
      <w:r>
        <w:t>. St. Louis District: US Army Corps of Engineers.</w:t>
      </w:r>
    </w:p>
    <w:p w:rsidR="00F96258" w:rsidRDefault="00F96258" w:rsidP="00CC5D37">
      <w:pPr>
        <w:pStyle w:val="Bibliography"/>
        <w:spacing w:line="360" w:lineRule="auto"/>
      </w:pPr>
      <w:r>
        <w:t>Demissie, M. 1989. “Peoria Lake Sedimentation and Proposed Artificial Islands.” In , 46–57. University of Illinois Water Resources Center Special Report No. 18.</w:t>
      </w:r>
    </w:p>
    <w:p w:rsidR="00F96258" w:rsidRDefault="00F96258" w:rsidP="00CC5D37">
      <w:pPr>
        <w:pStyle w:val="Bibliography"/>
        <w:spacing w:line="360" w:lineRule="auto"/>
      </w:pPr>
      <w:r>
        <w:t xml:space="preserve">Dion, Thomas R. 2002. </w:t>
      </w:r>
      <w:r>
        <w:rPr>
          <w:i/>
          <w:iCs/>
        </w:rPr>
        <w:t>Land Development for Civil Engineers</w:t>
      </w:r>
      <w:r>
        <w:t>. New York: Wiley.</w:t>
      </w:r>
    </w:p>
    <w:p w:rsidR="00F96258" w:rsidRDefault="00F96258" w:rsidP="00CC5D37">
      <w:pPr>
        <w:pStyle w:val="Bibliography"/>
        <w:spacing w:line="360" w:lineRule="auto"/>
      </w:pPr>
      <w:r>
        <w:t xml:space="preserve">Dougherty, T.C, and A.W. Hall. 1995. </w:t>
      </w:r>
      <w:r>
        <w:rPr>
          <w:i/>
          <w:iCs/>
        </w:rPr>
        <w:t>Environmental Impact Assessment of Irrigation and Drainage Projects</w:t>
      </w:r>
      <w:r>
        <w:t>. FAO Irrigation and Drainage Paper 53. FAO.</w:t>
      </w:r>
    </w:p>
    <w:p w:rsidR="00F96258" w:rsidRDefault="00F96258" w:rsidP="00CC5D37">
      <w:pPr>
        <w:pStyle w:val="Bibliography"/>
        <w:spacing w:line="360" w:lineRule="auto"/>
      </w:pPr>
      <w:r>
        <w:t xml:space="preserve">Ferguson, R. I. 1986. “River Loads Underestimated by Rating Curves.” </w:t>
      </w:r>
      <w:r>
        <w:rPr>
          <w:i/>
          <w:iCs/>
        </w:rPr>
        <w:t>Water Resources Research</w:t>
      </w:r>
      <w:r>
        <w:t xml:space="preserve"> 22 (1): 74–76. doi:10.1029/WR022i001p00074.</w:t>
      </w:r>
    </w:p>
    <w:p w:rsidR="00F96258" w:rsidRDefault="00F96258" w:rsidP="00CC5D37">
      <w:pPr>
        <w:pStyle w:val="Bibliography"/>
        <w:spacing w:line="360" w:lineRule="auto"/>
      </w:pPr>
      <w:r>
        <w:t xml:space="preserve">———. 1987. “Accuracy and Precision of Methods for Estimating River Loads.” </w:t>
      </w:r>
      <w:r>
        <w:rPr>
          <w:i/>
          <w:iCs/>
        </w:rPr>
        <w:t>Earth Surface Processes and Landforms</w:t>
      </w:r>
      <w:r>
        <w:t xml:space="preserve"> 12 (1): 95–104. doi:10.1002/esp.3290120111.</w:t>
      </w:r>
    </w:p>
    <w:p w:rsidR="00F96258" w:rsidRDefault="00F96258" w:rsidP="00CC5D37">
      <w:pPr>
        <w:pStyle w:val="Bibliography"/>
        <w:spacing w:line="360" w:lineRule="auto"/>
      </w:pPr>
      <w:r>
        <w:t xml:space="preserve">Fisk, Harold Norman. 1947. </w:t>
      </w:r>
      <w:r>
        <w:rPr>
          <w:i/>
          <w:iCs/>
        </w:rPr>
        <w:t>Fine-Grained Alluvial Deposits and Their Effects on Mississippi River Activity</w:t>
      </w:r>
      <w:r>
        <w:t>. Waterways Experiment Station.</w:t>
      </w:r>
    </w:p>
    <w:p w:rsidR="00F96258" w:rsidRDefault="00F96258" w:rsidP="00CC5D37">
      <w:pPr>
        <w:pStyle w:val="Bibliography"/>
        <w:spacing w:line="360" w:lineRule="auto"/>
      </w:pPr>
      <w:r>
        <w:lastRenderedPageBreak/>
        <w:t xml:space="preserve">Foster, F. Lombardi, and W. C. Moldenhauer. 1982. “Evaluation of Rainfall-Runoff Erosivity Factors for Individual Storms.” </w:t>
      </w:r>
      <w:r>
        <w:rPr>
          <w:i/>
          <w:iCs/>
        </w:rPr>
        <w:t>Transactions of the ASAE</w:t>
      </w:r>
      <w:r>
        <w:t xml:space="preserve"> 25 (1): 0124–29. doi:10.13031/2013.33490.</w:t>
      </w:r>
    </w:p>
    <w:p w:rsidR="00F96258" w:rsidRDefault="00F96258" w:rsidP="00CC5D37">
      <w:pPr>
        <w:pStyle w:val="Bibliography"/>
        <w:spacing w:line="360" w:lineRule="auto"/>
      </w:pPr>
      <w:r>
        <w:t xml:space="preserve">Foster, G.R., McCool, D.K., Renard, K.G., Moldenhauer, W.C. 1981. “Conversion of the Universal Soil Loss Equation to SI Metric Units.” </w:t>
      </w:r>
      <w:r>
        <w:rPr>
          <w:i/>
          <w:iCs/>
        </w:rPr>
        <w:t>Journal of Soil &amp; Water Conservation</w:t>
      </w:r>
      <w:r>
        <w:t xml:space="preserve"> 36 (6): 355–59.</w:t>
      </w:r>
    </w:p>
    <w:p w:rsidR="00F96258" w:rsidRDefault="00F96258" w:rsidP="00CC5D37">
      <w:pPr>
        <w:pStyle w:val="Bibliography"/>
        <w:spacing w:line="360" w:lineRule="auto"/>
      </w:pPr>
      <w:r>
        <w:t xml:space="preserve">Fry, J., G. Xian, S. Jin, J. Dewitz, C. Homer, L. Yang, C. Barnes, N. Herold, and J. Wickham. 2011. “Completion of the 2006 National Land Cover Database for the Conterminous United States.” </w:t>
      </w:r>
      <w:r>
        <w:rPr>
          <w:i/>
          <w:iCs/>
        </w:rPr>
        <w:t>PE&amp;RS</w:t>
      </w:r>
      <w:r>
        <w:t xml:space="preserve"> 77 (9): 858–64.</w:t>
      </w:r>
    </w:p>
    <w:p w:rsidR="00F96258" w:rsidRDefault="00F96258" w:rsidP="00CC5D37">
      <w:pPr>
        <w:pStyle w:val="Bibliography"/>
        <w:spacing w:line="360" w:lineRule="auto"/>
      </w:pPr>
      <w:r>
        <w:t>Gregory, R. S. 1990. “Effects of Turbidity on Benthic Foraging and Predation Risk in Juvenile Chinook Salmon”. presented at the Effects of dredging on anadromous Pacific coast fishes: workshop proceedings., University of Washington and Washington Sea Grant Program. Seattle, Washington.</w:t>
      </w:r>
    </w:p>
    <w:p w:rsidR="00F96258" w:rsidRDefault="00F96258" w:rsidP="00CC5D37">
      <w:pPr>
        <w:pStyle w:val="Bibliography"/>
        <w:spacing w:line="360" w:lineRule="auto"/>
      </w:pPr>
      <w:r>
        <w:t xml:space="preserve">Hagerty, D. 1991a. “Piping/Sapping Erosion. I: Basic Considerations.” </w:t>
      </w:r>
      <w:r>
        <w:rPr>
          <w:i/>
          <w:iCs/>
        </w:rPr>
        <w:t>Journal of Hydraulic Engineering</w:t>
      </w:r>
      <w:r>
        <w:t xml:space="preserve"> 117 (8): 991–1008. doi:10.1061/(ASCE)0733-9429(1991)117:8(991).</w:t>
      </w:r>
    </w:p>
    <w:p w:rsidR="00F96258" w:rsidRDefault="00F96258" w:rsidP="00CC5D37">
      <w:pPr>
        <w:pStyle w:val="Bibliography"/>
        <w:spacing w:line="360" w:lineRule="auto"/>
      </w:pPr>
      <w:r>
        <w:t>———. 1991b. “Piping/Sapping Erosion. II: Identification</w:t>
      </w:r>
      <w:r>
        <w:rPr>
          <w:rFonts w:ascii="Cambria Math" w:hAnsi="Cambria Math" w:cs="Cambria Math"/>
        </w:rPr>
        <w:t>‐</w:t>
      </w:r>
      <w:r>
        <w:t>Diagnosis.</w:t>
      </w:r>
      <w:r>
        <w:rPr>
          <w:rFonts w:ascii="Times New Roman" w:hAnsi="Times New Roman" w:cs="Times New Roman"/>
        </w:rPr>
        <w:t>”</w:t>
      </w:r>
      <w:r>
        <w:t xml:space="preserve"> </w:t>
      </w:r>
      <w:r>
        <w:rPr>
          <w:i/>
          <w:iCs/>
        </w:rPr>
        <w:t>Journal of Hydraulic Engineering</w:t>
      </w:r>
      <w:r>
        <w:t xml:space="preserve"> 117 (8): 1009–25. doi:10.1061/(ASCE)0733-9429(1991)117:8(1009).</w:t>
      </w:r>
    </w:p>
    <w:p w:rsidR="00F96258" w:rsidRDefault="00F96258" w:rsidP="00CC5D37">
      <w:pPr>
        <w:pStyle w:val="Bibliography"/>
        <w:spacing w:line="360" w:lineRule="auto"/>
      </w:pPr>
      <w:r>
        <w:t>Hagerty, D. J., and M.F. Spoor. 1989. “Alluvial Stream Bank Erosion-a Ten Year Study.” In , 594–99. New Orleans: American Society of Civil Engineers.</w:t>
      </w:r>
    </w:p>
    <w:p w:rsidR="00F96258" w:rsidRDefault="00F96258" w:rsidP="00CC5D37">
      <w:pPr>
        <w:pStyle w:val="Bibliography"/>
        <w:spacing w:line="360" w:lineRule="auto"/>
      </w:pPr>
      <w:r>
        <w:t xml:space="preserve">Heimann, David C., Lori A. Sprague, and Dale W. Blevins. 2011. </w:t>
      </w:r>
      <w:r>
        <w:rPr>
          <w:i/>
          <w:iCs/>
        </w:rPr>
        <w:t>USGS Scientific Investigations Report 2011–5200: Trends in Suspended-Sediment Loads and Concentrations in the Mississippi River Basin, 1950–2009</w:t>
      </w:r>
      <w:r>
        <w:t>. US Geological Survey. http://pubs.usgs.gov/sir/2011/5200/.</w:t>
      </w:r>
    </w:p>
    <w:p w:rsidR="00F96258" w:rsidRDefault="00F96258" w:rsidP="00CC5D37">
      <w:pPr>
        <w:pStyle w:val="Bibliography"/>
        <w:spacing w:line="360" w:lineRule="auto"/>
      </w:pPr>
      <w:r>
        <w:t xml:space="preserve">Hickin, Edward J. 1995. </w:t>
      </w:r>
      <w:r>
        <w:rPr>
          <w:i/>
          <w:iCs/>
        </w:rPr>
        <w:t>River Geomorphology</w:t>
      </w:r>
      <w:r>
        <w:t>. Wiley.</w:t>
      </w:r>
    </w:p>
    <w:p w:rsidR="00F96258" w:rsidRDefault="00F96258" w:rsidP="00CC5D37">
      <w:pPr>
        <w:pStyle w:val="Bibliography"/>
        <w:spacing w:line="360" w:lineRule="auto"/>
      </w:pPr>
      <w:r>
        <w:t>Hjulström, Filip. 1935. “Studies of the Morphological Activity of Rivers as Illustrated by the River Fyris. Inaugural Dissertation,”. Uppsala: Almqvist &amp; Wiksells.</w:t>
      </w:r>
    </w:p>
    <w:p w:rsidR="00F96258" w:rsidRDefault="00F96258" w:rsidP="00CC5D37">
      <w:pPr>
        <w:pStyle w:val="Bibliography"/>
        <w:spacing w:line="360" w:lineRule="auto"/>
      </w:pPr>
      <w:r>
        <w:t xml:space="preserve">Holmes, Robert R. 1996. </w:t>
      </w:r>
      <w:r>
        <w:rPr>
          <w:i/>
          <w:iCs/>
        </w:rPr>
        <w:t>Sediment Transport in the Lower Missouri and the Central Mississippi Rivers, June 26 through September 14, 1993</w:t>
      </w:r>
      <w:r>
        <w:t>. CIR - 1120-I. United States Geological Survey. http://pubs.water.usgs.gov/circ1120-i.</w:t>
      </w:r>
    </w:p>
    <w:p w:rsidR="00F96258" w:rsidRDefault="00F96258" w:rsidP="00CC5D37">
      <w:pPr>
        <w:pStyle w:val="Bibliography"/>
        <w:spacing w:line="360" w:lineRule="auto"/>
      </w:pPr>
      <w:r>
        <w:t xml:space="preserve">Hooke, J. M. 1979. “An Analysis of the Processes of River Bank Erosion.” </w:t>
      </w:r>
      <w:r>
        <w:rPr>
          <w:i/>
          <w:iCs/>
        </w:rPr>
        <w:t>Journal of Hydrology</w:t>
      </w:r>
      <w:r>
        <w:t xml:space="preserve"> 42 (1–2): 39–62. doi:10.1016/0022-1694(79)90005-2.</w:t>
      </w:r>
    </w:p>
    <w:p w:rsidR="00F96258" w:rsidRDefault="00F96258" w:rsidP="00CC5D37">
      <w:pPr>
        <w:pStyle w:val="Bibliography"/>
        <w:spacing w:line="360" w:lineRule="auto"/>
      </w:pPr>
      <w:r>
        <w:lastRenderedPageBreak/>
        <w:t xml:space="preserve">Horowitz, Arthur J. 2003. “An Evaluation of Sediment Rating Curves for Estimating Suspended Sediment Concentrations for Subsequent Flux Calculations.” </w:t>
      </w:r>
      <w:r>
        <w:rPr>
          <w:i/>
          <w:iCs/>
        </w:rPr>
        <w:t>Hydrological Processes</w:t>
      </w:r>
      <w:r>
        <w:t xml:space="preserve"> 17 (August): 3387–3409.</w:t>
      </w:r>
    </w:p>
    <w:p w:rsidR="00F96258" w:rsidRDefault="00F96258" w:rsidP="00CC5D37">
      <w:pPr>
        <w:pStyle w:val="Bibliography"/>
        <w:spacing w:line="360" w:lineRule="auto"/>
      </w:pPr>
      <w:r>
        <w:t xml:space="preserve">———. 2008. “Determining Annual Suspended Sediment and Sediment-Associated Trace Element and Nutrient Fluxes.” </w:t>
      </w:r>
      <w:r>
        <w:rPr>
          <w:i/>
          <w:iCs/>
        </w:rPr>
        <w:t>Science of The Total Environment</w:t>
      </w:r>
      <w:r>
        <w:t xml:space="preserve"> 400 (1–3): 315–43. doi:10.1016/j.scitotenv.2008.04.022.</w:t>
      </w:r>
    </w:p>
    <w:p w:rsidR="00F96258" w:rsidRDefault="00F96258" w:rsidP="00CC5D37">
      <w:pPr>
        <w:pStyle w:val="Bibliography"/>
        <w:spacing w:line="360" w:lineRule="auto"/>
      </w:pPr>
      <w:r>
        <w:t xml:space="preserve">———. 2010. “A Quarter Century of Declining Suspended Sediment Fluxes in the Mississippi River and the Effect of the 1993 Flood.” </w:t>
      </w:r>
      <w:r>
        <w:rPr>
          <w:i/>
          <w:iCs/>
        </w:rPr>
        <w:t>Hydrological Processes</w:t>
      </w:r>
      <w:r>
        <w:t xml:space="preserve"> 24 (1): 13–34. doi:10.1002/hyp.7425.</w:t>
      </w:r>
    </w:p>
    <w:p w:rsidR="00F96258" w:rsidRDefault="00F96258" w:rsidP="00CC5D37">
      <w:pPr>
        <w:pStyle w:val="Bibliography"/>
        <w:spacing w:line="360" w:lineRule="auto"/>
      </w:pPr>
      <w:r>
        <w:t xml:space="preserve">Horowitz, Arthur J., Kent A. Elrick, and James J. Smith. 2001. “Estimating Suspended Sediment and Trace Element Fluxes in Large River Basins: Methodological Considerations as Applied to the NASQAN Programme.” </w:t>
      </w:r>
      <w:r>
        <w:rPr>
          <w:i/>
          <w:iCs/>
        </w:rPr>
        <w:t>Hydrological Processes</w:t>
      </w:r>
      <w:r>
        <w:t xml:space="preserve"> 15 (7): 1107–32. doi:10.1002/hyp.206.</w:t>
      </w:r>
    </w:p>
    <w:p w:rsidR="00F96258" w:rsidRDefault="00F96258" w:rsidP="00CC5D37">
      <w:pPr>
        <w:pStyle w:val="Bibliography"/>
        <w:spacing w:line="360" w:lineRule="auto"/>
      </w:pPr>
      <w:r>
        <w:t xml:space="preserve">Hu, Bangqi, Houjie Wang, Zuosheng Yang, and Xiaoxia Sun. 2011. “Temporal and Spatial Variations of Sediment Rating Curves in the Changjiang (Yangtze River) Basin and Their Implications.” </w:t>
      </w:r>
      <w:r>
        <w:rPr>
          <w:i/>
          <w:iCs/>
        </w:rPr>
        <w:t>Quaternary International</w:t>
      </w:r>
      <w:r>
        <w:t xml:space="preserve"> 230 (1–2): 34–43. </w:t>
      </w:r>
    </w:p>
    <w:p w:rsidR="00F96258" w:rsidRDefault="00F96258" w:rsidP="00CC5D37">
      <w:pPr>
        <w:pStyle w:val="Bibliography"/>
        <w:spacing w:line="360" w:lineRule="auto"/>
      </w:pPr>
      <w:r>
        <w:t xml:space="preserve">Hughes, D.J. 1977. “Rates of Erosion on Meander Arcs.” In </w:t>
      </w:r>
      <w:r>
        <w:rPr>
          <w:i/>
          <w:iCs/>
        </w:rPr>
        <w:t>River Channel Changes</w:t>
      </w:r>
      <w:r>
        <w:t>, K.L. Gregory ed., 193–205. London: John Wiley.</w:t>
      </w:r>
    </w:p>
    <w:p w:rsidR="00F96258" w:rsidRDefault="00F96258" w:rsidP="00CC5D37">
      <w:pPr>
        <w:pStyle w:val="Bibliography"/>
        <w:spacing w:line="360" w:lineRule="auto"/>
      </w:pPr>
      <w:r>
        <w:t xml:space="preserve">IPCC. 2001. </w:t>
      </w:r>
      <w:r>
        <w:rPr>
          <w:i/>
          <w:iCs/>
        </w:rPr>
        <w:t>Climate Change 2001: The Scientific Basis. Edited by J. T. Houghton, et Al., . Contribution of Working Group I to the Third Assessment Report of the Intergovernmental Panel on Climate Change, Cambridge University Press, Cambridge. 2001. 881 Pp. ISBN 0521 01495 6.</w:t>
      </w:r>
      <w:r>
        <w:t xml:space="preserve"> Contrinution of Working Group I to the Third Assessment Report of the Intergovernmental Panel on Climate Change, Cambridge University Press, Cambridge. http://onlinelibrary.wiley.com/doi/10.1002/qj.200212858119/abstract.</w:t>
      </w:r>
    </w:p>
    <w:p w:rsidR="00F96258" w:rsidRDefault="00F96258" w:rsidP="00CC5D37">
      <w:pPr>
        <w:pStyle w:val="Bibliography"/>
        <w:spacing w:line="360" w:lineRule="auto"/>
      </w:pPr>
      <w:r>
        <w:t xml:space="preserve">Jeffreys, H. 1929. “On the Transport of Sediments in Streams.” </w:t>
      </w:r>
      <w:r>
        <w:rPr>
          <w:i/>
          <w:iCs/>
        </w:rPr>
        <w:t>Proc. Cambridge Philo. Soc.</w:t>
      </w:r>
      <w:r>
        <w:t xml:space="preserve"> 25.</w:t>
      </w:r>
    </w:p>
    <w:p w:rsidR="00F96258" w:rsidRDefault="00F96258" w:rsidP="00CC5D37">
      <w:pPr>
        <w:pStyle w:val="Bibliography"/>
        <w:spacing w:line="360" w:lineRule="auto"/>
      </w:pPr>
      <w:r>
        <w:t xml:space="preserve">Jha, Manoj, Zaitao Pan, Eugene S. Takle, and Roy Gu. 2004. “Impacts of Climate Change on Streamflow in the Upper Mississippi River Basin: A Regional Climate Model Perspective.” </w:t>
      </w:r>
      <w:r>
        <w:rPr>
          <w:i/>
          <w:iCs/>
        </w:rPr>
        <w:t>Journal of Geophysical Research: Atmospheres</w:t>
      </w:r>
      <w:r>
        <w:t xml:space="preserve"> 109 (D9). doi:10.1029/2003JD003686.</w:t>
      </w:r>
    </w:p>
    <w:p w:rsidR="00F96258" w:rsidRDefault="00F96258" w:rsidP="00CC5D37">
      <w:pPr>
        <w:pStyle w:val="Bibliography"/>
        <w:spacing w:line="360" w:lineRule="auto"/>
      </w:pPr>
      <w:r>
        <w:lastRenderedPageBreak/>
        <w:t xml:space="preserve">Julien, Pierre Y., and Chad W. Vensel. 2005. </w:t>
      </w:r>
      <w:r>
        <w:rPr>
          <w:i/>
          <w:iCs/>
        </w:rPr>
        <w:t>Review of Sedimentation Issues on the Mississippi River</w:t>
      </w:r>
      <w:r>
        <w:t>. Report Presented to the UNESCO: ISI. Dept. of Civil and Environmental Engineering.</w:t>
      </w:r>
    </w:p>
    <w:p w:rsidR="00F96258" w:rsidRDefault="00F96258" w:rsidP="00CC5D37">
      <w:pPr>
        <w:pStyle w:val="Bibliography"/>
        <w:spacing w:line="360" w:lineRule="auto"/>
      </w:pPr>
      <w:r>
        <w:t xml:space="preserve">Karaki, S., and J. Van Hoften. 1975. </w:t>
      </w:r>
      <w:r>
        <w:rPr>
          <w:i/>
          <w:iCs/>
        </w:rPr>
        <w:t>Resuspension of Bed Material and Wave Effects on the Illinois and Upper Mississippi Rivers Caused by Boat Traffic</w:t>
      </w:r>
      <w:r>
        <w:t>. Defense Technical Information Center.</w:t>
      </w:r>
    </w:p>
    <w:p w:rsidR="00F96258" w:rsidRDefault="00F96258" w:rsidP="00CC5D37">
      <w:pPr>
        <w:pStyle w:val="Bibliography"/>
        <w:spacing w:line="360" w:lineRule="auto"/>
      </w:pPr>
      <w:r>
        <w:t xml:space="preserve">Keller, Edward A., G. Mathias Kondolf, D. J. Hagerty, and G. Mathias Kondolf. 1990. “Chapter 15. Groundwater and Fluvial Processes; Selected Observations.” In </w:t>
      </w:r>
      <w:r>
        <w:rPr>
          <w:i/>
          <w:iCs/>
        </w:rPr>
        <w:t>Geological Society of America Special Papers</w:t>
      </w:r>
      <w:r>
        <w:t>, 252:319–40. Geological Society of America. http://specialpapers.gsapubs.org/content/252/319.full.pdf+html.</w:t>
      </w:r>
    </w:p>
    <w:p w:rsidR="00F96258" w:rsidRDefault="00F96258" w:rsidP="00CC5D37">
      <w:pPr>
        <w:pStyle w:val="Bibliography"/>
        <w:spacing w:line="360" w:lineRule="auto"/>
      </w:pPr>
      <w:r>
        <w:t xml:space="preserve">Kim, Jongho, and Valeriy Y. Ivanov. 2014. “On the Nonuniqueness of Sediment Yield at the Catchment Scale: The Effects of Soil Antecedent Conditions and Surface Shield.” </w:t>
      </w:r>
      <w:r>
        <w:rPr>
          <w:i/>
          <w:iCs/>
        </w:rPr>
        <w:t>Water Resources Research</w:t>
      </w:r>
      <w:r>
        <w:t xml:space="preserve"> 50 (2): 1025–45. doi:10.1002/2013WR014580.</w:t>
      </w:r>
    </w:p>
    <w:p w:rsidR="00F96258" w:rsidRDefault="00F96258" w:rsidP="00CC5D37">
      <w:pPr>
        <w:pStyle w:val="Bibliography"/>
        <w:spacing w:line="360" w:lineRule="auto"/>
      </w:pPr>
      <w:r>
        <w:t xml:space="preserve">Leopold, L. B., and Thomas Maddock. 1953. </w:t>
      </w:r>
      <w:r>
        <w:rPr>
          <w:i/>
          <w:iCs/>
        </w:rPr>
        <w:t>The Hydraulic Geometry of Stream Channels and Some Physiographic Implications</w:t>
      </w:r>
      <w:r>
        <w:t>. PP - 252. United States Geological Survey. http://pubs.er.usgs.gov/publication/pp252.</w:t>
      </w:r>
    </w:p>
    <w:p w:rsidR="00F96258" w:rsidRDefault="00F96258" w:rsidP="00CC5D37">
      <w:pPr>
        <w:pStyle w:val="Bibliography"/>
        <w:spacing w:line="360" w:lineRule="auto"/>
      </w:pPr>
      <w:r>
        <w:t xml:space="preserve">Leopold, Luna Bergere. 1994. </w:t>
      </w:r>
      <w:r>
        <w:rPr>
          <w:i/>
          <w:iCs/>
        </w:rPr>
        <w:t>A View of the River</w:t>
      </w:r>
      <w:r>
        <w:t>. Harvard University Press.</w:t>
      </w:r>
    </w:p>
    <w:p w:rsidR="00F96258" w:rsidRDefault="00F96258" w:rsidP="00CC5D37">
      <w:pPr>
        <w:pStyle w:val="Bibliography"/>
        <w:spacing w:line="360" w:lineRule="auto"/>
      </w:pPr>
      <w:r>
        <w:t xml:space="preserve">Lew, Alan. 2009. </w:t>
      </w:r>
      <w:r>
        <w:rPr>
          <w:i/>
          <w:iCs/>
        </w:rPr>
        <w:t>Geography USA : A Virtual Textbook</w:t>
      </w:r>
      <w:r>
        <w:t>. Northern Arizona University. http://www.geog.nau.edu/courses/alew/gsp220/text/chapters/.</w:t>
      </w:r>
    </w:p>
    <w:p w:rsidR="00F96258" w:rsidRDefault="00F96258" w:rsidP="00CC5D37">
      <w:pPr>
        <w:pStyle w:val="Bibliography"/>
        <w:spacing w:line="360" w:lineRule="auto"/>
      </w:pPr>
      <w:r>
        <w:t xml:space="preserve">Lopes, V., P. Ffolliott, and M. Baker Jr. 2001. “Impacts of Vegetative Practices on Suspended Sediment from Watersheds of Arizona.” </w:t>
      </w:r>
      <w:r>
        <w:rPr>
          <w:i/>
          <w:iCs/>
        </w:rPr>
        <w:t>Journal of Water Resources Planning and Management</w:t>
      </w:r>
      <w:r>
        <w:t xml:space="preserve"> 127 (1): 41–47. doi:10.1061/(ASCE)0733-9496(2001)127:1(41).</w:t>
      </w:r>
    </w:p>
    <w:p w:rsidR="00F96258" w:rsidRDefault="00F96258" w:rsidP="00CC5D37">
      <w:pPr>
        <w:pStyle w:val="Bibliography"/>
        <w:spacing w:line="360" w:lineRule="auto"/>
      </w:pPr>
      <w:r>
        <w:t xml:space="preserve">Lorenz, David L, Dale M. Robertson, David W. Hall, and David A. Saad. 2009. </w:t>
      </w:r>
      <w:r>
        <w:rPr>
          <w:i/>
          <w:iCs/>
        </w:rPr>
        <w:t>USGS Scientific Investigations Report 2008–5213: Trends in Streamflow and Nutrient and Suspended-Sediment Concentrations and Loads in the Upper Mississippi, Ohio, Red, and Great Lakes River Basins, 1975–2004</w:t>
      </w:r>
      <w:r>
        <w:t>. 2008-5213. http://pubs.usgs.gov/sir/2008/5213/.</w:t>
      </w:r>
    </w:p>
    <w:p w:rsidR="00F96258" w:rsidRDefault="00F96258" w:rsidP="00CC5D37">
      <w:pPr>
        <w:pStyle w:val="Bibliography"/>
        <w:spacing w:line="360" w:lineRule="auto"/>
      </w:pPr>
      <w:r>
        <w:t xml:space="preserve">Mannering, J. V., and L. D. Meyer. 1963. “The Effects of Various Rates of Surface Mulch on Infiltration and Erosion1.” </w:t>
      </w:r>
      <w:r>
        <w:rPr>
          <w:i/>
          <w:iCs/>
        </w:rPr>
        <w:t>Soil Science Society of America Journal</w:t>
      </w:r>
      <w:r>
        <w:t xml:space="preserve"> 27 (1): 84. doi:10.2136/sssaj1963.03615995002700010029x.</w:t>
      </w:r>
    </w:p>
    <w:p w:rsidR="00F96258" w:rsidRDefault="00F96258" w:rsidP="00CC5D37">
      <w:pPr>
        <w:pStyle w:val="Bibliography"/>
        <w:spacing w:line="360" w:lineRule="auto"/>
      </w:pPr>
      <w:r>
        <w:t xml:space="preserve">Maynord, Stephen T., and Sandra K. Martin. 1996. </w:t>
      </w:r>
      <w:r>
        <w:rPr>
          <w:i/>
          <w:iCs/>
        </w:rPr>
        <w:t>Upper Mississippi River System: Navigation/Sedimentation Study</w:t>
      </w:r>
      <w:r>
        <w:t>. HL-96-10. US Army Corps of Engineers.</w:t>
      </w:r>
    </w:p>
    <w:p w:rsidR="00F96258" w:rsidRDefault="00F96258" w:rsidP="00CC5D37">
      <w:pPr>
        <w:pStyle w:val="Bibliography"/>
        <w:spacing w:line="360" w:lineRule="auto"/>
      </w:pPr>
      <w:r>
        <w:lastRenderedPageBreak/>
        <w:t xml:space="preserve">McMahon, Thomas A., Brian L. Finlayson, and Christopher J. Gippel. 2004. </w:t>
      </w:r>
      <w:r>
        <w:rPr>
          <w:i/>
          <w:iCs/>
        </w:rPr>
        <w:t>Stream Hydrology: An Introduction for Ecologists</w:t>
      </w:r>
      <w:r>
        <w:t>. John Wiley and Sons.</w:t>
      </w:r>
    </w:p>
    <w:p w:rsidR="00F96258" w:rsidRDefault="00F96258" w:rsidP="00CC5D37">
      <w:pPr>
        <w:pStyle w:val="Bibliography"/>
        <w:spacing w:line="360" w:lineRule="auto"/>
      </w:pPr>
      <w:r>
        <w:t xml:space="preserve">Meade, Robert H. 1995. </w:t>
      </w:r>
      <w:r>
        <w:rPr>
          <w:i/>
          <w:iCs/>
        </w:rPr>
        <w:t>Contaminants in the Mississippi River, 1987-92</w:t>
      </w:r>
      <w:r>
        <w:t>. U.S. Geological Survey Circular 1133. U.S. Geological Survey. http://pubs.usgs.gov/circ/circ1133/.</w:t>
      </w:r>
    </w:p>
    <w:p w:rsidR="00F96258" w:rsidRDefault="00F96258" w:rsidP="00CC5D37">
      <w:pPr>
        <w:pStyle w:val="Bibliography"/>
        <w:spacing w:line="360" w:lineRule="auto"/>
      </w:pPr>
      <w:r>
        <w:t xml:space="preserve">Meade, Robert H., and John A. Moody. 2010. “Causes for the Decline of Suspended-Sediment Discharge in the Mississippi River System, 1940–2007.” </w:t>
      </w:r>
      <w:r>
        <w:rPr>
          <w:i/>
          <w:iCs/>
        </w:rPr>
        <w:t>Hydrological Processes</w:t>
      </w:r>
      <w:r>
        <w:t xml:space="preserve"> 24 (1): 35–49. doi:10.1002/hyp.7477.</w:t>
      </w:r>
    </w:p>
    <w:p w:rsidR="00F96258" w:rsidRDefault="00F96258" w:rsidP="00CC5D37">
      <w:pPr>
        <w:pStyle w:val="Bibliography"/>
        <w:spacing w:line="360" w:lineRule="auto"/>
      </w:pPr>
      <w:r>
        <w:t xml:space="preserve">Mellema, W.J., and T.C. Wei. 1986. “Missouri River Aggradation and Degradation Trends.” In </w:t>
      </w:r>
      <w:r>
        <w:rPr>
          <w:i/>
          <w:iCs/>
        </w:rPr>
        <w:t>Proceedings of the Fourth Federal Interagency Sedimentation Conference</w:t>
      </w:r>
      <w:r>
        <w:t>, 421–30. Army Engineer District, Omaha.</w:t>
      </w:r>
    </w:p>
    <w:p w:rsidR="00F96258" w:rsidRDefault="00F96258" w:rsidP="00CC5D37">
      <w:pPr>
        <w:pStyle w:val="Bibliography"/>
        <w:spacing w:line="360" w:lineRule="auto"/>
      </w:pPr>
      <w:r>
        <w:t xml:space="preserve">Mitsch, Jr Day, J. W. Gilliam, P. M. Groffman, D. L. Hey, G. W. Randall, and N. Wang. 2001. “Reducing Nitrogen Loading to the Gulf of Mexico from the Mississippi River basIn: Strategies to Counter a Persistent Ecological Problem.” </w:t>
      </w:r>
      <w:r>
        <w:rPr>
          <w:i/>
          <w:iCs/>
        </w:rPr>
        <w:t>BioScience</w:t>
      </w:r>
      <w:r>
        <w:t xml:space="preserve"> 51: 373–88.</w:t>
      </w:r>
    </w:p>
    <w:p w:rsidR="00F96258" w:rsidRDefault="00F96258" w:rsidP="00CC5D37">
      <w:pPr>
        <w:pStyle w:val="Bibliography"/>
        <w:spacing w:line="360" w:lineRule="auto"/>
      </w:pPr>
      <w:r>
        <w:t xml:space="preserve">Moore, Curtis L., and Curtis L. Larson. 1980. “Hydrologic Impact of Small Depressional Watersheds.” </w:t>
      </w:r>
      <w:r>
        <w:rPr>
          <w:i/>
          <w:iCs/>
        </w:rPr>
        <w:t>Journal of the Irrigation and Drainage Division</w:t>
      </w:r>
      <w:r>
        <w:t xml:space="preserve"> 106 (4): 345–63.</w:t>
      </w:r>
    </w:p>
    <w:p w:rsidR="00F96258" w:rsidRDefault="00F96258" w:rsidP="00CC5D37">
      <w:pPr>
        <w:pStyle w:val="Bibliography"/>
        <w:spacing w:line="360" w:lineRule="auto"/>
      </w:pPr>
      <w:r>
        <w:t xml:space="preserve">Morehead, Mark D., James P. Syvitski, Eric W.H. Hutton, and Scott D. Peckham. 2003. “Modeling the Temporal Variability in the Flux of Sediment from Ungauged River Basins.” </w:t>
      </w:r>
      <w:r>
        <w:rPr>
          <w:i/>
          <w:iCs/>
        </w:rPr>
        <w:t>Global and Planetary Change</w:t>
      </w:r>
      <w:r>
        <w:t xml:space="preserve"> 39 (1–2): 95–110. doi:10.1016/S0921-8181(03)00019-5.</w:t>
      </w:r>
    </w:p>
    <w:p w:rsidR="00F96258" w:rsidRDefault="00F96258" w:rsidP="00CC5D37">
      <w:pPr>
        <w:pStyle w:val="Bibliography"/>
        <w:spacing w:line="360" w:lineRule="auto"/>
      </w:pPr>
      <w:r>
        <w:t xml:space="preserve">Morgan, R. P. C. 1995. </w:t>
      </w:r>
      <w:r>
        <w:rPr>
          <w:i/>
          <w:iCs/>
        </w:rPr>
        <w:t>Soil Erosion and Conservation</w:t>
      </w:r>
      <w:r>
        <w:t>. 2nd ed. Longman, London.</w:t>
      </w:r>
    </w:p>
    <w:p w:rsidR="00F96258" w:rsidRDefault="00F96258" w:rsidP="00CC5D37">
      <w:pPr>
        <w:pStyle w:val="Bibliography"/>
        <w:spacing w:line="360" w:lineRule="auto"/>
      </w:pPr>
      <w:r>
        <w:t>NOAA, and NCDC. 2013. “Climate Data Online.” http://www.ncdc.noaa.gov/.</w:t>
      </w:r>
    </w:p>
    <w:p w:rsidR="00F96258" w:rsidRDefault="00F96258" w:rsidP="00CC5D37">
      <w:pPr>
        <w:pStyle w:val="Bibliography"/>
        <w:spacing w:line="360" w:lineRule="auto"/>
      </w:pPr>
      <w:r>
        <w:t xml:space="preserve">NRC. 2008. </w:t>
      </w:r>
      <w:r>
        <w:rPr>
          <w:i/>
          <w:iCs/>
        </w:rPr>
        <w:t>Mississippi River Water Quality and the Clean Water Act: Progress, Challenges, and Opportunities</w:t>
      </w:r>
      <w:r>
        <w:t>. Washington DC.: National Research Council, The National Academies Press. http://www.nap.edu/openbook.php?record_id=12051.</w:t>
      </w:r>
    </w:p>
    <w:p w:rsidR="00F96258" w:rsidRDefault="00F96258" w:rsidP="00CC5D37">
      <w:pPr>
        <w:pStyle w:val="Bibliography"/>
        <w:spacing w:line="360" w:lineRule="auto"/>
      </w:pPr>
      <w:r>
        <w:t>O’Conner, J.M., Newmann D.A., and Sheck J.A. 1976. “Lethal Effects of Suspended Sediments on Estuarine Fish.” U.S. Coastal Engineering Research Technical Paper. 76(20):1-38.</w:t>
      </w:r>
    </w:p>
    <w:p w:rsidR="00F96258" w:rsidRDefault="00F96258" w:rsidP="00CC5D37">
      <w:pPr>
        <w:pStyle w:val="Bibliography"/>
        <w:spacing w:line="360" w:lineRule="auto"/>
      </w:pPr>
      <w:r>
        <w:t xml:space="preserve">Page, J. B. 1952. “Role of Physical Properties of Clays in Soil Science.” </w:t>
      </w:r>
      <w:r>
        <w:rPr>
          <w:i/>
          <w:iCs/>
        </w:rPr>
        <w:t>Clays and Clay Minerals</w:t>
      </w:r>
      <w:r>
        <w:t xml:space="preserve"> 1 (1): 167–76. doi:10.1346/CCMN.1952.0010119.</w:t>
      </w:r>
    </w:p>
    <w:p w:rsidR="00F96258" w:rsidRDefault="00F96258" w:rsidP="00CC5D37">
      <w:pPr>
        <w:pStyle w:val="Bibliography"/>
        <w:spacing w:line="360" w:lineRule="auto"/>
      </w:pPr>
      <w:r>
        <w:t xml:space="preserve">Phillips, J. M., B. W. Webb, D. E. Walling, and G. J. L. Leeks. 1999. “Estimating the Suspended Sediment Loads of Rivers in the LOIS Study Area Using Infrequent Samples.” </w:t>
      </w:r>
      <w:r>
        <w:rPr>
          <w:i/>
          <w:iCs/>
        </w:rPr>
        <w:lastRenderedPageBreak/>
        <w:t>Hydrological Processes</w:t>
      </w:r>
      <w:r>
        <w:t xml:space="preserve"> 13 (May): 1035–50. doi:10.1002/(SICI)1099-1085(199905)13:7&lt;1035::AID-HYP788&gt;3.0.CO;2-K.</w:t>
      </w:r>
    </w:p>
    <w:p w:rsidR="00F96258" w:rsidRDefault="00F96258" w:rsidP="00CC5D37">
      <w:pPr>
        <w:pStyle w:val="Bibliography"/>
        <w:spacing w:line="360" w:lineRule="auto"/>
      </w:pPr>
      <w:r>
        <w:t xml:space="preserve">Prince, Hugh. 1998. </w:t>
      </w:r>
      <w:r>
        <w:rPr>
          <w:i/>
          <w:iCs/>
        </w:rPr>
        <w:t>Wetlands of the American Midwest: A Historical Geography of Changing Attitudes</w:t>
      </w:r>
      <w:r>
        <w:t>. The University of Chicago Press. http://www.press.uchicago.edu/ucp/books/book/chicago/W/bo3633450.html.</w:t>
      </w:r>
    </w:p>
    <w:p w:rsidR="00F96258" w:rsidRDefault="00F96258" w:rsidP="00CC5D37">
      <w:pPr>
        <w:pStyle w:val="Bibliography"/>
        <w:spacing w:line="360" w:lineRule="auto"/>
      </w:pPr>
      <w:r>
        <w:t xml:space="preserve">———. 2003. “Review of Wetlands Drainage, River Modification, and Sectoral Conflict in the Lower Illinois Valley, 1890-1930 by John Thompson.” </w:t>
      </w:r>
      <w:r>
        <w:rPr>
          <w:i/>
          <w:iCs/>
        </w:rPr>
        <w:t>Geographical Review</w:t>
      </w:r>
      <w:r>
        <w:t xml:space="preserve"> 93 (1): 141–43.</w:t>
      </w:r>
    </w:p>
    <w:p w:rsidR="00F96258" w:rsidRDefault="00F96258" w:rsidP="00CC5D37">
      <w:pPr>
        <w:pStyle w:val="Bibliography"/>
        <w:spacing w:line="360" w:lineRule="auto"/>
      </w:pPr>
      <w:r>
        <w:t xml:space="preserve">Pye, Kenneth. 1994. </w:t>
      </w:r>
      <w:r>
        <w:rPr>
          <w:i/>
          <w:iCs/>
        </w:rPr>
        <w:t>Sediment Transport and Depositional Processes</w:t>
      </w:r>
      <w:r>
        <w:t>. Blackwell Scientific Publication.</w:t>
      </w:r>
    </w:p>
    <w:p w:rsidR="00F96258" w:rsidRDefault="00F96258" w:rsidP="00CC5D37">
      <w:pPr>
        <w:pStyle w:val="Bibliography"/>
        <w:spacing w:line="360" w:lineRule="auto"/>
      </w:pPr>
      <w:r>
        <w:t xml:space="preserve">Reid, I., and L.E. Frostick. 1987. “Discussion of Conceptual Models of Sediment Transport in Stream.” In </w:t>
      </w:r>
      <w:r>
        <w:rPr>
          <w:i/>
          <w:iCs/>
        </w:rPr>
        <w:t>Sediment Transport in Gravel-Bed Rivers</w:t>
      </w:r>
      <w:r>
        <w:t>, 410–11. New York: John Wiley.</w:t>
      </w:r>
    </w:p>
    <w:p w:rsidR="00F96258" w:rsidRDefault="00F96258" w:rsidP="00CC5D37">
      <w:pPr>
        <w:pStyle w:val="Bibliography"/>
        <w:spacing w:line="360" w:lineRule="auto"/>
      </w:pPr>
      <w:r>
        <w:t xml:space="preserve">Renard, K.G, Foster G.R., Weesies G.A., McCool D.K., and Yoder D.C. 1997. </w:t>
      </w:r>
      <w:r>
        <w:rPr>
          <w:i/>
          <w:iCs/>
        </w:rPr>
        <w:t>Predicting Soil Erosion by Water: A Guide to Conservation Planning with the Revised Universal Soil Loss Equation (RUSLE)</w:t>
      </w:r>
      <w:r>
        <w:t>. U.S Government Priting Office, Washington, DC: USDA Agricultural Handbook 703.</w:t>
      </w:r>
    </w:p>
    <w:p w:rsidR="00F96258" w:rsidRDefault="00F96258" w:rsidP="00CC5D37">
      <w:pPr>
        <w:pStyle w:val="Bibliography"/>
        <w:spacing w:line="360" w:lineRule="auto"/>
      </w:pPr>
      <w:r>
        <w:t xml:space="preserve">Schmidt, John C., and Peter R. Wilcock. 2008. “Metrics for Assessing the Downstream Effects of Dams.” </w:t>
      </w:r>
      <w:r>
        <w:rPr>
          <w:i/>
          <w:iCs/>
        </w:rPr>
        <w:t>Water Resources Research</w:t>
      </w:r>
      <w:r>
        <w:t xml:space="preserve"> 44 (4): n/a–n/a. doi:10.1029/2006WR005092.</w:t>
      </w:r>
    </w:p>
    <w:p w:rsidR="00F96258" w:rsidRDefault="00F96258" w:rsidP="00CC5D37">
      <w:pPr>
        <w:pStyle w:val="Bibliography"/>
        <w:spacing w:line="360" w:lineRule="auto"/>
      </w:pPr>
      <w:r>
        <w:t xml:space="preserve">Schumm, S.A. 1973. “Geomorphic Thresholds and Complex Response of Drainage Systems.” In </w:t>
      </w:r>
      <w:r>
        <w:rPr>
          <w:i/>
          <w:iCs/>
        </w:rPr>
        <w:t>Proceedings of Symposia, Fluvial Geomorphology</w:t>
      </w:r>
      <w:r>
        <w:t>, 299–310. Binghamton, New York.</w:t>
      </w:r>
    </w:p>
    <w:p w:rsidR="00F96258" w:rsidRDefault="00F96258" w:rsidP="00CC5D37">
      <w:pPr>
        <w:pStyle w:val="Bibliography"/>
        <w:spacing w:line="360" w:lineRule="auto"/>
      </w:pPr>
      <w:r>
        <w:t xml:space="preserve">Sichingabula, Henry M. 1998. “Factors Controlling Variations in Suspended Sediment Concentration for Single-Valued Sediment Rating Curves, Fraser River, British Columbia, Canada.” </w:t>
      </w:r>
      <w:r>
        <w:rPr>
          <w:i/>
          <w:iCs/>
        </w:rPr>
        <w:t>Hydrological Processes</w:t>
      </w:r>
      <w:r>
        <w:t xml:space="preserve"> 12 (12): 1869–94. doi:10.1002/(SICI)1099-1085(19981015)12:12&lt;1869::AID-HYP648&gt;3.0.CO;2-G.</w:t>
      </w:r>
    </w:p>
    <w:p w:rsidR="00F96258" w:rsidRDefault="00F96258" w:rsidP="00CC5D37">
      <w:pPr>
        <w:pStyle w:val="Bibliography"/>
        <w:spacing w:line="360" w:lineRule="auto"/>
      </w:pPr>
      <w:r>
        <w:t xml:space="preserve">Simons, D.B., J.W. Andrew, M.A. Alawady, and R.M. Li. 1979. </w:t>
      </w:r>
      <w:r>
        <w:rPr>
          <w:i/>
          <w:iCs/>
        </w:rPr>
        <w:t>Report on: Connecticut River Streambank Erosion Study, Massachusetts, New Hampshire and Vermont.</w:t>
      </w:r>
      <w:r>
        <w:t xml:space="preserve"> Technical Report. Non Paid ADAS. http://www.ntis.gov/search/product.aspx?ABBR=ADA080466.</w:t>
      </w:r>
    </w:p>
    <w:p w:rsidR="00F96258" w:rsidRDefault="00F96258" w:rsidP="00CC5D37">
      <w:pPr>
        <w:pStyle w:val="Bibliography"/>
        <w:spacing w:line="360" w:lineRule="auto"/>
      </w:pPr>
      <w:r>
        <w:t xml:space="preserve">Soil Survey Staff. 1999. </w:t>
      </w:r>
      <w:r>
        <w:rPr>
          <w:i/>
          <w:iCs/>
        </w:rPr>
        <w:t>Soil Taxonomy: A Basic System of Soil Classification for Making and Interpreting Soil Surveys</w:t>
      </w:r>
      <w:r>
        <w:t>. Agricultual Handbook 436. Natural Resources Conservation Practice, United States Department of Agriculture.</w:t>
      </w:r>
    </w:p>
    <w:p w:rsidR="00F96258" w:rsidRDefault="00F96258" w:rsidP="00CC5D37">
      <w:pPr>
        <w:pStyle w:val="Bibliography"/>
        <w:spacing w:line="360" w:lineRule="auto"/>
      </w:pPr>
      <w:r>
        <w:lastRenderedPageBreak/>
        <w:t xml:space="preserve">Syvitski, James P. M., David C. Burrell, and Jens M. Skei. 1987. </w:t>
      </w:r>
      <w:r>
        <w:rPr>
          <w:i/>
          <w:iCs/>
        </w:rPr>
        <w:t>Fjords: Processes and Products</w:t>
      </w:r>
      <w:r>
        <w:t>. Springer-Verlag.</w:t>
      </w:r>
    </w:p>
    <w:p w:rsidR="00F96258" w:rsidRDefault="00F96258" w:rsidP="00CC5D37">
      <w:pPr>
        <w:pStyle w:val="Bibliography"/>
        <w:spacing w:line="360" w:lineRule="auto"/>
      </w:pPr>
      <w:r>
        <w:t xml:space="preserve">Syvitski, James P., Mark D. Morehead, David B. Bahr, and Thierry Mulder. 2000. “Estimating Fluvial Sediment Transport: The Rating Parameters.” </w:t>
      </w:r>
      <w:r>
        <w:rPr>
          <w:i/>
          <w:iCs/>
        </w:rPr>
        <w:t>Water Resources Research</w:t>
      </w:r>
      <w:r>
        <w:t xml:space="preserve"> 36 (9): 2747–60. doi:10.1029/2000WR900133.</w:t>
      </w:r>
    </w:p>
    <w:p w:rsidR="00F96258" w:rsidRDefault="00F96258" w:rsidP="00CC5D37">
      <w:pPr>
        <w:pStyle w:val="Bibliography"/>
        <w:spacing w:line="360" w:lineRule="auto"/>
      </w:pPr>
      <w:r>
        <w:t xml:space="preserve">Thomas, Robert B. 1988. “Monitoring Baseline Suspended Sediment in Forested Basins: The Effects of Sampling on Suspended Sediment Rating Curves.” </w:t>
      </w:r>
      <w:r>
        <w:rPr>
          <w:i/>
          <w:iCs/>
        </w:rPr>
        <w:t>Hydrological Sciences Journal</w:t>
      </w:r>
      <w:r>
        <w:t xml:space="preserve"> 33 (5): 499–514. doi:10.1080/02626668809491277.</w:t>
      </w:r>
    </w:p>
    <w:p w:rsidR="00F96258" w:rsidRDefault="00F96258" w:rsidP="00CC5D37">
      <w:pPr>
        <w:pStyle w:val="Bibliography"/>
        <w:spacing w:line="360" w:lineRule="auto"/>
      </w:pPr>
      <w:r>
        <w:t xml:space="preserve">Thorne, Colin R., and N. Keith Tovey. 1981. “Stability of Composite River Banks.” </w:t>
      </w:r>
      <w:r>
        <w:rPr>
          <w:i/>
          <w:iCs/>
        </w:rPr>
        <w:t>Earth Surface Processes and Landforms</w:t>
      </w:r>
      <w:r>
        <w:t xml:space="preserve"> 6 (5): 469–84. doi:10.1002/esp.3290060507.</w:t>
      </w:r>
    </w:p>
    <w:p w:rsidR="00F96258" w:rsidRDefault="00F96258" w:rsidP="00CC5D37">
      <w:pPr>
        <w:pStyle w:val="Bibliography"/>
        <w:spacing w:line="360" w:lineRule="auto"/>
      </w:pPr>
      <w:r>
        <w:t xml:space="preserve">Toy, Terrence J., George R. Foster, and Kenneth G. Renard. 2001. </w:t>
      </w:r>
      <w:r>
        <w:rPr>
          <w:i/>
          <w:iCs/>
        </w:rPr>
        <w:t>Soil Erosion Processes, Prediction, Measurement, and Control</w:t>
      </w:r>
      <w:r>
        <w:t>. John Wiley &amp; Sons.</w:t>
      </w:r>
    </w:p>
    <w:p w:rsidR="00F96258" w:rsidRDefault="00F96258" w:rsidP="00CC5D37">
      <w:pPr>
        <w:pStyle w:val="Bibliography"/>
        <w:spacing w:line="360" w:lineRule="auto"/>
      </w:pPr>
      <w:r>
        <w:t xml:space="preserve">Tran, Liem T., and Robert V. O’Neill. 2013. “Detecting the Effects of Land Use/land Cover on Mean Annual Streamflow in the Upper Mississippi River Basin, USA.” </w:t>
      </w:r>
      <w:r>
        <w:rPr>
          <w:i/>
          <w:iCs/>
        </w:rPr>
        <w:t>Journal of Hydrology</w:t>
      </w:r>
      <w:r>
        <w:t xml:space="preserve"> 499 (August): 82–90. doi:10.1016/j.jhydrol.2013.06.041.</w:t>
      </w:r>
    </w:p>
    <w:p w:rsidR="00F96258" w:rsidRDefault="00F96258" w:rsidP="00CC5D37">
      <w:pPr>
        <w:pStyle w:val="Bibliography"/>
        <w:spacing w:line="360" w:lineRule="auto"/>
      </w:pPr>
      <w:r>
        <w:t xml:space="preserve">Ullrich, C. Robert, D. Joseph Hagerty, and Ronald W. Holmberg. 1986. “Surficial Failures of Alluvial Stream Banks.” </w:t>
      </w:r>
      <w:r>
        <w:rPr>
          <w:i/>
          <w:iCs/>
        </w:rPr>
        <w:t>Canadian Geotechnical Journal</w:t>
      </w:r>
      <w:r>
        <w:t xml:space="preserve"> 23 (3): 304–16. doi:10.1139/t86-044.</w:t>
      </w:r>
    </w:p>
    <w:p w:rsidR="00F96258" w:rsidRDefault="00F96258" w:rsidP="00CC5D37">
      <w:pPr>
        <w:pStyle w:val="Bibliography"/>
        <w:spacing w:line="360" w:lineRule="auto"/>
      </w:pPr>
      <w:r>
        <w:t>UMESC. 2006. “Upper Midwest Basin Loading Database (Sediment and Nutrients): Loading Estimated Background Information.”</w:t>
      </w:r>
    </w:p>
    <w:p w:rsidR="00F96258" w:rsidRDefault="00F96258" w:rsidP="00CC5D37">
      <w:pPr>
        <w:pStyle w:val="Bibliography"/>
        <w:spacing w:line="360" w:lineRule="auto"/>
      </w:pPr>
      <w:r>
        <w:t>———. 2014. “Upper Midwest Environmental Sciences Center.” www. umesc.usgs.gov.</w:t>
      </w:r>
    </w:p>
    <w:p w:rsidR="00F96258" w:rsidRDefault="00F96258" w:rsidP="00CC5D37">
      <w:pPr>
        <w:pStyle w:val="Bibliography"/>
        <w:spacing w:line="360" w:lineRule="auto"/>
      </w:pPr>
      <w:r>
        <w:t xml:space="preserve">UMRBA. 1993. </w:t>
      </w:r>
      <w:r>
        <w:rPr>
          <w:i/>
          <w:iCs/>
        </w:rPr>
        <w:t>Upper Mississippi River Water Quality Initiative: Report of the Sedimentation Workshop</w:t>
      </w:r>
      <w:r>
        <w:t>. St. Paul, MN: Upper Mississippi River Basin Association.</w:t>
      </w:r>
    </w:p>
    <w:p w:rsidR="00F96258" w:rsidRDefault="00F96258" w:rsidP="00CC5D37">
      <w:pPr>
        <w:pStyle w:val="Bibliography"/>
        <w:spacing w:line="360" w:lineRule="auto"/>
      </w:pPr>
      <w:r>
        <w:t xml:space="preserve">UMRBA, and FTN Associates. 2007. </w:t>
      </w:r>
      <w:r>
        <w:rPr>
          <w:i/>
          <w:iCs/>
        </w:rPr>
        <w:t>Sediment-Related Water Quality Criteria for the Upper Mississippi River</w:t>
      </w:r>
      <w:r>
        <w:t>.</w:t>
      </w:r>
    </w:p>
    <w:p w:rsidR="00F96258" w:rsidRDefault="00F96258" w:rsidP="00CC5D37">
      <w:pPr>
        <w:pStyle w:val="Bibliography"/>
        <w:spacing w:line="360" w:lineRule="auto"/>
      </w:pPr>
      <w:r>
        <w:t xml:space="preserve">US AED, Ohio River. 1977. </w:t>
      </w:r>
      <w:r>
        <w:rPr>
          <w:i/>
          <w:iCs/>
        </w:rPr>
        <w:t>Ohio River Bank Erosion</w:t>
      </w:r>
      <w:r>
        <w:t>. The Division Engineer’s Steering Committee, Cincinnati, OH.</w:t>
      </w:r>
    </w:p>
    <w:p w:rsidR="00F96258" w:rsidRDefault="00F96258" w:rsidP="00CC5D37">
      <w:pPr>
        <w:pStyle w:val="Bibliography"/>
        <w:spacing w:line="360" w:lineRule="auto"/>
      </w:pPr>
      <w:r>
        <w:t xml:space="preserve">US EPA. 1994. </w:t>
      </w:r>
      <w:r>
        <w:rPr>
          <w:i/>
          <w:iCs/>
        </w:rPr>
        <w:t>Assessment and Remediation of Contaminated Sediments (ARCS) Program - Chapter 6</w:t>
      </w:r>
      <w:r>
        <w:t>. EPA 905-B94-003. Chicago, Ill.: Great Lakes National Program Office: US Environmental Protection Agency. http://epa.gov/glnpo/arcs/EPA-905-B94-003/B94-003.ch6.html.</w:t>
      </w:r>
    </w:p>
    <w:p w:rsidR="00F96258" w:rsidRDefault="00F96258" w:rsidP="00CC5D37">
      <w:pPr>
        <w:pStyle w:val="Bibliography"/>
        <w:spacing w:line="360" w:lineRule="auto"/>
      </w:pPr>
      <w:r>
        <w:lastRenderedPageBreak/>
        <w:t xml:space="preserve">———. 1999. </w:t>
      </w:r>
      <w:r>
        <w:rPr>
          <w:i/>
          <w:iCs/>
        </w:rPr>
        <w:t>Protocol for Developing Sediment TMDLs</w:t>
      </w:r>
      <w:r>
        <w:t>. Washington DC.: U.S. Environmental Protection Agency, Office of Water.</w:t>
      </w:r>
    </w:p>
    <w:p w:rsidR="00F96258" w:rsidRDefault="00F96258" w:rsidP="00CC5D37">
      <w:pPr>
        <w:pStyle w:val="Bibliography"/>
        <w:spacing w:line="360" w:lineRule="auto"/>
      </w:pPr>
      <w:r>
        <w:t>US EPA, Office of Wetlands. 2005. “National Management Measures to Control Nonpoint Source Pollution from Forestry”. US EPA. http://www.epa.gov/owow/nps/forestrymgmt/.</w:t>
      </w:r>
    </w:p>
    <w:p w:rsidR="00F96258" w:rsidRDefault="00F96258" w:rsidP="00CC5D37">
      <w:pPr>
        <w:pStyle w:val="Bibliography"/>
        <w:spacing w:line="360" w:lineRule="auto"/>
      </w:pPr>
      <w:r>
        <w:t xml:space="preserve">USACE. 1981. </w:t>
      </w:r>
      <w:r>
        <w:rPr>
          <w:i/>
          <w:iCs/>
        </w:rPr>
        <w:t>Final Report to Congress, The Streambank Erosion Control Evaluation and Demonstration Act of 1974, Section 32, Public Law 93-251: Main Report, Supplemented by Appendices A-H in Separate Volumes</w:t>
      </w:r>
      <w:r>
        <w:t>. The Corps.</w:t>
      </w:r>
    </w:p>
    <w:p w:rsidR="00F96258" w:rsidRDefault="00F96258" w:rsidP="00CC5D37">
      <w:pPr>
        <w:pStyle w:val="Bibliography"/>
        <w:spacing w:line="360" w:lineRule="auto"/>
      </w:pPr>
      <w:r>
        <w:t xml:space="preserve">———. 2012. </w:t>
      </w:r>
      <w:r>
        <w:rPr>
          <w:i/>
          <w:iCs/>
        </w:rPr>
        <w:t>The U.S. Waterway System : Transportation Facts and Information</w:t>
      </w:r>
      <w:r>
        <w:t>. US Army Corps of Engineers.</w:t>
      </w:r>
    </w:p>
    <w:p w:rsidR="00F96258" w:rsidRDefault="00F96258" w:rsidP="00CC5D37">
      <w:pPr>
        <w:pStyle w:val="Bibliography"/>
        <w:spacing w:line="360" w:lineRule="auto"/>
      </w:pPr>
      <w:r>
        <w:t>USGS. 2001. “USGS Water Data for the Nation.” http://waterdata.usgs.gov/usa/nwis/sw.</w:t>
      </w:r>
    </w:p>
    <w:p w:rsidR="00F96258" w:rsidRDefault="00F96258" w:rsidP="00CC5D37">
      <w:pPr>
        <w:pStyle w:val="Bibliography"/>
        <w:spacing w:line="360" w:lineRule="auto"/>
      </w:pPr>
      <w:r>
        <w:t>———. 2004. “Physiographic Divisions of the Conterminous U. S. Dataset.” http://water.usgs.gov/GIS/metadata/usgswrd/XML/physio.xml.</w:t>
      </w:r>
    </w:p>
    <w:p w:rsidR="00F96258" w:rsidRDefault="00F96258" w:rsidP="00CC5D37">
      <w:pPr>
        <w:pStyle w:val="Bibliography"/>
        <w:spacing w:line="360" w:lineRule="auto"/>
      </w:pPr>
      <w:r>
        <w:t>———. 2006. “NHD Plus - NHDPlus Version 1 Dataset.” http://www.horizon-systems.com/NHDPlus/NHDPlusV1_home.php.</w:t>
      </w:r>
    </w:p>
    <w:p w:rsidR="00F96258" w:rsidRDefault="00F96258" w:rsidP="00CC5D37">
      <w:pPr>
        <w:pStyle w:val="Bibliography"/>
        <w:spacing w:line="360" w:lineRule="auto"/>
      </w:pPr>
      <w:r>
        <w:t xml:space="preserve">Vigil, Jose F., Richard J. Pike, and David Howell. 2000. </w:t>
      </w:r>
      <w:r>
        <w:rPr>
          <w:i/>
          <w:iCs/>
        </w:rPr>
        <w:t>A Tapestry of Time and Terrain</w:t>
      </w:r>
      <w:r>
        <w:t>. Investigation Series 2720. US Geological Survey. http://tapestry.usgs.gov/.</w:t>
      </w:r>
    </w:p>
    <w:p w:rsidR="00F96258" w:rsidRDefault="00F96258" w:rsidP="00CC5D37">
      <w:pPr>
        <w:pStyle w:val="Bibliography"/>
        <w:spacing w:line="360" w:lineRule="auto"/>
      </w:pPr>
      <w:r>
        <w:t xml:space="preserve">Vogelmann, J.E., S.M. Howard, L. Yang, Curtis L. Larson, B.K. Wylie, and J.N. Van Driel. 2001. “Completion of the 1990’s National Land Cover Data Set for the Conterminous United States.” </w:t>
      </w:r>
      <w:r>
        <w:rPr>
          <w:i/>
          <w:iCs/>
        </w:rPr>
        <w:t>Photogrammetric Engineering and Remote Sensing</w:t>
      </w:r>
      <w:r>
        <w:t xml:space="preserve"> 67: 650–62.</w:t>
      </w:r>
    </w:p>
    <w:p w:rsidR="00F96258" w:rsidRDefault="00F96258" w:rsidP="00CC5D37">
      <w:pPr>
        <w:pStyle w:val="Bibliography"/>
        <w:spacing w:line="360" w:lineRule="auto"/>
      </w:pPr>
      <w:r>
        <w:t xml:space="preserve">Walling, D. E. 1974. </w:t>
      </w:r>
      <w:r>
        <w:rPr>
          <w:i/>
          <w:iCs/>
        </w:rPr>
        <w:t>Suspended Sediment and Solube Yield from a Small Catchment prior to Urbanization. In Gregory, K.J and Walling, D.E (eds) Fluvial Processes in Instrumented Watersheds</w:t>
      </w:r>
      <w:r>
        <w:t>. Institute of British Geographers Special Publication 6, IBG.</w:t>
      </w:r>
    </w:p>
    <w:p w:rsidR="00F96258" w:rsidRDefault="00F96258" w:rsidP="00CC5D37">
      <w:pPr>
        <w:pStyle w:val="Bibliography"/>
        <w:spacing w:line="360" w:lineRule="auto"/>
      </w:pPr>
      <w:r>
        <w:t xml:space="preserve">———. 1977. “Assessing the Accuracy of Suspended Sediment Rating Curves for a Small Basin.” </w:t>
      </w:r>
      <w:r>
        <w:rPr>
          <w:i/>
          <w:iCs/>
        </w:rPr>
        <w:t>Water Resources Research</w:t>
      </w:r>
      <w:r>
        <w:t xml:space="preserve"> 13 (3): 531–38. doi:10.1029/WR013i003p00531.</w:t>
      </w:r>
    </w:p>
    <w:p w:rsidR="00F96258" w:rsidRDefault="00F96258" w:rsidP="00CC5D37">
      <w:pPr>
        <w:pStyle w:val="Bibliography"/>
        <w:spacing w:line="360" w:lineRule="auto"/>
      </w:pPr>
      <w:r>
        <w:t xml:space="preserve">Walling, D. E., and B.W. Webb. 1988. “The Reliability of Rating Curve Estimates of Suspended Sediment Yield: Some Further Comments.” </w:t>
      </w:r>
      <w:r>
        <w:rPr>
          <w:i/>
          <w:iCs/>
        </w:rPr>
        <w:t>Sediment Budgets</w:t>
      </w:r>
      <w:r>
        <w:t xml:space="preserve"> IAHS Publication No. 1974: 337–50.</w:t>
      </w:r>
    </w:p>
    <w:p w:rsidR="00F96258" w:rsidRDefault="00F96258" w:rsidP="00CC5D37">
      <w:pPr>
        <w:pStyle w:val="Bibliography"/>
        <w:spacing w:line="360" w:lineRule="auto"/>
      </w:pPr>
      <w:r>
        <w:t xml:space="preserve">Wang, Jie, Hiroshi Ishidaira, Wenchao Sun, and Shaowei Ning. 2013. “Development and Interpretation of New Sediment Rating Curve Considering the Effect of Vegetation Cover for Asian Basins.” </w:t>
      </w:r>
      <w:r>
        <w:rPr>
          <w:i/>
          <w:iCs/>
        </w:rPr>
        <w:t>The Scientific World Journal</w:t>
      </w:r>
      <w:r>
        <w:t xml:space="preserve"> 2013 (December): e154375. doi:10.1155/2013/154375.</w:t>
      </w:r>
    </w:p>
    <w:p w:rsidR="00F96258" w:rsidRDefault="00F96258" w:rsidP="00CC5D37">
      <w:pPr>
        <w:pStyle w:val="Bibliography"/>
        <w:spacing w:line="360" w:lineRule="auto"/>
      </w:pPr>
      <w:r>
        <w:lastRenderedPageBreak/>
        <w:t xml:space="preserve">Wang, You-Gan, and Ting Tian. 2013. “Sediment Concentration Prediction and Statistical Evaluation for Annual Load Estimation.” </w:t>
      </w:r>
      <w:r>
        <w:rPr>
          <w:i/>
          <w:iCs/>
        </w:rPr>
        <w:t>Journal of Hydrology</w:t>
      </w:r>
      <w:r>
        <w:t xml:space="preserve"> 482 (March): 69–78. doi:10.1016/j.jhydrol.2012.12.043.</w:t>
      </w:r>
    </w:p>
    <w:p w:rsidR="00F96258" w:rsidRDefault="00F96258" w:rsidP="00CC5D37">
      <w:pPr>
        <w:pStyle w:val="Bibliography"/>
        <w:spacing w:line="360" w:lineRule="auto"/>
      </w:pPr>
      <w:r>
        <w:t xml:space="preserve">Weltz, M. A., M. R. Kidwell, and H. D. Fox. 2006. “Influence of Abiotic and Biotic Factors in Measuring and Modeling Soil Erosion on Rangelands: State of Knowledge.” </w:t>
      </w:r>
      <w:r>
        <w:rPr>
          <w:i/>
          <w:iCs/>
        </w:rPr>
        <w:t>Journal of Range Management Archives</w:t>
      </w:r>
      <w:r>
        <w:t xml:space="preserve"> 51 (5): 482–95.</w:t>
      </w:r>
    </w:p>
    <w:p w:rsidR="00F96258" w:rsidRDefault="00F96258" w:rsidP="00CC5D37">
      <w:pPr>
        <w:pStyle w:val="Bibliography"/>
        <w:spacing w:line="360" w:lineRule="auto"/>
      </w:pPr>
      <w:r>
        <w:t xml:space="preserve">Wischmeier, W. H., and D. D. Smith. 1960. “A Universal Soil-Loss Equation to Guide Conservation Farm Planning.” </w:t>
      </w:r>
      <w:r>
        <w:rPr>
          <w:i/>
          <w:iCs/>
        </w:rPr>
        <w:t>Transactions 7th Int. Congr. Soil Sci.</w:t>
      </w:r>
      <w:r>
        <w:t xml:space="preserve"> 1: 418–25.</w:t>
      </w:r>
    </w:p>
    <w:p w:rsidR="00F96258" w:rsidRDefault="00F96258" w:rsidP="00CC5D37">
      <w:pPr>
        <w:pStyle w:val="Bibliography"/>
        <w:spacing w:line="360" w:lineRule="auto"/>
      </w:pPr>
      <w:r>
        <w:t xml:space="preserve">Wolock, D.M. 1997. </w:t>
      </w:r>
      <w:r>
        <w:rPr>
          <w:i/>
          <w:iCs/>
        </w:rPr>
        <w:t>STATSGO Soil Characteristics for the Conterminous United States</w:t>
      </w:r>
      <w:r>
        <w:t>. 656. Lawrence, KS: U.S. Geological Survey. http://water.usgs.gov/lookup/getspatial?muid.</w:t>
      </w:r>
    </w:p>
    <w:p w:rsidR="00F96258" w:rsidRDefault="00F96258" w:rsidP="00CC5D37">
      <w:pPr>
        <w:pStyle w:val="Bibliography"/>
        <w:spacing w:line="360" w:lineRule="auto"/>
      </w:pPr>
      <w:r>
        <w:t xml:space="preserve">Wuebben, James L., United States Department of the Army Cold Regions Research and Engineering Laboratory, COLD REGIONS RESEARCH AND ENGINEERING LAB HANOVER NH, and United States Army Corps of Engineers Detroit District. 1983. </w:t>
      </w:r>
      <w:r>
        <w:rPr>
          <w:i/>
          <w:iCs/>
        </w:rPr>
        <w:t>Effect of Vessel Size on Shoreline and Shore Structure Damage Along the Great Lakes Connecting Channels</w:t>
      </w:r>
      <w:r>
        <w:t>. U.S. Army Cold Regions Research &amp; Engineering Laboratory.</w:t>
      </w:r>
    </w:p>
    <w:p w:rsidR="00F96258" w:rsidRDefault="00F96258" w:rsidP="00CC5D37">
      <w:pPr>
        <w:pStyle w:val="Bibliography"/>
        <w:spacing w:line="360" w:lineRule="auto"/>
      </w:pPr>
      <w:r>
        <w:t xml:space="preserve">Yang, Guifang, Zhongyuan Chen, Fengling Yu, Zhanghua Wang, Yiwen Zhao, and Zhangqiao Wang. 2007. “Sediment Rating Parameters and Their Implications: Yangtze River, China.” </w:t>
      </w:r>
      <w:r>
        <w:rPr>
          <w:i/>
          <w:iCs/>
        </w:rPr>
        <w:t>Geomorphology</w:t>
      </w:r>
      <w:r>
        <w:t>, Monsoon Rivers of Asia, 85 (3–4): 166–75. doi:10.1016/j.geomorph.2006.03.016.</w:t>
      </w:r>
    </w:p>
    <w:p w:rsidR="00F96258" w:rsidRDefault="00F96258" w:rsidP="00CC5D37">
      <w:pPr>
        <w:pStyle w:val="Bibliography"/>
        <w:spacing w:line="360" w:lineRule="auto"/>
      </w:pPr>
      <w:r>
        <w:t xml:space="preserve">Zhang, Wei, Xiaoyan Wei, Zheng Jinhai, Zhu Yuliang, and Yanjing Zhang. 2012. “Estimating Suspended Sediment Loads in the Pearl River Delta Region Using Sediment Rating Curves.” </w:t>
      </w:r>
      <w:r>
        <w:rPr>
          <w:i/>
          <w:iCs/>
        </w:rPr>
        <w:t>Continental Shelf Research</w:t>
      </w:r>
      <w:r>
        <w:t xml:space="preserve"> 38 (April): 35–46. doi:10.1016/j.csr.2012.02.017.</w:t>
      </w:r>
    </w:p>
    <w:p w:rsidR="001021C0" w:rsidRPr="00854E06" w:rsidRDefault="00F41E6A" w:rsidP="00CC5D37">
      <w:pPr>
        <w:pStyle w:val="Bibliography"/>
        <w:spacing w:before="120" w:after="120" w:line="360" w:lineRule="auto"/>
      </w:pPr>
      <w:r w:rsidRPr="00854E06">
        <w:fldChar w:fldCharType="end"/>
      </w:r>
      <w:r w:rsidR="001021C0" w:rsidRPr="00854E06">
        <w:br w:type="page"/>
      </w:r>
    </w:p>
    <w:p w:rsidR="0043791B" w:rsidRDefault="0043791B" w:rsidP="00645079">
      <w:pPr>
        <w:pStyle w:val="Heading1"/>
        <w:numPr>
          <w:ilvl w:val="0"/>
          <w:numId w:val="0"/>
        </w:numPr>
        <w:ind w:left="360"/>
      </w:pPr>
    </w:p>
    <w:p w:rsidR="0043791B" w:rsidRDefault="0043791B" w:rsidP="00645079">
      <w:pPr>
        <w:pStyle w:val="Heading1"/>
        <w:numPr>
          <w:ilvl w:val="0"/>
          <w:numId w:val="0"/>
        </w:numPr>
        <w:ind w:left="360"/>
      </w:pPr>
    </w:p>
    <w:p w:rsidR="0043791B" w:rsidRDefault="0043791B" w:rsidP="00645079">
      <w:pPr>
        <w:pStyle w:val="Heading1"/>
        <w:numPr>
          <w:ilvl w:val="0"/>
          <w:numId w:val="0"/>
        </w:numPr>
        <w:ind w:left="360"/>
      </w:pPr>
    </w:p>
    <w:p w:rsidR="0043791B" w:rsidRDefault="0043791B" w:rsidP="00645079">
      <w:pPr>
        <w:pStyle w:val="Heading1"/>
        <w:numPr>
          <w:ilvl w:val="0"/>
          <w:numId w:val="0"/>
        </w:numPr>
        <w:ind w:left="360"/>
      </w:pPr>
      <w:bookmarkStart w:id="157" w:name="_GoBack"/>
      <w:bookmarkEnd w:id="157"/>
    </w:p>
    <w:p w:rsidR="003907AB" w:rsidRPr="00854E06" w:rsidRDefault="001021C0" w:rsidP="00645079">
      <w:pPr>
        <w:pStyle w:val="Heading1"/>
        <w:numPr>
          <w:ilvl w:val="0"/>
          <w:numId w:val="0"/>
        </w:numPr>
        <w:ind w:left="360"/>
      </w:pPr>
      <w:bookmarkStart w:id="158" w:name="_Toc394525584"/>
      <w:r w:rsidRPr="00854E06">
        <w:t>Appendi</w:t>
      </w:r>
      <w:r w:rsidR="00A1671B">
        <w:t>ces</w:t>
      </w:r>
      <w:bookmarkEnd w:id="158"/>
    </w:p>
    <w:p w:rsidR="001021C0" w:rsidRPr="00854E06" w:rsidRDefault="001021C0" w:rsidP="001021C0">
      <w:pPr>
        <w:spacing w:after="200" w:line="276" w:lineRule="auto"/>
        <w:jc w:val="center"/>
        <w:rPr>
          <w:b/>
          <w:bCs/>
        </w:rPr>
      </w:pPr>
      <w:r w:rsidRPr="00854E06">
        <w:rPr>
          <w:b/>
          <w:bCs/>
        </w:rPr>
        <w:br w:type="page"/>
      </w:r>
    </w:p>
    <w:p w:rsidR="003A34C6" w:rsidRPr="00854E06" w:rsidRDefault="003A34C6" w:rsidP="003A34C6">
      <w:pPr>
        <w:jc w:val="center"/>
        <w:rPr>
          <w:rFonts w:ascii="Arial" w:hAnsi="Arial"/>
          <w:b/>
          <w:bCs/>
          <w:sz w:val="20"/>
          <w:szCs w:val="20"/>
        </w:rPr>
        <w:sectPr w:rsidR="003A34C6" w:rsidRPr="00854E06">
          <w:footerReference w:type="default" r:id="rId58"/>
          <w:pgSz w:w="12240" w:h="15840"/>
          <w:pgMar w:top="1440" w:right="1440" w:bottom="1440" w:left="1440" w:header="720" w:footer="720" w:gutter="0"/>
          <w:cols w:space="720"/>
          <w:docGrid w:linePitch="360"/>
        </w:sectPr>
      </w:pPr>
    </w:p>
    <w:p w:rsidR="001021C0" w:rsidRPr="00854E06" w:rsidRDefault="00A1671B" w:rsidP="003A34C6">
      <w:pPr>
        <w:jc w:val="center"/>
        <w:rPr>
          <w:rFonts w:cstheme="majorBidi"/>
          <w:b/>
          <w:bCs/>
        </w:rPr>
      </w:pPr>
      <w:proofErr w:type="gramStart"/>
      <w:r>
        <w:rPr>
          <w:rFonts w:cstheme="majorBidi"/>
          <w:b/>
          <w:bCs/>
        </w:rPr>
        <w:lastRenderedPageBreak/>
        <w:t>Appendix</w:t>
      </w:r>
      <w:r w:rsidR="00AA6D48">
        <w:rPr>
          <w:rFonts w:cstheme="majorBidi"/>
          <w:b/>
          <w:bCs/>
        </w:rPr>
        <w:t xml:space="preserve"> A</w:t>
      </w:r>
      <w:r w:rsidR="00F440E8">
        <w:rPr>
          <w:rFonts w:cstheme="majorBidi"/>
          <w:b/>
          <w:bCs/>
        </w:rPr>
        <w:t>1.</w:t>
      </w:r>
      <w:proofErr w:type="gramEnd"/>
      <w:r w:rsidR="00F440E8">
        <w:rPr>
          <w:rFonts w:cstheme="majorBidi"/>
          <w:b/>
          <w:bCs/>
        </w:rPr>
        <w:t xml:space="preserve"> Information about 64</w:t>
      </w:r>
      <w:r w:rsidR="003A34C6" w:rsidRPr="00854E06">
        <w:rPr>
          <w:rFonts w:cstheme="majorBidi"/>
          <w:b/>
          <w:bCs/>
        </w:rPr>
        <w:t xml:space="preserve"> gauging stations in the UMRB</w:t>
      </w:r>
    </w:p>
    <w:p w:rsidR="003A34C6" w:rsidRPr="00854E06" w:rsidRDefault="003A34C6" w:rsidP="003A34C6">
      <w:pPr>
        <w:jc w:val="center"/>
        <w:rPr>
          <w:rFonts w:ascii="Arial" w:hAnsi="Arial"/>
          <w:b/>
          <w:bCs/>
          <w:sz w:val="20"/>
          <w:szCs w:val="20"/>
        </w:rPr>
      </w:pPr>
    </w:p>
    <w:tbl>
      <w:tblPr>
        <w:tblW w:w="140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070"/>
        <w:gridCol w:w="3850"/>
        <w:gridCol w:w="2100"/>
        <w:gridCol w:w="2940"/>
        <w:gridCol w:w="960"/>
        <w:gridCol w:w="1900"/>
      </w:tblGrid>
      <w:tr w:rsidR="001021C0" w:rsidRPr="00854E06" w:rsidTr="0043791B">
        <w:trPr>
          <w:trHeight w:val="285"/>
        </w:trPr>
        <w:tc>
          <w:tcPr>
            <w:tcW w:w="1200" w:type="dxa"/>
            <w:shd w:val="clear" w:color="auto" w:fill="auto"/>
            <w:noWrap/>
            <w:vAlign w:val="center"/>
          </w:tcPr>
          <w:p w:rsidR="001021C0" w:rsidRPr="00854E06" w:rsidRDefault="001021C0" w:rsidP="0043791B">
            <w:pPr>
              <w:jc w:val="center"/>
              <w:rPr>
                <w:rFonts w:cstheme="majorBidi"/>
                <w:b/>
                <w:bCs/>
              </w:rPr>
            </w:pPr>
            <w:r w:rsidRPr="00854E06">
              <w:rPr>
                <w:rFonts w:cstheme="majorBidi"/>
                <w:b/>
                <w:bCs/>
              </w:rPr>
              <w:t>HUC</w:t>
            </w:r>
          </w:p>
        </w:tc>
        <w:tc>
          <w:tcPr>
            <w:tcW w:w="1070" w:type="dxa"/>
            <w:shd w:val="clear" w:color="auto" w:fill="auto"/>
            <w:noWrap/>
            <w:vAlign w:val="center"/>
          </w:tcPr>
          <w:p w:rsidR="001021C0" w:rsidRPr="00854E06" w:rsidRDefault="001021C0" w:rsidP="0043791B">
            <w:pPr>
              <w:jc w:val="center"/>
              <w:rPr>
                <w:rFonts w:cstheme="majorBidi"/>
                <w:b/>
                <w:bCs/>
              </w:rPr>
            </w:pPr>
            <w:proofErr w:type="spellStart"/>
            <w:r w:rsidRPr="00854E06">
              <w:rPr>
                <w:rFonts w:cstheme="majorBidi"/>
                <w:b/>
                <w:bCs/>
              </w:rPr>
              <w:t>Sitecode</w:t>
            </w:r>
            <w:proofErr w:type="spellEnd"/>
          </w:p>
        </w:tc>
        <w:tc>
          <w:tcPr>
            <w:tcW w:w="3850" w:type="dxa"/>
            <w:shd w:val="clear" w:color="auto" w:fill="auto"/>
            <w:noWrap/>
            <w:vAlign w:val="center"/>
          </w:tcPr>
          <w:p w:rsidR="001021C0" w:rsidRPr="00854E06" w:rsidRDefault="001021C0" w:rsidP="0043791B">
            <w:pPr>
              <w:jc w:val="center"/>
              <w:rPr>
                <w:rFonts w:cstheme="majorBidi"/>
                <w:b/>
                <w:bCs/>
              </w:rPr>
            </w:pPr>
            <w:r w:rsidRPr="00854E06">
              <w:rPr>
                <w:rFonts w:cstheme="majorBidi"/>
                <w:b/>
                <w:bCs/>
              </w:rPr>
              <w:t>Data Source Agency</w:t>
            </w:r>
          </w:p>
        </w:tc>
        <w:tc>
          <w:tcPr>
            <w:tcW w:w="2100" w:type="dxa"/>
            <w:shd w:val="clear" w:color="auto" w:fill="auto"/>
            <w:noWrap/>
            <w:vAlign w:val="center"/>
          </w:tcPr>
          <w:p w:rsidR="001021C0" w:rsidRPr="00854E06" w:rsidRDefault="001021C0" w:rsidP="0043791B">
            <w:pPr>
              <w:jc w:val="center"/>
              <w:rPr>
                <w:rFonts w:cstheme="majorBidi"/>
                <w:b/>
                <w:bCs/>
              </w:rPr>
            </w:pPr>
            <w:r w:rsidRPr="00854E06">
              <w:rPr>
                <w:rFonts w:cstheme="majorBidi"/>
                <w:b/>
                <w:bCs/>
              </w:rPr>
              <w:t>Stream</w:t>
            </w:r>
          </w:p>
        </w:tc>
        <w:tc>
          <w:tcPr>
            <w:tcW w:w="2940" w:type="dxa"/>
            <w:shd w:val="clear" w:color="auto" w:fill="auto"/>
            <w:noWrap/>
            <w:vAlign w:val="center"/>
          </w:tcPr>
          <w:p w:rsidR="001021C0" w:rsidRPr="00854E06" w:rsidRDefault="001021C0" w:rsidP="0043791B">
            <w:pPr>
              <w:jc w:val="center"/>
              <w:rPr>
                <w:rFonts w:cstheme="majorBidi"/>
                <w:b/>
                <w:bCs/>
              </w:rPr>
            </w:pPr>
            <w:r w:rsidRPr="00854E06">
              <w:rPr>
                <w:rFonts w:cstheme="majorBidi"/>
                <w:b/>
                <w:bCs/>
              </w:rPr>
              <w:t>Monitoring Location</w:t>
            </w:r>
          </w:p>
        </w:tc>
        <w:tc>
          <w:tcPr>
            <w:tcW w:w="960" w:type="dxa"/>
            <w:shd w:val="clear" w:color="auto" w:fill="auto"/>
            <w:noWrap/>
            <w:vAlign w:val="center"/>
          </w:tcPr>
          <w:p w:rsidR="001021C0" w:rsidRPr="00854E06" w:rsidRDefault="001021C0" w:rsidP="0043791B">
            <w:pPr>
              <w:jc w:val="center"/>
              <w:rPr>
                <w:rFonts w:cstheme="majorBidi"/>
                <w:b/>
                <w:bCs/>
              </w:rPr>
            </w:pPr>
            <w:r w:rsidRPr="00854E06">
              <w:rPr>
                <w:rFonts w:cstheme="majorBidi"/>
                <w:b/>
                <w:bCs/>
              </w:rPr>
              <w:t>State</w:t>
            </w:r>
          </w:p>
        </w:tc>
        <w:tc>
          <w:tcPr>
            <w:tcW w:w="1900" w:type="dxa"/>
            <w:shd w:val="clear" w:color="auto" w:fill="auto"/>
            <w:noWrap/>
            <w:vAlign w:val="center"/>
          </w:tcPr>
          <w:p w:rsidR="001021C0" w:rsidRPr="00854E06" w:rsidRDefault="001021C0" w:rsidP="0043791B">
            <w:pPr>
              <w:jc w:val="center"/>
              <w:rPr>
                <w:rFonts w:cstheme="majorBidi"/>
                <w:b/>
                <w:bCs/>
              </w:rPr>
            </w:pPr>
            <w:r w:rsidRPr="00854E06">
              <w:rPr>
                <w:rFonts w:cstheme="majorBidi"/>
                <w:b/>
                <w:bCs/>
              </w:rPr>
              <w:t>Period of Record</w:t>
            </w:r>
          </w:p>
        </w:tc>
      </w:tr>
      <w:tr w:rsidR="001021C0" w:rsidRPr="00854E06" w:rsidTr="0043791B">
        <w:trPr>
          <w:trHeight w:val="255"/>
        </w:trPr>
        <w:tc>
          <w:tcPr>
            <w:tcW w:w="1200" w:type="dxa"/>
            <w:shd w:val="clear" w:color="auto" w:fill="auto"/>
            <w:noWrap/>
            <w:vAlign w:val="center"/>
          </w:tcPr>
          <w:p w:rsidR="001021C0" w:rsidRPr="00854E06" w:rsidRDefault="001021C0" w:rsidP="0043791B">
            <w:pPr>
              <w:rPr>
                <w:rFonts w:cstheme="majorBidi"/>
              </w:rPr>
            </w:pPr>
            <w:r w:rsidRPr="00854E06">
              <w:rPr>
                <w:rFonts w:cstheme="majorBidi"/>
              </w:rPr>
              <w:t>07010104</w:t>
            </w:r>
          </w:p>
        </w:tc>
        <w:tc>
          <w:tcPr>
            <w:tcW w:w="1070" w:type="dxa"/>
            <w:shd w:val="clear" w:color="auto" w:fill="auto"/>
            <w:noWrap/>
            <w:vAlign w:val="center"/>
          </w:tcPr>
          <w:p w:rsidR="001021C0" w:rsidRPr="00854E06" w:rsidRDefault="001021C0" w:rsidP="0043791B">
            <w:pPr>
              <w:rPr>
                <w:rFonts w:cstheme="majorBidi"/>
              </w:rPr>
            </w:pPr>
            <w:r w:rsidRPr="00854E06">
              <w:rPr>
                <w:rFonts w:cstheme="majorBidi"/>
              </w:rPr>
              <w:t>10001</w:t>
            </w:r>
          </w:p>
        </w:tc>
        <w:tc>
          <w:tcPr>
            <w:tcW w:w="3850" w:type="dxa"/>
            <w:shd w:val="clear" w:color="auto" w:fill="auto"/>
            <w:noWrap/>
            <w:vAlign w:val="center"/>
          </w:tcPr>
          <w:p w:rsidR="001021C0" w:rsidRPr="00854E06" w:rsidRDefault="001021C0" w:rsidP="0043791B">
            <w:pPr>
              <w:rPr>
                <w:rFonts w:cstheme="majorBidi"/>
              </w:rPr>
            </w:pPr>
            <w:r w:rsidRPr="00854E06">
              <w:rPr>
                <w:rFonts w:cstheme="majorBidi"/>
              </w:rPr>
              <w:t>Minnesota Pollution Control Agency</w:t>
            </w:r>
          </w:p>
        </w:tc>
        <w:tc>
          <w:tcPr>
            <w:tcW w:w="2100" w:type="dxa"/>
            <w:shd w:val="clear" w:color="auto" w:fill="auto"/>
            <w:noWrap/>
            <w:vAlign w:val="center"/>
          </w:tcPr>
          <w:p w:rsidR="001021C0" w:rsidRPr="00854E06" w:rsidRDefault="001021C0" w:rsidP="0043791B">
            <w:pPr>
              <w:rPr>
                <w:rFonts w:cstheme="majorBidi"/>
              </w:rPr>
            </w:pPr>
            <w:r w:rsidRPr="00854E06">
              <w:rPr>
                <w:rFonts w:cstheme="majorBidi"/>
              </w:rPr>
              <w:t>Mississippi River</w:t>
            </w:r>
          </w:p>
        </w:tc>
        <w:tc>
          <w:tcPr>
            <w:tcW w:w="2940" w:type="dxa"/>
            <w:shd w:val="clear" w:color="auto" w:fill="auto"/>
            <w:noWrap/>
            <w:vAlign w:val="center"/>
          </w:tcPr>
          <w:p w:rsidR="001021C0" w:rsidRPr="00854E06" w:rsidRDefault="001021C0" w:rsidP="0043791B">
            <w:pPr>
              <w:rPr>
                <w:rFonts w:cstheme="majorBidi"/>
              </w:rPr>
            </w:pPr>
            <w:r w:rsidRPr="00854E06">
              <w:rPr>
                <w:rFonts w:cstheme="majorBidi"/>
              </w:rPr>
              <w:t>Camp Ripley, MN</w:t>
            </w:r>
          </w:p>
        </w:tc>
        <w:tc>
          <w:tcPr>
            <w:tcW w:w="960" w:type="dxa"/>
            <w:shd w:val="clear" w:color="auto" w:fill="auto"/>
            <w:noWrap/>
            <w:vAlign w:val="center"/>
          </w:tcPr>
          <w:p w:rsidR="001021C0" w:rsidRPr="00854E06" w:rsidRDefault="001021C0" w:rsidP="0043791B">
            <w:pPr>
              <w:rPr>
                <w:rFonts w:cstheme="majorBidi"/>
              </w:rPr>
            </w:pPr>
            <w:r w:rsidRPr="00854E06">
              <w:rPr>
                <w:rFonts w:cstheme="majorBidi"/>
              </w:rPr>
              <w:t>MN</w:t>
            </w:r>
          </w:p>
        </w:tc>
        <w:tc>
          <w:tcPr>
            <w:tcW w:w="1900" w:type="dxa"/>
            <w:shd w:val="clear" w:color="auto" w:fill="auto"/>
            <w:noWrap/>
            <w:vAlign w:val="center"/>
          </w:tcPr>
          <w:p w:rsidR="001021C0" w:rsidRPr="00854E06" w:rsidRDefault="001021C0" w:rsidP="0043791B">
            <w:pPr>
              <w:rPr>
                <w:rFonts w:cstheme="majorBidi"/>
              </w:rPr>
            </w:pPr>
            <w:r w:rsidRPr="00854E06">
              <w:rPr>
                <w:rFonts w:cstheme="majorBidi"/>
              </w:rPr>
              <w:t>6-1987 to 12-1996</w:t>
            </w:r>
          </w:p>
        </w:tc>
      </w:tr>
      <w:tr w:rsidR="001021C0" w:rsidRPr="00854E06" w:rsidTr="0043791B">
        <w:trPr>
          <w:trHeight w:val="395"/>
        </w:trPr>
        <w:tc>
          <w:tcPr>
            <w:tcW w:w="1200" w:type="dxa"/>
            <w:shd w:val="clear" w:color="auto" w:fill="auto"/>
            <w:noWrap/>
            <w:vAlign w:val="center"/>
          </w:tcPr>
          <w:p w:rsidR="001021C0" w:rsidRPr="00854E06" w:rsidRDefault="001021C0" w:rsidP="0043791B">
            <w:pPr>
              <w:rPr>
                <w:rFonts w:cstheme="majorBidi"/>
              </w:rPr>
            </w:pPr>
            <w:r w:rsidRPr="00854E06">
              <w:rPr>
                <w:rFonts w:cstheme="majorBidi"/>
              </w:rPr>
              <w:t>07010104</w:t>
            </w:r>
          </w:p>
        </w:tc>
        <w:tc>
          <w:tcPr>
            <w:tcW w:w="1070" w:type="dxa"/>
            <w:shd w:val="clear" w:color="auto" w:fill="auto"/>
            <w:noWrap/>
            <w:vAlign w:val="center"/>
          </w:tcPr>
          <w:p w:rsidR="001021C0" w:rsidRPr="00854E06" w:rsidRDefault="001021C0" w:rsidP="0043791B">
            <w:pPr>
              <w:rPr>
                <w:rFonts w:cstheme="majorBidi"/>
              </w:rPr>
            </w:pPr>
            <w:r w:rsidRPr="00854E06">
              <w:rPr>
                <w:rFonts w:cstheme="majorBidi"/>
              </w:rPr>
              <w:t>10003</w:t>
            </w:r>
          </w:p>
        </w:tc>
        <w:tc>
          <w:tcPr>
            <w:tcW w:w="3850" w:type="dxa"/>
            <w:shd w:val="clear" w:color="auto" w:fill="auto"/>
            <w:noWrap/>
            <w:vAlign w:val="center"/>
          </w:tcPr>
          <w:p w:rsidR="001021C0" w:rsidRPr="00854E06" w:rsidRDefault="001021C0" w:rsidP="0043791B">
            <w:pPr>
              <w:rPr>
                <w:rFonts w:cstheme="majorBidi"/>
              </w:rPr>
            </w:pPr>
            <w:r w:rsidRPr="00854E06">
              <w:rPr>
                <w:rFonts w:cstheme="majorBidi"/>
              </w:rPr>
              <w:t>USGS Water Resources Division</w:t>
            </w:r>
          </w:p>
        </w:tc>
        <w:tc>
          <w:tcPr>
            <w:tcW w:w="2100" w:type="dxa"/>
            <w:shd w:val="clear" w:color="auto" w:fill="auto"/>
            <w:noWrap/>
            <w:vAlign w:val="center"/>
          </w:tcPr>
          <w:p w:rsidR="001021C0" w:rsidRPr="00854E06" w:rsidRDefault="001021C0" w:rsidP="0043791B">
            <w:pPr>
              <w:rPr>
                <w:rFonts w:cstheme="majorBidi"/>
              </w:rPr>
            </w:pPr>
            <w:r w:rsidRPr="00854E06">
              <w:rPr>
                <w:rFonts w:cstheme="majorBidi"/>
              </w:rPr>
              <w:t>Mississippi River</w:t>
            </w:r>
          </w:p>
        </w:tc>
        <w:tc>
          <w:tcPr>
            <w:tcW w:w="2940" w:type="dxa"/>
            <w:shd w:val="clear" w:color="auto" w:fill="auto"/>
            <w:noWrap/>
            <w:vAlign w:val="center"/>
          </w:tcPr>
          <w:p w:rsidR="001021C0" w:rsidRPr="00854E06" w:rsidRDefault="001021C0" w:rsidP="0043791B">
            <w:pPr>
              <w:rPr>
                <w:rFonts w:cstheme="majorBidi"/>
              </w:rPr>
            </w:pPr>
            <w:r w:rsidRPr="00854E06">
              <w:rPr>
                <w:rFonts w:cstheme="majorBidi"/>
              </w:rPr>
              <w:t>near Royalton, MN</w:t>
            </w:r>
          </w:p>
        </w:tc>
        <w:tc>
          <w:tcPr>
            <w:tcW w:w="960" w:type="dxa"/>
            <w:shd w:val="clear" w:color="auto" w:fill="auto"/>
            <w:noWrap/>
            <w:vAlign w:val="center"/>
          </w:tcPr>
          <w:p w:rsidR="001021C0" w:rsidRPr="00854E06" w:rsidRDefault="001021C0" w:rsidP="0043791B">
            <w:pPr>
              <w:rPr>
                <w:rFonts w:cstheme="majorBidi"/>
              </w:rPr>
            </w:pPr>
            <w:r w:rsidRPr="00854E06">
              <w:rPr>
                <w:rFonts w:cstheme="majorBidi"/>
              </w:rPr>
              <w:t>MN</w:t>
            </w:r>
          </w:p>
        </w:tc>
        <w:tc>
          <w:tcPr>
            <w:tcW w:w="1900" w:type="dxa"/>
            <w:shd w:val="clear" w:color="auto" w:fill="auto"/>
            <w:noWrap/>
            <w:vAlign w:val="center"/>
          </w:tcPr>
          <w:p w:rsidR="001021C0" w:rsidRPr="00854E06" w:rsidRDefault="001021C0" w:rsidP="0043791B">
            <w:pPr>
              <w:rPr>
                <w:rFonts w:cstheme="majorBidi"/>
              </w:rPr>
            </w:pPr>
            <w:r w:rsidRPr="00854E06">
              <w:rPr>
                <w:rFonts w:cstheme="majorBidi"/>
              </w:rPr>
              <w:t>10-1974 to 9-1994</w:t>
            </w:r>
          </w:p>
        </w:tc>
      </w:tr>
      <w:tr w:rsidR="001021C0" w:rsidRPr="00854E06" w:rsidTr="0043791B">
        <w:trPr>
          <w:trHeight w:val="255"/>
        </w:trPr>
        <w:tc>
          <w:tcPr>
            <w:tcW w:w="1200" w:type="dxa"/>
            <w:shd w:val="clear" w:color="auto" w:fill="auto"/>
            <w:noWrap/>
            <w:vAlign w:val="center"/>
          </w:tcPr>
          <w:p w:rsidR="001021C0" w:rsidRPr="00854E06" w:rsidRDefault="001021C0" w:rsidP="0043791B">
            <w:pPr>
              <w:rPr>
                <w:rFonts w:cstheme="majorBidi"/>
              </w:rPr>
            </w:pPr>
            <w:r w:rsidRPr="00854E06">
              <w:rPr>
                <w:rFonts w:cstheme="majorBidi"/>
              </w:rPr>
              <w:t>07010203</w:t>
            </w:r>
          </w:p>
        </w:tc>
        <w:tc>
          <w:tcPr>
            <w:tcW w:w="1070" w:type="dxa"/>
            <w:shd w:val="clear" w:color="auto" w:fill="auto"/>
            <w:noWrap/>
            <w:vAlign w:val="center"/>
          </w:tcPr>
          <w:p w:rsidR="001021C0" w:rsidRPr="00854E06" w:rsidRDefault="001021C0" w:rsidP="0043791B">
            <w:pPr>
              <w:rPr>
                <w:rFonts w:cstheme="majorBidi"/>
              </w:rPr>
            </w:pPr>
            <w:r w:rsidRPr="00854E06">
              <w:rPr>
                <w:rFonts w:cstheme="majorBidi"/>
              </w:rPr>
              <w:t>10005</w:t>
            </w:r>
          </w:p>
        </w:tc>
        <w:tc>
          <w:tcPr>
            <w:tcW w:w="3850" w:type="dxa"/>
            <w:shd w:val="clear" w:color="auto" w:fill="auto"/>
            <w:noWrap/>
            <w:vAlign w:val="center"/>
          </w:tcPr>
          <w:p w:rsidR="001021C0" w:rsidRPr="00854E06" w:rsidRDefault="001021C0" w:rsidP="0043791B">
            <w:pPr>
              <w:rPr>
                <w:rFonts w:cstheme="majorBidi"/>
              </w:rPr>
            </w:pPr>
            <w:r w:rsidRPr="00854E06">
              <w:rPr>
                <w:rFonts w:cstheme="majorBidi"/>
              </w:rPr>
              <w:t>Minnesota Pollution Control Agency</w:t>
            </w:r>
          </w:p>
        </w:tc>
        <w:tc>
          <w:tcPr>
            <w:tcW w:w="2100" w:type="dxa"/>
            <w:shd w:val="clear" w:color="auto" w:fill="auto"/>
            <w:noWrap/>
            <w:vAlign w:val="center"/>
          </w:tcPr>
          <w:p w:rsidR="001021C0" w:rsidRPr="00854E06" w:rsidRDefault="001021C0" w:rsidP="0043791B">
            <w:pPr>
              <w:rPr>
                <w:rFonts w:cstheme="majorBidi"/>
              </w:rPr>
            </w:pPr>
            <w:r w:rsidRPr="00854E06">
              <w:rPr>
                <w:rFonts w:cstheme="majorBidi"/>
              </w:rPr>
              <w:t>Mississippi River</w:t>
            </w:r>
          </w:p>
        </w:tc>
        <w:tc>
          <w:tcPr>
            <w:tcW w:w="2940" w:type="dxa"/>
            <w:shd w:val="clear" w:color="auto" w:fill="auto"/>
            <w:noWrap/>
            <w:vAlign w:val="center"/>
          </w:tcPr>
          <w:p w:rsidR="001021C0" w:rsidRPr="00854E06" w:rsidRDefault="001021C0" w:rsidP="0043791B">
            <w:pPr>
              <w:rPr>
                <w:rFonts w:cstheme="majorBidi"/>
              </w:rPr>
            </w:pPr>
            <w:r w:rsidRPr="00854E06">
              <w:rPr>
                <w:rFonts w:cstheme="majorBidi"/>
              </w:rPr>
              <w:t>Sauk Rapids, MN</w:t>
            </w:r>
          </w:p>
        </w:tc>
        <w:tc>
          <w:tcPr>
            <w:tcW w:w="960" w:type="dxa"/>
            <w:shd w:val="clear" w:color="auto" w:fill="auto"/>
            <w:noWrap/>
            <w:vAlign w:val="center"/>
          </w:tcPr>
          <w:p w:rsidR="001021C0" w:rsidRPr="00854E06" w:rsidRDefault="001021C0" w:rsidP="0043791B">
            <w:pPr>
              <w:rPr>
                <w:rFonts w:cstheme="majorBidi"/>
              </w:rPr>
            </w:pPr>
            <w:r w:rsidRPr="00854E06">
              <w:rPr>
                <w:rFonts w:cstheme="majorBidi"/>
              </w:rPr>
              <w:t>MN</w:t>
            </w:r>
          </w:p>
        </w:tc>
        <w:tc>
          <w:tcPr>
            <w:tcW w:w="1900" w:type="dxa"/>
            <w:shd w:val="clear" w:color="auto" w:fill="auto"/>
            <w:noWrap/>
            <w:vAlign w:val="center"/>
          </w:tcPr>
          <w:p w:rsidR="001021C0" w:rsidRPr="00854E06" w:rsidRDefault="001021C0" w:rsidP="0043791B">
            <w:pPr>
              <w:rPr>
                <w:rFonts w:cstheme="majorBidi"/>
              </w:rPr>
            </w:pPr>
            <w:r w:rsidRPr="00854E06">
              <w:rPr>
                <w:rFonts w:cstheme="majorBidi"/>
              </w:rPr>
              <w:t>8-1988 to 12-1996</w:t>
            </w:r>
          </w:p>
        </w:tc>
      </w:tr>
      <w:tr w:rsidR="001021C0" w:rsidRPr="00854E06" w:rsidTr="0043791B">
        <w:trPr>
          <w:trHeight w:val="405"/>
        </w:trPr>
        <w:tc>
          <w:tcPr>
            <w:tcW w:w="1200" w:type="dxa"/>
            <w:shd w:val="clear" w:color="auto" w:fill="auto"/>
            <w:noWrap/>
            <w:vAlign w:val="center"/>
          </w:tcPr>
          <w:p w:rsidR="001021C0" w:rsidRPr="00854E06" w:rsidRDefault="001021C0" w:rsidP="0043791B">
            <w:pPr>
              <w:rPr>
                <w:rFonts w:cstheme="majorBidi"/>
              </w:rPr>
            </w:pPr>
            <w:r w:rsidRPr="00854E06">
              <w:rPr>
                <w:rFonts w:cstheme="majorBidi"/>
              </w:rPr>
              <w:t>07010206</w:t>
            </w:r>
          </w:p>
        </w:tc>
        <w:tc>
          <w:tcPr>
            <w:tcW w:w="1070" w:type="dxa"/>
            <w:shd w:val="clear" w:color="auto" w:fill="auto"/>
            <w:noWrap/>
            <w:vAlign w:val="center"/>
          </w:tcPr>
          <w:p w:rsidR="001021C0" w:rsidRPr="00854E06" w:rsidRDefault="001021C0" w:rsidP="0043791B">
            <w:pPr>
              <w:rPr>
                <w:rFonts w:cstheme="majorBidi"/>
              </w:rPr>
            </w:pPr>
            <w:r w:rsidRPr="00854E06">
              <w:rPr>
                <w:rFonts w:cstheme="majorBidi"/>
              </w:rPr>
              <w:t>10009</w:t>
            </w:r>
          </w:p>
        </w:tc>
        <w:tc>
          <w:tcPr>
            <w:tcW w:w="3850" w:type="dxa"/>
            <w:shd w:val="clear" w:color="auto" w:fill="auto"/>
            <w:noWrap/>
            <w:vAlign w:val="center"/>
          </w:tcPr>
          <w:p w:rsidR="001021C0" w:rsidRPr="00854E06" w:rsidRDefault="001021C0" w:rsidP="0043791B">
            <w:pPr>
              <w:rPr>
                <w:rFonts w:cstheme="majorBidi"/>
              </w:rPr>
            </w:pPr>
            <w:r w:rsidRPr="00854E06">
              <w:rPr>
                <w:rFonts w:cstheme="majorBidi"/>
              </w:rPr>
              <w:t>Metropolitan Council Environmental Services</w:t>
            </w:r>
          </w:p>
        </w:tc>
        <w:tc>
          <w:tcPr>
            <w:tcW w:w="2100" w:type="dxa"/>
            <w:shd w:val="clear" w:color="auto" w:fill="auto"/>
            <w:noWrap/>
            <w:vAlign w:val="center"/>
          </w:tcPr>
          <w:p w:rsidR="001021C0" w:rsidRPr="00854E06" w:rsidRDefault="001021C0" w:rsidP="0043791B">
            <w:pPr>
              <w:rPr>
                <w:rFonts w:cstheme="majorBidi"/>
              </w:rPr>
            </w:pPr>
            <w:r w:rsidRPr="00854E06">
              <w:rPr>
                <w:rFonts w:cstheme="majorBidi"/>
              </w:rPr>
              <w:t>Mississippi River</w:t>
            </w:r>
          </w:p>
        </w:tc>
        <w:tc>
          <w:tcPr>
            <w:tcW w:w="2940" w:type="dxa"/>
            <w:shd w:val="clear" w:color="auto" w:fill="auto"/>
            <w:noWrap/>
            <w:vAlign w:val="center"/>
          </w:tcPr>
          <w:p w:rsidR="001021C0" w:rsidRPr="00854E06" w:rsidRDefault="001021C0" w:rsidP="0043791B">
            <w:pPr>
              <w:rPr>
                <w:rFonts w:cstheme="majorBidi"/>
              </w:rPr>
            </w:pPr>
            <w:r w:rsidRPr="00854E06">
              <w:rPr>
                <w:rFonts w:cstheme="majorBidi"/>
              </w:rPr>
              <w:t>Anoka, MN</w:t>
            </w:r>
          </w:p>
        </w:tc>
        <w:tc>
          <w:tcPr>
            <w:tcW w:w="960" w:type="dxa"/>
            <w:shd w:val="clear" w:color="auto" w:fill="auto"/>
            <w:noWrap/>
            <w:vAlign w:val="center"/>
          </w:tcPr>
          <w:p w:rsidR="001021C0" w:rsidRPr="00854E06" w:rsidRDefault="001021C0" w:rsidP="0043791B">
            <w:pPr>
              <w:rPr>
                <w:rFonts w:cstheme="majorBidi"/>
              </w:rPr>
            </w:pPr>
            <w:r w:rsidRPr="00854E06">
              <w:rPr>
                <w:rFonts w:cstheme="majorBidi"/>
              </w:rPr>
              <w:t>MN</w:t>
            </w:r>
          </w:p>
        </w:tc>
        <w:tc>
          <w:tcPr>
            <w:tcW w:w="1900" w:type="dxa"/>
            <w:shd w:val="clear" w:color="auto" w:fill="auto"/>
            <w:noWrap/>
            <w:vAlign w:val="center"/>
          </w:tcPr>
          <w:p w:rsidR="001021C0" w:rsidRPr="00854E06" w:rsidRDefault="001021C0" w:rsidP="0043791B">
            <w:pPr>
              <w:rPr>
                <w:rFonts w:cstheme="majorBidi"/>
              </w:rPr>
            </w:pPr>
            <w:r w:rsidRPr="00854E06">
              <w:rPr>
                <w:rFonts w:cstheme="majorBidi"/>
              </w:rPr>
              <w:t>1-1976 to 12-1996</w:t>
            </w:r>
          </w:p>
        </w:tc>
      </w:tr>
      <w:tr w:rsidR="001021C0" w:rsidRPr="00854E06" w:rsidTr="0043791B">
        <w:trPr>
          <w:trHeight w:val="405"/>
        </w:trPr>
        <w:tc>
          <w:tcPr>
            <w:tcW w:w="1200" w:type="dxa"/>
            <w:shd w:val="clear" w:color="auto" w:fill="auto"/>
            <w:noWrap/>
            <w:vAlign w:val="center"/>
          </w:tcPr>
          <w:p w:rsidR="001021C0" w:rsidRPr="00854E06" w:rsidRDefault="001021C0" w:rsidP="0043791B">
            <w:pPr>
              <w:rPr>
                <w:rFonts w:cstheme="majorBidi"/>
              </w:rPr>
            </w:pPr>
            <w:r w:rsidRPr="00854E06">
              <w:rPr>
                <w:rFonts w:cstheme="majorBidi"/>
              </w:rPr>
              <w:t>07010206</w:t>
            </w:r>
          </w:p>
        </w:tc>
        <w:tc>
          <w:tcPr>
            <w:tcW w:w="1070" w:type="dxa"/>
            <w:shd w:val="clear" w:color="auto" w:fill="auto"/>
            <w:noWrap/>
            <w:vAlign w:val="center"/>
          </w:tcPr>
          <w:p w:rsidR="001021C0" w:rsidRPr="00854E06" w:rsidRDefault="001021C0" w:rsidP="0043791B">
            <w:pPr>
              <w:rPr>
                <w:rFonts w:cstheme="majorBidi"/>
              </w:rPr>
            </w:pPr>
            <w:r w:rsidRPr="00854E06">
              <w:rPr>
                <w:rFonts w:cstheme="majorBidi"/>
              </w:rPr>
              <w:t>10011</w:t>
            </w:r>
          </w:p>
        </w:tc>
        <w:tc>
          <w:tcPr>
            <w:tcW w:w="3850" w:type="dxa"/>
            <w:shd w:val="clear" w:color="auto" w:fill="auto"/>
            <w:noWrap/>
            <w:vAlign w:val="center"/>
          </w:tcPr>
          <w:p w:rsidR="001021C0" w:rsidRPr="00854E06" w:rsidRDefault="001021C0" w:rsidP="0043791B">
            <w:pPr>
              <w:rPr>
                <w:rFonts w:cstheme="majorBidi"/>
              </w:rPr>
            </w:pPr>
            <w:r w:rsidRPr="00854E06">
              <w:rPr>
                <w:rFonts w:cstheme="majorBidi"/>
              </w:rPr>
              <w:t>Metropolitan Council Environmental Services</w:t>
            </w:r>
          </w:p>
        </w:tc>
        <w:tc>
          <w:tcPr>
            <w:tcW w:w="2100" w:type="dxa"/>
            <w:shd w:val="clear" w:color="auto" w:fill="auto"/>
            <w:noWrap/>
            <w:vAlign w:val="center"/>
          </w:tcPr>
          <w:p w:rsidR="001021C0" w:rsidRPr="00854E06" w:rsidRDefault="001021C0" w:rsidP="0043791B">
            <w:pPr>
              <w:rPr>
                <w:rFonts w:cstheme="majorBidi"/>
              </w:rPr>
            </w:pPr>
            <w:r w:rsidRPr="00854E06">
              <w:rPr>
                <w:rFonts w:cstheme="majorBidi"/>
              </w:rPr>
              <w:t>Mississippi River</w:t>
            </w:r>
          </w:p>
        </w:tc>
        <w:tc>
          <w:tcPr>
            <w:tcW w:w="2940" w:type="dxa"/>
            <w:shd w:val="clear" w:color="auto" w:fill="auto"/>
            <w:noWrap/>
            <w:vAlign w:val="center"/>
          </w:tcPr>
          <w:p w:rsidR="001021C0" w:rsidRPr="00854E06" w:rsidRDefault="001021C0" w:rsidP="0043791B">
            <w:pPr>
              <w:rPr>
                <w:rFonts w:cstheme="majorBidi"/>
              </w:rPr>
            </w:pPr>
            <w:r w:rsidRPr="00854E06">
              <w:rPr>
                <w:rFonts w:cstheme="majorBidi"/>
              </w:rPr>
              <w:t>Lock and Dam #1</w:t>
            </w:r>
          </w:p>
        </w:tc>
        <w:tc>
          <w:tcPr>
            <w:tcW w:w="960" w:type="dxa"/>
            <w:shd w:val="clear" w:color="auto" w:fill="auto"/>
            <w:noWrap/>
            <w:vAlign w:val="center"/>
          </w:tcPr>
          <w:p w:rsidR="001021C0" w:rsidRPr="00854E06" w:rsidRDefault="001021C0" w:rsidP="0043791B">
            <w:pPr>
              <w:rPr>
                <w:rFonts w:cstheme="majorBidi"/>
              </w:rPr>
            </w:pPr>
            <w:r w:rsidRPr="00854E06">
              <w:rPr>
                <w:rFonts w:cstheme="majorBidi"/>
              </w:rPr>
              <w:t>MN</w:t>
            </w:r>
          </w:p>
        </w:tc>
        <w:tc>
          <w:tcPr>
            <w:tcW w:w="1900" w:type="dxa"/>
            <w:shd w:val="clear" w:color="auto" w:fill="auto"/>
            <w:noWrap/>
            <w:vAlign w:val="center"/>
          </w:tcPr>
          <w:p w:rsidR="001021C0" w:rsidRPr="00854E06" w:rsidRDefault="001021C0" w:rsidP="0043791B">
            <w:pPr>
              <w:rPr>
                <w:rFonts w:cstheme="majorBidi"/>
              </w:rPr>
            </w:pPr>
            <w:r w:rsidRPr="00854E06">
              <w:rPr>
                <w:rFonts w:cstheme="majorBidi"/>
              </w:rPr>
              <w:t>1-1976 to 12-1996</w:t>
            </w:r>
          </w:p>
        </w:tc>
      </w:tr>
      <w:tr w:rsidR="001021C0" w:rsidRPr="00854E06" w:rsidTr="0043791B">
        <w:trPr>
          <w:trHeight w:val="405"/>
        </w:trPr>
        <w:tc>
          <w:tcPr>
            <w:tcW w:w="1200" w:type="dxa"/>
            <w:shd w:val="clear" w:color="auto" w:fill="auto"/>
            <w:noWrap/>
            <w:vAlign w:val="center"/>
          </w:tcPr>
          <w:p w:rsidR="001021C0" w:rsidRPr="00854E06" w:rsidRDefault="001021C0" w:rsidP="0043791B">
            <w:pPr>
              <w:rPr>
                <w:rFonts w:cstheme="majorBidi"/>
              </w:rPr>
            </w:pPr>
            <w:r w:rsidRPr="00854E06">
              <w:rPr>
                <w:rFonts w:cstheme="majorBidi"/>
              </w:rPr>
              <w:t>07010206</w:t>
            </w:r>
          </w:p>
        </w:tc>
        <w:tc>
          <w:tcPr>
            <w:tcW w:w="1070" w:type="dxa"/>
            <w:shd w:val="clear" w:color="auto" w:fill="auto"/>
            <w:noWrap/>
            <w:vAlign w:val="center"/>
          </w:tcPr>
          <w:p w:rsidR="001021C0" w:rsidRPr="00854E06" w:rsidRDefault="001021C0" w:rsidP="0043791B">
            <w:pPr>
              <w:rPr>
                <w:rFonts w:cstheme="majorBidi"/>
              </w:rPr>
            </w:pPr>
            <w:r w:rsidRPr="00854E06">
              <w:rPr>
                <w:rFonts w:cstheme="majorBidi"/>
              </w:rPr>
              <w:t>10013</w:t>
            </w:r>
          </w:p>
        </w:tc>
        <w:tc>
          <w:tcPr>
            <w:tcW w:w="3850" w:type="dxa"/>
            <w:shd w:val="clear" w:color="auto" w:fill="auto"/>
            <w:noWrap/>
            <w:vAlign w:val="center"/>
          </w:tcPr>
          <w:p w:rsidR="001021C0" w:rsidRPr="00854E06" w:rsidRDefault="001021C0" w:rsidP="0043791B">
            <w:pPr>
              <w:rPr>
                <w:rFonts w:cstheme="majorBidi"/>
              </w:rPr>
            </w:pPr>
            <w:r w:rsidRPr="00854E06">
              <w:rPr>
                <w:rFonts w:cstheme="majorBidi"/>
              </w:rPr>
              <w:t>Minnesota Pollution Control Agency</w:t>
            </w:r>
          </w:p>
        </w:tc>
        <w:tc>
          <w:tcPr>
            <w:tcW w:w="2100" w:type="dxa"/>
            <w:shd w:val="clear" w:color="auto" w:fill="auto"/>
            <w:noWrap/>
            <w:vAlign w:val="center"/>
          </w:tcPr>
          <w:p w:rsidR="001021C0" w:rsidRPr="00854E06" w:rsidRDefault="001021C0" w:rsidP="0043791B">
            <w:pPr>
              <w:rPr>
                <w:rFonts w:cstheme="majorBidi"/>
              </w:rPr>
            </w:pPr>
            <w:r w:rsidRPr="00854E06">
              <w:rPr>
                <w:rFonts w:cstheme="majorBidi"/>
              </w:rPr>
              <w:t>Mississippi River</w:t>
            </w:r>
          </w:p>
        </w:tc>
        <w:tc>
          <w:tcPr>
            <w:tcW w:w="2940" w:type="dxa"/>
            <w:shd w:val="clear" w:color="auto" w:fill="auto"/>
            <w:noWrap/>
            <w:vAlign w:val="center"/>
          </w:tcPr>
          <w:p w:rsidR="001021C0" w:rsidRPr="00854E06" w:rsidRDefault="001021C0" w:rsidP="0043791B">
            <w:pPr>
              <w:rPr>
                <w:rFonts w:cstheme="majorBidi"/>
              </w:rPr>
            </w:pPr>
            <w:r w:rsidRPr="00854E06">
              <w:rPr>
                <w:rFonts w:cstheme="majorBidi"/>
              </w:rPr>
              <w:t>Fridley, MN</w:t>
            </w:r>
          </w:p>
        </w:tc>
        <w:tc>
          <w:tcPr>
            <w:tcW w:w="960" w:type="dxa"/>
            <w:shd w:val="clear" w:color="auto" w:fill="auto"/>
            <w:noWrap/>
            <w:vAlign w:val="center"/>
          </w:tcPr>
          <w:p w:rsidR="001021C0" w:rsidRPr="00854E06" w:rsidRDefault="001021C0" w:rsidP="0043791B">
            <w:pPr>
              <w:rPr>
                <w:rFonts w:cstheme="majorBidi"/>
              </w:rPr>
            </w:pPr>
            <w:r w:rsidRPr="00854E06">
              <w:rPr>
                <w:rFonts w:cstheme="majorBidi"/>
              </w:rPr>
              <w:t>MN</w:t>
            </w:r>
          </w:p>
        </w:tc>
        <w:tc>
          <w:tcPr>
            <w:tcW w:w="1900" w:type="dxa"/>
            <w:shd w:val="clear" w:color="auto" w:fill="auto"/>
            <w:noWrap/>
            <w:vAlign w:val="center"/>
          </w:tcPr>
          <w:p w:rsidR="001021C0" w:rsidRPr="00854E06" w:rsidRDefault="001021C0" w:rsidP="0043791B">
            <w:pPr>
              <w:rPr>
                <w:rFonts w:cstheme="majorBidi"/>
              </w:rPr>
            </w:pPr>
            <w:r w:rsidRPr="00854E06">
              <w:rPr>
                <w:rFonts w:cstheme="majorBidi"/>
              </w:rPr>
              <w:t>1-1967 to 12-1996</w:t>
            </w:r>
          </w:p>
        </w:tc>
      </w:tr>
      <w:tr w:rsidR="001021C0" w:rsidRPr="00854E06" w:rsidTr="0043791B">
        <w:trPr>
          <w:trHeight w:val="255"/>
        </w:trPr>
        <w:tc>
          <w:tcPr>
            <w:tcW w:w="1200" w:type="dxa"/>
            <w:shd w:val="clear" w:color="auto" w:fill="auto"/>
            <w:noWrap/>
            <w:vAlign w:val="center"/>
          </w:tcPr>
          <w:p w:rsidR="001021C0" w:rsidRPr="00854E06" w:rsidRDefault="001021C0" w:rsidP="0043791B">
            <w:pPr>
              <w:rPr>
                <w:rFonts w:cstheme="majorBidi"/>
              </w:rPr>
            </w:pPr>
            <w:r w:rsidRPr="00854E06">
              <w:rPr>
                <w:rFonts w:cstheme="majorBidi"/>
              </w:rPr>
              <w:t>07020012</w:t>
            </w:r>
          </w:p>
        </w:tc>
        <w:tc>
          <w:tcPr>
            <w:tcW w:w="1070" w:type="dxa"/>
            <w:shd w:val="clear" w:color="auto" w:fill="auto"/>
            <w:noWrap/>
            <w:vAlign w:val="center"/>
          </w:tcPr>
          <w:p w:rsidR="001021C0" w:rsidRPr="00854E06" w:rsidRDefault="001021C0" w:rsidP="0043791B">
            <w:pPr>
              <w:rPr>
                <w:rFonts w:cstheme="majorBidi"/>
              </w:rPr>
            </w:pPr>
            <w:r w:rsidRPr="00854E06">
              <w:rPr>
                <w:rFonts w:cstheme="majorBidi"/>
              </w:rPr>
              <w:t>20001</w:t>
            </w:r>
          </w:p>
        </w:tc>
        <w:tc>
          <w:tcPr>
            <w:tcW w:w="3850" w:type="dxa"/>
            <w:shd w:val="clear" w:color="auto" w:fill="auto"/>
            <w:noWrap/>
            <w:vAlign w:val="center"/>
          </w:tcPr>
          <w:p w:rsidR="001021C0" w:rsidRPr="00854E06" w:rsidRDefault="001021C0" w:rsidP="0043791B">
            <w:pPr>
              <w:rPr>
                <w:rFonts w:cstheme="majorBidi"/>
              </w:rPr>
            </w:pPr>
            <w:r w:rsidRPr="00854E06">
              <w:rPr>
                <w:rFonts w:cstheme="majorBidi"/>
              </w:rPr>
              <w:t>Metropolitan Council Environmental Services</w:t>
            </w:r>
          </w:p>
        </w:tc>
        <w:tc>
          <w:tcPr>
            <w:tcW w:w="2100" w:type="dxa"/>
            <w:shd w:val="clear" w:color="auto" w:fill="auto"/>
            <w:noWrap/>
            <w:vAlign w:val="center"/>
          </w:tcPr>
          <w:p w:rsidR="001021C0" w:rsidRPr="00854E06" w:rsidRDefault="001021C0" w:rsidP="0043791B">
            <w:pPr>
              <w:rPr>
                <w:rFonts w:cstheme="majorBidi"/>
              </w:rPr>
            </w:pPr>
            <w:r w:rsidRPr="00854E06">
              <w:rPr>
                <w:rFonts w:cstheme="majorBidi"/>
              </w:rPr>
              <w:t>Minnesota River</w:t>
            </w:r>
          </w:p>
        </w:tc>
        <w:tc>
          <w:tcPr>
            <w:tcW w:w="2940" w:type="dxa"/>
            <w:shd w:val="clear" w:color="auto" w:fill="auto"/>
            <w:noWrap/>
            <w:vAlign w:val="center"/>
          </w:tcPr>
          <w:p w:rsidR="001021C0" w:rsidRPr="00854E06" w:rsidRDefault="001021C0" w:rsidP="0043791B">
            <w:pPr>
              <w:rPr>
                <w:rFonts w:cstheme="majorBidi"/>
              </w:rPr>
            </w:pPr>
            <w:r w:rsidRPr="00854E06">
              <w:rPr>
                <w:rFonts w:cstheme="majorBidi"/>
              </w:rPr>
              <w:t>near confluence with Mississippi R.</w:t>
            </w:r>
          </w:p>
        </w:tc>
        <w:tc>
          <w:tcPr>
            <w:tcW w:w="960" w:type="dxa"/>
            <w:shd w:val="clear" w:color="auto" w:fill="auto"/>
            <w:noWrap/>
            <w:vAlign w:val="center"/>
          </w:tcPr>
          <w:p w:rsidR="001021C0" w:rsidRPr="00854E06" w:rsidRDefault="001021C0" w:rsidP="0043791B">
            <w:pPr>
              <w:rPr>
                <w:rFonts w:cstheme="majorBidi"/>
              </w:rPr>
            </w:pPr>
            <w:r w:rsidRPr="00854E06">
              <w:rPr>
                <w:rFonts w:cstheme="majorBidi"/>
              </w:rPr>
              <w:t>MN</w:t>
            </w:r>
          </w:p>
        </w:tc>
        <w:tc>
          <w:tcPr>
            <w:tcW w:w="1900" w:type="dxa"/>
            <w:shd w:val="clear" w:color="auto" w:fill="auto"/>
            <w:noWrap/>
            <w:vAlign w:val="center"/>
          </w:tcPr>
          <w:p w:rsidR="001021C0" w:rsidRPr="00854E06" w:rsidRDefault="001021C0" w:rsidP="0043791B">
            <w:pPr>
              <w:rPr>
                <w:rFonts w:cstheme="majorBidi"/>
              </w:rPr>
            </w:pPr>
            <w:r w:rsidRPr="00854E06">
              <w:rPr>
                <w:rFonts w:cstheme="majorBidi"/>
              </w:rPr>
              <w:t>1-1976 to 12-1996</w:t>
            </w:r>
          </w:p>
        </w:tc>
      </w:tr>
      <w:tr w:rsidR="001021C0" w:rsidRPr="00854E06" w:rsidTr="0043791B">
        <w:trPr>
          <w:trHeight w:val="255"/>
        </w:trPr>
        <w:tc>
          <w:tcPr>
            <w:tcW w:w="1200" w:type="dxa"/>
            <w:shd w:val="clear" w:color="auto" w:fill="auto"/>
            <w:noWrap/>
            <w:vAlign w:val="center"/>
          </w:tcPr>
          <w:p w:rsidR="001021C0" w:rsidRPr="00854E06" w:rsidRDefault="001021C0" w:rsidP="0043791B">
            <w:pPr>
              <w:rPr>
                <w:rFonts w:cstheme="majorBidi"/>
              </w:rPr>
            </w:pPr>
            <w:r w:rsidRPr="00854E06">
              <w:rPr>
                <w:rFonts w:cstheme="majorBidi"/>
              </w:rPr>
              <w:t>07020012</w:t>
            </w:r>
          </w:p>
        </w:tc>
        <w:tc>
          <w:tcPr>
            <w:tcW w:w="1070" w:type="dxa"/>
            <w:shd w:val="clear" w:color="auto" w:fill="auto"/>
            <w:noWrap/>
            <w:vAlign w:val="center"/>
          </w:tcPr>
          <w:p w:rsidR="001021C0" w:rsidRPr="00854E06" w:rsidRDefault="001021C0" w:rsidP="0043791B">
            <w:pPr>
              <w:rPr>
                <w:rFonts w:cstheme="majorBidi"/>
              </w:rPr>
            </w:pPr>
            <w:r w:rsidRPr="00854E06">
              <w:rPr>
                <w:rFonts w:cstheme="majorBidi"/>
              </w:rPr>
              <w:t>20007</w:t>
            </w:r>
          </w:p>
        </w:tc>
        <w:tc>
          <w:tcPr>
            <w:tcW w:w="3850" w:type="dxa"/>
            <w:shd w:val="clear" w:color="auto" w:fill="auto"/>
            <w:noWrap/>
            <w:vAlign w:val="center"/>
          </w:tcPr>
          <w:p w:rsidR="001021C0" w:rsidRPr="00854E06" w:rsidRDefault="001021C0" w:rsidP="0043791B">
            <w:pPr>
              <w:rPr>
                <w:rFonts w:cstheme="majorBidi"/>
              </w:rPr>
            </w:pPr>
            <w:r w:rsidRPr="00854E06">
              <w:rPr>
                <w:rFonts w:cstheme="majorBidi"/>
              </w:rPr>
              <w:t>USGS Water Resources Division</w:t>
            </w:r>
          </w:p>
        </w:tc>
        <w:tc>
          <w:tcPr>
            <w:tcW w:w="2100" w:type="dxa"/>
            <w:shd w:val="clear" w:color="auto" w:fill="auto"/>
            <w:noWrap/>
            <w:vAlign w:val="center"/>
          </w:tcPr>
          <w:p w:rsidR="001021C0" w:rsidRPr="00854E06" w:rsidRDefault="001021C0" w:rsidP="0043791B">
            <w:pPr>
              <w:rPr>
                <w:rFonts w:cstheme="majorBidi"/>
              </w:rPr>
            </w:pPr>
            <w:r w:rsidRPr="00854E06">
              <w:rPr>
                <w:rFonts w:cstheme="majorBidi"/>
              </w:rPr>
              <w:t>Minnesota River</w:t>
            </w:r>
          </w:p>
        </w:tc>
        <w:tc>
          <w:tcPr>
            <w:tcW w:w="2940" w:type="dxa"/>
            <w:shd w:val="clear" w:color="auto" w:fill="auto"/>
            <w:noWrap/>
            <w:vAlign w:val="center"/>
          </w:tcPr>
          <w:p w:rsidR="001021C0" w:rsidRPr="00854E06" w:rsidRDefault="001021C0" w:rsidP="0043791B">
            <w:pPr>
              <w:rPr>
                <w:rFonts w:cstheme="majorBidi"/>
              </w:rPr>
            </w:pPr>
            <w:r w:rsidRPr="00854E06">
              <w:rPr>
                <w:rFonts w:cstheme="majorBidi"/>
              </w:rPr>
              <w:t>near Jordan, MN</w:t>
            </w:r>
          </w:p>
        </w:tc>
        <w:tc>
          <w:tcPr>
            <w:tcW w:w="960" w:type="dxa"/>
            <w:shd w:val="clear" w:color="auto" w:fill="auto"/>
            <w:noWrap/>
            <w:vAlign w:val="center"/>
          </w:tcPr>
          <w:p w:rsidR="001021C0" w:rsidRPr="00854E06" w:rsidRDefault="001021C0" w:rsidP="0043791B">
            <w:pPr>
              <w:rPr>
                <w:rFonts w:cstheme="majorBidi"/>
              </w:rPr>
            </w:pPr>
            <w:r w:rsidRPr="00854E06">
              <w:rPr>
                <w:rFonts w:cstheme="majorBidi"/>
              </w:rPr>
              <w:t>MN</w:t>
            </w:r>
          </w:p>
        </w:tc>
        <w:tc>
          <w:tcPr>
            <w:tcW w:w="1900" w:type="dxa"/>
            <w:shd w:val="clear" w:color="auto" w:fill="auto"/>
            <w:noWrap/>
            <w:vAlign w:val="center"/>
          </w:tcPr>
          <w:p w:rsidR="001021C0" w:rsidRPr="00854E06" w:rsidRDefault="001021C0" w:rsidP="0043791B">
            <w:pPr>
              <w:rPr>
                <w:rFonts w:cstheme="majorBidi"/>
              </w:rPr>
            </w:pPr>
            <w:r w:rsidRPr="00854E06">
              <w:rPr>
                <w:rFonts w:cstheme="majorBidi"/>
              </w:rPr>
              <w:t>10-1974 to 9-1994</w:t>
            </w:r>
          </w:p>
        </w:tc>
      </w:tr>
      <w:tr w:rsidR="001021C0" w:rsidRPr="00854E06" w:rsidTr="0043791B">
        <w:trPr>
          <w:trHeight w:val="255"/>
        </w:trPr>
        <w:tc>
          <w:tcPr>
            <w:tcW w:w="1200" w:type="dxa"/>
            <w:shd w:val="clear" w:color="auto" w:fill="auto"/>
            <w:noWrap/>
            <w:vAlign w:val="center"/>
          </w:tcPr>
          <w:p w:rsidR="001021C0" w:rsidRPr="00854E06" w:rsidRDefault="001021C0" w:rsidP="0043791B">
            <w:pPr>
              <w:rPr>
                <w:rFonts w:cstheme="majorBidi"/>
              </w:rPr>
            </w:pPr>
            <w:r w:rsidRPr="00854E06">
              <w:rPr>
                <w:rFonts w:cstheme="majorBidi"/>
              </w:rPr>
              <w:t>07010206</w:t>
            </w:r>
          </w:p>
        </w:tc>
        <w:tc>
          <w:tcPr>
            <w:tcW w:w="1070" w:type="dxa"/>
            <w:shd w:val="clear" w:color="auto" w:fill="auto"/>
            <w:noWrap/>
            <w:vAlign w:val="center"/>
          </w:tcPr>
          <w:p w:rsidR="001021C0" w:rsidRPr="00854E06" w:rsidRDefault="001021C0" w:rsidP="0043791B">
            <w:pPr>
              <w:rPr>
                <w:rFonts w:cstheme="majorBidi"/>
              </w:rPr>
            </w:pPr>
            <w:r w:rsidRPr="00854E06">
              <w:rPr>
                <w:rFonts w:cstheme="majorBidi"/>
              </w:rPr>
              <w:t>20009</w:t>
            </w:r>
          </w:p>
        </w:tc>
        <w:tc>
          <w:tcPr>
            <w:tcW w:w="3850" w:type="dxa"/>
            <w:shd w:val="clear" w:color="auto" w:fill="auto"/>
            <w:noWrap/>
            <w:vAlign w:val="center"/>
          </w:tcPr>
          <w:p w:rsidR="001021C0" w:rsidRPr="00854E06" w:rsidRDefault="001021C0" w:rsidP="0043791B">
            <w:pPr>
              <w:rPr>
                <w:rFonts w:cstheme="majorBidi"/>
              </w:rPr>
            </w:pPr>
            <w:r w:rsidRPr="00854E06">
              <w:rPr>
                <w:rFonts w:cstheme="majorBidi"/>
              </w:rPr>
              <w:t>Minnesota Pollution Control Agency</w:t>
            </w:r>
          </w:p>
        </w:tc>
        <w:tc>
          <w:tcPr>
            <w:tcW w:w="2100" w:type="dxa"/>
            <w:shd w:val="clear" w:color="auto" w:fill="auto"/>
            <w:noWrap/>
            <w:vAlign w:val="center"/>
          </w:tcPr>
          <w:p w:rsidR="001021C0" w:rsidRPr="00854E06" w:rsidRDefault="001021C0" w:rsidP="0043791B">
            <w:pPr>
              <w:rPr>
                <w:rFonts w:cstheme="majorBidi"/>
              </w:rPr>
            </w:pPr>
            <w:r w:rsidRPr="00854E06">
              <w:rPr>
                <w:rFonts w:cstheme="majorBidi"/>
              </w:rPr>
              <w:t>Mississippi River</w:t>
            </w:r>
          </w:p>
        </w:tc>
        <w:tc>
          <w:tcPr>
            <w:tcW w:w="2940" w:type="dxa"/>
            <w:shd w:val="clear" w:color="auto" w:fill="auto"/>
            <w:noWrap/>
            <w:vAlign w:val="center"/>
          </w:tcPr>
          <w:p w:rsidR="001021C0" w:rsidRPr="00854E06" w:rsidRDefault="001021C0" w:rsidP="0043791B">
            <w:pPr>
              <w:rPr>
                <w:rFonts w:cstheme="majorBidi"/>
              </w:rPr>
            </w:pPr>
            <w:r w:rsidRPr="00854E06">
              <w:rPr>
                <w:rFonts w:cstheme="majorBidi"/>
              </w:rPr>
              <w:t>St. Paul, MN</w:t>
            </w:r>
          </w:p>
        </w:tc>
        <w:tc>
          <w:tcPr>
            <w:tcW w:w="960" w:type="dxa"/>
            <w:shd w:val="clear" w:color="auto" w:fill="auto"/>
            <w:noWrap/>
            <w:vAlign w:val="center"/>
          </w:tcPr>
          <w:p w:rsidR="001021C0" w:rsidRPr="00854E06" w:rsidRDefault="001021C0" w:rsidP="0043791B">
            <w:pPr>
              <w:rPr>
                <w:rFonts w:cstheme="majorBidi"/>
              </w:rPr>
            </w:pPr>
            <w:r w:rsidRPr="00854E06">
              <w:rPr>
                <w:rFonts w:cstheme="majorBidi"/>
              </w:rPr>
              <w:t>MN</w:t>
            </w:r>
          </w:p>
        </w:tc>
        <w:tc>
          <w:tcPr>
            <w:tcW w:w="1900" w:type="dxa"/>
            <w:shd w:val="clear" w:color="auto" w:fill="auto"/>
            <w:noWrap/>
            <w:vAlign w:val="center"/>
          </w:tcPr>
          <w:p w:rsidR="001021C0" w:rsidRPr="00854E06" w:rsidRDefault="001021C0" w:rsidP="0043791B">
            <w:pPr>
              <w:rPr>
                <w:rFonts w:cstheme="majorBidi"/>
              </w:rPr>
            </w:pPr>
            <w:r w:rsidRPr="00854E06">
              <w:rPr>
                <w:rFonts w:cstheme="majorBidi"/>
              </w:rPr>
              <w:t>1-1973 to 12-1996</w:t>
            </w:r>
          </w:p>
        </w:tc>
      </w:tr>
      <w:tr w:rsidR="001021C0" w:rsidRPr="00854E06" w:rsidTr="0043791B">
        <w:trPr>
          <w:trHeight w:val="255"/>
        </w:trPr>
        <w:tc>
          <w:tcPr>
            <w:tcW w:w="1200" w:type="dxa"/>
            <w:shd w:val="clear" w:color="auto" w:fill="auto"/>
            <w:noWrap/>
            <w:vAlign w:val="center"/>
          </w:tcPr>
          <w:p w:rsidR="001021C0" w:rsidRPr="00854E06" w:rsidRDefault="001021C0" w:rsidP="0043791B">
            <w:pPr>
              <w:rPr>
                <w:rFonts w:cstheme="majorBidi"/>
              </w:rPr>
            </w:pPr>
            <w:r w:rsidRPr="00854E06">
              <w:rPr>
                <w:rFonts w:cstheme="majorBidi"/>
              </w:rPr>
              <w:t>07010206</w:t>
            </w:r>
          </w:p>
        </w:tc>
        <w:tc>
          <w:tcPr>
            <w:tcW w:w="1070" w:type="dxa"/>
            <w:shd w:val="clear" w:color="auto" w:fill="auto"/>
            <w:noWrap/>
            <w:vAlign w:val="center"/>
          </w:tcPr>
          <w:p w:rsidR="001021C0" w:rsidRPr="00854E06" w:rsidRDefault="001021C0" w:rsidP="0043791B">
            <w:pPr>
              <w:rPr>
                <w:rFonts w:cstheme="majorBidi"/>
              </w:rPr>
            </w:pPr>
            <w:r w:rsidRPr="00854E06">
              <w:rPr>
                <w:rFonts w:cstheme="majorBidi"/>
              </w:rPr>
              <w:t>20011</w:t>
            </w:r>
          </w:p>
        </w:tc>
        <w:tc>
          <w:tcPr>
            <w:tcW w:w="3850" w:type="dxa"/>
            <w:shd w:val="clear" w:color="auto" w:fill="auto"/>
            <w:noWrap/>
            <w:vAlign w:val="center"/>
          </w:tcPr>
          <w:p w:rsidR="001021C0" w:rsidRPr="00854E06" w:rsidRDefault="001021C0" w:rsidP="0043791B">
            <w:pPr>
              <w:rPr>
                <w:rFonts w:cstheme="majorBidi"/>
              </w:rPr>
            </w:pPr>
            <w:r w:rsidRPr="00854E06">
              <w:rPr>
                <w:rFonts w:cstheme="majorBidi"/>
              </w:rPr>
              <w:t>Metropolitan Council Environmental Services</w:t>
            </w:r>
          </w:p>
        </w:tc>
        <w:tc>
          <w:tcPr>
            <w:tcW w:w="2100" w:type="dxa"/>
            <w:shd w:val="clear" w:color="auto" w:fill="auto"/>
            <w:noWrap/>
            <w:vAlign w:val="center"/>
          </w:tcPr>
          <w:p w:rsidR="001021C0" w:rsidRPr="00854E06" w:rsidRDefault="001021C0" w:rsidP="0043791B">
            <w:pPr>
              <w:rPr>
                <w:rFonts w:cstheme="majorBidi"/>
              </w:rPr>
            </w:pPr>
            <w:r w:rsidRPr="00854E06">
              <w:rPr>
                <w:rFonts w:cstheme="majorBidi"/>
              </w:rPr>
              <w:t>Mississippi River</w:t>
            </w:r>
          </w:p>
        </w:tc>
        <w:tc>
          <w:tcPr>
            <w:tcW w:w="2940" w:type="dxa"/>
            <w:shd w:val="clear" w:color="auto" w:fill="auto"/>
            <w:noWrap/>
            <w:vAlign w:val="center"/>
          </w:tcPr>
          <w:p w:rsidR="001021C0" w:rsidRPr="00854E06" w:rsidRDefault="001021C0" w:rsidP="0043791B">
            <w:pPr>
              <w:rPr>
                <w:rFonts w:cstheme="majorBidi"/>
              </w:rPr>
            </w:pPr>
            <w:r w:rsidRPr="00854E06">
              <w:rPr>
                <w:rFonts w:cstheme="majorBidi"/>
              </w:rPr>
              <w:t>St. Paul, MN</w:t>
            </w:r>
          </w:p>
        </w:tc>
        <w:tc>
          <w:tcPr>
            <w:tcW w:w="960" w:type="dxa"/>
            <w:shd w:val="clear" w:color="auto" w:fill="auto"/>
            <w:noWrap/>
            <w:vAlign w:val="center"/>
          </w:tcPr>
          <w:p w:rsidR="001021C0" w:rsidRPr="00854E06" w:rsidRDefault="001021C0" w:rsidP="0043791B">
            <w:pPr>
              <w:rPr>
                <w:rFonts w:cstheme="majorBidi"/>
              </w:rPr>
            </w:pPr>
            <w:r w:rsidRPr="00854E06">
              <w:rPr>
                <w:rFonts w:cstheme="majorBidi"/>
              </w:rPr>
              <w:t>MN</w:t>
            </w:r>
          </w:p>
        </w:tc>
        <w:tc>
          <w:tcPr>
            <w:tcW w:w="1900" w:type="dxa"/>
            <w:shd w:val="clear" w:color="auto" w:fill="auto"/>
            <w:noWrap/>
            <w:vAlign w:val="center"/>
          </w:tcPr>
          <w:p w:rsidR="001021C0" w:rsidRPr="00854E06" w:rsidRDefault="001021C0" w:rsidP="0043791B">
            <w:pPr>
              <w:rPr>
                <w:rFonts w:cstheme="majorBidi"/>
              </w:rPr>
            </w:pPr>
            <w:r w:rsidRPr="00854E06">
              <w:rPr>
                <w:rFonts w:cstheme="majorBidi"/>
              </w:rPr>
              <w:t>1-1976 to 12-1996</w:t>
            </w:r>
          </w:p>
        </w:tc>
      </w:tr>
      <w:tr w:rsidR="001B5A5F" w:rsidRPr="00854E06" w:rsidTr="0043791B">
        <w:trPr>
          <w:trHeight w:val="255"/>
        </w:trPr>
        <w:tc>
          <w:tcPr>
            <w:tcW w:w="1200" w:type="dxa"/>
            <w:shd w:val="clear" w:color="auto" w:fill="auto"/>
            <w:noWrap/>
            <w:vAlign w:val="center"/>
          </w:tcPr>
          <w:p w:rsidR="001B5A5F" w:rsidRPr="00854E06" w:rsidRDefault="001B5A5F" w:rsidP="0043791B">
            <w:pPr>
              <w:rPr>
                <w:rFonts w:cstheme="majorBidi"/>
              </w:rPr>
            </w:pPr>
            <w:r w:rsidRPr="00854E06">
              <w:rPr>
                <w:rFonts w:cstheme="majorBidi"/>
              </w:rPr>
              <w:t>07010206</w:t>
            </w:r>
          </w:p>
        </w:tc>
        <w:tc>
          <w:tcPr>
            <w:tcW w:w="1070" w:type="dxa"/>
            <w:shd w:val="clear" w:color="auto" w:fill="auto"/>
            <w:noWrap/>
            <w:vAlign w:val="center"/>
          </w:tcPr>
          <w:p w:rsidR="001B5A5F" w:rsidRPr="00854E06" w:rsidRDefault="001B5A5F" w:rsidP="0043791B">
            <w:pPr>
              <w:rPr>
                <w:rFonts w:cstheme="majorBidi"/>
              </w:rPr>
            </w:pPr>
            <w:r w:rsidRPr="00854E06">
              <w:rPr>
                <w:rFonts w:cstheme="majorBidi"/>
              </w:rPr>
              <w:t>20015</w:t>
            </w:r>
          </w:p>
        </w:tc>
        <w:tc>
          <w:tcPr>
            <w:tcW w:w="3850" w:type="dxa"/>
            <w:shd w:val="clear" w:color="auto" w:fill="auto"/>
            <w:noWrap/>
            <w:vAlign w:val="center"/>
          </w:tcPr>
          <w:p w:rsidR="001B5A5F" w:rsidRPr="00854E06" w:rsidRDefault="001B5A5F" w:rsidP="0043791B">
            <w:pPr>
              <w:rPr>
                <w:rFonts w:cstheme="majorBidi"/>
              </w:rPr>
            </w:pPr>
            <w:r w:rsidRPr="00854E06">
              <w:rPr>
                <w:rFonts w:cstheme="majorBidi"/>
              </w:rPr>
              <w:t>Metropolitan Council Environmental Services</w:t>
            </w:r>
          </w:p>
        </w:tc>
        <w:tc>
          <w:tcPr>
            <w:tcW w:w="2100" w:type="dxa"/>
            <w:shd w:val="clear" w:color="auto" w:fill="auto"/>
            <w:noWrap/>
            <w:vAlign w:val="center"/>
          </w:tcPr>
          <w:p w:rsidR="001B5A5F" w:rsidRPr="00854E06" w:rsidRDefault="001B5A5F" w:rsidP="0043791B">
            <w:pPr>
              <w:rPr>
                <w:rFonts w:cstheme="majorBidi"/>
              </w:rPr>
            </w:pPr>
            <w:r w:rsidRPr="00854E06">
              <w:rPr>
                <w:rFonts w:cstheme="majorBidi"/>
              </w:rPr>
              <w:t>Mississippi River</w:t>
            </w:r>
          </w:p>
        </w:tc>
        <w:tc>
          <w:tcPr>
            <w:tcW w:w="2940" w:type="dxa"/>
            <w:shd w:val="clear" w:color="auto" w:fill="auto"/>
            <w:noWrap/>
            <w:vAlign w:val="center"/>
          </w:tcPr>
          <w:p w:rsidR="001B5A5F" w:rsidRPr="00854E06" w:rsidRDefault="001B5A5F" w:rsidP="0043791B">
            <w:pPr>
              <w:rPr>
                <w:rFonts w:cstheme="majorBidi"/>
              </w:rPr>
            </w:pPr>
            <w:r w:rsidRPr="00854E06">
              <w:rPr>
                <w:rFonts w:cstheme="majorBidi"/>
              </w:rPr>
              <w:t>Newport, MN</w:t>
            </w:r>
          </w:p>
        </w:tc>
        <w:tc>
          <w:tcPr>
            <w:tcW w:w="960" w:type="dxa"/>
            <w:shd w:val="clear" w:color="auto" w:fill="auto"/>
            <w:noWrap/>
            <w:vAlign w:val="center"/>
          </w:tcPr>
          <w:p w:rsidR="001B5A5F" w:rsidRPr="00854E06" w:rsidRDefault="001B5A5F" w:rsidP="0043791B">
            <w:pPr>
              <w:rPr>
                <w:rFonts w:cstheme="majorBidi"/>
              </w:rPr>
            </w:pPr>
            <w:r w:rsidRPr="00854E06">
              <w:rPr>
                <w:rFonts w:cstheme="majorBidi"/>
              </w:rPr>
              <w:t>MN</w:t>
            </w:r>
          </w:p>
        </w:tc>
        <w:tc>
          <w:tcPr>
            <w:tcW w:w="1900" w:type="dxa"/>
            <w:shd w:val="clear" w:color="auto" w:fill="auto"/>
            <w:noWrap/>
            <w:vAlign w:val="center"/>
          </w:tcPr>
          <w:p w:rsidR="001B5A5F" w:rsidRPr="00854E06" w:rsidRDefault="001B5A5F" w:rsidP="0043791B">
            <w:pPr>
              <w:rPr>
                <w:rFonts w:cstheme="majorBidi"/>
              </w:rPr>
            </w:pPr>
            <w:r w:rsidRPr="00854E06">
              <w:rPr>
                <w:rFonts w:cstheme="majorBidi"/>
              </w:rPr>
              <w:t>1-1976 to 12-1996</w:t>
            </w:r>
          </w:p>
        </w:tc>
      </w:tr>
      <w:tr w:rsidR="001B5A5F" w:rsidRPr="00854E06" w:rsidTr="0043791B">
        <w:trPr>
          <w:trHeight w:val="255"/>
        </w:trPr>
        <w:tc>
          <w:tcPr>
            <w:tcW w:w="1200" w:type="dxa"/>
            <w:shd w:val="clear" w:color="auto" w:fill="auto"/>
            <w:noWrap/>
            <w:vAlign w:val="center"/>
          </w:tcPr>
          <w:p w:rsidR="001B5A5F" w:rsidRPr="00854E06" w:rsidRDefault="001B5A5F" w:rsidP="0043791B">
            <w:pPr>
              <w:rPr>
                <w:rFonts w:cstheme="majorBidi"/>
              </w:rPr>
            </w:pPr>
            <w:r w:rsidRPr="00854E06">
              <w:rPr>
                <w:rFonts w:cstheme="majorBidi"/>
              </w:rPr>
              <w:t>07010206</w:t>
            </w:r>
          </w:p>
        </w:tc>
        <w:tc>
          <w:tcPr>
            <w:tcW w:w="1070" w:type="dxa"/>
            <w:shd w:val="clear" w:color="auto" w:fill="auto"/>
            <w:noWrap/>
            <w:vAlign w:val="center"/>
          </w:tcPr>
          <w:p w:rsidR="001B5A5F" w:rsidRPr="00854E06" w:rsidRDefault="001B5A5F" w:rsidP="0043791B">
            <w:pPr>
              <w:rPr>
                <w:rFonts w:cstheme="majorBidi"/>
              </w:rPr>
            </w:pPr>
            <w:r w:rsidRPr="00854E06">
              <w:rPr>
                <w:rFonts w:cstheme="majorBidi"/>
              </w:rPr>
              <w:t>20017</w:t>
            </w:r>
          </w:p>
        </w:tc>
        <w:tc>
          <w:tcPr>
            <w:tcW w:w="3850" w:type="dxa"/>
            <w:shd w:val="clear" w:color="auto" w:fill="auto"/>
            <w:noWrap/>
            <w:vAlign w:val="center"/>
          </w:tcPr>
          <w:p w:rsidR="001B5A5F" w:rsidRPr="00854E06" w:rsidRDefault="001B5A5F" w:rsidP="0043791B">
            <w:pPr>
              <w:rPr>
                <w:rFonts w:cstheme="majorBidi"/>
              </w:rPr>
            </w:pPr>
            <w:r w:rsidRPr="00854E06">
              <w:rPr>
                <w:rFonts w:cstheme="majorBidi"/>
              </w:rPr>
              <w:t>USGS Water Resources Division</w:t>
            </w:r>
          </w:p>
        </w:tc>
        <w:tc>
          <w:tcPr>
            <w:tcW w:w="2100" w:type="dxa"/>
            <w:shd w:val="clear" w:color="auto" w:fill="auto"/>
            <w:noWrap/>
            <w:vAlign w:val="center"/>
          </w:tcPr>
          <w:p w:rsidR="001B5A5F" w:rsidRPr="00854E06" w:rsidRDefault="001B5A5F" w:rsidP="0043791B">
            <w:pPr>
              <w:rPr>
                <w:rFonts w:cstheme="majorBidi"/>
              </w:rPr>
            </w:pPr>
            <w:r w:rsidRPr="00854E06">
              <w:rPr>
                <w:rFonts w:cstheme="majorBidi"/>
              </w:rPr>
              <w:t>Mississippi River</w:t>
            </w:r>
          </w:p>
        </w:tc>
        <w:tc>
          <w:tcPr>
            <w:tcW w:w="2940" w:type="dxa"/>
            <w:shd w:val="clear" w:color="auto" w:fill="auto"/>
            <w:noWrap/>
            <w:vAlign w:val="center"/>
          </w:tcPr>
          <w:p w:rsidR="001B5A5F" w:rsidRPr="00854E06" w:rsidRDefault="001B5A5F" w:rsidP="0043791B">
            <w:pPr>
              <w:rPr>
                <w:rFonts w:cstheme="majorBidi"/>
              </w:rPr>
            </w:pPr>
            <w:r w:rsidRPr="00854E06">
              <w:rPr>
                <w:rFonts w:cstheme="majorBidi"/>
              </w:rPr>
              <w:t xml:space="preserve">at </w:t>
            </w:r>
            <w:proofErr w:type="spellStart"/>
            <w:r w:rsidRPr="00854E06">
              <w:rPr>
                <w:rFonts w:cstheme="majorBidi"/>
              </w:rPr>
              <w:t>Ninninger</w:t>
            </w:r>
            <w:proofErr w:type="spellEnd"/>
            <w:r w:rsidRPr="00854E06">
              <w:rPr>
                <w:rFonts w:cstheme="majorBidi"/>
              </w:rPr>
              <w:t>, MN</w:t>
            </w:r>
          </w:p>
        </w:tc>
        <w:tc>
          <w:tcPr>
            <w:tcW w:w="960" w:type="dxa"/>
            <w:shd w:val="clear" w:color="auto" w:fill="auto"/>
            <w:noWrap/>
            <w:vAlign w:val="center"/>
          </w:tcPr>
          <w:p w:rsidR="001B5A5F" w:rsidRPr="00854E06" w:rsidRDefault="001B5A5F" w:rsidP="0043791B">
            <w:pPr>
              <w:rPr>
                <w:rFonts w:cstheme="majorBidi"/>
              </w:rPr>
            </w:pPr>
            <w:r w:rsidRPr="00854E06">
              <w:rPr>
                <w:rFonts w:cstheme="majorBidi"/>
              </w:rPr>
              <w:t>MN</w:t>
            </w:r>
          </w:p>
        </w:tc>
        <w:tc>
          <w:tcPr>
            <w:tcW w:w="1900" w:type="dxa"/>
            <w:shd w:val="clear" w:color="auto" w:fill="auto"/>
            <w:noWrap/>
            <w:vAlign w:val="center"/>
          </w:tcPr>
          <w:p w:rsidR="001B5A5F" w:rsidRPr="00854E06" w:rsidRDefault="001B5A5F" w:rsidP="0043791B">
            <w:pPr>
              <w:rPr>
                <w:rFonts w:cstheme="majorBidi"/>
              </w:rPr>
            </w:pPr>
            <w:r w:rsidRPr="00854E06">
              <w:rPr>
                <w:rFonts w:cstheme="majorBidi"/>
              </w:rPr>
              <w:t>1-1977 to 12-1995</w:t>
            </w:r>
          </w:p>
        </w:tc>
      </w:tr>
      <w:tr w:rsidR="001B5A5F" w:rsidRPr="00854E06" w:rsidTr="0043791B">
        <w:trPr>
          <w:trHeight w:val="255"/>
        </w:trPr>
        <w:tc>
          <w:tcPr>
            <w:tcW w:w="1200" w:type="dxa"/>
            <w:shd w:val="clear" w:color="auto" w:fill="auto"/>
            <w:noWrap/>
            <w:vAlign w:val="center"/>
          </w:tcPr>
          <w:p w:rsidR="001B5A5F" w:rsidRPr="00854E06" w:rsidRDefault="001B5A5F" w:rsidP="0043791B">
            <w:pPr>
              <w:rPr>
                <w:rFonts w:cstheme="majorBidi"/>
              </w:rPr>
            </w:pPr>
            <w:r w:rsidRPr="00854E06">
              <w:rPr>
                <w:rFonts w:cstheme="majorBidi"/>
              </w:rPr>
              <w:t>07010206</w:t>
            </w:r>
          </w:p>
        </w:tc>
        <w:tc>
          <w:tcPr>
            <w:tcW w:w="1070" w:type="dxa"/>
            <w:shd w:val="clear" w:color="auto" w:fill="auto"/>
            <w:noWrap/>
            <w:vAlign w:val="center"/>
          </w:tcPr>
          <w:p w:rsidR="001B5A5F" w:rsidRPr="00854E06" w:rsidRDefault="001B5A5F" w:rsidP="0043791B">
            <w:pPr>
              <w:rPr>
                <w:rFonts w:cstheme="majorBidi"/>
              </w:rPr>
            </w:pPr>
            <w:r w:rsidRPr="00854E06">
              <w:rPr>
                <w:rFonts w:cstheme="majorBidi"/>
              </w:rPr>
              <w:t>20019</w:t>
            </w:r>
          </w:p>
        </w:tc>
        <w:tc>
          <w:tcPr>
            <w:tcW w:w="3850" w:type="dxa"/>
            <w:shd w:val="clear" w:color="auto" w:fill="auto"/>
            <w:noWrap/>
            <w:vAlign w:val="center"/>
          </w:tcPr>
          <w:p w:rsidR="001B5A5F" w:rsidRPr="00854E06" w:rsidRDefault="001B5A5F" w:rsidP="0043791B">
            <w:pPr>
              <w:rPr>
                <w:rFonts w:cstheme="majorBidi"/>
              </w:rPr>
            </w:pPr>
            <w:r w:rsidRPr="00854E06">
              <w:rPr>
                <w:rFonts w:cstheme="majorBidi"/>
              </w:rPr>
              <w:t>Metropolitan Council Environmental Services</w:t>
            </w:r>
          </w:p>
        </w:tc>
        <w:tc>
          <w:tcPr>
            <w:tcW w:w="2100" w:type="dxa"/>
            <w:shd w:val="clear" w:color="auto" w:fill="auto"/>
            <w:noWrap/>
            <w:vAlign w:val="center"/>
          </w:tcPr>
          <w:p w:rsidR="001B5A5F" w:rsidRPr="00854E06" w:rsidRDefault="001B5A5F" w:rsidP="0043791B">
            <w:pPr>
              <w:rPr>
                <w:rFonts w:cstheme="majorBidi"/>
              </w:rPr>
            </w:pPr>
            <w:r w:rsidRPr="00854E06">
              <w:rPr>
                <w:rFonts w:cstheme="majorBidi"/>
              </w:rPr>
              <w:t>Mississippi River</w:t>
            </w:r>
          </w:p>
        </w:tc>
        <w:tc>
          <w:tcPr>
            <w:tcW w:w="2940" w:type="dxa"/>
            <w:shd w:val="clear" w:color="auto" w:fill="auto"/>
            <w:noWrap/>
            <w:vAlign w:val="center"/>
          </w:tcPr>
          <w:p w:rsidR="001B5A5F" w:rsidRPr="00854E06" w:rsidRDefault="001B5A5F" w:rsidP="0043791B">
            <w:pPr>
              <w:rPr>
                <w:rFonts w:cstheme="majorBidi"/>
              </w:rPr>
            </w:pPr>
            <w:r w:rsidRPr="00854E06">
              <w:rPr>
                <w:rFonts w:cstheme="majorBidi"/>
              </w:rPr>
              <w:t>Lock and Dam #2</w:t>
            </w:r>
          </w:p>
        </w:tc>
        <w:tc>
          <w:tcPr>
            <w:tcW w:w="960" w:type="dxa"/>
            <w:shd w:val="clear" w:color="auto" w:fill="auto"/>
            <w:noWrap/>
            <w:vAlign w:val="center"/>
          </w:tcPr>
          <w:p w:rsidR="001B5A5F" w:rsidRPr="00854E06" w:rsidRDefault="001B5A5F" w:rsidP="0043791B">
            <w:pPr>
              <w:rPr>
                <w:rFonts w:cstheme="majorBidi"/>
              </w:rPr>
            </w:pPr>
            <w:r w:rsidRPr="00854E06">
              <w:rPr>
                <w:rFonts w:cstheme="majorBidi"/>
              </w:rPr>
              <w:t>MN</w:t>
            </w:r>
          </w:p>
        </w:tc>
        <w:tc>
          <w:tcPr>
            <w:tcW w:w="1900" w:type="dxa"/>
            <w:shd w:val="clear" w:color="auto" w:fill="auto"/>
            <w:noWrap/>
            <w:vAlign w:val="center"/>
          </w:tcPr>
          <w:p w:rsidR="001B5A5F" w:rsidRPr="00854E06" w:rsidRDefault="001B5A5F" w:rsidP="0043791B">
            <w:pPr>
              <w:rPr>
                <w:rFonts w:cstheme="majorBidi"/>
              </w:rPr>
            </w:pPr>
            <w:r w:rsidRPr="00854E06">
              <w:rPr>
                <w:rFonts w:cstheme="majorBidi"/>
              </w:rPr>
              <w:t>1-1976 to 12-1996</w:t>
            </w:r>
          </w:p>
        </w:tc>
      </w:tr>
      <w:tr w:rsidR="001B5A5F" w:rsidRPr="00854E06" w:rsidTr="0043791B">
        <w:trPr>
          <w:trHeight w:val="255"/>
        </w:trPr>
        <w:tc>
          <w:tcPr>
            <w:tcW w:w="1200" w:type="dxa"/>
            <w:shd w:val="clear" w:color="auto" w:fill="auto"/>
            <w:noWrap/>
            <w:vAlign w:val="center"/>
          </w:tcPr>
          <w:p w:rsidR="001B5A5F" w:rsidRPr="00854E06" w:rsidRDefault="001B5A5F" w:rsidP="0043791B">
            <w:pPr>
              <w:rPr>
                <w:rFonts w:cstheme="majorBidi"/>
              </w:rPr>
            </w:pPr>
            <w:r w:rsidRPr="00854E06">
              <w:rPr>
                <w:rFonts w:cstheme="majorBidi"/>
              </w:rPr>
              <w:t>07010206</w:t>
            </w:r>
          </w:p>
        </w:tc>
        <w:tc>
          <w:tcPr>
            <w:tcW w:w="1070" w:type="dxa"/>
            <w:shd w:val="clear" w:color="auto" w:fill="auto"/>
            <w:noWrap/>
            <w:vAlign w:val="center"/>
          </w:tcPr>
          <w:p w:rsidR="001B5A5F" w:rsidRPr="00854E06" w:rsidRDefault="001B5A5F" w:rsidP="0043791B">
            <w:pPr>
              <w:rPr>
                <w:rFonts w:cstheme="majorBidi"/>
              </w:rPr>
            </w:pPr>
            <w:r w:rsidRPr="00854E06">
              <w:rPr>
                <w:rFonts w:cstheme="majorBidi"/>
              </w:rPr>
              <w:t>20021</w:t>
            </w:r>
          </w:p>
        </w:tc>
        <w:tc>
          <w:tcPr>
            <w:tcW w:w="3850" w:type="dxa"/>
            <w:shd w:val="clear" w:color="auto" w:fill="auto"/>
            <w:noWrap/>
            <w:vAlign w:val="center"/>
          </w:tcPr>
          <w:p w:rsidR="001B5A5F" w:rsidRPr="00854E06" w:rsidRDefault="001B5A5F" w:rsidP="0043791B">
            <w:pPr>
              <w:rPr>
                <w:rFonts w:cstheme="majorBidi"/>
              </w:rPr>
            </w:pPr>
            <w:r w:rsidRPr="00854E06">
              <w:rPr>
                <w:rFonts w:cstheme="majorBidi"/>
              </w:rPr>
              <w:t>Minnesota Pollution Control Agency</w:t>
            </w:r>
          </w:p>
        </w:tc>
        <w:tc>
          <w:tcPr>
            <w:tcW w:w="2100" w:type="dxa"/>
            <w:shd w:val="clear" w:color="auto" w:fill="auto"/>
            <w:noWrap/>
            <w:vAlign w:val="center"/>
          </w:tcPr>
          <w:p w:rsidR="001B5A5F" w:rsidRPr="00854E06" w:rsidRDefault="001B5A5F" w:rsidP="0043791B">
            <w:pPr>
              <w:rPr>
                <w:rFonts w:cstheme="majorBidi"/>
              </w:rPr>
            </w:pPr>
            <w:r w:rsidRPr="00854E06">
              <w:rPr>
                <w:rFonts w:cstheme="majorBidi"/>
              </w:rPr>
              <w:t>Mississippi River</w:t>
            </w:r>
          </w:p>
        </w:tc>
        <w:tc>
          <w:tcPr>
            <w:tcW w:w="2940" w:type="dxa"/>
            <w:shd w:val="clear" w:color="auto" w:fill="auto"/>
            <w:noWrap/>
            <w:vAlign w:val="center"/>
          </w:tcPr>
          <w:p w:rsidR="001B5A5F" w:rsidRPr="00854E06" w:rsidRDefault="001B5A5F" w:rsidP="0043791B">
            <w:pPr>
              <w:rPr>
                <w:rFonts w:cstheme="majorBidi"/>
              </w:rPr>
            </w:pPr>
            <w:r w:rsidRPr="00854E06">
              <w:rPr>
                <w:rFonts w:cstheme="majorBidi"/>
              </w:rPr>
              <w:t>Lock and Dam #2</w:t>
            </w:r>
          </w:p>
        </w:tc>
        <w:tc>
          <w:tcPr>
            <w:tcW w:w="960" w:type="dxa"/>
            <w:shd w:val="clear" w:color="auto" w:fill="auto"/>
            <w:noWrap/>
            <w:vAlign w:val="center"/>
          </w:tcPr>
          <w:p w:rsidR="001B5A5F" w:rsidRPr="00854E06" w:rsidRDefault="001B5A5F" w:rsidP="0043791B">
            <w:pPr>
              <w:rPr>
                <w:rFonts w:cstheme="majorBidi"/>
              </w:rPr>
            </w:pPr>
            <w:r w:rsidRPr="00854E06">
              <w:rPr>
                <w:rFonts w:cstheme="majorBidi"/>
              </w:rPr>
              <w:t>MN</w:t>
            </w:r>
          </w:p>
        </w:tc>
        <w:tc>
          <w:tcPr>
            <w:tcW w:w="1900" w:type="dxa"/>
            <w:shd w:val="clear" w:color="auto" w:fill="auto"/>
            <w:noWrap/>
            <w:vAlign w:val="center"/>
          </w:tcPr>
          <w:p w:rsidR="001B5A5F" w:rsidRPr="00854E06" w:rsidRDefault="001B5A5F" w:rsidP="0043791B">
            <w:pPr>
              <w:rPr>
                <w:rFonts w:cstheme="majorBidi"/>
              </w:rPr>
            </w:pPr>
            <w:r w:rsidRPr="00854E06">
              <w:rPr>
                <w:rFonts w:cstheme="majorBidi"/>
              </w:rPr>
              <w:t>1-1967 to 12-1996</w:t>
            </w:r>
          </w:p>
        </w:tc>
      </w:tr>
      <w:tr w:rsidR="001B5A5F" w:rsidRPr="00854E06" w:rsidTr="0043791B">
        <w:trPr>
          <w:trHeight w:val="255"/>
        </w:trPr>
        <w:tc>
          <w:tcPr>
            <w:tcW w:w="1200" w:type="dxa"/>
            <w:shd w:val="clear" w:color="auto" w:fill="auto"/>
            <w:noWrap/>
            <w:vAlign w:val="center"/>
          </w:tcPr>
          <w:p w:rsidR="001B5A5F" w:rsidRPr="00854E06" w:rsidRDefault="001B5A5F" w:rsidP="0043791B">
            <w:pPr>
              <w:rPr>
                <w:rFonts w:cstheme="majorBidi"/>
              </w:rPr>
            </w:pPr>
            <w:r w:rsidRPr="00854E06">
              <w:rPr>
                <w:rFonts w:cstheme="majorBidi"/>
              </w:rPr>
              <w:t>07010206</w:t>
            </w:r>
          </w:p>
        </w:tc>
        <w:tc>
          <w:tcPr>
            <w:tcW w:w="1070" w:type="dxa"/>
            <w:shd w:val="clear" w:color="auto" w:fill="auto"/>
            <w:noWrap/>
            <w:vAlign w:val="center"/>
          </w:tcPr>
          <w:p w:rsidR="001B5A5F" w:rsidRPr="00854E06" w:rsidRDefault="001B5A5F" w:rsidP="0043791B">
            <w:pPr>
              <w:rPr>
                <w:rFonts w:cstheme="majorBidi"/>
              </w:rPr>
            </w:pPr>
            <w:r w:rsidRPr="00854E06">
              <w:rPr>
                <w:rFonts w:cstheme="majorBidi"/>
              </w:rPr>
              <w:t>20023</w:t>
            </w:r>
          </w:p>
        </w:tc>
        <w:tc>
          <w:tcPr>
            <w:tcW w:w="3850" w:type="dxa"/>
            <w:shd w:val="clear" w:color="auto" w:fill="auto"/>
            <w:noWrap/>
            <w:vAlign w:val="center"/>
          </w:tcPr>
          <w:p w:rsidR="001B5A5F" w:rsidRPr="00854E06" w:rsidRDefault="001B5A5F" w:rsidP="0043791B">
            <w:pPr>
              <w:rPr>
                <w:rFonts w:cstheme="majorBidi"/>
              </w:rPr>
            </w:pPr>
            <w:r w:rsidRPr="00854E06">
              <w:rPr>
                <w:rFonts w:cstheme="majorBidi"/>
              </w:rPr>
              <w:t>Minnesota Pollution Control Agency</w:t>
            </w:r>
          </w:p>
        </w:tc>
        <w:tc>
          <w:tcPr>
            <w:tcW w:w="2100" w:type="dxa"/>
            <w:shd w:val="clear" w:color="auto" w:fill="auto"/>
            <w:noWrap/>
            <w:vAlign w:val="center"/>
          </w:tcPr>
          <w:p w:rsidR="001B5A5F" w:rsidRPr="00854E06" w:rsidRDefault="001B5A5F" w:rsidP="0043791B">
            <w:pPr>
              <w:rPr>
                <w:rFonts w:cstheme="majorBidi"/>
              </w:rPr>
            </w:pPr>
            <w:r w:rsidRPr="00854E06">
              <w:rPr>
                <w:rFonts w:cstheme="majorBidi"/>
              </w:rPr>
              <w:t>Mississippi River</w:t>
            </w:r>
          </w:p>
        </w:tc>
        <w:tc>
          <w:tcPr>
            <w:tcW w:w="2940" w:type="dxa"/>
            <w:shd w:val="clear" w:color="auto" w:fill="auto"/>
            <w:noWrap/>
            <w:vAlign w:val="center"/>
          </w:tcPr>
          <w:p w:rsidR="001B5A5F" w:rsidRPr="00854E06" w:rsidRDefault="001B5A5F" w:rsidP="0043791B">
            <w:pPr>
              <w:rPr>
                <w:rFonts w:cstheme="majorBidi"/>
              </w:rPr>
            </w:pPr>
            <w:r w:rsidRPr="00854E06">
              <w:rPr>
                <w:rFonts w:cstheme="majorBidi"/>
              </w:rPr>
              <w:t>Grey Cloud Island</w:t>
            </w:r>
          </w:p>
        </w:tc>
        <w:tc>
          <w:tcPr>
            <w:tcW w:w="960" w:type="dxa"/>
            <w:shd w:val="clear" w:color="auto" w:fill="auto"/>
            <w:noWrap/>
            <w:vAlign w:val="center"/>
          </w:tcPr>
          <w:p w:rsidR="001B5A5F" w:rsidRPr="00854E06" w:rsidRDefault="001B5A5F" w:rsidP="0043791B">
            <w:pPr>
              <w:rPr>
                <w:rFonts w:cstheme="majorBidi"/>
              </w:rPr>
            </w:pPr>
            <w:r w:rsidRPr="00854E06">
              <w:rPr>
                <w:rFonts w:cstheme="majorBidi"/>
              </w:rPr>
              <w:t>MN</w:t>
            </w:r>
          </w:p>
        </w:tc>
        <w:tc>
          <w:tcPr>
            <w:tcW w:w="1900" w:type="dxa"/>
            <w:shd w:val="clear" w:color="auto" w:fill="auto"/>
            <w:noWrap/>
            <w:vAlign w:val="center"/>
          </w:tcPr>
          <w:p w:rsidR="001B5A5F" w:rsidRPr="00854E06" w:rsidRDefault="001B5A5F" w:rsidP="0043791B">
            <w:pPr>
              <w:rPr>
                <w:rFonts w:cstheme="majorBidi"/>
              </w:rPr>
            </w:pPr>
            <w:r w:rsidRPr="00854E06">
              <w:rPr>
                <w:rFonts w:cstheme="majorBidi"/>
              </w:rPr>
              <w:t>1-1975 to 8-1998</w:t>
            </w:r>
          </w:p>
        </w:tc>
      </w:tr>
    </w:tbl>
    <w:p w:rsidR="001021C0" w:rsidRDefault="00A1671B" w:rsidP="00A1671B">
      <w:pPr>
        <w:jc w:val="center"/>
      </w:pPr>
      <w:r w:rsidRPr="00A1671B">
        <w:rPr>
          <w:b/>
        </w:rPr>
        <w:lastRenderedPageBreak/>
        <w:t>Appendix A1</w:t>
      </w:r>
      <w:r>
        <w:t xml:space="preserve"> </w:t>
      </w:r>
      <w:r w:rsidRPr="00A1671B">
        <w:rPr>
          <w:i/>
        </w:rPr>
        <w:t>continued</w:t>
      </w:r>
      <w:r>
        <w:t>.</w:t>
      </w:r>
    </w:p>
    <w:p w:rsidR="00A1671B" w:rsidRDefault="00A1671B" w:rsidP="001021C0"/>
    <w:tbl>
      <w:tblPr>
        <w:tblW w:w="140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070"/>
        <w:gridCol w:w="3850"/>
        <w:gridCol w:w="2100"/>
        <w:gridCol w:w="2940"/>
        <w:gridCol w:w="960"/>
        <w:gridCol w:w="1900"/>
      </w:tblGrid>
      <w:tr w:rsidR="00A1671B" w:rsidRPr="00854E06" w:rsidTr="00A1671B">
        <w:trPr>
          <w:trHeight w:val="255"/>
        </w:trPr>
        <w:tc>
          <w:tcPr>
            <w:tcW w:w="120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HUC</w:t>
            </w:r>
          </w:p>
        </w:tc>
        <w:tc>
          <w:tcPr>
            <w:tcW w:w="1070" w:type="dxa"/>
            <w:shd w:val="clear" w:color="auto" w:fill="auto"/>
            <w:noWrap/>
            <w:vAlign w:val="center"/>
          </w:tcPr>
          <w:p w:rsidR="00A1671B" w:rsidRPr="00854E06" w:rsidRDefault="00A1671B" w:rsidP="00A1671B">
            <w:pPr>
              <w:jc w:val="center"/>
              <w:rPr>
                <w:rFonts w:cstheme="majorBidi"/>
                <w:b/>
                <w:bCs/>
              </w:rPr>
            </w:pPr>
            <w:proofErr w:type="spellStart"/>
            <w:r w:rsidRPr="00854E06">
              <w:rPr>
                <w:rFonts w:cstheme="majorBidi"/>
                <w:b/>
                <w:bCs/>
              </w:rPr>
              <w:t>Sitecode</w:t>
            </w:r>
            <w:proofErr w:type="spellEnd"/>
          </w:p>
        </w:tc>
        <w:tc>
          <w:tcPr>
            <w:tcW w:w="385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Data Source Agency</w:t>
            </w:r>
          </w:p>
        </w:tc>
        <w:tc>
          <w:tcPr>
            <w:tcW w:w="210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Stream</w:t>
            </w:r>
          </w:p>
        </w:tc>
        <w:tc>
          <w:tcPr>
            <w:tcW w:w="294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Monitoring Location</w:t>
            </w:r>
          </w:p>
        </w:tc>
        <w:tc>
          <w:tcPr>
            <w:tcW w:w="96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State</w:t>
            </w:r>
          </w:p>
        </w:tc>
        <w:tc>
          <w:tcPr>
            <w:tcW w:w="190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Period of Record</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07030005</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30001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Metropolitan Council Environmental Services</w:t>
            </w:r>
          </w:p>
        </w:tc>
        <w:tc>
          <w:tcPr>
            <w:tcW w:w="2100" w:type="dxa"/>
            <w:shd w:val="clear" w:color="auto" w:fill="auto"/>
            <w:noWrap/>
            <w:vAlign w:val="center"/>
          </w:tcPr>
          <w:p w:rsidR="00A1671B" w:rsidRPr="00854E06" w:rsidRDefault="00A1671B" w:rsidP="00A1671B">
            <w:pPr>
              <w:rPr>
                <w:rFonts w:cstheme="majorBidi"/>
              </w:rPr>
            </w:pPr>
            <w:proofErr w:type="spellStart"/>
            <w:r w:rsidRPr="00854E06">
              <w:rPr>
                <w:rFonts w:cstheme="majorBidi"/>
              </w:rPr>
              <w:t>St.Croix</w:t>
            </w:r>
            <w:proofErr w:type="spellEnd"/>
            <w:r w:rsidRPr="00854E06">
              <w:rPr>
                <w:rFonts w:cstheme="majorBidi"/>
              </w:rPr>
              <w:t xml:space="preserve">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confluence with Mississippi R.</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1-1976 to 12-1996</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07030005</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30002</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Minnesota Pollution Control Agency</w:t>
            </w:r>
          </w:p>
        </w:tc>
        <w:tc>
          <w:tcPr>
            <w:tcW w:w="2100" w:type="dxa"/>
            <w:shd w:val="clear" w:color="auto" w:fill="auto"/>
            <w:noWrap/>
            <w:vAlign w:val="center"/>
          </w:tcPr>
          <w:p w:rsidR="00A1671B" w:rsidRPr="00854E06" w:rsidRDefault="00A1671B" w:rsidP="00A1671B">
            <w:pPr>
              <w:rPr>
                <w:rFonts w:cstheme="majorBidi"/>
              </w:rPr>
            </w:pPr>
            <w:proofErr w:type="spellStart"/>
            <w:r w:rsidRPr="00854E06">
              <w:rPr>
                <w:rFonts w:cstheme="majorBidi"/>
              </w:rPr>
              <w:t>St.Croix</w:t>
            </w:r>
            <w:proofErr w:type="spellEnd"/>
            <w:r w:rsidRPr="00854E06">
              <w:rPr>
                <w:rFonts w:cstheme="majorBidi"/>
              </w:rPr>
              <w:t xml:space="preserve">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Hudson, WI</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1-1967 to 12-1996</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07030005</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30003</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proofErr w:type="spellStart"/>
            <w:r w:rsidRPr="00854E06">
              <w:rPr>
                <w:rFonts w:cstheme="majorBidi"/>
              </w:rPr>
              <w:t>St.Croix</w:t>
            </w:r>
            <w:proofErr w:type="spellEnd"/>
            <w:r w:rsidRPr="00854E06">
              <w:rPr>
                <w:rFonts w:cstheme="majorBidi"/>
              </w:rPr>
              <w:t xml:space="preserve">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at St. Croix Falls, WI</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10-1974 to 9-1994</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07030005</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30004</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Metropolitan Council Environmental Services</w:t>
            </w:r>
          </w:p>
        </w:tc>
        <w:tc>
          <w:tcPr>
            <w:tcW w:w="2100" w:type="dxa"/>
            <w:shd w:val="clear" w:color="auto" w:fill="auto"/>
            <w:noWrap/>
            <w:vAlign w:val="center"/>
          </w:tcPr>
          <w:p w:rsidR="00A1671B" w:rsidRPr="00854E06" w:rsidRDefault="00A1671B" w:rsidP="00A1671B">
            <w:pPr>
              <w:rPr>
                <w:rFonts w:cstheme="majorBidi"/>
              </w:rPr>
            </w:pPr>
            <w:proofErr w:type="spellStart"/>
            <w:r w:rsidRPr="00854E06">
              <w:rPr>
                <w:rFonts w:cstheme="majorBidi"/>
              </w:rPr>
              <w:t>St.Croix</w:t>
            </w:r>
            <w:proofErr w:type="spellEnd"/>
            <w:r w:rsidRPr="00854E06">
              <w:rPr>
                <w:rFonts w:cstheme="majorBidi"/>
              </w:rPr>
              <w:t xml:space="preserve">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Stillwater, WI</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1-1976 to 12-1996</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07040001</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30007</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Mississippi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Lock and Dam #3</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MN - 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1-1991 to 7-1998</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07040001</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40001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Vermillion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confluence with Mississippi R.</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MN</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1-1991 to 9-1997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07040002</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40007</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Cannon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confluence with Mississippi R.</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MN</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10-1991 to 9-1997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07050005</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40011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Chippewa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confluence with Mississippi R.</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1-1991 to 9-1997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07050005</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40013</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Chippewa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at Durand, WI</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10-1974 to 9-1994</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07040003</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40015</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Mississippi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Lock and Dam #4</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MN - 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1-1993 to 7-1998</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07040001</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40017</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Mississippi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Lake Pepin Outflow</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MN - 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1-1993 to 9-1997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07040004</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50001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proofErr w:type="spellStart"/>
            <w:r w:rsidRPr="00854E06">
              <w:rPr>
                <w:rFonts w:cstheme="majorBidi"/>
              </w:rPr>
              <w:t>Zumbro</w:t>
            </w:r>
            <w:proofErr w:type="spellEnd"/>
            <w:r w:rsidRPr="00854E06">
              <w:rPr>
                <w:rFonts w:cstheme="majorBidi"/>
              </w:rPr>
              <w:t xml:space="preserve">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confluence with Mississippi R.</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MN</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1-1993 to 9-1997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07040003</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50007</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Mississippi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Lock and Dam #5</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MN - 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1-1993 to 7-1998</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07040006</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70001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Black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Clinton St. Bridge at La Crosse, WI</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1-1991 to 12-1997</w:t>
            </w:r>
          </w:p>
        </w:tc>
      </w:tr>
    </w:tbl>
    <w:p w:rsidR="00A1671B" w:rsidRDefault="00A1671B" w:rsidP="001021C0"/>
    <w:p w:rsidR="00A1671B" w:rsidRDefault="00A1671B" w:rsidP="00A1671B">
      <w:pPr>
        <w:jc w:val="center"/>
      </w:pPr>
      <w:r w:rsidRPr="00A1671B">
        <w:rPr>
          <w:b/>
        </w:rPr>
        <w:lastRenderedPageBreak/>
        <w:t>Appendix A1</w:t>
      </w:r>
      <w:r>
        <w:t xml:space="preserve"> </w:t>
      </w:r>
      <w:r w:rsidRPr="00A1671B">
        <w:rPr>
          <w:i/>
        </w:rPr>
        <w:t>continued</w:t>
      </w:r>
      <w:r>
        <w:t>.</w:t>
      </w:r>
    </w:p>
    <w:p w:rsidR="00A1671B" w:rsidRDefault="00A1671B" w:rsidP="001021C0"/>
    <w:tbl>
      <w:tblPr>
        <w:tblW w:w="140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070"/>
        <w:gridCol w:w="3850"/>
        <w:gridCol w:w="2100"/>
        <w:gridCol w:w="2940"/>
        <w:gridCol w:w="960"/>
        <w:gridCol w:w="1900"/>
      </w:tblGrid>
      <w:tr w:rsidR="00A1671B" w:rsidRPr="00854E06" w:rsidTr="00A1671B">
        <w:trPr>
          <w:trHeight w:val="255"/>
        </w:trPr>
        <w:tc>
          <w:tcPr>
            <w:tcW w:w="120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HUC</w:t>
            </w:r>
          </w:p>
        </w:tc>
        <w:tc>
          <w:tcPr>
            <w:tcW w:w="1070" w:type="dxa"/>
            <w:shd w:val="clear" w:color="auto" w:fill="auto"/>
            <w:noWrap/>
            <w:vAlign w:val="center"/>
          </w:tcPr>
          <w:p w:rsidR="00A1671B" w:rsidRPr="00854E06" w:rsidRDefault="00A1671B" w:rsidP="00A1671B">
            <w:pPr>
              <w:jc w:val="center"/>
              <w:rPr>
                <w:rFonts w:cstheme="majorBidi"/>
                <w:b/>
                <w:bCs/>
              </w:rPr>
            </w:pPr>
            <w:proofErr w:type="spellStart"/>
            <w:r w:rsidRPr="00854E06">
              <w:rPr>
                <w:rFonts w:cstheme="majorBidi"/>
                <w:b/>
                <w:bCs/>
              </w:rPr>
              <w:t>Sitecode</w:t>
            </w:r>
            <w:proofErr w:type="spellEnd"/>
          </w:p>
        </w:tc>
        <w:tc>
          <w:tcPr>
            <w:tcW w:w="385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Data Source Agency</w:t>
            </w:r>
          </w:p>
        </w:tc>
        <w:tc>
          <w:tcPr>
            <w:tcW w:w="210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Stream</w:t>
            </w:r>
          </w:p>
        </w:tc>
        <w:tc>
          <w:tcPr>
            <w:tcW w:w="294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Monitoring Location</w:t>
            </w:r>
          </w:p>
        </w:tc>
        <w:tc>
          <w:tcPr>
            <w:tcW w:w="96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State</w:t>
            </w:r>
          </w:p>
        </w:tc>
        <w:tc>
          <w:tcPr>
            <w:tcW w:w="190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Period of Record</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07040007</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70005</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Black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Lytle's Bridge at Onalaska, WI</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1-1993 to 9-1997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07040007</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70007</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Black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Galesville, WI</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10-1974 to 9-1994</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07040006</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80001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La Crosse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confluence with Mississippi R.</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8-1992 to 09-1997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07040008</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80003</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Root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confluence with Mississippi R.</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MN</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1-1991 to 9-1997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07040008</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80005</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Minnesota Pollution Control Agency</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Root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at MN-26 Bridge</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MN</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1-1967 to 12-1996</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07060001</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80007</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Coon Creek</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confluence with Mississippi R.</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1-1993 to 9-1997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07040006</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80009</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Mississippi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Below Lock and Dam #7</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MN - 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1-1991 to 12-1997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07060001</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80011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Mississippi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Above Lock and Dam #8</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MN - 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1-1991 to 12-1997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07070005</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100001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Wisconsin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at Muscoda, WI</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10-1974 to 9-1994</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07060003</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110001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Grant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at Burton, WI</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WI</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1-1973 to 12-1994</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07060005</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130003</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Apple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confluence with Mississippi R.</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IL</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1-1993 to 9-1997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07080101</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140003</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Mississippi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at Clinton, IA</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IA - IL</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10-1974 to 9-1994</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07080101</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140005</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Mississippi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Lock and Dam #14</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IA - IL</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1-1993 to 8-1998</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07090005</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160001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Rock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 xml:space="preserve">near </w:t>
            </w:r>
            <w:proofErr w:type="spellStart"/>
            <w:r w:rsidRPr="00854E06">
              <w:rPr>
                <w:rFonts w:cstheme="majorBidi"/>
              </w:rPr>
              <w:t>Joslin</w:t>
            </w:r>
            <w:proofErr w:type="spellEnd"/>
            <w:r w:rsidRPr="00854E06">
              <w:rPr>
                <w:rFonts w:cstheme="majorBidi"/>
              </w:rPr>
              <w:t>, IL</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IL</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10-1974 to 9-1994</w:t>
            </w:r>
          </w:p>
        </w:tc>
      </w:tr>
    </w:tbl>
    <w:p w:rsidR="00A1671B" w:rsidRDefault="00A1671B" w:rsidP="001021C0"/>
    <w:p w:rsidR="00A1671B" w:rsidRDefault="00A1671B" w:rsidP="00A1671B">
      <w:pPr>
        <w:jc w:val="center"/>
      </w:pPr>
      <w:r w:rsidRPr="00A1671B">
        <w:rPr>
          <w:b/>
        </w:rPr>
        <w:lastRenderedPageBreak/>
        <w:t>Appendix A1</w:t>
      </w:r>
      <w:r>
        <w:t xml:space="preserve"> </w:t>
      </w:r>
      <w:r w:rsidRPr="00A1671B">
        <w:rPr>
          <w:i/>
        </w:rPr>
        <w:t>continued</w:t>
      </w:r>
      <w:r>
        <w:t>.</w:t>
      </w:r>
    </w:p>
    <w:p w:rsidR="00A1671B" w:rsidRDefault="00A1671B" w:rsidP="001021C0"/>
    <w:tbl>
      <w:tblPr>
        <w:tblW w:w="140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070"/>
        <w:gridCol w:w="3850"/>
        <w:gridCol w:w="2100"/>
        <w:gridCol w:w="2940"/>
        <w:gridCol w:w="960"/>
        <w:gridCol w:w="1900"/>
      </w:tblGrid>
      <w:tr w:rsidR="00A1671B" w:rsidRPr="00854E06" w:rsidTr="00A1671B">
        <w:trPr>
          <w:trHeight w:val="255"/>
        </w:trPr>
        <w:tc>
          <w:tcPr>
            <w:tcW w:w="120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HUC</w:t>
            </w:r>
          </w:p>
        </w:tc>
        <w:tc>
          <w:tcPr>
            <w:tcW w:w="1070" w:type="dxa"/>
            <w:shd w:val="clear" w:color="auto" w:fill="auto"/>
            <w:noWrap/>
            <w:vAlign w:val="center"/>
          </w:tcPr>
          <w:p w:rsidR="00A1671B" w:rsidRPr="00854E06" w:rsidRDefault="00A1671B" w:rsidP="00A1671B">
            <w:pPr>
              <w:jc w:val="center"/>
              <w:rPr>
                <w:rFonts w:cstheme="majorBidi"/>
                <w:b/>
                <w:bCs/>
              </w:rPr>
            </w:pPr>
            <w:proofErr w:type="spellStart"/>
            <w:r w:rsidRPr="00854E06">
              <w:rPr>
                <w:rFonts w:cstheme="majorBidi"/>
                <w:b/>
                <w:bCs/>
              </w:rPr>
              <w:t>Sitecode</w:t>
            </w:r>
            <w:proofErr w:type="spellEnd"/>
          </w:p>
        </w:tc>
        <w:tc>
          <w:tcPr>
            <w:tcW w:w="385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Data Source Agency</w:t>
            </w:r>
          </w:p>
        </w:tc>
        <w:tc>
          <w:tcPr>
            <w:tcW w:w="210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Stream</w:t>
            </w:r>
          </w:p>
        </w:tc>
        <w:tc>
          <w:tcPr>
            <w:tcW w:w="294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Monitoring Location</w:t>
            </w:r>
          </w:p>
        </w:tc>
        <w:tc>
          <w:tcPr>
            <w:tcW w:w="96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State</w:t>
            </w:r>
          </w:p>
        </w:tc>
        <w:tc>
          <w:tcPr>
            <w:tcW w:w="190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Period of Record</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07080209</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180001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Iowa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at Wapello, IA</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IA</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1-1976 to 12-1995</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07080107</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190001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Skunk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at Augusta, IA</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IA</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1-1976 to 12-1995</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07080104</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190003</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Mississippi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at Keokuk, IA</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IA - IL</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10-1974 to 1-1988</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07100009</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200001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Des Moines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 xml:space="preserve">at St. </w:t>
            </w:r>
            <w:proofErr w:type="spellStart"/>
            <w:r w:rsidRPr="00854E06">
              <w:rPr>
                <w:rFonts w:cstheme="majorBidi"/>
              </w:rPr>
              <w:t>Francisville</w:t>
            </w:r>
            <w:proofErr w:type="spellEnd"/>
            <w:r w:rsidRPr="00854E06">
              <w:rPr>
                <w:rFonts w:cstheme="majorBidi"/>
              </w:rPr>
              <w:t>, MO</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IA</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1-1973 to 12-1992</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07100006</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200003</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Raccoon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at Van Meter, IA</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IA</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7-1975 to 6-1995</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07110007</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240001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Salt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New London, MO</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MO</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1-1973 to 12-1992</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07110004</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250001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Mississippi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Lock and Dam #25</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IL - MO</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1-1997 to 9-1997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07110008</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260001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proofErr w:type="spellStart"/>
            <w:r w:rsidRPr="00854E06">
              <w:rPr>
                <w:rFonts w:cstheme="majorBidi"/>
              </w:rPr>
              <w:t>Cuivre</w:t>
            </w:r>
            <w:proofErr w:type="spellEnd"/>
            <w:r w:rsidRPr="00854E06">
              <w:rPr>
                <w:rFonts w:cstheme="majorBidi"/>
              </w:rPr>
              <w:t xml:space="preserve">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confluence with Mississippi R.</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MO</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1-1993 to 9-1997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07110008</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260003</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proofErr w:type="spellStart"/>
            <w:r w:rsidRPr="00854E06">
              <w:rPr>
                <w:rFonts w:cstheme="majorBidi"/>
              </w:rPr>
              <w:t>Cuivre</w:t>
            </w:r>
            <w:proofErr w:type="spellEnd"/>
            <w:r w:rsidRPr="00854E06">
              <w:rPr>
                <w:rFonts w:cstheme="majorBidi"/>
              </w:rPr>
              <w:t xml:space="preserve">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Troy, MO</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MO</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1-1982 to 12-1994</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07130011</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260005</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Illinois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confluence with Mississippi R.</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IL</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 xml:space="preserve">1-1991 to 9-1997 </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07130011</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260007</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Illinois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at Valley City, IL</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IL</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1-1975 to 12-1994</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07110009</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260009</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Mississippi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below Grafton, IL</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IL - MO</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1-1989 to 12-1994</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07110009</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260011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Mississippi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below Alton, IL</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IL - MO</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10-1974 to 12-1988</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07110009</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260013</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Mississippi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Lock and Dam #26</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IL - MO</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1-1993 to 9-1997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07130005</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260015</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Spoon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at Seville, IL</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IL</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1-1977 to 12-1993</w:t>
            </w:r>
          </w:p>
        </w:tc>
      </w:tr>
    </w:tbl>
    <w:p w:rsidR="00A1671B" w:rsidRDefault="00A1671B" w:rsidP="00A1671B">
      <w:pPr>
        <w:jc w:val="center"/>
      </w:pPr>
      <w:r w:rsidRPr="00A1671B">
        <w:rPr>
          <w:b/>
        </w:rPr>
        <w:lastRenderedPageBreak/>
        <w:t>Appendix A1</w:t>
      </w:r>
      <w:r>
        <w:t xml:space="preserve"> </w:t>
      </w:r>
      <w:r w:rsidRPr="00A1671B">
        <w:rPr>
          <w:i/>
        </w:rPr>
        <w:t>continued</w:t>
      </w:r>
      <w:r>
        <w:t>.</w:t>
      </w:r>
    </w:p>
    <w:p w:rsidR="00A1671B" w:rsidRDefault="00A1671B" w:rsidP="001021C0"/>
    <w:p w:rsidR="00A1671B" w:rsidRDefault="00A1671B" w:rsidP="001021C0"/>
    <w:tbl>
      <w:tblPr>
        <w:tblW w:w="140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070"/>
        <w:gridCol w:w="3850"/>
        <w:gridCol w:w="2100"/>
        <w:gridCol w:w="2940"/>
        <w:gridCol w:w="960"/>
        <w:gridCol w:w="1900"/>
      </w:tblGrid>
      <w:tr w:rsidR="00A1671B" w:rsidRPr="00854E06" w:rsidTr="00A1671B">
        <w:trPr>
          <w:trHeight w:val="255"/>
        </w:trPr>
        <w:tc>
          <w:tcPr>
            <w:tcW w:w="120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HUC</w:t>
            </w:r>
          </w:p>
        </w:tc>
        <w:tc>
          <w:tcPr>
            <w:tcW w:w="1070" w:type="dxa"/>
            <w:shd w:val="clear" w:color="auto" w:fill="auto"/>
            <w:noWrap/>
            <w:vAlign w:val="center"/>
          </w:tcPr>
          <w:p w:rsidR="00A1671B" w:rsidRPr="00854E06" w:rsidRDefault="00A1671B" w:rsidP="00A1671B">
            <w:pPr>
              <w:jc w:val="center"/>
              <w:rPr>
                <w:rFonts w:cstheme="majorBidi"/>
                <w:b/>
                <w:bCs/>
              </w:rPr>
            </w:pPr>
            <w:proofErr w:type="spellStart"/>
            <w:r w:rsidRPr="00854E06">
              <w:rPr>
                <w:rFonts w:cstheme="majorBidi"/>
                <w:b/>
                <w:bCs/>
              </w:rPr>
              <w:t>Sitecode</w:t>
            </w:r>
            <w:proofErr w:type="spellEnd"/>
          </w:p>
        </w:tc>
        <w:tc>
          <w:tcPr>
            <w:tcW w:w="385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Data Source Agency</w:t>
            </w:r>
          </w:p>
        </w:tc>
        <w:tc>
          <w:tcPr>
            <w:tcW w:w="210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Stream</w:t>
            </w:r>
          </w:p>
        </w:tc>
        <w:tc>
          <w:tcPr>
            <w:tcW w:w="294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Monitoring Location</w:t>
            </w:r>
          </w:p>
        </w:tc>
        <w:tc>
          <w:tcPr>
            <w:tcW w:w="96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State</w:t>
            </w:r>
          </w:p>
        </w:tc>
        <w:tc>
          <w:tcPr>
            <w:tcW w:w="1900" w:type="dxa"/>
            <w:shd w:val="clear" w:color="auto" w:fill="auto"/>
            <w:noWrap/>
            <w:vAlign w:val="center"/>
          </w:tcPr>
          <w:p w:rsidR="00A1671B" w:rsidRPr="00854E06" w:rsidRDefault="00A1671B" w:rsidP="00A1671B">
            <w:pPr>
              <w:jc w:val="center"/>
              <w:rPr>
                <w:rFonts w:cstheme="majorBidi"/>
                <w:b/>
                <w:bCs/>
              </w:rPr>
            </w:pPr>
            <w:r w:rsidRPr="00854E06">
              <w:rPr>
                <w:rFonts w:cstheme="majorBidi"/>
                <w:b/>
                <w:bCs/>
              </w:rPr>
              <w:t>Period of Record</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07130008</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260017</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Sangamon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 xml:space="preserve">near </w:t>
            </w:r>
            <w:proofErr w:type="spellStart"/>
            <w:r w:rsidRPr="00854E06">
              <w:rPr>
                <w:rFonts w:cstheme="majorBidi"/>
              </w:rPr>
              <w:t>Oakford</w:t>
            </w:r>
            <w:proofErr w:type="spellEnd"/>
            <w:r w:rsidRPr="00854E06">
              <w:rPr>
                <w:rFonts w:cstheme="majorBidi"/>
              </w:rPr>
              <w:t>, IL</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IL</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1-1976 to 12-1994</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10300200</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270001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Long Term Resource Monitoring Program</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Missouri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confluence with Mississippi R.</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MO</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1-1993 to 9-1997</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07140102</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280001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Meramec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near Eureka, MO</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MO</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1-1978 to 12-1994</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07140204</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280003</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Kaskaskia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 xml:space="preserve">near </w:t>
            </w:r>
            <w:proofErr w:type="spellStart"/>
            <w:r w:rsidRPr="00854E06">
              <w:rPr>
                <w:rFonts w:cstheme="majorBidi"/>
              </w:rPr>
              <w:t>Venedy</w:t>
            </w:r>
            <w:proofErr w:type="spellEnd"/>
            <w:r w:rsidRPr="00854E06">
              <w:rPr>
                <w:rFonts w:cstheme="majorBidi"/>
              </w:rPr>
              <w:t xml:space="preserve"> Station, IL</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IL</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1-1974 to 12-1993</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07140106</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290001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Big Muddy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at Murphysboro, IL</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IL</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1-1974 to 5-1993</w:t>
            </w:r>
          </w:p>
        </w:tc>
      </w:tr>
      <w:tr w:rsidR="00A1671B" w:rsidRPr="00854E06" w:rsidTr="00A1671B">
        <w:trPr>
          <w:trHeight w:val="255"/>
        </w:trPr>
        <w:tc>
          <w:tcPr>
            <w:tcW w:w="1200" w:type="dxa"/>
            <w:shd w:val="clear" w:color="auto" w:fill="auto"/>
            <w:noWrap/>
            <w:vAlign w:val="center"/>
          </w:tcPr>
          <w:p w:rsidR="00A1671B" w:rsidRPr="00854E06" w:rsidRDefault="00A1671B" w:rsidP="00A1671B">
            <w:pPr>
              <w:rPr>
                <w:rFonts w:cstheme="majorBidi"/>
              </w:rPr>
            </w:pPr>
            <w:r w:rsidRPr="00854E06">
              <w:rPr>
                <w:rFonts w:cstheme="majorBidi"/>
              </w:rPr>
              <w:t>07140105</w:t>
            </w:r>
          </w:p>
        </w:tc>
        <w:tc>
          <w:tcPr>
            <w:tcW w:w="1070" w:type="dxa"/>
            <w:shd w:val="clear" w:color="auto" w:fill="auto"/>
            <w:noWrap/>
            <w:vAlign w:val="center"/>
          </w:tcPr>
          <w:p w:rsidR="00A1671B" w:rsidRPr="00854E06" w:rsidRDefault="00A1671B" w:rsidP="00A1671B">
            <w:pPr>
              <w:rPr>
                <w:rFonts w:cstheme="majorBidi"/>
              </w:rPr>
            </w:pPr>
            <w:r w:rsidRPr="00854E06">
              <w:rPr>
                <w:rFonts w:cstheme="majorBidi"/>
              </w:rPr>
              <w:t>300001</w:t>
            </w:r>
          </w:p>
        </w:tc>
        <w:tc>
          <w:tcPr>
            <w:tcW w:w="3850" w:type="dxa"/>
            <w:shd w:val="clear" w:color="auto" w:fill="auto"/>
            <w:noWrap/>
            <w:vAlign w:val="center"/>
          </w:tcPr>
          <w:p w:rsidR="00A1671B" w:rsidRPr="00854E06" w:rsidRDefault="00A1671B" w:rsidP="00A1671B">
            <w:pPr>
              <w:rPr>
                <w:rFonts w:cstheme="majorBidi"/>
              </w:rPr>
            </w:pPr>
            <w:r w:rsidRPr="00854E06">
              <w:rPr>
                <w:rFonts w:cstheme="majorBidi"/>
              </w:rPr>
              <w:t>USGS Water Resources Division</w:t>
            </w:r>
          </w:p>
        </w:tc>
        <w:tc>
          <w:tcPr>
            <w:tcW w:w="2100" w:type="dxa"/>
            <w:shd w:val="clear" w:color="auto" w:fill="auto"/>
            <w:noWrap/>
            <w:vAlign w:val="center"/>
          </w:tcPr>
          <w:p w:rsidR="00A1671B" w:rsidRPr="00854E06" w:rsidRDefault="00A1671B" w:rsidP="00A1671B">
            <w:pPr>
              <w:rPr>
                <w:rFonts w:cstheme="majorBidi"/>
              </w:rPr>
            </w:pPr>
            <w:r w:rsidRPr="00854E06">
              <w:rPr>
                <w:rFonts w:cstheme="majorBidi"/>
              </w:rPr>
              <w:t>Mississippi River</w:t>
            </w:r>
          </w:p>
        </w:tc>
        <w:tc>
          <w:tcPr>
            <w:tcW w:w="2940" w:type="dxa"/>
            <w:shd w:val="clear" w:color="auto" w:fill="auto"/>
            <w:noWrap/>
            <w:vAlign w:val="center"/>
          </w:tcPr>
          <w:p w:rsidR="00A1671B" w:rsidRPr="00854E06" w:rsidRDefault="00A1671B" w:rsidP="00A1671B">
            <w:pPr>
              <w:rPr>
                <w:rFonts w:cstheme="majorBidi"/>
              </w:rPr>
            </w:pPr>
            <w:r w:rsidRPr="00854E06">
              <w:rPr>
                <w:rFonts w:cstheme="majorBidi"/>
              </w:rPr>
              <w:t>at Thebes, IL</w:t>
            </w:r>
          </w:p>
        </w:tc>
        <w:tc>
          <w:tcPr>
            <w:tcW w:w="960" w:type="dxa"/>
            <w:shd w:val="clear" w:color="auto" w:fill="auto"/>
            <w:noWrap/>
            <w:vAlign w:val="center"/>
          </w:tcPr>
          <w:p w:rsidR="00A1671B" w:rsidRPr="00854E06" w:rsidRDefault="00A1671B" w:rsidP="00A1671B">
            <w:pPr>
              <w:rPr>
                <w:rFonts w:cstheme="majorBidi"/>
              </w:rPr>
            </w:pPr>
            <w:r w:rsidRPr="00854E06">
              <w:rPr>
                <w:rFonts w:cstheme="majorBidi"/>
              </w:rPr>
              <w:t>IL - MO</w:t>
            </w:r>
          </w:p>
        </w:tc>
        <w:tc>
          <w:tcPr>
            <w:tcW w:w="1900" w:type="dxa"/>
            <w:shd w:val="clear" w:color="auto" w:fill="auto"/>
            <w:noWrap/>
            <w:vAlign w:val="center"/>
          </w:tcPr>
          <w:p w:rsidR="00A1671B" w:rsidRPr="00854E06" w:rsidRDefault="00A1671B" w:rsidP="00A1671B">
            <w:pPr>
              <w:rPr>
                <w:rFonts w:cstheme="majorBidi"/>
              </w:rPr>
            </w:pPr>
            <w:r w:rsidRPr="00854E06">
              <w:rPr>
                <w:rFonts w:cstheme="majorBidi"/>
              </w:rPr>
              <w:t>1-1974 to 12-1993</w:t>
            </w:r>
          </w:p>
        </w:tc>
      </w:tr>
    </w:tbl>
    <w:p w:rsidR="00A1671B" w:rsidRPr="00854E06" w:rsidRDefault="00A1671B" w:rsidP="001021C0">
      <w:pPr>
        <w:sectPr w:rsidR="00A1671B" w:rsidRPr="00854E06">
          <w:pgSz w:w="15840" w:h="12240" w:orient="landscape"/>
          <w:pgMar w:top="1440" w:right="1440" w:bottom="1440" w:left="1440" w:header="720" w:footer="720" w:gutter="0"/>
          <w:cols w:space="720"/>
          <w:docGrid w:linePitch="360"/>
        </w:sectPr>
      </w:pPr>
    </w:p>
    <w:p w:rsidR="00351E1C" w:rsidRDefault="00A1671B" w:rsidP="00351E1C">
      <w:pPr>
        <w:jc w:val="center"/>
        <w:rPr>
          <w:rFonts w:cstheme="majorBidi"/>
          <w:b/>
          <w:bCs/>
        </w:rPr>
      </w:pPr>
      <w:proofErr w:type="gramStart"/>
      <w:r>
        <w:rPr>
          <w:rFonts w:cstheme="majorBidi"/>
          <w:b/>
          <w:bCs/>
        </w:rPr>
        <w:lastRenderedPageBreak/>
        <w:t>Appendix</w:t>
      </w:r>
      <w:r w:rsidR="00351E1C">
        <w:rPr>
          <w:rFonts w:cstheme="majorBidi"/>
          <w:b/>
          <w:bCs/>
        </w:rPr>
        <w:t xml:space="preserve"> A</w:t>
      </w:r>
      <w:r w:rsidR="003A34C6" w:rsidRPr="00854E06">
        <w:rPr>
          <w:rFonts w:cstheme="majorBidi"/>
          <w:b/>
          <w:bCs/>
        </w:rPr>
        <w:t>2.</w:t>
      </w:r>
      <w:proofErr w:type="gramEnd"/>
      <w:r w:rsidR="003A34C6" w:rsidRPr="00854E06">
        <w:rPr>
          <w:rFonts w:cstheme="majorBidi"/>
          <w:b/>
          <w:bCs/>
        </w:rPr>
        <w:t xml:space="preserve"> Results of the annual and monthly rating coefficient </w:t>
      </w:r>
      <m:oMath>
        <m:r>
          <m:rPr>
            <m:sty m:val="bi"/>
          </m:rPr>
          <w:rPr>
            <w:rFonts w:ascii="Cambria Math" w:hAnsi="Cambria Math" w:cstheme="majorBidi"/>
          </w:rPr>
          <m:t>a</m:t>
        </m:r>
      </m:oMath>
      <w:r w:rsidR="00F440E8">
        <w:rPr>
          <w:rFonts w:cstheme="majorBidi"/>
          <w:b/>
          <w:bCs/>
        </w:rPr>
        <w:t xml:space="preserve"> at 64</w:t>
      </w:r>
      <w:r w:rsidR="003A34C6" w:rsidRPr="00854E06">
        <w:rPr>
          <w:rFonts w:cstheme="majorBidi"/>
          <w:b/>
          <w:bCs/>
        </w:rPr>
        <w:t xml:space="preserve"> gauging stations in the UMRB</w:t>
      </w:r>
      <w:r w:rsidR="00351E1C">
        <w:rPr>
          <w:rFonts w:cstheme="majorBidi"/>
          <w:b/>
          <w:bCs/>
        </w:rPr>
        <w:t xml:space="preserve"> </w:t>
      </w:r>
    </w:p>
    <w:p w:rsidR="001021C0" w:rsidRDefault="00351E1C" w:rsidP="00351E1C">
      <w:pPr>
        <w:jc w:val="center"/>
        <w:rPr>
          <w:rFonts w:cstheme="majorBidi"/>
          <w:b/>
          <w:bCs/>
        </w:rPr>
      </w:pPr>
      <w:r>
        <w:rPr>
          <w:rFonts w:cstheme="majorBidi"/>
          <w:b/>
          <w:bCs/>
        </w:rPr>
        <w:t>(</w:t>
      </w:r>
      <w:proofErr w:type="gramStart"/>
      <w:r>
        <w:rPr>
          <w:rFonts w:cstheme="majorBidi"/>
          <w:b/>
          <w:bCs/>
        </w:rPr>
        <w:t>at</w:t>
      </w:r>
      <w:proofErr w:type="gramEnd"/>
      <w:r>
        <w:rPr>
          <w:rFonts w:cstheme="majorBidi"/>
          <w:b/>
          <w:bCs/>
        </w:rPr>
        <w:t xml:space="preserve"> annual level and at monthly level from January to June)</w:t>
      </w:r>
    </w:p>
    <w:p w:rsidR="00351E1C" w:rsidRPr="00854E06" w:rsidRDefault="00351E1C" w:rsidP="00351E1C">
      <w:pPr>
        <w:jc w:val="center"/>
        <w:rPr>
          <w:rFonts w:cstheme="majorBidi"/>
          <w:b/>
          <w:bCs/>
        </w:rPr>
      </w:pPr>
    </w:p>
    <w:tbl>
      <w:tblPr>
        <w:tblW w:w="9327" w:type="dxa"/>
        <w:jc w:val="center"/>
        <w:tblInd w:w="-1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977"/>
        <w:gridCol w:w="1070"/>
        <w:gridCol w:w="1190"/>
        <w:gridCol w:w="960"/>
        <w:gridCol w:w="960"/>
        <w:gridCol w:w="960"/>
        <w:gridCol w:w="960"/>
      </w:tblGrid>
      <w:tr w:rsidR="00A1671B" w:rsidRPr="00854E06" w:rsidTr="00351E1C">
        <w:trPr>
          <w:trHeight w:val="330"/>
          <w:jc w:val="center"/>
        </w:trPr>
        <w:tc>
          <w:tcPr>
            <w:tcW w:w="2250" w:type="dxa"/>
            <w:shd w:val="clear" w:color="auto" w:fill="auto"/>
            <w:noWrap/>
            <w:vAlign w:val="bottom"/>
          </w:tcPr>
          <w:p w:rsidR="00A1671B" w:rsidRPr="00351E1C" w:rsidRDefault="00A1671B" w:rsidP="00351E1C">
            <w:pPr>
              <w:ind w:right="-426"/>
              <w:rPr>
                <w:rFonts w:cstheme="majorBidi"/>
                <w:b/>
                <w:color w:val="000000"/>
              </w:rPr>
            </w:pPr>
            <w:r w:rsidRPr="00351E1C">
              <w:rPr>
                <w:rFonts w:cstheme="majorBidi"/>
                <w:b/>
                <w:color w:val="000000"/>
              </w:rPr>
              <w:t xml:space="preserve">Station </w:t>
            </w:r>
          </w:p>
          <w:p w:rsidR="00A1671B" w:rsidRPr="00351E1C" w:rsidRDefault="00A1671B" w:rsidP="003A34C6">
            <w:pPr>
              <w:rPr>
                <w:rFonts w:cstheme="majorBidi"/>
                <w:b/>
                <w:color w:val="000000"/>
              </w:rPr>
            </w:pPr>
            <w:r w:rsidRPr="00351E1C">
              <w:rPr>
                <w:rFonts w:cstheme="majorBidi"/>
                <w:b/>
                <w:color w:val="000000"/>
              </w:rPr>
              <w:t xml:space="preserve">(HUC – </w:t>
            </w:r>
            <w:proofErr w:type="spellStart"/>
            <w:r w:rsidRPr="00351E1C">
              <w:rPr>
                <w:rFonts w:cstheme="majorBidi"/>
                <w:b/>
                <w:color w:val="000000"/>
              </w:rPr>
              <w:t>Sitecode</w:t>
            </w:r>
            <w:proofErr w:type="spellEnd"/>
            <w:r w:rsidRPr="00351E1C">
              <w:rPr>
                <w:rFonts w:cstheme="majorBidi"/>
                <w:b/>
                <w:color w:val="000000"/>
              </w:rPr>
              <w:t>)</w:t>
            </w:r>
          </w:p>
        </w:tc>
        <w:tc>
          <w:tcPr>
            <w:tcW w:w="977" w:type="dxa"/>
            <w:shd w:val="clear" w:color="auto" w:fill="auto"/>
            <w:noWrap/>
            <w:vAlign w:val="center"/>
          </w:tcPr>
          <w:p w:rsidR="00A1671B" w:rsidRPr="00351E1C" w:rsidRDefault="00A1671B" w:rsidP="00351E1C">
            <w:pPr>
              <w:jc w:val="center"/>
              <w:rPr>
                <w:rFonts w:cstheme="majorBidi"/>
                <w:b/>
                <w:color w:val="000000"/>
              </w:rPr>
            </w:pPr>
            <w:r w:rsidRPr="00351E1C">
              <w:rPr>
                <w:rFonts w:cstheme="majorBidi"/>
                <w:b/>
                <w:color w:val="000000"/>
              </w:rPr>
              <w:t>Annual</w:t>
            </w:r>
          </w:p>
        </w:tc>
        <w:tc>
          <w:tcPr>
            <w:tcW w:w="1070" w:type="dxa"/>
            <w:shd w:val="clear" w:color="auto" w:fill="auto"/>
            <w:noWrap/>
            <w:vAlign w:val="center"/>
          </w:tcPr>
          <w:p w:rsidR="00A1671B" w:rsidRPr="00351E1C" w:rsidRDefault="00A1671B" w:rsidP="00351E1C">
            <w:pPr>
              <w:jc w:val="center"/>
              <w:rPr>
                <w:rFonts w:cstheme="majorBidi"/>
                <w:b/>
                <w:color w:val="000000"/>
              </w:rPr>
            </w:pPr>
            <w:r w:rsidRPr="00351E1C">
              <w:rPr>
                <w:rFonts w:cstheme="majorBidi"/>
                <w:b/>
                <w:color w:val="000000"/>
              </w:rPr>
              <w:t>January</w:t>
            </w:r>
          </w:p>
        </w:tc>
        <w:tc>
          <w:tcPr>
            <w:tcW w:w="1190" w:type="dxa"/>
            <w:shd w:val="clear" w:color="auto" w:fill="auto"/>
            <w:noWrap/>
            <w:vAlign w:val="center"/>
          </w:tcPr>
          <w:p w:rsidR="00A1671B" w:rsidRPr="00351E1C" w:rsidRDefault="00A1671B" w:rsidP="00351E1C">
            <w:pPr>
              <w:jc w:val="center"/>
              <w:rPr>
                <w:rFonts w:cstheme="majorBidi"/>
                <w:b/>
                <w:color w:val="000000"/>
              </w:rPr>
            </w:pPr>
            <w:r w:rsidRPr="00351E1C">
              <w:rPr>
                <w:rFonts w:cstheme="majorBidi"/>
                <w:b/>
                <w:color w:val="000000"/>
              </w:rPr>
              <w:t>February</w:t>
            </w:r>
          </w:p>
        </w:tc>
        <w:tc>
          <w:tcPr>
            <w:tcW w:w="960" w:type="dxa"/>
            <w:shd w:val="clear" w:color="auto" w:fill="auto"/>
            <w:noWrap/>
            <w:vAlign w:val="center"/>
          </w:tcPr>
          <w:p w:rsidR="00A1671B" w:rsidRPr="00351E1C" w:rsidRDefault="00A1671B" w:rsidP="00351E1C">
            <w:pPr>
              <w:jc w:val="center"/>
              <w:rPr>
                <w:rFonts w:cstheme="majorBidi"/>
                <w:b/>
                <w:color w:val="000000"/>
              </w:rPr>
            </w:pPr>
            <w:r w:rsidRPr="00351E1C">
              <w:rPr>
                <w:rFonts w:cstheme="majorBidi"/>
                <w:b/>
                <w:color w:val="000000"/>
              </w:rPr>
              <w:t>March</w:t>
            </w:r>
          </w:p>
        </w:tc>
        <w:tc>
          <w:tcPr>
            <w:tcW w:w="960" w:type="dxa"/>
            <w:shd w:val="clear" w:color="auto" w:fill="auto"/>
            <w:noWrap/>
            <w:vAlign w:val="center"/>
          </w:tcPr>
          <w:p w:rsidR="00A1671B" w:rsidRPr="00351E1C" w:rsidRDefault="00A1671B" w:rsidP="00351E1C">
            <w:pPr>
              <w:jc w:val="center"/>
              <w:rPr>
                <w:rFonts w:cstheme="majorBidi"/>
                <w:b/>
                <w:color w:val="000000"/>
              </w:rPr>
            </w:pPr>
            <w:r w:rsidRPr="00351E1C">
              <w:rPr>
                <w:rFonts w:cstheme="majorBidi"/>
                <w:b/>
                <w:color w:val="000000"/>
              </w:rPr>
              <w:t>April</w:t>
            </w:r>
          </w:p>
        </w:tc>
        <w:tc>
          <w:tcPr>
            <w:tcW w:w="960" w:type="dxa"/>
            <w:shd w:val="clear" w:color="auto" w:fill="auto"/>
            <w:noWrap/>
            <w:vAlign w:val="center"/>
          </w:tcPr>
          <w:p w:rsidR="00A1671B" w:rsidRPr="00351E1C" w:rsidRDefault="00A1671B" w:rsidP="00351E1C">
            <w:pPr>
              <w:jc w:val="center"/>
              <w:rPr>
                <w:rFonts w:cstheme="majorBidi"/>
                <w:b/>
                <w:color w:val="000000"/>
              </w:rPr>
            </w:pPr>
            <w:r w:rsidRPr="00351E1C">
              <w:rPr>
                <w:rFonts w:cstheme="majorBidi"/>
                <w:b/>
                <w:color w:val="000000"/>
              </w:rPr>
              <w:t>May</w:t>
            </w:r>
          </w:p>
        </w:tc>
        <w:tc>
          <w:tcPr>
            <w:tcW w:w="960" w:type="dxa"/>
            <w:shd w:val="clear" w:color="auto" w:fill="auto"/>
            <w:noWrap/>
            <w:vAlign w:val="center"/>
          </w:tcPr>
          <w:p w:rsidR="00A1671B" w:rsidRPr="00351E1C" w:rsidRDefault="00A1671B" w:rsidP="00351E1C">
            <w:pPr>
              <w:jc w:val="center"/>
              <w:rPr>
                <w:rFonts w:cstheme="majorBidi"/>
                <w:b/>
                <w:color w:val="000000"/>
              </w:rPr>
            </w:pPr>
            <w:r w:rsidRPr="00351E1C">
              <w:rPr>
                <w:rFonts w:cstheme="majorBidi"/>
                <w:b/>
                <w:color w:val="000000"/>
              </w:rPr>
              <w:t>June</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07010104-10001</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07010104-10003</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0.004</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0.011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0.009</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0.008</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07010203-10005</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07010206-10009</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0.007</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0.010</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07010206-10011</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0.004</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0.005</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0.007</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07010206-10013</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0.004</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0.005</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07010206-20009</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07010206-20011</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0.006</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0.007</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07010206-20015</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0.004</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07010206-20017</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07010206-20019</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0.004</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07010206-20021</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0.004</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0.007</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07010206-20023</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07020012-20001</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0.019</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0.011</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0.009</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0.010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0.010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0.023</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0.031</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07020012-20007</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0.092</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0.036</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0.034</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0.053</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0.050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0.071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0.064</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07030005-30001</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0.004</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07030005-30002</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0.005</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0.005</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07030005-30003</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0.004</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07030005-30004</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0.004</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0.009</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0.007</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07040001-30007</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0.017</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07040001-40001</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0.012</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0.006</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0.009</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0.015</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0.041</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07040001-40017</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07040002-40007</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0.026</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0.003</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0.026</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0.116</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0.057</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0.108</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07040003-40015</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r>
      <w:tr w:rsidR="00A1671B" w:rsidRPr="00854E06" w:rsidTr="00351E1C">
        <w:trPr>
          <w:trHeight w:val="300"/>
          <w:jc w:val="center"/>
        </w:trPr>
        <w:tc>
          <w:tcPr>
            <w:tcW w:w="2250" w:type="dxa"/>
            <w:shd w:val="clear" w:color="auto" w:fill="auto"/>
            <w:noWrap/>
            <w:vAlign w:val="bottom"/>
          </w:tcPr>
          <w:p w:rsidR="00A1671B" w:rsidRPr="00854E06" w:rsidRDefault="00A1671B" w:rsidP="003A34C6">
            <w:pPr>
              <w:rPr>
                <w:rFonts w:cstheme="majorBidi"/>
                <w:color w:val="000000"/>
              </w:rPr>
            </w:pPr>
            <w:r w:rsidRPr="00854E06">
              <w:rPr>
                <w:rFonts w:cstheme="majorBidi"/>
                <w:color w:val="000000"/>
              </w:rPr>
              <w:t>07040003-50007</w:t>
            </w:r>
          </w:p>
        </w:tc>
        <w:tc>
          <w:tcPr>
            <w:tcW w:w="977"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A1671B" w:rsidRPr="00854E06" w:rsidRDefault="00A1671B" w:rsidP="003A34C6">
            <w:pPr>
              <w:jc w:val="right"/>
              <w:rPr>
                <w:rFonts w:cstheme="majorBidi"/>
                <w:color w:val="000000"/>
              </w:rPr>
            </w:pPr>
            <w:r w:rsidRPr="00854E06">
              <w:rPr>
                <w:rFonts w:cstheme="majorBidi"/>
                <w:color w:val="000000"/>
              </w:rPr>
              <w:t>0.000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07040004-50001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0.005</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0.034</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07040006-70001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0.003</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0.004</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0.004</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0.005</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0.008</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0.009</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07040006-80001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0.002</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0.003</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0.009</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0.017</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0.019</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07040006-80009</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0.048</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0.050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07040007-70005</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0.007</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0.141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0.108</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0.014</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0.054</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07040007-70007</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0.002</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0.004</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07040008-80003</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0.013</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07040008-80005</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0.006</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0.007</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0.004</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07050005-40011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0.003</w:t>
            </w:r>
          </w:p>
        </w:tc>
      </w:tr>
    </w:tbl>
    <w:p w:rsidR="00351E1C" w:rsidRDefault="00351E1C" w:rsidP="00351E1C">
      <w:pPr>
        <w:jc w:val="center"/>
        <w:rPr>
          <w:b/>
        </w:rPr>
      </w:pPr>
    </w:p>
    <w:p w:rsidR="00351E1C" w:rsidRDefault="00351E1C" w:rsidP="00351E1C">
      <w:pPr>
        <w:jc w:val="center"/>
        <w:rPr>
          <w:b/>
        </w:rPr>
      </w:pPr>
    </w:p>
    <w:p w:rsidR="00C03D43" w:rsidRDefault="00351E1C" w:rsidP="00351E1C">
      <w:pPr>
        <w:jc w:val="center"/>
      </w:pPr>
      <w:r w:rsidRPr="00351E1C">
        <w:rPr>
          <w:b/>
        </w:rPr>
        <w:lastRenderedPageBreak/>
        <w:t>Appendix A2</w:t>
      </w:r>
      <w:r>
        <w:t xml:space="preserve"> </w:t>
      </w:r>
      <w:r w:rsidRPr="00351E1C">
        <w:rPr>
          <w:i/>
        </w:rPr>
        <w:t>continued</w:t>
      </w:r>
      <w:r>
        <w:t>.</w:t>
      </w:r>
    </w:p>
    <w:p w:rsidR="00351E1C" w:rsidRDefault="00351E1C" w:rsidP="001021C0"/>
    <w:tbl>
      <w:tblPr>
        <w:tblW w:w="9327" w:type="dxa"/>
        <w:jc w:val="center"/>
        <w:tblInd w:w="-1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977"/>
        <w:gridCol w:w="1070"/>
        <w:gridCol w:w="1190"/>
        <w:gridCol w:w="960"/>
        <w:gridCol w:w="960"/>
        <w:gridCol w:w="960"/>
        <w:gridCol w:w="960"/>
      </w:tblGrid>
      <w:tr w:rsidR="00351E1C" w:rsidRPr="00854E06" w:rsidTr="00351E1C">
        <w:trPr>
          <w:trHeight w:val="300"/>
          <w:jc w:val="center"/>
        </w:trPr>
        <w:tc>
          <w:tcPr>
            <w:tcW w:w="2250" w:type="dxa"/>
            <w:shd w:val="clear" w:color="auto" w:fill="auto"/>
            <w:noWrap/>
            <w:vAlign w:val="bottom"/>
          </w:tcPr>
          <w:p w:rsidR="00351E1C" w:rsidRPr="00351E1C" w:rsidRDefault="00351E1C" w:rsidP="003C0F07">
            <w:pPr>
              <w:ind w:right="-426"/>
              <w:rPr>
                <w:rFonts w:cstheme="majorBidi"/>
                <w:b/>
                <w:color w:val="000000"/>
              </w:rPr>
            </w:pPr>
            <w:r w:rsidRPr="00351E1C">
              <w:rPr>
                <w:rFonts w:cstheme="majorBidi"/>
                <w:b/>
                <w:color w:val="000000"/>
              </w:rPr>
              <w:t xml:space="preserve">Station </w:t>
            </w:r>
          </w:p>
          <w:p w:rsidR="00351E1C" w:rsidRPr="00351E1C" w:rsidRDefault="00351E1C" w:rsidP="003C0F07">
            <w:pPr>
              <w:rPr>
                <w:rFonts w:cstheme="majorBidi"/>
                <w:b/>
                <w:color w:val="000000"/>
              </w:rPr>
            </w:pPr>
            <w:r w:rsidRPr="00351E1C">
              <w:rPr>
                <w:rFonts w:cstheme="majorBidi"/>
                <w:b/>
                <w:color w:val="000000"/>
              </w:rPr>
              <w:t xml:space="preserve">(HUC – </w:t>
            </w:r>
            <w:proofErr w:type="spellStart"/>
            <w:r w:rsidRPr="00351E1C">
              <w:rPr>
                <w:rFonts w:cstheme="majorBidi"/>
                <w:b/>
                <w:color w:val="000000"/>
              </w:rPr>
              <w:t>Sitecode</w:t>
            </w:r>
            <w:proofErr w:type="spellEnd"/>
            <w:r w:rsidRPr="00351E1C">
              <w:rPr>
                <w:rFonts w:cstheme="majorBidi"/>
                <w:b/>
                <w:color w:val="000000"/>
              </w:rPr>
              <w:t>)</w:t>
            </w:r>
          </w:p>
        </w:tc>
        <w:tc>
          <w:tcPr>
            <w:tcW w:w="977" w:type="dxa"/>
            <w:shd w:val="clear" w:color="auto" w:fill="auto"/>
            <w:noWrap/>
            <w:vAlign w:val="center"/>
          </w:tcPr>
          <w:p w:rsidR="00351E1C" w:rsidRPr="00351E1C" w:rsidRDefault="00351E1C" w:rsidP="003C0F07">
            <w:pPr>
              <w:jc w:val="center"/>
              <w:rPr>
                <w:rFonts w:cstheme="majorBidi"/>
                <w:b/>
                <w:color w:val="000000"/>
              </w:rPr>
            </w:pPr>
            <w:r w:rsidRPr="00351E1C">
              <w:rPr>
                <w:rFonts w:cstheme="majorBidi"/>
                <w:b/>
                <w:color w:val="000000"/>
              </w:rPr>
              <w:t>Annual</w:t>
            </w:r>
          </w:p>
        </w:tc>
        <w:tc>
          <w:tcPr>
            <w:tcW w:w="1070" w:type="dxa"/>
            <w:shd w:val="clear" w:color="auto" w:fill="auto"/>
            <w:noWrap/>
            <w:vAlign w:val="center"/>
          </w:tcPr>
          <w:p w:rsidR="00351E1C" w:rsidRPr="00351E1C" w:rsidRDefault="00351E1C" w:rsidP="003C0F07">
            <w:pPr>
              <w:jc w:val="center"/>
              <w:rPr>
                <w:rFonts w:cstheme="majorBidi"/>
                <w:b/>
                <w:color w:val="000000"/>
              </w:rPr>
            </w:pPr>
            <w:r w:rsidRPr="00351E1C">
              <w:rPr>
                <w:rFonts w:cstheme="majorBidi"/>
                <w:b/>
                <w:color w:val="000000"/>
              </w:rPr>
              <w:t>January</w:t>
            </w:r>
          </w:p>
        </w:tc>
        <w:tc>
          <w:tcPr>
            <w:tcW w:w="1190" w:type="dxa"/>
            <w:shd w:val="clear" w:color="auto" w:fill="auto"/>
            <w:noWrap/>
            <w:vAlign w:val="center"/>
          </w:tcPr>
          <w:p w:rsidR="00351E1C" w:rsidRPr="00351E1C" w:rsidRDefault="00351E1C" w:rsidP="003C0F07">
            <w:pPr>
              <w:jc w:val="center"/>
              <w:rPr>
                <w:rFonts w:cstheme="majorBidi"/>
                <w:b/>
                <w:color w:val="000000"/>
              </w:rPr>
            </w:pPr>
            <w:r w:rsidRPr="00351E1C">
              <w:rPr>
                <w:rFonts w:cstheme="majorBidi"/>
                <w:b/>
                <w:color w:val="000000"/>
              </w:rPr>
              <w:t>February</w:t>
            </w:r>
          </w:p>
        </w:tc>
        <w:tc>
          <w:tcPr>
            <w:tcW w:w="960" w:type="dxa"/>
            <w:shd w:val="clear" w:color="auto" w:fill="auto"/>
            <w:noWrap/>
            <w:vAlign w:val="center"/>
          </w:tcPr>
          <w:p w:rsidR="00351E1C" w:rsidRPr="00351E1C" w:rsidRDefault="00351E1C" w:rsidP="003C0F07">
            <w:pPr>
              <w:jc w:val="center"/>
              <w:rPr>
                <w:rFonts w:cstheme="majorBidi"/>
                <w:b/>
                <w:color w:val="000000"/>
              </w:rPr>
            </w:pPr>
            <w:r w:rsidRPr="00351E1C">
              <w:rPr>
                <w:rFonts w:cstheme="majorBidi"/>
                <w:b/>
                <w:color w:val="000000"/>
              </w:rPr>
              <w:t>March</w:t>
            </w:r>
          </w:p>
        </w:tc>
        <w:tc>
          <w:tcPr>
            <w:tcW w:w="960" w:type="dxa"/>
            <w:shd w:val="clear" w:color="auto" w:fill="auto"/>
            <w:noWrap/>
            <w:vAlign w:val="center"/>
          </w:tcPr>
          <w:p w:rsidR="00351E1C" w:rsidRPr="00351E1C" w:rsidRDefault="00351E1C" w:rsidP="003C0F07">
            <w:pPr>
              <w:jc w:val="center"/>
              <w:rPr>
                <w:rFonts w:cstheme="majorBidi"/>
                <w:b/>
                <w:color w:val="000000"/>
              </w:rPr>
            </w:pPr>
            <w:r w:rsidRPr="00351E1C">
              <w:rPr>
                <w:rFonts w:cstheme="majorBidi"/>
                <w:b/>
                <w:color w:val="000000"/>
              </w:rPr>
              <w:t>April</w:t>
            </w:r>
          </w:p>
        </w:tc>
        <w:tc>
          <w:tcPr>
            <w:tcW w:w="960" w:type="dxa"/>
            <w:shd w:val="clear" w:color="auto" w:fill="auto"/>
            <w:noWrap/>
            <w:vAlign w:val="center"/>
          </w:tcPr>
          <w:p w:rsidR="00351E1C" w:rsidRPr="00351E1C" w:rsidRDefault="00351E1C" w:rsidP="003C0F07">
            <w:pPr>
              <w:jc w:val="center"/>
              <w:rPr>
                <w:rFonts w:cstheme="majorBidi"/>
                <w:b/>
                <w:color w:val="000000"/>
              </w:rPr>
            </w:pPr>
            <w:r w:rsidRPr="00351E1C">
              <w:rPr>
                <w:rFonts w:cstheme="majorBidi"/>
                <w:b/>
                <w:color w:val="000000"/>
              </w:rPr>
              <w:t>May</w:t>
            </w:r>
          </w:p>
        </w:tc>
        <w:tc>
          <w:tcPr>
            <w:tcW w:w="960" w:type="dxa"/>
            <w:shd w:val="clear" w:color="auto" w:fill="auto"/>
            <w:noWrap/>
            <w:vAlign w:val="center"/>
          </w:tcPr>
          <w:p w:rsidR="00351E1C" w:rsidRPr="00351E1C" w:rsidRDefault="00351E1C" w:rsidP="003C0F07">
            <w:pPr>
              <w:jc w:val="center"/>
              <w:rPr>
                <w:rFonts w:cstheme="majorBidi"/>
                <w:b/>
                <w:color w:val="000000"/>
              </w:rPr>
            </w:pPr>
            <w:r w:rsidRPr="00351E1C">
              <w:rPr>
                <w:rFonts w:cstheme="majorBidi"/>
                <w:b/>
                <w:color w:val="000000"/>
              </w:rPr>
              <w:t>June</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07050005-40013</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07060001-80007</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0.039</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0.044</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0.051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0.208</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0.045</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0.046</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0.052</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07060001-80011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0.027</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0.024</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07060003-110001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0.053</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0.007</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0.008</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0.008</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0.019</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0.024</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07060005-130002</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0.023</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0.006</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0.006</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0.032</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07070005-100001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07080101-140003</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07080101-140005</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0.190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07080104-190003</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07080107-190001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0.048</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0.004</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0.006</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0.019</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07080209-180001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0.013</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0.002</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0.014</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0.018</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0.018</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0.018</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07090005-160001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0.009</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0.014</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0.007</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0.006</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0.007</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0.009</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07100006-200003</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0.025</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0.009</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0.013</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0.016</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0.024</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0.026</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07100009-200001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0.028</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0.009</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0.013</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0.018</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0.015</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0.013</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07110004-250001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07110007-240001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0.039</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0.091</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0.070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0.036</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0.079</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07110008-260001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0.144</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0.006</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0.009</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0.014</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0.005</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0.009</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07110008-260003</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0.110</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0.027</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0.016</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0.013</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0.022</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0.051</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07110009-260009</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0.005</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07110009-260011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07110009-260013</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07130005-260015</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0.236</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0.095</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0.084</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0.081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0.080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0.081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0.127</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07130008-260017</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0.032</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0.004</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0.006</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0.005</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0.005</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0.005</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07130011-260005</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0.018</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0.012</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07130011-260007</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0.126</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0.151</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0.102</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0.131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0.124</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07140102-280001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0.007</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0.004</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0.003</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0.004</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0.006</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0.006</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0.007</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07140105-300001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07140106-290001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0.254</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0.087</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0.194</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0.200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0.239</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0.208</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0.147</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07140204-280003</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0.079</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0.037</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0.045</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0.036</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0.059</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0.071</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0.095</w:t>
            </w:r>
          </w:p>
        </w:tc>
      </w:tr>
      <w:tr w:rsidR="00351E1C" w:rsidRPr="00854E06" w:rsidTr="00351E1C">
        <w:trPr>
          <w:trHeight w:val="300"/>
          <w:jc w:val="center"/>
        </w:trPr>
        <w:tc>
          <w:tcPr>
            <w:tcW w:w="2250" w:type="dxa"/>
            <w:shd w:val="clear" w:color="auto" w:fill="auto"/>
            <w:noWrap/>
            <w:vAlign w:val="bottom"/>
          </w:tcPr>
          <w:p w:rsidR="00351E1C" w:rsidRPr="00854E06" w:rsidRDefault="00351E1C" w:rsidP="003C0F07">
            <w:pPr>
              <w:rPr>
                <w:rFonts w:cstheme="majorBidi"/>
                <w:color w:val="000000"/>
              </w:rPr>
            </w:pPr>
            <w:r w:rsidRPr="00854E06">
              <w:rPr>
                <w:rFonts w:cstheme="majorBidi"/>
                <w:color w:val="000000"/>
              </w:rPr>
              <w:t>10300200-270001</w:t>
            </w:r>
          </w:p>
        </w:tc>
        <w:tc>
          <w:tcPr>
            <w:tcW w:w="977"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0.005</w:t>
            </w:r>
          </w:p>
        </w:tc>
        <w:tc>
          <w:tcPr>
            <w:tcW w:w="107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119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6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bl>
    <w:p w:rsidR="00351E1C" w:rsidRDefault="00351E1C" w:rsidP="001021C0"/>
    <w:p w:rsidR="00351E1C" w:rsidRDefault="00351E1C" w:rsidP="001021C0"/>
    <w:p w:rsidR="00351E1C" w:rsidRDefault="00351E1C" w:rsidP="001021C0"/>
    <w:p w:rsidR="00351E1C" w:rsidRDefault="00351E1C" w:rsidP="001021C0"/>
    <w:p w:rsidR="00351E1C" w:rsidRDefault="00351E1C" w:rsidP="001021C0"/>
    <w:p w:rsidR="00351E1C" w:rsidRDefault="00351E1C" w:rsidP="001021C0"/>
    <w:p w:rsidR="00351E1C" w:rsidRDefault="00351E1C" w:rsidP="001021C0"/>
    <w:p w:rsidR="00351E1C" w:rsidRDefault="00351E1C" w:rsidP="001021C0"/>
    <w:p w:rsidR="00351E1C" w:rsidRDefault="00351E1C" w:rsidP="00351E1C">
      <w:pPr>
        <w:jc w:val="center"/>
        <w:rPr>
          <w:rFonts w:cstheme="majorBidi"/>
          <w:b/>
          <w:bCs/>
        </w:rPr>
      </w:pPr>
      <w:proofErr w:type="gramStart"/>
      <w:r>
        <w:rPr>
          <w:rFonts w:cstheme="majorBidi"/>
          <w:b/>
          <w:bCs/>
        </w:rPr>
        <w:lastRenderedPageBreak/>
        <w:t>Appendix</w:t>
      </w:r>
      <w:r w:rsidRPr="00854E06">
        <w:rPr>
          <w:rFonts w:cstheme="majorBidi"/>
          <w:b/>
          <w:bCs/>
        </w:rPr>
        <w:t xml:space="preserve"> A</w:t>
      </w:r>
      <w:r>
        <w:rPr>
          <w:rFonts w:cstheme="majorBidi"/>
          <w:b/>
          <w:bCs/>
        </w:rPr>
        <w:t>3</w:t>
      </w:r>
      <w:r w:rsidRPr="00854E06">
        <w:rPr>
          <w:rFonts w:cstheme="majorBidi"/>
          <w:b/>
          <w:bCs/>
        </w:rPr>
        <w:t>.</w:t>
      </w:r>
      <w:proofErr w:type="gramEnd"/>
      <w:r w:rsidRPr="00854E06">
        <w:rPr>
          <w:rFonts w:cstheme="majorBidi"/>
          <w:b/>
          <w:bCs/>
        </w:rPr>
        <w:t xml:space="preserve"> Results of the annual and monthly rating coefficient </w:t>
      </w:r>
      <m:oMath>
        <m:r>
          <m:rPr>
            <m:sty m:val="bi"/>
          </m:rPr>
          <w:rPr>
            <w:rFonts w:ascii="Cambria Math" w:hAnsi="Cambria Math" w:cstheme="majorBidi"/>
          </w:rPr>
          <m:t>a</m:t>
        </m:r>
      </m:oMath>
      <w:r>
        <w:rPr>
          <w:rFonts w:cstheme="majorBidi"/>
          <w:b/>
          <w:bCs/>
        </w:rPr>
        <w:t xml:space="preserve"> at 64</w:t>
      </w:r>
      <w:r w:rsidRPr="00854E06">
        <w:rPr>
          <w:rFonts w:cstheme="majorBidi"/>
          <w:b/>
          <w:bCs/>
        </w:rPr>
        <w:t xml:space="preserve"> gauging stations in the UMRB</w:t>
      </w:r>
      <w:r>
        <w:rPr>
          <w:rFonts w:cstheme="majorBidi"/>
          <w:b/>
          <w:bCs/>
        </w:rPr>
        <w:t xml:space="preserve"> </w:t>
      </w:r>
    </w:p>
    <w:p w:rsidR="00351E1C" w:rsidRDefault="00351E1C" w:rsidP="00351E1C">
      <w:pPr>
        <w:jc w:val="center"/>
        <w:rPr>
          <w:rFonts w:cstheme="majorBidi"/>
          <w:b/>
          <w:bCs/>
        </w:rPr>
      </w:pPr>
      <w:r>
        <w:rPr>
          <w:rFonts w:cstheme="majorBidi"/>
          <w:b/>
          <w:bCs/>
        </w:rPr>
        <w:t>(</w:t>
      </w:r>
      <w:proofErr w:type="gramStart"/>
      <w:r>
        <w:rPr>
          <w:rFonts w:cstheme="majorBidi"/>
          <w:b/>
          <w:bCs/>
        </w:rPr>
        <w:t>at</w:t>
      </w:r>
      <w:proofErr w:type="gramEnd"/>
      <w:r>
        <w:rPr>
          <w:rFonts w:cstheme="majorBidi"/>
          <w:b/>
          <w:bCs/>
        </w:rPr>
        <w:t xml:space="preserve"> monthly level from July to December)</w:t>
      </w:r>
    </w:p>
    <w:p w:rsidR="00351E1C" w:rsidRPr="00854E06" w:rsidRDefault="00351E1C" w:rsidP="001021C0"/>
    <w:tbl>
      <w:tblPr>
        <w:tblW w:w="9098" w:type="dxa"/>
        <w:jc w:val="center"/>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4"/>
        <w:gridCol w:w="756"/>
        <w:gridCol w:w="950"/>
        <w:gridCol w:w="1323"/>
        <w:gridCol w:w="1056"/>
        <w:gridCol w:w="1283"/>
        <w:gridCol w:w="1256"/>
      </w:tblGrid>
      <w:tr w:rsidR="00A1671B" w:rsidRPr="00854E06" w:rsidTr="00351E1C">
        <w:trPr>
          <w:trHeight w:val="330"/>
          <w:jc w:val="center"/>
        </w:trPr>
        <w:tc>
          <w:tcPr>
            <w:tcW w:w="2474" w:type="dxa"/>
            <w:vAlign w:val="bottom"/>
          </w:tcPr>
          <w:p w:rsidR="00A1671B" w:rsidRPr="00351E1C" w:rsidRDefault="00A1671B" w:rsidP="00A1671B">
            <w:pPr>
              <w:rPr>
                <w:rFonts w:cstheme="majorBidi"/>
                <w:b/>
                <w:color w:val="000000"/>
              </w:rPr>
            </w:pPr>
            <w:r w:rsidRPr="00351E1C">
              <w:rPr>
                <w:rFonts w:cstheme="majorBidi"/>
                <w:b/>
                <w:color w:val="000000"/>
              </w:rPr>
              <w:t xml:space="preserve">Station </w:t>
            </w:r>
          </w:p>
          <w:p w:rsidR="00A1671B" w:rsidRPr="00351E1C" w:rsidRDefault="00A1671B" w:rsidP="00A1671B">
            <w:pPr>
              <w:rPr>
                <w:rFonts w:cstheme="majorBidi"/>
                <w:b/>
                <w:color w:val="000000"/>
              </w:rPr>
            </w:pPr>
            <w:r w:rsidRPr="00351E1C">
              <w:rPr>
                <w:rFonts w:cstheme="majorBidi"/>
                <w:b/>
                <w:color w:val="000000"/>
              </w:rPr>
              <w:t xml:space="preserve">(HUC – </w:t>
            </w:r>
            <w:proofErr w:type="spellStart"/>
            <w:r w:rsidRPr="00351E1C">
              <w:rPr>
                <w:rFonts w:cstheme="majorBidi"/>
                <w:b/>
                <w:color w:val="000000"/>
              </w:rPr>
              <w:t>Sitecode</w:t>
            </w:r>
            <w:proofErr w:type="spellEnd"/>
            <w:r w:rsidRPr="00351E1C">
              <w:rPr>
                <w:rFonts w:cstheme="majorBidi"/>
                <w:b/>
                <w:color w:val="000000"/>
              </w:rPr>
              <w:t>)</w:t>
            </w:r>
          </w:p>
        </w:tc>
        <w:tc>
          <w:tcPr>
            <w:tcW w:w="756" w:type="dxa"/>
            <w:shd w:val="clear" w:color="auto" w:fill="auto"/>
            <w:noWrap/>
            <w:vAlign w:val="center"/>
          </w:tcPr>
          <w:p w:rsidR="00A1671B" w:rsidRPr="00351E1C" w:rsidRDefault="00A1671B" w:rsidP="00A1671B">
            <w:pPr>
              <w:rPr>
                <w:rFonts w:cstheme="majorBidi"/>
                <w:b/>
                <w:color w:val="000000"/>
              </w:rPr>
            </w:pPr>
            <w:r w:rsidRPr="00351E1C">
              <w:rPr>
                <w:rFonts w:cstheme="majorBidi"/>
                <w:b/>
                <w:color w:val="000000"/>
              </w:rPr>
              <w:t>July</w:t>
            </w:r>
          </w:p>
        </w:tc>
        <w:tc>
          <w:tcPr>
            <w:tcW w:w="950" w:type="dxa"/>
            <w:shd w:val="clear" w:color="auto" w:fill="auto"/>
            <w:noWrap/>
            <w:vAlign w:val="center"/>
          </w:tcPr>
          <w:p w:rsidR="00A1671B" w:rsidRPr="00351E1C" w:rsidRDefault="00A1671B" w:rsidP="00A1671B">
            <w:pPr>
              <w:rPr>
                <w:rFonts w:cstheme="majorBidi"/>
                <w:b/>
                <w:color w:val="000000"/>
              </w:rPr>
            </w:pPr>
            <w:r w:rsidRPr="00351E1C">
              <w:rPr>
                <w:rFonts w:cstheme="majorBidi"/>
                <w:b/>
                <w:color w:val="000000"/>
              </w:rPr>
              <w:t>August</w:t>
            </w:r>
          </w:p>
        </w:tc>
        <w:tc>
          <w:tcPr>
            <w:tcW w:w="1323" w:type="dxa"/>
            <w:shd w:val="clear" w:color="auto" w:fill="auto"/>
            <w:noWrap/>
            <w:vAlign w:val="center"/>
          </w:tcPr>
          <w:p w:rsidR="00A1671B" w:rsidRPr="00351E1C" w:rsidRDefault="00A1671B" w:rsidP="00A1671B">
            <w:pPr>
              <w:rPr>
                <w:rFonts w:cstheme="majorBidi"/>
                <w:b/>
                <w:color w:val="000000"/>
              </w:rPr>
            </w:pPr>
            <w:r w:rsidRPr="00351E1C">
              <w:rPr>
                <w:rFonts w:cstheme="majorBidi"/>
                <w:b/>
                <w:color w:val="000000"/>
              </w:rPr>
              <w:t>September</w:t>
            </w:r>
          </w:p>
        </w:tc>
        <w:tc>
          <w:tcPr>
            <w:tcW w:w="1056" w:type="dxa"/>
            <w:shd w:val="clear" w:color="auto" w:fill="auto"/>
            <w:noWrap/>
            <w:vAlign w:val="center"/>
          </w:tcPr>
          <w:p w:rsidR="00A1671B" w:rsidRPr="00351E1C" w:rsidRDefault="00A1671B" w:rsidP="00A1671B">
            <w:pPr>
              <w:rPr>
                <w:rFonts w:cstheme="majorBidi"/>
                <w:b/>
                <w:color w:val="000000"/>
              </w:rPr>
            </w:pPr>
            <w:r w:rsidRPr="00351E1C">
              <w:rPr>
                <w:rFonts w:cstheme="majorBidi"/>
                <w:b/>
                <w:color w:val="000000"/>
              </w:rPr>
              <w:t>October</w:t>
            </w:r>
          </w:p>
        </w:tc>
        <w:tc>
          <w:tcPr>
            <w:tcW w:w="1283" w:type="dxa"/>
            <w:shd w:val="clear" w:color="auto" w:fill="auto"/>
            <w:noWrap/>
            <w:vAlign w:val="center"/>
          </w:tcPr>
          <w:p w:rsidR="00A1671B" w:rsidRPr="00351E1C" w:rsidRDefault="00A1671B" w:rsidP="00A1671B">
            <w:pPr>
              <w:rPr>
                <w:rFonts w:cstheme="majorBidi"/>
                <w:b/>
                <w:color w:val="000000"/>
              </w:rPr>
            </w:pPr>
            <w:r w:rsidRPr="00351E1C">
              <w:rPr>
                <w:rFonts w:cstheme="majorBidi"/>
                <w:b/>
                <w:color w:val="000000"/>
              </w:rPr>
              <w:t>November</w:t>
            </w:r>
          </w:p>
        </w:tc>
        <w:tc>
          <w:tcPr>
            <w:tcW w:w="1256" w:type="dxa"/>
            <w:shd w:val="clear" w:color="auto" w:fill="auto"/>
            <w:noWrap/>
            <w:vAlign w:val="center"/>
          </w:tcPr>
          <w:p w:rsidR="00A1671B" w:rsidRPr="00351E1C" w:rsidRDefault="00A1671B" w:rsidP="00A1671B">
            <w:pPr>
              <w:rPr>
                <w:rFonts w:cstheme="majorBidi"/>
                <w:b/>
                <w:color w:val="000000"/>
              </w:rPr>
            </w:pPr>
            <w:r w:rsidRPr="00351E1C">
              <w:rPr>
                <w:rFonts w:cstheme="majorBidi"/>
                <w:b/>
                <w:color w:val="000000"/>
              </w:rPr>
              <w:t>December</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07010104-10001</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07010104-10003</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0.009</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0.009</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0.008</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0.007</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07010203-10005</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07010206-10009</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0.014</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0.016</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0.007</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07010206-10011</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0.012</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0.018</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0.007</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07010206-10013</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0.006</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0.006</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07010206-20009</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07010206-20011</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0.007</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0.008</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07010206-20015</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0.005</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07010206-20017</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07010206-20019</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0.007</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0.012</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0.007</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07010206-20021</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0.017</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0.020</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0.013</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0.006</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07010206-20023</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07020012-20001</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0.046</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0.050</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0.037</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0.025</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0.016</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0.012</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07020012-20007</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0.071</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0.067</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0.056</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0.046</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0.040</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0.037</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07030005-30001</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07030005-30002</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0.006</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0.008</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0.009</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07030005-30003</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07030005-30004</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0.008</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0.009</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0.005</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07040001-30007</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0.013</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07040001-40001</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0.033</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0.030</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0.033</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0.012</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0.010</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07040001-40017</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0.009</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07040002-40007</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0.068</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0.040</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0.017</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0.008</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0.015</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0.006</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07040003-40015</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07040003-50007</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07040004-50001</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07040006-70001</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0.014</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0.011</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0.009</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0.006</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0.005</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07040006-80001</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0.024</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0.022</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0.013</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0.010</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0.013</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0.005</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07040006-80009</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07040007-70005</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0.011</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0.021</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0.005</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0.005</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0.032</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07040007-70007</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07040008-80003</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07040008-80005</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0.006</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07050005-40011</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0.004</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0.003</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0.002</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0.001</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07050005-40013</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0.000</w:t>
            </w:r>
          </w:p>
        </w:tc>
      </w:tr>
      <w:tr w:rsidR="00A1671B" w:rsidRPr="00854E06" w:rsidTr="00351E1C">
        <w:trPr>
          <w:trHeight w:val="300"/>
          <w:jc w:val="center"/>
        </w:trPr>
        <w:tc>
          <w:tcPr>
            <w:tcW w:w="2474" w:type="dxa"/>
            <w:vAlign w:val="bottom"/>
          </w:tcPr>
          <w:p w:rsidR="00A1671B" w:rsidRPr="00854E06" w:rsidRDefault="00A1671B" w:rsidP="00A1671B">
            <w:pPr>
              <w:rPr>
                <w:rFonts w:cstheme="majorBidi"/>
                <w:color w:val="000000"/>
              </w:rPr>
            </w:pPr>
            <w:r w:rsidRPr="00854E06">
              <w:rPr>
                <w:rFonts w:cstheme="majorBidi"/>
                <w:color w:val="000000"/>
              </w:rPr>
              <w:t>07060001-80007</w:t>
            </w:r>
          </w:p>
        </w:tc>
        <w:tc>
          <w:tcPr>
            <w:tcW w:w="7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0.054</w:t>
            </w:r>
          </w:p>
        </w:tc>
        <w:tc>
          <w:tcPr>
            <w:tcW w:w="950"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0.040</w:t>
            </w:r>
          </w:p>
        </w:tc>
        <w:tc>
          <w:tcPr>
            <w:tcW w:w="132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0.034</w:t>
            </w:r>
          </w:p>
        </w:tc>
        <w:tc>
          <w:tcPr>
            <w:tcW w:w="10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0.031</w:t>
            </w:r>
          </w:p>
        </w:tc>
        <w:tc>
          <w:tcPr>
            <w:tcW w:w="1283"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0.025</w:t>
            </w:r>
          </w:p>
        </w:tc>
        <w:tc>
          <w:tcPr>
            <w:tcW w:w="1256" w:type="dxa"/>
            <w:shd w:val="clear" w:color="auto" w:fill="auto"/>
            <w:noWrap/>
            <w:vAlign w:val="bottom"/>
          </w:tcPr>
          <w:p w:rsidR="00A1671B" w:rsidRPr="00854E06" w:rsidRDefault="00A1671B" w:rsidP="00A1671B">
            <w:pPr>
              <w:jc w:val="right"/>
              <w:rPr>
                <w:rFonts w:cstheme="majorBidi"/>
                <w:color w:val="000000"/>
              </w:rPr>
            </w:pPr>
            <w:r w:rsidRPr="00854E06">
              <w:rPr>
                <w:rFonts w:cstheme="majorBidi"/>
                <w:color w:val="000000"/>
              </w:rPr>
              <w:t>0.031</w:t>
            </w:r>
          </w:p>
        </w:tc>
      </w:tr>
    </w:tbl>
    <w:p w:rsidR="00C03D43" w:rsidRPr="00854E06" w:rsidRDefault="00351E1C" w:rsidP="00351E1C">
      <w:pPr>
        <w:jc w:val="center"/>
      </w:pPr>
      <w:r w:rsidRPr="00351E1C">
        <w:rPr>
          <w:b/>
        </w:rPr>
        <w:lastRenderedPageBreak/>
        <w:t>Appendix A</w:t>
      </w:r>
      <w:r>
        <w:rPr>
          <w:b/>
        </w:rPr>
        <w:t>3</w:t>
      </w:r>
      <w:r>
        <w:t xml:space="preserve"> </w:t>
      </w:r>
      <w:r w:rsidRPr="00351E1C">
        <w:rPr>
          <w:i/>
        </w:rPr>
        <w:t>continued</w:t>
      </w:r>
      <w:r>
        <w:rPr>
          <w:i/>
        </w:rPr>
        <w:t>.</w:t>
      </w:r>
    </w:p>
    <w:p w:rsidR="00C03D43" w:rsidRDefault="00C03D43" w:rsidP="001021C0"/>
    <w:tbl>
      <w:tblPr>
        <w:tblW w:w="9098" w:type="dxa"/>
        <w:jc w:val="center"/>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4"/>
        <w:gridCol w:w="756"/>
        <w:gridCol w:w="950"/>
        <w:gridCol w:w="1323"/>
        <w:gridCol w:w="1056"/>
        <w:gridCol w:w="1283"/>
        <w:gridCol w:w="1256"/>
      </w:tblGrid>
      <w:tr w:rsidR="00351E1C" w:rsidRPr="00854E06" w:rsidTr="003C0F07">
        <w:trPr>
          <w:trHeight w:val="300"/>
          <w:jc w:val="center"/>
        </w:trPr>
        <w:tc>
          <w:tcPr>
            <w:tcW w:w="2474" w:type="dxa"/>
            <w:vAlign w:val="bottom"/>
          </w:tcPr>
          <w:p w:rsidR="00351E1C" w:rsidRPr="00351E1C" w:rsidRDefault="00351E1C" w:rsidP="003C0F07">
            <w:pPr>
              <w:rPr>
                <w:rFonts w:cstheme="majorBidi"/>
                <w:b/>
                <w:color w:val="000000"/>
              </w:rPr>
            </w:pPr>
            <w:r w:rsidRPr="00351E1C">
              <w:rPr>
                <w:rFonts w:cstheme="majorBidi"/>
                <w:b/>
                <w:color w:val="000000"/>
              </w:rPr>
              <w:t xml:space="preserve">Station </w:t>
            </w:r>
          </w:p>
          <w:p w:rsidR="00351E1C" w:rsidRPr="00351E1C" w:rsidRDefault="00351E1C" w:rsidP="003C0F07">
            <w:pPr>
              <w:rPr>
                <w:rFonts w:cstheme="majorBidi"/>
                <w:b/>
                <w:color w:val="000000"/>
              </w:rPr>
            </w:pPr>
            <w:r w:rsidRPr="00351E1C">
              <w:rPr>
                <w:rFonts w:cstheme="majorBidi"/>
                <w:b/>
                <w:color w:val="000000"/>
              </w:rPr>
              <w:t xml:space="preserve">(HUC – </w:t>
            </w:r>
            <w:proofErr w:type="spellStart"/>
            <w:r w:rsidRPr="00351E1C">
              <w:rPr>
                <w:rFonts w:cstheme="majorBidi"/>
                <w:b/>
                <w:color w:val="000000"/>
              </w:rPr>
              <w:t>Sitecode</w:t>
            </w:r>
            <w:proofErr w:type="spellEnd"/>
            <w:r w:rsidRPr="00351E1C">
              <w:rPr>
                <w:rFonts w:cstheme="majorBidi"/>
                <w:b/>
                <w:color w:val="000000"/>
              </w:rPr>
              <w:t>)</w:t>
            </w:r>
          </w:p>
        </w:tc>
        <w:tc>
          <w:tcPr>
            <w:tcW w:w="756" w:type="dxa"/>
            <w:shd w:val="clear" w:color="auto" w:fill="auto"/>
            <w:noWrap/>
            <w:vAlign w:val="center"/>
          </w:tcPr>
          <w:p w:rsidR="00351E1C" w:rsidRPr="00351E1C" w:rsidRDefault="00351E1C" w:rsidP="003C0F07">
            <w:pPr>
              <w:rPr>
                <w:rFonts w:cstheme="majorBidi"/>
                <w:b/>
                <w:color w:val="000000"/>
              </w:rPr>
            </w:pPr>
            <w:r w:rsidRPr="00351E1C">
              <w:rPr>
                <w:rFonts w:cstheme="majorBidi"/>
                <w:b/>
                <w:color w:val="000000"/>
              </w:rPr>
              <w:t>July</w:t>
            </w:r>
          </w:p>
        </w:tc>
        <w:tc>
          <w:tcPr>
            <w:tcW w:w="950" w:type="dxa"/>
            <w:shd w:val="clear" w:color="auto" w:fill="auto"/>
            <w:noWrap/>
            <w:vAlign w:val="center"/>
          </w:tcPr>
          <w:p w:rsidR="00351E1C" w:rsidRPr="00351E1C" w:rsidRDefault="00351E1C" w:rsidP="003C0F07">
            <w:pPr>
              <w:rPr>
                <w:rFonts w:cstheme="majorBidi"/>
                <w:b/>
                <w:color w:val="000000"/>
              </w:rPr>
            </w:pPr>
            <w:r w:rsidRPr="00351E1C">
              <w:rPr>
                <w:rFonts w:cstheme="majorBidi"/>
                <w:b/>
                <w:color w:val="000000"/>
              </w:rPr>
              <w:t>August</w:t>
            </w:r>
          </w:p>
        </w:tc>
        <w:tc>
          <w:tcPr>
            <w:tcW w:w="1323" w:type="dxa"/>
            <w:shd w:val="clear" w:color="auto" w:fill="auto"/>
            <w:noWrap/>
            <w:vAlign w:val="center"/>
          </w:tcPr>
          <w:p w:rsidR="00351E1C" w:rsidRPr="00351E1C" w:rsidRDefault="00351E1C" w:rsidP="003C0F07">
            <w:pPr>
              <w:rPr>
                <w:rFonts w:cstheme="majorBidi"/>
                <w:b/>
                <w:color w:val="000000"/>
              </w:rPr>
            </w:pPr>
            <w:r w:rsidRPr="00351E1C">
              <w:rPr>
                <w:rFonts w:cstheme="majorBidi"/>
                <w:b/>
                <w:color w:val="000000"/>
              </w:rPr>
              <w:t>September</w:t>
            </w:r>
          </w:p>
        </w:tc>
        <w:tc>
          <w:tcPr>
            <w:tcW w:w="1056" w:type="dxa"/>
            <w:shd w:val="clear" w:color="auto" w:fill="auto"/>
            <w:noWrap/>
            <w:vAlign w:val="center"/>
          </w:tcPr>
          <w:p w:rsidR="00351E1C" w:rsidRPr="00351E1C" w:rsidRDefault="00351E1C" w:rsidP="003C0F07">
            <w:pPr>
              <w:rPr>
                <w:rFonts w:cstheme="majorBidi"/>
                <w:b/>
                <w:color w:val="000000"/>
              </w:rPr>
            </w:pPr>
            <w:r w:rsidRPr="00351E1C">
              <w:rPr>
                <w:rFonts w:cstheme="majorBidi"/>
                <w:b/>
                <w:color w:val="000000"/>
              </w:rPr>
              <w:t>October</w:t>
            </w:r>
          </w:p>
        </w:tc>
        <w:tc>
          <w:tcPr>
            <w:tcW w:w="1283" w:type="dxa"/>
            <w:shd w:val="clear" w:color="auto" w:fill="auto"/>
            <w:noWrap/>
            <w:vAlign w:val="center"/>
          </w:tcPr>
          <w:p w:rsidR="00351E1C" w:rsidRPr="00351E1C" w:rsidRDefault="00351E1C" w:rsidP="003C0F07">
            <w:pPr>
              <w:rPr>
                <w:rFonts w:cstheme="majorBidi"/>
                <w:b/>
                <w:color w:val="000000"/>
              </w:rPr>
            </w:pPr>
            <w:r w:rsidRPr="00351E1C">
              <w:rPr>
                <w:rFonts w:cstheme="majorBidi"/>
                <w:b/>
                <w:color w:val="000000"/>
              </w:rPr>
              <w:t>November</w:t>
            </w:r>
          </w:p>
        </w:tc>
        <w:tc>
          <w:tcPr>
            <w:tcW w:w="1256" w:type="dxa"/>
            <w:shd w:val="clear" w:color="auto" w:fill="auto"/>
            <w:noWrap/>
            <w:vAlign w:val="center"/>
          </w:tcPr>
          <w:p w:rsidR="00351E1C" w:rsidRPr="00351E1C" w:rsidRDefault="00351E1C" w:rsidP="003C0F07">
            <w:pPr>
              <w:rPr>
                <w:rFonts w:cstheme="majorBidi"/>
                <w:b/>
                <w:color w:val="000000"/>
              </w:rPr>
            </w:pPr>
            <w:r w:rsidRPr="00351E1C">
              <w:rPr>
                <w:rFonts w:cstheme="majorBidi"/>
                <w:b/>
                <w:color w:val="000000"/>
              </w:rPr>
              <w:t>December</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07060001-80011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07060003-110001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0.038</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0.039</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0.038</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0.020</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0.015</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0.012</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07060005-130002</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0.025</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0.027</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0.019</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0.014</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0.009</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0.007</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07070005-100001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07080101-140003</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07080101-140005</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07080104-190003</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07080107-190001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0.023</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0.020</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0.013</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0.008</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0.005</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0.004</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07080209-180001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0.019</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0.012</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0.006</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0.003</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0.002</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07090005-160001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0.012</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0.012</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0.008</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0.008</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0.009</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0.007</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07100006-200003</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0.027</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0.023</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0.016</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0.014</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0.009</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07100009-200001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0.015</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0.018</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0.010</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0.012</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0.014</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07110004-250001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07110007-240001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0.179</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0.133</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0.114</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0.104</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0.109</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0.099</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07110008-260001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0.020</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0.031</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0.033</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0.027</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0.028</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0.025</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07110008-260003</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0.072</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0.091</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0.097</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0.072</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0.069</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0.048</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07110009-260009</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0.001</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07110009-260011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07110009-260013</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07130005-260015</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0.185</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0.165</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0.148</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0.102</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0.079</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0.072</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07130008-260017</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0.012</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0.008</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0.007</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0.005</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0.005</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0.004</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07130011-260005</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0.010</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0.011</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07130011-260007</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0.028</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0.021</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0.016</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0.019</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0.076</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0.065</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07140102-280001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0.006</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0.005</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0.007</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0.005</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0.005</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0.003</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07140105-300001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07140106-290001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0.119</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0.061</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0.071</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0.065</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0.092</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0.085</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07140204-280003</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0.120</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0.103</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0.090</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0.068</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0.057</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0.047</w:t>
            </w:r>
          </w:p>
        </w:tc>
      </w:tr>
      <w:tr w:rsidR="00351E1C" w:rsidRPr="00854E06" w:rsidTr="003C0F07">
        <w:trPr>
          <w:trHeight w:val="300"/>
          <w:jc w:val="center"/>
        </w:trPr>
        <w:tc>
          <w:tcPr>
            <w:tcW w:w="2474" w:type="dxa"/>
            <w:vAlign w:val="bottom"/>
          </w:tcPr>
          <w:p w:rsidR="00351E1C" w:rsidRPr="00854E06" w:rsidRDefault="00351E1C" w:rsidP="003C0F07">
            <w:pPr>
              <w:rPr>
                <w:rFonts w:cstheme="majorBidi"/>
                <w:color w:val="000000"/>
              </w:rPr>
            </w:pPr>
            <w:r w:rsidRPr="00854E06">
              <w:rPr>
                <w:rFonts w:cstheme="majorBidi"/>
                <w:color w:val="000000"/>
              </w:rPr>
              <w:t>10300200-270001</w:t>
            </w:r>
          </w:p>
        </w:tc>
        <w:tc>
          <w:tcPr>
            <w:tcW w:w="7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950"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32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0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83"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c>
          <w:tcPr>
            <w:tcW w:w="1256" w:type="dxa"/>
            <w:shd w:val="clear" w:color="auto" w:fill="auto"/>
            <w:noWrap/>
            <w:vAlign w:val="bottom"/>
          </w:tcPr>
          <w:p w:rsidR="00351E1C" w:rsidRPr="00854E06" w:rsidRDefault="00351E1C" w:rsidP="003C0F07">
            <w:pPr>
              <w:jc w:val="right"/>
              <w:rPr>
                <w:rFonts w:cstheme="majorBidi"/>
                <w:color w:val="000000"/>
              </w:rPr>
            </w:pPr>
            <w:r w:rsidRPr="00854E06">
              <w:rPr>
                <w:rFonts w:cstheme="majorBidi"/>
                <w:color w:val="000000"/>
              </w:rPr>
              <w:t>0.000</w:t>
            </w:r>
          </w:p>
        </w:tc>
      </w:tr>
    </w:tbl>
    <w:p w:rsidR="00351E1C" w:rsidRPr="00854E06" w:rsidRDefault="00351E1C" w:rsidP="001021C0"/>
    <w:p w:rsidR="00351E1C" w:rsidRDefault="00351E1C" w:rsidP="00C03D43">
      <w:pPr>
        <w:rPr>
          <w:rFonts w:cstheme="majorBidi"/>
          <w:b/>
          <w:bCs/>
        </w:rPr>
      </w:pPr>
    </w:p>
    <w:p w:rsidR="00351E1C" w:rsidRDefault="00351E1C" w:rsidP="00C03D43">
      <w:pPr>
        <w:rPr>
          <w:rFonts w:cstheme="majorBidi"/>
          <w:b/>
          <w:bCs/>
        </w:rPr>
      </w:pPr>
    </w:p>
    <w:p w:rsidR="00351E1C" w:rsidRDefault="00351E1C" w:rsidP="00C03D43">
      <w:pPr>
        <w:rPr>
          <w:rFonts w:cstheme="majorBidi"/>
          <w:b/>
          <w:bCs/>
        </w:rPr>
      </w:pPr>
    </w:p>
    <w:p w:rsidR="00351E1C" w:rsidRDefault="00351E1C" w:rsidP="00C03D43">
      <w:pPr>
        <w:rPr>
          <w:rFonts w:cstheme="majorBidi"/>
          <w:b/>
          <w:bCs/>
        </w:rPr>
      </w:pPr>
    </w:p>
    <w:p w:rsidR="00351E1C" w:rsidRDefault="00351E1C" w:rsidP="00C03D43">
      <w:pPr>
        <w:rPr>
          <w:rFonts w:cstheme="majorBidi"/>
          <w:b/>
          <w:bCs/>
        </w:rPr>
      </w:pPr>
    </w:p>
    <w:p w:rsidR="00351E1C" w:rsidRDefault="00351E1C" w:rsidP="00C03D43">
      <w:pPr>
        <w:rPr>
          <w:rFonts w:cstheme="majorBidi"/>
          <w:b/>
          <w:bCs/>
        </w:rPr>
      </w:pPr>
    </w:p>
    <w:p w:rsidR="00351E1C" w:rsidRDefault="00351E1C" w:rsidP="00C03D43">
      <w:pPr>
        <w:rPr>
          <w:rFonts w:cstheme="majorBidi"/>
          <w:b/>
          <w:bCs/>
        </w:rPr>
      </w:pPr>
    </w:p>
    <w:p w:rsidR="00351E1C" w:rsidRDefault="00351E1C" w:rsidP="00C03D43">
      <w:pPr>
        <w:rPr>
          <w:rFonts w:cstheme="majorBidi"/>
          <w:b/>
          <w:bCs/>
        </w:rPr>
      </w:pPr>
    </w:p>
    <w:p w:rsidR="00351E1C" w:rsidRDefault="00351E1C" w:rsidP="00C03D43">
      <w:pPr>
        <w:rPr>
          <w:rFonts w:cstheme="majorBidi"/>
          <w:b/>
          <w:bCs/>
        </w:rPr>
      </w:pPr>
    </w:p>
    <w:p w:rsidR="00351E1C" w:rsidRDefault="00351E1C" w:rsidP="00351E1C">
      <w:pPr>
        <w:jc w:val="center"/>
        <w:rPr>
          <w:rFonts w:cstheme="majorBidi"/>
          <w:b/>
          <w:bCs/>
        </w:rPr>
      </w:pPr>
      <w:proofErr w:type="gramStart"/>
      <w:r>
        <w:rPr>
          <w:rFonts w:cstheme="majorBidi"/>
          <w:b/>
          <w:bCs/>
        </w:rPr>
        <w:lastRenderedPageBreak/>
        <w:t>Appendix A4</w:t>
      </w:r>
      <w:r w:rsidRPr="00854E06">
        <w:rPr>
          <w:rFonts w:cstheme="majorBidi"/>
          <w:b/>
          <w:bCs/>
        </w:rPr>
        <w:t>.</w:t>
      </w:r>
      <w:proofErr w:type="gramEnd"/>
      <w:r w:rsidRPr="00854E06">
        <w:rPr>
          <w:rFonts w:cstheme="majorBidi"/>
          <w:b/>
          <w:bCs/>
        </w:rPr>
        <w:t xml:space="preserve"> Results of the annual and monthly rating coefficient </w:t>
      </w:r>
      <m:oMath>
        <m:r>
          <m:rPr>
            <m:sty m:val="bi"/>
          </m:rPr>
          <w:rPr>
            <w:rFonts w:ascii="Cambria Math" w:hAnsi="Cambria Math" w:cstheme="majorBidi"/>
          </w:rPr>
          <m:t>b</m:t>
        </m:r>
      </m:oMath>
      <w:r>
        <w:rPr>
          <w:rFonts w:cstheme="majorBidi"/>
          <w:b/>
          <w:bCs/>
        </w:rPr>
        <w:t xml:space="preserve"> at 64</w:t>
      </w:r>
      <w:r w:rsidRPr="00854E06">
        <w:rPr>
          <w:rFonts w:cstheme="majorBidi"/>
          <w:b/>
          <w:bCs/>
        </w:rPr>
        <w:t xml:space="preserve"> gauging stations in the UMRB</w:t>
      </w:r>
      <w:r>
        <w:rPr>
          <w:rFonts w:cstheme="majorBidi"/>
          <w:b/>
          <w:bCs/>
        </w:rPr>
        <w:t xml:space="preserve"> </w:t>
      </w:r>
    </w:p>
    <w:p w:rsidR="00351E1C" w:rsidRDefault="00351E1C" w:rsidP="00351E1C">
      <w:pPr>
        <w:jc w:val="center"/>
        <w:rPr>
          <w:rFonts w:cstheme="majorBidi"/>
          <w:b/>
          <w:bCs/>
        </w:rPr>
      </w:pPr>
      <w:r>
        <w:rPr>
          <w:rFonts w:cstheme="majorBidi"/>
          <w:b/>
          <w:bCs/>
        </w:rPr>
        <w:t>(</w:t>
      </w:r>
      <w:proofErr w:type="gramStart"/>
      <w:r>
        <w:rPr>
          <w:rFonts w:cstheme="majorBidi"/>
          <w:b/>
          <w:bCs/>
        </w:rPr>
        <w:t>at</w:t>
      </w:r>
      <w:proofErr w:type="gramEnd"/>
      <w:r>
        <w:rPr>
          <w:rFonts w:cstheme="majorBidi"/>
          <w:b/>
          <w:bCs/>
        </w:rPr>
        <w:t xml:space="preserve"> annual level and at monthly level from January to June)</w:t>
      </w:r>
    </w:p>
    <w:p w:rsidR="00C03D43" w:rsidRPr="00854E06" w:rsidRDefault="00C03D43" w:rsidP="001021C0"/>
    <w:tbl>
      <w:tblPr>
        <w:tblW w:w="9417"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977"/>
        <w:gridCol w:w="1070"/>
        <w:gridCol w:w="1190"/>
        <w:gridCol w:w="960"/>
        <w:gridCol w:w="960"/>
        <w:gridCol w:w="960"/>
        <w:gridCol w:w="960"/>
      </w:tblGrid>
      <w:tr w:rsidR="00351E1C" w:rsidRPr="00854E06" w:rsidTr="0010102B">
        <w:trPr>
          <w:trHeight w:val="300"/>
          <w:jc w:val="center"/>
        </w:trPr>
        <w:tc>
          <w:tcPr>
            <w:tcW w:w="2340" w:type="dxa"/>
            <w:shd w:val="clear" w:color="auto" w:fill="auto"/>
            <w:noWrap/>
            <w:vAlign w:val="bottom"/>
          </w:tcPr>
          <w:p w:rsidR="00351E1C" w:rsidRPr="0010102B" w:rsidRDefault="00351E1C" w:rsidP="00C03D43">
            <w:pPr>
              <w:rPr>
                <w:rFonts w:cstheme="majorBidi"/>
                <w:b/>
                <w:color w:val="000000"/>
              </w:rPr>
            </w:pPr>
            <w:r w:rsidRPr="0010102B">
              <w:rPr>
                <w:rFonts w:cstheme="majorBidi"/>
                <w:b/>
                <w:color w:val="000000"/>
              </w:rPr>
              <w:t>Station</w:t>
            </w:r>
          </w:p>
          <w:p w:rsidR="00351E1C" w:rsidRPr="0010102B" w:rsidRDefault="00351E1C" w:rsidP="00C03D43">
            <w:pPr>
              <w:rPr>
                <w:rFonts w:cstheme="majorBidi"/>
                <w:b/>
                <w:color w:val="000000"/>
              </w:rPr>
            </w:pPr>
            <w:r w:rsidRPr="0010102B">
              <w:rPr>
                <w:rFonts w:cstheme="majorBidi"/>
                <w:b/>
                <w:color w:val="000000"/>
              </w:rPr>
              <w:t xml:space="preserve">(HUC – </w:t>
            </w:r>
            <w:proofErr w:type="spellStart"/>
            <w:r w:rsidRPr="0010102B">
              <w:rPr>
                <w:rFonts w:cstheme="majorBidi"/>
                <w:b/>
                <w:color w:val="000000"/>
              </w:rPr>
              <w:t>Sitecode</w:t>
            </w:r>
            <w:proofErr w:type="spellEnd"/>
            <w:r w:rsidRPr="0010102B">
              <w:rPr>
                <w:rFonts w:cstheme="majorBidi"/>
                <w:b/>
                <w:color w:val="000000"/>
              </w:rPr>
              <w:t>)</w:t>
            </w:r>
          </w:p>
        </w:tc>
        <w:tc>
          <w:tcPr>
            <w:tcW w:w="977" w:type="dxa"/>
            <w:shd w:val="clear" w:color="auto" w:fill="auto"/>
            <w:noWrap/>
            <w:vAlign w:val="center"/>
          </w:tcPr>
          <w:p w:rsidR="00351E1C" w:rsidRPr="0010102B" w:rsidRDefault="00351E1C" w:rsidP="0010102B">
            <w:pPr>
              <w:jc w:val="center"/>
              <w:rPr>
                <w:rFonts w:cstheme="majorBidi"/>
                <w:b/>
                <w:color w:val="000000"/>
              </w:rPr>
            </w:pPr>
            <w:r w:rsidRPr="0010102B">
              <w:rPr>
                <w:rFonts w:cstheme="majorBidi"/>
                <w:b/>
                <w:color w:val="000000"/>
              </w:rPr>
              <w:t>Annual</w:t>
            </w:r>
          </w:p>
        </w:tc>
        <w:tc>
          <w:tcPr>
            <w:tcW w:w="1070" w:type="dxa"/>
            <w:shd w:val="clear" w:color="auto" w:fill="auto"/>
            <w:noWrap/>
            <w:vAlign w:val="center"/>
          </w:tcPr>
          <w:p w:rsidR="00351E1C" w:rsidRPr="0010102B" w:rsidRDefault="00351E1C" w:rsidP="0010102B">
            <w:pPr>
              <w:jc w:val="center"/>
              <w:rPr>
                <w:rFonts w:cstheme="majorBidi"/>
                <w:b/>
                <w:color w:val="000000"/>
              </w:rPr>
            </w:pPr>
            <w:r w:rsidRPr="0010102B">
              <w:rPr>
                <w:rFonts w:cstheme="majorBidi"/>
                <w:b/>
                <w:color w:val="000000"/>
              </w:rPr>
              <w:t>January</w:t>
            </w:r>
          </w:p>
        </w:tc>
        <w:tc>
          <w:tcPr>
            <w:tcW w:w="1190" w:type="dxa"/>
            <w:shd w:val="clear" w:color="auto" w:fill="auto"/>
            <w:noWrap/>
            <w:vAlign w:val="center"/>
          </w:tcPr>
          <w:p w:rsidR="00351E1C" w:rsidRPr="0010102B" w:rsidRDefault="00351E1C" w:rsidP="0010102B">
            <w:pPr>
              <w:jc w:val="center"/>
              <w:rPr>
                <w:rFonts w:cstheme="majorBidi"/>
                <w:b/>
                <w:color w:val="000000"/>
              </w:rPr>
            </w:pPr>
            <w:r w:rsidRPr="0010102B">
              <w:rPr>
                <w:rFonts w:cstheme="majorBidi"/>
                <w:b/>
                <w:color w:val="000000"/>
              </w:rPr>
              <w:t>February</w:t>
            </w:r>
          </w:p>
        </w:tc>
        <w:tc>
          <w:tcPr>
            <w:tcW w:w="960" w:type="dxa"/>
            <w:shd w:val="clear" w:color="auto" w:fill="auto"/>
            <w:noWrap/>
            <w:vAlign w:val="center"/>
          </w:tcPr>
          <w:p w:rsidR="00351E1C" w:rsidRPr="0010102B" w:rsidRDefault="00351E1C" w:rsidP="0010102B">
            <w:pPr>
              <w:jc w:val="center"/>
              <w:rPr>
                <w:rFonts w:cstheme="majorBidi"/>
                <w:b/>
                <w:color w:val="000000"/>
              </w:rPr>
            </w:pPr>
            <w:r w:rsidRPr="0010102B">
              <w:rPr>
                <w:rFonts w:cstheme="majorBidi"/>
                <w:b/>
                <w:color w:val="000000"/>
              </w:rPr>
              <w:t>March</w:t>
            </w:r>
          </w:p>
        </w:tc>
        <w:tc>
          <w:tcPr>
            <w:tcW w:w="960" w:type="dxa"/>
            <w:shd w:val="clear" w:color="auto" w:fill="auto"/>
            <w:noWrap/>
            <w:vAlign w:val="center"/>
          </w:tcPr>
          <w:p w:rsidR="00351E1C" w:rsidRPr="0010102B" w:rsidRDefault="00351E1C" w:rsidP="0010102B">
            <w:pPr>
              <w:jc w:val="center"/>
              <w:rPr>
                <w:rFonts w:cstheme="majorBidi"/>
                <w:b/>
                <w:color w:val="000000"/>
              </w:rPr>
            </w:pPr>
            <w:r w:rsidRPr="0010102B">
              <w:rPr>
                <w:rFonts w:cstheme="majorBidi"/>
                <w:b/>
                <w:color w:val="000000"/>
              </w:rPr>
              <w:t>April</w:t>
            </w:r>
          </w:p>
        </w:tc>
        <w:tc>
          <w:tcPr>
            <w:tcW w:w="960" w:type="dxa"/>
            <w:shd w:val="clear" w:color="auto" w:fill="auto"/>
            <w:noWrap/>
            <w:vAlign w:val="center"/>
          </w:tcPr>
          <w:p w:rsidR="00351E1C" w:rsidRPr="0010102B" w:rsidRDefault="00351E1C" w:rsidP="0010102B">
            <w:pPr>
              <w:jc w:val="center"/>
              <w:rPr>
                <w:rFonts w:cstheme="majorBidi"/>
                <w:b/>
                <w:color w:val="000000"/>
              </w:rPr>
            </w:pPr>
            <w:r w:rsidRPr="0010102B">
              <w:rPr>
                <w:rFonts w:cstheme="majorBidi"/>
                <w:b/>
                <w:color w:val="000000"/>
              </w:rPr>
              <w:t>May</w:t>
            </w:r>
          </w:p>
        </w:tc>
        <w:tc>
          <w:tcPr>
            <w:tcW w:w="960" w:type="dxa"/>
            <w:shd w:val="clear" w:color="auto" w:fill="auto"/>
            <w:noWrap/>
            <w:vAlign w:val="center"/>
          </w:tcPr>
          <w:p w:rsidR="00351E1C" w:rsidRPr="0010102B" w:rsidRDefault="00351E1C" w:rsidP="0010102B">
            <w:pPr>
              <w:jc w:val="center"/>
              <w:rPr>
                <w:rFonts w:cstheme="majorBidi"/>
                <w:b/>
                <w:color w:val="000000"/>
              </w:rPr>
            </w:pPr>
            <w:r w:rsidRPr="0010102B">
              <w:rPr>
                <w:rFonts w:cstheme="majorBidi"/>
                <w:b/>
                <w:color w:val="000000"/>
              </w:rPr>
              <w:t>June</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07010104-10001</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1.53</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1.67</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1.83</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1.76</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1.71</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1.77</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07010104-10003</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1.36</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1.12</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1.18</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0.98</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1.11</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1.16</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07010203-10005</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1.58</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1.34</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1.33</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1.60</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1.78</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1.56</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07010206-10009</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1.45</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1.11</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1.23</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1.36</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1.26</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1.25</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07010206-10011</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1.48</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1.05</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1.08</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1.30</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1.27</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07010206-10013</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1.48</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1.30</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1.31</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1.31</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1.31</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07010206-20009</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1.83</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1.65</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1.60</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1.67</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07010206-20011</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1.55</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1.41</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1.36</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1.42</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07010206-20015</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1.62</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1.50</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1.53</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1.51</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07010206-20017</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1.87</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1.73</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1.71</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07010206-20019</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1.64</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1.22</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1.28</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1.50</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1.46</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07010206-20021</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1.47</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1.33</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1.36</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1.39</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07010206-20023</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1.86</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1.38</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1.46</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1.76</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1.70</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1.63</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07020012-20001</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1.41</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1.17</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1.38</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07020012-20007</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1.18</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1.25</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1.28</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1.26</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1.26</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07030005-30001</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1.14</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1.03</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1.06</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1.18</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07030005-30002</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1.22</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1.00</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1.03</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0.97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1.19</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07030005-30003</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1.87</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0.96</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1.13</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1.68</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1.97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1.78</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1.62</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07030005-30004</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1.14</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1.06</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1.16</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07040001-30007</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2.33</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2.42</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2.47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1.51</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1.46</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07040001-40001</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1.45</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1.80</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1.84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1.23</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1.30</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1.01</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07040001-40017</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2.75</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1.12</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1.48</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2.84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1.93</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07040002-40007</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1.12</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1.49</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0.94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0.68</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0.97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0.86</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07040003-40015</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3.06</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1.53</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1.46</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1.79</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07040003-50007</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3.60</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1.54</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1.63</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2.15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1.92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2.08</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07040004-50001</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4.27</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1.34</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2.36</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1.60</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3.72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2.40</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3.35</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07040006-70001</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1.29</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1.08</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1.08</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1.09</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07040006-80001</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2.19</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1.59</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1.83</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1.90</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1.55</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07040006-80009</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3.37</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0.62</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0.62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1.61</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1.66</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1.94</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07040007-70005</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1.22</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2.03</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0.40</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0.58</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1.11</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0.82</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07040007-70007</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1.99</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1.87</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1.95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1.81</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1.80</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1.87</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07040008-80003</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2.68</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2.21</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2.84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2.42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2.30</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2.52</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07040008-80005</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2.02</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2.17</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2.20</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2.18</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2.13</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1.95</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2.22</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07050005-40011</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1.58</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1.34</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1.58</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1.29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1.36</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1.41</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07050005-40013</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2.30</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2.04</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2.16</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2.41</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2.09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2.17</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2.31</w:t>
            </w:r>
          </w:p>
        </w:tc>
      </w:tr>
      <w:tr w:rsidR="00351E1C" w:rsidRPr="00854E06" w:rsidTr="0010102B">
        <w:trPr>
          <w:trHeight w:val="300"/>
          <w:jc w:val="center"/>
        </w:trPr>
        <w:tc>
          <w:tcPr>
            <w:tcW w:w="2340" w:type="dxa"/>
            <w:shd w:val="clear" w:color="auto" w:fill="auto"/>
            <w:noWrap/>
            <w:vAlign w:val="bottom"/>
          </w:tcPr>
          <w:p w:rsidR="00351E1C" w:rsidRPr="00854E06" w:rsidRDefault="00351E1C" w:rsidP="00C03D43">
            <w:pPr>
              <w:rPr>
                <w:rFonts w:cstheme="majorBidi"/>
                <w:color w:val="000000"/>
              </w:rPr>
            </w:pPr>
            <w:r w:rsidRPr="00854E06">
              <w:rPr>
                <w:rFonts w:cstheme="majorBidi"/>
                <w:color w:val="000000"/>
              </w:rPr>
              <w:t>07060001-80007</w:t>
            </w:r>
          </w:p>
        </w:tc>
        <w:tc>
          <w:tcPr>
            <w:tcW w:w="977"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1.96</w:t>
            </w:r>
          </w:p>
        </w:tc>
        <w:tc>
          <w:tcPr>
            <w:tcW w:w="107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1.76</w:t>
            </w:r>
          </w:p>
        </w:tc>
        <w:tc>
          <w:tcPr>
            <w:tcW w:w="119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1.14</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0.09</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1.53</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1.82</w:t>
            </w:r>
          </w:p>
        </w:tc>
        <w:tc>
          <w:tcPr>
            <w:tcW w:w="960" w:type="dxa"/>
            <w:shd w:val="clear" w:color="auto" w:fill="auto"/>
            <w:noWrap/>
            <w:vAlign w:val="bottom"/>
          </w:tcPr>
          <w:p w:rsidR="00351E1C" w:rsidRPr="00854E06" w:rsidRDefault="00351E1C" w:rsidP="00C03D43">
            <w:pPr>
              <w:jc w:val="right"/>
              <w:rPr>
                <w:rFonts w:cstheme="majorBidi"/>
                <w:color w:val="000000"/>
              </w:rPr>
            </w:pPr>
            <w:r w:rsidRPr="00854E06">
              <w:rPr>
                <w:rFonts w:cstheme="majorBidi"/>
                <w:color w:val="000000"/>
              </w:rPr>
              <w:t>1.61</w:t>
            </w:r>
          </w:p>
        </w:tc>
      </w:tr>
    </w:tbl>
    <w:p w:rsidR="0010102B" w:rsidRPr="00854E06" w:rsidRDefault="0010102B" w:rsidP="0010102B">
      <w:pPr>
        <w:jc w:val="center"/>
      </w:pPr>
      <w:r w:rsidRPr="00351E1C">
        <w:rPr>
          <w:b/>
        </w:rPr>
        <w:lastRenderedPageBreak/>
        <w:t>Appendix A</w:t>
      </w:r>
      <w:r>
        <w:rPr>
          <w:b/>
        </w:rPr>
        <w:t>4</w:t>
      </w:r>
      <w:r>
        <w:t xml:space="preserve"> </w:t>
      </w:r>
      <w:r w:rsidRPr="00351E1C">
        <w:rPr>
          <w:i/>
        </w:rPr>
        <w:t>continued</w:t>
      </w:r>
      <w:r>
        <w:rPr>
          <w:i/>
        </w:rPr>
        <w:t>.</w:t>
      </w:r>
    </w:p>
    <w:p w:rsidR="00351E1C" w:rsidRDefault="00351E1C" w:rsidP="001021C0"/>
    <w:tbl>
      <w:tblPr>
        <w:tblW w:w="9186"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977"/>
        <w:gridCol w:w="1070"/>
        <w:gridCol w:w="1190"/>
        <w:gridCol w:w="960"/>
        <w:gridCol w:w="960"/>
        <w:gridCol w:w="960"/>
        <w:gridCol w:w="960"/>
      </w:tblGrid>
      <w:tr w:rsidR="0010102B" w:rsidRPr="00854E06" w:rsidTr="003C0F07">
        <w:trPr>
          <w:trHeight w:val="300"/>
          <w:jc w:val="center"/>
        </w:trPr>
        <w:tc>
          <w:tcPr>
            <w:tcW w:w="2340" w:type="dxa"/>
            <w:shd w:val="clear" w:color="auto" w:fill="auto"/>
            <w:noWrap/>
            <w:vAlign w:val="bottom"/>
          </w:tcPr>
          <w:p w:rsidR="0010102B" w:rsidRPr="0010102B" w:rsidRDefault="0010102B" w:rsidP="003C0F07">
            <w:pPr>
              <w:rPr>
                <w:rFonts w:cstheme="majorBidi"/>
                <w:b/>
                <w:color w:val="000000"/>
              </w:rPr>
            </w:pPr>
            <w:r w:rsidRPr="0010102B">
              <w:rPr>
                <w:rFonts w:cstheme="majorBidi"/>
                <w:b/>
                <w:color w:val="000000"/>
              </w:rPr>
              <w:t>Station</w:t>
            </w:r>
          </w:p>
          <w:p w:rsidR="0010102B" w:rsidRPr="0010102B" w:rsidRDefault="0010102B" w:rsidP="003C0F07">
            <w:pPr>
              <w:rPr>
                <w:rFonts w:cstheme="majorBidi"/>
                <w:b/>
                <w:color w:val="000000"/>
              </w:rPr>
            </w:pPr>
            <w:r w:rsidRPr="0010102B">
              <w:rPr>
                <w:rFonts w:cstheme="majorBidi"/>
                <w:b/>
                <w:color w:val="000000"/>
              </w:rPr>
              <w:t xml:space="preserve">(HUC – </w:t>
            </w:r>
            <w:proofErr w:type="spellStart"/>
            <w:r w:rsidRPr="0010102B">
              <w:rPr>
                <w:rFonts w:cstheme="majorBidi"/>
                <w:b/>
                <w:color w:val="000000"/>
              </w:rPr>
              <w:t>Sitecode</w:t>
            </w:r>
            <w:proofErr w:type="spellEnd"/>
            <w:r w:rsidRPr="0010102B">
              <w:rPr>
                <w:rFonts w:cstheme="majorBidi"/>
                <w:b/>
                <w:color w:val="000000"/>
              </w:rPr>
              <w:t>)</w:t>
            </w:r>
          </w:p>
        </w:tc>
        <w:tc>
          <w:tcPr>
            <w:tcW w:w="960" w:type="dxa"/>
            <w:shd w:val="clear" w:color="auto" w:fill="auto"/>
            <w:noWrap/>
            <w:vAlign w:val="center"/>
          </w:tcPr>
          <w:p w:rsidR="0010102B" w:rsidRPr="0010102B" w:rsidRDefault="0010102B" w:rsidP="003C0F07">
            <w:pPr>
              <w:jc w:val="center"/>
              <w:rPr>
                <w:rFonts w:cstheme="majorBidi"/>
                <w:b/>
                <w:color w:val="000000"/>
              </w:rPr>
            </w:pPr>
            <w:r w:rsidRPr="0010102B">
              <w:rPr>
                <w:rFonts w:cstheme="majorBidi"/>
                <w:b/>
                <w:color w:val="000000"/>
              </w:rPr>
              <w:t>Annual</w:t>
            </w:r>
          </w:p>
        </w:tc>
        <w:tc>
          <w:tcPr>
            <w:tcW w:w="963" w:type="dxa"/>
            <w:shd w:val="clear" w:color="auto" w:fill="auto"/>
            <w:noWrap/>
            <w:vAlign w:val="center"/>
          </w:tcPr>
          <w:p w:rsidR="0010102B" w:rsidRPr="0010102B" w:rsidRDefault="0010102B" w:rsidP="003C0F07">
            <w:pPr>
              <w:jc w:val="center"/>
              <w:rPr>
                <w:rFonts w:cstheme="majorBidi"/>
                <w:b/>
                <w:color w:val="000000"/>
              </w:rPr>
            </w:pPr>
            <w:r w:rsidRPr="0010102B">
              <w:rPr>
                <w:rFonts w:cstheme="majorBidi"/>
                <w:b/>
                <w:color w:val="000000"/>
              </w:rPr>
              <w:t>January</w:t>
            </w:r>
          </w:p>
        </w:tc>
        <w:tc>
          <w:tcPr>
            <w:tcW w:w="1083" w:type="dxa"/>
            <w:shd w:val="clear" w:color="auto" w:fill="auto"/>
            <w:noWrap/>
            <w:vAlign w:val="center"/>
          </w:tcPr>
          <w:p w:rsidR="0010102B" w:rsidRPr="0010102B" w:rsidRDefault="0010102B" w:rsidP="003C0F07">
            <w:pPr>
              <w:jc w:val="center"/>
              <w:rPr>
                <w:rFonts w:cstheme="majorBidi"/>
                <w:b/>
                <w:color w:val="000000"/>
              </w:rPr>
            </w:pPr>
            <w:r w:rsidRPr="0010102B">
              <w:rPr>
                <w:rFonts w:cstheme="majorBidi"/>
                <w:b/>
                <w:color w:val="000000"/>
              </w:rPr>
              <w:t>February</w:t>
            </w:r>
          </w:p>
        </w:tc>
        <w:tc>
          <w:tcPr>
            <w:tcW w:w="960" w:type="dxa"/>
            <w:shd w:val="clear" w:color="auto" w:fill="auto"/>
            <w:noWrap/>
            <w:vAlign w:val="center"/>
          </w:tcPr>
          <w:p w:rsidR="0010102B" w:rsidRPr="0010102B" w:rsidRDefault="0010102B" w:rsidP="003C0F07">
            <w:pPr>
              <w:jc w:val="center"/>
              <w:rPr>
                <w:rFonts w:cstheme="majorBidi"/>
                <w:b/>
                <w:color w:val="000000"/>
              </w:rPr>
            </w:pPr>
            <w:r w:rsidRPr="0010102B">
              <w:rPr>
                <w:rFonts w:cstheme="majorBidi"/>
                <w:b/>
                <w:color w:val="000000"/>
              </w:rPr>
              <w:t>March</w:t>
            </w:r>
          </w:p>
        </w:tc>
        <w:tc>
          <w:tcPr>
            <w:tcW w:w="960" w:type="dxa"/>
            <w:shd w:val="clear" w:color="auto" w:fill="auto"/>
            <w:noWrap/>
            <w:vAlign w:val="center"/>
          </w:tcPr>
          <w:p w:rsidR="0010102B" w:rsidRPr="0010102B" w:rsidRDefault="0010102B" w:rsidP="003C0F07">
            <w:pPr>
              <w:jc w:val="center"/>
              <w:rPr>
                <w:rFonts w:cstheme="majorBidi"/>
                <w:b/>
                <w:color w:val="000000"/>
              </w:rPr>
            </w:pPr>
            <w:r w:rsidRPr="0010102B">
              <w:rPr>
                <w:rFonts w:cstheme="majorBidi"/>
                <w:b/>
                <w:color w:val="000000"/>
              </w:rPr>
              <w:t>April</w:t>
            </w:r>
          </w:p>
        </w:tc>
        <w:tc>
          <w:tcPr>
            <w:tcW w:w="960" w:type="dxa"/>
            <w:shd w:val="clear" w:color="auto" w:fill="auto"/>
            <w:noWrap/>
            <w:vAlign w:val="center"/>
          </w:tcPr>
          <w:p w:rsidR="0010102B" w:rsidRPr="0010102B" w:rsidRDefault="0010102B" w:rsidP="003C0F07">
            <w:pPr>
              <w:jc w:val="center"/>
              <w:rPr>
                <w:rFonts w:cstheme="majorBidi"/>
                <w:b/>
                <w:color w:val="000000"/>
              </w:rPr>
            </w:pPr>
            <w:r w:rsidRPr="0010102B">
              <w:rPr>
                <w:rFonts w:cstheme="majorBidi"/>
                <w:b/>
                <w:color w:val="000000"/>
              </w:rPr>
              <w:t>May</w:t>
            </w:r>
          </w:p>
        </w:tc>
        <w:tc>
          <w:tcPr>
            <w:tcW w:w="960" w:type="dxa"/>
            <w:shd w:val="clear" w:color="auto" w:fill="auto"/>
            <w:noWrap/>
            <w:vAlign w:val="center"/>
          </w:tcPr>
          <w:p w:rsidR="0010102B" w:rsidRPr="0010102B" w:rsidRDefault="0010102B" w:rsidP="003C0F07">
            <w:pPr>
              <w:jc w:val="center"/>
              <w:rPr>
                <w:rFonts w:cstheme="majorBidi"/>
                <w:b/>
                <w:color w:val="000000"/>
              </w:rPr>
            </w:pPr>
            <w:r w:rsidRPr="0010102B">
              <w:rPr>
                <w:rFonts w:cstheme="majorBidi"/>
                <w:b/>
                <w:color w:val="000000"/>
              </w:rPr>
              <w:t>June</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07060001-80011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3.73</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0.70</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0.73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1.64</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1.68</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1.88</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07060003-110001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2.24</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2.78</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2.85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2.83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2.37</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2.28</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2.73</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07060005-130002</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1.57</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1.68</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2.31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1.68</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1.50</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07070005-100001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2.31</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1.66</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1.79</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2.35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2.24</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2.14</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07080101-140003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2.16</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1.58</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1.84</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1.79</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2.14</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2.04</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1.97</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07080101-140005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2.91</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2.13</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1.66</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0.74</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1.72</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2.18</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2.05</w:t>
            </w:r>
          </w:p>
        </w:tc>
      </w:tr>
      <w:tr w:rsidR="0010102B" w:rsidRPr="00854E06" w:rsidTr="003C0F07">
        <w:trPr>
          <w:trHeight w:val="296"/>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07080104-190003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2.89</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1.60</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2.50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3.14</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3.30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3.01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2.63</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07080107-190001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1.81</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1.97</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2.04</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1.92</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1.92</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1.97</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07080209-180001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1.60</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1.85</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1.49</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1.56</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1.60</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07090005-160001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1.47</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1.37</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1.56</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1.57</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1.55</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07100006-200003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1.77</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1.76</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1.82</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1.77</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1.76</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1.72</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1.74</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07100009-200001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1.48</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1.65</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1.54</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1.58</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07110004-250001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2.18</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1.97</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2.51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1.94</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07110007-240001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1.61</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1.36</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1.58</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1.38</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07110008-260001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1.67</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2.18</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2.02</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2.34</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1.95</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07110008-260003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2.00</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1.87</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2.18</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2.08</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1.92</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07110009-260009</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1.60</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2.53</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2.55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1.74</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1.42</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1.59</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1.67</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07110009-260011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1.85</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1.63</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2.09</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07110009-260013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2.24</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1.93</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2.70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2.31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2.37</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2.25</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07130005-260015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1.47</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1.42</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1.56</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1.59</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1.66</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07130008-260017</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1.57</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1.75</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1.86</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1.80</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07130011-260005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1.24</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1.30</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1.32</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1.29</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1.31</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07130011-260007</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1.16</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1.10</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1.18</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1.40</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1.45</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07140102-280001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1.70</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1.63</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1.72</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1.69</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1.73</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07140105-300001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1.89</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1.98</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1.96</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1.95</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1.96</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1.95</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07140106-290001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0.90</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1.17</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0.98</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0.97</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0.93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0.96</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1.06</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07140204-280003</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1.17</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1.22</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1.19</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1.27</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1.22</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1.24</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1.23</w:t>
            </w:r>
          </w:p>
        </w:tc>
      </w:tr>
      <w:tr w:rsidR="0010102B" w:rsidRPr="00854E06" w:rsidTr="003C0F07">
        <w:trPr>
          <w:trHeight w:val="300"/>
          <w:jc w:val="center"/>
        </w:trPr>
        <w:tc>
          <w:tcPr>
            <w:tcW w:w="2340" w:type="dxa"/>
            <w:shd w:val="clear" w:color="auto" w:fill="auto"/>
            <w:noWrap/>
            <w:vAlign w:val="bottom"/>
          </w:tcPr>
          <w:p w:rsidR="0010102B" w:rsidRPr="00854E06" w:rsidRDefault="0010102B" w:rsidP="003C0F07">
            <w:pPr>
              <w:rPr>
                <w:rFonts w:cstheme="majorBidi"/>
                <w:color w:val="000000"/>
              </w:rPr>
            </w:pPr>
            <w:r w:rsidRPr="00854E06">
              <w:rPr>
                <w:rFonts w:cstheme="majorBidi"/>
                <w:color w:val="000000"/>
              </w:rPr>
              <w:t>10300200-270001</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1.54</w:t>
            </w:r>
          </w:p>
        </w:tc>
        <w:tc>
          <w:tcPr>
            <w:tcW w:w="96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1.66</w:t>
            </w:r>
          </w:p>
        </w:tc>
        <w:tc>
          <w:tcPr>
            <w:tcW w:w="1083"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2.62</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2.08</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1.96</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2.06</w:t>
            </w:r>
          </w:p>
        </w:tc>
        <w:tc>
          <w:tcPr>
            <w:tcW w:w="960"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2.29</w:t>
            </w:r>
          </w:p>
        </w:tc>
      </w:tr>
    </w:tbl>
    <w:p w:rsidR="0010102B" w:rsidRDefault="0010102B" w:rsidP="001021C0"/>
    <w:p w:rsidR="0010102B" w:rsidRDefault="0010102B" w:rsidP="001021C0"/>
    <w:p w:rsidR="0010102B" w:rsidRDefault="0010102B" w:rsidP="001021C0"/>
    <w:p w:rsidR="0010102B" w:rsidRDefault="0010102B" w:rsidP="001021C0"/>
    <w:p w:rsidR="0010102B" w:rsidRDefault="0010102B" w:rsidP="001021C0"/>
    <w:p w:rsidR="0010102B" w:rsidRDefault="0010102B" w:rsidP="001021C0"/>
    <w:p w:rsidR="0010102B" w:rsidRDefault="0010102B" w:rsidP="001021C0"/>
    <w:p w:rsidR="0010102B" w:rsidRDefault="0010102B" w:rsidP="001021C0"/>
    <w:p w:rsidR="0010102B" w:rsidRDefault="0010102B" w:rsidP="001021C0"/>
    <w:p w:rsidR="0010102B" w:rsidRDefault="0010102B" w:rsidP="001021C0"/>
    <w:p w:rsidR="0010102B" w:rsidRDefault="0010102B" w:rsidP="0010102B">
      <w:pPr>
        <w:jc w:val="center"/>
        <w:rPr>
          <w:rFonts w:cstheme="majorBidi"/>
          <w:b/>
          <w:bCs/>
        </w:rPr>
      </w:pPr>
      <w:proofErr w:type="gramStart"/>
      <w:r>
        <w:rPr>
          <w:rFonts w:cstheme="majorBidi"/>
          <w:b/>
          <w:bCs/>
        </w:rPr>
        <w:lastRenderedPageBreak/>
        <w:t>Appendix</w:t>
      </w:r>
      <w:r w:rsidRPr="00854E06">
        <w:rPr>
          <w:rFonts w:cstheme="majorBidi"/>
          <w:b/>
          <w:bCs/>
        </w:rPr>
        <w:t xml:space="preserve"> A</w:t>
      </w:r>
      <w:r>
        <w:rPr>
          <w:rFonts w:cstheme="majorBidi"/>
          <w:b/>
          <w:bCs/>
        </w:rPr>
        <w:t>5</w:t>
      </w:r>
      <w:r w:rsidRPr="00854E06">
        <w:rPr>
          <w:rFonts w:cstheme="majorBidi"/>
          <w:b/>
          <w:bCs/>
        </w:rPr>
        <w:t>.</w:t>
      </w:r>
      <w:proofErr w:type="gramEnd"/>
      <w:r w:rsidRPr="00854E06">
        <w:rPr>
          <w:rFonts w:cstheme="majorBidi"/>
          <w:b/>
          <w:bCs/>
        </w:rPr>
        <w:t xml:space="preserve"> Results of the annual and monthly rating coefficient </w:t>
      </w:r>
      <m:oMath>
        <m:r>
          <m:rPr>
            <m:sty m:val="bi"/>
          </m:rPr>
          <w:rPr>
            <w:rFonts w:ascii="Cambria Math" w:hAnsi="Cambria Math" w:cstheme="majorBidi"/>
          </w:rPr>
          <m:t>b</m:t>
        </m:r>
      </m:oMath>
      <w:r>
        <w:rPr>
          <w:rFonts w:cstheme="majorBidi"/>
          <w:b/>
          <w:bCs/>
        </w:rPr>
        <w:t xml:space="preserve"> at 64</w:t>
      </w:r>
      <w:r w:rsidRPr="00854E06">
        <w:rPr>
          <w:rFonts w:cstheme="majorBidi"/>
          <w:b/>
          <w:bCs/>
        </w:rPr>
        <w:t xml:space="preserve"> gauging stations in the UMRB</w:t>
      </w:r>
      <w:r>
        <w:rPr>
          <w:rFonts w:cstheme="majorBidi"/>
          <w:b/>
          <w:bCs/>
        </w:rPr>
        <w:t xml:space="preserve"> </w:t>
      </w:r>
    </w:p>
    <w:p w:rsidR="0010102B" w:rsidRDefault="0010102B" w:rsidP="0010102B">
      <w:pPr>
        <w:jc w:val="center"/>
        <w:rPr>
          <w:rFonts w:cstheme="majorBidi"/>
          <w:b/>
          <w:bCs/>
        </w:rPr>
      </w:pPr>
      <w:r>
        <w:rPr>
          <w:rFonts w:cstheme="majorBidi"/>
          <w:b/>
          <w:bCs/>
        </w:rPr>
        <w:t>(</w:t>
      </w:r>
      <w:proofErr w:type="gramStart"/>
      <w:r>
        <w:rPr>
          <w:rFonts w:cstheme="majorBidi"/>
          <w:b/>
          <w:bCs/>
        </w:rPr>
        <w:t>at</w:t>
      </w:r>
      <w:proofErr w:type="gramEnd"/>
      <w:r>
        <w:rPr>
          <w:rFonts w:cstheme="majorBidi"/>
          <w:b/>
          <w:bCs/>
        </w:rPr>
        <w:t xml:space="preserve"> monthly level from July to December)</w:t>
      </w:r>
    </w:p>
    <w:p w:rsidR="0010102B" w:rsidRDefault="0010102B" w:rsidP="001021C0"/>
    <w:p w:rsidR="0010102B" w:rsidRDefault="0010102B" w:rsidP="001021C0"/>
    <w:tbl>
      <w:tblPr>
        <w:tblW w:w="1009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296"/>
        <w:gridCol w:w="1296"/>
        <w:gridCol w:w="1458"/>
        <w:gridCol w:w="1296"/>
        <w:gridCol w:w="1296"/>
        <w:gridCol w:w="1296"/>
      </w:tblGrid>
      <w:tr w:rsidR="0010102B" w:rsidRPr="00854E06" w:rsidTr="0010102B">
        <w:trPr>
          <w:trHeight w:val="300"/>
        </w:trPr>
        <w:tc>
          <w:tcPr>
            <w:tcW w:w="2160" w:type="dxa"/>
            <w:vAlign w:val="bottom"/>
          </w:tcPr>
          <w:p w:rsidR="0010102B" w:rsidRPr="0010102B" w:rsidRDefault="0010102B" w:rsidP="003C0F07">
            <w:pPr>
              <w:rPr>
                <w:rFonts w:cstheme="majorBidi"/>
                <w:b/>
                <w:color w:val="000000"/>
              </w:rPr>
            </w:pPr>
            <w:r w:rsidRPr="0010102B">
              <w:rPr>
                <w:rFonts w:cstheme="majorBidi"/>
                <w:b/>
                <w:color w:val="000000"/>
              </w:rPr>
              <w:t>Station</w:t>
            </w:r>
          </w:p>
          <w:p w:rsidR="0010102B" w:rsidRPr="0010102B" w:rsidRDefault="0010102B" w:rsidP="003C0F07">
            <w:pPr>
              <w:rPr>
                <w:rFonts w:cstheme="majorBidi"/>
                <w:b/>
                <w:color w:val="000000"/>
              </w:rPr>
            </w:pPr>
            <w:r w:rsidRPr="0010102B">
              <w:rPr>
                <w:rFonts w:cstheme="majorBidi"/>
                <w:b/>
                <w:color w:val="000000"/>
              </w:rPr>
              <w:t xml:space="preserve">(HUC – </w:t>
            </w:r>
            <w:proofErr w:type="spellStart"/>
            <w:r w:rsidRPr="0010102B">
              <w:rPr>
                <w:rFonts w:cstheme="majorBidi"/>
                <w:b/>
                <w:color w:val="000000"/>
              </w:rPr>
              <w:t>Sitecode</w:t>
            </w:r>
            <w:proofErr w:type="spellEnd"/>
            <w:r w:rsidRPr="0010102B">
              <w:rPr>
                <w:rFonts w:cstheme="majorBidi"/>
                <w:b/>
                <w:color w:val="000000"/>
              </w:rPr>
              <w:t>)</w:t>
            </w:r>
          </w:p>
        </w:tc>
        <w:tc>
          <w:tcPr>
            <w:tcW w:w="1296" w:type="dxa"/>
            <w:shd w:val="clear" w:color="auto" w:fill="auto"/>
            <w:noWrap/>
            <w:vAlign w:val="center"/>
          </w:tcPr>
          <w:p w:rsidR="0010102B" w:rsidRPr="0010102B" w:rsidRDefault="0010102B" w:rsidP="0010102B">
            <w:pPr>
              <w:jc w:val="center"/>
              <w:rPr>
                <w:rFonts w:cstheme="majorBidi"/>
                <w:b/>
                <w:color w:val="000000"/>
              </w:rPr>
            </w:pPr>
            <w:r w:rsidRPr="0010102B">
              <w:rPr>
                <w:rFonts w:cstheme="majorBidi"/>
                <w:b/>
                <w:color w:val="000000"/>
              </w:rPr>
              <w:t>July</w:t>
            </w:r>
          </w:p>
        </w:tc>
        <w:tc>
          <w:tcPr>
            <w:tcW w:w="1296" w:type="dxa"/>
            <w:shd w:val="clear" w:color="auto" w:fill="auto"/>
            <w:noWrap/>
            <w:vAlign w:val="center"/>
          </w:tcPr>
          <w:p w:rsidR="0010102B" w:rsidRPr="0010102B" w:rsidRDefault="0010102B" w:rsidP="0010102B">
            <w:pPr>
              <w:jc w:val="center"/>
              <w:rPr>
                <w:rFonts w:cstheme="majorBidi"/>
                <w:b/>
                <w:color w:val="000000"/>
              </w:rPr>
            </w:pPr>
            <w:r w:rsidRPr="0010102B">
              <w:rPr>
                <w:rFonts w:cstheme="majorBidi"/>
                <w:b/>
                <w:color w:val="000000"/>
              </w:rPr>
              <w:t>August</w:t>
            </w:r>
          </w:p>
        </w:tc>
        <w:tc>
          <w:tcPr>
            <w:tcW w:w="1458" w:type="dxa"/>
            <w:shd w:val="clear" w:color="auto" w:fill="auto"/>
            <w:noWrap/>
            <w:vAlign w:val="center"/>
          </w:tcPr>
          <w:p w:rsidR="0010102B" w:rsidRPr="0010102B" w:rsidRDefault="0010102B" w:rsidP="0010102B">
            <w:pPr>
              <w:jc w:val="center"/>
              <w:rPr>
                <w:rFonts w:cstheme="majorBidi"/>
                <w:b/>
                <w:color w:val="000000"/>
              </w:rPr>
            </w:pPr>
            <w:r w:rsidRPr="0010102B">
              <w:rPr>
                <w:rFonts w:cstheme="majorBidi"/>
                <w:b/>
                <w:color w:val="000000"/>
              </w:rPr>
              <w:t>September</w:t>
            </w:r>
          </w:p>
        </w:tc>
        <w:tc>
          <w:tcPr>
            <w:tcW w:w="1296" w:type="dxa"/>
            <w:shd w:val="clear" w:color="auto" w:fill="auto"/>
            <w:noWrap/>
            <w:vAlign w:val="center"/>
          </w:tcPr>
          <w:p w:rsidR="0010102B" w:rsidRPr="0010102B" w:rsidRDefault="0010102B" w:rsidP="0010102B">
            <w:pPr>
              <w:jc w:val="center"/>
              <w:rPr>
                <w:rFonts w:cstheme="majorBidi"/>
                <w:b/>
                <w:color w:val="000000"/>
              </w:rPr>
            </w:pPr>
            <w:r w:rsidRPr="0010102B">
              <w:rPr>
                <w:rFonts w:cstheme="majorBidi"/>
                <w:b/>
                <w:color w:val="000000"/>
              </w:rPr>
              <w:t>October</w:t>
            </w:r>
          </w:p>
        </w:tc>
        <w:tc>
          <w:tcPr>
            <w:tcW w:w="1296" w:type="dxa"/>
            <w:shd w:val="clear" w:color="auto" w:fill="auto"/>
            <w:noWrap/>
            <w:vAlign w:val="center"/>
          </w:tcPr>
          <w:p w:rsidR="0010102B" w:rsidRPr="0010102B" w:rsidRDefault="0010102B" w:rsidP="0010102B">
            <w:pPr>
              <w:jc w:val="center"/>
              <w:rPr>
                <w:rFonts w:cstheme="majorBidi"/>
                <w:b/>
                <w:color w:val="000000"/>
              </w:rPr>
            </w:pPr>
            <w:r w:rsidRPr="0010102B">
              <w:rPr>
                <w:rFonts w:cstheme="majorBidi"/>
                <w:b/>
                <w:color w:val="000000"/>
              </w:rPr>
              <w:t>November</w:t>
            </w:r>
          </w:p>
        </w:tc>
        <w:tc>
          <w:tcPr>
            <w:tcW w:w="1296" w:type="dxa"/>
            <w:shd w:val="clear" w:color="auto" w:fill="auto"/>
            <w:noWrap/>
            <w:vAlign w:val="center"/>
          </w:tcPr>
          <w:p w:rsidR="0010102B" w:rsidRPr="0010102B" w:rsidRDefault="0010102B" w:rsidP="0010102B">
            <w:pPr>
              <w:jc w:val="center"/>
              <w:rPr>
                <w:rFonts w:cstheme="majorBidi"/>
                <w:b/>
                <w:color w:val="000000"/>
              </w:rPr>
            </w:pPr>
            <w:r w:rsidRPr="0010102B">
              <w:rPr>
                <w:rFonts w:cstheme="majorBidi"/>
                <w:b/>
                <w:color w:val="000000"/>
              </w:rPr>
              <w:t>December</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07010104-10001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1.70</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1.64</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07010104-10003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1.14</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1.15</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07010203-10005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1.39</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1.41</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07010206-10009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1.13</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1.13</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07010206-10011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1.08</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1.08</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07010206-10013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1.29</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1.30</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07010206-20009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1.64</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1.65</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07010206-20011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1.40</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1.41</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07010206-20015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1.48</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1.49</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07010206-20017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1.70</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1.64</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07010206-20019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1.31</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1.27</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07010206-20021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1.24</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1.32</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07010206-20023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1.48</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1.42</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07020012-20001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1.29</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1.22</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07020012-20007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1.22</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1.25</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07030005-30001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1.14</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1.11</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07030005-30002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1.05</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0.99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1.09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1.03</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07030005-30003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1.21</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1.13</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07030005-30004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1.12</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1.05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1.11</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07040001-30007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1.77</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2.03</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07040001-40001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1.32</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1.05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1.54</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07040001-40017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1.72</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0.94</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07040002-40007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1.12</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1.29</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07040003-40015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1.65</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1.72</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07040003-50007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1.78</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1.76</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07040004-50001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2.51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2.97</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1.57</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07040006-70001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1.06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1.09</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1.09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1.11</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07040006-80001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1.50</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1.46</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07040006-80009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1.49</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1.84</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07040007-70005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1.04</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0.67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1.80</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07040007-70007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1.85</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1.78</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07040008-80003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2.50</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2.31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2.59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2.23</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07040008-80005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2.07</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1.97</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07050005-40011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1.37</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1.38</w:t>
            </w:r>
          </w:p>
        </w:tc>
      </w:tr>
      <w:tr w:rsidR="0010102B" w:rsidRPr="00854E06" w:rsidTr="0010102B">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07050005-40013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2.25</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2.08</w:t>
            </w:r>
          </w:p>
        </w:tc>
      </w:tr>
    </w:tbl>
    <w:p w:rsidR="0010102B" w:rsidRPr="00854E06" w:rsidRDefault="0010102B" w:rsidP="0010102B">
      <w:pPr>
        <w:jc w:val="center"/>
      </w:pPr>
      <w:r w:rsidRPr="00351E1C">
        <w:rPr>
          <w:b/>
        </w:rPr>
        <w:lastRenderedPageBreak/>
        <w:t>Appendix A</w:t>
      </w:r>
      <w:r>
        <w:rPr>
          <w:b/>
        </w:rPr>
        <w:t>5</w:t>
      </w:r>
      <w:r>
        <w:t xml:space="preserve"> </w:t>
      </w:r>
      <w:r w:rsidRPr="00351E1C">
        <w:rPr>
          <w:i/>
        </w:rPr>
        <w:t>continued</w:t>
      </w:r>
      <w:r>
        <w:rPr>
          <w:i/>
        </w:rPr>
        <w:t>.</w:t>
      </w:r>
    </w:p>
    <w:p w:rsidR="00351E1C" w:rsidRDefault="00351E1C" w:rsidP="001021C0"/>
    <w:p w:rsidR="0010102B" w:rsidRDefault="0010102B" w:rsidP="001021C0"/>
    <w:tbl>
      <w:tblPr>
        <w:tblW w:w="1009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296"/>
        <w:gridCol w:w="1296"/>
        <w:gridCol w:w="1458"/>
        <w:gridCol w:w="1296"/>
        <w:gridCol w:w="1296"/>
        <w:gridCol w:w="1296"/>
      </w:tblGrid>
      <w:tr w:rsidR="0010102B" w:rsidRPr="00854E06" w:rsidTr="003C0F07">
        <w:trPr>
          <w:trHeight w:val="300"/>
        </w:trPr>
        <w:tc>
          <w:tcPr>
            <w:tcW w:w="2160" w:type="dxa"/>
            <w:vAlign w:val="bottom"/>
          </w:tcPr>
          <w:p w:rsidR="0010102B" w:rsidRPr="0010102B" w:rsidRDefault="0010102B" w:rsidP="003C0F07">
            <w:pPr>
              <w:rPr>
                <w:rFonts w:cstheme="majorBidi"/>
                <w:b/>
                <w:color w:val="000000"/>
              </w:rPr>
            </w:pPr>
            <w:r w:rsidRPr="0010102B">
              <w:rPr>
                <w:rFonts w:cstheme="majorBidi"/>
                <w:b/>
                <w:color w:val="000000"/>
              </w:rPr>
              <w:t>Station</w:t>
            </w:r>
          </w:p>
          <w:p w:rsidR="0010102B" w:rsidRPr="0010102B" w:rsidRDefault="0010102B" w:rsidP="003C0F07">
            <w:pPr>
              <w:rPr>
                <w:rFonts w:cstheme="majorBidi"/>
                <w:b/>
                <w:color w:val="000000"/>
              </w:rPr>
            </w:pPr>
            <w:r w:rsidRPr="0010102B">
              <w:rPr>
                <w:rFonts w:cstheme="majorBidi"/>
                <w:b/>
                <w:color w:val="000000"/>
              </w:rPr>
              <w:t xml:space="preserve">(HUC – </w:t>
            </w:r>
            <w:proofErr w:type="spellStart"/>
            <w:r w:rsidRPr="0010102B">
              <w:rPr>
                <w:rFonts w:cstheme="majorBidi"/>
                <w:b/>
                <w:color w:val="000000"/>
              </w:rPr>
              <w:t>Sitecode</w:t>
            </w:r>
            <w:proofErr w:type="spellEnd"/>
            <w:r w:rsidRPr="0010102B">
              <w:rPr>
                <w:rFonts w:cstheme="majorBidi"/>
                <w:b/>
                <w:color w:val="000000"/>
              </w:rPr>
              <w:t>)</w:t>
            </w:r>
          </w:p>
        </w:tc>
        <w:tc>
          <w:tcPr>
            <w:tcW w:w="1296" w:type="dxa"/>
            <w:shd w:val="clear" w:color="auto" w:fill="auto"/>
            <w:noWrap/>
            <w:vAlign w:val="center"/>
          </w:tcPr>
          <w:p w:rsidR="0010102B" w:rsidRPr="0010102B" w:rsidRDefault="0010102B" w:rsidP="003C0F07">
            <w:pPr>
              <w:jc w:val="center"/>
              <w:rPr>
                <w:rFonts w:cstheme="majorBidi"/>
                <w:b/>
                <w:color w:val="000000"/>
              </w:rPr>
            </w:pPr>
            <w:r w:rsidRPr="0010102B">
              <w:rPr>
                <w:rFonts w:cstheme="majorBidi"/>
                <w:b/>
                <w:color w:val="000000"/>
              </w:rPr>
              <w:t>July</w:t>
            </w:r>
          </w:p>
        </w:tc>
        <w:tc>
          <w:tcPr>
            <w:tcW w:w="1296" w:type="dxa"/>
            <w:shd w:val="clear" w:color="auto" w:fill="auto"/>
            <w:noWrap/>
            <w:vAlign w:val="center"/>
          </w:tcPr>
          <w:p w:rsidR="0010102B" w:rsidRPr="0010102B" w:rsidRDefault="0010102B" w:rsidP="003C0F07">
            <w:pPr>
              <w:jc w:val="center"/>
              <w:rPr>
                <w:rFonts w:cstheme="majorBidi"/>
                <w:b/>
                <w:color w:val="000000"/>
              </w:rPr>
            </w:pPr>
            <w:r w:rsidRPr="0010102B">
              <w:rPr>
                <w:rFonts w:cstheme="majorBidi"/>
                <w:b/>
                <w:color w:val="000000"/>
              </w:rPr>
              <w:t>August</w:t>
            </w:r>
          </w:p>
        </w:tc>
        <w:tc>
          <w:tcPr>
            <w:tcW w:w="1458" w:type="dxa"/>
            <w:shd w:val="clear" w:color="auto" w:fill="auto"/>
            <w:noWrap/>
            <w:vAlign w:val="center"/>
          </w:tcPr>
          <w:p w:rsidR="0010102B" w:rsidRPr="0010102B" w:rsidRDefault="0010102B" w:rsidP="003C0F07">
            <w:pPr>
              <w:jc w:val="center"/>
              <w:rPr>
                <w:rFonts w:cstheme="majorBidi"/>
                <w:b/>
                <w:color w:val="000000"/>
              </w:rPr>
            </w:pPr>
            <w:r w:rsidRPr="0010102B">
              <w:rPr>
                <w:rFonts w:cstheme="majorBidi"/>
                <w:b/>
                <w:color w:val="000000"/>
              </w:rPr>
              <w:t>September</w:t>
            </w:r>
          </w:p>
        </w:tc>
        <w:tc>
          <w:tcPr>
            <w:tcW w:w="1296" w:type="dxa"/>
            <w:shd w:val="clear" w:color="auto" w:fill="auto"/>
            <w:noWrap/>
            <w:vAlign w:val="center"/>
          </w:tcPr>
          <w:p w:rsidR="0010102B" w:rsidRPr="0010102B" w:rsidRDefault="0010102B" w:rsidP="003C0F07">
            <w:pPr>
              <w:jc w:val="center"/>
              <w:rPr>
                <w:rFonts w:cstheme="majorBidi"/>
                <w:b/>
                <w:color w:val="000000"/>
              </w:rPr>
            </w:pPr>
            <w:r w:rsidRPr="0010102B">
              <w:rPr>
                <w:rFonts w:cstheme="majorBidi"/>
                <w:b/>
                <w:color w:val="000000"/>
              </w:rPr>
              <w:t>October</w:t>
            </w:r>
          </w:p>
        </w:tc>
        <w:tc>
          <w:tcPr>
            <w:tcW w:w="1296" w:type="dxa"/>
            <w:shd w:val="clear" w:color="auto" w:fill="auto"/>
            <w:noWrap/>
            <w:vAlign w:val="center"/>
          </w:tcPr>
          <w:p w:rsidR="0010102B" w:rsidRPr="0010102B" w:rsidRDefault="0010102B" w:rsidP="003C0F07">
            <w:pPr>
              <w:jc w:val="center"/>
              <w:rPr>
                <w:rFonts w:cstheme="majorBidi"/>
                <w:b/>
                <w:color w:val="000000"/>
              </w:rPr>
            </w:pPr>
            <w:r w:rsidRPr="0010102B">
              <w:rPr>
                <w:rFonts w:cstheme="majorBidi"/>
                <w:b/>
                <w:color w:val="000000"/>
              </w:rPr>
              <w:t>November</w:t>
            </w:r>
          </w:p>
        </w:tc>
        <w:tc>
          <w:tcPr>
            <w:tcW w:w="1296" w:type="dxa"/>
            <w:shd w:val="clear" w:color="auto" w:fill="auto"/>
            <w:noWrap/>
            <w:vAlign w:val="center"/>
          </w:tcPr>
          <w:p w:rsidR="0010102B" w:rsidRPr="0010102B" w:rsidRDefault="0010102B" w:rsidP="003C0F07">
            <w:pPr>
              <w:jc w:val="center"/>
              <w:rPr>
                <w:rFonts w:cstheme="majorBidi"/>
                <w:b/>
                <w:color w:val="000000"/>
              </w:rPr>
            </w:pPr>
            <w:r w:rsidRPr="0010102B">
              <w:rPr>
                <w:rFonts w:cstheme="majorBidi"/>
                <w:b/>
                <w:color w:val="000000"/>
              </w:rPr>
              <w:t>December</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07060001-80007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1.62</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2.47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2.09</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07060001-80011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1.51</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1.77</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07060003-110001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2.49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2.36</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2.22</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07060005-130002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1.41</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1.42</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07070005-100001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1.61</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1.65</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07080101-140003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1.79</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1.75</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07080101-140005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2.01</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2.37</w:t>
            </w:r>
          </w:p>
        </w:tc>
      </w:tr>
      <w:tr w:rsidR="0010102B" w:rsidRPr="00854E06" w:rsidTr="003C0F07">
        <w:trPr>
          <w:trHeight w:val="296"/>
        </w:trPr>
        <w:tc>
          <w:tcPr>
            <w:tcW w:w="2160" w:type="dxa"/>
            <w:vAlign w:val="bottom"/>
          </w:tcPr>
          <w:p w:rsidR="0010102B" w:rsidRPr="00854E06" w:rsidRDefault="0010102B" w:rsidP="003C0F07">
            <w:pPr>
              <w:rPr>
                <w:rFonts w:cstheme="majorBidi"/>
                <w:color w:val="000000"/>
              </w:rPr>
            </w:pPr>
            <w:r w:rsidRPr="00854E06">
              <w:rPr>
                <w:rFonts w:cstheme="majorBidi"/>
                <w:color w:val="000000"/>
              </w:rPr>
              <w:t>07080104-190003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2.57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1.83</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2.34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1.97</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07080107-190001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1.98</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2.02</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07080209-180001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1.63</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1.78</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07090005-160001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1.50</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1.44</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07100006-200003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1.77</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1.76</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07100009-200001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1.53</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1.56</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07110004-250001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1.94</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1.97</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07110007-240001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1.21</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1.29</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07110008-260001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1.76</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1.47</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07110008-260003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1.84</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1.82</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07110009-260009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1.68</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2.52</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2.54</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07110009-260011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1.89</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1.87</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07110009-260013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2.34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2.32</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2.08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1.84</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07130005-260015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1.62</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1.53</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07130008-260017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1.88</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1.77</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07130011-260005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1.31</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1.31</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07130011-260007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1.38</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1.40</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1.20</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07140102-280001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1.88</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1.77</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1.68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1.73</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07140105-300001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1.91</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1.99</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1.95</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07140106-290001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1.38</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1.34</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1.18</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1.18</w:t>
            </w:r>
          </w:p>
        </w:tc>
      </w:tr>
      <w:tr w:rsidR="0010102B" w:rsidRPr="00854E06"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07140204-280003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1.25</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1.25</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1.20</w:t>
            </w:r>
          </w:p>
        </w:tc>
      </w:tr>
      <w:tr w:rsidR="0010102B" w:rsidRPr="00C03D43" w:rsidTr="003C0F07">
        <w:trPr>
          <w:trHeight w:val="300"/>
        </w:trPr>
        <w:tc>
          <w:tcPr>
            <w:tcW w:w="2160" w:type="dxa"/>
            <w:vAlign w:val="bottom"/>
          </w:tcPr>
          <w:p w:rsidR="0010102B" w:rsidRPr="00854E06" w:rsidRDefault="0010102B" w:rsidP="003C0F07">
            <w:pPr>
              <w:rPr>
                <w:rFonts w:cstheme="majorBidi"/>
                <w:color w:val="000000"/>
              </w:rPr>
            </w:pPr>
            <w:r w:rsidRPr="00854E06">
              <w:rPr>
                <w:rFonts w:cstheme="majorBidi"/>
                <w:color w:val="000000"/>
              </w:rPr>
              <w:t>10300200-270001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1.96</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2.21</w:t>
            </w:r>
          </w:p>
        </w:tc>
        <w:tc>
          <w:tcPr>
            <w:tcW w:w="1458"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2.11</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2.23</w:t>
            </w:r>
          </w:p>
        </w:tc>
        <w:tc>
          <w:tcPr>
            <w:tcW w:w="1296" w:type="dxa"/>
            <w:shd w:val="clear" w:color="auto" w:fill="auto"/>
            <w:noWrap/>
            <w:vAlign w:val="bottom"/>
          </w:tcPr>
          <w:p w:rsidR="0010102B" w:rsidRPr="00854E06" w:rsidRDefault="0010102B" w:rsidP="003C0F07">
            <w:pPr>
              <w:jc w:val="right"/>
              <w:rPr>
                <w:rFonts w:cstheme="majorBidi"/>
                <w:color w:val="000000"/>
              </w:rPr>
            </w:pPr>
            <w:r w:rsidRPr="00854E06">
              <w:rPr>
                <w:rFonts w:cstheme="majorBidi"/>
                <w:color w:val="000000"/>
              </w:rPr>
              <w:t>2.25</w:t>
            </w:r>
          </w:p>
        </w:tc>
        <w:tc>
          <w:tcPr>
            <w:tcW w:w="1296" w:type="dxa"/>
            <w:shd w:val="clear" w:color="auto" w:fill="auto"/>
            <w:noWrap/>
            <w:vAlign w:val="bottom"/>
          </w:tcPr>
          <w:p w:rsidR="0010102B" w:rsidRPr="00C03D43" w:rsidRDefault="0010102B" w:rsidP="003C0F07">
            <w:pPr>
              <w:jc w:val="right"/>
              <w:rPr>
                <w:rFonts w:cstheme="majorBidi"/>
                <w:color w:val="000000"/>
              </w:rPr>
            </w:pPr>
            <w:r w:rsidRPr="00854E06">
              <w:rPr>
                <w:rFonts w:cstheme="majorBidi"/>
                <w:color w:val="000000"/>
              </w:rPr>
              <w:t>2.34</w:t>
            </w:r>
          </w:p>
        </w:tc>
      </w:tr>
    </w:tbl>
    <w:p w:rsidR="0010102B" w:rsidRDefault="0010102B" w:rsidP="001021C0">
      <w:pPr>
        <w:sectPr w:rsidR="0010102B" w:rsidSect="00351E1C">
          <w:pgSz w:w="12240" w:h="15840"/>
          <w:pgMar w:top="1440" w:right="1440" w:bottom="1440" w:left="1440" w:header="720" w:footer="720" w:gutter="0"/>
          <w:cols w:space="720"/>
          <w:docGrid w:linePitch="360"/>
        </w:sectPr>
      </w:pPr>
    </w:p>
    <w:p w:rsidR="005F2A24" w:rsidRDefault="0010102B" w:rsidP="005F2A24">
      <w:pPr>
        <w:rPr>
          <w:b/>
          <w:bCs/>
        </w:rPr>
      </w:pPr>
      <w:proofErr w:type="gramStart"/>
      <w:r>
        <w:rPr>
          <w:b/>
          <w:bCs/>
        </w:rPr>
        <w:lastRenderedPageBreak/>
        <w:t>Appendix A6</w:t>
      </w:r>
      <w:r w:rsidR="005F2A24" w:rsidRPr="005F2A24">
        <w:rPr>
          <w:b/>
          <w:bCs/>
        </w:rPr>
        <w:t>.</w:t>
      </w:r>
      <w:proofErr w:type="gramEnd"/>
      <w:r w:rsidR="005F2A24" w:rsidRPr="005F2A24">
        <w:rPr>
          <w:b/>
          <w:bCs/>
        </w:rPr>
        <w:t xml:space="preserve"> Illustration of the difference of values of b using nonlinear regression and ordinary least square regression:</w:t>
      </w:r>
    </w:p>
    <w:p w:rsidR="005F2A24" w:rsidRDefault="005F2A24" w:rsidP="005F2A24">
      <w:pPr>
        <w:rPr>
          <w:b/>
          <w:bCs/>
        </w:rPr>
      </w:pPr>
    </w:p>
    <w:p w:rsidR="005F2A24" w:rsidRDefault="005F2A24" w:rsidP="005F2A24">
      <w:r>
        <w:t>Data taken from station 07030005-30003:</w:t>
      </w:r>
    </w:p>
    <w:p w:rsidR="005F2A24" w:rsidRDefault="005F2A24" w:rsidP="005F2A24"/>
    <w:tbl>
      <w:tblPr>
        <w:tblStyle w:val="TableGrid"/>
        <w:tblW w:w="7020" w:type="dxa"/>
        <w:tblInd w:w="1098" w:type="dxa"/>
        <w:tblLook w:val="04A0" w:firstRow="1" w:lastRow="0" w:firstColumn="1" w:lastColumn="0" w:noHBand="0" w:noVBand="1"/>
      </w:tblPr>
      <w:tblGrid>
        <w:gridCol w:w="3690"/>
        <w:gridCol w:w="3330"/>
      </w:tblGrid>
      <w:tr w:rsidR="005F2A24" w:rsidTr="00813421">
        <w:tc>
          <w:tcPr>
            <w:tcW w:w="3690" w:type="dxa"/>
            <w:vAlign w:val="center"/>
          </w:tcPr>
          <w:p w:rsidR="005F2A24" w:rsidRPr="00813421" w:rsidRDefault="005F2A24" w:rsidP="00813421">
            <w:pPr>
              <w:jc w:val="center"/>
              <w:rPr>
                <w:b/>
                <w:bCs/>
              </w:rPr>
            </w:pPr>
            <w:r w:rsidRPr="00813421">
              <w:rPr>
                <w:b/>
                <w:bCs/>
              </w:rPr>
              <w:t>Annual mean discharge (m</w:t>
            </w:r>
            <w:r w:rsidRPr="00AA6D48">
              <w:rPr>
                <w:b/>
                <w:bCs/>
                <w:vertAlign w:val="superscript"/>
              </w:rPr>
              <w:t>3</w:t>
            </w:r>
            <w:r w:rsidRPr="00813421">
              <w:rPr>
                <w:b/>
                <w:bCs/>
              </w:rPr>
              <w:t>/s)</w:t>
            </w:r>
          </w:p>
        </w:tc>
        <w:tc>
          <w:tcPr>
            <w:tcW w:w="3330" w:type="dxa"/>
            <w:vAlign w:val="center"/>
          </w:tcPr>
          <w:p w:rsidR="005F2A24" w:rsidRPr="00813421" w:rsidRDefault="005F2A24" w:rsidP="00813421">
            <w:pPr>
              <w:jc w:val="center"/>
              <w:rPr>
                <w:b/>
                <w:bCs/>
              </w:rPr>
            </w:pPr>
            <w:r w:rsidRPr="00813421">
              <w:rPr>
                <w:b/>
                <w:bCs/>
              </w:rPr>
              <w:t>Annual mean suspended sediment load (kg/s)</w:t>
            </w:r>
          </w:p>
        </w:tc>
      </w:tr>
      <w:tr w:rsidR="00813421" w:rsidTr="00813421">
        <w:tc>
          <w:tcPr>
            <w:tcW w:w="3690" w:type="dxa"/>
            <w:vAlign w:val="center"/>
          </w:tcPr>
          <w:p w:rsidR="00813421" w:rsidRDefault="00813421" w:rsidP="00813421">
            <w:pPr>
              <w:jc w:val="center"/>
              <w:rPr>
                <w:color w:val="000000"/>
              </w:rPr>
            </w:pPr>
            <w:r>
              <w:rPr>
                <w:color w:val="000000"/>
              </w:rPr>
              <w:t>156.06</w:t>
            </w:r>
          </w:p>
        </w:tc>
        <w:tc>
          <w:tcPr>
            <w:tcW w:w="3330" w:type="dxa"/>
            <w:vAlign w:val="center"/>
          </w:tcPr>
          <w:p w:rsidR="00813421" w:rsidRDefault="00813421" w:rsidP="00813421">
            <w:pPr>
              <w:jc w:val="center"/>
              <w:rPr>
                <w:color w:val="000000"/>
              </w:rPr>
            </w:pPr>
            <w:r>
              <w:rPr>
                <w:color w:val="000000"/>
              </w:rPr>
              <w:t>3.08</w:t>
            </w:r>
          </w:p>
        </w:tc>
      </w:tr>
      <w:tr w:rsidR="00813421" w:rsidTr="00813421">
        <w:tc>
          <w:tcPr>
            <w:tcW w:w="3690" w:type="dxa"/>
            <w:vAlign w:val="center"/>
          </w:tcPr>
          <w:p w:rsidR="00813421" w:rsidRDefault="00813421" w:rsidP="00813421">
            <w:pPr>
              <w:jc w:val="center"/>
              <w:rPr>
                <w:color w:val="000000"/>
              </w:rPr>
            </w:pPr>
            <w:r>
              <w:rPr>
                <w:color w:val="000000"/>
              </w:rPr>
              <w:t>105.93</w:t>
            </w:r>
          </w:p>
        </w:tc>
        <w:tc>
          <w:tcPr>
            <w:tcW w:w="3330" w:type="dxa"/>
            <w:vAlign w:val="center"/>
          </w:tcPr>
          <w:p w:rsidR="00813421" w:rsidRDefault="00813421" w:rsidP="00813421">
            <w:pPr>
              <w:jc w:val="center"/>
              <w:rPr>
                <w:color w:val="000000"/>
              </w:rPr>
            </w:pPr>
            <w:r>
              <w:rPr>
                <w:color w:val="000000"/>
              </w:rPr>
              <w:t>1.50</w:t>
            </w:r>
          </w:p>
        </w:tc>
      </w:tr>
      <w:tr w:rsidR="00813421" w:rsidTr="00813421">
        <w:tc>
          <w:tcPr>
            <w:tcW w:w="3690" w:type="dxa"/>
            <w:vAlign w:val="center"/>
          </w:tcPr>
          <w:p w:rsidR="00813421" w:rsidRDefault="00813421" w:rsidP="00813421">
            <w:pPr>
              <w:jc w:val="center"/>
              <w:rPr>
                <w:color w:val="000000"/>
              </w:rPr>
            </w:pPr>
            <w:r>
              <w:rPr>
                <w:color w:val="000000"/>
              </w:rPr>
              <w:t>108.73</w:t>
            </w:r>
          </w:p>
        </w:tc>
        <w:tc>
          <w:tcPr>
            <w:tcW w:w="3330" w:type="dxa"/>
            <w:vAlign w:val="center"/>
          </w:tcPr>
          <w:p w:rsidR="00813421" w:rsidRDefault="00813421" w:rsidP="00813421">
            <w:pPr>
              <w:jc w:val="center"/>
              <w:rPr>
                <w:color w:val="000000"/>
              </w:rPr>
            </w:pPr>
            <w:r>
              <w:rPr>
                <w:color w:val="000000"/>
              </w:rPr>
              <w:t>0.77</w:t>
            </w:r>
          </w:p>
        </w:tc>
      </w:tr>
      <w:tr w:rsidR="00813421" w:rsidTr="00813421">
        <w:tc>
          <w:tcPr>
            <w:tcW w:w="3690" w:type="dxa"/>
            <w:vAlign w:val="center"/>
          </w:tcPr>
          <w:p w:rsidR="00813421" w:rsidRDefault="00813421" w:rsidP="00813421">
            <w:pPr>
              <w:jc w:val="center"/>
              <w:rPr>
                <w:color w:val="000000"/>
              </w:rPr>
            </w:pPr>
            <w:r>
              <w:rPr>
                <w:color w:val="000000"/>
              </w:rPr>
              <w:t>141.57</w:t>
            </w:r>
          </w:p>
        </w:tc>
        <w:tc>
          <w:tcPr>
            <w:tcW w:w="3330" w:type="dxa"/>
            <w:vAlign w:val="center"/>
          </w:tcPr>
          <w:p w:rsidR="00813421" w:rsidRDefault="00813421" w:rsidP="00813421">
            <w:pPr>
              <w:jc w:val="center"/>
              <w:rPr>
                <w:color w:val="000000"/>
              </w:rPr>
            </w:pPr>
            <w:r>
              <w:rPr>
                <w:color w:val="000000"/>
              </w:rPr>
              <w:t>1.65</w:t>
            </w:r>
          </w:p>
        </w:tc>
      </w:tr>
      <w:tr w:rsidR="00813421" w:rsidTr="00813421">
        <w:tc>
          <w:tcPr>
            <w:tcW w:w="3690" w:type="dxa"/>
            <w:vAlign w:val="center"/>
          </w:tcPr>
          <w:p w:rsidR="00813421" w:rsidRDefault="00813421" w:rsidP="00813421">
            <w:pPr>
              <w:jc w:val="center"/>
              <w:rPr>
                <w:color w:val="000000"/>
              </w:rPr>
            </w:pPr>
            <w:r>
              <w:rPr>
                <w:color w:val="000000"/>
              </w:rPr>
              <w:t>152.92</w:t>
            </w:r>
          </w:p>
        </w:tc>
        <w:tc>
          <w:tcPr>
            <w:tcW w:w="3330" w:type="dxa"/>
            <w:vAlign w:val="center"/>
          </w:tcPr>
          <w:p w:rsidR="00813421" w:rsidRDefault="00813421" w:rsidP="00813421">
            <w:pPr>
              <w:jc w:val="center"/>
              <w:rPr>
                <w:color w:val="000000"/>
              </w:rPr>
            </w:pPr>
            <w:r>
              <w:rPr>
                <w:color w:val="000000"/>
              </w:rPr>
              <w:t>2.42</w:t>
            </w:r>
          </w:p>
        </w:tc>
      </w:tr>
      <w:tr w:rsidR="00813421" w:rsidTr="00813421">
        <w:tc>
          <w:tcPr>
            <w:tcW w:w="3690" w:type="dxa"/>
            <w:vAlign w:val="center"/>
          </w:tcPr>
          <w:p w:rsidR="00813421" w:rsidRDefault="00813421" w:rsidP="00813421">
            <w:pPr>
              <w:jc w:val="center"/>
              <w:rPr>
                <w:color w:val="000000"/>
              </w:rPr>
            </w:pPr>
            <w:r>
              <w:rPr>
                <w:color w:val="000000"/>
              </w:rPr>
              <w:t>83.35</w:t>
            </w:r>
          </w:p>
        </w:tc>
        <w:tc>
          <w:tcPr>
            <w:tcW w:w="3330" w:type="dxa"/>
            <w:vAlign w:val="center"/>
          </w:tcPr>
          <w:p w:rsidR="00813421" w:rsidRDefault="00813421" w:rsidP="00813421">
            <w:pPr>
              <w:jc w:val="center"/>
              <w:rPr>
                <w:color w:val="000000"/>
              </w:rPr>
            </w:pPr>
            <w:r>
              <w:rPr>
                <w:color w:val="000000"/>
              </w:rPr>
              <w:t>0.51</w:t>
            </w:r>
          </w:p>
        </w:tc>
      </w:tr>
      <w:tr w:rsidR="00813421" w:rsidTr="00813421">
        <w:tc>
          <w:tcPr>
            <w:tcW w:w="3690" w:type="dxa"/>
            <w:vAlign w:val="center"/>
          </w:tcPr>
          <w:p w:rsidR="00813421" w:rsidRDefault="00813421" w:rsidP="00813421">
            <w:pPr>
              <w:jc w:val="center"/>
              <w:rPr>
                <w:color w:val="000000"/>
              </w:rPr>
            </w:pPr>
            <w:r>
              <w:rPr>
                <w:color w:val="000000"/>
              </w:rPr>
              <w:t>131.86</w:t>
            </w:r>
          </w:p>
        </w:tc>
        <w:tc>
          <w:tcPr>
            <w:tcW w:w="3330" w:type="dxa"/>
            <w:vAlign w:val="center"/>
          </w:tcPr>
          <w:p w:rsidR="00813421" w:rsidRDefault="00813421" w:rsidP="00813421">
            <w:pPr>
              <w:jc w:val="center"/>
              <w:rPr>
                <w:color w:val="000000"/>
              </w:rPr>
            </w:pPr>
            <w:r>
              <w:rPr>
                <w:color w:val="000000"/>
              </w:rPr>
              <w:t>1.28</w:t>
            </w:r>
          </w:p>
        </w:tc>
      </w:tr>
      <w:tr w:rsidR="00813421" w:rsidTr="00813421">
        <w:tc>
          <w:tcPr>
            <w:tcW w:w="3690" w:type="dxa"/>
            <w:vAlign w:val="center"/>
          </w:tcPr>
          <w:p w:rsidR="00813421" w:rsidRDefault="00813421" w:rsidP="00813421">
            <w:pPr>
              <w:jc w:val="center"/>
              <w:rPr>
                <w:color w:val="000000"/>
              </w:rPr>
            </w:pPr>
            <w:r>
              <w:rPr>
                <w:color w:val="000000"/>
              </w:rPr>
              <w:t>163.56</w:t>
            </w:r>
          </w:p>
        </w:tc>
        <w:tc>
          <w:tcPr>
            <w:tcW w:w="3330" w:type="dxa"/>
            <w:vAlign w:val="center"/>
          </w:tcPr>
          <w:p w:rsidR="00813421" w:rsidRDefault="00813421" w:rsidP="00813421">
            <w:pPr>
              <w:jc w:val="center"/>
              <w:rPr>
                <w:color w:val="000000"/>
              </w:rPr>
            </w:pPr>
            <w:r>
              <w:rPr>
                <w:color w:val="000000"/>
              </w:rPr>
              <w:t>1.83</w:t>
            </w:r>
          </w:p>
        </w:tc>
      </w:tr>
      <w:tr w:rsidR="00813421" w:rsidTr="00813421">
        <w:tc>
          <w:tcPr>
            <w:tcW w:w="3690" w:type="dxa"/>
            <w:vAlign w:val="center"/>
          </w:tcPr>
          <w:p w:rsidR="00813421" w:rsidRDefault="00813421" w:rsidP="00813421">
            <w:pPr>
              <w:jc w:val="center"/>
              <w:rPr>
                <w:color w:val="000000"/>
              </w:rPr>
            </w:pPr>
            <w:r>
              <w:rPr>
                <w:color w:val="000000"/>
              </w:rPr>
              <w:t>181.51</w:t>
            </w:r>
          </w:p>
        </w:tc>
        <w:tc>
          <w:tcPr>
            <w:tcW w:w="3330" w:type="dxa"/>
            <w:vAlign w:val="center"/>
          </w:tcPr>
          <w:p w:rsidR="00813421" w:rsidRDefault="00813421" w:rsidP="00813421">
            <w:pPr>
              <w:jc w:val="center"/>
              <w:rPr>
                <w:color w:val="000000"/>
              </w:rPr>
            </w:pPr>
            <w:r>
              <w:rPr>
                <w:color w:val="000000"/>
              </w:rPr>
              <w:t>1.70</w:t>
            </w:r>
          </w:p>
        </w:tc>
      </w:tr>
      <w:tr w:rsidR="00813421" w:rsidTr="00813421">
        <w:tc>
          <w:tcPr>
            <w:tcW w:w="3690" w:type="dxa"/>
            <w:vAlign w:val="center"/>
          </w:tcPr>
          <w:p w:rsidR="00813421" w:rsidRDefault="00813421" w:rsidP="00813421">
            <w:pPr>
              <w:jc w:val="center"/>
              <w:rPr>
                <w:color w:val="000000"/>
              </w:rPr>
            </w:pPr>
            <w:r>
              <w:rPr>
                <w:color w:val="000000"/>
              </w:rPr>
              <w:t>198.21</w:t>
            </w:r>
          </w:p>
        </w:tc>
        <w:tc>
          <w:tcPr>
            <w:tcW w:w="3330" w:type="dxa"/>
            <w:vAlign w:val="center"/>
          </w:tcPr>
          <w:p w:rsidR="00813421" w:rsidRDefault="00813421" w:rsidP="00813421">
            <w:pPr>
              <w:jc w:val="center"/>
              <w:rPr>
                <w:color w:val="000000"/>
              </w:rPr>
            </w:pPr>
            <w:r>
              <w:rPr>
                <w:color w:val="000000"/>
              </w:rPr>
              <w:t>2.72</w:t>
            </w:r>
          </w:p>
        </w:tc>
      </w:tr>
      <w:tr w:rsidR="00813421" w:rsidTr="00813421">
        <w:tc>
          <w:tcPr>
            <w:tcW w:w="3690" w:type="dxa"/>
            <w:vAlign w:val="center"/>
          </w:tcPr>
          <w:p w:rsidR="00813421" w:rsidRDefault="00813421" w:rsidP="00813421">
            <w:pPr>
              <w:jc w:val="center"/>
              <w:rPr>
                <w:color w:val="000000"/>
              </w:rPr>
            </w:pPr>
            <w:r>
              <w:rPr>
                <w:color w:val="000000"/>
              </w:rPr>
              <w:t>180.56</w:t>
            </w:r>
          </w:p>
        </w:tc>
        <w:tc>
          <w:tcPr>
            <w:tcW w:w="3330" w:type="dxa"/>
            <w:vAlign w:val="center"/>
          </w:tcPr>
          <w:p w:rsidR="00813421" w:rsidRDefault="00813421" w:rsidP="00813421">
            <w:pPr>
              <w:jc w:val="center"/>
              <w:rPr>
                <w:color w:val="000000"/>
              </w:rPr>
            </w:pPr>
            <w:r>
              <w:rPr>
                <w:color w:val="000000"/>
              </w:rPr>
              <w:t>1.87</w:t>
            </w:r>
          </w:p>
        </w:tc>
      </w:tr>
      <w:tr w:rsidR="00813421" w:rsidTr="00813421">
        <w:tc>
          <w:tcPr>
            <w:tcW w:w="3690" w:type="dxa"/>
            <w:vAlign w:val="center"/>
          </w:tcPr>
          <w:p w:rsidR="00813421" w:rsidRDefault="00813421" w:rsidP="00813421">
            <w:pPr>
              <w:jc w:val="center"/>
              <w:rPr>
                <w:color w:val="000000"/>
              </w:rPr>
            </w:pPr>
            <w:r>
              <w:rPr>
                <w:color w:val="000000"/>
              </w:rPr>
              <w:t>237.66</w:t>
            </w:r>
          </w:p>
        </w:tc>
        <w:tc>
          <w:tcPr>
            <w:tcW w:w="3330" w:type="dxa"/>
            <w:vAlign w:val="center"/>
          </w:tcPr>
          <w:p w:rsidR="00813421" w:rsidRDefault="00813421" w:rsidP="00813421">
            <w:pPr>
              <w:jc w:val="center"/>
              <w:rPr>
                <w:color w:val="000000"/>
              </w:rPr>
            </w:pPr>
            <w:r>
              <w:rPr>
                <w:color w:val="000000"/>
              </w:rPr>
              <w:t>4.59</w:t>
            </w:r>
          </w:p>
        </w:tc>
      </w:tr>
      <w:tr w:rsidR="00813421" w:rsidTr="00813421">
        <w:tc>
          <w:tcPr>
            <w:tcW w:w="3690" w:type="dxa"/>
            <w:vAlign w:val="center"/>
          </w:tcPr>
          <w:p w:rsidR="00813421" w:rsidRDefault="00813421" w:rsidP="00813421">
            <w:pPr>
              <w:jc w:val="center"/>
              <w:rPr>
                <w:color w:val="000000"/>
              </w:rPr>
            </w:pPr>
            <w:r>
              <w:rPr>
                <w:color w:val="000000"/>
              </w:rPr>
              <w:t>79.14</w:t>
            </w:r>
          </w:p>
        </w:tc>
        <w:tc>
          <w:tcPr>
            <w:tcW w:w="3330" w:type="dxa"/>
            <w:vAlign w:val="center"/>
          </w:tcPr>
          <w:p w:rsidR="00813421" w:rsidRDefault="00813421" w:rsidP="00813421">
            <w:pPr>
              <w:jc w:val="center"/>
              <w:rPr>
                <w:color w:val="000000"/>
              </w:rPr>
            </w:pPr>
            <w:r>
              <w:rPr>
                <w:color w:val="000000"/>
              </w:rPr>
              <w:t>0.43</w:t>
            </w:r>
          </w:p>
        </w:tc>
      </w:tr>
      <w:tr w:rsidR="00813421" w:rsidTr="00813421">
        <w:tc>
          <w:tcPr>
            <w:tcW w:w="3690" w:type="dxa"/>
            <w:vAlign w:val="center"/>
          </w:tcPr>
          <w:p w:rsidR="00813421" w:rsidRDefault="00813421" w:rsidP="00813421">
            <w:pPr>
              <w:jc w:val="center"/>
              <w:rPr>
                <w:color w:val="000000"/>
              </w:rPr>
            </w:pPr>
            <w:r>
              <w:rPr>
                <w:color w:val="000000"/>
              </w:rPr>
              <w:t>78.55</w:t>
            </w:r>
          </w:p>
        </w:tc>
        <w:tc>
          <w:tcPr>
            <w:tcW w:w="3330" w:type="dxa"/>
            <w:vAlign w:val="center"/>
          </w:tcPr>
          <w:p w:rsidR="00813421" w:rsidRDefault="00813421" w:rsidP="00813421">
            <w:pPr>
              <w:jc w:val="center"/>
              <w:rPr>
                <w:color w:val="000000"/>
              </w:rPr>
            </w:pPr>
            <w:r>
              <w:rPr>
                <w:color w:val="000000"/>
              </w:rPr>
              <w:t>0.48</w:t>
            </w:r>
          </w:p>
        </w:tc>
      </w:tr>
      <w:tr w:rsidR="00813421" w:rsidTr="00813421">
        <w:tc>
          <w:tcPr>
            <w:tcW w:w="3690" w:type="dxa"/>
            <w:vAlign w:val="center"/>
          </w:tcPr>
          <w:p w:rsidR="00813421" w:rsidRDefault="00813421" w:rsidP="00813421">
            <w:pPr>
              <w:jc w:val="center"/>
              <w:rPr>
                <w:color w:val="000000"/>
              </w:rPr>
            </w:pPr>
            <w:r>
              <w:rPr>
                <w:color w:val="000000"/>
              </w:rPr>
              <w:t>96.47</w:t>
            </w:r>
          </w:p>
        </w:tc>
        <w:tc>
          <w:tcPr>
            <w:tcW w:w="3330" w:type="dxa"/>
            <w:vAlign w:val="center"/>
          </w:tcPr>
          <w:p w:rsidR="00813421" w:rsidRDefault="00813421" w:rsidP="00813421">
            <w:pPr>
              <w:jc w:val="center"/>
              <w:rPr>
                <w:color w:val="000000"/>
              </w:rPr>
            </w:pPr>
            <w:r>
              <w:rPr>
                <w:color w:val="000000"/>
              </w:rPr>
              <w:t>0.85</w:t>
            </w:r>
          </w:p>
        </w:tc>
      </w:tr>
      <w:tr w:rsidR="00813421" w:rsidTr="00813421">
        <w:tc>
          <w:tcPr>
            <w:tcW w:w="3690" w:type="dxa"/>
            <w:vAlign w:val="center"/>
          </w:tcPr>
          <w:p w:rsidR="00813421" w:rsidRDefault="00813421" w:rsidP="00813421">
            <w:pPr>
              <w:jc w:val="center"/>
              <w:rPr>
                <w:color w:val="000000"/>
              </w:rPr>
            </w:pPr>
            <w:r>
              <w:rPr>
                <w:color w:val="000000"/>
              </w:rPr>
              <w:t>106.18</w:t>
            </w:r>
          </w:p>
        </w:tc>
        <w:tc>
          <w:tcPr>
            <w:tcW w:w="3330" w:type="dxa"/>
            <w:vAlign w:val="center"/>
          </w:tcPr>
          <w:p w:rsidR="00813421" w:rsidRDefault="00813421" w:rsidP="00813421">
            <w:pPr>
              <w:jc w:val="center"/>
              <w:rPr>
                <w:color w:val="000000"/>
              </w:rPr>
            </w:pPr>
            <w:r>
              <w:rPr>
                <w:color w:val="000000"/>
              </w:rPr>
              <w:t>0.78</w:t>
            </w:r>
          </w:p>
        </w:tc>
      </w:tr>
      <w:tr w:rsidR="00813421" w:rsidTr="00813421">
        <w:tc>
          <w:tcPr>
            <w:tcW w:w="3690" w:type="dxa"/>
            <w:vAlign w:val="center"/>
          </w:tcPr>
          <w:p w:rsidR="00813421" w:rsidRDefault="00813421" w:rsidP="00813421">
            <w:pPr>
              <w:jc w:val="center"/>
              <w:rPr>
                <w:color w:val="000000"/>
              </w:rPr>
            </w:pPr>
            <w:r>
              <w:rPr>
                <w:color w:val="000000"/>
              </w:rPr>
              <w:t>172.80</w:t>
            </w:r>
          </w:p>
        </w:tc>
        <w:tc>
          <w:tcPr>
            <w:tcW w:w="3330" w:type="dxa"/>
            <w:vAlign w:val="center"/>
          </w:tcPr>
          <w:p w:rsidR="00813421" w:rsidRDefault="00813421" w:rsidP="00813421">
            <w:pPr>
              <w:jc w:val="center"/>
              <w:rPr>
                <w:color w:val="000000"/>
              </w:rPr>
            </w:pPr>
            <w:r>
              <w:rPr>
                <w:color w:val="000000"/>
              </w:rPr>
              <w:t>1.85</w:t>
            </w:r>
          </w:p>
        </w:tc>
      </w:tr>
      <w:tr w:rsidR="00813421" w:rsidTr="00813421">
        <w:tc>
          <w:tcPr>
            <w:tcW w:w="3690" w:type="dxa"/>
            <w:vAlign w:val="center"/>
          </w:tcPr>
          <w:p w:rsidR="00813421" w:rsidRDefault="00813421" w:rsidP="00813421">
            <w:pPr>
              <w:jc w:val="center"/>
              <w:rPr>
                <w:color w:val="000000"/>
              </w:rPr>
            </w:pPr>
            <w:r>
              <w:rPr>
                <w:color w:val="000000"/>
              </w:rPr>
              <w:t>137.61</w:t>
            </w:r>
          </w:p>
        </w:tc>
        <w:tc>
          <w:tcPr>
            <w:tcW w:w="3330" w:type="dxa"/>
            <w:vAlign w:val="center"/>
          </w:tcPr>
          <w:p w:rsidR="00813421" w:rsidRDefault="00813421" w:rsidP="00813421">
            <w:pPr>
              <w:jc w:val="center"/>
              <w:rPr>
                <w:color w:val="000000"/>
              </w:rPr>
            </w:pPr>
            <w:r>
              <w:rPr>
                <w:color w:val="000000"/>
              </w:rPr>
              <w:t>1.17</w:t>
            </w:r>
          </w:p>
        </w:tc>
      </w:tr>
      <w:tr w:rsidR="00813421" w:rsidTr="00813421">
        <w:tc>
          <w:tcPr>
            <w:tcW w:w="3690" w:type="dxa"/>
            <w:vAlign w:val="center"/>
          </w:tcPr>
          <w:p w:rsidR="00813421" w:rsidRDefault="00813421" w:rsidP="00813421">
            <w:pPr>
              <w:jc w:val="center"/>
              <w:rPr>
                <w:color w:val="000000"/>
              </w:rPr>
            </w:pPr>
            <w:r>
              <w:rPr>
                <w:color w:val="000000"/>
              </w:rPr>
              <w:t>141.51</w:t>
            </w:r>
          </w:p>
        </w:tc>
        <w:tc>
          <w:tcPr>
            <w:tcW w:w="3330" w:type="dxa"/>
            <w:vAlign w:val="center"/>
          </w:tcPr>
          <w:p w:rsidR="00813421" w:rsidRDefault="00813421" w:rsidP="00813421">
            <w:pPr>
              <w:jc w:val="center"/>
              <w:rPr>
                <w:color w:val="000000"/>
              </w:rPr>
            </w:pPr>
            <w:r>
              <w:rPr>
                <w:color w:val="000000"/>
              </w:rPr>
              <w:t>1.43</w:t>
            </w:r>
          </w:p>
        </w:tc>
      </w:tr>
    </w:tbl>
    <w:p w:rsidR="005F2A24" w:rsidRPr="005F2A24" w:rsidRDefault="005F2A24" w:rsidP="005F2A24"/>
    <w:p w:rsidR="005F2A24" w:rsidRDefault="005F2A24" w:rsidP="005F2A24"/>
    <w:p w:rsidR="005F2A24" w:rsidRPr="005F2A24" w:rsidRDefault="005F2A24" w:rsidP="005F2A24">
      <w:pPr>
        <w:pStyle w:val="ListParagraph"/>
        <w:numPr>
          <w:ilvl w:val="0"/>
          <w:numId w:val="37"/>
        </w:numPr>
        <w:spacing w:after="0" w:line="240" w:lineRule="auto"/>
        <w:ind w:left="360"/>
        <w:rPr>
          <w:rFonts w:asciiTheme="majorBidi" w:hAnsiTheme="majorBidi" w:cstheme="majorBidi"/>
          <w:sz w:val="24"/>
          <w:szCs w:val="24"/>
        </w:rPr>
      </w:pPr>
      <w:r w:rsidRPr="005F2A24">
        <w:rPr>
          <w:rFonts w:asciiTheme="majorBidi" w:hAnsiTheme="majorBidi" w:cstheme="majorBidi"/>
          <w:sz w:val="24"/>
          <w:szCs w:val="24"/>
        </w:rPr>
        <w:t>Ordinary least square regression (with logarithmic data):</w:t>
      </w:r>
    </w:p>
    <w:p w:rsidR="005F2A24" w:rsidRPr="005F2A24" w:rsidRDefault="005F2A24" w:rsidP="005F2A24">
      <w:pPr>
        <w:rPr>
          <w:rFonts w:cstheme="majorBidi"/>
        </w:rPr>
      </w:pPr>
      <w:r w:rsidRPr="005F2A24">
        <w:rPr>
          <w:rFonts w:cstheme="majorBidi"/>
        </w:rPr>
        <w:tab/>
        <w:t xml:space="preserve">Model: </w:t>
      </w:r>
      <m:oMath>
        <m:r>
          <w:rPr>
            <w:rFonts w:ascii="Cambria Math" w:hAnsi="Cambria Math" w:cstheme="majorBidi"/>
          </w:rPr>
          <m:t>ln(Load) = ln(a) + b×ln(Q)</m:t>
        </m:r>
      </m:oMath>
    </w:p>
    <w:p w:rsidR="005F2A24" w:rsidRPr="005F2A24" w:rsidRDefault="005F2A24" w:rsidP="005F2A24">
      <w:pPr>
        <w:rPr>
          <w:rFonts w:cstheme="majorBidi"/>
        </w:rPr>
      </w:pPr>
    </w:p>
    <w:p w:rsidR="005F2A24" w:rsidRPr="005F2A24" w:rsidRDefault="005F2A24" w:rsidP="005F2A24">
      <w:pPr>
        <w:rPr>
          <w:rFonts w:cstheme="majorBidi"/>
        </w:rPr>
      </w:pPr>
      <w:r w:rsidRPr="005F2A24">
        <w:rPr>
          <w:rFonts w:cstheme="majorBidi"/>
        </w:rPr>
        <w:t>Estimated Coefficients:</w:t>
      </w:r>
    </w:p>
    <w:tbl>
      <w:tblPr>
        <w:tblStyle w:val="TableGrid"/>
        <w:tblW w:w="0" w:type="auto"/>
        <w:tblLook w:val="04A0" w:firstRow="1" w:lastRow="0" w:firstColumn="1" w:lastColumn="0" w:noHBand="0" w:noVBand="1"/>
      </w:tblPr>
      <w:tblGrid>
        <w:gridCol w:w="1915"/>
        <w:gridCol w:w="1915"/>
        <w:gridCol w:w="1915"/>
        <w:gridCol w:w="1915"/>
      </w:tblGrid>
      <w:tr w:rsidR="005F2A24" w:rsidRPr="005F2A24" w:rsidTr="006473B4">
        <w:tc>
          <w:tcPr>
            <w:tcW w:w="1915" w:type="dxa"/>
          </w:tcPr>
          <w:p w:rsidR="005F2A24" w:rsidRPr="005F2A24" w:rsidRDefault="005F2A24" w:rsidP="006473B4">
            <w:pPr>
              <w:rPr>
                <w:rFonts w:cstheme="majorBidi"/>
              </w:rPr>
            </w:pPr>
          </w:p>
        </w:tc>
        <w:tc>
          <w:tcPr>
            <w:tcW w:w="1915" w:type="dxa"/>
          </w:tcPr>
          <w:p w:rsidR="005F2A24" w:rsidRPr="005F2A24" w:rsidRDefault="005F2A24" w:rsidP="006473B4">
            <w:pPr>
              <w:rPr>
                <w:rFonts w:cstheme="majorBidi"/>
              </w:rPr>
            </w:pPr>
            <w:r w:rsidRPr="005F2A24">
              <w:rPr>
                <w:rFonts w:cstheme="majorBidi"/>
              </w:rPr>
              <w:t>Estimate</w:t>
            </w:r>
          </w:p>
        </w:tc>
        <w:tc>
          <w:tcPr>
            <w:tcW w:w="1915" w:type="dxa"/>
          </w:tcPr>
          <w:p w:rsidR="005F2A24" w:rsidRPr="005F2A24" w:rsidRDefault="005F2A24" w:rsidP="006473B4">
            <w:pPr>
              <w:rPr>
                <w:rFonts w:cstheme="majorBidi"/>
              </w:rPr>
            </w:pPr>
            <w:r w:rsidRPr="005F2A24">
              <w:rPr>
                <w:rFonts w:cstheme="majorBidi"/>
              </w:rPr>
              <w:t>Standard Error</w:t>
            </w:r>
          </w:p>
        </w:tc>
        <w:tc>
          <w:tcPr>
            <w:tcW w:w="1915" w:type="dxa"/>
          </w:tcPr>
          <w:p w:rsidR="005F2A24" w:rsidRPr="005F2A24" w:rsidRDefault="005F2A24" w:rsidP="006473B4">
            <w:pPr>
              <w:rPr>
                <w:rFonts w:cstheme="majorBidi"/>
              </w:rPr>
            </w:pPr>
            <w:proofErr w:type="spellStart"/>
            <w:r w:rsidRPr="005F2A24">
              <w:rPr>
                <w:rFonts w:cstheme="majorBidi"/>
              </w:rPr>
              <w:t>pValue</w:t>
            </w:r>
            <w:proofErr w:type="spellEnd"/>
          </w:p>
        </w:tc>
      </w:tr>
      <w:tr w:rsidR="005F2A24" w:rsidRPr="005F2A24" w:rsidTr="006473B4">
        <w:tc>
          <w:tcPr>
            <w:tcW w:w="1915" w:type="dxa"/>
          </w:tcPr>
          <w:p w:rsidR="005F2A24" w:rsidRPr="005F2A24" w:rsidRDefault="005F2A24" w:rsidP="006473B4">
            <w:pPr>
              <w:rPr>
                <w:rFonts w:cstheme="majorBidi"/>
              </w:rPr>
            </w:pPr>
            <m:oMathPara>
              <m:oMath>
                <m:r>
                  <w:rPr>
                    <w:rFonts w:ascii="Cambria Math" w:hAnsi="Cambria Math" w:cstheme="majorBidi"/>
                  </w:rPr>
                  <m:t>ln(a)</m:t>
                </m:r>
              </m:oMath>
            </m:oMathPara>
          </w:p>
        </w:tc>
        <w:tc>
          <w:tcPr>
            <w:tcW w:w="1915" w:type="dxa"/>
          </w:tcPr>
          <w:p w:rsidR="005F2A24" w:rsidRPr="005F2A24" w:rsidRDefault="005F2A24" w:rsidP="006473B4">
            <w:pPr>
              <w:rPr>
                <w:rFonts w:cstheme="majorBidi"/>
              </w:rPr>
            </w:pPr>
            <w:r w:rsidRPr="005F2A24">
              <w:rPr>
                <w:rFonts w:cstheme="majorBidi"/>
              </w:rPr>
              <w:t>-8.869</w:t>
            </w:r>
          </w:p>
        </w:tc>
        <w:tc>
          <w:tcPr>
            <w:tcW w:w="1915" w:type="dxa"/>
          </w:tcPr>
          <w:p w:rsidR="005F2A24" w:rsidRPr="005F2A24" w:rsidRDefault="005F2A24" w:rsidP="006473B4">
            <w:pPr>
              <w:rPr>
                <w:rFonts w:cstheme="majorBidi"/>
              </w:rPr>
            </w:pPr>
            <w:r w:rsidRPr="005F2A24">
              <w:rPr>
                <w:rFonts w:cstheme="majorBidi"/>
              </w:rPr>
              <w:t>0.901</w:t>
            </w:r>
          </w:p>
        </w:tc>
        <w:tc>
          <w:tcPr>
            <w:tcW w:w="1915" w:type="dxa"/>
          </w:tcPr>
          <w:p w:rsidR="005F2A24" w:rsidRPr="005F2A24" w:rsidRDefault="005F2A24" w:rsidP="006473B4">
            <w:pPr>
              <w:rPr>
                <w:rFonts w:cstheme="majorBidi"/>
              </w:rPr>
            </w:pPr>
            <w:r w:rsidRPr="005F2A24">
              <w:rPr>
                <w:rFonts w:cstheme="majorBidi"/>
              </w:rPr>
              <w:t>0.000</w:t>
            </w:r>
          </w:p>
        </w:tc>
      </w:tr>
      <w:tr w:rsidR="005F2A24" w:rsidRPr="005F2A24" w:rsidTr="006473B4">
        <w:tc>
          <w:tcPr>
            <w:tcW w:w="1915" w:type="dxa"/>
          </w:tcPr>
          <w:p w:rsidR="005F2A24" w:rsidRPr="005F2A24" w:rsidRDefault="005F2A24" w:rsidP="006473B4">
            <w:pPr>
              <w:rPr>
                <w:rFonts w:cstheme="majorBidi"/>
              </w:rPr>
            </w:pPr>
            <m:oMathPara>
              <m:oMath>
                <m:r>
                  <w:rPr>
                    <w:rFonts w:ascii="Cambria Math" w:hAnsi="Cambria Math" w:cstheme="majorBidi"/>
                  </w:rPr>
                  <m:t>b</m:t>
                </m:r>
              </m:oMath>
            </m:oMathPara>
          </w:p>
        </w:tc>
        <w:tc>
          <w:tcPr>
            <w:tcW w:w="1915" w:type="dxa"/>
          </w:tcPr>
          <w:p w:rsidR="005F2A24" w:rsidRPr="005F2A24" w:rsidRDefault="005F2A24" w:rsidP="006473B4">
            <w:pPr>
              <w:rPr>
                <w:rFonts w:cstheme="majorBidi"/>
              </w:rPr>
            </w:pPr>
            <w:r w:rsidRPr="005F2A24">
              <w:rPr>
                <w:rFonts w:cstheme="majorBidi"/>
              </w:rPr>
              <w:t>1.874</w:t>
            </w:r>
          </w:p>
        </w:tc>
        <w:tc>
          <w:tcPr>
            <w:tcW w:w="1915" w:type="dxa"/>
          </w:tcPr>
          <w:p w:rsidR="005F2A24" w:rsidRPr="005F2A24" w:rsidRDefault="005F2A24" w:rsidP="006473B4">
            <w:pPr>
              <w:rPr>
                <w:rFonts w:cstheme="majorBidi"/>
              </w:rPr>
            </w:pPr>
            <w:r w:rsidRPr="005F2A24">
              <w:rPr>
                <w:rFonts w:cstheme="majorBidi"/>
              </w:rPr>
              <w:t>0.183</w:t>
            </w:r>
          </w:p>
        </w:tc>
        <w:tc>
          <w:tcPr>
            <w:tcW w:w="1915" w:type="dxa"/>
          </w:tcPr>
          <w:p w:rsidR="005F2A24" w:rsidRPr="005F2A24" w:rsidRDefault="005F2A24" w:rsidP="006473B4">
            <w:pPr>
              <w:rPr>
                <w:rFonts w:cstheme="majorBidi"/>
              </w:rPr>
            </w:pPr>
            <w:r w:rsidRPr="005F2A24">
              <w:rPr>
                <w:rFonts w:cstheme="majorBidi"/>
              </w:rPr>
              <w:t>0.000</w:t>
            </w:r>
          </w:p>
        </w:tc>
      </w:tr>
    </w:tbl>
    <w:p w:rsidR="005F2A24" w:rsidRPr="005F2A24" w:rsidRDefault="005F2A24" w:rsidP="005F2A24">
      <w:pPr>
        <w:rPr>
          <w:rFonts w:cstheme="majorBidi"/>
        </w:rPr>
      </w:pPr>
    </w:p>
    <w:p w:rsidR="005F2A24" w:rsidRPr="005F2A24" w:rsidRDefault="005F2A24" w:rsidP="005F2A24">
      <w:pPr>
        <w:rPr>
          <w:rFonts w:cstheme="majorBidi"/>
        </w:rPr>
      </w:pPr>
      <w:r w:rsidRPr="005F2A24">
        <w:rPr>
          <w:rFonts w:cstheme="majorBidi"/>
        </w:rPr>
        <w:t>Root Mean Squared Error: 0.251</w:t>
      </w:r>
    </w:p>
    <w:p w:rsidR="005F2A24" w:rsidRPr="005F2A24" w:rsidRDefault="005F2A24" w:rsidP="005F2A24">
      <w:pPr>
        <w:rPr>
          <w:rFonts w:cstheme="majorBidi"/>
        </w:rPr>
      </w:pPr>
      <w:r w:rsidRPr="005F2A24">
        <w:rPr>
          <w:rFonts w:cstheme="majorBidi"/>
        </w:rPr>
        <w:t>R-squared: 0.859</w:t>
      </w:r>
      <w:proofErr w:type="gramStart"/>
      <w:r w:rsidRPr="005F2A24">
        <w:rPr>
          <w:rFonts w:cstheme="majorBidi"/>
        </w:rPr>
        <w:t>,  Adjusted</w:t>
      </w:r>
      <w:proofErr w:type="gramEnd"/>
      <w:r w:rsidRPr="005F2A24">
        <w:rPr>
          <w:rFonts w:cstheme="majorBidi"/>
        </w:rPr>
        <w:t xml:space="preserve"> R-Squared 0.851</w:t>
      </w:r>
    </w:p>
    <w:p w:rsidR="005F2A24" w:rsidRPr="005F2A24" w:rsidRDefault="005F2A24" w:rsidP="005F2A24">
      <w:pPr>
        <w:rPr>
          <w:rFonts w:cstheme="majorBidi"/>
        </w:rPr>
      </w:pPr>
      <w:r w:rsidRPr="005F2A24">
        <w:rPr>
          <w:rFonts w:cstheme="majorBidi"/>
        </w:rPr>
        <w:t xml:space="preserve">F-statistic vs. constant model: 104, p-value = 1.17e-08 </w:t>
      </w:r>
    </w:p>
    <w:p w:rsidR="005F2A24" w:rsidRPr="005F2A24" w:rsidRDefault="005F2A24" w:rsidP="005F2A24">
      <w:pPr>
        <w:rPr>
          <w:rFonts w:cstheme="majorBidi"/>
        </w:rPr>
      </w:pPr>
    </w:p>
    <w:p w:rsidR="005F2A24" w:rsidRPr="005F2A24" w:rsidRDefault="005F2A24" w:rsidP="005F2A24">
      <w:pPr>
        <w:pStyle w:val="ListParagraph"/>
        <w:numPr>
          <w:ilvl w:val="0"/>
          <w:numId w:val="37"/>
        </w:numPr>
        <w:spacing w:after="0" w:line="240" w:lineRule="auto"/>
        <w:ind w:left="360"/>
        <w:rPr>
          <w:rFonts w:asciiTheme="majorBidi" w:hAnsiTheme="majorBidi" w:cstheme="majorBidi"/>
          <w:sz w:val="24"/>
          <w:szCs w:val="24"/>
        </w:rPr>
      </w:pPr>
      <w:r w:rsidRPr="005F2A24">
        <w:rPr>
          <w:rFonts w:asciiTheme="majorBidi" w:hAnsiTheme="majorBidi" w:cstheme="majorBidi"/>
          <w:sz w:val="24"/>
          <w:szCs w:val="24"/>
        </w:rPr>
        <w:t>Nonlinear regression (with raw data):</w:t>
      </w:r>
    </w:p>
    <w:p w:rsidR="005F2A24" w:rsidRPr="005F2A24" w:rsidRDefault="005F2A24" w:rsidP="005F2A24">
      <w:pPr>
        <w:rPr>
          <w:rFonts w:cstheme="majorBidi"/>
        </w:rPr>
      </w:pPr>
      <w:r w:rsidRPr="005F2A24">
        <w:rPr>
          <w:rFonts w:cstheme="majorBidi"/>
        </w:rPr>
        <w:tab/>
        <w:t xml:space="preserve">Model: </w:t>
      </w:r>
      <m:oMath>
        <m:r>
          <w:rPr>
            <w:rFonts w:ascii="Cambria Math" w:hAnsi="Cambria Math" w:cstheme="majorBidi"/>
          </w:rPr>
          <m:t>Load = a</m:t>
        </m:r>
        <m:sSup>
          <m:sSupPr>
            <m:ctrlPr>
              <w:rPr>
                <w:rFonts w:ascii="Cambria Math" w:hAnsi="Cambria Math" w:cstheme="majorBidi"/>
                <w:i/>
              </w:rPr>
            </m:ctrlPr>
          </m:sSupPr>
          <m:e>
            <m:r>
              <w:rPr>
                <w:rFonts w:ascii="Cambria Math" w:hAnsi="Cambria Math" w:cstheme="majorBidi"/>
              </w:rPr>
              <m:t>Q</m:t>
            </m:r>
          </m:e>
          <m:sup>
            <m:r>
              <w:rPr>
                <w:rFonts w:ascii="Cambria Math" w:hAnsi="Cambria Math" w:cstheme="majorBidi"/>
              </w:rPr>
              <m:t>b</m:t>
            </m:r>
          </m:sup>
        </m:sSup>
      </m:oMath>
    </w:p>
    <w:p w:rsidR="005F2A24" w:rsidRDefault="005F2A24" w:rsidP="005F2A24">
      <w:pPr>
        <w:rPr>
          <w:rFonts w:cstheme="majorBidi"/>
        </w:rPr>
      </w:pPr>
    </w:p>
    <w:p w:rsidR="0010102B" w:rsidRDefault="0010102B" w:rsidP="005F2A24">
      <w:pPr>
        <w:rPr>
          <w:rFonts w:cstheme="majorBidi"/>
        </w:rPr>
      </w:pPr>
    </w:p>
    <w:p w:rsidR="0010102B" w:rsidRPr="005F2A24" w:rsidRDefault="0010102B" w:rsidP="005F2A24">
      <w:pPr>
        <w:rPr>
          <w:rFonts w:cstheme="majorBidi"/>
        </w:rPr>
      </w:pPr>
    </w:p>
    <w:p w:rsidR="005F2A24" w:rsidRPr="005F2A24" w:rsidRDefault="005F2A24" w:rsidP="005F2A24">
      <w:pPr>
        <w:rPr>
          <w:rFonts w:cstheme="majorBidi"/>
        </w:rPr>
      </w:pPr>
      <w:r w:rsidRPr="005F2A24">
        <w:rPr>
          <w:rFonts w:cstheme="majorBidi"/>
        </w:rPr>
        <w:lastRenderedPageBreak/>
        <w:t>Estimated Coefficients:</w:t>
      </w:r>
    </w:p>
    <w:tbl>
      <w:tblPr>
        <w:tblStyle w:val="TableGrid"/>
        <w:tblW w:w="0" w:type="auto"/>
        <w:tblLook w:val="04A0" w:firstRow="1" w:lastRow="0" w:firstColumn="1" w:lastColumn="0" w:noHBand="0" w:noVBand="1"/>
      </w:tblPr>
      <w:tblGrid>
        <w:gridCol w:w="1915"/>
        <w:gridCol w:w="1915"/>
        <w:gridCol w:w="1915"/>
        <w:gridCol w:w="1915"/>
      </w:tblGrid>
      <w:tr w:rsidR="005F2A24" w:rsidRPr="005F2A24" w:rsidTr="006473B4">
        <w:tc>
          <w:tcPr>
            <w:tcW w:w="1915" w:type="dxa"/>
          </w:tcPr>
          <w:p w:rsidR="005F2A24" w:rsidRPr="005F2A24" w:rsidRDefault="005F2A24" w:rsidP="006473B4">
            <w:pPr>
              <w:rPr>
                <w:rFonts w:cstheme="majorBidi"/>
              </w:rPr>
            </w:pPr>
          </w:p>
        </w:tc>
        <w:tc>
          <w:tcPr>
            <w:tcW w:w="1915" w:type="dxa"/>
          </w:tcPr>
          <w:p w:rsidR="005F2A24" w:rsidRPr="005F2A24" w:rsidRDefault="005F2A24" w:rsidP="006473B4">
            <w:pPr>
              <w:rPr>
                <w:rFonts w:cstheme="majorBidi"/>
              </w:rPr>
            </w:pPr>
            <w:r w:rsidRPr="005F2A24">
              <w:rPr>
                <w:rFonts w:cstheme="majorBidi"/>
              </w:rPr>
              <w:t>Estimate</w:t>
            </w:r>
          </w:p>
        </w:tc>
        <w:tc>
          <w:tcPr>
            <w:tcW w:w="1915" w:type="dxa"/>
          </w:tcPr>
          <w:p w:rsidR="005F2A24" w:rsidRPr="005F2A24" w:rsidRDefault="005F2A24" w:rsidP="006473B4">
            <w:pPr>
              <w:rPr>
                <w:rFonts w:cstheme="majorBidi"/>
              </w:rPr>
            </w:pPr>
            <w:r w:rsidRPr="005F2A24">
              <w:rPr>
                <w:rFonts w:cstheme="majorBidi"/>
              </w:rPr>
              <w:t>Standard Error</w:t>
            </w:r>
          </w:p>
        </w:tc>
        <w:tc>
          <w:tcPr>
            <w:tcW w:w="1915" w:type="dxa"/>
          </w:tcPr>
          <w:p w:rsidR="005F2A24" w:rsidRPr="005F2A24" w:rsidRDefault="005F2A24" w:rsidP="006473B4">
            <w:pPr>
              <w:rPr>
                <w:rFonts w:cstheme="majorBidi"/>
              </w:rPr>
            </w:pPr>
            <w:proofErr w:type="spellStart"/>
            <w:r w:rsidRPr="005F2A24">
              <w:rPr>
                <w:rFonts w:cstheme="majorBidi"/>
              </w:rPr>
              <w:t>pValue</w:t>
            </w:r>
            <w:proofErr w:type="spellEnd"/>
          </w:p>
        </w:tc>
      </w:tr>
      <w:tr w:rsidR="005F2A24" w:rsidRPr="005F2A24" w:rsidTr="006473B4">
        <w:tc>
          <w:tcPr>
            <w:tcW w:w="1915" w:type="dxa"/>
          </w:tcPr>
          <w:p w:rsidR="005F2A24" w:rsidRPr="005F2A24" w:rsidRDefault="005F2A24" w:rsidP="006473B4">
            <w:pPr>
              <w:rPr>
                <w:rFonts w:cstheme="majorBidi"/>
              </w:rPr>
            </w:pPr>
            <m:oMathPara>
              <m:oMath>
                <m:r>
                  <w:rPr>
                    <w:rFonts w:ascii="Cambria Math" w:hAnsi="Cambria Math" w:cstheme="majorBidi"/>
                  </w:rPr>
                  <m:t>a</m:t>
                </m:r>
              </m:oMath>
            </m:oMathPara>
          </w:p>
        </w:tc>
        <w:tc>
          <w:tcPr>
            <w:tcW w:w="1915" w:type="dxa"/>
          </w:tcPr>
          <w:p w:rsidR="005F2A24" w:rsidRPr="005F2A24" w:rsidRDefault="005F2A24" w:rsidP="006473B4">
            <w:pPr>
              <w:rPr>
                <w:rFonts w:cstheme="majorBidi"/>
              </w:rPr>
            </w:pPr>
            <w:r w:rsidRPr="005F2A24">
              <w:rPr>
                <w:rFonts w:cstheme="majorBidi"/>
              </w:rPr>
              <w:t>0.000</w:t>
            </w:r>
          </w:p>
        </w:tc>
        <w:tc>
          <w:tcPr>
            <w:tcW w:w="1915" w:type="dxa"/>
          </w:tcPr>
          <w:p w:rsidR="005F2A24" w:rsidRPr="005F2A24" w:rsidRDefault="005F2A24" w:rsidP="006473B4">
            <w:pPr>
              <w:rPr>
                <w:rFonts w:cstheme="majorBidi"/>
              </w:rPr>
            </w:pPr>
            <w:r w:rsidRPr="005F2A24">
              <w:rPr>
                <w:rFonts w:cstheme="majorBidi"/>
              </w:rPr>
              <w:t>0.000</w:t>
            </w:r>
          </w:p>
        </w:tc>
        <w:tc>
          <w:tcPr>
            <w:tcW w:w="1915" w:type="dxa"/>
          </w:tcPr>
          <w:p w:rsidR="005F2A24" w:rsidRPr="005F2A24" w:rsidRDefault="005F2A24" w:rsidP="006473B4">
            <w:pPr>
              <w:rPr>
                <w:rFonts w:cstheme="majorBidi"/>
              </w:rPr>
            </w:pPr>
            <w:r w:rsidRPr="005F2A24">
              <w:rPr>
                <w:rFonts w:cstheme="majorBidi"/>
              </w:rPr>
              <w:t>0.000</w:t>
            </w:r>
          </w:p>
        </w:tc>
      </w:tr>
      <w:tr w:rsidR="005F2A24" w:rsidRPr="005F2A24" w:rsidTr="006473B4">
        <w:tc>
          <w:tcPr>
            <w:tcW w:w="1915" w:type="dxa"/>
          </w:tcPr>
          <w:p w:rsidR="005F2A24" w:rsidRPr="005F2A24" w:rsidRDefault="005F2A24" w:rsidP="006473B4">
            <w:pPr>
              <w:rPr>
                <w:rFonts w:cstheme="majorBidi"/>
              </w:rPr>
            </w:pPr>
            <m:oMathPara>
              <m:oMath>
                <m:r>
                  <w:rPr>
                    <w:rFonts w:ascii="Cambria Math" w:hAnsi="Cambria Math" w:cstheme="majorBidi"/>
                  </w:rPr>
                  <m:t>b</m:t>
                </m:r>
              </m:oMath>
            </m:oMathPara>
          </w:p>
        </w:tc>
        <w:tc>
          <w:tcPr>
            <w:tcW w:w="1915" w:type="dxa"/>
          </w:tcPr>
          <w:p w:rsidR="005F2A24" w:rsidRPr="005F2A24" w:rsidRDefault="005F2A24" w:rsidP="006473B4">
            <w:pPr>
              <w:rPr>
                <w:rFonts w:cstheme="majorBidi"/>
              </w:rPr>
            </w:pPr>
            <w:r w:rsidRPr="005F2A24">
              <w:rPr>
                <w:rFonts w:cstheme="majorBidi"/>
              </w:rPr>
              <w:t>1.906</w:t>
            </w:r>
          </w:p>
        </w:tc>
        <w:tc>
          <w:tcPr>
            <w:tcW w:w="1915" w:type="dxa"/>
          </w:tcPr>
          <w:p w:rsidR="005F2A24" w:rsidRPr="005F2A24" w:rsidRDefault="005F2A24" w:rsidP="006473B4">
            <w:pPr>
              <w:rPr>
                <w:rFonts w:cstheme="majorBidi"/>
              </w:rPr>
            </w:pPr>
            <w:r w:rsidRPr="005F2A24">
              <w:rPr>
                <w:rFonts w:cstheme="majorBidi"/>
              </w:rPr>
              <w:t>0.250</w:t>
            </w:r>
          </w:p>
        </w:tc>
        <w:tc>
          <w:tcPr>
            <w:tcW w:w="1915" w:type="dxa"/>
          </w:tcPr>
          <w:p w:rsidR="005F2A24" w:rsidRPr="005F2A24" w:rsidRDefault="005F2A24" w:rsidP="006473B4">
            <w:pPr>
              <w:rPr>
                <w:rFonts w:cstheme="majorBidi"/>
              </w:rPr>
            </w:pPr>
            <w:r w:rsidRPr="005F2A24">
              <w:rPr>
                <w:rFonts w:cstheme="majorBidi"/>
              </w:rPr>
              <w:t>0.000</w:t>
            </w:r>
          </w:p>
        </w:tc>
      </w:tr>
    </w:tbl>
    <w:p w:rsidR="005F2A24" w:rsidRPr="005F2A24" w:rsidRDefault="005F2A24" w:rsidP="005F2A24">
      <w:pPr>
        <w:rPr>
          <w:rFonts w:cstheme="majorBidi"/>
        </w:rPr>
      </w:pPr>
    </w:p>
    <w:p w:rsidR="005F2A24" w:rsidRPr="005F2A24" w:rsidRDefault="005F2A24" w:rsidP="005F2A24">
      <w:pPr>
        <w:rPr>
          <w:rFonts w:cstheme="majorBidi"/>
        </w:rPr>
      </w:pPr>
      <w:r w:rsidRPr="005F2A24">
        <w:rPr>
          <w:rFonts w:cstheme="majorBidi"/>
        </w:rPr>
        <w:t>Root Mean Squared Error: 0.475</w:t>
      </w:r>
    </w:p>
    <w:p w:rsidR="005F2A24" w:rsidRPr="005F2A24" w:rsidRDefault="005F2A24" w:rsidP="005F2A24">
      <w:pPr>
        <w:rPr>
          <w:rFonts w:cstheme="majorBidi"/>
        </w:rPr>
      </w:pPr>
      <w:r w:rsidRPr="005F2A24">
        <w:rPr>
          <w:rFonts w:cstheme="majorBidi"/>
        </w:rPr>
        <w:t>R-Squared: 0.801</w:t>
      </w:r>
      <w:proofErr w:type="gramStart"/>
      <w:r w:rsidRPr="005F2A24">
        <w:rPr>
          <w:rFonts w:cstheme="majorBidi"/>
        </w:rPr>
        <w:t>,  Adjusted</w:t>
      </w:r>
      <w:proofErr w:type="gramEnd"/>
      <w:r w:rsidRPr="005F2A24">
        <w:rPr>
          <w:rFonts w:cstheme="majorBidi"/>
        </w:rPr>
        <w:t xml:space="preserve"> R-Squared 0.79</w:t>
      </w:r>
    </w:p>
    <w:p w:rsidR="005F2A24" w:rsidRPr="005F2A24" w:rsidRDefault="005F2A24" w:rsidP="005F2A24">
      <w:pPr>
        <w:rPr>
          <w:rFonts w:cstheme="majorBidi"/>
        </w:rPr>
      </w:pPr>
      <w:r w:rsidRPr="005F2A24">
        <w:rPr>
          <w:rFonts w:cstheme="majorBidi"/>
        </w:rPr>
        <w:t>F-statistic vs. zero model: 146, p-value = 2e-11</w:t>
      </w:r>
    </w:p>
    <w:p w:rsidR="005F2A24" w:rsidRPr="005F2A24" w:rsidRDefault="005F2A24" w:rsidP="00F440E8">
      <w:pPr>
        <w:pStyle w:val="Heading1"/>
        <w:numPr>
          <w:ilvl w:val="0"/>
          <w:numId w:val="0"/>
        </w:numPr>
        <w:ind w:left="720"/>
        <w:rPr>
          <w:sz w:val="24"/>
          <w:szCs w:val="24"/>
        </w:rPr>
      </w:pPr>
    </w:p>
    <w:p w:rsidR="00813421" w:rsidRDefault="00813421">
      <w:pPr>
        <w:spacing w:after="200" w:line="276" w:lineRule="auto"/>
        <w:rPr>
          <w:rFonts w:eastAsiaTheme="majorEastAsia" w:cstheme="majorBidi"/>
          <w:b/>
          <w:bCs/>
          <w:sz w:val="32"/>
          <w:szCs w:val="28"/>
        </w:rPr>
      </w:pPr>
      <w:r>
        <w:br w:type="page"/>
      </w:r>
    </w:p>
    <w:p w:rsidR="003A34C6" w:rsidRPr="00F34CCA" w:rsidRDefault="001B5A5F" w:rsidP="00F440E8">
      <w:pPr>
        <w:pStyle w:val="Heading1"/>
        <w:numPr>
          <w:ilvl w:val="0"/>
          <w:numId w:val="0"/>
        </w:numPr>
        <w:ind w:left="720"/>
      </w:pPr>
      <w:bookmarkStart w:id="159" w:name="_Toc394525585"/>
      <w:r w:rsidRPr="00F34CCA">
        <w:lastRenderedPageBreak/>
        <w:t>Vita</w:t>
      </w:r>
      <w:bookmarkEnd w:id="159"/>
    </w:p>
    <w:p w:rsidR="00AA6D48" w:rsidRPr="001021C0" w:rsidRDefault="00AA6D48" w:rsidP="00AA6D48">
      <w:pPr>
        <w:jc w:val="both"/>
      </w:pPr>
      <w:r>
        <w:t>Vi Tran was born and raised in Ho Chi Minh City, Vietnam. After pursuing the Bachelor Degree in Environmental Engineering at the University of Science, VN, she was immediately hired as a researcher at the lab of the Department of Environment of the same school.  She came to America for her master's degree in Geography in 2012 at the Universi</w:t>
      </w:r>
      <w:r w:rsidR="001127B7">
        <w:t>ty of Tennessee, Knoxville. In f</w:t>
      </w:r>
      <w:r>
        <w:t>all 2014, she will join the Department of Agricultural and Natural Resources Economics for her second master's degree. In the future, she plans to work in the field of environment conservation, and conduct research about environment issues and geospatial application.</w:t>
      </w:r>
    </w:p>
    <w:p w:rsidR="001B5A5F" w:rsidRPr="001021C0" w:rsidRDefault="001B5A5F" w:rsidP="00AA6D48"/>
    <w:sectPr w:rsidR="001B5A5F" w:rsidRPr="001021C0" w:rsidSect="00957D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36E" w:rsidRDefault="0069536E" w:rsidP="00175D61">
      <w:r>
        <w:separator/>
      </w:r>
    </w:p>
  </w:endnote>
  <w:endnote w:type="continuationSeparator" w:id="0">
    <w:p w:rsidR="0069536E" w:rsidRDefault="0069536E" w:rsidP="00175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onaco">
    <w:altName w:val="Courier New"/>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367" w:rsidRDefault="00372367" w:rsidP="002B7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72367" w:rsidRDefault="00372367" w:rsidP="002B764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6533530"/>
      <w:docPartObj>
        <w:docPartGallery w:val="Page Numbers (Bottom of Page)"/>
        <w:docPartUnique/>
      </w:docPartObj>
    </w:sdtPr>
    <w:sdtEndPr>
      <w:rPr>
        <w:noProof/>
      </w:rPr>
    </w:sdtEndPr>
    <w:sdtContent>
      <w:p w:rsidR="00372367" w:rsidRDefault="00372367">
        <w:pPr>
          <w:pStyle w:val="Footer"/>
          <w:jc w:val="center"/>
        </w:pPr>
        <w:r>
          <w:fldChar w:fldCharType="begin"/>
        </w:r>
        <w:r>
          <w:instrText xml:space="preserve"> PAGE   \* MERGEFORMAT </w:instrText>
        </w:r>
        <w:r>
          <w:fldChar w:fldCharType="separate"/>
        </w:r>
        <w:r w:rsidR="00DE0D43">
          <w:rPr>
            <w:noProof/>
          </w:rPr>
          <w:t>ii</w:t>
        </w:r>
        <w:r>
          <w:rPr>
            <w:noProof/>
          </w:rPr>
          <w:fldChar w:fldCharType="end"/>
        </w:r>
      </w:p>
    </w:sdtContent>
  </w:sdt>
  <w:p w:rsidR="00372367" w:rsidRDefault="00372367" w:rsidP="002B764C">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0867714"/>
      <w:docPartObj>
        <w:docPartGallery w:val="Page Numbers (Bottom of Page)"/>
        <w:docPartUnique/>
      </w:docPartObj>
    </w:sdtPr>
    <w:sdtEndPr>
      <w:rPr>
        <w:rFonts w:cstheme="majorBidi"/>
        <w:noProof/>
      </w:rPr>
    </w:sdtEndPr>
    <w:sdtContent>
      <w:p w:rsidR="00372367" w:rsidRPr="00175D61" w:rsidRDefault="00372367">
        <w:pPr>
          <w:pStyle w:val="Footer"/>
          <w:jc w:val="center"/>
          <w:rPr>
            <w:rFonts w:cstheme="majorBidi"/>
          </w:rPr>
        </w:pPr>
        <w:r>
          <w:fldChar w:fldCharType="begin"/>
        </w:r>
        <w:r>
          <w:instrText xml:space="preserve"> PAGE   \* MERGEFORMAT </w:instrText>
        </w:r>
        <w:r>
          <w:fldChar w:fldCharType="separate"/>
        </w:r>
        <w:r w:rsidR="00DE0D43" w:rsidRPr="00DE0D43">
          <w:rPr>
            <w:rFonts w:cstheme="majorBidi"/>
            <w:noProof/>
          </w:rPr>
          <w:t>52</w:t>
        </w:r>
        <w:r>
          <w:rPr>
            <w:rFonts w:cstheme="majorBidi"/>
            <w:noProof/>
          </w:rPr>
          <w:fldChar w:fldCharType="end"/>
        </w:r>
      </w:p>
    </w:sdtContent>
  </w:sdt>
  <w:p w:rsidR="00372367" w:rsidRDefault="0037236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4679896"/>
      <w:docPartObj>
        <w:docPartGallery w:val="Page Numbers (Bottom of Page)"/>
        <w:docPartUnique/>
      </w:docPartObj>
    </w:sdtPr>
    <w:sdtEndPr>
      <w:rPr>
        <w:rFonts w:cstheme="majorBidi"/>
        <w:noProof/>
      </w:rPr>
    </w:sdtEndPr>
    <w:sdtContent>
      <w:p w:rsidR="00372367" w:rsidRPr="00175D61" w:rsidRDefault="00372367">
        <w:pPr>
          <w:pStyle w:val="Footer"/>
          <w:jc w:val="center"/>
          <w:rPr>
            <w:rFonts w:cstheme="majorBidi"/>
          </w:rPr>
        </w:pPr>
        <w:r>
          <w:fldChar w:fldCharType="begin"/>
        </w:r>
        <w:r>
          <w:instrText xml:space="preserve"> PAGE   \* MERGEFORMAT </w:instrText>
        </w:r>
        <w:r>
          <w:fldChar w:fldCharType="separate"/>
        </w:r>
        <w:r w:rsidR="00DE0D43" w:rsidRPr="00DE0D43">
          <w:rPr>
            <w:rFonts w:cstheme="majorBidi"/>
            <w:noProof/>
          </w:rPr>
          <w:t>74</w:t>
        </w:r>
        <w:r>
          <w:rPr>
            <w:rFonts w:cstheme="majorBidi"/>
            <w:noProof/>
          </w:rPr>
          <w:fldChar w:fldCharType="end"/>
        </w:r>
      </w:p>
    </w:sdtContent>
  </w:sdt>
  <w:p w:rsidR="00372367" w:rsidRDefault="003723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36E" w:rsidRDefault="0069536E" w:rsidP="00175D61">
      <w:r>
        <w:separator/>
      </w:r>
    </w:p>
  </w:footnote>
  <w:footnote w:type="continuationSeparator" w:id="0">
    <w:p w:rsidR="0069536E" w:rsidRDefault="0069536E" w:rsidP="00175D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A1B3C"/>
    <w:multiLevelType w:val="hybridMultilevel"/>
    <w:tmpl w:val="5672C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9B49AA"/>
    <w:multiLevelType w:val="hybridMultilevel"/>
    <w:tmpl w:val="49EC716E"/>
    <w:lvl w:ilvl="0" w:tplc="89E6B3B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D1736B"/>
    <w:multiLevelType w:val="multilevel"/>
    <w:tmpl w:val="08842D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9872464"/>
    <w:multiLevelType w:val="hybridMultilevel"/>
    <w:tmpl w:val="96F47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E032BF"/>
    <w:multiLevelType w:val="hybridMultilevel"/>
    <w:tmpl w:val="F88CB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CD5041"/>
    <w:multiLevelType w:val="hybridMultilevel"/>
    <w:tmpl w:val="6D26E9E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1C6AA3"/>
    <w:multiLevelType w:val="hybridMultilevel"/>
    <w:tmpl w:val="95929B9A"/>
    <w:lvl w:ilvl="0" w:tplc="B4140F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6A3227C"/>
    <w:multiLevelType w:val="hybridMultilevel"/>
    <w:tmpl w:val="8048F2D2"/>
    <w:lvl w:ilvl="0" w:tplc="06402356">
      <w:start w:val="1"/>
      <w:numFmt w:val="upperRoman"/>
      <w:pStyle w:val="Heading1"/>
      <w:lvlText w:val="Chapter %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8375BA"/>
    <w:multiLevelType w:val="hybridMultilevel"/>
    <w:tmpl w:val="AB008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9B20E9"/>
    <w:multiLevelType w:val="hybridMultilevel"/>
    <w:tmpl w:val="92CE6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1A2116"/>
    <w:multiLevelType w:val="hybridMultilevel"/>
    <w:tmpl w:val="F6142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A01FA1"/>
    <w:multiLevelType w:val="hybridMultilevel"/>
    <w:tmpl w:val="A49A5A3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F14391"/>
    <w:multiLevelType w:val="hybridMultilevel"/>
    <w:tmpl w:val="B0C862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680C7A"/>
    <w:multiLevelType w:val="hybridMultilevel"/>
    <w:tmpl w:val="09E4C86A"/>
    <w:lvl w:ilvl="0" w:tplc="85F6D12E">
      <w:start w:val="1"/>
      <w:numFmt w:val="lowerLetter"/>
      <w:lvlText w:val="(%1)"/>
      <w:lvlJc w:val="left"/>
      <w:pPr>
        <w:ind w:left="720" w:hanging="360"/>
      </w:pPr>
      <w:rPr>
        <w:rFonts w:asciiTheme="majorBidi" w:hAnsiTheme="majorBidi" w:cstheme="majorBid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8F5079"/>
    <w:multiLevelType w:val="hybridMultilevel"/>
    <w:tmpl w:val="43D24372"/>
    <w:lvl w:ilvl="0" w:tplc="89D8C3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6A5D91"/>
    <w:multiLevelType w:val="hybridMultilevel"/>
    <w:tmpl w:val="BEDA5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30C02EF"/>
    <w:multiLevelType w:val="hybridMultilevel"/>
    <w:tmpl w:val="07F48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CA7089"/>
    <w:multiLevelType w:val="hybridMultilevel"/>
    <w:tmpl w:val="45AE998E"/>
    <w:lvl w:ilvl="0" w:tplc="DC680B6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1B5D2C"/>
    <w:multiLevelType w:val="hybridMultilevel"/>
    <w:tmpl w:val="96560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98D166F"/>
    <w:multiLevelType w:val="hybridMultilevel"/>
    <w:tmpl w:val="CC161A9A"/>
    <w:lvl w:ilvl="0" w:tplc="8898949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A092810"/>
    <w:multiLevelType w:val="hybridMultilevel"/>
    <w:tmpl w:val="CAA6E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CA5358B"/>
    <w:multiLevelType w:val="hybridMultilevel"/>
    <w:tmpl w:val="B30ECDAE"/>
    <w:lvl w:ilvl="0" w:tplc="6DAAB1B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A828C4"/>
    <w:multiLevelType w:val="multilevel"/>
    <w:tmpl w:val="BDA4CED8"/>
    <w:lvl w:ilvl="0">
      <w:start w:val="1"/>
      <w:numFmt w:val="decimal"/>
      <w:lvlText w:val="%1."/>
      <w:lvlJc w:val="left"/>
      <w:pPr>
        <w:ind w:left="540" w:hanging="540"/>
      </w:pPr>
      <w:rPr>
        <w:rFonts w:hint="default"/>
      </w:rPr>
    </w:lvl>
    <w:lvl w:ilvl="1">
      <w:start w:val="1"/>
      <w:numFmt w:val="decimal"/>
      <w:lvlText w:val="%1.%2."/>
      <w:lvlJc w:val="left"/>
      <w:pPr>
        <w:ind w:left="780" w:hanging="540"/>
      </w:pPr>
      <w:rPr>
        <w:rFonts w:hint="default"/>
      </w:rPr>
    </w:lvl>
    <w:lvl w:ilvl="2">
      <w:start w:val="3"/>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3">
    <w:nsid w:val="429765CD"/>
    <w:multiLevelType w:val="hybridMultilevel"/>
    <w:tmpl w:val="7FD0B5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5D007A5"/>
    <w:multiLevelType w:val="hybridMultilevel"/>
    <w:tmpl w:val="42BEE6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4612A1"/>
    <w:multiLevelType w:val="hybridMultilevel"/>
    <w:tmpl w:val="CB807790"/>
    <w:lvl w:ilvl="0" w:tplc="9E00F3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850DF0"/>
    <w:multiLevelType w:val="hybridMultilevel"/>
    <w:tmpl w:val="D0D62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79D7429"/>
    <w:multiLevelType w:val="multilevel"/>
    <w:tmpl w:val="20000FC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nsid w:val="57EF43F1"/>
    <w:multiLevelType w:val="hybridMultilevel"/>
    <w:tmpl w:val="AF4EBA84"/>
    <w:lvl w:ilvl="0" w:tplc="BEF2DD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8C63DE"/>
    <w:multiLevelType w:val="hybridMultilevel"/>
    <w:tmpl w:val="24E4AD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FB72E49"/>
    <w:multiLevelType w:val="hybridMultilevel"/>
    <w:tmpl w:val="4EA20942"/>
    <w:lvl w:ilvl="0" w:tplc="D312CF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4B253D6"/>
    <w:multiLevelType w:val="hybridMultilevel"/>
    <w:tmpl w:val="F0965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01822C0"/>
    <w:multiLevelType w:val="hybridMultilevel"/>
    <w:tmpl w:val="983E1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0814CFC"/>
    <w:multiLevelType w:val="multilevel"/>
    <w:tmpl w:val="4F5AA082"/>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4">
    <w:nsid w:val="708C7977"/>
    <w:multiLevelType w:val="hybridMultilevel"/>
    <w:tmpl w:val="F21473E2"/>
    <w:lvl w:ilvl="0" w:tplc="6DAAB1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1CC5DEF"/>
    <w:multiLevelType w:val="multilevel"/>
    <w:tmpl w:val="345032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3014E6C"/>
    <w:multiLevelType w:val="multilevel"/>
    <w:tmpl w:val="18DE7F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738036BC"/>
    <w:multiLevelType w:val="hybridMultilevel"/>
    <w:tmpl w:val="051C5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57E3AFD"/>
    <w:multiLevelType w:val="multilevel"/>
    <w:tmpl w:val="70F01498"/>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nsid w:val="760D143F"/>
    <w:multiLevelType w:val="hybridMultilevel"/>
    <w:tmpl w:val="CED08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6B54E65"/>
    <w:multiLevelType w:val="hybridMultilevel"/>
    <w:tmpl w:val="91E4593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B262373"/>
    <w:multiLevelType w:val="hybridMultilevel"/>
    <w:tmpl w:val="7B7235DA"/>
    <w:lvl w:ilvl="0" w:tplc="9AA40C6A">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CE367B7"/>
    <w:multiLevelType w:val="hybridMultilevel"/>
    <w:tmpl w:val="48AE9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2"/>
  </w:num>
  <w:num w:numId="3">
    <w:abstractNumId w:val="41"/>
  </w:num>
  <w:num w:numId="4">
    <w:abstractNumId w:val="36"/>
  </w:num>
  <w:num w:numId="5">
    <w:abstractNumId w:val="19"/>
  </w:num>
  <w:num w:numId="6">
    <w:abstractNumId w:val="1"/>
  </w:num>
  <w:num w:numId="7">
    <w:abstractNumId w:val="28"/>
  </w:num>
  <w:num w:numId="8">
    <w:abstractNumId w:val="38"/>
  </w:num>
  <w:num w:numId="9">
    <w:abstractNumId w:val="22"/>
  </w:num>
  <w:num w:numId="10">
    <w:abstractNumId w:val="27"/>
  </w:num>
  <w:num w:numId="11">
    <w:abstractNumId w:val="23"/>
  </w:num>
  <w:num w:numId="12">
    <w:abstractNumId w:val="24"/>
  </w:num>
  <w:num w:numId="13">
    <w:abstractNumId w:val="34"/>
  </w:num>
  <w:num w:numId="14">
    <w:abstractNumId w:val="21"/>
  </w:num>
  <w:num w:numId="15">
    <w:abstractNumId w:val="31"/>
  </w:num>
  <w:num w:numId="16">
    <w:abstractNumId w:val="37"/>
  </w:num>
  <w:num w:numId="17">
    <w:abstractNumId w:val="9"/>
  </w:num>
  <w:num w:numId="18">
    <w:abstractNumId w:val="39"/>
  </w:num>
  <w:num w:numId="19">
    <w:abstractNumId w:val="35"/>
  </w:num>
  <w:num w:numId="20">
    <w:abstractNumId w:val="7"/>
  </w:num>
  <w:num w:numId="21">
    <w:abstractNumId w:val="14"/>
  </w:num>
  <w:num w:numId="22">
    <w:abstractNumId w:val="6"/>
  </w:num>
  <w:num w:numId="23">
    <w:abstractNumId w:val="13"/>
  </w:num>
  <w:num w:numId="24">
    <w:abstractNumId w:val="25"/>
  </w:num>
  <w:num w:numId="25">
    <w:abstractNumId w:val="15"/>
  </w:num>
  <w:num w:numId="26">
    <w:abstractNumId w:val="2"/>
  </w:num>
  <w:num w:numId="27">
    <w:abstractNumId w:val="42"/>
  </w:num>
  <w:num w:numId="28">
    <w:abstractNumId w:val="0"/>
  </w:num>
  <w:num w:numId="29">
    <w:abstractNumId w:val="4"/>
  </w:num>
  <w:num w:numId="30">
    <w:abstractNumId w:val="5"/>
  </w:num>
  <w:num w:numId="31">
    <w:abstractNumId w:val="40"/>
  </w:num>
  <w:num w:numId="32">
    <w:abstractNumId w:val="11"/>
  </w:num>
  <w:num w:numId="33">
    <w:abstractNumId w:val="20"/>
  </w:num>
  <w:num w:numId="34">
    <w:abstractNumId w:val="30"/>
  </w:num>
  <w:num w:numId="35">
    <w:abstractNumId w:val="17"/>
  </w:num>
  <w:num w:numId="36">
    <w:abstractNumId w:val="26"/>
  </w:num>
  <w:num w:numId="37">
    <w:abstractNumId w:val="29"/>
  </w:num>
  <w:num w:numId="38">
    <w:abstractNumId w:val="10"/>
  </w:num>
  <w:num w:numId="39">
    <w:abstractNumId w:val="16"/>
  </w:num>
  <w:num w:numId="40">
    <w:abstractNumId w:val="12"/>
  </w:num>
  <w:num w:numId="41">
    <w:abstractNumId w:val="8"/>
  </w:num>
  <w:num w:numId="42">
    <w:abstractNumId w:val="18"/>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1654"/>
    <w:rsid w:val="00000DDD"/>
    <w:rsid w:val="00000E79"/>
    <w:rsid w:val="00003022"/>
    <w:rsid w:val="00007308"/>
    <w:rsid w:val="000105FD"/>
    <w:rsid w:val="00010621"/>
    <w:rsid w:val="00012B67"/>
    <w:rsid w:val="00012CC6"/>
    <w:rsid w:val="00012DCD"/>
    <w:rsid w:val="0001334A"/>
    <w:rsid w:val="00014AA8"/>
    <w:rsid w:val="00016178"/>
    <w:rsid w:val="00017B4D"/>
    <w:rsid w:val="00020AAC"/>
    <w:rsid w:val="000219AA"/>
    <w:rsid w:val="00022DE0"/>
    <w:rsid w:val="00025130"/>
    <w:rsid w:val="00026F8D"/>
    <w:rsid w:val="00027D44"/>
    <w:rsid w:val="00030CEE"/>
    <w:rsid w:val="000333F0"/>
    <w:rsid w:val="0003382C"/>
    <w:rsid w:val="00035DC5"/>
    <w:rsid w:val="00036E48"/>
    <w:rsid w:val="0004292B"/>
    <w:rsid w:val="00042D4F"/>
    <w:rsid w:val="00042DD9"/>
    <w:rsid w:val="00044205"/>
    <w:rsid w:val="00044629"/>
    <w:rsid w:val="00045194"/>
    <w:rsid w:val="0005489F"/>
    <w:rsid w:val="00054AF3"/>
    <w:rsid w:val="00054B4E"/>
    <w:rsid w:val="000552C7"/>
    <w:rsid w:val="0005560E"/>
    <w:rsid w:val="00060334"/>
    <w:rsid w:val="00064459"/>
    <w:rsid w:val="00064839"/>
    <w:rsid w:val="00065D1C"/>
    <w:rsid w:val="00070E96"/>
    <w:rsid w:val="0007241C"/>
    <w:rsid w:val="00081FAA"/>
    <w:rsid w:val="00085FBB"/>
    <w:rsid w:val="000878CC"/>
    <w:rsid w:val="00087CB5"/>
    <w:rsid w:val="00091961"/>
    <w:rsid w:val="00092324"/>
    <w:rsid w:val="00094B3B"/>
    <w:rsid w:val="00094B5B"/>
    <w:rsid w:val="00095975"/>
    <w:rsid w:val="00096BD0"/>
    <w:rsid w:val="0009765F"/>
    <w:rsid w:val="000A0768"/>
    <w:rsid w:val="000A164E"/>
    <w:rsid w:val="000A2992"/>
    <w:rsid w:val="000A5170"/>
    <w:rsid w:val="000A5506"/>
    <w:rsid w:val="000B0869"/>
    <w:rsid w:val="000B0CE1"/>
    <w:rsid w:val="000B6321"/>
    <w:rsid w:val="000B6DD0"/>
    <w:rsid w:val="000C389A"/>
    <w:rsid w:val="000C4877"/>
    <w:rsid w:val="000C558D"/>
    <w:rsid w:val="000C5821"/>
    <w:rsid w:val="000C6CC4"/>
    <w:rsid w:val="000D3CCC"/>
    <w:rsid w:val="000D5035"/>
    <w:rsid w:val="000D5A3B"/>
    <w:rsid w:val="000D6EA0"/>
    <w:rsid w:val="000E2CEB"/>
    <w:rsid w:val="000F06BF"/>
    <w:rsid w:val="000F26BD"/>
    <w:rsid w:val="000F56B3"/>
    <w:rsid w:val="0010102B"/>
    <w:rsid w:val="00101A98"/>
    <w:rsid w:val="001021C0"/>
    <w:rsid w:val="00102840"/>
    <w:rsid w:val="00103E20"/>
    <w:rsid w:val="00107D32"/>
    <w:rsid w:val="001127B7"/>
    <w:rsid w:val="00117719"/>
    <w:rsid w:val="00117FDE"/>
    <w:rsid w:val="00122861"/>
    <w:rsid w:val="00123E37"/>
    <w:rsid w:val="001249CD"/>
    <w:rsid w:val="00124F66"/>
    <w:rsid w:val="00125279"/>
    <w:rsid w:val="001338B3"/>
    <w:rsid w:val="00133C15"/>
    <w:rsid w:val="00134F58"/>
    <w:rsid w:val="00136C85"/>
    <w:rsid w:val="00137558"/>
    <w:rsid w:val="001402C1"/>
    <w:rsid w:val="0014396E"/>
    <w:rsid w:val="00145388"/>
    <w:rsid w:val="00147200"/>
    <w:rsid w:val="00147442"/>
    <w:rsid w:val="001474E8"/>
    <w:rsid w:val="001511B2"/>
    <w:rsid w:val="001531F0"/>
    <w:rsid w:val="00153FBB"/>
    <w:rsid w:val="0015424D"/>
    <w:rsid w:val="00154742"/>
    <w:rsid w:val="001554A4"/>
    <w:rsid w:val="001608E8"/>
    <w:rsid w:val="00160CAF"/>
    <w:rsid w:val="00161D9F"/>
    <w:rsid w:val="00164A0D"/>
    <w:rsid w:val="00164D0E"/>
    <w:rsid w:val="0016631A"/>
    <w:rsid w:val="00167845"/>
    <w:rsid w:val="00171758"/>
    <w:rsid w:val="001723EC"/>
    <w:rsid w:val="00172BF3"/>
    <w:rsid w:val="00174EC8"/>
    <w:rsid w:val="00175D61"/>
    <w:rsid w:val="00180807"/>
    <w:rsid w:val="00181A3B"/>
    <w:rsid w:val="00181EC6"/>
    <w:rsid w:val="001826DF"/>
    <w:rsid w:val="00182F25"/>
    <w:rsid w:val="001853DB"/>
    <w:rsid w:val="001862AF"/>
    <w:rsid w:val="0019184C"/>
    <w:rsid w:val="0019422C"/>
    <w:rsid w:val="00194468"/>
    <w:rsid w:val="001953A9"/>
    <w:rsid w:val="001959DF"/>
    <w:rsid w:val="0019736D"/>
    <w:rsid w:val="001A0574"/>
    <w:rsid w:val="001A1716"/>
    <w:rsid w:val="001A1B6B"/>
    <w:rsid w:val="001A22A5"/>
    <w:rsid w:val="001A5800"/>
    <w:rsid w:val="001A72AA"/>
    <w:rsid w:val="001B2E8A"/>
    <w:rsid w:val="001B5A5F"/>
    <w:rsid w:val="001C0B4D"/>
    <w:rsid w:val="001C0C95"/>
    <w:rsid w:val="001C0F0B"/>
    <w:rsid w:val="001C1BA8"/>
    <w:rsid w:val="001C3FBD"/>
    <w:rsid w:val="001C7FDB"/>
    <w:rsid w:val="001D1335"/>
    <w:rsid w:val="001D1CD9"/>
    <w:rsid w:val="001D7B64"/>
    <w:rsid w:val="001E2921"/>
    <w:rsid w:val="001E3C7D"/>
    <w:rsid w:val="001E67B9"/>
    <w:rsid w:val="001E7A0C"/>
    <w:rsid w:val="001F14DB"/>
    <w:rsid w:val="001F38DE"/>
    <w:rsid w:val="001F5880"/>
    <w:rsid w:val="001F59C0"/>
    <w:rsid w:val="001F5CB6"/>
    <w:rsid w:val="001F63D4"/>
    <w:rsid w:val="001F7001"/>
    <w:rsid w:val="00200CDB"/>
    <w:rsid w:val="00202D6C"/>
    <w:rsid w:val="0021308B"/>
    <w:rsid w:val="002156AF"/>
    <w:rsid w:val="00220625"/>
    <w:rsid w:val="002208DC"/>
    <w:rsid w:val="00221A81"/>
    <w:rsid w:val="00222425"/>
    <w:rsid w:val="0022243B"/>
    <w:rsid w:val="00223540"/>
    <w:rsid w:val="0022401C"/>
    <w:rsid w:val="0022563F"/>
    <w:rsid w:val="002256A0"/>
    <w:rsid w:val="002323F6"/>
    <w:rsid w:val="00234A31"/>
    <w:rsid w:val="00236774"/>
    <w:rsid w:val="00236C41"/>
    <w:rsid w:val="002371B0"/>
    <w:rsid w:val="00240CF8"/>
    <w:rsid w:val="0024212D"/>
    <w:rsid w:val="00242970"/>
    <w:rsid w:val="002433ED"/>
    <w:rsid w:val="002436B2"/>
    <w:rsid w:val="00246AC9"/>
    <w:rsid w:val="0025114F"/>
    <w:rsid w:val="002514BC"/>
    <w:rsid w:val="00254627"/>
    <w:rsid w:val="002552C0"/>
    <w:rsid w:val="00256FBA"/>
    <w:rsid w:val="002577C2"/>
    <w:rsid w:val="002577D6"/>
    <w:rsid w:val="00263291"/>
    <w:rsid w:val="0026621E"/>
    <w:rsid w:val="00267064"/>
    <w:rsid w:val="00275B91"/>
    <w:rsid w:val="00277029"/>
    <w:rsid w:val="00277AB2"/>
    <w:rsid w:val="002804ED"/>
    <w:rsid w:val="0028068B"/>
    <w:rsid w:val="00281CC4"/>
    <w:rsid w:val="00282D6E"/>
    <w:rsid w:val="00285F3D"/>
    <w:rsid w:val="00286E9B"/>
    <w:rsid w:val="00290985"/>
    <w:rsid w:val="00294340"/>
    <w:rsid w:val="002948D0"/>
    <w:rsid w:val="0029737E"/>
    <w:rsid w:val="00297A2C"/>
    <w:rsid w:val="002A1654"/>
    <w:rsid w:val="002A303E"/>
    <w:rsid w:val="002A3D95"/>
    <w:rsid w:val="002A541B"/>
    <w:rsid w:val="002B1545"/>
    <w:rsid w:val="002B3AE7"/>
    <w:rsid w:val="002B6E0A"/>
    <w:rsid w:val="002B764C"/>
    <w:rsid w:val="002B7E02"/>
    <w:rsid w:val="002C2286"/>
    <w:rsid w:val="002C2B8B"/>
    <w:rsid w:val="002C7103"/>
    <w:rsid w:val="002C7A75"/>
    <w:rsid w:val="002D53FA"/>
    <w:rsid w:val="002D5524"/>
    <w:rsid w:val="002D639D"/>
    <w:rsid w:val="002D77C1"/>
    <w:rsid w:val="002E2793"/>
    <w:rsid w:val="002E2D1D"/>
    <w:rsid w:val="002E36F1"/>
    <w:rsid w:val="002E4948"/>
    <w:rsid w:val="002E6349"/>
    <w:rsid w:val="002E7A74"/>
    <w:rsid w:val="002F243F"/>
    <w:rsid w:val="002F24A6"/>
    <w:rsid w:val="002F3520"/>
    <w:rsid w:val="002F51B0"/>
    <w:rsid w:val="00301EAB"/>
    <w:rsid w:val="003020DF"/>
    <w:rsid w:val="003105AA"/>
    <w:rsid w:val="00311168"/>
    <w:rsid w:val="00315183"/>
    <w:rsid w:val="00316811"/>
    <w:rsid w:val="00323076"/>
    <w:rsid w:val="00323315"/>
    <w:rsid w:val="003262A9"/>
    <w:rsid w:val="00331A69"/>
    <w:rsid w:val="00333F4F"/>
    <w:rsid w:val="00334A05"/>
    <w:rsid w:val="003428C5"/>
    <w:rsid w:val="00343F72"/>
    <w:rsid w:val="00344364"/>
    <w:rsid w:val="003450C9"/>
    <w:rsid w:val="00345489"/>
    <w:rsid w:val="00350BD0"/>
    <w:rsid w:val="00351D8B"/>
    <w:rsid w:val="00351E1C"/>
    <w:rsid w:val="0035342E"/>
    <w:rsid w:val="003613C1"/>
    <w:rsid w:val="003630B8"/>
    <w:rsid w:val="00363987"/>
    <w:rsid w:val="00366589"/>
    <w:rsid w:val="00370041"/>
    <w:rsid w:val="00372367"/>
    <w:rsid w:val="00372E4D"/>
    <w:rsid w:val="00375525"/>
    <w:rsid w:val="003827AF"/>
    <w:rsid w:val="0038465E"/>
    <w:rsid w:val="00384691"/>
    <w:rsid w:val="00384B11"/>
    <w:rsid w:val="00385495"/>
    <w:rsid w:val="00385A5C"/>
    <w:rsid w:val="00385F67"/>
    <w:rsid w:val="003907AB"/>
    <w:rsid w:val="0039506F"/>
    <w:rsid w:val="00395405"/>
    <w:rsid w:val="00395B8A"/>
    <w:rsid w:val="00396B75"/>
    <w:rsid w:val="00396E73"/>
    <w:rsid w:val="003A0E06"/>
    <w:rsid w:val="003A0E24"/>
    <w:rsid w:val="003A34C6"/>
    <w:rsid w:val="003A49C7"/>
    <w:rsid w:val="003B029D"/>
    <w:rsid w:val="003B23D2"/>
    <w:rsid w:val="003B2B19"/>
    <w:rsid w:val="003B3858"/>
    <w:rsid w:val="003B398C"/>
    <w:rsid w:val="003B3B91"/>
    <w:rsid w:val="003B6963"/>
    <w:rsid w:val="003C0F07"/>
    <w:rsid w:val="003C256B"/>
    <w:rsid w:val="003C3316"/>
    <w:rsid w:val="003C4ADA"/>
    <w:rsid w:val="003C534A"/>
    <w:rsid w:val="003C557B"/>
    <w:rsid w:val="003C5C7F"/>
    <w:rsid w:val="003C7750"/>
    <w:rsid w:val="003D05CA"/>
    <w:rsid w:val="003D3366"/>
    <w:rsid w:val="003D4664"/>
    <w:rsid w:val="003D79FC"/>
    <w:rsid w:val="003E1EE5"/>
    <w:rsid w:val="003E364E"/>
    <w:rsid w:val="003E3FF8"/>
    <w:rsid w:val="003F2D1F"/>
    <w:rsid w:val="003F48D0"/>
    <w:rsid w:val="003F5718"/>
    <w:rsid w:val="003F6E12"/>
    <w:rsid w:val="003F7B62"/>
    <w:rsid w:val="003F7E49"/>
    <w:rsid w:val="00400452"/>
    <w:rsid w:val="0040119C"/>
    <w:rsid w:val="00402051"/>
    <w:rsid w:val="00402F1D"/>
    <w:rsid w:val="0040308C"/>
    <w:rsid w:val="00406951"/>
    <w:rsid w:val="00406BED"/>
    <w:rsid w:val="00406D6B"/>
    <w:rsid w:val="00411C53"/>
    <w:rsid w:val="00413D9F"/>
    <w:rsid w:val="0041659E"/>
    <w:rsid w:val="00420DF7"/>
    <w:rsid w:val="004232AF"/>
    <w:rsid w:val="00434513"/>
    <w:rsid w:val="00436086"/>
    <w:rsid w:val="00436D7D"/>
    <w:rsid w:val="0043791B"/>
    <w:rsid w:val="0044232D"/>
    <w:rsid w:val="0044446E"/>
    <w:rsid w:val="004471B4"/>
    <w:rsid w:val="00447776"/>
    <w:rsid w:val="004524E8"/>
    <w:rsid w:val="0045452B"/>
    <w:rsid w:val="004545A4"/>
    <w:rsid w:val="00456E06"/>
    <w:rsid w:val="0046027A"/>
    <w:rsid w:val="004609F2"/>
    <w:rsid w:val="00460CD0"/>
    <w:rsid w:val="00461044"/>
    <w:rsid w:val="00461603"/>
    <w:rsid w:val="00463E01"/>
    <w:rsid w:val="00467BBD"/>
    <w:rsid w:val="00467E1C"/>
    <w:rsid w:val="00470885"/>
    <w:rsid w:val="00472866"/>
    <w:rsid w:val="00474C6F"/>
    <w:rsid w:val="004769F7"/>
    <w:rsid w:val="0047766D"/>
    <w:rsid w:val="00480B3F"/>
    <w:rsid w:val="00482623"/>
    <w:rsid w:val="00482933"/>
    <w:rsid w:val="0048565A"/>
    <w:rsid w:val="00485D90"/>
    <w:rsid w:val="00486515"/>
    <w:rsid w:val="00486D18"/>
    <w:rsid w:val="00487A01"/>
    <w:rsid w:val="0049108E"/>
    <w:rsid w:val="00492725"/>
    <w:rsid w:val="00493328"/>
    <w:rsid w:val="0049380E"/>
    <w:rsid w:val="004962A6"/>
    <w:rsid w:val="00496A72"/>
    <w:rsid w:val="004A09E6"/>
    <w:rsid w:val="004A2B8A"/>
    <w:rsid w:val="004A38CE"/>
    <w:rsid w:val="004A4039"/>
    <w:rsid w:val="004A6251"/>
    <w:rsid w:val="004A7207"/>
    <w:rsid w:val="004B2DC3"/>
    <w:rsid w:val="004B63D1"/>
    <w:rsid w:val="004B7F9B"/>
    <w:rsid w:val="004C076B"/>
    <w:rsid w:val="004C1131"/>
    <w:rsid w:val="004C11B8"/>
    <w:rsid w:val="004C2709"/>
    <w:rsid w:val="004C2C84"/>
    <w:rsid w:val="004C428F"/>
    <w:rsid w:val="004C4666"/>
    <w:rsid w:val="004D41C9"/>
    <w:rsid w:val="004D548F"/>
    <w:rsid w:val="004D5A0B"/>
    <w:rsid w:val="004D693B"/>
    <w:rsid w:val="004E042D"/>
    <w:rsid w:val="004E1CE5"/>
    <w:rsid w:val="004E2A0C"/>
    <w:rsid w:val="004E2D8F"/>
    <w:rsid w:val="004E355F"/>
    <w:rsid w:val="004E3B33"/>
    <w:rsid w:val="004E3B34"/>
    <w:rsid w:val="004E4247"/>
    <w:rsid w:val="004E4B22"/>
    <w:rsid w:val="004F12D3"/>
    <w:rsid w:val="004F1781"/>
    <w:rsid w:val="004F24B5"/>
    <w:rsid w:val="004F55F9"/>
    <w:rsid w:val="00503BED"/>
    <w:rsid w:val="0050521E"/>
    <w:rsid w:val="0050536E"/>
    <w:rsid w:val="00506EA9"/>
    <w:rsid w:val="00510B64"/>
    <w:rsid w:val="00512D78"/>
    <w:rsid w:val="0051326A"/>
    <w:rsid w:val="005216E5"/>
    <w:rsid w:val="005220AB"/>
    <w:rsid w:val="005235F8"/>
    <w:rsid w:val="00523FFD"/>
    <w:rsid w:val="00525A7E"/>
    <w:rsid w:val="0052668C"/>
    <w:rsid w:val="00531058"/>
    <w:rsid w:val="00533765"/>
    <w:rsid w:val="00533DB8"/>
    <w:rsid w:val="005346EA"/>
    <w:rsid w:val="00534C25"/>
    <w:rsid w:val="00536310"/>
    <w:rsid w:val="00537E3D"/>
    <w:rsid w:val="00542A67"/>
    <w:rsid w:val="0054379E"/>
    <w:rsid w:val="005440D4"/>
    <w:rsid w:val="00545236"/>
    <w:rsid w:val="00547B57"/>
    <w:rsid w:val="005505A3"/>
    <w:rsid w:val="005527F8"/>
    <w:rsid w:val="0055593E"/>
    <w:rsid w:val="00560D7E"/>
    <w:rsid w:val="0056153B"/>
    <w:rsid w:val="00562145"/>
    <w:rsid w:val="00563EE8"/>
    <w:rsid w:val="00566DDB"/>
    <w:rsid w:val="00577D0F"/>
    <w:rsid w:val="005807A9"/>
    <w:rsid w:val="005815FB"/>
    <w:rsid w:val="00581CA5"/>
    <w:rsid w:val="005827FD"/>
    <w:rsid w:val="00584A24"/>
    <w:rsid w:val="0058775A"/>
    <w:rsid w:val="0059380A"/>
    <w:rsid w:val="00593ABD"/>
    <w:rsid w:val="00596490"/>
    <w:rsid w:val="00597738"/>
    <w:rsid w:val="00597D9F"/>
    <w:rsid w:val="005A3450"/>
    <w:rsid w:val="005A34D8"/>
    <w:rsid w:val="005A3D8D"/>
    <w:rsid w:val="005A407C"/>
    <w:rsid w:val="005A6277"/>
    <w:rsid w:val="005A712C"/>
    <w:rsid w:val="005B2EF2"/>
    <w:rsid w:val="005B4A37"/>
    <w:rsid w:val="005B4EAF"/>
    <w:rsid w:val="005B69C3"/>
    <w:rsid w:val="005B7D55"/>
    <w:rsid w:val="005C01B1"/>
    <w:rsid w:val="005C0A42"/>
    <w:rsid w:val="005C5BC5"/>
    <w:rsid w:val="005C5D03"/>
    <w:rsid w:val="005D1FE3"/>
    <w:rsid w:val="005D2D82"/>
    <w:rsid w:val="005D33A7"/>
    <w:rsid w:val="005D7315"/>
    <w:rsid w:val="005E1AAC"/>
    <w:rsid w:val="005E1F77"/>
    <w:rsid w:val="005E274B"/>
    <w:rsid w:val="005E3408"/>
    <w:rsid w:val="005E68DE"/>
    <w:rsid w:val="005E70EE"/>
    <w:rsid w:val="005F012B"/>
    <w:rsid w:val="005F2A24"/>
    <w:rsid w:val="005F2AEF"/>
    <w:rsid w:val="005F5E93"/>
    <w:rsid w:val="005F6C2E"/>
    <w:rsid w:val="005F76B8"/>
    <w:rsid w:val="00601397"/>
    <w:rsid w:val="00604040"/>
    <w:rsid w:val="006052D2"/>
    <w:rsid w:val="0061039F"/>
    <w:rsid w:val="0061373C"/>
    <w:rsid w:val="0061585C"/>
    <w:rsid w:val="0062132B"/>
    <w:rsid w:val="00623491"/>
    <w:rsid w:val="00624DF1"/>
    <w:rsid w:val="00626A20"/>
    <w:rsid w:val="00630435"/>
    <w:rsid w:val="00631381"/>
    <w:rsid w:val="006316FA"/>
    <w:rsid w:val="0063224E"/>
    <w:rsid w:val="00632AEC"/>
    <w:rsid w:val="00633BBC"/>
    <w:rsid w:val="00637645"/>
    <w:rsid w:val="00640D34"/>
    <w:rsid w:val="00641A95"/>
    <w:rsid w:val="00642143"/>
    <w:rsid w:val="00642FF6"/>
    <w:rsid w:val="00643168"/>
    <w:rsid w:val="00645079"/>
    <w:rsid w:val="006473B4"/>
    <w:rsid w:val="00650D64"/>
    <w:rsid w:val="00652119"/>
    <w:rsid w:val="00652EE0"/>
    <w:rsid w:val="00654C11"/>
    <w:rsid w:val="00654F9F"/>
    <w:rsid w:val="00656978"/>
    <w:rsid w:val="006574E4"/>
    <w:rsid w:val="00661FF0"/>
    <w:rsid w:val="0066630C"/>
    <w:rsid w:val="006666D7"/>
    <w:rsid w:val="006702F7"/>
    <w:rsid w:val="00673340"/>
    <w:rsid w:val="0067339B"/>
    <w:rsid w:val="00673CDE"/>
    <w:rsid w:val="00674684"/>
    <w:rsid w:val="006775EC"/>
    <w:rsid w:val="00686760"/>
    <w:rsid w:val="0069098D"/>
    <w:rsid w:val="00690BA4"/>
    <w:rsid w:val="00691282"/>
    <w:rsid w:val="006933AA"/>
    <w:rsid w:val="00694D43"/>
    <w:rsid w:val="0069536E"/>
    <w:rsid w:val="00696957"/>
    <w:rsid w:val="006A1B69"/>
    <w:rsid w:val="006A2681"/>
    <w:rsid w:val="006A550A"/>
    <w:rsid w:val="006A56B8"/>
    <w:rsid w:val="006B043F"/>
    <w:rsid w:val="006B0C67"/>
    <w:rsid w:val="006B1D82"/>
    <w:rsid w:val="006B6188"/>
    <w:rsid w:val="006C5438"/>
    <w:rsid w:val="006C772D"/>
    <w:rsid w:val="006D302F"/>
    <w:rsid w:val="006D5E66"/>
    <w:rsid w:val="006D6383"/>
    <w:rsid w:val="006D653E"/>
    <w:rsid w:val="006D7B7B"/>
    <w:rsid w:val="006E226D"/>
    <w:rsid w:val="006E42BC"/>
    <w:rsid w:val="006E4561"/>
    <w:rsid w:val="006F165D"/>
    <w:rsid w:val="006F2502"/>
    <w:rsid w:val="006F2681"/>
    <w:rsid w:val="006F2F60"/>
    <w:rsid w:val="006F63EC"/>
    <w:rsid w:val="006F675C"/>
    <w:rsid w:val="00702A61"/>
    <w:rsid w:val="00704825"/>
    <w:rsid w:val="0070523D"/>
    <w:rsid w:val="0071120D"/>
    <w:rsid w:val="0071280B"/>
    <w:rsid w:val="007139A4"/>
    <w:rsid w:val="0071574F"/>
    <w:rsid w:val="0072413E"/>
    <w:rsid w:val="00732809"/>
    <w:rsid w:val="00733B84"/>
    <w:rsid w:val="00737920"/>
    <w:rsid w:val="007420A7"/>
    <w:rsid w:val="00742711"/>
    <w:rsid w:val="00742B4F"/>
    <w:rsid w:val="00742E95"/>
    <w:rsid w:val="00742E9F"/>
    <w:rsid w:val="00743766"/>
    <w:rsid w:val="00743E42"/>
    <w:rsid w:val="00744B55"/>
    <w:rsid w:val="00751CAD"/>
    <w:rsid w:val="00751ED8"/>
    <w:rsid w:val="0075243E"/>
    <w:rsid w:val="007549D7"/>
    <w:rsid w:val="00755A52"/>
    <w:rsid w:val="00757327"/>
    <w:rsid w:val="00762017"/>
    <w:rsid w:val="007633E6"/>
    <w:rsid w:val="00765CCE"/>
    <w:rsid w:val="007671B4"/>
    <w:rsid w:val="0077701A"/>
    <w:rsid w:val="00782040"/>
    <w:rsid w:val="007860E7"/>
    <w:rsid w:val="00790CAA"/>
    <w:rsid w:val="007929B5"/>
    <w:rsid w:val="00795777"/>
    <w:rsid w:val="007A3196"/>
    <w:rsid w:val="007A39B9"/>
    <w:rsid w:val="007A6755"/>
    <w:rsid w:val="007B54E2"/>
    <w:rsid w:val="007B59A4"/>
    <w:rsid w:val="007B6051"/>
    <w:rsid w:val="007B7C4B"/>
    <w:rsid w:val="007C1325"/>
    <w:rsid w:val="007C2D4A"/>
    <w:rsid w:val="007C5AB8"/>
    <w:rsid w:val="007D0638"/>
    <w:rsid w:val="007D481E"/>
    <w:rsid w:val="007D6D8C"/>
    <w:rsid w:val="007E1FA2"/>
    <w:rsid w:val="007E6EDA"/>
    <w:rsid w:val="007F2E0A"/>
    <w:rsid w:val="007F2E18"/>
    <w:rsid w:val="007F33D5"/>
    <w:rsid w:val="007F7387"/>
    <w:rsid w:val="007F7670"/>
    <w:rsid w:val="00800F38"/>
    <w:rsid w:val="00801111"/>
    <w:rsid w:val="0080223B"/>
    <w:rsid w:val="008028D3"/>
    <w:rsid w:val="008036F4"/>
    <w:rsid w:val="0080646D"/>
    <w:rsid w:val="00806A2E"/>
    <w:rsid w:val="00813421"/>
    <w:rsid w:val="008138CD"/>
    <w:rsid w:val="00814020"/>
    <w:rsid w:val="00814FA2"/>
    <w:rsid w:val="00816758"/>
    <w:rsid w:val="00820E6F"/>
    <w:rsid w:val="008220A9"/>
    <w:rsid w:val="00822A7C"/>
    <w:rsid w:val="0082379C"/>
    <w:rsid w:val="00823A82"/>
    <w:rsid w:val="0082500D"/>
    <w:rsid w:val="00825D27"/>
    <w:rsid w:val="00826F2D"/>
    <w:rsid w:val="008275AE"/>
    <w:rsid w:val="0083002F"/>
    <w:rsid w:val="00832140"/>
    <w:rsid w:val="00835093"/>
    <w:rsid w:val="0084032E"/>
    <w:rsid w:val="008416DB"/>
    <w:rsid w:val="00845663"/>
    <w:rsid w:val="00854130"/>
    <w:rsid w:val="00854E06"/>
    <w:rsid w:val="00856B6D"/>
    <w:rsid w:val="008606D8"/>
    <w:rsid w:val="00862236"/>
    <w:rsid w:val="008631E9"/>
    <w:rsid w:val="00866DDF"/>
    <w:rsid w:val="008730FC"/>
    <w:rsid w:val="00874430"/>
    <w:rsid w:val="008745F8"/>
    <w:rsid w:val="00874685"/>
    <w:rsid w:val="0087625E"/>
    <w:rsid w:val="00877884"/>
    <w:rsid w:val="00880E34"/>
    <w:rsid w:val="00881BE9"/>
    <w:rsid w:val="0088366A"/>
    <w:rsid w:val="008844AD"/>
    <w:rsid w:val="0088589A"/>
    <w:rsid w:val="00885B13"/>
    <w:rsid w:val="00885FC0"/>
    <w:rsid w:val="00886194"/>
    <w:rsid w:val="008863BA"/>
    <w:rsid w:val="00887058"/>
    <w:rsid w:val="00887386"/>
    <w:rsid w:val="008875D7"/>
    <w:rsid w:val="00887757"/>
    <w:rsid w:val="00891716"/>
    <w:rsid w:val="008934AE"/>
    <w:rsid w:val="00893B74"/>
    <w:rsid w:val="008948A4"/>
    <w:rsid w:val="00894E07"/>
    <w:rsid w:val="00895740"/>
    <w:rsid w:val="0089706C"/>
    <w:rsid w:val="008A01D0"/>
    <w:rsid w:val="008A3911"/>
    <w:rsid w:val="008A41CE"/>
    <w:rsid w:val="008A46C0"/>
    <w:rsid w:val="008B1719"/>
    <w:rsid w:val="008B22A1"/>
    <w:rsid w:val="008B267B"/>
    <w:rsid w:val="008B3433"/>
    <w:rsid w:val="008B4244"/>
    <w:rsid w:val="008B4B28"/>
    <w:rsid w:val="008B53B3"/>
    <w:rsid w:val="008B6CB6"/>
    <w:rsid w:val="008B73D4"/>
    <w:rsid w:val="008C0E39"/>
    <w:rsid w:val="008C158F"/>
    <w:rsid w:val="008C199D"/>
    <w:rsid w:val="008C7126"/>
    <w:rsid w:val="008D073E"/>
    <w:rsid w:val="008D09A2"/>
    <w:rsid w:val="008D0BC3"/>
    <w:rsid w:val="008D1429"/>
    <w:rsid w:val="008D193A"/>
    <w:rsid w:val="008D23E0"/>
    <w:rsid w:val="008D43EB"/>
    <w:rsid w:val="008E02C7"/>
    <w:rsid w:val="008E2F67"/>
    <w:rsid w:val="008E3E1F"/>
    <w:rsid w:val="008E4F75"/>
    <w:rsid w:val="008E58F2"/>
    <w:rsid w:val="008E7859"/>
    <w:rsid w:val="008F1A87"/>
    <w:rsid w:val="008F23F4"/>
    <w:rsid w:val="008F27C6"/>
    <w:rsid w:val="008F7C8F"/>
    <w:rsid w:val="00901778"/>
    <w:rsid w:val="00902BB4"/>
    <w:rsid w:val="00907ECD"/>
    <w:rsid w:val="00912AB9"/>
    <w:rsid w:val="00912F93"/>
    <w:rsid w:val="00917012"/>
    <w:rsid w:val="009176C2"/>
    <w:rsid w:val="009236E5"/>
    <w:rsid w:val="00923CC6"/>
    <w:rsid w:val="00924D81"/>
    <w:rsid w:val="00925BBB"/>
    <w:rsid w:val="00931858"/>
    <w:rsid w:val="00933FDE"/>
    <w:rsid w:val="009364CF"/>
    <w:rsid w:val="00936CDD"/>
    <w:rsid w:val="0093728A"/>
    <w:rsid w:val="00942E01"/>
    <w:rsid w:val="00943A92"/>
    <w:rsid w:val="0094533A"/>
    <w:rsid w:val="00951B26"/>
    <w:rsid w:val="009538C3"/>
    <w:rsid w:val="00955AB3"/>
    <w:rsid w:val="00957C77"/>
    <w:rsid w:val="00957D0B"/>
    <w:rsid w:val="0096127C"/>
    <w:rsid w:val="00961563"/>
    <w:rsid w:val="0096449D"/>
    <w:rsid w:val="00964564"/>
    <w:rsid w:val="00966B0B"/>
    <w:rsid w:val="009671BF"/>
    <w:rsid w:val="00973D14"/>
    <w:rsid w:val="00976100"/>
    <w:rsid w:val="00976C33"/>
    <w:rsid w:val="00980BB6"/>
    <w:rsid w:val="009864AD"/>
    <w:rsid w:val="00991743"/>
    <w:rsid w:val="00991BE1"/>
    <w:rsid w:val="00993C9D"/>
    <w:rsid w:val="009944F4"/>
    <w:rsid w:val="00997425"/>
    <w:rsid w:val="00997C41"/>
    <w:rsid w:val="009A1C27"/>
    <w:rsid w:val="009A2608"/>
    <w:rsid w:val="009A28EA"/>
    <w:rsid w:val="009A433F"/>
    <w:rsid w:val="009A4F9F"/>
    <w:rsid w:val="009A6AD8"/>
    <w:rsid w:val="009A717C"/>
    <w:rsid w:val="009A752F"/>
    <w:rsid w:val="009B0896"/>
    <w:rsid w:val="009B14AC"/>
    <w:rsid w:val="009B3F64"/>
    <w:rsid w:val="009B525C"/>
    <w:rsid w:val="009B576B"/>
    <w:rsid w:val="009C155C"/>
    <w:rsid w:val="009C5EF5"/>
    <w:rsid w:val="009D3A35"/>
    <w:rsid w:val="009D3BC1"/>
    <w:rsid w:val="009D584D"/>
    <w:rsid w:val="009D6145"/>
    <w:rsid w:val="009D79F2"/>
    <w:rsid w:val="009E2AE8"/>
    <w:rsid w:val="009E2E1E"/>
    <w:rsid w:val="009E732C"/>
    <w:rsid w:val="009F11B3"/>
    <w:rsid w:val="009F2E42"/>
    <w:rsid w:val="009F5981"/>
    <w:rsid w:val="009F68E6"/>
    <w:rsid w:val="00A041DD"/>
    <w:rsid w:val="00A06D5E"/>
    <w:rsid w:val="00A10E5F"/>
    <w:rsid w:val="00A13316"/>
    <w:rsid w:val="00A1492B"/>
    <w:rsid w:val="00A1671B"/>
    <w:rsid w:val="00A220FE"/>
    <w:rsid w:val="00A22D2C"/>
    <w:rsid w:val="00A24C35"/>
    <w:rsid w:val="00A25F96"/>
    <w:rsid w:val="00A26AB6"/>
    <w:rsid w:val="00A30168"/>
    <w:rsid w:val="00A30515"/>
    <w:rsid w:val="00A315C5"/>
    <w:rsid w:val="00A31CC1"/>
    <w:rsid w:val="00A32EFC"/>
    <w:rsid w:val="00A336DB"/>
    <w:rsid w:val="00A33AC8"/>
    <w:rsid w:val="00A36269"/>
    <w:rsid w:val="00A42351"/>
    <w:rsid w:val="00A43112"/>
    <w:rsid w:val="00A456F6"/>
    <w:rsid w:val="00A46257"/>
    <w:rsid w:val="00A47F23"/>
    <w:rsid w:val="00A50920"/>
    <w:rsid w:val="00A51226"/>
    <w:rsid w:val="00A52F6C"/>
    <w:rsid w:val="00A564B1"/>
    <w:rsid w:val="00A56F66"/>
    <w:rsid w:val="00A577F9"/>
    <w:rsid w:val="00A6179C"/>
    <w:rsid w:val="00A617B3"/>
    <w:rsid w:val="00A626EF"/>
    <w:rsid w:val="00A6331D"/>
    <w:rsid w:val="00A6410C"/>
    <w:rsid w:val="00A64BD9"/>
    <w:rsid w:val="00A65204"/>
    <w:rsid w:val="00A656D8"/>
    <w:rsid w:val="00A67BF5"/>
    <w:rsid w:val="00A70E09"/>
    <w:rsid w:val="00A715F2"/>
    <w:rsid w:val="00A73E54"/>
    <w:rsid w:val="00A75F54"/>
    <w:rsid w:val="00A81E04"/>
    <w:rsid w:val="00A82664"/>
    <w:rsid w:val="00A84B39"/>
    <w:rsid w:val="00A84D7A"/>
    <w:rsid w:val="00A87F47"/>
    <w:rsid w:val="00A91D8F"/>
    <w:rsid w:val="00A927A8"/>
    <w:rsid w:val="00A93E2B"/>
    <w:rsid w:val="00A950B4"/>
    <w:rsid w:val="00AA0AE9"/>
    <w:rsid w:val="00AA21E8"/>
    <w:rsid w:val="00AA3E38"/>
    <w:rsid w:val="00AA3F92"/>
    <w:rsid w:val="00AA69E6"/>
    <w:rsid w:val="00AA6D48"/>
    <w:rsid w:val="00AA6D7A"/>
    <w:rsid w:val="00AB18F7"/>
    <w:rsid w:val="00AB1FB2"/>
    <w:rsid w:val="00AB386D"/>
    <w:rsid w:val="00AB69E6"/>
    <w:rsid w:val="00AB75B4"/>
    <w:rsid w:val="00AC100E"/>
    <w:rsid w:val="00AC4F76"/>
    <w:rsid w:val="00AC5FA1"/>
    <w:rsid w:val="00AC6644"/>
    <w:rsid w:val="00AC6ADD"/>
    <w:rsid w:val="00AD1B6A"/>
    <w:rsid w:val="00AD63BA"/>
    <w:rsid w:val="00AE01A3"/>
    <w:rsid w:val="00AE09C1"/>
    <w:rsid w:val="00AE14EA"/>
    <w:rsid w:val="00AE3F87"/>
    <w:rsid w:val="00AE4A64"/>
    <w:rsid w:val="00AE5F13"/>
    <w:rsid w:val="00AE7236"/>
    <w:rsid w:val="00AF04CC"/>
    <w:rsid w:val="00AF068C"/>
    <w:rsid w:val="00B0148E"/>
    <w:rsid w:val="00B05924"/>
    <w:rsid w:val="00B06A99"/>
    <w:rsid w:val="00B110C7"/>
    <w:rsid w:val="00B121AA"/>
    <w:rsid w:val="00B13920"/>
    <w:rsid w:val="00B14C58"/>
    <w:rsid w:val="00B14DD2"/>
    <w:rsid w:val="00B17A25"/>
    <w:rsid w:val="00B217C2"/>
    <w:rsid w:val="00B2258C"/>
    <w:rsid w:val="00B227C3"/>
    <w:rsid w:val="00B2342C"/>
    <w:rsid w:val="00B234F7"/>
    <w:rsid w:val="00B30AE1"/>
    <w:rsid w:val="00B36CFD"/>
    <w:rsid w:val="00B46103"/>
    <w:rsid w:val="00B53B36"/>
    <w:rsid w:val="00B540C7"/>
    <w:rsid w:val="00B54D8A"/>
    <w:rsid w:val="00B55ADE"/>
    <w:rsid w:val="00B6002D"/>
    <w:rsid w:val="00B60D95"/>
    <w:rsid w:val="00B62AAF"/>
    <w:rsid w:val="00B6509A"/>
    <w:rsid w:val="00B661F8"/>
    <w:rsid w:val="00B71B09"/>
    <w:rsid w:val="00B72A52"/>
    <w:rsid w:val="00B75E73"/>
    <w:rsid w:val="00B76936"/>
    <w:rsid w:val="00B810D0"/>
    <w:rsid w:val="00B81874"/>
    <w:rsid w:val="00B82B67"/>
    <w:rsid w:val="00B82E70"/>
    <w:rsid w:val="00B84998"/>
    <w:rsid w:val="00B938FF"/>
    <w:rsid w:val="00B96ABC"/>
    <w:rsid w:val="00BA0635"/>
    <w:rsid w:val="00BA1D03"/>
    <w:rsid w:val="00BA2C41"/>
    <w:rsid w:val="00BA3775"/>
    <w:rsid w:val="00BA5A18"/>
    <w:rsid w:val="00BA5B0B"/>
    <w:rsid w:val="00BA62EA"/>
    <w:rsid w:val="00BB1F5C"/>
    <w:rsid w:val="00BB3183"/>
    <w:rsid w:val="00BB31DD"/>
    <w:rsid w:val="00BB42DF"/>
    <w:rsid w:val="00BB455A"/>
    <w:rsid w:val="00BB53CB"/>
    <w:rsid w:val="00BC10F2"/>
    <w:rsid w:val="00BC52B2"/>
    <w:rsid w:val="00BC65D5"/>
    <w:rsid w:val="00BC7F72"/>
    <w:rsid w:val="00BD030F"/>
    <w:rsid w:val="00BD1347"/>
    <w:rsid w:val="00BD1F97"/>
    <w:rsid w:val="00BD3461"/>
    <w:rsid w:val="00BE03C8"/>
    <w:rsid w:val="00BE3EBE"/>
    <w:rsid w:val="00BE4C52"/>
    <w:rsid w:val="00BF0ECB"/>
    <w:rsid w:val="00BF1C4E"/>
    <w:rsid w:val="00BF2269"/>
    <w:rsid w:val="00BF4BC6"/>
    <w:rsid w:val="00BF79F0"/>
    <w:rsid w:val="00C01246"/>
    <w:rsid w:val="00C0354E"/>
    <w:rsid w:val="00C03D43"/>
    <w:rsid w:val="00C0605A"/>
    <w:rsid w:val="00C101F0"/>
    <w:rsid w:val="00C1027B"/>
    <w:rsid w:val="00C10A6C"/>
    <w:rsid w:val="00C11534"/>
    <w:rsid w:val="00C16078"/>
    <w:rsid w:val="00C20259"/>
    <w:rsid w:val="00C212F0"/>
    <w:rsid w:val="00C21F5B"/>
    <w:rsid w:val="00C35AE5"/>
    <w:rsid w:val="00C37D3A"/>
    <w:rsid w:val="00C40726"/>
    <w:rsid w:val="00C40FBF"/>
    <w:rsid w:val="00C41530"/>
    <w:rsid w:val="00C41A41"/>
    <w:rsid w:val="00C45EB5"/>
    <w:rsid w:val="00C463DD"/>
    <w:rsid w:val="00C46F6E"/>
    <w:rsid w:val="00C50C3B"/>
    <w:rsid w:val="00C52B64"/>
    <w:rsid w:val="00C53957"/>
    <w:rsid w:val="00C549CF"/>
    <w:rsid w:val="00C610AB"/>
    <w:rsid w:val="00C61C01"/>
    <w:rsid w:val="00C6351D"/>
    <w:rsid w:val="00C6458C"/>
    <w:rsid w:val="00C67BEF"/>
    <w:rsid w:val="00C70B0A"/>
    <w:rsid w:val="00C735FE"/>
    <w:rsid w:val="00C7407F"/>
    <w:rsid w:val="00C810BF"/>
    <w:rsid w:val="00C8269F"/>
    <w:rsid w:val="00C851CA"/>
    <w:rsid w:val="00C855FC"/>
    <w:rsid w:val="00C86442"/>
    <w:rsid w:val="00C868E9"/>
    <w:rsid w:val="00C87082"/>
    <w:rsid w:val="00C879CB"/>
    <w:rsid w:val="00C92EE6"/>
    <w:rsid w:val="00C932D9"/>
    <w:rsid w:val="00C940C9"/>
    <w:rsid w:val="00C94330"/>
    <w:rsid w:val="00C9518E"/>
    <w:rsid w:val="00C9713D"/>
    <w:rsid w:val="00CA0612"/>
    <w:rsid w:val="00CA2169"/>
    <w:rsid w:val="00CA5B2D"/>
    <w:rsid w:val="00CA5EF7"/>
    <w:rsid w:val="00CB5131"/>
    <w:rsid w:val="00CB52B8"/>
    <w:rsid w:val="00CB648D"/>
    <w:rsid w:val="00CC1DC1"/>
    <w:rsid w:val="00CC266F"/>
    <w:rsid w:val="00CC50D6"/>
    <w:rsid w:val="00CC5D37"/>
    <w:rsid w:val="00CC77A4"/>
    <w:rsid w:val="00CD15EB"/>
    <w:rsid w:val="00CD1EC0"/>
    <w:rsid w:val="00CD4E7E"/>
    <w:rsid w:val="00CE1375"/>
    <w:rsid w:val="00CE2404"/>
    <w:rsid w:val="00CE448A"/>
    <w:rsid w:val="00CE59C0"/>
    <w:rsid w:val="00CE7BDC"/>
    <w:rsid w:val="00CF172C"/>
    <w:rsid w:val="00CF327A"/>
    <w:rsid w:val="00CF6459"/>
    <w:rsid w:val="00CF74DE"/>
    <w:rsid w:val="00D004A0"/>
    <w:rsid w:val="00D00C46"/>
    <w:rsid w:val="00D01974"/>
    <w:rsid w:val="00D03A6F"/>
    <w:rsid w:val="00D044BA"/>
    <w:rsid w:val="00D04E23"/>
    <w:rsid w:val="00D1182B"/>
    <w:rsid w:val="00D15442"/>
    <w:rsid w:val="00D167D7"/>
    <w:rsid w:val="00D20B2F"/>
    <w:rsid w:val="00D21968"/>
    <w:rsid w:val="00D22499"/>
    <w:rsid w:val="00D22AB4"/>
    <w:rsid w:val="00D2325C"/>
    <w:rsid w:val="00D25096"/>
    <w:rsid w:val="00D2676E"/>
    <w:rsid w:val="00D27677"/>
    <w:rsid w:val="00D32CB6"/>
    <w:rsid w:val="00D35BE8"/>
    <w:rsid w:val="00D35C63"/>
    <w:rsid w:val="00D40A2B"/>
    <w:rsid w:val="00D41654"/>
    <w:rsid w:val="00D42013"/>
    <w:rsid w:val="00D43A36"/>
    <w:rsid w:val="00D4520E"/>
    <w:rsid w:val="00D45A61"/>
    <w:rsid w:val="00D45B73"/>
    <w:rsid w:val="00D50320"/>
    <w:rsid w:val="00D54E2C"/>
    <w:rsid w:val="00D55427"/>
    <w:rsid w:val="00D55C4F"/>
    <w:rsid w:val="00D5633F"/>
    <w:rsid w:val="00D57296"/>
    <w:rsid w:val="00D57E18"/>
    <w:rsid w:val="00D62929"/>
    <w:rsid w:val="00D6301B"/>
    <w:rsid w:val="00D67667"/>
    <w:rsid w:val="00D7234A"/>
    <w:rsid w:val="00D737FC"/>
    <w:rsid w:val="00D750DA"/>
    <w:rsid w:val="00D844D6"/>
    <w:rsid w:val="00D85765"/>
    <w:rsid w:val="00D86B0F"/>
    <w:rsid w:val="00D86B66"/>
    <w:rsid w:val="00D87019"/>
    <w:rsid w:val="00D90C17"/>
    <w:rsid w:val="00D917C3"/>
    <w:rsid w:val="00D929C1"/>
    <w:rsid w:val="00D93921"/>
    <w:rsid w:val="00DA1C7A"/>
    <w:rsid w:val="00DA3471"/>
    <w:rsid w:val="00DA5346"/>
    <w:rsid w:val="00DA7BD8"/>
    <w:rsid w:val="00DB0055"/>
    <w:rsid w:val="00DB2FAE"/>
    <w:rsid w:val="00DB37F9"/>
    <w:rsid w:val="00DB41C7"/>
    <w:rsid w:val="00DC012C"/>
    <w:rsid w:val="00DC0AE4"/>
    <w:rsid w:val="00DC1491"/>
    <w:rsid w:val="00DC1BBB"/>
    <w:rsid w:val="00DC3580"/>
    <w:rsid w:val="00DC3A71"/>
    <w:rsid w:val="00DC4F9E"/>
    <w:rsid w:val="00DC5941"/>
    <w:rsid w:val="00DC6A88"/>
    <w:rsid w:val="00DD0267"/>
    <w:rsid w:val="00DD0934"/>
    <w:rsid w:val="00DD15D4"/>
    <w:rsid w:val="00DD2D8E"/>
    <w:rsid w:val="00DD471C"/>
    <w:rsid w:val="00DE0352"/>
    <w:rsid w:val="00DE0D43"/>
    <w:rsid w:val="00DE3205"/>
    <w:rsid w:val="00DE32A4"/>
    <w:rsid w:val="00DE3FA6"/>
    <w:rsid w:val="00DE557D"/>
    <w:rsid w:val="00DE629D"/>
    <w:rsid w:val="00DE7C06"/>
    <w:rsid w:val="00DE7C39"/>
    <w:rsid w:val="00DE7D73"/>
    <w:rsid w:val="00DE7E83"/>
    <w:rsid w:val="00DF1478"/>
    <w:rsid w:val="00DF215A"/>
    <w:rsid w:val="00DF242B"/>
    <w:rsid w:val="00DF3A45"/>
    <w:rsid w:val="00DF3F84"/>
    <w:rsid w:val="00DF55C7"/>
    <w:rsid w:val="00E01836"/>
    <w:rsid w:val="00E02386"/>
    <w:rsid w:val="00E03A6F"/>
    <w:rsid w:val="00E03ACA"/>
    <w:rsid w:val="00E05938"/>
    <w:rsid w:val="00E05FC5"/>
    <w:rsid w:val="00E06063"/>
    <w:rsid w:val="00E06476"/>
    <w:rsid w:val="00E1004C"/>
    <w:rsid w:val="00E105C9"/>
    <w:rsid w:val="00E12273"/>
    <w:rsid w:val="00E13939"/>
    <w:rsid w:val="00E1570D"/>
    <w:rsid w:val="00E206D2"/>
    <w:rsid w:val="00E2126F"/>
    <w:rsid w:val="00E2130F"/>
    <w:rsid w:val="00E23213"/>
    <w:rsid w:val="00E235F6"/>
    <w:rsid w:val="00E254DD"/>
    <w:rsid w:val="00E26DFF"/>
    <w:rsid w:val="00E27040"/>
    <w:rsid w:val="00E27DC5"/>
    <w:rsid w:val="00E30B40"/>
    <w:rsid w:val="00E37521"/>
    <w:rsid w:val="00E4048B"/>
    <w:rsid w:val="00E404E1"/>
    <w:rsid w:val="00E442FB"/>
    <w:rsid w:val="00E501D1"/>
    <w:rsid w:val="00E509D3"/>
    <w:rsid w:val="00E52451"/>
    <w:rsid w:val="00E54603"/>
    <w:rsid w:val="00E56C62"/>
    <w:rsid w:val="00E572D8"/>
    <w:rsid w:val="00E6065D"/>
    <w:rsid w:val="00E63359"/>
    <w:rsid w:val="00E63DA3"/>
    <w:rsid w:val="00E64A97"/>
    <w:rsid w:val="00E64EEF"/>
    <w:rsid w:val="00E659AF"/>
    <w:rsid w:val="00E70418"/>
    <w:rsid w:val="00E704D9"/>
    <w:rsid w:val="00E70AF3"/>
    <w:rsid w:val="00E74205"/>
    <w:rsid w:val="00E77C48"/>
    <w:rsid w:val="00E8068C"/>
    <w:rsid w:val="00E809D5"/>
    <w:rsid w:val="00E81D7C"/>
    <w:rsid w:val="00E83E79"/>
    <w:rsid w:val="00E93D4B"/>
    <w:rsid w:val="00E94BEB"/>
    <w:rsid w:val="00E94C0F"/>
    <w:rsid w:val="00E96244"/>
    <w:rsid w:val="00EA5940"/>
    <w:rsid w:val="00EA5B16"/>
    <w:rsid w:val="00EA620F"/>
    <w:rsid w:val="00EA6B4B"/>
    <w:rsid w:val="00EA735D"/>
    <w:rsid w:val="00EB3A5E"/>
    <w:rsid w:val="00EC2B3B"/>
    <w:rsid w:val="00EC3564"/>
    <w:rsid w:val="00EC5954"/>
    <w:rsid w:val="00EC5AA1"/>
    <w:rsid w:val="00EC5BF8"/>
    <w:rsid w:val="00EC5FA0"/>
    <w:rsid w:val="00EC6E3E"/>
    <w:rsid w:val="00EC7191"/>
    <w:rsid w:val="00EC72D6"/>
    <w:rsid w:val="00EC7E26"/>
    <w:rsid w:val="00ED04B1"/>
    <w:rsid w:val="00ED09A3"/>
    <w:rsid w:val="00ED3D0B"/>
    <w:rsid w:val="00EE0000"/>
    <w:rsid w:val="00EE0FA4"/>
    <w:rsid w:val="00EE1045"/>
    <w:rsid w:val="00EE1094"/>
    <w:rsid w:val="00EE11E0"/>
    <w:rsid w:val="00EE1334"/>
    <w:rsid w:val="00EE4263"/>
    <w:rsid w:val="00EE4366"/>
    <w:rsid w:val="00EE47B0"/>
    <w:rsid w:val="00EE4F05"/>
    <w:rsid w:val="00EE553F"/>
    <w:rsid w:val="00EE635E"/>
    <w:rsid w:val="00EE760C"/>
    <w:rsid w:val="00EF1ABD"/>
    <w:rsid w:val="00EF346E"/>
    <w:rsid w:val="00F01BAF"/>
    <w:rsid w:val="00F025C3"/>
    <w:rsid w:val="00F04B27"/>
    <w:rsid w:val="00F0769A"/>
    <w:rsid w:val="00F0784D"/>
    <w:rsid w:val="00F11493"/>
    <w:rsid w:val="00F14292"/>
    <w:rsid w:val="00F1486B"/>
    <w:rsid w:val="00F14C02"/>
    <w:rsid w:val="00F15716"/>
    <w:rsid w:val="00F16E18"/>
    <w:rsid w:val="00F17070"/>
    <w:rsid w:val="00F233AB"/>
    <w:rsid w:val="00F236A7"/>
    <w:rsid w:val="00F2752E"/>
    <w:rsid w:val="00F27995"/>
    <w:rsid w:val="00F27F5B"/>
    <w:rsid w:val="00F325A8"/>
    <w:rsid w:val="00F34CCA"/>
    <w:rsid w:val="00F37987"/>
    <w:rsid w:val="00F37E51"/>
    <w:rsid w:val="00F4191A"/>
    <w:rsid w:val="00F41E6A"/>
    <w:rsid w:val="00F4257F"/>
    <w:rsid w:val="00F440E8"/>
    <w:rsid w:val="00F44C1A"/>
    <w:rsid w:val="00F46721"/>
    <w:rsid w:val="00F50B60"/>
    <w:rsid w:val="00F52380"/>
    <w:rsid w:val="00F53B9E"/>
    <w:rsid w:val="00F545F2"/>
    <w:rsid w:val="00F554BD"/>
    <w:rsid w:val="00F56FCC"/>
    <w:rsid w:val="00F57B45"/>
    <w:rsid w:val="00F601CC"/>
    <w:rsid w:val="00F61456"/>
    <w:rsid w:val="00F623D4"/>
    <w:rsid w:val="00F65721"/>
    <w:rsid w:val="00F663E7"/>
    <w:rsid w:val="00F66C54"/>
    <w:rsid w:val="00F70643"/>
    <w:rsid w:val="00F70E08"/>
    <w:rsid w:val="00F75A98"/>
    <w:rsid w:val="00F76011"/>
    <w:rsid w:val="00F804E2"/>
    <w:rsid w:val="00F811EB"/>
    <w:rsid w:val="00F85885"/>
    <w:rsid w:val="00F85F12"/>
    <w:rsid w:val="00F8648D"/>
    <w:rsid w:val="00F872E8"/>
    <w:rsid w:val="00F87B6C"/>
    <w:rsid w:val="00F90C2B"/>
    <w:rsid w:val="00F9444D"/>
    <w:rsid w:val="00F952FE"/>
    <w:rsid w:val="00F95DAF"/>
    <w:rsid w:val="00F96118"/>
    <w:rsid w:val="00F96258"/>
    <w:rsid w:val="00FA13EB"/>
    <w:rsid w:val="00FA27C4"/>
    <w:rsid w:val="00FA297A"/>
    <w:rsid w:val="00FA3166"/>
    <w:rsid w:val="00FA3329"/>
    <w:rsid w:val="00FA3E83"/>
    <w:rsid w:val="00FA3FC9"/>
    <w:rsid w:val="00FA7851"/>
    <w:rsid w:val="00FB1E72"/>
    <w:rsid w:val="00FB3E80"/>
    <w:rsid w:val="00FB49D4"/>
    <w:rsid w:val="00FC1C0A"/>
    <w:rsid w:val="00FC35CE"/>
    <w:rsid w:val="00FC3F71"/>
    <w:rsid w:val="00FC4BE8"/>
    <w:rsid w:val="00FC4FF5"/>
    <w:rsid w:val="00FC6922"/>
    <w:rsid w:val="00FD1C87"/>
    <w:rsid w:val="00FD2098"/>
    <w:rsid w:val="00FD5B49"/>
    <w:rsid w:val="00FD600E"/>
    <w:rsid w:val="00FD608D"/>
    <w:rsid w:val="00FD634F"/>
    <w:rsid w:val="00FD7142"/>
    <w:rsid w:val="00FE4D9A"/>
    <w:rsid w:val="00FE5B76"/>
    <w:rsid w:val="00FE661F"/>
    <w:rsid w:val="00FE7527"/>
    <w:rsid w:val="00FE789A"/>
    <w:rsid w:val="00FF057F"/>
    <w:rsid w:val="00FF3F80"/>
    <w:rsid w:val="00FF4588"/>
    <w:rsid w:val="00FF518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489"/>
    <w:pPr>
      <w:spacing w:after="0" w:line="240" w:lineRule="auto"/>
    </w:pPr>
    <w:rPr>
      <w:rFonts w:asciiTheme="majorBidi" w:eastAsia="Times New Roman" w:hAnsiTheme="majorBidi" w:cs="Arial"/>
      <w:sz w:val="24"/>
      <w:szCs w:val="24"/>
    </w:rPr>
  </w:style>
  <w:style w:type="paragraph" w:styleId="Heading1">
    <w:name w:val="heading 1"/>
    <w:basedOn w:val="Normal"/>
    <w:next w:val="Normal"/>
    <w:link w:val="Heading1Char"/>
    <w:uiPriority w:val="9"/>
    <w:qFormat/>
    <w:rsid w:val="004E042D"/>
    <w:pPr>
      <w:keepNext/>
      <w:keepLines/>
      <w:numPr>
        <w:numId w:val="20"/>
      </w:numPr>
      <w:spacing w:before="480" w:line="360" w:lineRule="auto"/>
      <w:jc w:val="center"/>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4E042D"/>
    <w:pPr>
      <w:keepNext/>
      <w:keepLines/>
      <w:spacing w:before="240" w:after="240"/>
      <w:outlineLvl w:val="1"/>
    </w:pPr>
    <w:rPr>
      <w:rFonts w:eastAsiaTheme="majorEastAsia" w:cstheme="majorBidi"/>
      <w:b/>
      <w:bCs/>
      <w:sz w:val="26"/>
      <w:szCs w:val="26"/>
    </w:rPr>
  </w:style>
  <w:style w:type="paragraph" w:styleId="Heading3">
    <w:name w:val="heading 3"/>
    <w:basedOn w:val="Normal"/>
    <w:next w:val="Normal"/>
    <w:link w:val="Heading3Char"/>
    <w:qFormat/>
    <w:rsid w:val="00175D61"/>
    <w:pPr>
      <w:keepNext/>
      <w:spacing w:before="240" w:after="240"/>
      <w:outlineLvl w:val="2"/>
    </w:pPr>
    <w:rPr>
      <w:b/>
      <w:bCs/>
      <w:szCs w:val="26"/>
    </w:rPr>
  </w:style>
  <w:style w:type="paragraph" w:styleId="Heading4">
    <w:name w:val="heading 4"/>
    <w:basedOn w:val="Normal"/>
    <w:next w:val="Normal"/>
    <w:link w:val="Heading4Char"/>
    <w:uiPriority w:val="9"/>
    <w:unhideWhenUsed/>
    <w:qFormat/>
    <w:rsid w:val="00175D61"/>
    <w:pPr>
      <w:keepNext/>
      <w:keepLines/>
      <w:spacing w:before="240" w:after="240" w:line="360" w:lineRule="auto"/>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42D"/>
    <w:rPr>
      <w:rFonts w:asciiTheme="majorBidi" w:eastAsiaTheme="majorEastAsia" w:hAnsiTheme="majorBidi" w:cstheme="majorBidi"/>
      <w:b/>
      <w:bCs/>
      <w:sz w:val="32"/>
      <w:szCs w:val="28"/>
    </w:rPr>
  </w:style>
  <w:style w:type="character" w:customStyle="1" w:styleId="Heading2Char">
    <w:name w:val="Heading 2 Char"/>
    <w:basedOn w:val="DefaultParagraphFont"/>
    <w:link w:val="Heading2"/>
    <w:uiPriority w:val="9"/>
    <w:rsid w:val="004E042D"/>
    <w:rPr>
      <w:rFonts w:asciiTheme="majorBidi" w:eastAsiaTheme="majorEastAsia" w:hAnsiTheme="majorBidi" w:cstheme="majorBidi"/>
      <w:b/>
      <w:bCs/>
      <w:sz w:val="26"/>
      <w:szCs w:val="26"/>
    </w:rPr>
  </w:style>
  <w:style w:type="character" w:customStyle="1" w:styleId="Heading3Char">
    <w:name w:val="Heading 3 Char"/>
    <w:basedOn w:val="DefaultParagraphFont"/>
    <w:link w:val="Heading3"/>
    <w:rsid w:val="00175D61"/>
    <w:rPr>
      <w:rFonts w:asciiTheme="majorBidi" w:eastAsia="Times New Roman" w:hAnsiTheme="majorBidi" w:cs="Arial"/>
      <w:b/>
      <w:bCs/>
      <w:sz w:val="24"/>
      <w:szCs w:val="26"/>
    </w:rPr>
  </w:style>
  <w:style w:type="character" w:customStyle="1" w:styleId="Heading4Char">
    <w:name w:val="Heading 4 Char"/>
    <w:basedOn w:val="DefaultParagraphFont"/>
    <w:link w:val="Heading4"/>
    <w:uiPriority w:val="9"/>
    <w:rsid w:val="00175D61"/>
    <w:rPr>
      <w:rFonts w:asciiTheme="majorBidi" w:eastAsiaTheme="majorEastAsia" w:hAnsiTheme="majorBidi" w:cstheme="majorBidi"/>
      <w:b/>
      <w:bCs/>
      <w:iCs/>
      <w:sz w:val="24"/>
      <w:szCs w:val="24"/>
    </w:rPr>
  </w:style>
  <w:style w:type="paragraph" w:styleId="ListParagraph">
    <w:name w:val="List Paragraph"/>
    <w:basedOn w:val="Normal"/>
    <w:uiPriority w:val="34"/>
    <w:qFormat/>
    <w:rsid w:val="002A1654"/>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2A1654"/>
    <w:rPr>
      <w:rFonts w:ascii="Tahoma" w:hAnsi="Tahoma" w:cs="Tahoma"/>
      <w:sz w:val="16"/>
      <w:szCs w:val="16"/>
    </w:rPr>
  </w:style>
  <w:style w:type="character" w:customStyle="1" w:styleId="BalloonTextChar">
    <w:name w:val="Balloon Text Char"/>
    <w:basedOn w:val="DefaultParagraphFont"/>
    <w:link w:val="BalloonText"/>
    <w:uiPriority w:val="99"/>
    <w:semiHidden/>
    <w:rsid w:val="002A1654"/>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2A1654"/>
    <w:rPr>
      <w:sz w:val="16"/>
      <w:szCs w:val="16"/>
    </w:rPr>
  </w:style>
  <w:style w:type="paragraph" w:styleId="CommentText">
    <w:name w:val="annotation text"/>
    <w:basedOn w:val="Normal"/>
    <w:link w:val="CommentTextChar"/>
    <w:uiPriority w:val="99"/>
    <w:semiHidden/>
    <w:unhideWhenUsed/>
    <w:rsid w:val="002A1654"/>
    <w:rPr>
      <w:sz w:val="20"/>
      <w:szCs w:val="20"/>
    </w:rPr>
  </w:style>
  <w:style w:type="character" w:customStyle="1" w:styleId="CommentTextChar">
    <w:name w:val="Comment Text Char"/>
    <w:basedOn w:val="DefaultParagraphFont"/>
    <w:link w:val="CommentText"/>
    <w:uiPriority w:val="99"/>
    <w:semiHidden/>
    <w:rsid w:val="002A1654"/>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2A1654"/>
    <w:rPr>
      <w:b/>
      <w:bCs/>
    </w:rPr>
  </w:style>
  <w:style w:type="character" w:customStyle="1" w:styleId="CommentSubjectChar">
    <w:name w:val="Comment Subject Char"/>
    <w:basedOn w:val="CommentTextChar"/>
    <w:link w:val="CommentSubject"/>
    <w:uiPriority w:val="99"/>
    <w:semiHidden/>
    <w:rsid w:val="002A1654"/>
    <w:rPr>
      <w:rFonts w:ascii="Arial" w:eastAsia="Times New Roman" w:hAnsi="Arial" w:cs="Arial"/>
      <w:b/>
      <w:bCs/>
      <w:sz w:val="20"/>
      <w:szCs w:val="20"/>
    </w:rPr>
  </w:style>
  <w:style w:type="character" w:styleId="PlaceholderText">
    <w:name w:val="Placeholder Text"/>
    <w:basedOn w:val="DefaultParagraphFont"/>
    <w:uiPriority w:val="99"/>
    <w:semiHidden/>
    <w:rsid w:val="003827AF"/>
    <w:rPr>
      <w:color w:val="808080"/>
    </w:rPr>
  </w:style>
  <w:style w:type="paragraph" w:styleId="Revision">
    <w:name w:val="Revision"/>
    <w:hidden/>
    <w:uiPriority w:val="99"/>
    <w:semiHidden/>
    <w:rsid w:val="0049380E"/>
    <w:pPr>
      <w:spacing w:after="0" w:line="240" w:lineRule="auto"/>
    </w:pPr>
    <w:rPr>
      <w:rFonts w:ascii="Arial" w:eastAsia="Times New Roman" w:hAnsi="Arial" w:cs="Arial"/>
      <w:sz w:val="24"/>
      <w:szCs w:val="24"/>
    </w:rPr>
  </w:style>
  <w:style w:type="character" w:customStyle="1" w:styleId="apple-converted-space">
    <w:name w:val="apple-converted-space"/>
    <w:basedOn w:val="DefaultParagraphFont"/>
    <w:rsid w:val="003D3366"/>
  </w:style>
  <w:style w:type="table" w:styleId="TableGrid">
    <w:name w:val="Table Grid"/>
    <w:basedOn w:val="TableNormal"/>
    <w:uiPriority w:val="59"/>
    <w:rsid w:val="00A220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C35AE5"/>
    <w:pPr>
      <w:ind w:left="720" w:hanging="720"/>
    </w:pPr>
  </w:style>
  <w:style w:type="paragraph" w:styleId="TOCHeading">
    <w:name w:val="TOC Heading"/>
    <w:basedOn w:val="Heading1"/>
    <w:next w:val="Normal"/>
    <w:uiPriority w:val="39"/>
    <w:unhideWhenUsed/>
    <w:qFormat/>
    <w:rsid w:val="00FA3E83"/>
    <w:pPr>
      <w:spacing w:line="276" w:lineRule="auto"/>
      <w:outlineLvl w:val="9"/>
    </w:pPr>
    <w:rPr>
      <w:lang w:eastAsia="ja-JP"/>
    </w:rPr>
  </w:style>
  <w:style w:type="paragraph" w:styleId="TOC2">
    <w:name w:val="toc 2"/>
    <w:basedOn w:val="Normal"/>
    <w:next w:val="Normal"/>
    <w:autoRedefine/>
    <w:uiPriority w:val="39"/>
    <w:unhideWhenUsed/>
    <w:qFormat/>
    <w:rsid w:val="00FA3E83"/>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FA3E83"/>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FA3E83"/>
    <w:pPr>
      <w:spacing w:after="100" w:line="276" w:lineRule="auto"/>
      <w:ind w:left="440"/>
    </w:pPr>
    <w:rPr>
      <w:rFonts w:asciiTheme="minorHAnsi" w:eastAsiaTheme="minorEastAsia" w:hAnsiTheme="minorHAnsi" w:cstheme="minorBidi"/>
      <w:sz w:val="22"/>
      <w:szCs w:val="22"/>
      <w:lang w:eastAsia="ja-JP"/>
    </w:rPr>
  </w:style>
  <w:style w:type="character" w:styleId="Hyperlink">
    <w:name w:val="Hyperlink"/>
    <w:basedOn w:val="DefaultParagraphFont"/>
    <w:uiPriority w:val="99"/>
    <w:unhideWhenUsed/>
    <w:rsid w:val="00FA3E83"/>
    <w:rPr>
      <w:color w:val="0000FF" w:themeColor="hyperlink"/>
      <w:u w:val="single"/>
    </w:rPr>
  </w:style>
  <w:style w:type="paragraph" w:styleId="Header">
    <w:name w:val="header"/>
    <w:basedOn w:val="Normal"/>
    <w:link w:val="HeaderChar"/>
    <w:uiPriority w:val="99"/>
    <w:unhideWhenUsed/>
    <w:rsid w:val="00175D61"/>
    <w:pPr>
      <w:tabs>
        <w:tab w:val="center" w:pos="4680"/>
        <w:tab w:val="right" w:pos="9360"/>
      </w:tabs>
    </w:pPr>
  </w:style>
  <w:style w:type="character" w:customStyle="1" w:styleId="HeaderChar">
    <w:name w:val="Header Char"/>
    <w:basedOn w:val="DefaultParagraphFont"/>
    <w:link w:val="Header"/>
    <w:uiPriority w:val="99"/>
    <w:rsid w:val="00175D61"/>
    <w:rPr>
      <w:rFonts w:ascii="Arial" w:eastAsia="Times New Roman" w:hAnsi="Arial" w:cs="Arial"/>
      <w:sz w:val="24"/>
      <w:szCs w:val="24"/>
    </w:rPr>
  </w:style>
  <w:style w:type="paragraph" w:styleId="Footer">
    <w:name w:val="footer"/>
    <w:basedOn w:val="Normal"/>
    <w:link w:val="FooterChar"/>
    <w:uiPriority w:val="99"/>
    <w:unhideWhenUsed/>
    <w:rsid w:val="00175D61"/>
    <w:pPr>
      <w:tabs>
        <w:tab w:val="center" w:pos="4680"/>
        <w:tab w:val="right" w:pos="9360"/>
      </w:tabs>
    </w:pPr>
  </w:style>
  <w:style w:type="character" w:customStyle="1" w:styleId="FooterChar">
    <w:name w:val="Footer Char"/>
    <w:basedOn w:val="DefaultParagraphFont"/>
    <w:link w:val="Footer"/>
    <w:uiPriority w:val="99"/>
    <w:rsid w:val="00175D61"/>
    <w:rPr>
      <w:rFonts w:ascii="Arial" w:eastAsia="Times New Roman" w:hAnsi="Arial" w:cs="Arial"/>
      <w:sz w:val="24"/>
      <w:szCs w:val="24"/>
    </w:rPr>
  </w:style>
  <w:style w:type="paragraph" w:styleId="TOC4">
    <w:name w:val="toc 4"/>
    <w:basedOn w:val="Normal"/>
    <w:next w:val="Normal"/>
    <w:autoRedefine/>
    <w:uiPriority w:val="39"/>
    <w:unhideWhenUsed/>
    <w:rsid w:val="00175D61"/>
    <w:pPr>
      <w:spacing w:after="100"/>
      <w:ind w:left="720"/>
    </w:pPr>
  </w:style>
  <w:style w:type="paragraph" w:styleId="Caption">
    <w:name w:val="caption"/>
    <w:basedOn w:val="Normal"/>
    <w:next w:val="Normal"/>
    <w:uiPriority w:val="35"/>
    <w:unhideWhenUsed/>
    <w:qFormat/>
    <w:rsid w:val="00175D61"/>
    <w:pPr>
      <w:spacing w:after="200"/>
    </w:pPr>
    <w:rPr>
      <w:b/>
      <w:bCs/>
      <w:color w:val="4F81BD" w:themeColor="accent1"/>
      <w:sz w:val="18"/>
      <w:szCs w:val="18"/>
    </w:rPr>
  </w:style>
  <w:style w:type="character" w:styleId="PageNumber">
    <w:name w:val="page number"/>
    <w:basedOn w:val="DefaultParagraphFont"/>
    <w:uiPriority w:val="99"/>
    <w:semiHidden/>
    <w:unhideWhenUsed/>
    <w:rsid w:val="002B764C"/>
  </w:style>
  <w:style w:type="paragraph" w:styleId="TableofFigures">
    <w:name w:val="table of figures"/>
    <w:basedOn w:val="Normal"/>
    <w:next w:val="Normal"/>
    <w:uiPriority w:val="99"/>
    <w:unhideWhenUsed/>
    <w:rsid w:val="004D548F"/>
  </w:style>
  <w:style w:type="character" w:customStyle="1" w:styleId="TitleChar">
    <w:name w:val="Title Char"/>
    <w:link w:val="Title"/>
    <w:rsid w:val="00742B4F"/>
    <w:rPr>
      <w:rFonts w:ascii="Arial" w:hAnsi="Arial" w:cs="Arial"/>
      <w:b/>
      <w:sz w:val="28"/>
      <w:szCs w:val="24"/>
      <w:lang w:val="en-CA"/>
    </w:rPr>
  </w:style>
  <w:style w:type="paragraph" w:styleId="Title">
    <w:name w:val="Title"/>
    <w:basedOn w:val="Normal"/>
    <w:link w:val="TitleChar"/>
    <w:qFormat/>
    <w:rsid w:val="00742B4F"/>
    <w:pPr>
      <w:jc w:val="center"/>
    </w:pPr>
    <w:rPr>
      <w:rFonts w:eastAsiaTheme="minorHAnsi"/>
      <w:b/>
      <w:sz w:val="28"/>
      <w:lang w:val="en-CA"/>
    </w:rPr>
  </w:style>
  <w:style w:type="character" w:customStyle="1" w:styleId="TitleChar1">
    <w:name w:val="Title Char1"/>
    <w:basedOn w:val="DefaultParagraphFont"/>
    <w:uiPriority w:val="10"/>
    <w:rsid w:val="00742B4F"/>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unhideWhenUsed/>
    <w:rsid w:val="00E06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E06063"/>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C0354E"/>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489"/>
    <w:pPr>
      <w:spacing w:after="0" w:line="240" w:lineRule="auto"/>
    </w:pPr>
    <w:rPr>
      <w:rFonts w:asciiTheme="majorBidi" w:eastAsia="Times New Roman" w:hAnsiTheme="majorBidi" w:cs="Arial"/>
      <w:sz w:val="24"/>
      <w:szCs w:val="24"/>
    </w:rPr>
  </w:style>
  <w:style w:type="paragraph" w:styleId="Heading1">
    <w:name w:val="heading 1"/>
    <w:basedOn w:val="Normal"/>
    <w:next w:val="Normal"/>
    <w:link w:val="Heading1Char"/>
    <w:uiPriority w:val="9"/>
    <w:qFormat/>
    <w:rsid w:val="004E042D"/>
    <w:pPr>
      <w:keepNext/>
      <w:keepLines/>
      <w:numPr>
        <w:numId w:val="20"/>
      </w:numPr>
      <w:spacing w:before="480" w:line="360" w:lineRule="auto"/>
      <w:jc w:val="center"/>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4E042D"/>
    <w:pPr>
      <w:keepNext/>
      <w:keepLines/>
      <w:spacing w:before="240" w:after="240"/>
      <w:outlineLvl w:val="1"/>
    </w:pPr>
    <w:rPr>
      <w:rFonts w:eastAsiaTheme="majorEastAsia" w:cstheme="majorBidi"/>
      <w:b/>
      <w:bCs/>
      <w:sz w:val="26"/>
      <w:szCs w:val="26"/>
    </w:rPr>
  </w:style>
  <w:style w:type="paragraph" w:styleId="Heading3">
    <w:name w:val="heading 3"/>
    <w:basedOn w:val="Normal"/>
    <w:next w:val="Normal"/>
    <w:link w:val="Heading3Char"/>
    <w:qFormat/>
    <w:rsid w:val="00175D61"/>
    <w:pPr>
      <w:keepNext/>
      <w:spacing w:before="240" w:after="240"/>
      <w:outlineLvl w:val="2"/>
    </w:pPr>
    <w:rPr>
      <w:b/>
      <w:bCs/>
      <w:szCs w:val="26"/>
    </w:rPr>
  </w:style>
  <w:style w:type="paragraph" w:styleId="Heading4">
    <w:name w:val="heading 4"/>
    <w:basedOn w:val="Normal"/>
    <w:next w:val="Normal"/>
    <w:link w:val="Heading4Char"/>
    <w:uiPriority w:val="9"/>
    <w:unhideWhenUsed/>
    <w:qFormat/>
    <w:rsid w:val="00175D61"/>
    <w:pPr>
      <w:keepNext/>
      <w:keepLines/>
      <w:spacing w:before="240" w:after="240" w:line="360" w:lineRule="auto"/>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42D"/>
    <w:rPr>
      <w:rFonts w:asciiTheme="majorBidi" w:eastAsiaTheme="majorEastAsia" w:hAnsiTheme="majorBidi" w:cstheme="majorBidi"/>
      <w:b/>
      <w:bCs/>
      <w:sz w:val="32"/>
      <w:szCs w:val="28"/>
    </w:rPr>
  </w:style>
  <w:style w:type="character" w:customStyle="1" w:styleId="Heading2Char">
    <w:name w:val="Heading 2 Char"/>
    <w:basedOn w:val="DefaultParagraphFont"/>
    <w:link w:val="Heading2"/>
    <w:uiPriority w:val="9"/>
    <w:rsid w:val="004E042D"/>
    <w:rPr>
      <w:rFonts w:asciiTheme="majorBidi" w:eastAsiaTheme="majorEastAsia" w:hAnsiTheme="majorBidi" w:cstheme="majorBidi"/>
      <w:b/>
      <w:bCs/>
      <w:sz w:val="26"/>
      <w:szCs w:val="26"/>
    </w:rPr>
  </w:style>
  <w:style w:type="character" w:customStyle="1" w:styleId="Heading3Char">
    <w:name w:val="Heading 3 Char"/>
    <w:basedOn w:val="DefaultParagraphFont"/>
    <w:link w:val="Heading3"/>
    <w:rsid w:val="00175D61"/>
    <w:rPr>
      <w:rFonts w:asciiTheme="majorBidi" w:eastAsia="Times New Roman" w:hAnsiTheme="majorBidi" w:cs="Arial"/>
      <w:b/>
      <w:bCs/>
      <w:sz w:val="24"/>
      <w:szCs w:val="26"/>
    </w:rPr>
  </w:style>
  <w:style w:type="character" w:customStyle="1" w:styleId="Heading4Char">
    <w:name w:val="Heading 4 Char"/>
    <w:basedOn w:val="DefaultParagraphFont"/>
    <w:link w:val="Heading4"/>
    <w:uiPriority w:val="9"/>
    <w:rsid w:val="00175D61"/>
    <w:rPr>
      <w:rFonts w:asciiTheme="majorBidi" w:eastAsiaTheme="majorEastAsia" w:hAnsiTheme="majorBidi" w:cstheme="majorBidi"/>
      <w:b/>
      <w:bCs/>
      <w:iCs/>
      <w:sz w:val="24"/>
      <w:szCs w:val="24"/>
    </w:rPr>
  </w:style>
  <w:style w:type="paragraph" w:styleId="ListParagraph">
    <w:name w:val="List Paragraph"/>
    <w:basedOn w:val="Normal"/>
    <w:uiPriority w:val="34"/>
    <w:qFormat/>
    <w:rsid w:val="002A1654"/>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2A1654"/>
    <w:rPr>
      <w:rFonts w:ascii="Tahoma" w:hAnsi="Tahoma" w:cs="Tahoma"/>
      <w:sz w:val="16"/>
      <w:szCs w:val="16"/>
    </w:rPr>
  </w:style>
  <w:style w:type="character" w:customStyle="1" w:styleId="BalloonTextChar">
    <w:name w:val="Balloon Text Char"/>
    <w:basedOn w:val="DefaultParagraphFont"/>
    <w:link w:val="BalloonText"/>
    <w:uiPriority w:val="99"/>
    <w:semiHidden/>
    <w:rsid w:val="002A1654"/>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2A1654"/>
    <w:rPr>
      <w:sz w:val="16"/>
      <w:szCs w:val="16"/>
    </w:rPr>
  </w:style>
  <w:style w:type="paragraph" w:styleId="CommentText">
    <w:name w:val="annotation text"/>
    <w:basedOn w:val="Normal"/>
    <w:link w:val="CommentTextChar"/>
    <w:uiPriority w:val="99"/>
    <w:semiHidden/>
    <w:unhideWhenUsed/>
    <w:rsid w:val="002A1654"/>
    <w:rPr>
      <w:sz w:val="20"/>
      <w:szCs w:val="20"/>
    </w:rPr>
  </w:style>
  <w:style w:type="character" w:customStyle="1" w:styleId="CommentTextChar">
    <w:name w:val="Comment Text Char"/>
    <w:basedOn w:val="DefaultParagraphFont"/>
    <w:link w:val="CommentText"/>
    <w:uiPriority w:val="99"/>
    <w:semiHidden/>
    <w:rsid w:val="002A1654"/>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2A1654"/>
    <w:rPr>
      <w:b/>
      <w:bCs/>
    </w:rPr>
  </w:style>
  <w:style w:type="character" w:customStyle="1" w:styleId="CommentSubjectChar">
    <w:name w:val="Comment Subject Char"/>
    <w:basedOn w:val="CommentTextChar"/>
    <w:link w:val="CommentSubject"/>
    <w:uiPriority w:val="99"/>
    <w:semiHidden/>
    <w:rsid w:val="002A1654"/>
    <w:rPr>
      <w:rFonts w:ascii="Arial" w:eastAsia="Times New Roman" w:hAnsi="Arial" w:cs="Arial"/>
      <w:b/>
      <w:bCs/>
      <w:sz w:val="20"/>
      <w:szCs w:val="20"/>
    </w:rPr>
  </w:style>
  <w:style w:type="character" w:styleId="PlaceholderText">
    <w:name w:val="Placeholder Text"/>
    <w:basedOn w:val="DefaultParagraphFont"/>
    <w:uiPriority w:val="99"/>
    <w:semiHidden/>
    <w:rsid w:val="003827AF"/>
    <w:rPr>
      <w:color w:val="808080"/>
    </w:rPr>
  </w:style>
  <w:style w:type="paragraph" w:styleId="Revision">
    <w:name w:val="Revision"/>
    <w:hidden/>
    <w:uiPriority w:val="99"/>
    <w:semiHidden/>
    <w:rsid w:val="0049380E"/>
    <w:pPr>
      <w:spacing w:after="0" w:line="240" w:lineRule="auto"/>
    </w:pPr>
    <w:rPr>
      <w:rFonts w:ascii="Arial" w:eastAsia="Times New Roman" w:hAnsi="Arial" w:cs="Arial"/>
      <w:sz w:val="24"/>
      <w:szCs w:val="24"/>
    </w:rPr>
  </w:style>
  <w:style w:type="character" w:customStyle="1" w:styleId="apple-converted-space">
    <w:name w:val="apple-converted-space"/>
    <w:basedOn w:val="DefaultParagraphFont"/>
    <w:rsid w:val="003D3366"/>
  </w:style>
  <w:style w:type="table" w:styleId="TableGrid">
    <w:name w:val="Table Grid"/>
    <w:basedOn w:val="TableNormal"/>
    <w:uiPriority w:val="59"/>
    <w:rsid w:val="00A220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C35AE5"/>
    <w:pPr>
      <w:ind w:left="720" w:hanging="720"/>
    </w:pPr>
  </w:style>
  <w:style w:type="paragraph" w:styleId="TOCHeading">
    <w:name w:val="TOC Heading"/>
    <w:basedOn w:val="Heading1"/>
    <w:next w:val="Normal"/>
    <w:uiPriority w:val="39"/>
    <w:unhideWhenUsed/>
    <w:qFormat/>
    <w:rsid w:val="00FA3E83"/>
    <w:pPr>
      <w:spacing w:line="276" w:lineRule="auto"/>
      <w:outlineLvl w:val="9"/>
    </w:pPr>
    <w:rPr>
      <w:lang w:eastAsia="ja-JP"/>
    </w:rPr>
  </w:style>
  <w:style w:type="paragraph" w:styleId="TOC2">
    <w:name w:val="toc 2"/>
    <w:basedOn w:val="Normal"/>
    <w:next w:val="Normal"/>
    <w:autoRedefine/>
    <w:uiPriority w:val="39"/>
    <w:unhideWhenUsed/>
    <w:qFormat/>
    <w:rsid w:val="00FA3E83"/>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FA3E83"/>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FA3E83"/>
    <w:pPr>
      <w:spacing w:after="100" w:line="276" w:lineRule="auto"/>
      <w:ind w:left="440"/>
    </w:pPr>
    <w:rPr>
      <w:rFonts w:asciiTheme="minorHAnsi" w:eastAsiaTheme="minorEastAsia" w:hAnsiTheme="minorHAnsi" w:cstheme="minorBidi"/>
      <w:sz w:val="22"/>
      <w:szCs w:val="22"/>
      <w:lang w:eastAsia="ja-JP"/>
    </w:rPr>
  </w:style>
  <w:style w:type="character" w:styleId="Hyperlink">
    <w:name w:val="Hyperlink"/>
    <w:basedOn w:val="DefaultParagraphFont"/>
    <w:uiPriority w:val="99"/>
    <w:unhideWhenUsed/>
    <w:rsid w:val="00FA3E83"/>
    <w:rPr>
      <w:color w:val="0000FF" w:themeColor="hyperlink"/>
      <w:u w:val="single"/>
    </w:rPr>
  </w:style>
  <w:style w:type="paragraph" w:styleId="Header">
    <w:name w:val="header"/>
    <w:basedOn w:val="Normal"/>
    <w:link w:val="HeaderChar"/>
    <w:uiPriority w:val="99"/>
    <w:unhideWhenUsed/>
    <w:rsid w:val="00175D61"/>
    <w:pPr>
      <w:tabs>
        <w:tab w:val="center" w:pos="4680"/>
        <w:tab w:val="right" w:pos="9360"/>
      </w:tabs>
    </w:pPr>
  </w:style>
  <w:style w:type="character" w:customStyle="1" w:styleId="HeaderChar">
    <w:name w:val="Header Char"/>
    <w:basedOn w:val="DefaultParagraphFont"/>
    <w:link w:val="Header"/>
    <w:uiPriority w:val="99"/>
    <w:rsid w:val="00175D61"/>
    <w:rPr>
      <w:rFonts w:ascii="Arial" w:eastAsia="Times New Roman" w:hAnsi="Arial" w:cs="Arial"/>
      <w:sz w:val="24"/>
      <w:szCs w:val="24"/>
    </w:rPr>
  </w:style>
  <w:style w:type="paragraph" w:styleId="Footer">
    <w:name w:val="footer"/>
    <w:basedOn w:val="Normal"/>
    <w:link w:val="FooterChar"/>
    <w:uiPriority w:val="99"/>
    <w:unhideWhenUsed/>
    <w:rsid w:val="00175D61"/>
    <w:pPr>
      <w:tabs>
        <w:tab w:val="center" w:pos="4680"/>
        <w:tab w:val="right" w:pos="9360"/>
      </w:tabs>
    </w:pPr>
  </w:style>
  <w:style w:type="character" w:customStyle="1" w:styleId="FooterChar">
    <w:name w:val="Footer Char"/>
    <w:basedOn w:val="DefaultParagraphFont"/>
    <w:link w:val="Footer"/>
    <w:uiPriority w:val="99"/>
    <w:rsid w:val="00175D61"/>
    <w:rPr>
      <w:rFonts w:ascii="Arial" w:eastAsia="Times New Roman" w:hAnsi="Arial" w:cs="Arial"/>
      <w:sz w:val="24"/>
      <w:szCs w:val="24"/>
    </w:rPr>
  </w:style>
  <w:style w:type="paragraph" w:styleId="TOC4">
    <w:name w:val="toc 4"/>
    <w:basedOn w:val="Normal"/>
    <w:next w:val="Normal"/>
    <w:autoRedefine/>
    <w:uiPriority w:val="39"/>
    <w:unhideWhenUsed/>
    <w:rsid w:val="00175D61"/>
    <w:pPr>
      <w:spacing w:after="100"/>
      <w:ind w:left="720"/>
    </w:pPr>
  </w:style>
  <w:style w:type="paragraph" w:styleId="Caption">
    <w:name w:val="caption"/>
    <w:basedOn w:val="Normal"/>
    <w:next w:val="Normal"/>
    <w:uiPriority w:val="35"/>
    <w:unhideWhenUsed/>
    <w:qFormat/>
    <w:rsid w:val="00175D61"/>
    <w:pPr>
      <w:spacing w:after="200"/>
    </w:pPr>
    <w:rPr>
      <w:b/>
      <w:bCs/>
      <w:color w:val="4F81BD" w:themeColor="accent1"/>
      <w:sz w:val="18"/>
      <w:szCs w:val="18"/>
    </w:rPr>
  </w:style>
  <w:style w:type="character" w:styleId="PageNumber">
    <w:name w:val="page number"/>
    <w:basedOn w:val="DefaultParagraphFont"/>
    <w:uiPriority w:val="99"/>
    <w:semiHidden/>
    <w:unhideWhenUsed/>
    <w:rsid w:val="002B764C"/>
  </w:style>
  <w:style w:type="paragraph" w:styleId="TableofFigures">
    <w:name w:val="table of figures"/>
    <w:basedOn w:val="Normal"/>
    <w:next w:val="Normal"/>
    <w:uiPriority w:val="99"/>
    <w:unhideWhenUsed/>
    <w:rsid w:val="004D548F"/>
  </w:style>
  <w:style w:type="character" w:customStyle="1" w:styleId="TitleChar">
    <w:name w:val="Title Char"/>
    <w:link w:val="Title"/>
    <w:rsid w:val="00742B4F"/>
    <w:rPr>
      <w:rFonts w:ascii="Arial" w:hAnsi="Arial" w:cs="Arial"/>
      <w:b/>
      <w:sz w:val="28"/>
      <w:szCs w:val="24"/>
      <w:lang w:val="en-CA"/>
    </w:rPr>
  </w:style>
  <w:style w:type="paragraph" w:styleId="Title">
    <w:name w:val="Title"/>
    <w:basedOn w:val="Normal"/>
    <w:link w:val="TitleChar"/>
    <w:qFormat/>
    <w:rsid w:val="00742B4F"/>
    <w:pPr>
      <w:jc w:val="center"/>
    </w:pPr>
    <w:rPr>
      <w:rFonts w:eastAsiaTheme="minorHAnsi"/>
      <w:b/>
      <w:sz w:val="28"/>
      <w:lang w:val="en-CA"/>
    </w:rPr>
  </w:style>
  <w:style w:type="character" w:customStyle="1" w:styleId="TitleChar1">
    <w:name w:val="Title Char1"/>
    <w:basedOn w:val="DefaultParagraphFont"/>
    <w:uiPriority w:val="10"/>
    <w:rsid w:val="00742B4F"/>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unhideWhenUsed/>
    <w:rsid w:val="00E06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E06063"/>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C0354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6833">
      <w:bodyDiv w:val="1"/>
      <w:marLeft w:val="0"/>
      <w:marRight w:val="0"/>
      <w:marTop w:val="0"/>
      <w:marBottom w:val="0"/>
      <w:divBdr>
        <w:top w:val="none" w:sz="0" w:space="0" w:color="auto"/>
        <w:left w:val="none" w:sz="0" w:space="0" w:color="auto"/>
        <w:bottom w:val="none" w:sz="0" w:space="0" w:color="auto"/>
        <w:right w:val="none" w:sz="0" w:space="0" w:color="auto"/>
      </w:divBdr>
    </w:div>
    <w:div w:id="711423853">
      <w:bodyDiv w:val="1"/>
      <w:marLeft w:val="0"/>
      <w:marRight w:val="0"/>
      <w:marTop w:val="0"/>
      <w:marBottom w:val="0"/>
      <w:divBdr>
        <w:top w:val="none" w:sz="0" w:space="0" w:color="auto"/>
        <w:left w:val="none" w:sz="0" w:space="0" w:color="auto"/>
        <w:bottom w:val="none" w:sz="0" w:space="0" w:color="auto"/>
        <w:right w:val="none" w:sz="0" w:space="0" w:color="auto"/>
      </w:divBdr>
    </w:div>
    <w:div w:id="832572888">
      <w:bodyDiv w:val="1"/>
      <w:marLeft w:val="0"/>
      <w:marRight w:val="0"/>
      <w:marTop w:val="0"/>
      <w:marBottom w:val="0"/>
      <w:divBdr>
        <w:top w:val="none" w:sz="0" w:space="0" w:color="auto"/>
        <w:left w:val="none" w:sz="0" w:space="0" w:color="auto"/>
        <w:bottom w:val="none" w:sz="0" w:space="0" w:color="auto"/>
        <w:right w:val="none" w:sz="0" w:space="0" w:color="auto"/>
      </w:divBdr>
    </w:div>
    <w:div w:id="135280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chart" Target="charts/chart3.xml"/><Relationship Id="rId26" Type="http://schemas.openxmlformats.org/officeDocument/2006/relationships/chart" Target="charts/chart10.xml"/><Relationship Id="rId39" Type="http://schemas.openxmlformats.org/officeDocument/2006/relationships/footer" Target="footer3.xml"/><Relationship Id="rId21" Type="http://schemas.openxmlformats.org/officeDocument/2006/relationships/image" Target="media/image6.png"/><Relationship Id="rId34" Type="http://schemas.openxmlformats.org/officeDocument/2006/relationships/image" Target="media/image13.jpeg"/><Relationship Id="rId42" Type="http://schemas.openxmlformats.org/officeDocument/2006/relationships/image" Target="media/image20.jpeg"/><Relationship Id="rId47" Type="http://schemas.openxmlformats.org/officeDocument/2006/relationships/image" Target="media/image25.jpeg"/><Relationship Id="rId50" Type="http://schemas.openxmlformats.org/officeDocument/2006/relationships/image" Target="media/image28.jpeg"/><Relationship Id="rId55" Type="http://schemas.openxmlformats.org/officeDocument/2006/relationships/image" Target="media/image33.jpeg"/><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chart" Target="charts/chart2.xml"/><Relationship Id="rId25" Type="http://schemas.openxmlformats.org/officeDocument/2006/relationships/chart" Target="charts/chart9.xml"/><Relationship Id="rId33" Type="http://schemas.openxmlformats.org/officeDocument/2006/relationships/image" Target="media/image12.jpeg"/><Relationship Id="rId38" Type="http://schemas.openxmlformats.org/officeDocument/2006/relationships/image" Target="media/image17.jpeg"/><Relationship Id="rId46" Type="http://schemas.openxmlformats.org/officeDocument/2006/relationships/image" Target="media/image24.jpeg"/><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image" Target="media/image9.jpeg"/><Relationship Id="rId41" Type="http://schemas.openxmlformats.org/officeDocument/2006/relationships/image" Target="media/image19.jpeg"/><Relationship Id="rId54"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chart" Target="charts/chart8.xml"/><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image" Target="media/image18.jpg"/><Relationship Id="rId45" Type="http://schemas.openxmlformats.org/officeDocument/2006/relationships/image" Target="media/image23.jpeg"/><Relationship Id="rId53" Type="http://schemas.openxmlformats.org/officeDocument/2006/relationships/image" Target="media/image31.jpeg"/><Relationship Id="rId58"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chart" Target="charts/chart7.xml"/><Relationship Id="rId28" Type="http://schemas.openxmlformats.org/officeDocument/2006/relationships/image" Target="media/image8.jpg"/><Relationship Id="rId36" Type="http://schemas.openxmlformats.org/officeDocument/2006/relationships/image" Target="media/image15.jpeg"/><Relationship Id="rId49" Type="http://schemas.openxmlformats.org/officeDocument/2006/relationships/image" Target="media/image27.jpeg"/><Relationship Id="rId57" Type="http://schemas.openxmlformats.org/officeDocument/2006/relationships/image" Target="media/image35.jpeg"/><Relationship Id="rId10" Type="http://schemas.openxmlformats.org/officeDocument/2006/relationships/footer" Target="footer2.xml"/><Relationship Id="rId19" Type="http://schemas.openxmlformats.org/officeDocument/2006/relationships/chart" Target="charts/chart4.xml"/><Relationship Id="rId31" Type="http://schemas.openxmlformats.org/officeDocument/2006/relationships/image" Target="media/image10.jpeg"/><Relationship Id="rId44" Type="http://schemas.openxmlformats.org/officeDocument/2006/relationships/image" Target="media/image22.jpeg"/><Relationship Id="rId52" Type="http://schemas.openxmlformats.org/officeDocument/2006/relationships/image" Target="media/image30.jpeg"/><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jpg"/><Relationship Id="rId22" Type="http://schemas.openxmlformats.org/officeDocument/2006/relationships/chart" Target="charts/chart6.xml"/><Relationship Id="rId27" Type="http://schemas.openxmlformats.org/officeDocument/2006/relationships/image" Target="media/image7.png"/><Relationship Id="rId30" Type="http://schemas.openxmlformats.org/officeDocument/2006/relationships/hyperlink" Target="http://www.umesc.usgs.gov/data_library/sediment_nutrients/sediment_nutrient_page.html" TargetMode="External"/><Relationship Id="rId35" Type="http://schemas.openxmlformats.org/officeDocument/2006/relationships/image" Target="media/image14.jpeg"/><Relationship Id="rId43" Type="http://schemas.openxmlformats.org/officeDocument/2006/relationships/image" Target="media/image21.jpeg"/><Relationship Id="rId48" Type="http://schemas.openxmlformats.org/officeDocument/2006/relationships/image" Target="media/image26.jpeg"/><Relationship Id="rId56" Type="http://schemas.openxmlformats.org/officeDocument/2006/relationships/image" Target="media/image34.jpeg"/><Relationship Id="rId8" Type="http://schemas.openxmlformats.org/officeDocument/2006/relationships/endnotes" Target="endnotes.xml"/><Relationship Id="rId51" Type="http://schemas.openxmlformats.org/officeDocument/2006/relationships/image" Target="media/image29.jpe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ViTran_Work\Dropbox\Thesis\Monthly%20average%20precip%20-%20stations%20-%20reg7.xlsm"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ViTran_Work\Dropbox\Thesis\Monthly%20average%20precip%20-%20stations%20-%20reg7.xlsm"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ViTran_Work\Dropbox\Thesis\Monthly%20average%20precip%20-%20stations%20-%20reg7.xlsm"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ViTran_Work\Dropbox\Thesis\Monthly%20average%20precip%20-%20stations%20-%20reg7.xlsm"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ViTran_Work\Dropbox\Thesis\Monthly%20average%20precip%20-%20stations%20-%20reg7.xlsm"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ViTran_Work\Dropbox\Thesis\Monthly%20discharge%20of%20stations%20in%20the%20UMRB.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ViTran_Work\Dropbox\Thesis\Monthly%20discharge%20of%20stations%20in%20the%20UMRB.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ViTran_Work\Dropbox\Thesis\Monthly%20discharge%20of%20stations%20in%20the%20UMRB.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ViTran_Work\Dropbox\Thesis\Monthly%20discharge%20of%20stations%20in%20the%20UMRB.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ViTran_Work\Dropbox\Thesis\Monthly%20discharge%20of%20stations%20in%20the%20UMRB.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026959331696401"/>
          <c:y val="8.1452289248484994E-2"/>
          <c:w val="0.77009038184742995"/>
          <c:h val="0.72075741358751699"/>
        </c:manualLayout>
      </c:layout>
      <c:barChart>
        <c:barDir val="col"/>
        <c:grouping val="clustered"/>
        <c:varyColors val="0"/>
        <c:ser>
          <c:idx val="0"/>
          <c:order val="0"/>
          <c:tx>
            <c:v>Precipitation</c:v>
          </c:tx>
          <c:invertIfNegative val="0"/>
          <c:cat>
            <c:strRef>
              <c:f>'Chicago Ohare Airport'!$I$1:$T$1</c:f>
              <c:strCache>
                <c:ptCount val="12"/>
                <c:pt idx="0">
                  <c:v>Jan</c:v>
                </c:pt>
                <c:pt idx="1">
                  <c:v>Feb</c:v>
                </c:pt>
                <c:pt idx="2">
                  <c:v>Mar</c:v>
                </c:pt>
                <c:pt idx="3">
                  <c:v>Apr</c:v>
                </c:pt>
                <c:pt idx="4">
                  <c:v>May</c:v>
                </c:pt>
                <c:pt idx="5">
                  <c:v>Jun</c:v>
                </c:pt>
                <c:pt idx="6">
                  <c:v>Jul</c:v>
                </c:pt>
                <c:pt idx="7">
                  <c:v>Aug</c:v>
                </c:pt>
                <c:pt idx="8">
                  <c:v>Dec</c:v>
                </c:pt>
                <c:pt idx="9">
                  <c:v>Oct</c:v>
                </c:pt>
                <c:pt idx="10">
                  <c:v>Nov</c:v>
                </c:pt>
                <c:pt idx="11">
                  <c:v>Dec</c:v>
                </c:pt>
              </c:strCache>
            </c:strRef>
          </c:cat>
          <c:val>
            <c:numRef>
              <c:f>'Chicago Ohare Airport'!$I$2:$T$2</c:f>
              <c:numCache>
                <c:formatCode>General</c:formatCode>
                <c:ptCount val="12"/>
                <c:pt idx="0">
                  <c:v>44.565454545454543</c:v>
                </c:pt>
                <c:pt idx="1">
                  <c:v>39.577818181818152</c:v>
                </c:pt>
                <c:pt idx="2">
                  <c:v>64.585272727272709</c:v>
                </c:pt>
                <c:pt idx="3">
                  <c:v>68.533818181818177</c:v>
                </c:pt>
                <c:pt idx="4">
                  <c:v>69.549818181818196</c:v>
                </c:pt>
                <c:pt idx="5">
                  <c:v>80.72581818181817</c:v>
                </c:pt>
                <c:pt idx="6">
                  <c:v>86.475454545454468</c:v>
                </c:pt>
                <c:pt idx="7">
                  <c:v>138.89181818181819</c:v>
                </c:pt>
                <c:pt idx="8">
                  <c:v>73.844727272727269</c:v>
                </c:pt>
                <c:pt idx="9">
                  <c:v>91.740181818181696</c:v>
                </c:pt>
                <c:pt idx="10">
                  <c:v>102.893090909091</c:v>
                </c:pt>
                <c:pt idx="11">
                  <c:v>42.83363636363628</c:v>
                </c:pt>
              </c:numCache>
            </c:numRef>
          </c:val>
        </c:ser>
        <c:dLbls>
          <c:showLegendKey val="0"/>
          <c:showVal val="0"/>
          <c:showCatName val="0"/>
          <c:showSerName val="0"/>
          <c:showPercent val="0"/>
          <c:showBubbleSize val="0"/>
        </c:dLbls>
        <c:gapWidth val="150"/>
        <c:axId val="163079680"/>
        <c:axId val="163081216"/>
      </c:barChart>
      <c:lineChart>
        <c:grouping val="standard"/>
        <c:varyColors val="0"/>
        <c:ser>
          <c:idx val="1"/>
          <c:order val="1"/>
          <c:tx>
            <c:strRef>
              <c:f>'Chicago Ohare Airport'!$H$3</c:f>
              <c:strCache>
                <c:ptCount val="1"/>
                <c:pt idx="0">
                  <c:v>Median</c:v>
                </c:pt>
              </c:strCache>
            </c:strRef>
          </c:tx>
          <c:spPr>
            <a:ln cap="flat">
              <a:solidFill>
                <a:schemeClr val="tx1"/>
              </a:solidFill>
              <a:miter lim="800000"/>
            </a:ln>
          </c:spPr>
          <c:marker>
            <c:symbol val="none"/>
          </c:marker>
          <c:val>
            <c:numRef>
              <c:f>'Chicago Ohare Airport'!$I$3:$T$3</c:f>
              <c:numCache>
                <c:formatCode>General</c:formatCode>
                <c:ptCount val="12"/>
                <c:pt idx="0">
                  <c:v>42.417999999999999</c:v>
                </c:pt>
                <c:pt idx="1">
                  <c:v>32.766000000000012</c:v>
                </c:pt>
                <c:pt idx="2">
                  <c:v>54.61</c:v>
                </c:pt>
                <c:pt idx="3">
                  <c:v>55.88</c:v>
                </c:pt>
                <c:pt idx="4">
                  <c:v>56.134</c:v>
                </c:pt>
                <c:pt idx="5">
                  <c:v>51.054000000000002</c:v>
                </c:pt>
                <c:pt idx="6">
                  <c:v>95.25</c:v>
                </c:pt>
                <c:pt idx="7">
                  <c:v>99.06</c:v>
                </c:pt>
                <c:pt idx="8">
                  <c:v>63.753999999999998</c:v>
                </c:pt>
                <c:pt idx="9">
                  <c:v>95.25</c:v>
                </c:pt>
                <c:pt idx="10">
                  <c:v>93.471999999999994</c:v>
                </c:pt>
                <c:pt idx="11">
                  <c:v>40.894000000000013</c:v>
                </c:pt>
              </c:numCache>
            </c:numRef>
          </c:val>
          <c:smooth val="0"/>
        </c:ser>
        <c:ser>
          <c:idx val="2"/>
          <c:order val="2"/>
          <c:tx>
            <c:strRef>
              <c:f>'Chicago Ohare Airport'!$H$4</c:f>
              <c:strCache>
                <c:ptCount val="1"/>
                <c:pt idx="0">
                  <c:v>1st quartile</c:v>
                </c:pt>
              </c:strCache>
            </c:strRef>
          </c:tx>
          <c:spPr>
            <a:ln w="19050">
              <a:solidFill>
                <a:schemeClr val="tx1"/>
              </a:solidFill>
              <a:prstDash val="dash"/>
            </a:ln>
          </c:spPr>
          <c:marker>
            <c:symbol val="none"/>
          </c:marker>
          <c:val>
            <c:numRef>
              <c:f>'Chicago Ohare Airport'!$I$4:$T$4</c:f>
              <c:numCache>
                <c:formatCode>General</c:formatCode>
                <c:ptCount val="12"/>
                <c:pt idx="0">
                  <c:v>22.097999999999999</c:v>
                </c:pt>
                <c:pt idx="1">
                  <c:v>19.558</c:v>
                </c:pt>
                <c:pt idx="2">
                  <c:v>37.845999999999997</c:v>
                </c:pt>
                <c:pt idx="3">
                  <c:v>45.466000000000001</c:v>
                </c:pt>
                <c:pt idx="4">
                  <c:v>30.225999999999981</c:v>
                </c:pt>
                <c:pt idx="5">
                  <c:v>34.29</c:v>
                </c:pt>
                <c:pt idx="6">
                  <c:v>57.15</c:v>
                </c:pt>
                <c:pt idx="7">
                  <c:v>83.566000000000003</c:v>
                </c:pt>
                <c:pt idx="8">
                  <c:v>26.416</c:v>
                </c:pt>
                <c:pt idx="9">
                  <c:v>45.466000000000001</c:v>
                </c:pt>
                <c:pt idx="10">
                  <c:v>54.863999999999997</c:v>
                </c:pt>
                <c:pt idx="11">
                  <c:v>25.4</c:v>
                </c:pt>
              </c:numCache>
            </c:numRef>
          </c:val>
          <c:smooth val="0"/>
        </c:ser>
        <c:ser>
          <c:idx val="3"/>
          <c:order val="3"/>
          <c:tx>
            <c:strRef>
              <c:f>'Chicago Ohare Airport'!$H$5</c:f>
              <c:strCache>
                <c:ptCount val="1"/>
                <c:pt idx="0">
                  <c:v>3rd quartile</c:v>
                </c:pt>
              </c:strCache>
            </c:strRef>
          </c:tx>
          <c:spPr>
            <a:ln w="19050">
              <a:solidFill>
                <a:schemeClr val="tx1"/>
              </a:solidFill>
              <a:prstDash val="dash"/>
            </a:ln>
          </c:spPr>
          <c:marker>
            <c:symbol val="none"/>
          </c:marker>
          <c:val>
            <c:numRef>
              <c:f>'Chicago Ohare Airport'!$I$5:$T$5</c:f>
              <c:numCache>
                <c:formatCode>General</c:formatCode>
                <c:ptCount val="12"/>
                <c:pt idx="0">
                  <c:v>48.895000000000003</c:v>
                </c:pt>
                <c:pt idx="1">
                  <c:v>61.087000000000003</c:v>
                </c:pt>
                <c:pt idx="2">
                  <c:v>84.200999999999993</c:v>
                </c:pt>
                <c:pt idx="3">
                  <c:v>80.518000000000001</c:v>
                </c:pt>
                <c:pt idx="4">
                  <c:v>96.266000000000005</c:v>
                </c:pt>
                <c:pt idx="5">
                  <c:v>101.473</c:v>
                </c:pt>
                <c:pt idx="6">
                  <c:v>107.82299999999999</c:v>
                </c:pt>
                <c:pt idx="7">
                  <c:v>165.73500000000001</c:v>
                </c:pt>
                <c:pt idx="8">
                  <c:v>104.39400000000001</c:v>
                </c:pt>
                <c:pt idx="9">
                  <c:v>116.586</c:v>
                </c:pt>
                <c:pt idx="10">
                  <c:v>139.827</c:v>
                </c:pt>
                <c:pt idx="11">
                  <c:v>55.118000000000002</c:v>
                </c:pt>
              </c:numCache>
            </c:numRef>
          </c:val>
          <c:smooth val="0"/>
        </c:ser>
        <c:dLbls>
          <c:showLegendKey val="0"/>
          <c:showVal val="0"/>
          <c:showCatName val="0"/>
          <c:showSerName val="0"/>
          <c:showPercent val="0"/>
          <c:showBubbleSize val="0"/>
        </c:dLbls>
        <c:marker val="1"/>
        <c:smooth val="0"/>
        <c:axId val="163079680"/>
        <c:axId val="163081216"/>
      </c:lineChart>
      <c:catAx>
        <c:axId val="163079680"/>
        <c:scaling>
          <c:orientation val="minMax"/>
        </c:scaling>
        <c:delete val="0"/>
        <c:axPos val="b"/>
        <c:majorTickMark val="out"/>
        <c:minorTickMark val="none"/>
        <c:tickLblPos val="nextTo"/>
        <c:crossAx val="163081216"/>
        <c:crosses val="autoZero"/>
        <c:auto val="1"/>
        <c:lblAlgn val="ctr"/>
        <c:lblOffset val="100"/>
        <c:noMultiLvlLbl val="0"/>
      </c:catAx>
      <c:valAx>
        <c:axId val="163081216"/>
        <c:scaling>
          <c:orientation val="minMax"/>
        </c:scaling>
        <c:delete val="0"/>
        <c:axPos val="l"/>
        <c:majorGridlines>
          <c:spPr>
            <a:ln>
              <a:noFill/>
            </a:ln>
          </c:spPr>
        </c:majorGridlines>
        <c:title>
          <c:tx>
            <c:rich>
              <a:bodyPr rot="-5400000" vert="horz"/>
              <a:lstStyle/>
              <a:p>
                <a:pPr>
                  <a:defRPr/>
                </a:pPr>
                <a:r>
                  <a:rPr lang="en-US"/>
                  <a:t>Precipitation (mm)</a:t>
                </a:r>
              </a:p>
            </c:rich>
          </c:tx>
          <c:overlay val="0"/>
        </c:title>
        <c:numFmt formatCode="General" sourceLinked="1"/>
        <c:majorTickMark val="out"/>
        <c:minorTickMark val="none"/>
        <c:tickLblPos val="nextTo"/>
        <c:crossAx val="163079680"/>
        <c:crosses val="autoZero"/>
        <c:crossBetween val="between"/>
      </c:valAx>
    </c:plotArea>
    <c:plotVisOnly val="1"/>
    <c:dispBlanksAs val="gap"/>
    <c:showDLblsOverMax val="0"/>
  </c:chart>
  <c:txPr>
    <a:bodyPr/>
    <a:lstStyle/>
    <a:p>
      <a:pPr>
        <a:defRPr sz="1000">
          <a:latin typeface="Times New Roman" pitchFamily="18" charset="0"/>
          <a:cs typeface="Times New Roman"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'St Louis Lambert Airport'!$I$1:$T$1</c:f>
              <c:strCache>
                <c:ptCount val="12"/>
                <c:pt idx="0">
                  <c:v>Jan</c:v>
                </c:pt>
                <c:pt idx="1">
                  <c:v>Feb</c:v>
                </c:pt>
                <c:pt idx="2">
                  <c:v>Mar</c:v>
                </c:pt>
                <c:pt idx="3">
                  <c:v>Apr</c:v>
                </c:pt>
                <c:pt idx="4">
                  <c:v>May</c:v>
                </c:pt>
                <c:pt idx="5">
                  <c:v>Jun</c:v>
                </c:pt>
                <c:pt idx="6">
                  <c:v>Jul</c:v>
                </c:pt>
                <c:pt idx="7">
                  <c:v>Aug</c:v>
                </c:pt>
                <c:pt idx="8">
                  <c:v>Dec</c:v>
                </c:pt>
                <c:pt idx="9">
                  <c:v>Oct</c:v>
                </c:pt>
                <c:pt idx="10">
                  <c:v>Nov</c:v>
                </c:pt>
                <c:pt idx="11">
                  <c:v>Dec</c:v>
                </c:pt>
              </c:strCache>
            </c:strRef>
          </c:cat>
          <c:val>
            <c:numRef>
              <c:f>'St Louis Lambert Airport'!$I$2:$T$2</c:f>
              <c:numCache>
                <c:formatCode>General</c:formatCode>
                <c:ptCount val="12"/>
                <c:pt idx="0">
                  <c:v>52.116181818181808</c:v>
                </c:pt>
                <c:pt idx="1">
                  <c:v>58.974181818181819</c:v>
                </c:pt>
                <c:pt idx="2">
                  <c:v>80.587272727272733</c:v>
                </c:pt>
                <c:pt idx="3">
                  <c:v>88.73836363636363</c:v>
                </c:pt>
                <c:pt idx="4">
                  <c:v>107.9730909090909</c:v>
                </c:pt>
                <c:pt idx="5">
                  <c:v>89.246363636363625</c:v>
                </c:pt>
                <c:pt idx="6">
                  <c:v>96.889454545454456</c:v>
                </c:pt>
                <c:pt idx="7">
                  <c:v>85.62109090909091</c:v>
                </c:pt>
                <c:pt idx="8">
                  <c:v>72.828727272727164</c:v>
                </c:pt>
                <c:pt idx="9">
                  <c:v>72.020545454545456</c:v>
                </c:pt>
                <c:pt idx="10">
                  <c:v>108.1347272727272</c:v>
                </c:pt>
                <c:pt idx="11">
                  <c:v>79.132545454545408</c:v>
                </c:pt>
              </c:numCache>
            </c:numRef>
          </c:val>
        </c:ser>
        <c:dLbls>
          <c:showLegendKey val="0"/>
          <c:showVal val="0"/>
          <c:showCatName val="0"/>
          <c:showSerName val="0"/>
          <c:showPercent val="0"/>
          <c:showBubbleSize val="0"/>
        </c:dLbls>
        <c:gapWidth val="150"/>
        <c:axId val="163112448"/>
        <c:axId val="163113984"/>
      </c:barChart>
      <c:lineChart>
        <c:grouping val="standard"/>
        <c:varyColors val="0"/>
        <c:ser>
          <c:idx val="1"/>
          <c:order val="1"/>
          <c:tx>
            <c:strRef>
              <c:f>'St Louis Lambert Airport'!$H$3</c:f>
              <c:strCache>
                <c:ptCount val="1"/>
                <c:pt idx="0">
                  <c:v>Median</c:v>
                </c:pt>
              </c:strCache>
            </c:strRef>
          </c:tx>
          <c:spPr>
            <a:ln>
              <a:solidFill>
                <a:schemeClr val="tx1"/>
              </a:solidFill>
            </a:ln>
          </c:spPr>
          <c:marker>
            <c:symbol val="none"/>
          </c:marker>
          <c:val>
            <c:numRef>
              <c:f>'St Louis Lambert Airport'!$I$3:$T$3</c:f>
              <c:numCache>
                <c:formatCode>General</c:formatCode>
                <c:ptCount val="12"/>
                <c:pt idx="0">
                  <c:v>50.292000000000002</c:v>
                </c:pt>
                <c:pt idx="1">
                  <c:v>48.006</c:v>
                </c:pt>
                <c:pt idx="2">
                  <c:v>81.28</c:v>
                </c:pt>
                <c:pt idx="3">
                  <c:v>77.977999999999994</c:v>
                </c:pt>
                <c:pt idx="4">
                  <c:v>83.82</c:v>
                </c:pt>
                <c:pt idx="5">
                  <c:v>75.183999999999983</c:v>
                </c:pt>
                <c:pt idx="6">
                  <c:v>109.474</c:v>
                </c:pt>
                <c:pt idx="7">
                  <c:v>87.63</c:v>
                </c:pt>
                <c:pt idx="8">
                  <c:v>42.926000000000009</c:v>
                </c:pt>
                <c:pt idx="9">
                  <c:v>51.054000000000002</c:v>
                </c:pt>
                <c:pt idx="10">
                  <c:v>103.886</c:v>
                </c:pt>
                <c:pt idx="11">
                  <c:v>72.39</c:v>
                </c:pt>
              </c:numCache>
            </c:numRef>
          </c:val>
          <c:smooth val="0"/>
        </c:ser>
        <c:ser>
          <c:idx val="2"/>
          <c:order val="2"/>
          <c:tx>
            <c:strRef>
              <c:f>'St Louis Lambert Airport'!$H$4</c:f>
              <c:strCache>
                <c:ptCount val="1"/>
                <c:pt idx="0">
                  <c:v>1st</c:v>
                </c:pt>
              </c:strCache>
            </c:strRef>
          </c:tx>
          <c:spPr>
            <a:ln w="19050">
              <a:solidFill>
                <a:schemeClr val="tx1"/>
              </a:solidFill>
              <a:prstDash val="dash"/>
            </a:ln>
          </c:spPr>
          <c:marker>
            <c:symbol val="none"/>
          </c:marker>
          <c:val>
            <c:numRef>
              <c:f>'St Louis Lambert Airport'!$I$4:$T$4</c:f>
              <c:numCache>
                <c:formatCode>General</c:formatCode>
                <c:ptCount val="12"/>
                <c:pt idx="0">
                  <c:v>32.258000000000003</c:v>
                </c:pt>
                <c:pt idx="1">
                  <c:v>35.941000000000003</c:v>
                </c:pt>
                <c:pt idx="2">
                  <c:v>61.214000000000013</c:v>
                </c:pt>
                <c:pt idx="3">
                  <c:v>48.768000000000001</c:v>
                </c:pt>
                <c:pt idx="4">
                  <c:v>47.244</c:v>
                </c:pt>
                <c:pt idx="5">
                  <c:v>52.451000000000001</c:v>
                </c:pt>
                <c:pt idx="6">
                  <c:v>71.501000000000005</c:v>
                </c:pt>
                <c:pt idx="7">
                  <c:v>65.405000000000001</c:v>
                </c:pt>
                <c:pt idx="8">
                  <c:v>24.891999999999999</c:v>
                </c:pt>
                <c:pt idx="9">
                  <c:v>45.72</c:v>
                </c:pt>
                <c:pt idx="10">
                  <c:v>61.468000000000004</c:v>
                </c:pt>
                <c:pt idx="11">
                  <c:v>38.100000000000009</c:v>
                </c:pt>
              </c:numCache>
            </c:numRef>
          </c:val>
          <c:smooth val="0"/>
        </c:ser>
        <c:ser>
          <c:idx val="3"/>
          <c:order val="3"/>
          <c:tx>
            <c:strRef>
              <c:f>'St Louis Lambert Airport'!$H$5</c:f>
              <c:strCache>
                <c:ptCount val="1"/>
                <c:pt idx="0">
                  <c:v>3rd</c:v>
                </c:pt>
              </c:strCache>
            </c:strRef>
          </c:tx>
          <c:spPr>
            <a:ln w="19050">
              <a:solidFill>
                <a:schemeClr val="tx1"/>
              </a:solidFill>
              <a:prstDash val="dash"/>
            </a:ln>
          </c:spPr>
          <c:marker>
            <c:symbol val="none"/>
          </c:marker>
          <c:val>
            <c:numRef>
              <c:f>'St Louis Lambert Airport'!$I$5:$T$5</c:f>
              <c:numCache>
                <c:formatCode>General</c:formatCode>
                <c:ptCount val="12"/>
                <c:pt idx="0">
                  <c:v>74.675999999999959</c:v>
                </c:pt>
                <c:pt idx="1">
                  <c:v>79.756</c:v>
                </c:pt>
                <c:pt idx="2">
                  <c:v>101.346</c:v>
                </c:pt>
                <c:pt idx="3">
                  <c:v>88.010999999999996</c:v>
                </c:pt>
                <c:pt idx="4">
                  <c:v>102.235</c:v>
                </c:pt>
                <c:pt idx="5">
                  <c:v>101.854</c:v>
                </c:pt>
                <c:pt idx="6">
                  <c:v>128.27000000000001</c:v>
                </c:pt>
                <c:pt idx="7">
                  <c:v>105.15600000000001</c:v>
                </c:pt>
                <c:pt idx="8">
                  <c:v>75.691999999999993</c:v>
                </c:pt>
                <c:pt idx="9">
                  <c:v>99.186999999999998</c:v>
                </c:pt>
                <c:pt idx="10">
                  <c:v>142.494</c:v>
                </c:pt>
                <c:pt idx="11">
                  <c:v>93.345000000000013</c:v>
                </c:pt>
              </c:numCache>
            </c:numRef>
          </c:val>
          <c:smooth val="0"/>
        </c:ser>
        <c:dLbls>
          <c:showLegendKey val="0"/>
          <c:showVal val="0"/>
          <c:showCatName val="0"/>
          <c:showSerName val="0"/>
          <c:showPercent val="0"/>
          <c:showBubbleSize val="0"/>
        </c:dLbls>
        <c:marker val="1"/>
        <c:smooth val="0"/>
        <c:axId val="163112448"/>
        <c:axId val="163113984"/>
      </c:lineChart>
      <c:catAx>
        <c:axId val="163112448"/>
        <c:scaling>
          <c:orientation val="minMax"/>
        </c:scaling>
        <c:delete val="0"/>
        <c:axPos val="b"/>
        <c:majorTickMark val="out"/>
        <c:minorTickMark val="none"/>
        <c:tickLblPos val="nextTo"/>
        <c:crossAx val="163113984"/>
        <c:crosses val="autoZero"/>
        <c:auto val="1"/>
        <c:lblAlgn val="ctr"/>
        <c:lblOffset val="100"/>
        <c:noMultiLvlLbl val="0"/>
      </c:catAx>
      <c:valAx>
        <c:axId val="163113984"/>
        <c:scaling>
          <c:orientation val="minMax"/>
        </c:scaling>
        <c:delete val="0"/>
        <c:axPos val="l"/>
        <c:title>
          <c:tx>
            <c:rich>
              <a:bodyPr rot="-5400000" vert="horz"/>
              <a:lstStyle/>
              <a:p>
                <a:pPr>
                  <a:defRPr/>
                </a:pPr>
                <a:r>
                  <a:rPr lang="en-US"/>
                  <a:t>Precipitation (mm)</a:t>
                </a:r>
              </a:p>
            </c:rich>
          </c:tx>
          <c:overlay val="0"/>
        </c:title>
        <c:numFmt formatCode="General" sourceLinked="1"/>
        <c:majorTickMark val="out"/>
        <c:minorTickMark val="none"/>
        <c:tickLblPos val="nextTo"/>
        <c:crossAx val="163112448"/>
        <c:crosses val="autoZero"/>
        <c:crossBetween val="between"/>
      </c:valAx>
    </c:plotArea>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'Peoria Greater Airport'!$I$1:$T$1</c:f>
              <c:strCache>
                <c:ptCount val="12"/>
                <c:pt idx="0">
                  <c:v>Jan</c:v>
                </c:pt>
                <c:pt idx="1">
                  <c:v>Feb</c:v>
                </c:pt>
                <c:pt idx="2">
                  <c:v>Mar</c:v>
                </c:pt>
                <c:pt idx="3">
                  <c:v>Apr</c:v>
                </c:pt>
                <c:pt idx="4">
                  <c:v>May</c:v>
                </c:pt>
                <c:pt idx="5">
                  <c:v>Jun</c:v>
                </c:pt>
                <c:pt idx="6">
                  <c:v>Jul</c:v>
                </c:pt>
                <c:pt idx="7">
                  <c:v>Aug</c:v>
                </c:pt>
                <c:pt idx="8">
                  <c:v>Dec</c:v>
                </c:pt>
                <c:pt idx="9">
                  <c:v>Oct</c:v>
                </c:pt>
                <c:pt idx="10">
                  <c:v>Nov</c:v>
                </c:pt>
                <c:pt idx="11">
                  <c:v>Dec</c:v>
                </c:pt>
              </c:strCache>
            </c:strRef>
          </c:cat>
          <c:val>
            <c:numRef>
              <c:f>'Peoria Greater Airport'!$I$2:$T$2</c:f>
              <c:numCache>
                <c:formatCode>General</c:formatCode>
                <c:ptCount val="12"/>
                <c:pt idx="0">
                  <c:v>39.185272727272732</c:v>
                </c:pt>
                <c:pt idx="1">
                  <c:v>39.346909090909101</c:v>
                </c:pt>
                <c:pt idx="2">
                  <c:v>67.171454545454438</c:v>
                </c:pt>
                <c:pt idx="3">
                  <c:v>71.050727272727229</c:v>
                </c:pt>
                <c:pt idx="4">
                  <c:v>91.44</c:v>
                </c:pt>
                <c:pt idx="5">
                  <c:v>83.496727272727284</c:v>
                </c:pt>
                <c:pt idx="6">
                  <c:v>110.7209090909091</c:v>
                </c:pt>
                <c:pt idx="7">
                  <c:v>82.319090909090903</c:v>
                </c:pt>
                <c:pt idx="8">
                  <c:v>87.42218181818167</c:v>
                </c:pt>
                <c:pt idx="9">
                  <c:v>76.823454545454439</c:v>
                </c:pt>
                <c:pt idx="10">
                  <c:v>95.757999999999996</c:v>
                </c:pt>
                <c:pt idx="11">
                  <c:v>56.711272727272743</c:v>
                </c:pt>
              </c:numCache>
            </c:numRef>
          </c:val>
        </c:ser>
        <c:dLbls>
          <c:showLegendKey val="0"/>
          <c:showVal val="0"/>
          <c:showCatName val="0"/>
          <c:showSerName val="0"/>
          <c:showPercent val="0"/>
          <c:showBubbleSize val="0"/>
        </c:dLbls>
        <c:gapWidth val="150"/>
        <c:axId val="163472896"/>
        <c:axId val="163474432"/>
      </c:barChart>
      <c:lineChart>
        <c:grouping val="standard"/>
        <c:varyColors val="0"/>
        <c:ser>
          <c:idx val="1"/>
          <c:order val="1"/>
          <c:spPr>
            <a:ln>
              <a:solidFill>
                <a:schemeClr val="tx1"/>
              </a:solidFill>
            </a:ln>
          </c:spPr>
          <c:marker>
            <c:symbol val="none"/>
          </c:marker>
          <c:val>
            <c:numRef>
              <c:f>'Peoria Greater Airport'!$I$3:$T$3</c:f>
              <c:numCache>
                <c:formatCode>General</c:formatCode>
                <c:ptCount val="12"/>
                <c:pt idx="0">
                  <c:v>30.225999999999981</c:v>
                </c:pt>
                <c:pt idx="1">
                  <c:v>39.369999999999997</c:v>
                </c:pt>
                <c:pt idx="2">
                  <c:v>65.531999999999996</c:v>
                </c:pt>
                <c:pt idx="3">
                  <c:v>58.927999999999997</c:v>
                </c:pt>
                <c:pt idx="4">
                  <c:v>74.930000000000007</c:v>
                </c:pt>
                <c:pt idx="5">
                  <c:v>45.973999999999997</c:v>
                </c:pt>
                <c:pt idx="6">
                  <c:v>73.66</c:v>
                </c:pt>
                <c:pt idx="7">
                  <c:v>74.168000000000006</c:v>
                </c:pt>
                <c:pt idx="8">
                  <c:v>72.897999999999996</c:v>
                </c:pt>
                <c:pt idx="9">
                  <c:v>80.518000000000001</c:v>
                </c:pt>
                <c:pt idx="10">
                  <c:v>88.646000000000001</c:v>
                </c:pt>
                <c:pt idx="11">
                  <c:v>56.642000000000003</c:v>
                </c:pt>
              </c:numCache>
            </c:numRef>
          </c:val>
          <c:smooth val="0"/>
        </c:ser>
        <c:ser>
          <c:idx val="2"/>
          <c:order val="2"/>
          <c:spPr>
            <a:ln w="19050">
              <a:solidFill>
                <a:schemeClr val="tx1"/>
              </a:solidFill>
              <a:prstDash val="dash"/>
            </a:ln>
          </c:spPr>
          <c:marker>
            <c:symbol val="none"/>
          </c:marker>
          <c:val>
            <c:numRef>
              <c:f>'Peoria Greater Airport'!$I$4:$T$4</c:f>
              <c:numCache>
                <c:formatCode>General</c:formatCode>
                <c:ptCount val="12"/>
                <c:pt idx="0">
                  <c:v>25.272999999999989</c:v>
                </c:pt>
                <c:pt idx="1">
                  <c:v>19.684999999999999</c:v>
                </c:pt>
                <c:pt idx="2">
                  <c:v>34.29</c:v>
                </c:pt>
                <c:pt idx="3">
                  <c:v>40.64</c:v>
                </c:pt>
                <c:pt idx="4">
                  <c:v>42.799000000000007</c:v>
                </c:pt>
                <c:pt idx="5">
                  <c:v>35.305999999999997</c:v>
                </c:pt>
                <c:pt idx="6">
                  <c:v>45.593000000000011</c:v>
                </c:pt>
                <c:pt idx="7">
                  <c:v>51.561999999999998</c:v>
                </c:pt>
                <c:pt idx="8">
                  <c:v>39.243000000000009</c:v>
                </c:pt>
                <c:pt idx="9">
                  <c:v>36.83</c:v>
                </c:pt>
                <c:pt idx="10">
                  <c:v>59.69</c:v>
                </c:pt>
                <c:pt idx="11">
                  <c:v>41.274999999999999</c:v>
                </c:pt>
              </c:numCache>
            </c:numRef>
          </c:val>
          <c:smooth val="0"/>
        </c:ser>
        <c:ser>
          <c:idx val="3"/>
          <c:order val="3"/>
          <c:spPr>
            <a:ln w="19050">
              <a:solidFill>
                <a:schemeClr val="tx1"/>
              </a:solidFill>
              <a:prstDash val="dash"/>
            </a:ln>
          </c:spPr>
          <c:marker>
            <c:symbol val="none"/>
          </c:marker>
          <c:val>
            <c:numRef>
              <c:f>'Peoria Greater Airport'!$I$5:$T$5</c:f>
              <c:numCache>
                <c:formatCode>General</c:formatCode>
                <c:ptCount val="12"/>
                <c:pt idx="0">
                  <c:v>47.244</c:v>
                </c:pt>
                <c:pt idx="1">
                  <c:v>47.878999999999998</c:v>
                </c:pt>
                <c:pt idx="2">
                  <c:v>96.774000000000001</c:v>
                </c:pt>
                <c:pt idx="3">
                  <c:v>104.77500000000001</c:v>
                </c:pt>
                <c:pt idx="4">
                  <c:v>116.71299999999999</c:v>
                </c:pt>
                <c:pt idx="5">
                  <c:v>137.28700000000001</c:v>
                </c:pt>
                <c:pt idx="6">
                  <c:v>192.91300000000001</c:v>
                </c:pt>
                <c:pt idx="7">
                  <c:v>98.043999999999997</c:v>
                </c:pt>
                <c:pt idx="8">
                  <c:v>119.38</c:v>
                </c:pt>
                <c:pt idx="9">
                  <c:v>99.441000000000003</c:v>
                </c:pt>
                <c:pt idx="10">
                  <c:v>124.07899999999999</c:v>
                </c:pt>
                <c:pt idx="11">
                  <c:v>70.992999999999995</c:v>
                </c:pt>
              </c:numCache>
            </c:numRef>
          </c:val>
          <c:smooth val="0"/>
        </c:ser>
        <c:dLbls>
          <c:showLegendKey val="0"/>
          <c:showVal val="0"/>
          <c:showCatName val="0"/>
          <c:showSerName val="0"/>
          <c:showPercent val="0"/>
          <c:showBubbleSize val="0"/>
        </c:dLbls>
        <c:marker val="1"/>
        <c:smooth val="0"/>
        <c:axId val="163472896"/>
        <c:axId val="163474432"/>
      </c:lineChart>
      <c:catAx>
        <c:axId val="163472896"/>
        <c:scaling>
          <c:orientation val="minMax"/>
        </c:scaling>
        <c:delete val="0"/>
        <c:axPos val="b"/>
        <c:majorTickMark val="out"/>
        <c:minorTickMark val="none"/>
        <c:tickLblPos val="nextTo"/>
        <c:crossAx val="163474432"/>
        <c:crosses val="autoZero"/>
        <c:auto val="1"/>
        <c:lblAlgn val="ctr"/>
        <c:lblOffset val="100"/>
        <c:noMultiLvlLbl val="0"/>
      </c:catAx>
      <c:valAx>
        <c:axId val="163474432"/>
        <c:scaling>
          <c:orientation val="minMax"/>
        </c:scaling>
        <c:delete val="0"/>
        <c:axPos val="l"/>
        <c:title>
          <c:tx>
            <c:rich>
              <a:bodyPr rot="-5400000" vert="horz"/>
              <a:lstStyle/>
              <a:p>
                <a:pPr>
                  <a:defRPr/>
                </a:pPr>
                <a:r>
                  <a:rPr lang="en-US"/>
                  <a:t>Precipitation (mm)</a:t>
                </a:r>
              </a:p>
            </c:rich>
          </c:tx>
          <c:overlay val="0"/>
        </c:title>
        <c:numFmt formatCode="General" sourceLinked="1"/>
        <c:majorTickMark val="out"/>
        <c:minorTickMark val="none"/>
        <c:tickLblPos val="nextTo"/>
        <c:crossAx val="163472896"/>
        <c:crosses val="autoZero"/>
        <c:crossBetween val="between"/>
      </c:valAx>
    </c:plotArea>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Minneapolis!$H$1:$S$1</c:f>
              <c:strCache>
                <c:ptCount val="12"/>
                <c:pt idx="1">
                  <c:v>Jan</c:v>
                </c:pt>
                <c:pt idx="2">
                  <c:v>Feb</c:v>
                </c:pt>
                <c:pt idx="3">
                  <c:v>Mar</c:v>
                </c:pt>
                <c:pt idx="4">
                  <c:v>Apr</c:v>
                </c:pt>
                <c:pt idx="5">
                  <c:v>May</c:v>
                </c:pt>
                <c:pt idx="6">
                  <c:v>Jun</c:v>
                </c:pt>
                <c:pt idx="7">
                  <c:v>Jul</c:v>
                </c:pt>
                <c:pt idx="8">
                  <c:v>Aug</c:v>
                </c:pt>
                <c:pt idx="9">
                  <c:v>Dec</c:v>
                </c:pt>
                <c:pt idx="10">
                  <c:v>Oct</c:v>
                </c:pt>
                <c:pt idx="11">
                  <c:v>Nov</c:v>
                </c:pt>
              </c:strCache>
            </c:strRef>
          </c:cat>
          <c:val>
            <c:numRef>
              <c:f>Minneapolis!$I$2:$T$2</c:f>
              <c:numCache>
                <c:formatCode>General</c:formatCode>
                <c:ptCount val="12"/>
                <c:pt idx="0">
                  <c:v>48.975818181818177</c:v>
                </c:pt>
                <c:pt idx="1">
                  <c:v>38.862000000000002</c:v>
                </c:pt>
                <c:pt idx="2">
                  <c:v>128.3161818181818</c:v>
                </c:pt>
                <c:pt idx="3">
                  <c:v>171.10363636363641</c:v>
                </c:pt>
                <c:pt idx="4">
                  <c:v>197.17327272727249</c:v>
                </c:pt>
                <c:pt idx="5">
                  <c:v>246.49545454545449</c:v>
                </c:pt>
                <c:pt idx="6">
                  <c:v>319.85527272727262</c:v>
                </c:pt>
                <c:pt idx="7">
                  <c:v>256.60927272727253</c:v>
                </c:pt>
                <c:pt idx="8">
                  <c:v>223.75090909090909</c:v>
                </c:pt>
                <c:pt idx="9">
                  <c:v>131.2025454545454</c:v>
                </c:pt>
                <c:pt idx="10">
                  <c:v>119.68018181818179</c:v>
                </c:pt>
                <c:pt idx="11">
                  <c:v>54.19436363636364</c:v>
                </c:pt>
              </c:numCache>
            </c:numRef>
          </c:val>
        </c:ser>
        <c:dLbls>
          <c:showLegendKey val="0"/>
          <c:showVal val="0"/>
          <c:showCatName val="0"/>
          <c:showSerName val="0"/>
          <c:showPercent val="0"/>
          <c:showBubbleSize val="0"/>
        </c:dLbls>
        <c:gapWidth val="150"/>
        <c:axId val="163493376"/>
        <c:axId val="163494912"/>
      </c:barChart>
      <c:lineChart>
        <c:grouping val="standard"/>
        <c:varyColors val="0"/>
        <c:ser>
          <c:idx val="1"/>
          <c:order val="1"/>
          <c:tx>
            <c:strRef>
              <c:f>Minneapolis!$I$4</c:f>
              <c:strCache>
                <c:ptCount val="1"/>
                <c:pt idx="0">
                  <c:v>32.639</c:v>
                </c:pt>
              </c:strCache>
            </c:strRef>
          </c:tx>
          <c:spPr>
            <a:ln>
              <a:solidFill>
                <a:schemeClr val="tx1"/>
              </a:solidFill>
            </a:ln>
          </c:spPr>
          <c:marker>
            <c:symbol val="none"/>
          </c:marker>
          <c:val>
            <c:numRef>
              <c:f>Minneapolis!$I$3:$T$3</c:f>
              <c:numCache>
                <c:formatCode>General</c:formatCode>
                <c:ptCount val="12"/>
                <c:pt idx="0">
                  <c:v>42.417999999999999</c:v>
                </c:pt>
                <c:pt idx="1">
                  <c:v>37.084000000000003</c:v>
                </c:pt>
                <c:pt idx="2">
                  <c:v>131.31800000000001</c:v>
                </c:pt>
                <c:pt idx="3">
                  <c:v>129.286</c:v>
                </c:pt>
                <c:pt idx="4">
                  <c:v>216.66200000000001</c:v>
                </c:pt>
                <c:pt idx="5">
                  <c:v>218.69399999999999</c:v>
                </c:pt>
                <c:pt idx="6">
                  <c:v>264.66800000000001</c:v>
                </c:pt>
                <c:pt idx="7">
                  <c:v>276.86</c:v>
                </c:pt>
                <c:pt idx="8">
                  <c:v>180.08600000000001</c:v>
                </c:pt>
                <c:pt idx="9">
                  <c:v>114.3</c:v>
                </c:pt>
                <c:pt idx="10">
                  <c:v>101.346</c:v>
                </c:pt>
                <c:pt idx="11">
                  <c:v>65.785999999999973</c:v>
                </c:pt>
              </c:numCache>
            </c:numRef>
          </c:val>
          <c:smooth val="0"/>
        </c:ser>
        <c:ser>
          <c:idx val="2"/>
          <c:order val="2"/>
          <c:spPr>
            <a:ln w="19050">
              <a:solidFill>
                <a:sysClr val="windowText" lastClr="000000"/>
              </a:solidFill>
              <a:prstDash val="dash"/>
            </a:ln>
          </c:spPr>
          <c:marker>
            <c:symbol val="none"/>
          </c:marker>
          <c:val>
            <c:numRef>
              <c:f>Minneapolis!$I$4:$T$4</c:f>
              <c:numCache>
                <c:formatCode>General</c:formatCode>
                <c:ptCount val="12"/>
                <c:pt idx="0">
                  <c:v>32.63900000000001</c:v>
                </c:pt>
                <c:pt idx="1">
                  <c:v>22.606000000000009</c:v>
                </c:pt>
                <c:pt idx="2">
                  <c:v>83.312000000000012</c:v>
                </c:pt>
                <c:pt idx="3">
                  <c:v>120.142</c:v>
                </c:pt>
                <c:pt idx="4">
                  <c:v>131.953</c:v>
                </c:pt>
                <c:pt idx="5">
                  <c:v>153.416</c:v>
                </c:pt>
                <c:pt idx="6">
                  <c:v>183.00700000000001</c:v>
                </c:pt>
                <c:pt idx="7">
                  <c:v>195.70699999999999</c:v>
                </c:pt>
                <c:pt idx="8">
                  <c:v>126.746</c:v>
                </c:pt>
                <c:pt idx="9">
                  <c:v>51.435000000000002</c:v>
                </c:pt>
                <c:pt idx="10">
                  <c:v>73.406000000000006</c:v>
                </c:pt>
                <c:pt idx="11">
                  <c:v>35.052</c:v>
                </c:pt>
              </c:numCache>
            </c:numRef>
          </c:val>
          <c:smooth val="0"/>
        </c:ser>
        <c:ser>
          <c:idx val="3"/>
          <c:order val="3"/>
          <c:tx>
            <c:strRef>
              <c:f>Minneapolis!$I$5</c:f>
              <c:strCache>
                <c:ptCount val="1"/>
                <c:pt idx="0">
                  <c:v>67.056</c:v>
                </c:pt>
              </c:strCache>
            </c:strRef>
          </c:tx>
          <c:spPr>
            <a:ln w="19050">
              <a:solidFill>
                <a:schemeClr val="tx1"/>
              </a:solidFill>
              <a:prstDash val="dash"/>
            </a:ln>
          </c:spPr>
          <c:marker>
            <c:symbol val="none"/>
          </c:marker>
          <c:val>
            <c:numRef>
              <c:f>Minneapolis!$I$5:$T$5</c:f>
              <c:numCache>
                <c:formatCode>General</c:formatCode>
                <c:ptCount val="12"/>
                <c:pt idx="0">
                  <c:v>67.055999999999983</c:v>
                </c:pt>
                <c:pt idx="1">
                  <c:v>52.451000000000001</c:v>
                </c:pt>
                <c:pt idx="2">
                  <c:v>144.65299999999999</c:v>
                </c:pt>
                <c:pt idx="3">
                  <c:v>237.23599999999999</c:v>
                </c:pt>
                <c:pt idx="4">
                  <c:v>230.124</c:v>
                </c:pt>
                <c:pt idx="5">
                  <c:v>290.95699999999948</c:v>
                </c:pt>
                <c:pt idx="6">
                  <c:v>331.851</c:v>
                </c:pt>
                <c:pt idx="7">
                  <c:v>294.51299999999992</c:v>
                </c:pt>
                <c:pt idx="8">
                  <c:v>320.80200000000002</c:v>
                </c:pt>
                <c:pt idx="9">
                  <c:v>199.26300000000001</c:v>
                </c:pt>
                <c:pt idx="10">
                  <c:v>129.92099999999999</c:v>
                </c:pt>
                <c:pt idx="11">
                  <c:v>71.12</c:v>
                </c:pt>
              </c:numCache>
            </c:numRef>
          </c:val>
          <c:smooth val="0"/>
        </c:ser>
        <c:dLbls>
          <c:showLegendKey val="0"/>
          <c:showVal val="0"/>
          <c:showCatName val="0"/>
          <c:showSerName val="0"/>
          <c:showPercent val="0"/>
          <c:showBubbleSize val="0"/>
        </c:dLbls>
        <c:marker val="1"/>
        <c:smooth val="0"/>
        <c:axId val="163493376"/>
        <c:axId val="163494912"/>
      </c:lineChart>
      <c:catAx>
        <c:axId val="163493376"/>
        <c:scaling>
          <c:orientation val="minMax"/>
        </c:scaling>
        <c:delete val="0"/>
        <c:axPos val="b"/>
        <c:majorTickMark val="out"/>
        <c:minorTickMark val="none"/>
        <c:tickLblPos val="nextTo"/>
        <c:crossAx val="163494912"/>
        <c:crosses val="autoZero"/>
        <c:auto val="1"/>
        <c:lblAlgn val="ctr"/>
        <c:lblOffset val="100"/>
        <c:noMultiLvlLbl val="0"/>
      </c:catAx>
      <c:valAx>
        <c:axId val="163494912"/>
        <c:scaling>
          <c:orientation val="minMax"/>
        </c:scaling>
        <c:delete val="0"/>
        <c:axPos val="l"/>
        <c:title>
          <c:tx>
            <c:rich>
              <a:bodyPr rot="-5400000" vert="horz"/>
              <a:lstStyle/>
              <a:p>
                <a:pPr>
                  <a:defRPr/>
                </a:pPr>
                <a:r>
                  <a:rPr lang="en-US"/>
                  <a:t>Precipitation (mm)</a:t>
                </a:r>
              </a:p>
            </c:rich>
          </c:tx>
          <c:overlay val="0"/>
        </c:title>
        <c:numFmt formatCode="General" sourceLinked="1"/>
        <c:majorTickMark val="out"/>
        <c:minorTickMark val="none"/>
        <c:tickLblPos val="nextTo"/>
        <c:crossAx val="163493376"/>
        <c:crosses val="autoZero"/>
        <c:crossBetween val="between"/>
      </c:valAx>
    </c:plotArea>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'Ankeny IA'!$I$1:$T$1</c:f>
              <c:strCache>
                <c:ptCount val="12"/>
                <c:pt idx="0">
                  <c:v>Jan</c:v>
                </c:pt>
                <c:pt idx="1">
                  <c:v>Feb</c:v>
                </c:pt>
                <c:pt idx="2">
                  <c:v>Mar</c:v>
                </c:pt>
                <c:pt idx="3">
                  <c:v>Apr</c:v>
                </c:pt>
                <c:pt idx="4">
                  <c:v>May</c:v>
                </c:pt>
                <c:pt idx="5">
                  <c:v>Jun</c:v>
                </c:pt>
                <c:pt idx="6">
                  <c:v>Jul</c:v>
                </c:pt>
                <c:pt idx="7">
                  <c:v>Aug</c:v>
                </c:pt>
                <c:pt idx="8">
                  <c:v>Dec</c:v>
                </c:pt>
                <c:pt idx="9">
                  <c:v>Oct</c:v>
                </c:pt>
                <c:pt idx="10">
                  <c:v>Nov</c:v>
                </c:pt>
                <c:pt idx="11">
                  <c:v>Dec</c:v>
                </c:pt>
              </c:strCache>
            </c:strRef>
          </c:cat>
          <c:val>
            <c:numRef>
              <c:f>'Ankeny IA'!$I$2:$T$2</c:f>
              <c:numCache>
                <c:formatCode>General</c:formatCode>
                <c:ptCount val="12"/>
                <c:pt idx="0">
                  <c:v>12.353636363636371</c:v>
                </c:pt>
                <c:pt idx="1">
                  <c:v>22.051818181818181</c:v>
                </c:pt>
                <c:pt idx="2">
                  <c:v>67.10218181818162</c:v>
                </c:pt>
                <c:pt idx="3">
                  <c:v>85.436363636363623</c:v>
                </c:pt>
                <c:pt idx="4">
                  <c:v>104.2092727272727</c:v>
                </c:pt>
                <c:pt idx="5">
                  <c:v>112.6374545454545</c:v>
                </c:pt>
                <c:pt idx="6">
                  <c:v>133.30381818181809</c:v>
                </c:pt>
                <c:pt idx="7">
                  <c:v>120.3267272727272</c:v>
                </c:pt>
                <c:pt idx="8">
                  <c:v>78.716909090909098</c:v>
                </c:pt>
                <c:pt idx="9">
                  <c:v>46.597454545454553</c:v>
                </c:pt>
                <c:pt idx="10">
                  <c:v>47.752000000000002</c:v>
                </c:pt>
                <c:pt idx="11">
                  <c:v>25.169090909090919</c:v>
                </c:pt>
              </c:numCache>
            </c:numRef>
          </c:val>
        </c:ser>
        <c:dLbls>
          <c:showLegendKey val="0"/>
          <c:showVal val="0"/>
          <c:showCatName val="0"/>
          <c:showSerName val="0"/>
          <c:showPercent val="0"/>
          <c:showBubbleSize val="0"/>
        </c:dLbls>
        <c:gapWidth val="150"/>
        <c:axId val="163853824"/>
        <c:axId val="163855360"/>
      </c:barChart>
      <c:lineChart>
        <c:grouping val="standard"/>
        <c:varyColors val="0"/>
        <c:ser>
          <c:idx val="1"/>
          <c:order val="1"/>
          <c:spPr>
            <a:ln>
              <a:solidFill>
                <a:sysClr val="windowText" lastClr="000000"/>
              </a:solidFill>
            </a:ln>
          </c:spPr>
          <c:marker>
            <c:symbol val="none"/>
          </c:marker>
          <c:val>
            <c:numRef>
              <c:f>'Ankeny IA'!$I$3:$T$3</c:f>
              <c:numCache>
                <c:formatCode>General</c:formatCode>
                <c:ptCount val="12"/>
                <c:pt idx="0">
                  <c:v>10.667999999999999</c:v>
                </c:pt>
                <c:pt idx="1">
                  <c:v>19.303999999999991</c:v>
                </c:pt>
                <c:pt idx="2">
                  <c:v>58.42</c:v>
                </c:pt>
                <c:pt idx="3">
                  <c:v>67.563999999999993</c:v>
                </c:pt>
                <c:pt idx="4">
                  <c:v>102.36199999999999</c:v>
                </c:pt>
                <c:pt idx="5">
                  <c:v>93.218000000000004</c:v>
                </c:pt>
                <c:pt idx="6">
                  <c:v>111.506</c:v>
                </c:pt>
                <c:pt idx="7">
                  <c:v>93.725999999999999</c:v>
                </c:pt>
                <c:pt idx="8">
                  <c:v>82.296000000000006</c:v>
                </c:pt>
                <c:pt idx="9">
                  <c:v>38.353999999999999</c:v>
                </c:pt>
                <c:pt idx="10">
                  <c:v>47.497999999999998</c:v>
                </c:pt>
                <c:pt idx="11">
                  <c:v>20.065999999999999</c:v>
                </c:pt>
              </c:numCache>
            </c:numRef>
          </c:val>
          <c:smooth val="0"/>
        </c:ser>
        <c:ser>
          <c:idx val="2"/>
          <c:order val="2"/>
          <c:spPr>
            <a:ln w="19050">
              <a:solidFill>
                <a:schemeClr val="tx1"/>
              </a:solidFill>
              <a:prstDash val="dash"/>
            </a:ln>
          </c:spPr>
          <c:marker>
            <c:symbol val="none"/>
          </c:marker>
          <c:val>
            <c:numRef>
              <c:f>'Ankeny IA'!$I$4:$T$4</c:f>
              <c:numCache>
                <c:formatCode>General</c:formatCode>
                <c:ptCount val="12"/>
                <c:pt idx="0">
                  <c:v>6.4770000000000003</c:v>
                </c:pt>
                <c:pt idx="1">
                  <c:v>12.446</c:v>
                </c:pt>
                <c:pt idx="2">
                  <c:v>32.512</c:v>
                </c:pt>
                <c:pt idx="3">
                  <c:v>37.338000000000001</c:v>
                </c:pt>
                <c:pt idx="4">
                  <c:v>68.198999999999998</c:v>
                </c:pt>
                <c:pt idx="5">
                  <c:v>60.451999999999998</c:v>
                </c:pt>
                <c:pt idx="6">
                  <c:v>59.055</c:v>
                </c:pt>
                <c:pt idx="7">
                  <c:v>60.451999999999998</c:v>
                </c:pt>
                <c:pt idx="8">
                  <c:v>48.006</c:v>
                </c:pt>
                <c:pt idx="9">
                  <c:v>21.970999999999989</c:v>
                </c:pt>
                <c:pt idx="10">
                  <c:v>25.018999999999991</c:v>
                </c:pt>
                <c:pt idx="11">
                  <c:v>10.16</c:v>
                </c:pt>
              </c:numCache>
            </c:numRef>
          </c:val>
          <c:smooth val="0"/>
        </c:ser>
        <c:ser>
          <c:idx val="3"/>
          <c:order val="3"/>
          <c:spPr>
            <a:ln w="19050">
              <a:solidFill>
                <a:schemeClr val="tx1"/>
              </a:solidFill>
              <a:prstDash val="dash"/>
            </a:ln>
          </c:spPr>
          <c:marker>
            <c:symbol val="none"/>
          </c:marker>
          <c:val>
            <c:numRef>
              <c:f>'Ankeny IA'!$I$5:$T$5</c:f>
              <c:numCache>
                <c:formatCode>General</c:formatCode>
                <c:ptCount val="12"/>
                <c:pt idx="0">
                  <c:v>18.033999999999999</c:v>
                </c:pt>
                <c:pt idx="1">
                  <c:v>30.606999999999999</c:v>
                </c:pt>
                <c:pt idx="2">
                  <c:v>85.09</c:v>
                </c:pt>
                <c:pt idx="3">
                  <c:v>130.17500000000001</c:v>
                </c:pt>
                <c:pt idx="4">
                  <c:v>139.57300000000001</c:v>
                </c:pt>
                <c:pt idx="5">
                  <c:v>141.60499999999999</c:v>
                </c:pt>
                <c:pt idx="6">
                  <c:v>200.66</c:v>
                </c:pt>
                <c:pt idx="7">
                  <c:v>135.001</c:v>
                </c:pt>
                <c:pt idx="8">
                  <c:v>112.268</c:v>
                </c:pt>
                <c:pt idx="9">
                  <c:v>72.009</c:v>
                </c:pt>
                <c:pt idx="10">
                  <c:v>72.135999999999981</c:v>
                </c:pt>
                <c:pt idx="11">
                  <c:v>41.148000000000003</c:v>
                </c:pt>
              </c:numCache>
            </c:numRef>
          </c:val>
          <c:smooth val="0"/>
        </c:ser>
        <c:dLbls>
          <c:showLegendKey val="0"/>
          <c:showVal val="0"/>
          <c:showCatName val="0"/>
          <c:showSerName val="0"/>
          <c:showPercent val="0"/>
          <c:showBubbleSize val="0"/>
        </c:dLbls>
        <c:marker val="1"/>
        <c:smooth val="0"/>
        <c:axId val="163853824"/>
        <c:axId val="163855360"/>
      </c:lineChart>
      <c:catAx>
        <c:axId val="163853824"/>
        <c:scaling>
          <c:orientation val="minMax"/>
        </c:scaling>
        <c:delete val="0"/>
        <c:axPos val="b"/>
        <c:majorTickMark val="out"/>
        <c:minorTickMark val="none"/>
        <c:tickLblPos val="nextTo"/>
        <c:crossAx val="163855360"/>
        <c:crosses val="autoZero"/>
        <c:auto val="1"/>
        <c:lblAlgn val="ctr"/>
        <c:lblOffset val="100"/>
        <c:noMultiLvlLbl val="0"/>
      </c:catAx>
      <c:valAx>
        <c:axId val="163855360"/>
        <c:scaling>
          <c:orientation val="minMax"/>
        </c:scaling>
        <c:delete val="0"/>
        <c:axPos val="l"/>
        <c:title>
          <c:tx>
            <c:rich>
              <a:bodyPr rot="-5400000" vert="horz"/>
              <a:lstStyle/>
              <a:p>
                <a:pPr>
                  <a:defRPr/>
                </a:pPr>
                <a:r>
                  <a:rPr lang="en-US"/>
                  <a:t>Precipitation (mm)</a:t>
                </a:r>
              </a:p>
            </c:rich>
          </c:tx>
          <c:overlay val="0"/>
        </c:title>
        <c:numFmt formatCode="General" sourceLinked="1"/>
        <c:majorTickMark val="out"/>
        <c:minorTickMark val="none"/>
        <c:tickLblPos val="nextTo"/>
        <c:crossAx val="163853824"/>
        <c:crosses val="autoZero"/>
        <c:crossBetween val="between"/>
      </c:valAx>
    </c:plotArea>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'Minnesota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'Minnesota River'!$B$3:$M$3</c:f>
              <c:numCache>
                <c:formatCode>#,##0</c:formatCode>
                <c:ptCount val="12"/>
                <c:pt idx="0">
                  <c:v>72.795413600000003</c:v>
                </c:pt>
                <c:pt idx="1">
                  <c:v>78.774820551111105</c:v>
                </c:pt>
                <c:pt idx="2">
                  <c:v>304.86181511111118</c:v>
                </c:pt>
                <c:pt idx="3">
                  <c:v>516.27189759999999</c:v>
                </c:pt>
                <c:pt idx="4">
                  <c:v>379.65277653333368</c:v>
                </c:pt>
                <c:pt idx="5">
                  <c:v>392.75401599999992</c:v>
                </c:pt>
                <c:pt idx="6">
                  <c:v>237.7667306666666</c:v>
                </c:pt>
                <c:pt idx="7">
                  <c:v>96.676701511111006</c:v>
                </c:pt>
                <c:pt idx="8">
                  <c:v>115.52750990222221</c:v>
                </c:pt>
                <c:pt idx="9">
                  <c:v>242.2573032</c:v>
                </c:pt>
                <c:pt idx="10">
                  <c:v>132.86242559999999</c:v>
                </c:pt>
                <c:pt idx="11">
                  <c:v>86.000599320000006</c:v>
                </c:pt>
              </c:numCache>
            </c:numRef>
          </c:val>
        </c:ser>
        <c:dLbls>
          <c:showLegendKey val="0"/>
          <c:showVal val="0"/>
          <c:showCatName val="0"/>
          <c:showSerName val="0"/>
          <c:showPercent val="0"/>
          <c:showBubbleSize val="0"/>
        </c:dLbls>
        <c:gapWidth val="150"/>
        <c:axId val="163898880"/>
        <c:axId val="163900416"/>
      </c:barChart>
      <c:lineChart>
        <c:grouping val="standard"/>
        <c:varyColors val="0"/>
        <c:ser>
          <c:idx val="1"/>
          <c:order val="1"/>
          <c:spPr>
            <a:ln>
              <a:solidFill>
                <a:schemeClr val="tx1"/>
              </a:solidFill>
            </a:ln>
          </c:spPr>
          <c:marker>
            <c:symbol val="none"/>
          </c:marker>
          <c:cat>
            <c:strRef>
              <c:f>'Minnesota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'Minnesota River'!$B$4:$M$4</c:f>
              <c:numCache>
                <c:formatCode>#,##0</c:formatCode>
                <c:ptCount val="12"/>
                <c:pt idx="0">
                  <c:v>51.012715200000002</c:v>
                </c:pt>
                <c:pt idx="1">
                  <c:v>50.630438400000003</c:v>
                </c:pt>
                <c:pt idx="2">
                  <c:v>160.9526912</c:v>
                </c:pt>
                <c:pt idx="3">
                  <c:v>391.90451200000001</c:v>
                </c:pt>
                <c:pt idx="4">
                  <c:v>330.45705600000002</c:v>
                </c:pt>
                <c:pt idx="5">
                  <c:v>387.09065599999991</c:v>
                </c:pt>
                <c:pt idx="6">
                  <c:v>170.97683839999999</c:v>
                </c:pt>
                <c:pt idx="7">
                  <c:v>80.929414399999999</c:v>
                </c:pt>
                <c:pt idx="8">
                  <c:v>62.665078400000013</c:v>
                </c:pt>
                <c:pt idx="9">
                  <c:v>152.68418560000001</c:v>
                </c:pt>
                <c:pt idx="10">
                  <c:v>131.09262559999999</c:v>
                </c:pt>
                <c:pt idx="11">
                  <c:v>74.444867200000004</c:v>
                </c:pt>
              </c:numCache>
            </c:numRef>
          </c:val>
          <c:smooth val="0"/>
        </c:ser>
        <c:ser>
          <c:idx val="2"/>
          <c:order val="2"/>
          <c:spPr>
            <a:ln w="19050">
              <a:solidFill>
                <a:schemeClr val="tx1"/>
              </a:solidFill>
              <a:prstDash val="dash"/>
            </a:ln>
          </c:spPr>
          <c:marker>
            <c:symbol val="none"/>
          </c:marker>
          <c:cat>
            <c:strRef>
              <c:f>'Minnesota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'Minnesota River'!$B$5:$M$5</c:f>
              <c:numCache>
                <c:formatCode>#,##0</c:formatCode>
                <c:ptCount val="12"/>
                <c:pt idx="0">
                  <c:v>45.356434399999998</c:v>
                </c:pt>
                <c:pt idx="1">
                  <c:v>35.622534400000013</c:v>
                </c:pt>
                <c:pt idx="2">
                  <c:v>91.548214400000006</c:v>
                </c:pt>
                <c:pt idx="3">
                  <c:v>300.72441600000002</c:v>
                </c:pt>
                <c:pt idx="4">
                  <c:v>306.95411200000001</c:v>
                </c:pt>
                <c:pt idx="5">
                  <c:v>256.32367360000001</c:v>
                </c:pt>
                <c:pt idx="6">
                  <c:v>89.141286399999998</c:v>
                </c:pt>
                <c:pt idx="7">
                  <c:v>53.518751999999999</c:v>
                </c:pt>
                <c:pt idx="8">
                  <c:v>31.74313279999998</c:v>
                </c:pt>
                <c:pt idx="9">
                  <c:v>53.157712799999999</c:v>
                </c:pt>
                <c:pt idx="10">
                  <c:v>50.531329599999999</c:v>
                </c:pt>
                <c:pt idx="11">
                  <c:v>49.7738552</c:v>
                </c:pt>
              </c:numCache>
            </c:numRef>
          </c:val>
          <c:smooth val="0"/>
        </c:ser>
        <c:ser>
          <c:idx val="3"/>
          <c:order val="3"/>
          <c:spPr>
            <a:ln w="19050">
              <a:solidFill>
                <a:schemeClr val="tx1"/>
              </a:solidFill>
              <a:prstDash val="dash"/>
            </a:ln>
          </c:spPr>
          <c:marker>
            <c:symbol val="none"/>
          </c:marker>
          <c:cat>
            <c:strRef>
              <c:f>'Minnesota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'Minnesota River'!$B$6:$M$6</c:f>
              <c:numCache>
                <c:formatCode>#,##0</c:formatCode>
                <c:ptCount val="12"/>
                <c:pt idx="0">
                  <c:v>89.962473599999981</c:v>
                </c:pt>
                <c:pt idx="1">
                  <c:v>75.322687999999928</c:v>
                </c:pt>
                <c:pt idx="2">
                  <c:v>393.32035200000001</c:v>
                </c:pt>
                <c:pt idx="3">
                  <c:v>741.90015999999946</c:v>
                </c:pt>
                <c:pt idx="4">
                  <c:v>492.71231999999952</c:v>
                </c:pt>
                <c:pt idx="5">
                  <c:v>466.37769600000001</c:v>
                </c:pt>
                <c:pt idx="6">
                  <c:v>243.099728</c:v>
                </c:pt>
                <c:pt idx="7">
                  <c:v>109.8975008</c:v>
                </c:pt>
                <c:pt idx="8">
                  <c:v>141.13093119999999</c:v>
                </c:pt>
                <c:pt idx="9">
                  <c:v>322.9531039999996</c:v>
                </c:pt>
                <c:pt idx="10">
                  <c:v>170.90604640000001</c:v>
                </c:pt>
                <c:pt idx="11">
                  <c:v>118.1376896</c:v>
                </c:pt>
              </c:numCache>
            </c:numRef>
          </c:val>
          <c:smooth val="0"/>
        </c:ser>
        <c:dLbls>
          <c:showLegendKey val="0"/>
          <c:showVal val="0"/>
          <c:showCatName val="0"/>
          <c:showSerName val="0"/>
          <c:showPercent val="0"/>
          <c:showBubbleSize val="0"/>
        </c:dLbls>
        <c:marker val="1"/>
        <c:smooth val="0"/>
        <c:axId val="163898880"/>
        <c:axId val="163900416"/>
      </c:lineChart>
      <c:catAx>
        <c:axId val="163898880"/>
        <c:scaling>
          <c:orientation val="minMax"/>
        </c:scaling>
        <c:delete val="0"/>
        <c:axPos val="b"/>
        <c:majorTickMark val="out"/>
        <c:minorTickMark val="none"/>
        <c:tickLblPos val="nextTo"/>
        <c:crossAx val="163900416"/>
        <c:crosses val="autoZero"/>
        <c:auto val="1"/>
        <c:lblAlgn val="ctr"/>
        <c:lblOffset val="100"/>
        <c:noMultiLvlLbl val="0"/>
      </c:catAx>
      <c:valAx>
        <c:axId val="163900416"/>
        <c:scaling>
          <c:orientation val="minMax"/>
        </c:scaling>
        <c:delete val="0"/>
        <c:axPos val="l"/>
        <c:title>
          <c:tx>
            <c:rich>
              <a:bodyPr rot="-5400000" vert="horz"/>
              <a:lstStyle/>
              <a:p>
                <a:pPr>
                  <a:defRPr/>
                </a:pPr>
                <a:r>
                  <a:rPr lang="en-US"/>
                  <a:t>Discharge (cms)</a:t>
                </a:r>
              </a:p>
            </c:rich>
          </c:tx>
          <c:overlay val="0"/>
        </c:title>
        <c:numFmt formatCode="#,##0" sourceLinked="1"/>
        <c:majorTickMark val="out"/>
        <c:minorTickMark val="none"/>
        <c:tickLblPos val="nextTo"/>
        <c:crossAx val="163898880"/>
        <c:crosses val="autoZero"/>
        <c:crossBetween val="between"/>
      </c:valAx>
    </c:plotArea>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'Iowa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'Iowa River'!$B$3:$M$3</c:f>
              <c:numCache>
                <c:formatCode>#,##0</c:formatCode>
                <c:ptCount val="12"/>
                <c:pt idx="0">
                  <c:v>166.50278399999999</c:v>
                </c:pt>
                <c:pt idx="1">
                  <c:v>225.40172799999999</c:v>
                </c:pt>
                <c:pt idx="2">
                  <c:v>529.52415999999937</c:v>
                </c:pt>
                <c:pt idx="3">
                  <c:v>509.70240000000001</c:v>
                </c:pt>
                <c:pt idx="4">
                  <c:v>614.47456</c:v>
                </c:pt>
                <c:pt idx="5">
                  <c:v>756.05855999999937</c:v>
                </c:pt>
                <c:pt idx="6">
                  <c:v>472.89055999999948</c:v>
                </c:pt>
                <c:pt idx="7">
                  <c:v>291.66304000000002</c:v>
                </c:pt>
                <c:pt idx="8">
                  <c:v>171.03347199999999</c:v>
                </c:pt>
                <c:pt idx="9">
                  <c:v>231.914592</c:v>
                </c:pt>
                <c:pt idx="10">
                  <c:v>248.338336</c:v>
                </c:pt>
                <c:pt idx="11">
                  <c:v>169.9008</c:v>
                </c:pt>
              </c:numCache>
            </c:numRef>
          </c:val>
        </c:ser>
        <c:dLbls>
          <c:showLegendKey val="0"/>
          <c:showVal val="0"/>
          <c:showCatName val="0"/>
          <c:showSerName val="0"/>
          <c:showPercent val="0"/>
          <c:showBubbleSize val="0"/>
        </c:dLbls>
        <c:gapWidth val="150"/>
        <c:axId val="163681792"/>
        <c:axId val="163683328"/>
      </c:barChart>
      <c:lineChart>
        <c:grouping val="standard"/>
        <c:varyColors val="0"/>
        <c:ser>
          <c:idx val="1"/>
          <c:order val="1"/>
          <c:spPr>
            <a:ln>
              <a:solidFill>
                <a:schemeClr val="tx1"/>
              </a:solidFill>
            </a:ln>
          </c:spPr>
          <c:marker>
            <c:symbol val="none"/>
          </c:marker>
          <c:cat>
            <c:strRef>
              <c:f>'Iowa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'Iowa River'!$B$4:$M$4</c:f>
              <c:numCache>
                <c:formatCode>#,##0</c:formatCode>
                <c:ptCount val="12"/>
                <c:pt idx="0">
                  <c:v>103.214736</c:v>
                </c:pt>
                <c:pt idx="1">
                  <c:v>130.540448</c:v>
                </c:pt>
                <c:pt idx="2">
                  <c:v>491.29647999999952</c:v>
                </c:pt>
                <c:pt idx="3">
                  <c:v>496.676672</c:v>
                </c:pt>
                <c:pt idx="4">
                  <c:v>638.54384000000005</c:v>
                </c:pt>
                <c:pt idx="5">
                  <c:v>725.19324800000004</c:v>
                </c:pt>
                <c:pt idx="6">
                  <c:v>505.73804799999948</c:v>
                </c:pt>
                <c:pt idx="7">
                  <c:v>146.36953919999999</c:v>
                </c:pt>
                <c:pt idx="8">
                  <c:v>81.58070079999996</c:v>
                </c:pt>
                <c:pt idx="9">
                  <c:v>228.2617248</c:v>
                </c:pt>
                <c:pt idx="10">
                  <c:v>139.1629136</c:v>
                </c:pt>
                <c:pt idx="11">
                  <c:v>127.69460960000001</c:v>
                </c:pt>
              </c:numCache>
            </c:numRef>
          </c:val>
          <c:smooth val="0"/>
        </c:ser>
        <c:ser>
          <c:idx val="2"/>
          <c:order val="2"/>
          <c:spPr>
            <a:ln w="19050">
              <a:solidFill>
                <a:schemeClr val="tx1"/>
              </a:solidFill>
              <a:prstDash val="dash"/>
            </a:ln>
          </c:spPr>
          <c:marker>
            <c:symbol val="none"/>
          </c:marker>
          <c:cat>
            <c:strRef>
              <c:f>'Iowa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'Iowa River'!$B$5:$M$5</c:f>
              <c:numCache>
                <c:formatCode>#,##0</c:formatCode>
                <c:ptCount val="12"/>
                <c:pt idx="0">
                  <c:v>87.987376799999979</c:v>
                </c:pt>
                <c:pt idx="1">
                  <c:v>130.24312159999999</c:v>
                </c:pt>
                <c:pt idx="2">
                  <c:v>409.92107599999952</c:v>
                </c:pt>
                <c:pt idx="3">
                  <c:v>313.75014399999992</c:v>
                </c:pt>
                <c:pt idx="4">
                  <c:v>582.47657600000002</c:v>
                </c:pt>
                <c:pt idx="5">
                  <c:v>683.28438400000005</c:v>
                </c:pt>
                <c:pt idx="6">
                  <c:v>350.27881599999961</c:v>
                </c:pt>
                <c:pt idx="7">
                  <c:v>132.0129216</c:v>
                </c:pt>
                <c:pt idx="8">
                  <c:v>69.036358399999912</c:v>
                </c:pt>
                <c:pt idx="9">
                  <c:v>54.396572800000001</c:v>
                </c:pt>
                <c:pt idx="10">
                  <c:v>79.442782399999928</c:v>
                </c:pt>
                <c:pt idx="11">
                  <c:v>101.35290639999999</c:v>
                </c:pt>
              </c:numCache>
            </c:numRef>
          </c:val>
          <c:smooth val="0"/>
        </c:ser>
        <c:ser>
          <c:idx val="3"/>
          <c:order val="3"/>
          <c:spPr>
            <a:ln w="19050">
              <a:solidFill>
                <a:schemeClr val="tx1"/>
              </a:solidFill>
              <a:prstDash val="dash"/>
            </a:ln>
          </c:spPr>
          <c:marker>
            <c:symbol val="none"/>
          </c:marker>
          <c:cat>
            <c:strRef>
              <c:f>'Iowa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'Iowa River'!$B$6:$M$6</c:f>
              <c:numCache>
                <c:formatCode>#,##0</c:formatCode>
                <c:ptCount val="12"/>
                <c:pt idx="0">
                  <c:v>212.23441600000001</c:v>
                </c:pt>
                <c:pt idx="1">
                  <c:v>295.16724399999998</c:v>
                </c:pt>
                <c:pt idx="2">
                  <c:v>618.15574400000003</c:v>
                </c:pt>
                <c:pt idx="3">
                  <c:v>669.12598400000002</c:v>
                </c:pt>
                <c:pt idx="4">
                  <c:v>658.36559999999918</c:v>
                </c:pt>
                <c:pt idx="5">
                  <c:v>885.18316800000002</c:v>
                </c:pt>
                <c:pt idx="6">
                  <c:v>520.46278399999937</c:v>
                </c:pt>
                <c:pt idx="7">
                  <c:v>405.49657599999938</c:v>
                </c:pt>
                <c:pt idx="8">
                  <c:v>336.40358400000002</c:v>
                </c:pt>
                <c:pt idx="9">
                  <c:v>405.77974399999999</c:v>
                </c:pt>
                <c:pt idx="10">
                  <c:v>308.08678400000002</c:v>
                </c:pt>
                <c:pt idx="11">
                  <c:v>196.10091919999999</c:v>
                </c:pt>
              </c:numCache>
            </c:numRef>
          </c:val>
          <c:smooth val="0"/>
        </c:ser>
        <c:dLbls>
          <c:showLegendKey val="0"/>
          <c:showVal val="0"/>
          <c:showCatName val="0"/>
          <c:showSerName val="0"/>
          <c:showPercent val="0"/>
          <c:showBubbleSize val="0"/>
        </c:dLbls>
        <c:marker val="1"/>
        <c:smooth val="0"/>
        <c:axId val="163681792"/>
        <c:axId val="163683328"/>
      </c:lineChart>
      <c:catAx>
        <c:axId val="163681792"/>
        <c:scaling>
          <c:orientation val="minMax"/>
        </c:scaling>
        <c:delete val="0"/>
        <c:axPos val="b"/>
        <c:majorTickMark val="out"/>
        <c:minorTickMark val="none"/>
        <c:tickLblPos val="nextTo"/>
        <c:crossAx val="163683328"/>
        <c:crosses val="autoZero"/>
        <c:auto val="1"/>
        <c:lblAlgn val="ctr"/>
        <c:lblOffset val="100"/>
        <c:noMultiLvlLbl val="0"/>
      </c:catAx>
      <c:valAx>
        <c:axId val="163683328"/>
        <c:scaling>
          <c:orientation val="minMax"/>
        </c:scaling>
        <c:delete val="0"/>
        <c:axPos val="l"/>
        <c:title>
          <c:tx>
            <c:rich>
              <a:bodyPr rot="-5400000" vert="horz"/>
              <a:lstStyle/>
              <a:p>
                <a:pPr>
                  <a:defRPr/>
                </a:pPr>
                <a:r>
                  <a:rPr lang="en-US"/>
                  <a:t>Discharge (cms)</a:t>
                </a:r>
              </a:p>
            </c:rich>
          </c:tx>
          <c:overlay val="0"/>
        </c:title>
        <c:numFmt formatCode="#,##0" sourceLinked="1"/>
        <c:majorTickMark val="out"/>
        <c:minorTickMark val="none"/>
        <c:tickLblPos val="nextTo"/>
        <c:crossAx val="163681792"/>
        <c:crosses val="autoZero"/>
        <c:crossBetween val="between"/>
      </c:valAx>
    </c:plotArea>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'Wisconsin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'Wisconsin River'!$B$3:$M$3</c:f>
              <c:numCache>
                <c:formatCode>#,##0</c:formatCode>
                <c:ptCount val="12"/>
                <c:pt idx="0">
                  <c:v>173.015648</c:v>
                </c:pt>
                <c:pt idx="1">
                  <c:v>188.023552</c:v>
                </c:pt>
                <c:pt idx="2">
                  <c:v>300.15807999999993</c:v>
                </c:pt>
                <c:pt idx="3">
                  <c:v>467.2271999999997</c:v>
                </c:pt>
                <c:pt idx="4">
                  <c:v>334.13824</c:v>
                </c:pt>
                <c:pt idx="5">
                  <c:v>302.98975999999948</c:v>
                </c:pt>
                <c:pt idx="6">
                  <c:v>207.278976</c:v>
                </c:pt>
                <c:pt idx="7">
                  <c:v>169.9008</c:v>
                </c:pt>
                <c:pt idx="8">
                  <c:v>199.63344000000001</c:v>
                </c:pt>
                <c:pt idx="9">
                  <c:v>205.863136</c:v>
                </c:pt>
                <c:pt idx="10">
                  <c:v>214.35817599999999</c:v>
                </c:pt>
                <c:pt idx="11">
                  <c:v>182.92652799999999</c:v>
                </c:pt>
              </c:numCache>
            </c:numRef>
          </c:val>
        </c:ser>
        <c:dLbls>
          <c:showLegendKey val="0"/>
          <c:showVal val="0"/>
          <c:showCatName val="0"/>
          <c:showSerName val="0"/>
          <c:showPercent val="0"/>
          <c:showBubbleSize val="0"/>
        </c:dLbls>
        <c:gapWidth val="150"/>
        <c:axId val="163706368"/>
        <c:axId val="163707904"/>
      </c:barChart>
      <c:lineChart>
        <c:grouping val="standard"/>
        <c:varyColors val="0"/>
        <c:ser>
          <c:idx val="1"/>
          <c:order val="1"/>
          <c:spPr>
            <a:ln>
              <a:solidFill>
                <a:schemeClr val="tx1"/>
              </a:solidFill>
            </a:ln>
          </c:spPr>
          <c:marker>
            <c:symbol val="none"/>
          </c:marker>
          <c:cat>
            <c:strRef>
              <c:f>'Wisconsin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'Wisconsin River'!$B$4:$M$4</c:f>
              <c:numCache>
                <c:formatCode>#,##0</c:formatCode>
                <c:ptCount val="12"/>
                <c:pt idx="0">
                  <c:v>172.78911360000001</c:v>
                </c:pt>
                <c:pt idx="1">
                  <c:v>186.57939519999999</c:v>
                </c:pt>
                <c:pt idx="2">
                  <c:v>278.0426592</c:v>
                </c:pt>
                <c:pt idx="3">
                  <c:v>449.10444799999999</c:v>
                </c:pt>
                <c:pt idx="4">
                  <c:v>320.26300800000001</c:v>
                </c:pt>
                <c:pt idx="5">
                  <c:v>276.45691839999961</c:v>
                </c:pt>
                <c:pt idx="6">
                  <c:v>183.69108159999999</c:v>
                </c:pt>
                <c:pt idx="7">
                  <c:v>161.7172448</c:v>
                </c:pt>
                <c:pt idx="8">
                  <c:v>160.61288959999999</c:v>
                </c:pt>
                <c:pt idx="9">
                  <c:v>161.7172448</c:v>
                </c:pt>
                <c:pt idx="10">
                  <c:v>182.7283104</c:v>
                </c:pt>
                <c:pt idx="11">
                  <c:v>175.3376256</c:v>
                </c:pt>
              </c:numCache>
            </c:numRef>
          </c:val>
          <c:smooth val="0"/>
        </c:ser>
        <c:ser>
          <c:idx val="2"/>
          <c:order val="2"/>
          <c:spPr>
            <a:ln w="19050">
              <a:solidFill>
                <a:schemeClr val="tx1"/>
              </a:solidFill>
              <a:prstDash val="dash"/>
            </a:ln>
          </c:spPr>
          <c:marker>
            <c:symbol val="none"/>
          </c:marker>
          <c:cat>
            <c:strRef>
              <c:f>'Wisconsin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'Wisconsin River'!$B$5:$M$5</c:f>
              <c:numCache>
                <c:formatCode>#,##0</c:formatCode>
                <c:ptCount val="12"/>
                <c:pt idx="0">
                  <c:v>133.71192959999999</c:v>
                </c:pt>
                <c:pt idx="1">
                  <c:v>148.88973440000001</c:v>
                </c:pt>
                <c:pt idx="2">
                  <c:v>217.89777599999999</c:v>
                </c:pt>
                <c:pt idx="3">
                  <c:v>300.29966400000001</c:v>
                </c:pt>
                <c:pt idx="4">
                  <c:v>257.76783039999998</c:v>
                </c:pt>
                <c:pt idx="5">
                  <c:v>190.5295888</c:v>
                </c:pt>
                <c:pt idx="6">
                  <c:v>138.86558719999999</c:v>
                </c:pt>
                <c:pt idx="7">
                  <c:v>130.62539839999999</c:v>
                </c:pt>
                <c:pt idx="8">
                  <c:v>127.4680752</c:v>
                </c:pt>
                <c:pt idx="9">
                  <c:v>126.3070864</c:v>
                </c:pt>
                <c:pt idx="10">
                  <c:v>147.2898352</c:v>
                </c:pt>
                <c:pt idx="11">
                  <c:v>137.8461824</c:v>
                </c:pt>
              </c:numCache>
            </c:numRef>
          </c:val>
          <c:smooth val="0"/>
        </c:ser>
        <c:ser>
          <c:idx val="3"/>
          <c:order val="3"/>
          <c:spPr>
            <a:ln w="19050">
              <a:solidFill>
                <a:schemeClr val="tx1"/>
              </a:solidFill>
              <a:prstDash val="dash"/>
            </a:ln>
          </c:spPr>
          <c:marker>
            <c:symbol val="none"/>
          </c:marker>
          <c:cat>
            <c:strRef>
              <c:f>'Wisconsin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'Wisconsin River'!$B$6:$M$6</c:f>
              <c:numCache>
                <c:formatCode>#,##0</c:formatCode>
                <c:ptCount val="12"/>
                <c:pt idx="0">
                  <c:v>202.59254559999999</c:v>
                </c:pt>
                <c:pt idx="1">
                  <c:v>215.9580752</c:v>
                </c:pt>
                <c:pt idx="2">
                  <c:v>337.25308799999999</c:v>
                </c:pt>
                <c:pt idx="3">
                  <c:v>621.83692799999915</c:v>
                </c:pt>
                <c:pt idx="4">
                  <c:v>403.23123199999952</c:v>
                </c:pt>
                <c:pt idx="5">
                  <c:v>377.60452800000002</c:v>
                </c:pt>
                <c:pt idx="6">
                  <c:v>250.88684799999999</c:v>
                </c:pt>
                <c:pt idx="7">
                  <c:v>192.80909120000001</c:v>
                </c:pt>
                <c:pt idx="8">
                  <c:v>217.92609279999999</c:v>
                </c:pt>
                <c:pt idx="9">
                  <c:v>235.2984496</c:v>
                </c:pt>
                <c:pt idx="10">
                  <c:v>264.50722880000001</c:v>
                </c:pt>
                <c:pt idx="11">
                  <c:v>214.0183744</c:v>
                </c:pt>
              </c:numCache>
            </c:numRef>
          </c:val>
          <c:smooth val="0"/>
        </c:ser>
        <c:dLbls>
          <c:showLegendKey val="0"/>
          <c:showVal val="0"/>
          <c:showCatName val="0"/>
          <c:showSerName val="0"/>
          <c:showPercent val="0"/>
          <c:showBubbleSize val="0"/>
        </c:dLbls>
        <c:marker val="1"/>
        <c:smooth val="0"/>
        <c:axId val="163706368"/>
        <c:axId val="163707904"/>
      </c:lineChart>
      <c:catAx>
        <c:axId val="163706368"/>
        <c:scaling>
          <c:orientation val="minMax"/>
        </c:scaling>
        <c:delete val="0"/>
        <c:axPos val="b"/>
        <c:majorTickMark val="out"/>
        <c:minorTickMark val="none"/>
        <c:tickLblPos val="nextTo"/>
        <c:crossAx val="163707904"/>
        <c:crosses val="autoZero"/>
        <c:auto val="1"/>
        <c:lblAlgn val="ctr"/>
        <c:lblOffset val="100"/>
        <c:noMultiLvlLbl val="0"/>
      </c:catAx>
      <c:valAx>
        <c:axId val="163707904"/>
        <c:scaling>
          <c:orientation val="minMax"/>
        </c:scaling>
        <c:delete val="0"/>
        <c:axPos val="l"/>
        <c:title>
          <c:tx>
            <c:rich>
              <a:bodyPr rot="-5400000" vert="horz"/>
              <a:lstStyle/>
              <a:p>
                <a:pPr>
                  <a:defRPr/>
                </a:pPr>
                <a:r>
                  <a:rPr lang="en-US"/>
                  <a:t>Discharge (cms)</a:t>
                </a:r>
              </a:p>
            </c:rich>
          </c:tx>
          <c:overlay val="0"/>
        </c:title>
        <c:numFmt formatCode="#,##0" sourceLinked="1"/>
        <c:majorTickMark val="out"/>
        <c:minorTickMark val="none"/>
        <c:tickLblPos val="nextTo"/>
        <c:crossAx val="163706368"/>
        <c:crosses val="autoZero"/>
        <c:crossBetween val="between"/>
      </c:valAx>
    </c:plotArea>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'Illinois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'Illinois River'!$B$3:$M$3</c:f>
              <c:numCache>
                <c:formatCode>#,##0</c:formatCode>
                <c:ptCount val="12"/>
                <c:pt idx="0">
                  <c:v>600.31615999999917</c:v>
                </c:pt>
                <c:pt idx="1">
                  <c:v>710.75167999999996</c:v>
                </c:pt>
                <c:pt idx="2">
                  <c:v>974.09791999999936</c:v>
                </c:pt>
                <c:pt idx="3">
                  <c:v>1059.0483200000001</c:v>
                </c:pt>
                <c:pt idx="4">
                  <c:v>1061.8800000000001</c:v>
                </c:pt>
                <c:pt idx="5">
                  <c:v>894.81088</c:v>
                </c:pt>
                <c:pt idx="6">
                  <c:v>617.30623999999932</c:v>
                </c:pt>
                <c:pt idx="7">
                  <c:v>382.27679999999953</c:v>
                </c:pt>
                <c:pt idx="8">
                  <c:v>334.13824</c:v>
                </c:pt>
                <c:pt idx="9">
                  <c:v>359.62335999999948</c:v>
                </c:pt>
                <c:pt idx="10">
                  <c:v>419.08864</c:v>
                </c:pt>
                <c:pt idx="11">
                  <c:v>521.02911999999947</c:v>
                </c:pt>
              </c:numCache>
            </c:numRef>
          </c:val>
        </c:ser>
        <c:dLbls>
          <c:showLegendKey val="0"/>
          <c:showVal val="0"/>
          <c:showCatName val="0"/>
          <c:showSerName val="0"/>
          <c:showPercent val="0"/>
          <c:showBubbleSize val="0"/>
        </c:dLbls>
        <c:gapWidth val="150"/>
        <c:axId val="163935744"/>
        <c:axId val="163937280"/>
      </c:barChart>
      <c:lineChart>
        <c:grouping val="standard"/>
        <c:varyColors val="0"/>
        <c:ser>
          <c:idx val="1"/>
          <c:order val="1"/>
          <c:spPr>
            <a:ln>
              <a:solidFill>
                <a:schemeClr val="tx1"/>
              </a:solidFill>
            </a:ln>
          </c:spPr>
          <c:marker>
            <c:symbol val="none"/>
          </c:marker>
          <c:cat>
            <c:strRef>
              <c:f>'Illinois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'Illinois River'!$B$4:$M$4</c:f>
              <c:numCache>
                <c:formatCode>#,##0</c:formatCode>
                <c:ptCount val="12"/>
                <c:pt idx="0">
                  <c:v>470.05887999999999</c:v>
                </c:pt>
                <c:pt idx="1">
                  <c:v>652.13590399999998</c:v>
                </c:pt>
                <c:pt idx="2">
                  <c:v>863.379232</c:v>
                </c:pt>
                <c:pt idx="3">
                  <c:v>961.07219199999997</c:v>
                </c:pt>
                <c:pt idx="4">
                  <c:v>995.90185599999938</c:v>
                </c:pt>
                <c:pt idx="5">
                  <c:v>784.94169599999918</c:v>
                </c:pt>
                <c:pt idx="6">
                  <c:v>547.363744</c:v>
                </c:pt>
                <c:pt idx="7">
                  <c:v>328.47487999999993</c:v>
                </c:pt>
                <c:pt idx="8">
                  <c:v>229.90409919999999</c:v>
                </c:pt>
                <c:pt idx="9">
                  <c:v>227.80865600000001</c:v>
                </c:pt>
                <c:pt idx="10">
                  <c:v>325.64319999999992</c:v>
                </c:pt>
                <c:pt idx="11">
                  <c:v>424.46883200000002</c:v>
                </c:pt>
              </c:numCache>
            </c:numRef>
          </c:val>
          <c:smooth val="0"/>
        </c:ser>
        <c:ser>
          <c:idx val="2"/>
          <c:order val="2"/>
          <c:spPr>
            <a:ln w="19050">
              <a:solidFill>
                <a:schemeClr val="tx1"/>
              </a:solidFill>
              <a:prstDash val="dash"/>
            </a:ln>
          </c:spPr>
          <c:marker>
            <c:symbol val="none"/>
          </c:marker>
          <c:cat>
            <c:strRef>
              <c:f>'Illinois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'Illinois River'!$B$5:$M$5</c:f>
              <c:numCache>
                <c:formatCode>#,##0</c:formatCode>
                <c:ptCount val="12"/>
                <c:pt idx="0">
                  <c:v>292.00284160000001</c:v>
                </c:pt>
                <c:pt idx="1">
                  <c:v>328.47487999999993</c:v>
                </c:pt>
                <c:pt idx="2">
                  <c:v>550.90334399999995</c:v>
                </c:pt>
                <c:pt idx="3">
                  <c:v>701.97347200000002</c:v>
                </c:pt>
                <c:pt idx="4">
                  <c:v>625.23494400000004</c:v>
                </c:pt>
                <c:pt idx="5">
                  <c:v>478.83708799999999</c:v>
                </c:pt>
                <c:pt idx="6">
                  <c:v>364.5788</c:v>
                </c:pt>
                <c:pt idx="7">
                  <c:v>254.2282304</c:v>
                </c:pt>
                <c:pt idx="8">
                  <c:v>197.1274032</c:v>
                </c:pt>
                <c:pt idx="9">
                  <c:v>182.50177600000001</c:v>
                </c:pt>
                <c:pt idx="10">
                  <c:v>213.05560320000001</c:v>
                </c:pt>
                <c:pt idx="11">
                  <c:v>252.30268799999999</c:v>
                </c:pt>
              </c:numCache>
            </c:numRef>
          </c:val>
          <c:smooth val="0"/>
        </c:ser>
        <c:ser>
          <c:idx val="3"/>
          <c:order val="3"/>
          <c:spPr>
            <a:ln w="19050">
              <a:solidFill>
                <a:schemeClr val="tx1"/>
              </a:solidFill>
              <a:prstDash val="dash"/>
            </a:ln>
          </c:spPr>
          <c:marker>
            <c:symbol val="none"/>
          </c:marker>
          <c:cat>
            <c:strRef>
              <c:f>'Illinois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'Illinois River'!$B$6:$M$6</c:f>
              <c:numCache>
                <c:formatCode>#,##0</c:formatCode>
                <c:ptCount val="12"/>
                <c:pt idx="0">
                  <c:v>814.39116799999931</c:v>
                </c:pt>
                <c:pt idx="1">
                  <c:v>969.28406399999994</c:v>
                </c:pt>
                <c:pt idx="2">
                  <c:v>1382.5677599999999</c:v>
                </c:pt>
                <c:pt idx="3">
                  <c:v>1331.4559360000001</c:v>
                </c:pt>
                <c:pt idx="4">
                  <c:v>1428.2993919999999</c:v>
                </c:pt>
                <c:pt idx="5">
                  <c:v>1238.7184159999999</c:v>
                </c:pt>
                <c:pt idx="6">
                  <c:v>839.59312</c:v>
                </c:pt>
                <c:pt idx="7">
                  <c:v>403.93915199999952</c:v>
                </c:pt>
                <c:pt idx="8">
                  <c:v>342.77486399999998</c:v>
                </c:pt>
                <c:pt idx="9">
                  <c:v>419.51339200000001</c:v>
                </c:pt>
                <c:pt idx="10">
                  <c:v>538.58553600000005</c:v>
                </c:pt>
                <c:pt idx="11">
                  <c:v>640.66759999999931</c:v>
                </c:pt>
              </c:numCache>
            </c:numRef>
          </c:val>
          <c:smooth val="0"/>
        </c:ser>
        <c:dLbls>
          <c:showLegendKey val="0"/>
          <c:showVal val="0"/>
          <c:showCatName val="0"/>
          <c:showSerName val="0"/>
          <c:showPercent val="0"/>
          <c:showBubbleSize val="0"/>
        </c:dLbls>
        <c:marker val="1"/>
        <c:smooth val="0"/>
        <c:axId val="163935744"/>
        <c:axId val="163937280"/>
      </c:lineChart>
      <c:catAx>
        <c:axId val="163935744"/>
        <c:scaling>
          <c:orientation val="minMax"/>
        </c:scaling>
        <c:delete val="0"/>
        <c:axPos val="b"/>
        <c:majorTickMark val="out"/>
        <c:minorTickMark val="none"/>
        <c:tickLblPos val="nextTo"/>
        <c:crossAx val="163937280"/>
        <c:crosses val="autoZero"/>
        <c:auto val="1"/>
        <c:lblAlgn val="ctr"/>
        <c:lblOffset val="100"/>
        <c:noMultiLvlLbl val="0"/>
      </c:catAx>
      <c:valAx>
        <c:axId val="163937280"/>
        <c:scaling>
          <c:orientation val="minMax"/>
        </c:scaling>
        <c:delete val="0"/>
        <c:axPos val="l"/>
        <c:title>
          <c:tx>
            <c:rich>
              <a:bodyPr rot="-5400000" vert="horz"/>
              <a:lstStyle/>
              <a:p>
                <a:pPr>
                  <a:defRPr/>
                </a:pPr>
                <a:r>
                  <a:rPr lang="en-US"/>
                  <a:t>Discharge (cms)</a:t>
                </a:r>
              </a:p>
            </c:rich>
          </c:tx>
          <c:overlay val="0"/>
        </c:title>
        <c:numFmt formatCode="#,##0" sourceLinked="1"/>
        <c:majorTickMark val="out"/>
        <c:minorTickMark val="none"/>
        <c:tickLblPos val="nextTo"/>
        <c:crossAx val="163935744"/>
        <c:crosses val="autoZero"/>
        <c:crossBetween val="between"/>
      </c:valAx>
      <c:spPr>
        <a:noFill/>
        <a:ln w="25400">
          <a:noFill/>
        </a:ln>
      </c:spPr>
    </c:plotArea>
    <c:plotVisOnly val="1"/>
    <c:dispBlanksAs val="gap"/>
    <c:showDLblsOverMax val="0"/>
  </c:chart>
  <c:txPr>
    <a:bodyPr/>
    <a:lstStyle/>
    <a:p>
      <a:pPr>
        <a:defRPr>
          <a:latin typeface="Times New Roman" pitchFamily="18" charset="0"/>
          <a:cs typeface="Times New Roman"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'Mississippi River'!$A$3</c:f>
              <c:strCache>
                <c:ptCount val="1"/>
                <c:pt idx="0">
                  <c:v>Discharge</c:v>
                </c:pt>
              </c:strCache>
            </c:strRef>
          </c:tx>
          <c:invertIfNegative val="0"/>
          <c:cat>
            <c:strRef>
              <c:f>'Mississippi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'Mississippi River'!$B$3:$M$3</c:f>
              <c:numCache>
                <c:formatCode>#,##0</c:formatCode>
                <c:ptCount val="12"/>
                <c:pt idx="0">
                  <c:v>3822.768</c:v>
                </c:pt>
                <c:pt idx="1">
                  <c:v>4615.6383999999998</c:v>
                </c:pt>
                <c:pt idx="2">
                  <c:v>7164.1504000000004</c:v>
                </c:pt>
                <c:pt idx="3">
                  <c:v>9457.8112000000001</c:v>
                </c:pt>
                <c:pt idx="4">
                  <c:v>9457.8112000000001</c:v>
                </c:pt>
                <c:pt idx="5">
                  <c:v>8495.03999999999</c:v>
                </c:pt>
                <c:pt idx="6">
                  <c:v>7050.8832000000002</c:v>
                </c:pt>
                <c:pt idx="7">
                  <c:v>4672.2719999999999</c:v>
                </c:pt>
                <c:pt idx="8">
                  <c:v>4247.5200000000004</c:v>
                </c:pt>
                <c:pt idx="9">
                  <c:v>4304.1535999999996</c:v>
                </c:pt>
                <c:pt idx="10">
                  <c:v>4474.0544</c:v>
                </c:pt>
                <c:pt idx="11">
                  <c:v>3964.3519999999999</c:v>
                </c:pt>
              </c:numCache>
            </c:numRef>
          </c:val>
        </c:ser>
        <c:dLbls>
          <c:showLegendKey val="0"/>
          <c:showVal val="0"/>
          <c:showCatName val="0"/>
          <c:showSerName val="0"/>
          <c:showPercent val="0"/>
          <c:showBubbleSize val="0"/>
        </c:dLbls>
        <c:gapWidth val="150"/>
        <c:axId val="163980800"/>
        <c:axId val="163982336"/>
      </c:barChart>
      <c:lineChart>
        <c:grouping val="standard"/>
        <c:varyColors val="0"/>
        <c:ser>
          <c:idx val="1"/>
          <c:order val="1"/>
          <c:tx>
            <c:strRef>
              <c:f>'Mississippi River'!$A$4</c:f>
              <c:strCache>
                <c:ptCount val="1"/>
                <c:pt idx="0">
                  <c:v>Median</c:v>
                </c:pt>
              </c:strCache>
            </c:strRef>
          </c:tx>
          <c:spPr>
            <a:ln>
              <a:solidFill>
                <a:schemeClr val="tx1"/>
              </a:solidFill>
            </a:ln>
          </c:spPr>
          <c:marker>
            <c:symbol val="none"/>
          </c:marker>
          <c:cat>
            <c:strRef>
              <c:f>'Mississippi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'Mississippi River'!$B$4:$M$4</c:f>
              <c:numCache>
                <c:formatCode>#,##0</c:formatCode>
                <c:ptCount val="12"/>
                <c:pt idx="0">
                  <c:v>3361.2041599999998</c:v>
                </c:pt>
                <c:pt idx="1">
                  <c:v>4595.81664</c:v>
                </c:pt>
                <c:pt idx="2">
                  <c:v>6895.1408000000001</c:v>
                </c:pt>
                <c:pt idx="3">
                  <c:v>8956.6038399999907</c:v>
                </c:pt>
                <c:pt idx="4">
                  <c:v>9692.8406400000003</c:v>
                </c:pt>
                <c:pt idx="5">
                  <c:v>7648.3676800000003</c:v>
                </c:pt>
                <c:pt idx="6">
                  <c:v>6308.9830400000001</c:v>
                </c:pt>
                <c:pt idx="7">
                  <c:v>4241.85664</c:v>
                </c:pt>
                <c:pt idx="8">
                  <c:v>3567.9168</c:v>
                </c:pt>
                <c:pt idx="9">
                  <c:v>3740.6492800000001</c:v>
                </c:pt>
                <c:pt idx="10">
                  <c:v>3845.4214400000001</c:v>
                </c:pt>
                <c:pt idx="11">
                  <c:v>3641.5404800000001</c:v>
                </c:pt>
              </c:numCache>
            </c:numRef>
          </c:val>
          <c:smooth val="0"/>
        </c:ser>
        <c:ser>
          <c:idx val="2"/>
          <c:order val="2"/>
          <c:tx>
            <c:strRef>
              <c:f>'Mississippi River'!$A$5</c:f>
              <c:strCache>
                <c:ptCount val="1"/>
                <c:pt idx="0">
                  <c:v>1st quartile</c:v>
                </c:pt>
              </c:strCache>
            </c:strRef>
          </c:tx>
          <c:spPr>
            <a:ln w="19050">
              <a:solidFill>
                <a:schemeClr val="tx1"/>
              </a:solidFill>
              <a:prstDash val="dash"/>
            </a:ln>
          </c:spPr>
          <c:marker>
            <c:symbol val="none"/>
          </c:marker>
          <c:cat>
            <c:strRef>
              <c:f>'Mississippi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'Mississippi River'!$B$5:$M$5</c:f>
              <c:numCache>
                <c:formatCode>#,##0</c:formatCode>
                <c:ptCount val="12"/>
                <c:pt idx="0">
                  <c:v>2307.1112800000001</c:v>
                </c:pt>
                <c:pt idx="1">
                  <c:v>2896.6670559999998</c:v>
                </c:pt>
                <c:pt idx="2">
                  <c:v>5108.3507200000004</c:v>
                </c:pt>
                <c:pt idx="3">
                  <c:v>6702.5865599999997</c:v>
                </c:pt>
                <c:pt idx="4">
                  <c:v>6110.7654400000001</c:v>
                </c:pt>
                <c:pt idx="5">
                  <c:v>5629.3798400000014</c:v>
                </c:pt>
                <c:pt idx="6">
                  <c:v>4523.6088</c:v>
                </c:pt>
                <c:pt idx="7">
                  <c:v>3175.72912</c:v>
                </c:pt>
                <c:pt idx="8">
                  <c:v>2971.84816</c:v>
                </c:pt>
                <c:pt idx="9">
                  <c:v>2619.4455840000001</c:v>
                </c:pt>
                <c:pt idx="10">
                  <c:v>2701.705888</c:v>
                </c:pt>
                <c:pt idx="11">
                  <c:v>2342.3656959999998</c:v>
                </c:pt>
              </c:numCache>
            </c:numRef>
          </c:val>
          <c:smooth val="0"/>
        </c:ser>
        <c:ser>
          <c:idx val="3"/>
          <c:order val="3"/>
          <c:tx>
            <c:strRef>
              <c:f>'Mississippi River'!$A$6</c:f>
              <c:strCache>
                <c:ptCount val="1"/>
                <c:pt idx="0">
                  <c:v>3rd quartile</c:v>
                </c:pt>
              </c:strCache>
            </c:strRef>
          </c:tx>
          <c:spPr>
            <a:ln w="19050">
              <a:solidFill>
                <a:schemeClr val="tx1"/>
              </a:solidFill>
              <a:prstDash val="dash"/>
            </a:ln>
          </c:spPr>
          <c:marker>
            <c:symbol val="none"/>
          </c:marker>
          <c:cat>
            <c:strRef>
              <c:f>'Mississippi River'!$B$2:$M$2</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'Mississippi River'!$B$6:$M$6</c:f>
              <c:numCache>
                <c:formatCode>#,##0</c:formatCode>
                <c:ptCount val="12"/>
                <c:pt idx="0">
                  <c:v>4764.3015999999998</c:v>
                </c:pt>
                <c:pt idx="1">
                  <c:v>6233.9435199999998</c:v>
                </c:pt>
                <c:pt idx="2">
                  <c:v>9314.8113599999906</c:v>
                </c:pt>
                <c:pt idx="3">
                  <c:v>11856.24416</c:v>
                </c:pt>
                <c:pt idx="4">
                  <c:v>11618.383040000001</c:v>
                </c:pt>
                <c:pt idx="5">
                  <c:v>11299.81904</c:v>
                </c:pt>
                <c:pt idx="6">
                  <c:v>8285.4956799999873</c:v>
                </c:pt>
                <c:pt idx="7">
                  <c:v>5146.5783999999994</c:v>
                </c:pt>
                <c:pt idx="8">
                  <c:v>4791.2025599999997</c:v>
                </c:pt>
                <c:pt idx="9">
                  <c:v>4789.7867200000001</c:v>
                </c:pt>
                <c:pt idx="10">
                  <c:v>5678.9342399999996</c:v>
                </c:pt>
                <c:pt idx="11">
                  <c:v>4680.7670400000006</c:v>
                </c:pt>
              </c:numCache>
            </c:numRef>
          </c:val>
          <c:smooth val="0"/>
        </c:ser>
        <c:dLbls>
          <c:showLegendKey val="0"/>
          <c:showVal val="0"/>
          <c:showCatName val="0"/>
          <c:showSerName val="0"/>
          <c:showPercent val="0"/>
          <c:showBubbleSize val="0"/>
        </c:dLbls>
        <c:marker val="1"/>
        <c:smooth val="0"/>
        <c:axId val="163980800"/>
        <c:axId val="163982336"/>
      </c:lineChart>
      <c:catAx>
        <c:axId val="163980800"/>
        <c:scaling>
          <c:orientation val="minMax"/>
        </c:scaling>
        <c:delete val="0"/>
        <c:axPos val="b"/>
        <c:majorTickMark val="out"/>
        <c:minorTickMark val="none"/>
        <c:tickLblPos val="nextTo"/>
        <c:crossAx val="163982336"/>
        <c:crosses val="autoZero"/>
        <c:auto val="1"/>
        <c:lblAlgn val="ctr"/>
        <c:lblOffset val="100"/>
        <c:noMultiLvlLbl val="0"/>
      </c:catAx>
      <c:valAx>
        <c:axId val="163982336"/>
        <c:scaling>
          <c:orientation val="minMax"/>
        </c:scaling>
        <c:delete val="0"/>
        <c:axPos val="l"/>
        <c:title>
          <c:tx>
            <c:rich>
              <a:bodyPr rot="-5400000" vert="horz"/>
              <a:lstStyle/>
              <a:p>
                <a:pPr>
                  <a:defRPr/>
                </a:pPr>
                <a:r>
                  <a:rPr lang="en-US"/>
                  <a:t>Discharge (cms)</a:t>
                </a:r>
              </a:p>
            </c:rich>
          </c:tx>
          <c:overlay val="0"/>
        </c:title>
        <c:numFmt formatCode="#,##0" sourceLinked="1"/>
        <c:majorTickMark val="out"/>
        <c:minorTickMark val="none"/>
        <c:tickLblPos val="nextTo"/>
        <c:crossAx val="163980800"/>
        <c:crosses val="autoZero"/>
        <c:crossBetween val="between"/>
      </c:valAx>
    </c:plotArea>
    <c:plotVisOnly val="1"/>
    <c:dispBlanksAs val="gap"/>
    <c:showDLblsOverMax val="0"/>
  </c:chart>
  <c:txPr>
    <a:bodyPr/>
    <a:lstStyle/>
    <a:p>
      <a:pPr>
        <a:defRPr sz="1000">
          <a:latin typeface="Times New Roman" pitchFamily="18" charset="0"/>
          <a:cs typeface="Times New Roman"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AF86C-F312-4E3A-9D65-1D7754201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122</Pages>
  <Words>71684</Words>
  <Characters>408602</Characters>
  <Application>Microsoft Office Word</Application>
  <DocSecurity>0</DocSecurity>
  <Lines>3405</Lines>
  <Paragraphs>958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479328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 Tran</dc:creator>
  <cp:lastModifiedBy>ViTran</cp:lastModifiedBy>
  <cp:revision>29</cp:revision>
  <cp:lastPrinted>2014-07-25T20:57:00Z</cp:lastPrinted>
  <dcterms:created xsi:type="dcterms:W3CDTF">2014-07-30T21:03:00Z</dcterms:created>
  <dcterms:modified xsi:type="dcterms:W3CDTF">2014-07-31T14:15:00Z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zotero-version="4.0.21.2"&gt;&lt;session id="AZV07ltx"/&gt;&lt;style id="http://www.zotero.org/styles/chicago-author-date" hasBibliography="1" bibliographyStyleHasBeenSet="1"/&gt;&lt;prefs&gt;&lt;pref name="fieldType" value="Field"/&gt;&lt;pref name="storeRefere</vt:lpwstr>
  </property>
  <property fmtid="{D5CDD505-2E9C-101B-9397-08002B2CF9AE}" pid="3" name="ZOTERO_PREF_2">
    <vt:lpwstr>nces" value="true"/&gt;&lt;pref name="automaticJournalAbbreviations" value="true"/&gt;&lt;pref name="noteType" value="0"/&gt;&lt;/prefs&gt;&lt;/data&gt;</vt:lpwstr>
  </property>
</Properties>
</file>