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F8E54F" w14:textId="77777777" w:rsidR="00526151" w:rsidRPr="00973F56" w:rsidRDefault="00FA1337" w:rsidP="00387656">
      <w:pPr>
        <w:pStyle w:val="Title"/>
        <w:rPr>
          <w:rFonts w:cs="Times New Roman"/>
          <w:b w:val="0"/>
        </w:rPr>
      </w:pPr>
      <w:r w:rsidRPr="00973F56">
        <w:rPr>
          <w:rFonts w:cs="Times New Roman"/>
          <w:b w:val="0"/>
        </w:rPr>
        <w:t>Alter</w:t>
      </w:r>
      <w:r w:rsidR="00973F56" w:rsidRPr="00973F56">
        <w:rPr>
          <w:rFonts w:cs="Times New Roman"/>
          <w:b w:val="0"/>
        </w:rPr>
        <w:t>native Strategies for Weed Control in Creeping Bentgrass</w:t>
      </w:r>
    </w:p>
    <w:p w14:paraId="1B81EB6E" w14:textId="77777777" w:rsidR="00387656" w:rsidRPr="00973F56" w:rsidRDefault="00DD00DE" w:rsidP="00823063">
      <w:pPr>
        <w:pStyle w:val="Title"/>
        <w:rPr>
          <w:rFonts w:cs="Times New Roman"/>
          <w:b w:val="0"/>
        </w:rPr>
      </w:pPr>
      <w:r w:rsidRPr="00973F56">
        <w:rPr>
          <w:rFonts w:cs="Times New Roman"/>
          <w:b w:val="0"/>
        </w:rPr>
        <w:tab/>
      </w:r>
    </w:p>
    <w:p w14:paraId="6231ABBB" w14:textId="77777777" w:rsidR="00387656" w:rsidRPr="00973F56" w:rsidRDefault="00387656" w:rsidP="00387656">
      <w:pPr>
        <w:pStyle w:val="Title"/>
        <w:rPr>
          <w:rFonts w:cs="Times New Roman"/>
          <w:b w:val="0"/>
        </w:rPr>
      </w:pPr>
    </w:p>
    <w:p w14:paraId="26961DCB" w14:textId="77777777" w:rsidR="00387656" w:rsidRPr="00973F56" w:rsidRDefault="00387656" w:rsidP="00387656">
      <w:pPr>
        <w:pStyle w:val="Title"/>
        <w:rPr>
          <w:rFonts w:cs="Times New Roman"/>
          <w:b w:val="0"/>
        </w:rPr>
      </w:pPr>
    </w:p>
    <w:p w14:paraId="6801CE0F" w14:textId="77777777" w:rsidR="00236E6D" w:rsidRPr="00973F56" w:rsidRDefault="00236E6D" w:rsidP="00387656">
      <w:pPr>
        <w:pStyle w:val="Title"/>
        <w:rPr>
          <w:rFonts w:cs="Times New Roman"/>
          <w:b w:val="0"/>
        </w:rPr>
      </w:pPr>
    </w:p>
    <w:p w14:paraId="284B0312" w14:textId="77777777" w:rsidR="00236E6D" w:rsidRPr="00973F56" w:rsidRDefault="00236E6D" w:rsidP="00387656">
      <w:pPr>
        <w:pStyle w:val="Title"/>
        <w:rPr>
          <w:rFonts w:cs="Times New Roman"/>
          <w:b w:val="0"/>
        </w:rPr>
      </w:pPr>
    </w:p>
    <w:p w14:paraId="60C19969" w14:textId="77777777" w:rsidR="00236E6D" w:rsidRPr="00973F56" w:rsidRDefault="00236E6D" w:rsidP="00387656">
      <w:pPr>
        <w:pStyle w:val="Title"/>
        <w:jc w:val="left"/>
        <w:rPr>
          <w:rFonts w:cs="Times New Roman"/>
          <w:b w:val="0"/>
        </w:rPr>
      </w:pPr>
    </w:p>
    <w:p w14:paraId="7E27431B" w14:textId="77777777" w:rsidR="00236E6D" w:rsidRPr="00973F56" w:rsidRDefault="009C755C" w:rsidP="00387656">
      <w:pPr>
        <w:pStyle w:val="Title"/>
        <w:rPr>
          <w:rFonts w:cs="Times New Roman"/>
          <w:b w:val="0"/>
        </w:rPr>
      </w:pPr>
      <w:r w:rsidRPr="00973F56">
        <w:rPr>
          <w:rFonts w:cs="Times New Roman"/>
          <w:b w:val="0"/>
        </w:rPr>
        <w:t xml:space="preserve">A </w:t>
      </w:r>
      <w:r w:rsidR="00D051D8">
        <w:rPr>
          <w:rFonts w:cs="Times New Roman"/>
          <w:b w:val="0"/>
        </w:rPr>
        <w:t>Dissertation</w:t>
      </w:r>
      <w:r w:rsidRPr="00973F56">
        <w:rPr>
          <w:rFonts w:cs="Times New Roman"/>
          <w:b w:val="0"/>
        </w:rPr>
        <w:t xml:space="preserve"> Presented for</w:t>
      </w:r>
      <w:r w:rsidR="008865B6" w:rsidRPr="00973F56">
        <w:rPr>
          <w:rFonts w:cs="Times New Roman"/>
          <w:b w:val="0"/>
        </w:rPr>
        <w:t xml:space="preserve"> the</w:t>
      </w:r>
    </w:p>
    <w:p w14:paraId="43466D93" w14:textId="77777777" w:rsidR="009C755C" w:rsidRPr="00973F56" w:rsidRDefault="00973F56" w:rsidP="00387656">
      <w:pPr>
        <w:pStyle w:val="Title"/>
        <w:rPr>
          <w:rFonts w:cs="Times New Roman"/>
          <w:b w:val="0"/>
        </w:rPr>
      </w:pPr>
      <w:r w:rsidRPr="00973F56">
        <w:rPr>
          <w:rFonts w:cs="Times New Roman"/>
          <w:b w:val="0"/>
        </w:rPr>
        <w:t>Doctor of Philosophy</w:t>
      </w:r>
    </w:p>
    <w:p w14:paraId="7FE68986" w14:textId="77777777" w:rsidR="009C755C" w:rsidRPr="00973F56" w:rsidRDefault="009C755C" w:rsidP="00387656">
      <w:pPr>
        <w:pStyle w:val="Title"/>
        <w:rPr>
          <w:rFonts w:cs="Times New Roman"/>
          <w:b w:val="0"/>
        </w:rPr>
      </w:pPr>
      <w:r w:rsidRPr="00973F56">
        <w:rPr>
          <w:rFonts w:cs="Times New Roman"/>
          <w:b w:val="0"/>
        </w:rPr>
        <w:t>Degree</w:t>
      </w:r>
    </w:p>
    <w:p w14:paraId="4A36D3D0" w14:textId="77777777" w:rsidR="009C755C" w:rsidRPr="00973F56" w:rsidRDefault="009C755C" w:rsidP="00387656">
      <w:pPr>
        <w:pStyle w:val="Title"/>
        <w:rPr>
          <w:rFonts w:cs="Times New Roman"/>
          <w:b w:val="0"/>
        </w:rPr>
      </w:pPr>
      <w:r w:rsidRPr="00973F56">
        <w:rPr>
          <w:rFonts w:cs="Times New Roman"/>
          <w:b w:val="0"/>
        </w:rPr>
        <w:t>The University of Tennessee, Knoxville</w:t>
      </w:r>
    </w:p>
    <w:p w14:paraId="3468AF66" w14:textId="77777777" w:rsidR="00236E6D" w:rsidRPr="00973F56" w:rsidRDefault="00236E6D" w:rsidP="00823063">
      <w:pPr>
        <w:pStyle w:val="Title"/>
        <w:jc w:val="left"/>
        <w:rPr>
          <w:rFonts w:cs="Times New Roman"/>
          <w:b w:val="0"/>
        </w:rPr>
      </w:pPr>
    </w:p>
    <w:p w14:paraId="2F1DB7EB" w14:textId="77777777" w:rsidR="00236E6D" w:rsidRPr="00973F56" w:rsidRDefault="00B84302" w:rsidP="00B84302">
      <w:pPr>
        <w:pStyle w:val="Title"/>
        <w:tabs>
          <w:tab w:val="left" w:pos="453"/>
        </w:tabs>
        <w:jc w:val="left"/>
        <w:rPr>
          <w:rFonts w:cs="Times New Roman"/>
          <w:b w:val="0"/>
        </w:rPr>
      </w:pPr>
      <w:r>
        <w:rPr>
          <w:rFonts w:cs="Times New Roman"/>
          <w:b w:val="0"/>
        </w:rPr>
        <w:tab/>
      </w:r>
    </w:p>
    <w:p w14:paraId="22258060" w14:textId="77777777" w:rsidR="00236E6D" w:rsidRPr="00973F56" w:rsidRDefault="00236E6D" w:rsidP="00387656">
      <w:pPr>
        <w:pStyle w:val="Title"/>
        <w:rPr>
          <w:rFonts w:cs="Times New Roman"/>
          <w:b w:val="0"/>
        </w:rPr>
      </w:pPr>
    </w:p>
    <w:p w14:paraId="13BA99BA" w14:textId="77777777" w:rsidR="00236E6D" w:rsidRPr="00973F56" w:rsidRDefault="00236E6D" w:rsidP="00823063">
      <w:pPr>
        <w:pStyle w:val="Title"/>
        <w:jc w:val="left"/>
        <w:rPr>
          <w:rFonts w:cs="Times New Roman"/>
          <w:b w:val="0"/>
        </w:rPr>
      </w:pPr>
    </w:p>
    <w:p w14:paraId="78A8268B" w14:textId="77777777" w:rsidR="00236E6D" w:rsidRPr="00973F56" w:rsidRDefault="00236E6D" w:rsidP="00387656">
      <w:pPr>
        <w:pStyle w:val="Title"/>
        <w:rPr>
          <w:rFonts w:cs="Times New Roman"/>
          <w:b w:val="0"/>
        </w:rPr>
      </w:pPr>
    </w:p>
    <w:p w14:paraId="65DBA89E" w14:textId="77777777" w:rsidR="00236E6D" w:rsidRPr="00973F56" w:rsidRDefault="00236E6D" w:rsidP="00387656">
      <w:pPr>
        <w:pStyle w:val="Title"/>
        <w:rPr>
          <w:rFonts w:cs="Times New Roman"/>
          <w:b w:val="0"/>
        </w:rPr>
      </w:pPr>
    </w:p>
    <w:p w14:paraId="36E094A2" w14:textId="77777777" w:rsidR="00236E6D" w:rsidRPr="00973F56" w:rsidRDefault="00D051D8" w:rsidP="00387656">
      <w:pPr>
        <w:pStyle w:val="Title"/>
        <w:rPr>
          <w:rFonts w:cs="Times New Roman"/>
          <w:b w:val="0"/>
        </w:rPr>
      </w:pPr>
      <w:r>
        <w:rPr>
          <w:rFonts w:cs="Times New Roman"/>
          <w:b w:val="0"/>
        </w:rPr>
        <w:t>Matthew Thomas</w:t>
      </w:r>
      <w:r w:rsidR="00973F56" w:rsidRPr="00973F56">
        <w:rPr>
          <w:rFonts w:cs="Times New Roman"/>
          <w:b w:val="0"/>
        </w:rPr>
        <w:t xml:space="preserve"> Elmore</w:t>
      </w:r>
    </w:p>
    <w:p w14:paraId="60B2DF85" w14:textId="77777777" w:rsidR="009C755C" w:rsidRPr="00973F56" w:rsidRDefault="00D051D8" w:rsidP="00387656">
      <w:pPr>
        <w:pStyle w:val="Title"/>
        <w:rPr>
          <w:rFonts w:cs="Times New Roman"/>
          <w:b w:val="0"/>
        </w:rPr>
      </w:pPr>
      <w:r>
        <w:rPr>
          <w:rFonts w:cs="Times New Roman"/>
          <w:b w:val="0"/>
        </w:rPr>
        <w:t>August</w:t>
      </w:r>
      <w:r w:rsidR="00973F56" w:rsidRPr="00973F56">
        <w:rPr>
          <w:rFonts w:cs="Times New Roman"/>
          <w:b w:val="0"/>
        </w:rPr>
        <w:t xml:space="preserve"> 2014</w:t>
      </w:r>
    </w:p>
    <w:p w14:paraId="4935D4E5" w14:textId="77777777" w:rsidR="00526151" w:rsidRDefault="00526151" w:rsidP="005E54E2"/>
    <w:p w14:paraId="31353E64" w14:textId="77777777" w:rsidR="00973F56" w:rsidRDefault="00973F56" w:rsidP="00973F56">
      <w:pPr>
        <w:jc w:val="center"/>
      </w:pPr>
    </w:p>
    <w:p w14:paraId="62A75D11" w14:textId="77777777" w:rsidR="00823063" w:rsidRDefault="00823063" w:rsidP="00FC52A9"/>
    <w:p w14:paraId="49AA2DBE" w14:textId="77777777" w:rsidR="00FC52A9" w:rsidRDefault="00FC52A9" w:rsidP="00FC52A9"/>
    <w:p w14:paraId="20A9A053" w14:textId="77777777" w:rsidR="00823063" w:rsidRDefault="00823063" w:rsidP="00973F56">
      <w:pPr>
        <w:jc w:val="center"/>
      </w:pPr>
    </w:p>
    <w:p w14:paraId="267862E0" w14:textId="77777777" w:rsidR="00823063" w:rsidRDefault="00823063" w:rsidP="00973F56">
      <w:pPr>
        <w:jc w:val="center"/>
      </w:pPr>
    </w:p>
    <w:p w14:paraId="7375F33A" w14:textId="77777777" w:rsidR="00823063" w:rsidRDefault="00823063" w:rsidP="00973F56">
      <w:pPr>
        <w:jc w:val="center"/>
      </w:pPr>
    </w:p>
    <w:p w14:paraId="0F00FFB2" w14:textId="77777777" w:rsidR="00823063" w:rsidRDefault="00823063" w:rsidP="00973F56">
      <w:pPr>
        <w:jc w:val="center"/>
        <w:rPr>
          <w:rFonts w:cs="Times New Roman"/>
        </w:rPr>
      </w:pPr>
    </w:p>
    <w:p w14:paraId="345DFA73" w14:textId="77777777" w:rsidR="00973F56" w:rsidRPr="00973F56" w:rsidRDefault="00973F56" w:rsidP="00973F56">
      <w:pPr>
        <w:jc w:val="center"/>
        <w:rPr>
          <w:rFonts w:cs="Times New Roman"/>
        </w:rPr>
      </w:pPr>
    </w:p>
    <w:p w14:paraId="145DDCC1" w14:textId="77777777" w:rsidR="00236E6D" w:rsidRPr="00973F56" w:rsidRDefault="00973F56" w:rsidP="00973F56">
      <w:pPr>
        <w:jc w:val="center"/>
        <w:rPr>
          <w:rFonts w:cs="Times New Roman"/>
          <w:b/>
        </w:rPr>
      </w:pPr>
      <w:r w:rsidRPr="00973F56">
        <w:rPr>
          <w:rFonts w:cs="Times New Roman"/>
          <w:b/>
        </w:rPr>
        <w:t>Copyright © 2014</w:t>
      </w:r>
      <w:r w:rsidR="00236E6D" w:rsidRPr="00973F56">
        <w:rPr>
          <w:rFonts w:cs="Times New Roman"/>
          <w:b/>
        </w:rPr>
        <w:t xml:space="preserve"> by </w:t>
      </w:r>
      <w:r w:rsidRPr="00973F56">
        <w:rPr>
          <w:rFonts w:cs="Times New Roman"/>
          <w:b/>
        </w:rPr>
        <w:t>Matthew Elmore</w:t>
      </w:r>
    </w:p>
    <w:p w14:paraId="6FEA9CD2" w14:textId="77777777" w:rsidR="00973F56" w:rsidRPr="00973F56" w:rsidRDefault="00973F56" w:rsidP="00973F56">
      <w:pPr>
        <w:jc w:val="center"/>
        <w:rPr>
          <w:rFonts w:cs="Times New Roman"/>
          <w:b/>
        </w:rPr>
      </w:pPr>
    </w:p>
    <w:p w14:paraId="168F13C9" w14:textId="77777777" w:rsidR="00236E6D" w:rsidRPr="00973F56" w:rsidRDefault="00973F56" w:rsidP="00973F56">
      <w:pPr>
        <w:jc w:val="center"/>
        <w:rPr>
          <w:rFonts w:cs="Times New Roman"/>
          <w:b/>
        </w:rPr>
      </w:pPr>
      <w:r w:rsidRPr="00973F56">
        <w:rPr>
          <w:rFonts w:cs="Times New Roman"/>
          <w:b/>
        </w:rPr>
        <w:t>All rights reserved</w:t>
      </w:r>
    </w:p>
    <w:p w14:paraId="09F6C44A" w14:textId="77777777" w:rsidR="00236E6D" w:rsidRDefault="00236E6D" w:rsidP="005E54E2"/>
    <w:p w14:paraId="5AD4FC2F" w14:textId="77777777" w:rsidR="00236E6D" w:rsidRDefault="00236E6D" w:rsidP="005E54E2"/>
    <w:p w14:paraId="37DB84D8" w14:textId="77777777" w:rsidR="00236E6D" w:rsidRDefault="00236E6D" w:rsidP="005E54E2"/>
    <w:p w14:paraId="7B843047" w14:textId="77777777" w:rsidR="00236E6D" w:rsidRDefault="00236E6D" w:rsidP="005E54E2"/>
    <w:p w14:paraId="193CFD85" w14:textId="77777777" w:rsidR="00236E6D" w:rsidRDefault="00236E6D" w:rsidP="005E54E2"/>
    <w:p w14:paraId="53D6962E" w14:textId="77777777" w:rsidR="00236E6D" w:rsidRDefault="00236E6D" w:rsidP="005E54E2"/>
    <w:p w14:paraId="6A4C4BC2" w14:textId="77777777" w:rsidR="00236E6D" w:rsidRDefault="00236E6D" w:rsidP="005E54E2"/>
    <w:p w14:paraId="0C0344A5" w14:textId="77777777" w:rsidR="00236E6D" w:rsidRDefault="00236E6D" w:rsidP="005E54E2"/>
    <w:p w14:paraId="746D2862" w14:textId="77777777" w:rsidR="00236E6D" w:rsidRDefault="00236E6D" w:rsidP="005E54E2"/>
    <w:p w14:paraId="1AB32B85" w14:textId="77777777" w:rsidR="00236E6D" w:rsidRDefault="00236E6D" w:rsidP="005E54E2"/>
    <w:p w14:paraId="669940CA" w14:textId="77777777" w:rsidR="00FC52A9" w:rsidRDefault="00FC52A9" w:rsidP="00387656">
      <w:pPr>
        <w:pStyle w:val="Title"/>
        <w:rPr>
          <w:rFonts w:cs="Times New Roman"/>
        </w:rPr>
      </w:pPr>
    </w:p>
    <w:p w14:paraId="22E92BF1" w14:textId="77777777" w:rsidR="000A2244" w:rsidRDefault="000A2244">
      <w:pPr>
        <w:spacing w:line="240" w:lineRule="auto"/>
        <w:rPr>
          <w:rFonts w:cs="Times New Roman"/>
        </w:rPr>
      </w:pPr>
      <w:r>
        <w:rPr>
          <w:rFonts w:cs="Times New Roman"/>
        </w:rPr>
        <w:br w:type="page"/>
      </w:r>
    </w:p>
    <w:p w14:paraId="66478D19" w14:textId="77777777" w:rsidR="009D794C" w:rsidRPr="00FC52A9" w:rsidRDefault="00CD73A9" w:rsidP="000A2244">
      <w:pPr>
        <w:pStyle w:val="Title"/>
        <w:rPr>
          <w:rFonts w:cs="Times New Roman"/>
          <w:sz w:val="24"/>
        </w:rPr>
      </w:pPr>
      <w:r w:rsidRPr="00F44BF4">
        <w:rPr>
          <w:rFonts w:cs="Times New Roman"/>
          <w:sz w:val="24"/>
        </w:rPr>
        <w:lastRenderedPageBreak/>
        <w:t>ACKNOWLEDGEMENTS</w:t>
      </w:r>
    </w:p>
    <w:p w14:paraId="61FCDC09" w14:textId="77777777" w:rsidR="00973F56" w:rsidRPr="00F44BF4" w:rsidRDefault="00973F56" w:rsidP="00973F56">
      <w:pPr>
        <w:ind w:firstLine="720"/>
        <w:rPr>
          <w:rFonts w:cs="Times New Roman"/>
        </w:rPr>
      </w:pPr>
      <w:r w:rsidRPr="00F44BF4">
        <w:rPr>
          <w:rFonts w:cs="Times New Roman"/>
        </w:rPr>
        <w:t xml:space="preserve">For their support and guidance throughout my time at the University of Tennessee, I thank my committee members: Dr. </w:t>
      </w:r>
      <w:r w:rsidR="006A74BB">
        <w:rPr>
          <w:rFonts w:cs="Times New Roman"/>
        </w:rPr>
        <w:t>John Sorochan</w:t>
      </w:r>
      <w:r w:rsidRPr="00F44BF4">
        <w:rPr>
          <w:rFonts w:cs="Times New Roman"/>
        </w:rPr>
        <w:t>, Dr. Dean Kopsell,</w:t>
      </w:r>
      <w:r w:rsidR="006A74BB">
        <w:rPr>
          <w:rFonts w:cs="Times New Roman"/>
        </w:rPr>
        <w:t xml:space="preserve"> Dr. Michael Best,</w:t>
      </w:r>
      <w:r w:rsidRPr="00F44BF4">
        <w:rPr>
          <w:rFonts w:cs="Times New Roman"/>
        </w:rPr>
        <w:t xml:space="preserve"> and Dr. Tom Mueller. </w:t>
      </w:r>
      <w:r w:rsidR="006A74BB">
        <w:rPr>
          <w:rFonts w:cs="Times New Roman"/>
        </w:rPr>
        <w:t>I would also like to thank Dr. Greg Armel</w:t>
      </w:r>
      <w:r w:rsidR="004D5D7E">
        <w:rPr>
          <w:rFonts w:cs="Times New Roman"/>
        </w:rPr>
        <w:t>,</w:t>
      </w:r>
      <w:r w:rsidR="006A74BB">
        <w:rPr>
          <w:rFonts w:cs="Times New Roman"/>
        </w:rPr>
        <w:t xml:space="preserve"> </w:t>
      </w:r>
      <w:r w:rsidR="004D5D7E">
        <w:rPr>
          <w:rFonts w:cs="Times New Roman"/>
        </w:rPr>
        <w:t>for his</w:t>
      </w:r>
      <w:r w:rsidR="006A74BB">
        <w:rPr>
          <w:rFonts w:cs="Times New Roman"/>
        </w:rPr>
        <w:t xml:space="preserve"> excellent mentor</w:t>
      </w:r>
      <w:r w:rsidR="004D5D7E">
        <w:rPr>
          <w:rFonts w:cs="Times New Roman"/>
        </w:rPr>
        <w:t>ship</w:t>
      </w:r>
      <w:r w:rsidR="00C8173C">
        <w:rPr>
          <w:rFonts w:cs="Times New Roman"/>
        </w:rPr>
        <w:t xml:space="preserve"> and </w:t>
      </w:r>
      <w:r w:rsidR="006A74BB">
        <w:rPr>
          <w:rFonts w:cs="Times New Roman"/>
        </w:rPr>
        <w:t xml:space="preserve">guidance on much of my dissertation project. Lastly, </w:t>
      </w:r>
      <w:r w:rsidRPr="00F44BF4">
        <w:rPr>
          <w:rFonts w:cs="Times New Roman"/>
        </w:rPr>
        <w:t>I</w:t>
      </w:r>
      <w:r w:rsidR="00854A95">
        <w:rPr>
          <w:rFonts w:cs="Times New Roman"/>
        </w:rPr>
        <w:t xml:space="preserve"> attribute</w:t>
      </w:r>
      <w:r w:rsidRPr="00F44BF4">
        <w:rPr>
          <w:rFonts w:cs="Times New Roman"/>
        </w:rPr>
        <w:t xml:space="preserve"> </w:t>
      </w:r>
      <w:r w:rsidR="00854A95">
        <w:rPr>
          <w:rFonts w:cs="Times New Roman"/>
        </w:rPr>
        <w:t>much of my success</w:t>
      </w:r>
      <w:r w:rsidRPr="00F44BF4">
        <w:rPr>
          <w:rFonts w:cs="Times New Roman"/>
        </w:rPr>
        <w:t xml:space="preserve"> to my advisor, Dr. Jim Brosnan</w:t>
      </w:r>
      <w:r w:rsidR="00085A62">
        <w:rPr>
          <w:rFonts w:cs="Times New Roman"/>
        </w:rPr>
        <w:t xml:space="preserve"> for his unwavering mentorship and support</w:t>
      </w:r>
      <w:r w:rsidR="00C8173C">
        <w:rPr>
          <w:rFonts w:cs="Times New Roman"/>
        </w:rPr>
        <w:t xml:space="preserve"> the last five years</w:t>
      </w:r>
      <w:r w:rsidRPr="00F44BF4">
        <w:rPr>
          <w:rFonts w:cs="Times New Roman"/>
        </w:rPr>
        <w:t>.</w:t>
      </w:r>
      <w:r w:rsidR="00C8173C">
        <w:rPr>
          <w:rFonts w:cs="Times New Roman"/>
        </w:rPr>
        <w:t xml:space="preserve"> </w:t>
      </w:r>
      <w:r w:rsidR="00854A95">
        <w:rPr>
          <w:rFonts w:cs="Times New Roman"/>
        </w:rPr>
        <w:t>Thanks for</w:t>
      </w:r>
      <w:r w:rsidR="00C8173C">
        <w:rPr>
          <w:rFonts w:cs="Times New Roman"/>
        </w:rPr>
        <w:t xml:space="preserve"> motivating me to reach my full potential and being my biggest advocate. </w:t>
      </w:r>
    </w:p>
    <w:p w14:paraId="3C922AF3" w14:textId="77777777" w:rsidR="00973F56" w:rsidRPr="00F44BF4" w:rsidRDefault="00973F56" w:rsidP="00973F56">
      <w:pPr>
        <w:rPr>
          <w:rFonts w:cs="Times New Roman"/>
        </w:rPr>
      </w:pPr>
      <w:r w:rsidRPr="00F44BF4">
        <w:rPr>
          <w:rFonts w:cs="Times New Roman"/>
        </w:rPr>
        <w:tab/>
        <w:t>I thank</w:t>
      </w:r>
      <w:r w:rsidR="00145443" w:rsidRPr="00F44BF4">
        <w:rPr>
          <w:rFonts w:cs="Times New Roman"/>
        </w:rPr>
        <w:t xml:space="preserve"> Mr. Javier Vargas and</w:t>
      </w:r>
      <w:r w:rsidRPr="00F44BF4">
        <w:rPr>
          <w:rFonts w:cs="Times New Roman"/>
        </w:rPr>
        <w:t xml:space="preserve"> Mr. Greg Breeden for </w:t>
      </w:r>
      <w:r w:rsidR="00145443" w:rsidRPr="00F44BF4">
        <w:rPr>
          <w:rFonts w:cs="Times New Roman"/>
        </w:rPr>
        <w:t xml:space="preserve">their </w:t>
      </w:r>
      <w:r w:rsidRPr="00F44BF4">
        <w:rPr>
          <w:rFonts w:cs="Times New Roman"/>
        </w:rPr>
        <w:t>assistance and expertise on numerous aspects of my projects</w:t>
      </w:r>
      <w:r w:rsidR="00145443" w:rsidRPr="00F44BF4">
        <w:rPr>
          <w:rFonts w:cs="Times New Roman"/>
        </w:rPr>
        <w:t xml:space="preserve">. </w:t>
      </w:r>
      <w:r w:rsidRPr="00F44BF4">
        <w:rPr>
          <w:rFonts w:cs="Times New Roman"/>
        </w:rPr>
        <w:t>For their countless hours of assistance with my experiments, I thank Daniel Farnsworth, Tyler Campbell, James Greenway, Kelly Arnholt and</w:t>
      </w:r>
      <w:r w:rsidR="00145443" w:rsidRPr="00F44BF4">
        <w:rPr>
          <w:rFonts w:cs="Times New Roman"/>
        </w:rPr>
        <w:t xml:space="preserve"> Veronica Sublett</w:t>
      </w:r>
      <w:r w:rsidRPr="00F44BF4">
        <w:rPr>
          <w:rFonts w:cs="Times New Roman"/>
        </w:rPr>
        <w:t>. I thank the</w:t>
      </w:r>
      <w:r w:rsidR="00145443" w:rsidRPr="00F44BF4">
        <w:rPr>
          <w:rFonts w:cs="Times New Roman"/>
        </w:rPr>
        <w:t xml:space="preserve"> greenhouse manager</w:t>
      </w:r>
      <w:r w:rsidRPr="00F44BF4">
        <w:rPr>
          <w:rFonts w:cs="Times New Roman"/>
        </w:rPr>
        <w:t xml:space="preserve"> </w:t>
      </w:r>
      <w:r w:rsidR="00145443" w:rsidRPr="00F44BF4">
        <w:rPr>
          <w:rFonts w:cs="Times New Roman"/>
        </w:rPr>
        <w:t xml:space="preserve">Lori Osburn for making the </w:t>
      </w:r>
      <w:r w:rsidR="00513836">
        <w:rPr>
          <w:rFonts w:cs="Times New Roman"/>
        </w:rPr>
        <w:t>greenhouses an excellent place for research.</w:t>
      </w:r>
    </w:p>
    <w:p w14:paraId="4E867269" w14:textId="77777777" w:rsidR="00973F56" w:rsidRPr="00F44BF4" w:rsidRDefault="00973F56" w:rsidP="00973F56">
      <w:pPr>
        <w:rPr>
          <w:rFonts w:cs="Times New Roman"/>
        </w:rPr>
      </w:pPr>
      <w:r w:rsidRPr="00F44BF4">
        <w:rPr>
          <w:rFonts w:cs="Times New Roman"/>
        </w:rPr>
        <w:tab/>
        <w:t xml:space="preserve">Thank you my fellow graduate students, </w:t>
      </w:r>
      <w:r w:rsidR="00145443" w:rsidRPr="00F44BF4">
        <w:rPr>
          <w:rFonts w:cs="Times New Roman"/>
        </w:rPr>
        <w:t>David Shell, Adam Thoms, Shane Breeden</w:t>
      </w:r>
      <w:r w:rsidR="00FC1C72">
        <w:rPr>
          <w:rFonts w:cs="Times New Roman"/>
        </w:rPr>
        <w:t xml:space="preserve"> and Cory Yurisic</w:t>
      </w:r>
      <w:r w:rsidRPr="00F44BF4">
        <w:rPr>
          <w:rFonts w:cs="Times New Roman"/>
        </w:rPr>
        <w:t xml:space="preserve"> for their camaraderie, friendship and advice. </w:t>
      </w:r>
      <w:r w:rsidR="00145443" w:rsidRPr="00F44BF4">
        <w:rPr>
          <w:rFonts w:cs="Times New Roman"/>
        </w:rPr>
        <w:t>I’d also like</w:t>
      </w:r>
      <w:r w:rsidR="00F44BF4" w:rsidRPr="00F44BF4">
        <w:rPr>
          <w:rFonts w:cs="Times New Roman"/>
        </w:rPr>
        <w:t xml:space="preserve"> to thank fellow graduate students</w:t>
      </w:r>
      <w:r w:rsidR="00513836">
        <w:rPr>
          <w:rFonts w:cs="Times New Roman"/>
        </w:rPr>
        <w:t xml:space="preserve"> and inhabitants of the Turf House,</w:t>
      </w:r>
      <w:r w:rsidR="00F44BF4" w:rsidRPr="00F44BF4">
        <w:rPr>
          <w:rFonts w:cs="Times New Roman"/>
        </w:rPr>
        <w:t xml:space="preserve"> </w:t>
      </w:r>
      <w:r w:rsidR="00513836" w:rsidRPr="00F44BF4">
        <w:rPr>
          <w:rFonts w:cs="Times New Roman"/>
        </w:rPr>
        <w:t>Jesse Benelli, Eric Reasor, Pat Jones and Matt Hollan.</w:t>
      </w:r>
      <w:r w:rsidR="00513836">
        <w:rPr>
          <w:rFonts w:cs="Times New Roman"/>
        </w:rPr>
        <w:t xml:space="preserve"> Together, we made the Turf House one of Knoxville’s premier residences.</w:t>
      </w:r>
      <w:r w:rsidR="00F44BF4" w:rsidRPr="00F44BF4">
        <w:rPr>
          <w:rFonts w:cs="Times New Roman"/>
        </w:rPr>
        <w:t xml:space="preserve"> </w:t>
      </w:r>
      <w:r w:rsidRPr="00F44BF4">
        <w:rPr>
          <w:rFonts w:cs="Times New Roman"/>
        </w:rPr>
        <w:t xml:space="preserve">You all really made my time in Tennessee </w:t>
      </w:r>
      <w:r w:rsidR="00085A62">
        <w:rPr>
          <w:rFonts w:cs="Times New Roman"/>
        </w:rPr>
        <w:t>fun</w:t>
      </w:r>
      <w:r w:rsidR="00145443" w:rsidRPr="00F44BF4">
        <w:rPr>
          <w:rFonts w:cs="Times New Roman"/>
        </w:rPr>
        <w:t>.</w:t>
      </w:r>
    </w:p>
    <w:p w14:paraId="16E00096" w14:textId="77777777" w:rsidR="00085A62" w:rsidRDefault="00973F56" w:rsidP="00973F56">
      <w:pPr>
        <w:rPr>
          <w:rFonts w:cs="Times New Roman"/>
        </w:rPr>
      </w:pPr>
      <w:r w:rsidRPr="00F44BF4">
        <w:rPr>
          <w:rFonts w:cs="Times New Roman"/>
        </w:rPr>
        <w:tab/>
        <w:t>Thank you Mr. Matt Naedel, Mr. Jeff Borger and Dr. Pete Landschoot for your mentorship and allowing me to realize my passion for research as an undergraduate at Penn State.</w:t>
      </w:r>
      <w:r w:rsidR="00085A62">
        <w:rPr>
          <w:rFonts w:cs="Times New Roman"/>
        </w:rPr>
        <w:t xml:space="preserve"> </w:t>
      </w:r>
      <w:r w:rsidR="00C915A9">
        <w:rPr>
          <w:rFonts w:cs="Times New Roman"/>
        </w:rPr>
        <w:t>I would also like to thank to United States Golf Association for their financial support of this research.</w:t>
      </w:r>
    </w:p>
    <w:p w14:paraId="2A833730" w14:textId="40D5202D" w:rsidR="00904969" w:rsidRPr="00085A62" w:rsidRDefault="007B15FB" w:rsidP="00CE2B34">
      <w:pPr>
        <w:rPr>
          <w:rFonts w:cs="Times New Roman"/>
        </w:rPr>
      </w:pPr>
      <w:r>
        <w:rPr>
          <w:rFonts w:cs="Times New Roman"/>
        </w:rPr>
        <w:tab/>
        <w:t>Lastly, I could not have done this without the</w:t>
      </w:r>
      <w:r w:rsidR="004367FB">
        <w:rPr>
          <w:rFonts w:cs="Times New Roman"/>
        </w:rPr>
        <w:t xml:space="preserve"> love and support of my family, e</w:t>
      </w:r>
      <w:r>
        <w:rPr>
          <w:rFonts w:cs="Times New Roman"/>
        </w:rPr>
        <w:t>specially my Mom, Dad,</w:t>
      </w:r>
      <w:r w:rsidR="00CE2B34">
        <w:rPr>
          <w:rFonts w:cs="Times New Roman"/>
        </w:rPr>
        <w:t xml:space="preserve"> and</w:t>
      </w:r>
      <w:r>
        <w:rPr>
          <w:rFonts w:cs="Times New Roman"/>
        </w:rPr>
        <w:t xml:space="preserve"> brother </w:t>
      </w:r>
      <w:r w:rsidR="00CE2B34">
        <w:rPr>
          <w:rFonts w:cs="Times New Roman"/>
        </w:rPr>
        <w:t>as well as my girlfriend and best</w:t>
      </w:r>
      <w:r>
        <w:rPr>
          <w:rFonts w:cs="Times New Roman"/>
        </w:rPr>
        <w:t xml:space="preserve"> friend, Karen McInnis.</w:t>
      </w:r>
    </w:p>
    <w:p w14:paraId="06E8E4DD" w14:textId="77777777" w:rsidR="009D794C" w:rsidRPr="00FC52A9" w:rsidRDefault="00236E6D" w:rsidP="000A2244">
      <w:pPr>
        <w:pStyle w:val="Title"/>
        <w:rPr>
          <w:rFonts w:cs="Times New Roman"/>
        </w:rPr>
      </w:pPr>
      <w:r w:rsidRPr="000E74B5">
        <w:rPr>
          <w:rFonts w:cs="Times New Roman"/>
        </w:rPr>
        <w:lastRenderedPageBreak/>
        <w:t>ABSTRACT</w:t>
      </w:r>
    </w:p>
    <w:p w14:paraId="2FA09D25" w14:textId="4A8CD932" w:rsidR="00EF1C49" w:rsidRPr="00576A86" w:rsidRDefault="00EF1C49" w:rsidP="00EF1C49">
      <w:pPr>
        <w:ind w:firstLine="720"/>
        <w:rPr>
          <w:rFonts w:cs="Times New Roman"/>
        </w:rPr>
      </w:pPr>
      <w:r w:rsidRPr="00576A86">
        <w:rPr>
          <w:rFonts w:cs="Times New Roman"/>
        </w:rPr>
        <w:t>Creeping bentgrass (CBG) (</w:t>
      </w:r>
      <w:r w:rsidRPr="00576A86">
        <w:rPr>
          <w:rFonts w:cs="Times New Roman"/>
          <w:i/>
        </w:rPr>
        <w:t>Agrostis stolonifera</w:t>
      </w:r>
      <w:r w:rsidRPr="00576A86">
        <w:rPr>
          <w:rFonts w:cs="Times New Roman"/>
        </w:rPr>
        <w:t xml:space="preserve"> L.) is the most widely used cool-season turfgrass species on golf course fairways and tees in the United </w:t>
      </w:r>
      <w:r>
        <w:rPr>
          <w:rFonts w:cs="Times New Roman"/>
        </w:rPr>
        <w:t>States</w:t>
      </w:r>
      <w:r w:rsidR="00BD1B3D">
        <w:rPr>
          <w:rFonts w:cs="Times New Roman"/>
        </w:rPr>
        <w:t>,</w:t>
      </w:r>
      <w:r w:rsidR="00015438">
        <w:rPr>
          <w:rFonts w:cs="Times New Roman"/>
        </w:rPr>
        <w:t xml:space="preserve"> but it</w:t>
      </w:r>
      <w:r w:rsidRPr="00576A86">
        <w:rPr>
          <w:rFonts w:cs="Times New Roman"/>
        </w:rPr>
        <w:t xml:space="preserve"> is tolerant of few post</w:t>
      </w:r>
      <w:r w:rsidR="002F7D0E">
        <w:rPr>
          <w:rFonts w:cs="Times New Roman"/>
        </w:rPr>
        <w:t>-</w:t>
      </w:r>
      <w:r w:rsidRPr="00576A86">
        <w:rPr>
          <w:rFonts w:cs="Times New Roman"/>
        </w:rPr>
        <w:t xml:space="preserve">emergence herbicides. </w:t>
      </w:r>
      <w:r w:rsidR="00BD1B3D">
        <w:rPr>
          <w:rFonts w:cs="Times New Roman"/>
        </w:rPr>
        <w:t>Commercial h</w:t>
      </w:r>
      <w:r w:rsidRPr="00576A86">
        <w:rPr>
          <w:rFonts w:cs="Times New Roman"/>
        </w:rPr>
        <w:t xml:space="preserve">erbicide development is </w:t>
      </w:r>
      <w:r>
        <w:rPr>
          <w:rFonts w:cs="Times New Roman"/>
        </w:rPr>
        <w:t xml:space="preserve">currently </w:t>
      </w:r>
      <w:r w:rsidRPr="00576A86">
        <w:rPr>
          <w:rFonts w:cs="Times New Roman"/>
          <w:color w:val="000000"/>
        </w:rPr>
        <w:t>focused on providing superintendents with herbicides that pose minimal environmental impact and can be used effectively at lower application rates than older alternatives</w:t>
      </w:r>
      <w:r>
        <w:rPr>
          <w:rFonts w:cs="Times New Roman"/>
          <w:color w:val="000000"/>
        </w:rPr>
        <w:t xml:space="preserve">. </w:t>
      </w:r>
      <w:r w:rsidRPr="00576A86">
        <w:rPr>
          <w:rFonts w:cs="Times New Roman"/>
          <w:color w:val="000000"/>
        </w:rPr>
        <w:t>However, few of these products are safe for use on CBG.</w:t>
      </w:r>
      <w:r w:rsidR="00C5272C">
        <w:rPr>
          <w:rFonts w:cs="Times New Roman"/>
          <w:color w:val="000000"/>
        </w:rPr>
        <w:t xml:space="preserve"> Several projects were conducted to evaluate alternative strategies to increase CBG herbicide tolerance.</w:t>
      </w:r>
    </w:p>
    <w:p w14:paraId="3FB96A62" w14:textId="77777777" w:rsidR="007C0D45" w:rsidRDefault="00BF266E" w:rsidP="00EF1C49">
      <w:pPr>
        <w:pStyle w:val="Title"/>
        <w:ind w:firstLine="720"/>
        <w:jc w:val="left"/>
        <w:rPr>
          <w:rFonts w:cs="Times New Roman"/>
          <w:b w:val="0"/>
          <w:sz w:val="24"/>
        </w:rPr>
      </w:pPr>
      <w:r>
        <w:rPr>
          <w:rFonts w:cs="Times New Roman"/>
          <w:b w:val="0"/>
          <w:sz w:val="24"/>
        </w:rPr>
        <w:t xml:space="preserve">Plants </w:t>
      </w:r>
      <w:r w:rsidR="00EF1C49" w:rsidRPr="00EF1C49">
        <w:rPr>
          <w:rFonts w:cs="Times New Roman"/>
          <w:b w:val="0"/>
          <w:sz w:val="24"/>
        </w:rPr>
        <w:t xml:space="preserve">naturally contain enzymatic systems </w:t>
      </w:r>
      <w:r w:rsidR="00015438">
        <w:rPr>
          <w:rFonts w:cs="Times New Roman"/>
          <w:b w:val="0"/>
          <w:sz w:val="24"/>
        </w:rPr>
        <w:t>that</w:t>
      </w:r>
      <w:r w:rsidR="00EF1C49" w:rsidRPr="00EF1C49">
        <w:rPr>
          <w:rFonts w:cs="Times New Roman"/>
          <w:b w:val="0"/>
          <w:sz w:val="24"/>
        </w:rPr>
        <w:t xml:space="preserve"> </w:t>
      </w:r>
      <w:r w:rsidR="00C5272C">
        <w:rPr>
          <w:rFonts w:cs="Times New Roman"/>
          <w:b w:val="0"/>
          <w:sz w:val="24"/>
        </w:rPr>
        <w:t>metabolize</w:t>
      </w:r>
      <w:r w:rsidR="00EF1C49">
        <w:rPr>
          <w:rFonts w:cs="Times New Roman"/>
          <w:b w:val="0"/>
          <w:sz w:val="24"/>
        </w:rPr>
        <w:t xml:space="preserve"> xenobiotics.</w:t>
      </w:r>
      <w:r>
        <w:rPr>
          <w:rFonts w:cs="Times New Roman"/>
          <w:b w:val="0"/>
          <w:sz w:val="24"/>
        </w:rPr>
        <w:t xml:space="preserve"> The </w:t>
      </w:r>
      <w:r w:rsidR="000841DC">
        <w:rPr>
          <w:rFonts w:cs="Times New Roman"/>
          <w:b w:val="0"/>
          <w:sz w:val="24"/>
        </w:rPr>
        <w:t xml:space="preserve">interspecies variability in these enzymes </w:t>
      </w:r>
      <w:r w:rsidR="00015438">
        <w:rPr>
          <w:rFonts w:cs="Times New Roman"/>
          <w:b w:val="0"/>
          <w:sz w:val="24"/>
        </w:rPr>
        <w:t>is</w:t>
      </w:r>
      <w:r w:rsidR="00EF1C49" w:rsidRPr="00EF1C49">
        <w:rPr>
          <w:rFonts w:cs="Times New Roman"/>
          <w:b w:val="0"/>
          <w:sz w:val="24"/>
        </w:rPr>
        <w:t xml:space="preserve"> exploited by selective herbicides that are </w:t>
      </w:r>
      <w:r w:rsidR="00C5272C">
        <w:rPr>
          <w:rFonts w:cs="Times New Roman"/>
          <w:b w:val="0"/>
          <w:sz w:val="24"/>
        </w:rPr>
        <w:t>rapidly</w:t>
      </w:r>
      <w:r w:rsidR="00EF1C49" w:rsidRPr="00EF1C49">
        <w:rPr>
          <w:rFonts w:cs="Times New Roman"/>
          <w:b w:val="0"/>
          <w:sz w:val="24"/>
        </w:rPr>
        <w:t xml:space="preserve"> </w:t>
      </w:r>
      <w:r w:rsidR="00DE0F4A">
        <w:rPr>
          <w:rFonts w:cs="Times New Roman"/>
          <w:b w:val="0"/>
          <w:sz w:val="24"/>
        </w:rPr>
        <w:t>metabolized</w:t>
      </w:r>
      <w:r w:rsidR="00EF1C49" w:rsidRPr="00EF1C49">
        <w:rPr>
          <w:rFonts w:cs="Times New Roman"/>
          <w:b w:val="0"/>
          <w:sz w:val="24"/>
        </w:rPr>
        <w:t xml:space="preserve"> by desirable </w:t>
      </w:r>
      <w:r w:rsidR="00015438">
        <w:rPr>
          <w:rFonts w:cs="Times New Roman"/>
          <w:b w:val="0"/>
          <w:sz w:val="24"/>
        </w:rPr>
        <w:t>plants</w:t>
      </w:r>
      <w:r w:rsidR="00EF1C49" w:rsidRPr="00EF1C49">
        <w:rPr>
          <w:rFonts w:cs="Times New Roman"/>
          <w:b w:val="0"/>
          <w:sz w:val="24"/>
        </w:rPr>
        <w:t xml:space="preserve"> but not target weeds.</w:t>
      </w:r>
      <w:r w:rsidR="00DE0F4A">
        <w:rPr>
          <w:rFonts w:cs="Times New Roman"/>
          <w:b w:val="0"/>
          <w:sz w:val="24"/>
        </w:rPr>
        <w:t xml:space="preserve"> Herbicide safeners can </w:t>
      </w:r>
      <w:r w:rsidR="003F4620">
        <w:rPr>
          <w:rFonts w:cs="Times New Roman"/>
          <w:b w:val="0"/>
          <w:sz w:val="24"/>
        </w:rPr>
        <w:t xml:space="preserve">further exploit these </w:t>
      </w:r>
      <w:r w:rsidR="000841DC">
        <w:rPr>
          <w:rFonts w:cs="Times New Roman"/>
          <w:b w:val="0"/>
          <w:sz w:val="24"/>
        </w:rPr>
        <w:t>differences and</w:t>
      </w:r>
      <w:r w:rsidR="003F4620">
        <w:rPr>
          <w:rFonts w:cs="Times New Roman"/>
          <w:b w:val="0"/>
          <w:sz w:val="24"/>
        </w:rPr>
        <w:t xml:space="preserve"> increase herbicidal selectivity in corn and wheat</w:t>
      </w:r>
      <w:r w:rsidR="00BD1B3D">
        <w:rPr>
          <w:rFonts w:cs="Times New Roman"/>
          <w:b w:val="0"/>
          <w:sz w:val="24"/>
        </w:rPr>
        <w:t>,</w:t>
      </w:r>
      <w:r w:rsidR="007C0D45">
        <w:rPr>
          <w:rFonts w:cs="Times New Roman"/>
          <w:b w:val="0"/>
          <w:sz w:val="24"/>
        </w:rPr>
        <w:t xml:space="preserve"> but they</w:t>
      </w:r>
      <w:r w:rsidR="003F4620">
        <w:rPr>
          <w:rFonts w:cs="Times New Roman"/>
          <w:b w:val="0"/>
          <w:sz w:val="24"/>
        </w:rPr>
        <w:t xml:space="preserve"> have not been investigated in turfgrass. </w:t>
      </w:r>
    </w:p>
    <w:p w14:paraId="4733188E" w14:textId="28FCEE9D" w:rsidR="00AB4882" w:rsidRDefault="007C0D45" w:rsidP="007C0D45">
      <w:pPr>
        <w:pStyle w:val="Title"/>
        <w:ind w:firstLine="720"/>
        <w:jc w:val="left"/>
        <w:rPr>
          <w:rFonts w:cs="Times New Roman"/>
          <w:b w:val="0"/>
          <w:sz w:val="24"/>
        </w:rPr>
      </w:pPr>
      <w:r>
        <w:rPr>
          <w:rFonts w:cs="Times New Roman"/>
          <w:b w:val="0"/>
          <w:sz w:val="24"/>
        </w:rPr>
        <w:t>I</w:t>
      </w:r>
      <w:r w:rsidRPr="007C0D45">
        <w:rPr>
          <w:rFonts w:cs="Times New Roman"/>
          <w:b w:val="0"/>
          <w:sz w:val="24"/>
        </w:rPr>
        <w:t xml:space="preserve">n one project, </w:t>
      </w:r>
      <w:r>
        <w:rPr>
          <w:rFonts w:cs="Times New Roman"/>
          <w:b w:val="0"/>
          <w:sz w:val="24"/>
        </w:rPr>
        <w:t>g</w:t>
      </w:r>
      <w:r w:rsidRPr="007C0D45">
        <w:rPr>
          <w:rFonts w:cs="Times New Roman"/>
          <w:b w:val="0"/>
          <w:sz w:val="24"/>
        </w:rPr>
        <w:t>lasshouse research investigate</w:t>
      </w:r>
      <w:r w:rsidR="002A71E5">
        <w:rPr>
          <w:rFonts w:cs="Times New Roman"/>
          <w:b w:val="0"/>
          <w:sz w:val="24"/>
        </w:rPr>
        <w:t>d</w:t>
      </w:r>
      <w:r w:rsidRPr="007C0D45">
        <w:rPr>
          <w:rFonts w:cs="Times New Roman"/>
          <w:b w:val="0"/>
          <w:sz w:val="24"/>
        </w:rPr>
        <w:t xml:space="preserve"> the efficacy of herbicide safeners </w:t>
      </w:r>
      <w:r w:rsidR="002A71E5">
        <w:rPr>
          <w:rFonts w:cs="Times New Roman"/>
          <w:b w:val="0"/>
          <w:sz w:val="24"/>
        </w:rPr>
        <w:t>for</w:t>
      </w:r>
      <w:r w:rsidRPr="007C0D45">
        <w:rPr>
          <w:rFonts w:cs="Times New Roman"/>
          <w:b w:val="0"/>
          <w:sz w:val="24"/>
        </w:rPr>
        <w:t xml:space="preserve"> improving</w:t>
      </w:r>
      <w:r>
        <w:rPr>
          <w:rFonts w:cs="Times New Roman"/>
          <w:b w:val="0"/>
          <w:sz w:val="24"/>
        </w:rPr>
        <w:t xml:space="preserve"> </w:t>
      </w:r>
      <w:r w:rsidRPr="007C0D45">
        <w:rPr>
          <w:rFonts w:cs="Times New Roman"/>
          <w:b w:val="0"/>
          <w:sz w:val="24"/>
        </w:rPr>
        <w:t>CBG</w:t>
      </w:r>
      <w:r>
        <w:rPr>
          <w:rFonts w:cs="Times New Roman"/>
          <w:b w:val="0"/>
          <w:sz w:val="24"/>
        </w:rPr>
        <w:t xml:space="preserve"> </w:t>
      </w:r>
      <w:r w:rsidR="00EB2861">
        <w:rPr>
          <w:rFonts w:cs="Times New Roman"/>
          <w:b w:val="0"/>
          <w:sz w:val="24"/>
        </w:rPr>
        <w:t>tolerance to</w:t>
      </w:r>
      <w:r w:rsidR="00EB2861" w:rsidRPr="007C0D45">
        <w:rPr>
          <w:rFonts w:cs="Times New Roman"/>
          <w:b w:val="0"/>
          <w:sz w:val="24"/>
        </w:rPr>
        <w:t xml:space="preserve"> </w:t>
      </w:r>
      <w:r w:rsidRPr="007C0D45">
        <w:rPr>
          <w:rFonts w:cs="Times New Roman"/>
          <w:b w:val="0"/>
          <w:sz w:val="24"/>
        </w:rPr>
        <w:t>amicarbazone, bispyribac-sodium</w:t>
      </w:r>
      <w:r w:rsidR="00081EC5">
        <w:rPr>
          <w:rFonts w:cs="Times New Roman"/>
          <w:b w:val="0"/>
          <w:sz w:val="24"/>
        </w:rPr>
        <w:t>,</w:t>
      </w:r>
      <w:r w:rsidRPr="007C0D45">
        <w:rPr>
          <w:rFonts w:cs="Times New Roman"/>
          <w:b w:val="0"/>
          <w:sz w:val="24"/>
        </w:rPr>
        <w:t xml:space="preserve"> </w:t>
      </w:r>
      <w:r w:rsidR="00015438">
        <w:rPr>
          <w:rFonts w:cs="Times New Roman"/>
          <w:b w:val="0"/>
          <w:sz w:val="24"/>
        </w:rPr>
        <w:t>fenoxaprop-p-ethyl, imazapic</w:t>
      </w:r>
      <w:r w:rsidRPr="007C0D45">
        <w:rPr>
          <w:rFonts w:cs="Times New Roman"/>
          <w:b w:val="0"/>
          <w:sz w:val="24"/>
        </w:rPr>
        <w:t>, quinclorac or topramezone</w:t>
      </w:r>
      <w:r>
        <w:rPr>
          <w:rFonts w:cs="Times New Roman"/>
          <w:b w:val="0"/>
          <w:sz w:val="24"/>
        </w:rPr>
        <w:t>. The herbicide safener cloquintocet-mexyl</w:t>
      </w:r>
      <w:r w:rsidRPr="007C0D45">
        <w:rPr>
          <w:rFonts w:cs="Times New Roman"/>
          <w:b w:val="0"/>
          <w:sz w:val="24"/>
        </w:rPr>
        <w:t xml:space="preserve"> reduced </w:t>
      </w:r>
      <w:r>
        <w:rPr>
          <w:rFonts w:cs="Times New Roman"/>
          <w:b w:val="0"/>
          <w:sz w:val="24"/>
        </w:rPr>
        <w:t>CBG injury from topramezone</w:t>
      </w:r>
      <w:r w:rsidR="002A71E5">
        <w:rPr>
          <w:rFonts w:cs="Times New Roman"/>
          <w:b w:val="0"/>
          <w:sz w:val="24"/>
        </w:rPr>
        <w:t xml:space="preserve"> and</w:t>
      </w:r>
      <w:r w:rsidRPr="007C0D45">
        <w:rPr>
          <w:rFonts w:cs="Times New Roman"/>
          <w:b w:val="0"/>
          <w:sz w:val="24"/>
        </w:rPr>
        <w:t xml:space="preserve"> </w:t>
      </w:r>
      <w:r>
        <w:rPr>
          <w:rFonts w:cs="Times New Roman"/>
          <w:b w:val="0"/>
          <w:sz w:val="24"/>
        </w:rPr>
        <w:t>did not affect topramezone efficacy against</w:t>
      </w:r>
      <w:r w:rsidRPr="007C0D45">
        <w:rPr>
          <w:rFonts w:cs="Times New Roman"/>
          <w:b w:val="0"/>
          <w:sz w:val="24"/>
        </w:rPr>
        <w:t xml:space="preserve"> large crabgrass or goosegrass. </w:t>
      </w:r>
    </w:p>
    <w:p w14:paraId="0E41C918" w14:textId="51CF2C45" w:rsidR="00FF0E2D" w:rsidRPr="008F4ACD" w:rsidRDefault="006D5A56" w:rsidP="00D32B9B">
      <w:pPr>
        <w:pStyle w:val="Title"/>
        <w:ind w:firstLine="720"/>
        <w:jc w:val="left"/>
        <w:rPr>
          <w:b w:val="0"/>
          <w:sz w:val="24"/>
        </w:rPr>
      </w:pPr>
      <w:r>
        <w:rPr>
          <w:rFonts w:cs="Times New Roman"/>
          <w:b w:val="0"/>
          <w:sz w:val="24"/>
        </w:rPr>
        <w:t xml:space="preserve">Cytochrome P450 </w:t>
      </w:r>
      <w:r w:rsidR="00904173">
        <w:rPr>
          <w:rFonts w:cs="Times New Roman"/>
          <w:b w:val="0"/>
          <w:sz w:val="24"/>
        </w:rPr>
        <w:t>monooxygenase</w:t>
      </w:r>
      <w:r>
        <w:rPr>
          <w:rFonts w:cs="Times New Roman"/>
          <w:b w:val="0"/>
          <w:sz w:val="24"/>
        </w:rPr>
        <w:t>s (P450’s) are an enzyme superfamily often responsible for metabolizing xenobiotics. An experiment evaluated CBG in hydroponi</w:t>
      </w:r>
      <w:r w:rsidR="002A71E5">
        <w:rPr>
          <w:rFonts w:cs="Times New Roman"/>
          <w:b w:val="0"/>
          <w:sz w:val="24"/>
        </w:rPr>
        <w:t xml:space="preserve">c culture to determine if </w:t>
      </w:r>
      <w:r>
        <w:rPr>
          <w:rFonts w:cs="Times New Roman"/>
          <w:b w:val="0"/>
          <w:sz w:val="24"/>
        </w:rPr>
        <w:t xml:space="preserve">P450’s influence CBG tolerance to topramezone. </w:t>
      </w:r>
      <w:r w:rsidR="00A91169">
        <w:rPr>
          <w:rFonts w:cs="Times New Roman"/>
          <w:b w:val="0"/>
          <w:sz w:val="24"/>
        </w:rPr>
        <w:t xml:space="preserve">Known </w:t>
      </w:r>
      <w:r>
        <w:rPr>
          <w:rFonts w:cs="Times New Roman"/>
          <w:b w:val="0"/>
          <w:sz w:val="24"/>
        </w:rPr>
        <w:t xml:space="preserve">P450 </w:t>
      </w:r>
      <w:r w:rsidRPr="008F4ACD">
        <w:rPr>
          <w:rFonts w:cs="Times New Roman"/>
          <w:b w:val="0"/>
          <w:sz w:val="24"/>
        </w:rPr>
        <w:t>inhibitors increased CBG injury caused by topramezone, suggesting creeping bentgrass tolerance to topramezone is influenced by cytochrome P450-catalyzed metabolism.</w:t>
      </w:r>
      <w:r w:rsidRPr="008F4ACD">
        <w:rPr>
          <w:b w:val="0"/>
          <w:sz w:val="24"/>
        </w:rPr>
        <w:t xml:space="preserve"> </w:t>
      </w:r>
    </w:p>
    <w:p w14:paraId="0CCC5877" w14:textId="77777777" w:rsidR="000F239D" w:rsidRDefault="008F4ACD" w:rsidP="008F4ACD">
      <w:pPr>
        <w:pStyle w:val="Title"/>
        <w:ind w:firstLine="720"/>
        <w:jc w:val="left"/>
        <w:rPr>
          <w:rFonts w:cs="Times New Roman"/>
          <w:b w:val="0"/>
          <w:sz w:val="24"/>
        </w:rPr>
      </w:pPr>
      <w:r w:rsidRPr="008F4ACD">
        <w:rPr>
          <w:rFonts w:cs="Times New Roman"/>
          <w:b w:val="0"/>
          <w:sz w:val="24"/>
        </w:rPr>
        <w:t>Another project investi</w:t>
      </w:r>
      <w:r>
        <w:rPr>
          <w:rFonts w:cs="Times New Roman"/>
          <w:b w:val="0"/>
          <w:sz w:val="24"/>
        </w:rPr>
        <w:t>gated safeners in combination with the</w:t>
      </w:r>
      <w:r w:rsidRPr="008F4ACD">
        <w:rPr>
          <w:rFonts w:cs="Times New Roman"/>
          <w:b w:val="0"/>
          <w:sz w:val="24"/>
        </w:rPr>
        <w:t xml:space="preserve"> herbicide pinoxaden</w:t>
      </w:r>
      <w:r w:rsidR="00A91169">
        <w:rPr>
          <w:rFonts w:cs="Times New Roman"/>
          <w:b w:val="0"/>
          <w:sz w:val="24"/>
        </w:rPr>
        <w:t xml:space="preserve">. </w:t>
      </w:r>
      <w:r w:rsidRPr="008F4ACD">
        <w:rPr>
          <w:rFonts w:cs="Times New Roman"/>
          <w:b w:val="0"/>
          <w:sz w:val="24"/>
        </w:rPr>
        <w:t>G</w:t>
      </w:r>
      <w:r w:rsidR="00A91169">
        <w:rPr>
          <w:rFonts w:cs="Times New Roman"/>
          <w:b w:val="0"/>
          <w:sz w:val="24"/>
        </w:rPr>
        <w:t>lasshouse</w:t>
      </w:r>
      <w:r w:rsidRPr="008F4ACD">
        <w:rPr>
          <w:rFonts w:cs="Times New Roman"/>
          <w:b w:val="0"/>
          <w:sz w:val="24"/>
        </w:rPr>
        <w:t xml:space="preserve"> experiments determined that</w:t>
      </w:r>
      <w:r w:rsidR="00A91169">
        <w:rPr>
          <w:rFonts w:cs="Times New Roman"/>
          <w:b w:val="0"/>
          <w:sz w:val="24"/>
        </w:rPr>
        <w:t xml:space="preserve"> the safeners</w:t>
      </w:r>
      <w:r w:rsidRPr="008F4ACD">
        <w:rPr>
          <w:rFonts w:cs="Times New Roman"/>
          <w:b w:val="0"/>
          <w:sz w:val="24"/>
        </w:rPr>
        <w:t xml:space="preserve"> cloquintocet-mexyl, fenchlorazole-ethyl, </w:t>
      </w:r>
      <w:r w:rsidRPr="008F4ACD">
        <w:rPr>
          <w:rFonts w:cs="Times New Roman"/>
          <w:b w:val="0"/>
          <w:sz w:val="24"/>
        </w:rPr>
        <w:lastRenderedPageBreak/>
        <w:t xml:space="preserve">and mefenpyr-diethyl </w:t>
      </w:r>
      <w:r w:rsidR="00A91169">
        <w:rPr>
          <w:rFonts w:cs="Times New Roman"/>
          <w:b w:val="0"/>
          <w:sz w:val="24"/>
        </w:rPr>
        <w:t>reduced</w:t>
      </w:r>
      <w:r w:rsidRPr="008F4ACD">
        <w:rPr>
          <w:rFonts w:cs="Times New Roman"/>
          <w:b w:val="0"/>
          <w:sz w:val="24"/>
        </w:rPr>
        <w:t xml:space="preserve"> </w:t>
      </w:r>
      <w:r w:rsidR="00A91169">
        <w:rPr>
          <w:rFonts w:cs="Times New Roman"/>
          <w:b w:val="0"/>
          <w:sz w:val="24"/>
        </w:rPr>
        <w:t>CBG injury in a rate-dependent manner</w:t>
      </w:r>
      <w:r w:rsidRPr="008F4ACD">
        <w:rPr>
          <w:rFonts w:cs="Times New Roman"/>
          <w:b w:val="0"/>
          <w:sz w:val="24"/>
        </w:rPr>
        <w:t xml:space="preserve">. </w:t>
      </w:r>
      <w:r w:rsidR="003557E2" w:rsidRPr="008F4ACD">
        <w:rPr>
          <w:rFonts w:cs="Times New Roman"/>
          <w:b w:val="0"/>
          <w:sz w:val="24"/>
        </w:rPr>
        <w:t>The safeners did not affect perennial ryegrass control</w:t>
      </w:r>
      <w:r w:rsidR="003557E2">
        <w:rPr>
          <w:rFonts w:cs="Times New Roman"/>
          <w:b w:val="0"/>
          <w:sz w:val="24"/>
        </w:rPr>
        <w:t>, but</w:t>
      </w:r>
      <w:r w:rsidRPr="008F4ACD">
        <w:rPr>
          <w:rFonts w:cs="Times New Roman"/>
          <w:b w:val="0"/>
          <w:sz w:val="24"/>
        </w:rPr>
        <w:t xml:space="preserve"> reduc</w:t>
      </w:r>
      <w:r w:rsidR="003557E2">
        <w:rPr>
          <w:rFonts w:cs="Times New Roman"/>
          <w:b w:val="0"/>
          <w:sz w:val="24"/>
        </w:rPr>
        <w:t>ed roughstalk bluegrass control. However</w:t>
      </w:r>
      <w:r w:rsidR="00BD1B3D">
        <w:rPr>
          <w:rFonts w:cs="Times New Roman"/>
          <w:b w:val="0"/>
          <w:sz w:val="24"/>
        </w:rPr>
        <w:t xml:space="preserve">, these reductions </w:t>
      </w:r>
      <w:r w:rsidRPr="008F4ACD">
        <w:rPr>
          <w:rFonts w:cs="Times New Roman"/>
          <w:b w:val="0"/>
          <w:sz w:val="24"/>
        </w:rPr>
        <w:t xml:space="preserve">were offset by </w:t>
      </w:r>
      <w:r w:rsidR="00EB2861">
        <w:rPr>
          <w:rFonts w:cs="Times New Roman"/>
          <w:b w:val="0"/>
          <w:sz w:val="24"/>
        </w:rPr>
        <w:t>CBG</w:t>
      </w:r>
      <w:r w:rsidR="003557E2">
        <w:rPr>
          <w:rFonts w:cs="Times New Roman"/>
          <w:b w:val="0"/>
          <w:sz w:val="24"/>
        </w:rPr>
        <w:t xml:space="preserve"> injury reductions.</w:t>
      </w:r>
    </w:p>
    <w:p w14:paraId="166A904B" w14:textId="18752B0F" w:rsidR="000A2244" w:rsidRDefault="000F239D" w:rsidP="000F239D">
      <w:pPr>
        <w:ind w:firstLine="720"/>
        <w:rPr>
          <w:rFonts w:cs="Times New Roman"/>
        </w:rPr>
      </w:pPr>
      <w:r w:rsidRPr="000F239D">
        <w:rPr>
          <w:rFonts w:cs="Times New Roman"/>
        </w:rPr>
        <w:t xml:space="preserve">Another project </w:t>
      </w:r>
      <w:r>
        <w:rPr>
          <w:rFonts w:cs="Times New Roman"/>
        </w:rPr>
        <w:t>investigated</w:t>
      </w:r>
      <w:r w:rsidR="00D02491">
        <w:rPr>
          <w:rFonts w:cs="Times New Roman"/>
        </w:rPr>
        <w:t xml:space="preserve"> </w:t>
      </w:r>
      <w:r w:rsidR="000841DC">
        <w:rPr>
          <w:rFonts w:cs="Times New Roman"/>
        </w:rPr>
        <w:t xml:space="preserve">novel </w:t>
      </w:r>
      <w:r w:rsidR="00D02491">
        <w:rPr>
          <w:rFonts w:cs="Times New Roman"/>
        </w:rPr>
        <w:t>t</w:t>
      </w:r>
      <w:r>
        <w:rPr>
          <w:rFonts w:cs="Times New Roman"/>
        </w:rPr>
        <w:t xml:space="preserve">riketone </w:t>
      </w:r>
      <w:r w:rsidRPr="00133C08">
        <w:rPr>
          <w:rFonts w:cs="Times New Roman"/>
          <w:i/>
        </w:rPr>
        <w:t>p</w:t>
      </w:r>
      <w:r>
        <w:rPr>
          <w:rFonts w:cs="Times New Roman"/>
        </w:rPr>
        <w:t>-HPPD inhibitors for their</w:t>
      </w:r>
      <w:r w:rsidR="00BD1B3D">
        <w:rPr>
          <w:rFonts w:cs="Times New Roman"/>
        </w:rPr>
        <w:t xml:space="preserve"> safety to CBG and</w:t>
      </w:r>
      <w:r>
        <w:rPr>
          <w:rFonts w:cs="Times New Roman"/>
        </w:rPr>
        <w:t xml:space="preserve"> herbicidal efficacy</w:t>
      </w:r>
      <w:r w:rsidR="00D02491">
        <w:rPr>
          <w:rFonts w:cs="Times New Roman"/>
        </w:rPr>
        <w:t xml:space="preserve"> against goosegrass and crabgrass</w:t>
      </w:r>
      <w:r>
        <w:rPr>
          <w:rFonts w:cs="Times New Roman"/>
        </w:rPr>
        <w:t>. Previous research suggests that 2-benzoyl-1</w:t>
      </w:r>
      <w:proofErr w:type="gramStart"/>
      <w:r>
        <w:rPr>
          <w:rFonts w:cs="Times New Roman"/>
        </w:rPr>
        <w:t>,3</w:t>
      </w:r>
      <w:proofErr w:type="gramEnd"/>
      <w:r>
        <w:rPr>
          <w:rFonts w:cs="Times New Roman"/>
        </w:rPr>
        <w:t>-cyclohexanedione compounds with alkyl substitutions on the cyclohexane moiety have more efficacy against grassy weeds. We synthesized 2-(2,4-</w:t>
      </w:r>
      <w:proofErr w:type="gramStart"/>
      <w:r>
        <w:rPr>
          <w:rFonts w:cs="Times New Roman"/>
        </w:rPr>
        <w:t>dichlorobenzoyl)cyclohexane</w:t>
      </w:r>
      <w:proofErr w:type="gramEnd"/>
      <w:r>
        <w:rPr>
          <w:rFonts w:cs="Times New Roman"/>
        </w:rPr>
        <w:t>-1,3-dione compounds with various alkyl substituents on the cyclohexan</w:t>
      </w:r>
      <w:r w:rsidR="002F7D0E">
        <w:rPr>
          <w:rFonts w:cs="Times New Roman"/>
        </w:rPr>
        <w:t>e</w:t>
      </w:r>
      <w:r>
        <w:rPr>
          <w:rFonts w:cs="Times New Roman"/>
        </w:rPr>
        <w:t>dione moiety</w:t>
      </w:r>
      <w:r w:rsidR="00E650C3">
        <w:rPr>
          <w:rFonts w:cs="Times New Roman"/>
        </w:rPr>
        <w:t xml:space="preserve"> and evaluated their efficacy against turfgrass weeds</w:t>
      </w:r>
      <w:r w:rsidR="00D02491">
        <w:rPr>
          <w:rFonts w:cs="Times New Roman"/>
        </w:rPr>
        <w:t>.</w:t>
      </w:r>
      <w:r>
        <w:rPr>
          <w:rFonts w:cs="Times New Roman"/>
        </w:rPr>
        <w:t xml:space="preserve"> The 5,5-dimethyl-substituted compound had efficacy against </w:t>
      </w:r>
      <w:r w:rsidR="00D02491">
        <w:rPr>
          <w:rFonts w:cs="Times New Roman"/>
        </w:rPr>
        <w:t>goosegrass</w:t>
      </w:r>
      <w:r>
        <w:rPr>
          <w:rFonts w:cs="Times New Roman"/>
          <w:i/>
        </w:rPr>
        <w:t xml:space="preserve"> </w:t>
      </w:r>
      <w:r>
        <w:rPr>
          <w:rFonts w:cs="Times New Roman"/>
        </w:rPr>
        <w:t xml:space="preserve">and did not cause injury to </w:t>
      </w:r>
      <w:r w:rsidR="00D02491">
        <w:rPr>
          <w:rFonts w:cs="Times New Roman"/>
        </w:rPr>
        <w:t>CBG.</w:t>
      </w:r>
    </w:p>
    <w:p w14:paraId="112E5687" w14:textId="77777777" w:rsidR="002F6A45" w:rsidRPr="00926B77" w:rsidRDefault="002F6A45" w:rsidP="00926B77">
      <w:pPr>
        <w:spacing w:line="240" w:lineRule="auto"/>
        <w:rPr>
          <w:rFonts w:cs="Times New Roman"/>
        </w:rPr>
      </w:pPr>
      <w:r>
        <w:br w:type="page"/>
      </w:r>
    </w:p>
    <w:bookmarkStart w:id="0" w:name="TOC" w:displacedByCustomXml="next"/>
    <w:bookmarkStart w:id="1" w:name="Figures" w:displacedByCustomXml="next"/>
    <w:bookmarkStart w:id="2" w:name="Tables" w:displacedByCustomXml="next"/>
    <w:bookmarkStart w:id="3" w:name="_Toc289175825" w:displacedByCustomXml="next"/>
    <w:sdt>
      <w:sdtPr>
        <w:rPr>
          <w:rFonts w:ascii="Times New Roman" w:eastAsia="Times New Roman" w:hAnsi="Times New Roman" w:cs="Arial"/>
          <w:b w:val="0"/>
          <w:bCs w:val="0"/>
          <w:color w:val="auto"/>
          <w:sz w:val="24"/>
          <w:szCs w:val="24"/>
          <w:lang w:eastAsia="en-US"/>
        </w:rPr>
        <w:id w:val="-1881774708"/>
        <w:docPartObj>
          <w:docPartGallery w:val="Table of Contents"/>
          <w:docPartUnique/>
        </w:docPartObj>
      </w:sdtPr>
      <w:sdtEndPr>
        <w:rPr>
          <w:noProof/>
        </w:rPr>
      </w:sdtEndPr>
      <w:sdtContent>
        <w:p w14:paraId="39BA453F" w14:textId="77777777" w:rsidR="00B37974" w:rsidRPr="00B37974" w:rsidRDefault="00B37974" w:rsidP="00B37974">
          <w:pPr>
            <w:pStyle w:val="TOCHeading"/>
            <w:jc w:val="center"/>
            <w:rPr>
              <w:rFonts w:ascii="Times New Roman" w:hAnsi="Times New Roman"/>
              <w:color w:val="000000" w:themeColor="text1"/>
            </w:rPr>
          </w:pPr>
          <w:r w:rsidRPr="00B37974">
            <w:rPr>
              <w:rFonts w:ascii="Times New Roman" w:hAnsi="Times New Roman"/>
              <w:color w:val="000000" w:themeColor="text1"/>
            </w:rPr>
            <w:t>TABLE OF CONTENTS</w:t>
          </w:r>
        </w:p>
        <w:p w14:paraId="39FF5150" w14:textId="77777777" w:rsidR="004B5024" w:rsidRPr="00486C6C" w:rsidRDefault="00B5155E">
          <w:pPr>
            <w:pStyle w:val="TOC1"/>
            <w:tabs>
              <w:tab w:val="right" w:pos="9350"/>
            </w:tabs>
            <w:rPr>
              <w:rFonts w:ascii="Times New Roman" w:eastAsiaTheme="minorEastAsia" w:hAnsi="Times New Roman" w:cs="Times New Roman"/>
              <w:b w:val="0"/>
              <w:caps w:val="0"/>
              <w:noProof/>
              <w:u w:val="none"/>
              <w:lang w:eastAsia="ja-JP"/>
            </w:rPr>
          </w:pPr>
          <w:r w:rsidRPr="00486C6C">
            <w:rPr>
              <w:rFonts w:ascii="Times New Roman" w:hAnsi="Times New Roman" w:cs="Times New Roman"/>
              <w:b w:val="0"/>
            </w:rPr>
            <w:fldChar w:fldCharType="begin"/>
          </w:r>
          <w:r w:rsidR="00B37974" w:rsidRPr="00486C6C">
            <w:rPr>
              <w:rFonts w:ascii="Times New Roman" w:hAnsi="Times New Roman" w:cs="Times New Roman"/>
            </w:rPr>
            <w:instrText xml:space="preserve"> TOC \o "1-3" \h \z \u </w:instrText>
          </w:r>
          <w:r w:rsidRPr="00486C6C">
            <w:rPr>
              <w:rFonts w:ascii="Times New Roman" w:hAnsi="Times New Roman" w:cs="Times New Roman"/>
              <w:b w:val="0"/>
            </w:rPr>
            <w:fldChar w:fldCharType="separate"/>
          </w:r>
          <w:r w:rsidR="004B5024" w:rsidRPr="00486C6C">
            <w:rPr>
              <w:rFonts w:ascii="Times New Roman" w:hAnsi="Times New Roman" w:cs="Times New Roman"/>
              <w:noProof/>
            </w:rPr>
            <w:t>INTRODUCTION</w:t>
          </w:r>
          <w:r w:rsidR="004B5024" w:rsidRPr="00486C6C">
            <w:rPr>
              <w:rFonts w:ascii="Times New Roman" w:hAnsi="Times New Roman" w:cs="Times New Roman"/>
              <w:noProof/>
            </w:rPr>
            <w:tab/>
          </w:r>
          <w:r w:rsidRPr="00486C6C">
            <w:rPr>
              <w:rFonts w:ascii="Times New Roman" w:hAnsi="Times New Roman" w:cs="Times New Roman"/>
              <w:noProof/>
            </w:rPr>
            <w:fldChar w:fldCharType="begin"/>
          </w:r>
          <w:r w:rsidR="004B5024" w:rsidRPr="00486C6C">
            <w:rPr>
              <w:rFonts w:ascii="Times New Roman" w:hAnsi="Times New Roman" w:cs="Times New Roman"/>
              <w:noProof/>
            </w:rPr>
            <w:instrText xml:space="preserve"> PAGEREF _Toc264967174 \h </w:instrText>
          </w:r>
          <w:r w:rsidRPr="00486C6C">
            <w:rPr>
              <w:rFonts w:ascii="Times New Roman" w:hAnsi="Times New Roman" w:cs="Times New Roman"/>
              <w:noProof/>
            </w:rPr>
          </w:r>
          <w:r w:rsidRPr="00486C6C">
            <w:rPr>
              <w:rFonts w:ascii="Times New Roman" w:hAnsi="Times New Roman" w:cs="Times New Roman"/>
              <w:noProof/>
            </w:rPr>
            <w:fldChar w:fldCharType="separate"/>
          </w:r>
          <w:r w:rsidR="005A36A8">
            <w:rPr>
              <w:rFonts w:ascii="Times New Roman" w:hAnsi="Times New Roman" w:cs="Times New Roman"/>
              <w:noProof/>
            </w:rPr>
            <w:t>1</w:t>
          </w:r>
          <w:r w:rsidRPr="00486C6C">
            <w:rPr>
              <w:rFonts w:ascii="Times New Roman" w:hAnsi="Times New Roman" w:cs="Times New Roman"/>
              <w:noProof/>
            </w:rPr>
            <w:fldChar w:fldCharType="end"/>
          </w:r>
        </w:p>
        <w:p w14:paraId="12DF3239"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BACKGROUND</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_Toc264967175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2</w:t>
          </w:r>
          <w:r w:rsidR="00B5155E" w:rsidRPr="00486C6C">
            <w:rPr>
              <w:rFonts w:ascii="Times New Roman" w:hAnsi="Times New Roman" w:cs="Times New Roman"/>
              <w:b w:val="0"/>
              <w:noProof/>
            </w:rPr>
            <w:fldChar w:fldCharType="end"/>
          </w:r>
        </w:p>
        <w:p w14:paraId="1796651D"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HERBICIDE SAFENERS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_Toc264967176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2</w:t>
          </w:r>
          <w:r w:rsidR="00B5155E" w:rsidRPr="00486C6C">
            <w:rPr>
              <w:rFonts w:ascii="Times New Roman" w:hAnsi="Times New Roman" w:cs="Times New Roman"/>
              <w:b w:val="0"/>
              <w:noProof/>
            </w:rPr>
            <w:fldChar w:fldCharType="end"/>
          </w:r>
        </w:p>
        <w:p w14:paraId="7FB1CA0B"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TRIKETONE HERBICIDES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_Toc264967177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4</w:t>
          </w:r>
          <w:r w:rsidR="00B5155E" w:rsidRPr="00486C6C">
            <w:rPr>
              <w:rFonts w:ascii="Times New Roman" w:hAnsi="Times New Roman" w:cs="Times New Roman"/>
              <w:b w:val="0"/>
              <w:noProof/>
            </w:rPr>
            <w:fldChar w:fldCharType="end"/>
          </w:r>
        </w:p>
        <w:p w14:paraId="62A11742"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LITERATURE CITED</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_Toc264967178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6</w:t>
          </w:r>
          <w:r w:rsidR="00B5155E" w:rsidRPr="00486C6C">
            <w:rPr>
              <w:rFonts w:ascii="Times New Roman" w:hAnsi="Times New Roman" w:cs="Times New Roman"/>
              <w:b w:val="0"/>
              <w:noProof/>
            </w:rPr>
            <w:fldChar w:fldCharType="end"/>
          </w:r>
        </w:p>
        <w:p w14:paraId="59062434" w14:textId="77777777" w:rsidR="004B5024" w:rsidRPr="00486C6C" w:rsidRDefault="004B5024">
          <w:pPr>
            <w:pStyle w:val="TOC1"/>
            <w:tabs>
              <w:tab w:val="right" w:pos="9350"/>
            </w:tabs>
            <w:rPr>
              <w:rFonts w:ascii="Times New Roman" w:eastAsiaTheme="minorEastAsia" w:hAnsi="Times New Roman" w:cs="Times New Roman"/>
              <w:b w:val="0"/>
              <w:caps w:val="0"/>
              <w:noProof/>
              <w:u w:val="none"/>
              <w:lang w:eastAsia="ja-JP"/>
            </w:rPr>
          </w:pPr>
          <w:r w:rsidRPr="00486C6C">
            <w:rPr>
              <w:rFonts w:ascii="Times New Roman" w:hAnsi="Times New Roman" w:cs="Times New Roman"/>
              <w:noProof/>
            </w:rPr>
            <w:t>CHAPTER 1: HERBICIDE SAFENERS INCREASE CREEPING BENTGRASS TOLERANCE TO TOPRAMEZONE</w:t>
          </w:r>
          <w:r w:rsidRPr="00486C6C">
            <w:rPr>
              <w:rFonts w:ascii="Times New Roman" w:hAnsi="Times New Roman" w:cs="Times New Roman"/>
              <w:noProof/>
            </w:rPr>
            <w:tab/>
          </w:r>
          <w:r w:rsidR="00B5155E" w:rsidRPr="00486C6C">
            <w:rPr>
              <w:rFonts w:ascii="Times New Roman" w:hAnsi="Times New Roman" w:cs="Times New Roman"/>
              <w:noProof/>
            </w:rPr>
            <w:fldChar w:fldCharType="begin"/>
          </w:r>
          <w:r w:rsidRPr="00486C6C">
            <w:rPr>
              <w:rFonts w:ascii="Times New Roman" w:hAnsi="Times New Roman" w:cs="Times New Roman"/>
              <w:noProof/>
            </w:rPr>
            <w:instrText xml:space="preserve"> PAGEREF _Toc264967179 \h </w:instrText>
          </w:r>
          <w:r w:rsidR="00B5155E" w:rsidRPr="00486C6C">
            <w:rPr>
              <w:rFonts w:ascii="Times New Roman" w:hAnsi="Times New Roman" w:cs="Times New Roman"/>
              <w:noProof/>
            </w:rPr>
          </w:r>
          <w:r w:rsidR="00B5155E" w:rsidRPr="00486C6C">
            <w:rPr>
              <w:rFonts w:ascii="Times New Roman" w:hAnsi="Times New Roman" w:cs="Times New Roman"/>
              <w:noProof/>
            </w:rPr>
            <w:fldChar w:fldCharType="separate"/>
          </w:r>
          <w:r w:rsidR="005A36A8">
            <w:rPr>
              <w:rFonts w:ascii="Times New Roman" w:hAnsi="Times New Roman" w:cs="Times New Roman"/>
              <w:noProof/>
            </w:rPr>
            <w:t>10</w:t>
          </w:r>
          <w:r w:rsidR="00B5155E" w:rsidRPr="00486C6C">
            <w:rPr>
              <w:rFonts w:ascii="Times New Roman" w:hAnsi="Times New Roman" w:cs="Times New Roman"/>
              <w:noProof/>
            </w:rPr>
            <w:fldChar w:fldCharType="end"/>
          </w:r>
        </w:p>
        <w:p w14:paraId="5BA7C7F0"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ABSTRACT</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_Toc264967180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11</w:t>
          </w:r>
          <w:r w:rsidR="00B5155E" w:rsidRPr="00486C6C">
            <w:rPr>
              <w:rFonts w:ascii="Times New Roman" w:hAnsi="Times New Roman" w:cs="Times New Roman"/>
              <w:b w:val="0"/>
              <w:noProof/>
            </w:rPr>
            <w:fldChar w:fldCharType="end"/>
          </w:r>
        </w:p>
        <w:p w14:paraId="4EAE355A"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INTRODUCTION</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_Toc264967181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13</w:t>
          </w:r>
          <w:r w:rsidR="00B5155E" w:rsidRPr="00486C6C">
            <w:rPr>
              <w:rFonts w:ascii="Times New Roman" w:hAnsi="Times New Roman" w:cs="Times New Roman"/>
              <w:b w:val="0"/>
              <w:noProof/>
            </w:rPr>
            <w:fldChar w:fldCharType="end"/>
          </w:r>
        </w:p>
        <w:p w14:paraId="0C419E82"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MATERIALS AND METHODS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_Toc264967182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17</w:t>
          </w:r>
          <w:r w:rsidR="00B5155E" w:rsidRPr="00486C6C">
            <w:rPr>
              <w:rFonts w:ascii="Times New Roman" w:hAnsi="Times New Roman" w:cs="Times New Roman"/>
              <w:b w:val="0"/>
              <w:noProof/>
            </w:rPr>
            <w:fldChar w:fldCharType="end"/>
          </w:r>
        </w:p>
        <w:p w14:paraId="4C6A886A"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RESULTS AND DISCUSSION</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_Toc264967183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22</w:t>
          </w:r>
          <w:r w:rsidR="00B5155E" w:rsidRPr="00486C6C">
            <w:rPr>
              <w:rFonts w:ascii="Times New Roman" w:hAnsi="Times New Roman" w:cs="Times New Roman"/>
              <w:b w:val="0"/>
              <w:noProof/>
            </w:rPr>
            <w:fldChar w:fldCharType="end"/>
          </w:r>
        </w:p>
        <w:p w14:paraId="2E002446"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ACKNOWLEDGEMENTS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_Toc264967184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26</w:t>
          </w:r>
          <w:r w:rsidR="00B5155E" w:rsidRPr="00486C6C">
            <w:rPr>
              <w:rFonts w:ascii="Times New Roman" w:hAnsi="Times New Roman" w:cs="Times New Roman"/>
              <w:b w:val="0"/>
              <w:noProof/>
            </w:rPr>
            <w:fldChar w:fldCharType="end"/>
          </w:r>
        </w:p>
        <w:p w14:paraId="567C5C22"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LITERATURE CITED</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_Toc264967185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28</w:t>
          </w:r>
          <w:r w:rsidR="00B5155E" w:rsidRPr="00486C6C">
            <w:rPr>
              <w:rFonts w:ascii="Times New Roman" w:hAnsi="Times New Roman" w:cs="Times New Roman"/>
              <w:b w:val="0"/>
              <w:noProof/>
            </w:rPr>
            <w:fldChar w:fldCharType="end"/>
          </w:r>
        </w:p>
        <w:p w14:paraId="7BE761DC"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APPENDIX  TABLES AND FIGURES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_Toc264967186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35</w:t>
          </w:r>
          <w:r w:rsidR="00B5155E" w:rsidRPr="00486C6C">
            <w:rPr>
              <w:rFonts w:ascii="Times New Roman" w:hAnsi="Times New Roman" w:cs="Times New Roman"/>
              <w:b w:val="0"/>
              <w:noProof/>
            </w:rPr>
            <w:fldChar w:fldCharType="end"/>
          </w:r>
        </w:p>
        <w:p w14:paraId="76A22922" w14:textId="77777777" w:rsidR="004B5024" w:rsidRPr="00486C6C" w:rsidRDefault="004B5024">
          <w:pPr>
            <w:pStyle w:val="TOC1"/>
            <w:tabs>
              <w:tab w:val="right" w:pos="9350"/>
            </w:tabs>
            <w:rPr>
              <w:rFonts w:ascii="Times New Roman" w:eastAsiaTheme="minorEastAsia" w:hAnsi="Times New Roman" w:cs="Times New Roman"/>
              <w:b w:val="0"/>
              <w:caps w:val="0"/>
              <w:noProof/>
              <w:u w:val="none"/>
              <w:lang w:eastAsia="ja-JP"/>
            </w:rPr>
          </w:pPr>
          <w:r w:rsidRPr="00486C6C">
            <w:rPr>
              <w:rFonts w:ascii="Times New Roman" w:hAnsi="Times New Roman" w:cs="Times New Roman"/>
              <w:noProof/>
            </w:rPr>
            <w:t>CHAPTER 2: HERBICIDE SAFENERS INCREASE CREEPING BENTGRASS TOLERANCE TO PINOXADEN AND AFFECT WEED CONTROL</w:t>
          </w:r>
          <w:r w:rsidRPr="00486C6C">
            <w:rPr>
              <w:rFonts w:ascii="Times New Roman" w:hAnsi="Times New Roman" w:cs="Times New Roman"/>
              <w:noProof/>
            </w:rPr>
            <w:tab/>
          </w:r>
          <w:r w:rsidR="00B5155E" w:rsidRPr="00486C6C">
            <w:rPr>
              <w:rFonts w:ascii="Times New Roman" w:hAnsi="Times New Roman" w:cs="Times New Roman"/>
              <w:noProof/>
            </w:rPr>
            <w:fldChar w:fldCharType="begin"/>
          </w:r>
          <w:r w:rsidRPr="00486C6C">
            <w:rPr>
              <w:rFonts w:ascii="Times New Roman" w:hAnsi="Times New Roman" w:cs="Times New Roman"/>
              <w:noProof/>
            </w:rPr>
            <w:instrText xml:space="preserve"> PAGEREF _Toc264967187 \h </w:instrText>
          </w:r>
          <w:r w:rsidR="00B5155E" w:rsidRPr="00486C6C">
            <w:rPr>
              <w:rFonts w:ascii="Times New Roman" w:hAnsi="Times New Roman" w:cs="Times New Roman"/>
              <w:noProof/>
            </w:rPr>
          </w:r>
          <w:r w:rsidR="00B5155E" w:rsidRPr="00486C6C">
            <w:rPr>
              <w:rFonts w:ascii="Times New Roman" w:hAnsi="Times New Roman" w:cs="Times New Roman"/>
              <w:noProof/>
            </w:rPr>
            <w:fldChar w:fldCharType="separate"/>
          </w:r>
          <w:r w:rsidR="005A36A8">
            <w:rPr>
              <w:rFonts w:ascii="Times New Roman" w:hAnsi="Times New Roman" w:cs="Times New Roman"/>
              <w:noProof/>
            </w:rPr>
            <w:t>41</w:t>
          </w:r>
          <w:r w:rsidR="00B5155E" w:rsidRPr="00486C6C">
            <w:rPr>
              <w:rFonts w:ascii="Times New Roman" w:hAnsi="Times New Roman" w:cs="Times New Roman"/>
              <w:noProof/>
            </w:rPr>
            <w:fldChar w:fldCharType="end"/>
          </w:r>
        </w:p>
        <w:p w14:paraId="4610F310"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ABSTRACT</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_Toc264967188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42</w:t>
          </w:r>
          <w:r w:rsidR="00B5155E" w:rsidRPr="00486C6C">
            <w:rPr>
              <w:rFonts w:ascii="Times New Roman" w:hAnsi="Times New Roman" w:cs="Times New Roman"/>
              <w:b w:val="0"/>
              <w:noProof/>
            </w:rPr>
            <w:fldChar w:fldCharType="end"/>
          </w:r>
        </w:p>
        <w:p w14:paraId="13499471"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INTRODUCTION</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_Toc264967189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44</w:t>
          </w:r>
          <w:r w:rsidR="00B5155E" w:rsidRPr="00486C6C">
            <w:rPr>
              <w:rFonts w:ascii="Times New Roman" w:hAnsi="Times New Roman" w:cs="Times New Roman"/>
              <w:b w:val="0"/>
              <w:noProof/>
            </w:rPr>
            <w:fldChar w:fldCharType="end"/>
          </w:r>
        </w:p>
        <w:p w14:paraId="08D06E8C"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MATERIALS AND METHODS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_Toc264967190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46</w:t>
          </w:r>
          <w:r w:rsidR="00B5155E" w:rsidRPr="00486C6C">
            <w:rPr>
              <w:rFonts w:ascii="Times New Roman" w:hAnsi="Times New Roman" w:cs="Times New Roman"/>
              <w:b w:val="0"/>
              <w:noProof/>
            </w:rPr>
            <w:fldChar w:fldCharType="end"/>
          </w:r>
        </w:p>
        <w:p w14:paraId="3F2DACE1"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RESULTS AND DISCUSSION</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_Toc264967191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50</w:t>
          </w:r>
          <w:r w:rsidR="00B5155E" w:rsidRPr="00486C6C">
            <w:rPr>
              <w:rFonts w:ascii="Times New Roman" w:hAnsi="Times New Roman" w:cs="Times New Roman"/>
              <w:b w:val="0"/>
              <w:noProof/>
            </w:rPr>
            <w:fldChar w:fldCharType="end"/>
          </w:r>
        </w:p>
        <w:p w14:paraId="564DFA2B"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ACKNOWLEDGEMENTS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_Toc264967192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56</w:t>
          </w:r>
          <w:r w:rsidR="00B5155E" w:rsidRPr="00486C6C">
            <w:rPr>
              <w:rFonts w:ascii="Times New Roman" w:hAnsi="Times New Roman" w:cs="Times New Roman"/>
              <w:b w:val="0"/>
              <w:noProof/>
            </w:rPr>
            <w:fldChar w:fldCharType="end"/>
          </w:r>
        </w:p>
        <w:p w14:paraId="088339F0"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LITERATURE CITED</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_Toc264967193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57</w:t>
          </w:r>
          <w:r w:rsidR="00B5155E" w:rsidRPr="00486C6C">
            <w:rPr>
              <w:rFonts w:ascii="Times New Roman" w:hAnsi="Times New Roman" w:cs="Times New Roman"/>
              <w:b w:val="0"/>
              <w:noProof/>
            </w:rPr>
            <w:fldChar w:fldCharType="end"/>
          </w:r>
        </w:p>
        <w:p w14:paraId="2D525866"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APPENDIX  TABLES AND FIGURES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_Toc264967194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60</w:t>
          </w:r>
          <w:r w:rsidR="00B5155E" w:rsidRPr="00486C6C">
            <w:rPr>
              <w:rFonts w:ascii="Times New Roman" w:hAnsi="Times New Roman" w:cs="Times New Roman"/>
              <w:b w:val="0"/>
              <w:noProof/>
            </w:rPr>
            <w:fldChar w:fldCharType="end"/>
          </w:r>
        </w:p>
        <w:p w14:paraId="4B15FAF9" w14:textId="77777777" w:rsidR="004B5024" w:rsidRPr="00486C6C" w:rsidRDefault="004B5024">
          <w:pPr>
            <w:pStyle w:val="TOC1"/>
            <w:tabs>
              <w:tab w:val="right" w:pos="9350"/>
            </w:tabs>
            <w:rPr>
              <w:rFonts w:ascii="Times New Roman" w:eastAsiaTheme="minorEastAsia" w:hAnsi="Times New Roman" w:cs="Times New Roman"/>
              <w:b w:val="0"/>
              <w:caps w:val="0"/>
              <w:noProof/>
              <w:u w:val="none"/>
              <w:lang w:eastAsia="ja-JP"/>
            </w:rPr>
          </w:pPr>
          <w:r w:rsidRPr="00486C6C">
            <w:rPr>
              <w:rFonts w:ascii="Times New Roman" w:hAnsi="Times New Roman" w:cs="Times New Roman"/>
              <w:noProof/>
            </w:rPr>
            <w:lastRenderedPageBreak/>
            <w:t>CHAPTER 3: CYTOCHROME P450 INHIBITORS AFFECT CREEPING BENTGRASS TOLERANCE TO TOPRAMEZONE</w:t>
          </w:r>
          <w:r w:rsidRPr="00486C6C">
            <w:rPr>
              <w:rFonts w:ascii="Times New Roman" w:hAnsi="Times New Roman" w:cs="Times New Roman"/>
              <w:noProof/>
            </w:rPr>
            <w:tab/>
          </w:r>
          <w:r w:rsidR="00B5155E" w:rsidRPr="00486C6C">
            <w:rPr>
              <w:rFonts w:ascii="Times New Roman" w:hAnsi="Times New Roman" w:cs="Times New Roman"/>
              <w:noProof/>
            </w:rPr>
            <w:fldChar w:fldCharType="begin"/>
          </w:r>
          <w:r w:rsidRPr="00486C6C">
            <w:rPr>
              <w:rFonts w:ascii="Times New Roman" w:hAnsi="Times New Roman" w:cs="Times New Roman"/>
              <w:noProof/>
            </w:rPr>
            <w:instrText xml:space="preserve"> PAGEREF _Toc264967195 \h </w:instrText>
          </w:r>
          <w:r w:rsidR="00B5155E" w:rsidRPr="00486C6C">
            <w:rPr>
              <w:rFonts w:ascii="Times New Roman" w:hAnsi="Times New Roman" w:cs="Times New Roman"/>
              <w:noProof/>
            </w:rPr>
          </w:r>
          <w:r w:rsidR="00B5155E" w:rsidRPr="00486C6C">
            <w:rPr>
              <w:rFonts w:ascii="Times New Roman" w:hAnsi="Times New Roman" w:cs="Times New Roman"/>
              <w:noProof/>
            </w:rPr>
            <w:fldChar w:fldCharType="separate"/>
          </w:r>
          <w:r w:rsidR="005A36A8">
            <w:rPr>
              <w:rFonts w:ascii="Times New Roman" w:hAnsi="Times New Roman" w:cs="Times New Roman"/>
              <w:noProof/>
            </w:rPr>
            <w:t>69</w:t>
          </w:r>
          <w:r w:rsidR="00B5155E" w:rsidRPr="00486C6C">
            <w:rPr>
              <w:rFonts w:ascii="Times New Roman" w:hAnsi="Times New Roman" w:cs="Times New Roman"/>
              <w:noProof/>
            </w:rPr>
            <w:fldChar w:fldCharType="end"/>
          </w:r>
        </w:p>
        <w:p w14:paraId="254A0BF5"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ABSTRACT</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_Toc264967196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70</w:t>
          </w:r>
          <w:r w:rsidR="00B5155E" w:rsidRPr="00486C6C">
            <w:rPr>
              <w:rFonts w:ascii="Times New Roman" w:hAnsi="Times New Roman" w:cs="Times New Roman"/>
              <w:b w:val="0"/>
              <w:noProof/>
            </w:rPr>
            <w:fldChar w:fldCharType="end"/>
          </w:r>
        </w:p>
        <w:p w14:paraId="24B98641"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INTRODUCTION</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_Toc264967197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72</w:t>
          </w:r>
          <w:r w:rsidR="00B5155E" w:rsidRPr="00486C6C">
            <w:rPr>
              <w:rFonts w:ascii="Times New Roman" w:hAnsi="Times New Roman" w:cs="Times New Roman"/>
              <w:b w:val="0"/>
              <w:noProof/>
            </w:rPr>
            <w:fldChar w:fldCharType="end"/>
          </w:r>
        </w:p>
        <w:p w14:paraId="7C6033B1"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MATERIALS AND METHODS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_Toc264967198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74</w:t>
          </w:r>
          <w:r w:rsidR="00B5155E" w:rsidRPr="00486C6C">
            <w:rPr>
              <w:rFonts w:ascii="Times New Roman" w:hAnsi="Times New Roman" w:cs="Times New Roman"/>
              <w:b w:val="0"/>
              <w:noProof/>
            </w:rPr>
            <w:fldChar w:fldCharType="end"/>
          </w:r>
        </w:p>
        <w:p w14:paraId="11AC0377"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RESULTS AND DISCUSSION</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_Toc264967199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78</w:t>
          </w:r>
          <w:r w:rsidR="00B5155E" w:rsidRPr="00486C6C">
            <w:rPr>
              <w:rFonts w:ascii="Times New Roman" w:hAnsi="Times New Roman" w:cs="Times New Roman"/>
              <w:b w:val="0"/>
              <w:noProof/>
            </w:rPr>
            <w:fldChar w:fldCharType="end"/>
          </w:r>
        </w:p>
        <w:p w14:paraId="0F0DB0F1"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ACKNOWLEDGEMENTS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_Toc264967200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81</w:t>
          </w:r>
          <w:r w:rsidR="00B5155E" w:rsidRPr="00486C6C">
            <w:rPr>
              <w:rFonts w:ascii="Times New Roman" w:hAnsi="Times New Roman" w:cs="Times New Roman"/>
              <w:b w:val="0"/>
              <w:noProof/>
            </w:rPr>
            <w:fldChar w:fldCharType="end"/>
          </w:r>
        </w:p>
        <w:p w14:paraId="1B49D6AF"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LITERATURE CITED</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_Toc264967201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82</w:t>
          </w:r>
          <w:r w:rsidR="00B5155E" w:rsidRPr="00486C6C">
            <w:rPr>
              <w:rFonts w:ascii="Times New Roman" w:hAnsi="Times New Roman" w:cs="Times New Roman"/>
              <w:b w:val="0"/>
              <w:noProof/>
            </w:rPr>
            <w:fldChar w:fldCharType="end"/>
          </w:r>
        </w:p>
        <w:p w14:paraId="7ABDB5D6"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APPENDIX  TABLES AND FIGURES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_Toc264967202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87</w:t>
          </w:r>
          <w:r w:rsidR="00B5155E" w:rsidRPr="00486C6C">
            <w:rPr>
              <w:rFonts w:ascii="Times New Roman" w:hAnsi="Times New Roman" w:cs="Times New Roman"/>
              <w:b w:val="0"/>
              <w:noProof/>
            </w:rPr>
            <w:fldChar w:fldCharType="end"/>
          </w:r>
        </w:p>
        <w:p w14:paraId="5AF5D0C5" w14:textId="77777777" w:rsidR="004B5024" w:rsidRPr="00486C6C" w:rsidRDefault="004B5024">
          <w:pPr>
            <w:pStyle w:val="TOC1"/>
            <w:tabs>
              <w:tab w:val="right" w:pos="9350"/>
            </w:tabs>
            <w:rPr>
              <w:rFonts w:ascii="Times New Roman" w:eastAsiaTheme="minorEastAsia" w:hAnsi="Times New Roman" w:cs="Times New Roman"/>
              <w:b w:val="0"/>
              <w:caps w:val="0"/>
              <w:noProof/>
              <w:u w:val="none"/>
              <w:lang w:eastAsia="ja-JP"/>
            </w:rPr>
          </w:pPr>
          <w:r w:rsidRPr="00486C6C">
            <w:rPr>
              <w:rFonts w:ascii="Times New Roman" w:hAnsi="Times New Roman" w:cs="Times New Roman"/>
              <w:noProof/>
            </w:rPr>
            <w:t>CHAPTER 4: SYNTHESIS AND EFFICACY OF TRIKETONE DERIVATIVES AGAINST GRAMINACEOUS WEEDS</w:t>
          </w:r>
          <w:r w:rsidRPr="00486C6C">
            <w:rPr>
              <w:rFonts w:ascii="Times New Roman" w:hAnsi="Times New Roman" w:cs="Times New Roman"/>
              <w:noProof/>
            </w:rPr>
            <w:tab/>
          </w:r>
          <w:r w:rsidR="00B5155E" w:rsidRPr="00486C6C">
            <w:rPr>
              <w:rFonts w:ascii="Times New Roman" w:hAnsi="Times New Roman" w:cs="Times New Roman"/>
              <w:noProof/>
            </w:rPr>
            <w:fldChar w:fldCharType="begin"/>
          </w:r>
          <w:r w:rsidRPr="00486C6C">
            <w:rPr>
              <w:rFonts w:ascii="Times New Roman" w:hAnsi="Times New Roman" w:cs="Times New Roman"/>
              <w:noProof/>
            </w:rPr>
            <w:instrText xml:space="preserve"> PAGEREF _Toc264967203 \h </w:instrText>
          </w:r>
          <w:r w:rsidR="00B5155E" w:rsidRPr="00486C6C">
            <w:rPr>
              <w:rFonts w:ascii="Times New Roman" w:hAnsi="Times New Roman" w:cs="Times New Roman"/>
              <w:noProof/>
            </w:rPr>
          </w:r>
          <w:r w:rsidR="00B5155E" w:rsidRPr="00486C6C">
            <w:rPr>
              <w:rFonts w:ascii="Times New Roman" w:hAnsi="Times New Roman" w:cs="Times New Roman"/>
              <w:noProof/>
            </w:rPr>
            <w:fldChar w:fldCharType="separate"/>
          </w:r>
          <w:r w:rsidR="005A36A8">
            <w:rPr>
              <w:rFonts w:ascii="Times New Roman" w:hAnsi="Times New Roman" w:cs="Times New Roman"/>
              <w:noProof/>
            </w:rPr>
            <w:t>91</w:t>
          </w:r>
          <w:r w:rsidR="00B5155E" w:rsidRPr="00486C6C">
            <w:rPr>
              <w:rFonts w:ascii="Times New Roman" w:hAnsi="Times New Roman" w:cs="Times New Roman"/>
              <w:noProof/>
            </w:rPr>
            <w:fldChar w:fldCharType="end"/>
          </w:r>
        </w:p>
        <w:p w14:paraId="2357037D"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ABSTRACT</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_Toc264967204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92</w:t>
          </w:r>
          <w:r w:rsidR="00B5155E" w:rsidRPr="00486C6C">
            <w:rPr>
              <w:rFonts w:ascii="Times New Roman" w:hAnsi="Times New Roman" w:cs="Times New Roman"/>
              <w:b w:val="0"/>
              <w:noProof/>
            </w:rPr>
            <w:fldChar w:fldCharType="end"/>
          </w:r>
        </w:p>
        <w:p w14:paraId="5C2D97CB"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INTRODUCTION</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_Toc264967205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93</w:t>
          </w:r>
          <w:r w:rsidR="00B5155E" w:rsidRPr="00486C6C">
            <w:rPr>
              <w:rFonts w:ascii="Times New Roman" w:hAnsi="Times New Roman" w:cs="Times New Roman"/>
              <w:b w:val="0"/>
              <w:noProof/>
            </w:rPr>
            <w:fldChar w:fldCharType="end"/>
          </w:r>
        </w:p>
        <w:p w14:paraId="5C25283A"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MATERIALS AND METHODS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_Toc264967206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96</w:t>
          </w:r>
          <w:r w:rsidR="00B5155E" w:rsidRPr="00486C6C">
            <w:rPr>
              <w:rFonts w:ascii="Times New Roman" w:hAnsi="Times New Roman" w:cs="Times New Roman"/>
              <w:b w:val="0"/>
              <w:noProof/>
            </w:rPr>
            <w:fldChar w:fldCharType="end"/>
          </w:r>
        </w:p>
        <w:p w14:paraId="18851EFA"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RESULTS AND DISCUSSION</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_Toc264967207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105</w:t>
          </w:r>
          <w:r w:rsidR="00B5155E" w:rsidRPr="00486C6C">
            <w:rPr>
              <w:rFonts w:ascii="Times New Roman" w:hAnsi="Times New Roman" w:cs="Times New Roman"/>
              <w:b w:val="0"/>
              <w:noProof/>
            </w:rPr>
            <w:fldChar w:fldCharType="end"/>
          </w:r>
        </w:p>
        <w:p w14:paraId="4602117F"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ACKNOWLEDGEMENTS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_Toc264967208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105</w:t>
          </w:r>
          <w:r w:rsidR="00B5155E" w:rsidRPr="00486C6C">
            <w:rPr>
              <w:rFonts w:ascii="Times New Roman" w:hAnsi="Times New Roman" w:cs="Times New Roman"/>
              <w:b w:val="0"/>
              <w:noProof/>
            </w:rPr>
            <w:fldChar w:fldCharType="end"/>
          </w:r>
        </w:p>
        <w:p w14:paraId="58660336"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LITERATURE CITED</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_Toc264967209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107</w:t>
          </w:r>
          <w:r w:rsidR="00B5155E" w:rsidRPr="00486C6C">
            <w:rPr>
              <w:rFonts w:ascii="Times New Roman" w:hAnsi="Times New Roman" w:cs="Times New Roman"/>
              <w:b w:val="0"/>
              <w:noProof/>
            </w:rPr>
            <w:fldChar w:fldCharType="end"/>
          </w:r>
        </w:p>
        <w:p w14:paraId="5C9612CB" w14:textId="77777777" w:rsidR="004B5024" w:rsidRPr="00486C6C" w:rsidRDefault="004B5024">
          <w:pPr>
            <w:pStyle w:val="TOC2"/>
            <w:tabs>
              <w:tab w:val="right" w:pos="9350"/>
            </w:tabs>
            <w:rPr>
              <w:rFonts w:ascii="Times New Roman" w:eastAsiaTheme="minorEastAsia" w:hAnsi="Times New Roman" w:cs="Times New Roman"/>
              <w:b w:val="0"/>
              <w:smallCaps w:val="0"/>
              <w:noProof/>
              <w:lang w:eastAsia="ja-JP"/>
            </w:rPr>
          </w:pPr>
          <w:r w:rsidRPr="00486C6C">
            <w:rPr>
              <w:rFonts w:ascii="Times New Roman" w:hAnsi="Times New Roman" w:cs="Times New Roman"/>
              <w:b w:val="0"/>
              <w:noProof/>
            </w:rPr>
            <w:t>APPENDIX  TABLES AND FIGURES</w:t>
          </w:r>
          <w:r w:rsidRPr="00486C6C">
            <w:rPr>
              <w:rFonts w:ascii="Times New Roman" w:hAnsi="Times New Roman" w:cs="Times New Roman"/>
              <w:b w:val="0"/>
              <w:noProof/>
            </w:rPr>
            <w:tab/>
          </w:r>
          <w:r w:rsidR="00B5155E" w:rsidRPr="00486C6C">
            <w:rPr>
              <w:rFonts w:ascii="Times New Roman" w:hAnsi="Times New Roman" w:cs="Times New Roman"/>
              <w:b w:val="0"/>
              <w:noProof/>
            </w:rPr>
            <w:fldChar w:fldCharType="begin"/>
          </w:r>
          <w:r w:rsidRPr="00486C6C">
            <w:rPr>
              <w:rFonts w:ascii="Times New Roman" w:hAnsi="Times New Roman" w:cs="Times New Roman"/>
              <w:b w:val="0"/>
              <w:noProof/>
            </w:rPr>
            <w:instrText xml:space="preserve"> PAGEREF _Toc264967210 \h </w:instrText>
          </w:r>
          <w:r w:rsidR="00B5155E" w:rsidRPr="00486C6C">
            <w:rPr>
              <w:rFonts w:ascii="Times New Roman" w:hAnsi="Times New Roman" w:cs="Times New Roman"/>
              <w:b w:val="0"/>
              <w:noProof/>
            </w:rPr>
          </w:r>
          <w:r w:rsidR="00B5155E" w:rsidRPr="00486C6C">
            <w:rPr>
              <w:rFonts w:ascii="Times New Roman" w:hAnsi="Times New Roman" w:cs="Times New Roman"/>
              <w:b w:val="0"/>
              <w:noProof/>
            </w:rPr>
            <w:fldChar w:fldCharType="separate"/>
          </w:r>
          <w:r w:rsidR="005A36A8">
            <w:rPr>
              <w:rFonts w:ascii="Times New Roman" w:hAnsi="Times New Roman" w:cs="Times New Roman"/>
              <w:b w:val="0"/>
              <w:noProof/>
            </w:rPr>
            <w:t>109</w:t>
          </w:r>
          <w:r w:rsidR="00B5155E" w:rsidRPr="00486C6C">
            <w:rPr>
              <w:rFonts w:ascii="Times New Roman" w:hAnsi="Times New Roman" w:cs="Times New Roman"/>
              <w:b w:val="0"/>
              <w:noProof/>
            </w:rPr>
            <w:fldChar w:fldCharType="end"/>
          </w:r>
        </w:p>
        <w:p w14:paraId="045BF055" w14:textId="77777777" w:rsidR="004B5024" w:rsidRPr="00486C6C" w:rsidRDefault="004B5024">
          <w:pPr>
            <w:pStyle w:val="TOC1"/>
            <w:tabs>
              <w:tab w:val="right" w:pos="9350"/>
            </w:tabs>
            <w:rPr>
              <w:rFonts w:ascii="Times New Roman" w:eastAsiaTheme="minorEastAsia" w:hAnsi="Times New Roman" w:cs="Times New Roman"/>
              <w:b w:val="0"/>
              <w:caps w:val="0"/>
              <w:noProof/>
              <w:u w:val="none"/>
              <w:lang w:eastAsia="ja-JP"/>
            </w:rPr>
          </w:pPr>
          <w:r w:rsidRPr="00486C6C">
            <w:rPr>
              <w:rFonts w:ascii="Times New Roman" w:hAnsi="Times New Roman" w:cs="Times New Roman"/>
              <w:noProof/>
            </w:rPr>
            <w:t>CONCLUSIONS</w:t>
          </w:r>
          <w:r w:rsidRPr="00486C6C">
            <w:rPr>
              <w:rFonts w:ascii="Times New Roman" w:hAnsi="Times New Roman" w:cs="Times New Roman"/>
              <w:noProof/>
            </w:rPr>
            <w:tab/>
          </w:r>
          <w:r w:rsidR="00B5155E" w:rsidRPr="00486C6C">
            <w:rPr>
              <w:rFonts w:ascii="Times New Roman" w:hAnsi="Times New Roman" w:cs="Times New Roman"/>
              <w:noProof/>
            </w:rPr>
            <w:fldChar w:fldCharType="begin"/>
          </w:r>
          <w:r w:rsidRPr="00486C6C">
            <w:rPr>
              <w:rFonts w:ascii="Times New Roman" w:hAnsi="Times New Roman" w:cs="Times New Roman"/>
              <w:noProof/>
            </w:rPr>
            <w:instrText xml:space="preserve"> PAGEREF _Toc264967211 \h </w:instrText>
          </w:r>
          <w:r w:rsidR="00B5155E" w:rsidRPr="00486C6C">
            <w:rPr>
              <w:rFonts w:ascii="Times New Roman" w:hAnsi="Times New Roman" w:cs="Times New Roman"/>
              <w:noProof/>
            </w:rPr>
          </w:r>
          <w:r w:rsidR="00B5155E" w:rsidRPr="00486C6C">
            <w:rPr>
              <w:rFonts w:ascii="Times New Roman" w:hAnsi="Times New Roman" w:cs="Times New Roman"/>
              <w:noProof/>
            </w:rPr>
            <w:fldChar w:fldCharType="separate"/>
          </w:r>
          <w:r w:rsidR="005A36A8">
            <w:rPr>
              <w:rFonts w:ascii="Times New Roman" w:hAnsi="Times New Roman" w:cs="Times New Roman"/>
              <w:noProof/>
            </w:rPr>
            <w:t>113</w:t>
          </w:r>
          <w:r w:rsidR="00B5155E" w:rsidRPr="00486C6C">
            <w:rPr>
              <w:rFonts w:ascii="Times New Roman" w:hAnsi="Times New Roman" w:cs="Times New Roman"/>
              <w:noProof/>
            </w:rPr>
            <w:fldChar w:fldCharType="end"/>
          </w:r>
        </w:p>
        <w:p w14:paraId="561FA6A6" w14:textId="77777777" w:rsidR="004B5024" w:rsidRPr="00486C6C" w:rsidRDefault="004B5024">
          <w:pPr>
            <w:pStyle w:val="TOC1"/>
            <w:tabs>
              <w:tab w:val="right" w:pos="9350"/>
            </w:tabs>
            <w:rPr>
              <w:rFonts w:ascii="Times New Roman" w:eastAsiaTheme="minorEastAsia" w:hAnsi="Times New Roman" w:cs="Times New Roman"/>
              <w:b w:val="0"/>
              <w:caps w:val="0"/>
              <w:noProof/>
              <w:u w:val="none"/>
              <w:lang w:eastAsia="ja-JP"/>
            </w:rPr>
          </w:pPr>
          <w:r w:rsidRPr="00486C6C">
            <w:rPr>
              <w:rFonts w:ascii="Times New Roman" w:hAnsi="Times New Roman" w:cs="Times New Roman"/>
              <w:noProof/>
            </w:rPr>
            <w:t>VITA</w:t>
          </w:r>
          <w:r w:rsidRPr="00486C6C">
            <w:rPr>
              <w:rFonts w:ascii="Times New Roman" w:hAnsi="Times New Roman" w:cs="Times New Roman"/>
              <w:noProof/>
            </w:rPr>
            <w:tab/>
          </w:r>
          <w:r w:rsidR="00B5155E" w:rsidRPr="00486C6C">
            <w:rPr>
              <w:rFonts w:ascii="Times New Roman" w:hAnsi="Times New Roman" w:cs="Times New Roman"/>
              <w:noProof/>
            </w:rPr>
            <w:fldChar w:fldCharType="begin"/>
          </w:r>
          <w:r w:rsidRPr="00486C6C">
            <w:rPr>
              <w:rFonts w:ascii="Times New Roman" w:hAnsi="Times New Roman" w:cs="Times New Roman"/>
              <w:noProof/>
            </w:rPr>
            <w:instrText xml:space="preserve"> PAGEREF _Toc264967212 \h </w:instrText>
          </w:r>
          <w:r w:rsidR="00B5155E" w:rsidRPr="00486C6C">
            <w:rPr>
              <w:rFonts w:ascii="Times New Roman" w:hAnsi="Times New Roman" w:cs="Times New Roman"/>
              <w:noProof/>
            </w:rPr>
          </w:r>
          <w:r w:rsidR="00B5155E" w:rsidRPr="00486C6C">
            <w:rPr>
              <w:rFonts w:ascii="Times New Roman" w:hAnsi="Times New Roman" w:cs="Times New Roman"/>
              <w:noProof/>
            </w:rPr>
            <w:fldChar w:fldCharType="separate"/>
          </w:r>
          <w:r w:rsidR="005A36A8">
            <w:rPr>
              <w:rFonts w:ascii="Times New Roman" w:hAnsi="Times New Roman" w:cs="Times New Roman"/>
              <w:noProof/>
            </w:rPr>
            <w:t>116</w:t>
          </w:r>
          <w:r w:rsidR="00B5155E" w:rsidRPr="00486C6C">
            <w:rPr>
              <w:rFonts w:ascii="Times New Roman" w:hAnsi="Times New Roman" w:cs="Times New Roman"/>
              <w:noProof/>
            </w:rPr>
            <w:fldChar w:fldCharType="end"/>
          </w:r>
        </w:p>
        <w:p w14:paraId="174909DF" w14:textId="77777777" w:rsidR="00B37974" w:rsidRDefault="00B5155E">
          <w:r w:rsidRPr="00486C6C">
            <w:rPr>
              <w:rFonts w:cs="Times New Roman"/>
              <w:b/>
              <w:bCs/>
              <w:noProof/>
              <w:sz w:val="22"/>
              <w:szCs w:val="22"/>
            </w:rPr>
            <w:fldChar w:fldCharType="end"/>
          </w:r>
        </w:p>
      </w:sdtContent>
    </w:sdt>
    <w:p w14:paraId="680C6223" w14:textId="77777777" w:rsidR="007C55C0" w:rsidRDefault="007C55C0">
      <w:pPr>
        <w:spacing w:line="240" w:lineRule="auto"/>
        <w:rPr>
          <w:b/>
          <w:sz w:val="28"/>
          <w:szCs w:val="28"/>
        </w:rPr>
      </w:pPr>
      <w:r>
        <w:rPr>
          <w:b/>
          <w:sz w:val="28"/>
          <w:szCs w:val="28"/>
        </w:rPr>
        <w:br w:type="page"/>
      </w:r>
    </w:p>
    <w:p w14:paraId="3E1DC669" w14:textId="77777777" w:rsidR="00DC17A8" w:rsidRPr="005044A1" w:rsidRDefault="005044A1" w:rsidP="005044A1">
      <w:pPr>
        <w:jc w:val="center"/>
        <w:rPr>
          <w:b/>
          <w:sz w:val="28"/>
          <w:szCs w:val="28"/>
        </w:rPr>
      </w:pPr>
      <w:r>
        <w:rPr>
          <w:b/>
          <w:sz w:val="28"/>
          <w:szCs w:val="28"/>
        </w:rPr>
        <w:lastRenderedPageBreak/>
        <w:t>LIST</w:t>
      </w:r>
      <w:r w:rsidR="007C55C0">
        <w:rPr>
          <w:b/>
          <w:sz w:val="28"/>
          <w:szCs w:val="28"/>
        </w:rPr>
        <w:t xml:space="preserve"> OF </w:t>
      </w:r>
      <w:r w:rsidR="00D0223E" w:rsidRPr="000D7C08">
        <w:rPr>
          <w:b/>
          <w:sz w:val="28"/>
          <w:szCs w:val="28"/>
        </w:rPr>
        <w:t>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8"/>
        <w:gridCol w:w="1008"/>
      </w:tblGrid>
      <w:tr w:rsidR="00D051D8" w14:paraId="0EA9276A" w14:textId="77777777">
        <w:tc>
          <w:tcPr>
            <w:tcW w:w="8568" w:type="dxa"/>
          </w:tcPr>
          <w:p w14:paraId="175180FD" w14:textId="77777777" w:rsidR="00D051D8" w:rsidRDefault="00D051D8" w:rsidP="00D051D8">
            <w:pPr>
              <w:spacing w:line="240" w:lineRule="auto"/>
              <w:rPr>
                <w:rFonts w:cs="Times New Roman"/>
              </w:rPr>
            </w:pPr>
            <w:r w:rsidRPr="00F46BA7">
              <w:rPr>
                <w:rFonts w:cs="Times New Roman"/>
                <w:b/>
              </w:rPr>
              <w:t xml:space="preserve">Table </w:t>
            </w:r>
            <w:r>
              <w:rPr>
                <w:rFonts w:cs="Times New Roman"/>
                <w:b/>
              </w:rPr>
              <w:t>1.</w:t>
            </w:r>
            <w:r w:rsidRPr="00F46BA7">
              <w:rPr>
                <w:rFonts w:cs="Times New Roman"/>
                <w:b/>
              </w:rPr>
              <w:t>1.</w:t>
            </w:r>
            <w:r w:rsidRPr="00F46BA7">
              <w:rPr>
                <w:rFonts w:cs="Times New Roman"/>
              </w:rPr>
              <w:t xml:space="preserve"> Herbicides applied in Experiment 1 to ‘Penncross’ creeping bentgrass in a glasshouse in Knoxville, TN in 2012.</w:t>
            </w:r>
          </w:p>
          <w:p w14:paraId="2CCE3165" w14:textId="77777777" w:rsidR="00D051D8" w:rsidRDefault="00D051D8" w:rsidP="00D051D8">
            <w:pPr>
              <w:spacing w:line="240" w:lineRule="auto"/>
              <w:rPr>
                <w:b/>
                <w:sz w:val="28"/>
                <w:szCs w:val="28"/>
              </w:rPr>
            </w:pPr>
          </w:p>
        </w:tc>
        <w:tc>
          <w:tcPr>
            <w:tcW w:w="1008" w:type="dxa"/>
          </w:tcPr>
          <w:p w14:paraId="7D49AE1A" w14:textId="77777777" w:rsidR="00D051D8" w:rsidRPr="004426FF" w:rsidRDefault="00D0223E" w:rsidP="00D051D8">
            <w:pPr>
              <w:spacing w:line="240" w:lineRule="auto"/>
            </w:pPr>
            <w:r>
              <w:t>36</w:t>
            </w:r>
          </w:p>
        </w:tc>
      </w:tr>
      <w:tr w:rsidR="00D051D8" w14:paraId="0AE7C028" w14:textId="77777777">
        <w:tc>
          <w:tcPr>
            <w:tcW w:w="8568" w:type="dxa"/>
          </w:tcPr>
          <w:p w14:paraId="0A59CCAD" w14:textId="77777777" w:rsidR="00D051D8" w:rsidRDefault="00D051D8" w:rsidP="00D051D8">
            <w:pPr>
              <w:spacing w:line="240" w:lineRule="auto"/>
              <w:rPr>
                <w:rFonts w:cs="Times New Roman"/>
              </w:rPr>
            </w:pPr>
            <w:r w:rsidRPr="00F46BA7">
              <w:rPr>
                <w:rFonts w:cs="Times New Roman"/>
                <w:b/>
              </w:rPr>
              <w:t xml:space="preserve">Table </w:t>
            </w:r>
            <w:r>
              <w:rPr>
                <w:rFonts w:cs="Times New Roman"/>
                <w:b/>
              </w:rPr>
              <w:t>1.</w:t>
            </w:r>
            <w:r w:rsidRPr="00F46BA7">
              <w:rPr>
                <w:rFonts w:cs="Times New Roman"/>
                <w:b/>
              </w:rPr>
              <w:t>2.</w:t>
            </w:r>
            <w:r w:rsidRPr="00F46BA7">
              <w:rPr>
                <w:rFonts w:cs="Times New Roman"/>
              </w:rPr>
              <w:t xml:space="preserve"> Safeners applied in Experiment 2 to ‘Penncross’ creeping bentgrass in a glasshouse in Knoxville, TN in 2013.</w:t>
            </w:r>
          </w:p>
          <w:p w14:paraId="320DC10C" w14:textId="77777777" w:rsidR="00D051D8" w:rsidRDefault="00D051D8" w:rsidP="00D051D8">
            <w:pPr>
              <w:spacing w:line="240" w:lineRule="auto"/>
              <w:rPr>
                <w:b/>
                <w:sz w:val="28"/>
                <w:szCs w:val="28"/>
              </w:rPr>
            </w:pPr>
          </w:p>
        </w:tc>
        <w:tc>
          <w:tcPr>
            <w:tcW w:w="1008" w:type="dxa"/>
          </w:tcPr>
          <w:p w14:paraId="54B3A5AD" w14:textId="77777777" w:rsidR="00D051D8" w:rsidRPr="004426FF" w:rsidRDefault="00D051D8" w:rsidP="00D051D8">
            <w:pPr>
              <w:spacing w:line="240" w:lineRule="auto"/>
            </w:pPr>
            <w:r w:rsidRPr="004426FF">
              <w:t>3</w:t>
            </w:r>
            <w:r w:rsidR="00D0223E">
              <w:t>7</w:t>
            </w:r>
          </w:p>
        </w:tc>
      </w:tr>
      <w:tr w:rsidR="00D051D8" w14:paraId="7D6DE5D2" w14:textId="77777777">
        <w:tc>
          <w:tcPr>
            <w:tcW w:w="8568" w:type="dxa"/>
          </w:tcPr>
          <w:p w14:paraId="77C37DFE" w14:textId="77777777" w:rsidR="00D051D8" w:rsidRDefault="00D051D8" w:rsidP="00D051D8">
            <w:pPr>
              <w:spacing w:line="240" w:lineRule="auto"/>
              <w:rPr>
                <w:rFonts w:cs="Times New Roman"/>
              </w:rPr>
            </w:pPr>
            <w:r w:rsidRPr="00F46BA7">
              <w:rPr>
                <w:rFonts w:cs="Times New Roman"/>
                <w:b/>
              </w:rPr>
              <w:t xml:space="preserve">Table </w:t>
            </w:r>
            <w:r>
              <w:rPr>
                <w:rFonts w:cs="Times New Roman"/>
                <w:b/>
              </w:rPr>
              <w:t>1.</w:t>
            </w:r>
            <w:r w:rsidRPr="00F46BA7">
              <w:rPr>
                <w:rFonts w:cs="Times New Roman"/>
                <w:b/>
              </w:rPr>
              <w:t>3.</w:t>
            </w:r>
            <w:r w:rsidRPr="00F46BA7">
              <w:rPr>
                <w:rFonts w:cs="Times New Roman"/>
              </w:rPr>
              <w:t xml:space="preserve"> Creeping bentgrass injury 2 WAT with topramezone (37 g ha</w:t>
            </w:r>
            <w:r w:rsidRPr="00F46BA7">
              <w:rPr>
                <w:rFonts w:cs="Times New Roman"/>
                <w:vertAlign w:val="superscript"/>
              </w:rPr>
              <w:t>-1</w:t>
            </w:r>
            <w:r w:rsidRPr="00F46BA7">
              <w:rPr>
                <w:rFonts w:cs="Times New Roman"/>
              </w:rPr>
              <w:t>) in combination with cloquintocet-mexyl at 0, 9, 19, 28, 37, 93 or 185 g ha</w:t>
            </w:r>
            <w:r w:rsidRPr="00F46BA7">
              <w:rPr>
                <w:rFonts w:cs="Times New Roman"/>
                <w:vertAlign w:val="superscript"/>
              </w:rPr>
              <w:t>-1</w:t>
            </w:r>
            <w:r w:rsidRPr="00F46BA7">
              <w:rPr>
                <w:rFonts w:cs="Times New Roman"/>
              </w:rPr>
              <w:t>.</w:t>
            </w:r>
          </w:p>
          <w:p w14:paraId="21C573B5" w14:textId="77777777" w:rsidR="00D051D8" w:rsidRDefault="00D051D8" w:rsidP="00D051D8">
            <w:pPr>
              <w:spacing w:line="240" w:lineRule="auto"/>
              <w:rPr>
                <w:b/>
                <w:sz w:val="28"/>
                <w:szCs w:val="28"/>
              </w:rPr>
            </w:pPr>
          </w:p>
        </w:tc>
        <w:tc>
          <w:tcPr>
            <w:tcW w:w="1008" w:type="dxa"/>
          </w:tcPr>
          <w:p w14:paraId="2EF4B91A" w14:textId="77777777" w:rsidR="00D051D8" w:rsidRPr="004426FF" w:rsidRDefault="00D0223E" w:rsidP="00D051D8">
            <w:pPr>
              <w:spacing w:line="240" w:lineRule="auto"/>
            </w:pPr>
            <w:r>
              <w:t>38</w:t>
            </w:r>
          </w:p>
        </w:tc>
      </w:tr>
      <w:tr w:rsidR="00D051D8" w14:paraId="390908D7" w14:textId="77777777">
        <w:tc>
          <w:tcPr>
            <w:tcW w:w="8568" w:type="dxa"/>
          </w:tcPr>
          <w:p w14:paraId="7C169F26" w14:textId="77777777" w:rsidR="00D051D8" w:rsidRDefault="00D051D8" w:rsidP="00D051D8">
            <w:pPr>
              <w:spacing w:line="240" w:lineRule="auto"/>
              <w:rPr>
                <w:rFonts w:cs="Times New Roman"/>
              </w:rPr>
            </w:pPr>
            <w:r w:rsidRPr="00051F58">
              <w:rPr>
                <w:rFonts w:cs="Times New Roman"/>
                <w:b/>
              </w:rPr>
              <w:t>Table 2.1.</w:t>
            </w:r>
            <w:r w:rsidRPr="00605DCD">
              <w:rPr>
                <w:rFonts w:cs="Times New Roman"/>
              </w:rPr>
              <w:t xml:space="preserve"> Safeners applied in Experiment </w:t>
            </w:r>
            <w:r>
              <w:rPr>
                <w:rFonts w:cs="Times New Roman"/>
              </w:rPr>
              <w:t>1</w:t>
            </w:r>
            <w:r w:rsidRPr="00605DCD">
              <w:rPr>
                <w:rFonts w:cs="Times New Roman"/>
              </w:rPr>
              <w:t xml:space="preserve"> to ‘Penncross’ creeping bentgrass in a glasshouse in Knoxville, TN in 2013.</w:t>
            </w:r>
          </w:p>
          <w:p w14:paraId="0AE46A5F" w14:textId="77777777" w:rsidR="00D051D8" w:rsidRDefault="00D051D8" w:rsidP="00D051D8">
            <w:pPr>
              <w:spacing w:line="240" w:lineRule="auto"/>
              <w:rPr>
                <w:b/>
                <w:sz w:val="28"/>
                <w:szCs w:val="28"/>
              </w:rPr>
            </w:pPr>
          </w:p>
        </w:tc>
        <w:tc>
          <w:tcPr>
            <w:tcW w:w="1008" w:type="dxa"/>
          </w:tcPr>
          <w:p w14:paraId="77D171D6" w14:textId="1987AFF6" w:rsidR="00D051D8" w:rsidRPr="004426FF" w:rsidRDefault="00D0223E" w:rsidP="00D051D8">
            <w:pPr>
              <w:spacing w:line="240" w:lineRule="auto"/>
            </w:pPr>
            <w:r>
              <w:t>6</w:t>
            </w:r>
            <w:r w:rsidR="005A36A8">
              <w:t>1</w:t>
            </w:r>
          </w:p>
        </w:tc>
      </w:tr>
      <w:tr w:rsidR="00D051D8" w14:paraId="4021C26A" w14:textId="77777777">
        <w:tc>
          <w:tcPr>
            <w:tcW w:w="8568" w:type="dxa"/>
          </w:tcPr>
          <w:p w14:paraId="2AA501BD" w14:textId="77777777" w:rsidR="00D051D8" w:rsidRDefault="00D051D8" w:rsidP="00D051D8">
            <w:pPr>
              <w:spacing w:line="240" w:lineRule="auto"/>
              <w:rPr>
                <w:rFonts w:cs="Times New Roman"/>
              </w:rPr>
            </w:pPr>
            <w:r w:rsidRPr="00051F58">
              <w:rPr>
                <w:rFonts w:cs="Times New Roman"/>
                <w:b/>
              </w:rPr>
              <w:t>Table 2.2.</w:t>
            </w:r>
            <w:r w:rsidRPr="00605DCD">
              <w:rPr>
                <w:rFonts w:cs="Times New Roman"/>
              </w:rPr>
              <w:t xml:space="preserve"> ‘Penncross’ creeping bentgrass</w:t>
            </w:r>
            <w:r>
              <w:rPr>
                <w:rFonts w:cs="Times New Roman"/>
              </w:rPr>
              <w:t xml:space="preserve"> injury and clipping yield after treatment with one of six safeners and pinoxaden </w:t>
            </w:r>
            <w:r w:rsidRPr="00605DCD">
              <w:rPr>
                <w:rFonts w:cs="Times New Roman"/>
              </w:rPr>
              <w:t>in a glasshouse in Knoxville, TN in 2013</w:t>
            </w:r>
            <w:r>
              <w:rPr>
                <w:rFonts w:cs="Times New Roman"/>
              </w:rPr>
              <w:t>.</w:t>
            </w:r>
          </w:p>
          <w:p w14:paraId="17407D24" w14:textId="77777777" w:rsidR="00D051D8" w:rsidRDefault="00D051D8" w:rsidP="00D051D8">
            <w:pPr>
              <w:spacing w:line="240" w:lineRule="auto"/>
              <w:rPr>
                <w:b/>
                <w:sz w:val="28"/>
                <w:szCs w:val="28"/>
              </w:rPr>
            </w:pPr>
          </w:p>
        </w:tc>
        <w:tc>
          <w:tcPr>
            <w:tcW w:w="1008" w:type="dxa"/>
          </w:tcPr>
          <w:p w14:paraId="200D7A83" w14:textId="244C2FFA" w:rsidR="00D051D8" w:rsidRPr="004426FF" w:rsidRDefault="00D0223E" w:rsidP="00D051D8">
            <w:pPr>
              <w:spacing w:line="240" w:lineRule="auto"/>
            </w:pPr>
            <w:r>
              <w:t>6</w:t>
            </w:r>
            <w:r w:rsidR="005A36A8">
              <w:t>2</w:t>
            </w:r>
          </w:p>
        </w:tc>
      </w:tr>
      <w:tr w:rsidR="00D051D8" w14:paraId="7BF89C42" w14:textId="77777777">
        <w:tc>
          <w:tcPr>
            <w:tcW w:w="8568" w:type="dxa"/>
          </w:tcPr>
          <w:p w14:paraId="6A2C39A4" w14:textId="77777777" w:rsidR="00D051D8" w:rsidRDefault="00D051D8" w:rsidP="00D051D8">
            <w:pPr>
              <w:spacing w:line="240" w:lineRule="auto"/>
              <w:rPr>
                <w:rFonts w:cs="Times New Roman"/>
              </w:rPr>
            </w:pPr>
            <w:r w:rsidRPr="00051F58">
              <w:rPr>
                <w:rFonts w:cs="Times New Roman"/>
                <w:b/>
              </w:rPr>
              <w:t>Table 2.3.</w:t>
            </w:r>
            <w:r w:rsidRPr="00605DCD">
              <w:rPr>
                <w:rFonts w:cs="Times New Roman"/>
              </w:rPr>
              <w:t xml:space="preserve"> ‘Penncross’ creeping bentgrass</w:t>
            </w:r>
            <w:r>
              <w:rPr>
                <w:rFonts w:cs="Times New Roman"/>
              </w:rPr>
              <w:t xml:space="preserve"> injury and clipping yield after pinoxaden application</w:t>
            </w:r>
            <w:r w:rsidRPr="00605DCD">
              <w:rPr>
                <w:rFonts w:cs="Times New Roman"/>
              </w:rPr>
              <w:t xml:space="preserve"> in a glasshouse in Knoxville, TN in 2013</w:t>
            </w:r>
            <w:r>
              <w:rPr>
                <w:rFonts w:cs="Times New Roman"/>
              </w:rPr>
              <w:t>. Data are combined across herbicide rates</w:t>
            </w:r>
          </w:p>
          <w:p w14:paraId="3DAC4050" w14:textId="77777777" w:rsidR="00D051D8" w:rsidRDefault="00D051D8" w:rsidP="00D051D8">
            <w:pPr>
              <w:spacing w:line="240" w:lineRule="auto"/>
              <w:rPr>
                <w:b/>
                <w:sz w:val="28"/>
                <w:szCs w:val="28"/>
              </w:rPr>
            </w:pPr>
          </w:p>
        </w:tc>
        <w:tc>
          <w:tcPr>
            <w:tcW w:w="1008" w:type="dxa"/>
          </w:tcPr>
          <w:p w14:paraId="142C20F2" w14:textId="406183A4" w:rsidR="00D051D8" w:rsidRPr="004426FF" w:rsidRDefault="00D0223E" w:rsidP="00D051D8">
            <w:pPr>
              <w:spacing w:line="240" w:lineRule="auto"/>
            </w:pPr>
            <w:r>
              <w:t>6</w:t>
            </w:r>
            <w:r w:rsidR="005A36A8">
              <w:t>3</w:t>
            </w:r>
          </w:p>
        </w:tc>
      </w:tr>
      <w:tr w:rsidR="00D051D8" w14:paraId="76CE3C36" w14:textId="77777777">
        <w:tc>
          <w:tcPr>
            <w:tcW w:w="8568" w:type="dxa"/>
          </w:tcPr>
          <w:p w14:paraId="0B8F8099" w14:textId="77777777" w:rsidR="00D051D8" w:rsidRDefault="00D051D8" w:rsidP="00D051D8">
            <w:pPr>
              <w:spacing w:line="240" w:lineRule="auto"/>
              <w:rPr>
                <w:rFonts w:cs="Times New Roman"/>
              </w:rPr>
            </w:pPr>
            <w:r w:rsidRPr="00051F58">
              <w:rPr>
                <w:rFonts w:cs="Times New Roman"/>
                <w:b/>
              </w:rPr>
              <w:t>Table 2.4.</w:t>
            </w:r>
            <w:r w:rsidRPr="00605DCD">
              <w:rPr>
                <w:rFonts w:cs="Times New Roman"/>
              </w:rPr>
              <w:t xml:space="preserve"> ‘Penncross’ creeping bentgrass</w:t>
            </w:r>
            <w:r>
              <w:rPr>
                <w:rFonts w:cs="Times New Roman"/>
              </w:rPr>
              <w:t xml:space="preserve"> injury and clipping yield after pinoxaden application</w:t>
            </w:r>
            <w:r w:rsidRPr="00605DCD">
              <w:rPr>
                <w:rFonts w:cs="Times New Roman"/>
              </w:rPr>
              <w:t xml:space="preserve"> in a glasshouse in Knoxville, TN in 2013</w:t>
            </w:r>
            <w:r>
              <w:rPr>
                <w:rFonts w:cs="Times New Roman"/>
              </w:rPr>
              <w:t>. Data are combined across herbicide safeners.</w:t>
            </w:r>
          </w:p>
          <w:p w14:paraId="1B45215C" w14:textId="77777777" w:rsidR="00D051D8" w:rsidRDefault="00D051D8" w:rsidP="00D051D8">
            <w:pPr>
              <w:spacing w:line="240" w:lineRule="auto"/>
              <w:rPr>
                <w:b/>
                <w:sz w:val="28"/>
                <w:szCs w:val="28"/>
              </w:rPr>
            </w:pPr>
          </w:p>
        </w:tc>
        <w:tc>
          <w:tcPr>
            <w:tcW w:w="1008" w:type="dxa"/>
          </w:tcPr>
          <w:p w14:paraId="461D8D9B" w14:textId="4C5B57DB" w:rsidR="00D051D8" w:rsidRPr="004426FF" w:rsidRDefault="00D0223E" w:rsidP="00D051D8">
            <w:pPr>
              <w:spacing w:line="240" w:lineRule="auto"/>
            </w:pPr>
            <w:r>
              <w:t>6</w:t>
            </w:r>
            <w:r w:rsidR="005A36A8">
              <w:t>4</w:t>
            </w:r>
          </w:p>
        </w:tc>
      </w:tr>
      <w:tr w:rsidR="00D051D8" w14:paraId="0D8D7355" w14:textId="77777777">
        <w:tc>
          <w:tcPr>
            <w:tcW w:w="8568" w:type="dxa"/>
          </w:tcPr>
          <w:p w14:paraId="60E8D9B4" w14:textId="77777777" w:rsidR="00D051D8" w:rsidRDefault="00D051D8" w:rsidP="00D051D8">
            <w:pPr>
              <w:spacing w:line="240" w:lineRule="auto"/>
              <w:rPr>
                <w:rFonts w:cs="Times New Roman"/>
              </w:rPr>
            </w:pPr>
            <w:r w:rsidRPr="00051F58">
              <w:rPr>
                <w:rFonts w:cs="Times New Roman"/>
                <w:b/>
              </w:rPr>
              <w:t>Table 2.5.</w:t>
            </w:r>
            <w:r w:rsidRPr="00605DCD">
              <w:rPr>
                <w:rFonts w:cs="Times New Roman"/>
              </w:rPr>
              <w:t xml:space="preserve"> ‘Penncross’ creeping bentgrass</w:t>
            </w:r>
            <w:r>
              <w:rPr>
                <w:rFonts w:cs="Times New Roman"/>
              </w:rPr>
              <w:t>, and perennial ryegrass clipping yield after pinoxaden application</w:t>
            </w:r>
            <w:r w:rsidRPr="00605DCD">
              <w:rPr>
                <w:rFonts w:cs="Times New Roman"/>
              </w:rPr>
              <w:t xml:space="preserve"> in a glasshouse in Knoxville, TN in 201</w:t>
            </w:r>
            <w:r>
              <w:rPr>
                <w:rFonts w:cs="Times New Roman"/>
              </w:rPr>
              <w:t>4.</w:t>
            </w:r>
          </w:p>
          <w:p w14:paraId="5FF4B26B" w14:textId="77777777" w:rsidR="00D051D8" w:rsidRDefault="00D051D8" w:rsidP="00D051D8">
            <w:pPr>
              <w:spacing w:line="240" w:lineRule="auto"/>
              <w:rPr>
                <w:b/>
                <w:sz w:val="28"/>
                <w:szCs w:val="28"/>
              </w:rPr>
            </w:pPr>
          </w:p>
        </w:tc>
        <w:tc>
          <w:tcPr>
            <w:tcW w:w="1008" w:type="dxa"/>
          </w:tcPr>
          <w:p w14:paraId="496D9F84" w14:textId="0C751AD6" w:rsidR="00D051D8" w:rsidRPr="004426FF" w:rsidRDefault="00D051D8" w:rsidP="00D0223E">
            <w:pPr>
              <w:spacing w:line="240" w:lineRule="auto"/>
            </w:pPr>
            <w:r w:rsidRPr="004426FF">
              <w:t>6</w:t>
            </w:r>
            <w:r w:rsidR="005A36A8">
              <w:t>5</w:t>
            </w:r>
          </w:p>
        </w:tc>
      </w:tr>
      <w:tr w:rsidR="00D051D8" w14:paraId="21147B04" w14:textId="77777777">
        <w:tc>
          <w:tcPr>
            <w:tcW w:w="8568" w:type="dxa"/>
          </w:tcPr>
          <w:p w14:paraId="068E3855" w14:textId="77777777" w:rsidR="00D051D8" w:rsidRDefault="00D051D8" w:rsidP="00D051D8">
            <w:pPr>
              <w:spacing w:line="240" w:lineRule="auto"/>
              <w:rPr>
                <w:rFonts w:cs="Times New Roman"/>
              </w:rPr>
            </w:pPr>
            <w:r w:rsidRPr="00051F58">
              <w:rPr>
                <w:rFonts w:cs="Times New Roman"/>
                <w:b/>
              </w:rPr>
              <w:t>Table 2.6.</w:t>
            </w:r>
            <w:r>
              <w:rPr>
                <w:rFonts w:cs="Times New Roman"/>
              </w:rPr>
              <w:t xml:space="preserve"> Creeping bentgrass injury and perennial ryegrass control after pinoxaden application</w:t>
            </w:r>
            <w:r w:rsidRPr="00605DCD">
              <w:rPr>
                <w:rFonts w:cs="Times New Roman"/>
              </w:rPr>
              <w:t xml:space="preserve"> in a glasshouse in Knoxville, TN in 201</w:t>
            </w:r>
            <w:r>
              <w:rPr>
                <w:rFonts w:cs="Times New Roman"/>
              </w:rPr>
              <w:t>4.</w:t>
            </w:r>
          </w:p>
          <w:p w14:paraId="1913CE0D" w14:textId="77777777" w:rsidR="00D051D8" w:rsidRDefault="00D051D8" w:rsidP="00D051D8">
            <w:pPr>
              <w:spacing w:line="240" w:lineRule="auto"/>
              <w:rPr>
                <w:b/>
                <w:sz w:val="28"/>
                <w:szCs w:val="28"/>
              </w:rPr>
            </w:pPr>
          </w:p>
        </w:tc>
        <w:tc>
          <w:tcPr>
            <w:tcW w:w="1008" w:type="dxa"/>
          </w:tcPr>
          <w:p w14:paraId="27D492E7" w14:textId="41E26F35" w:rsidR="00D051D8" w:rsidRPr="004426FF" w:rsidRDefault="00D051D8" w:rsidP="00D0223E">
            <w:pPr>
              <w:spacing w:line="240" w:lineRule="auto"/>
            </w:pPr>
            <w:r w:rsidRPr="004426FF">
              <w:t>6</w:t>
            </w:r>
            <w:r w:rsidR="005A36A8">
              <w:t>6</w:t>
            </w:r>
          </w:p>
        </w:tc>
      </w:tr>
      <w:tr w:rsidR="00D051D8" w14:paraId="56FB94DF" w14:textId="77777777">
        <w:tc>
          <w:tcPr>
            <w:tcW w:w="8568" w:type="dxa"/>
          </w:tcPr>
          <w:p w14:paraId="29C00CCA" w14:textId="77777777" w:rsidR="00D051D8" w:rsidRDefault="00D051D8" w:rsidP="00D051D8">
            <w:pPr>
              <w:spacing w:line="240" w:lineRule="auto"/>
              <w:rPr>
                <w:rFonts w:cs="Times New Roman"/>
              </w:rPr>
            </w:pPr>
            <w:r w:rsidRPr="00051F58">
              <w:rPr>
                <w:rFonts w:cs="Times New Roman"/>
                <w:b/>
              </w:rPr>
              <w:t>Table 2.7.</w:t>
            </w:r>
            <w:r>
              <w:rPr>
                <w:rFonts w:cs="Times New Roman"/>
              </w:rPr>
              <w:t xml:space="preserve"> Roughtstalk bluegrass control after pinoxaden application</w:t>
            </w:r>
            <w:r w:rsidRPr="00605DCD">
              <w:rPr>
                <w:rFonts w:cs="Times New Roman"/>
              </w:rPr>
              <w:t xml:space="preserve"> in a glasshouse in Knoxville, TN in 201</w:t>
            </w:r>
            <w:r>
              <w:rPr>
                <w:rFonts w:cs="Times New Roman"/>
              </w:rPr>
              <w:t>4.</w:t>
            </w:r>
          </w:p>
          <w:p w14:paraId="47B76E09" w14:textId="77777777" w:rsidR="00D051D8" w:rsidRDefault="00D051D8" w:rsidP="00D051D8">
            <w:pPr>
              <w:spacing w:line="240" w:lineRule="auto"/>
              <w:rPr>
                <w:b/>
                <w:sz w:val="28"/>
                <w:szCs w:val="28"/>
              </w:rPr>
            </w:pPr>
          </w:p>
        </w:tc>
        <w:tc>
          <w:tcPr>
            <w:tcW w:w="1008" w:type="dxa"/>
          </w:tcPr>
          <w:p w14:paraId="63052223" w14:textId="3C857288" w:rsidR="00D051D8" w:rsidRPr="004426FF" w:rsidRDefault="00D051D8" w:rsidP="00D0223E">
            <w:pPr>
              <w:spacing w:line="240" w:lineRule="auto"/>
            </w:pPr>
            <w:r w:rsidRPr="004426FF">
              <w:t>6</w:t>
            </w:r>
            <w:r w:rsidR="005A36A8">
              <w:t>7</w:t>
            </w:r>
          </w:p>
        </w:tc>
      </w:tr>
      <w:tr w:rsidR="0043151E" w14:paraId="133545A1" w14:textId="77777777">
        <w:tc>
          <w:tcPr>
            <w:tcW w:w="8568" w:type="dxa"/>
          </w:tcPr>
          <w:p w14:paraId="0C8B0808" w14:textId="77777777" w:rsidR="0043151E" w:rsidRDefault="0043151E" w:rsidP="00D051D8">
            <w:pPr>
              <w:spacing w:line="240" w:lineRule="auto"/>
              <w:rPr>
                <w:rFonts w:cs="Times New Roman"/>
              </w:rPr>
            </w:pPr>
            <w:r w:rsidRPr="00110EA5">
              <w:rPr>
                <w:rFonts w:cs="Times New Roman"/>
                <w:b/>
              </w:rPr>
              <w:t>Table 2.8.</w:t>
            </w:r>
            <w:r>
              <w:rPr>
                <w:rFonts w:cs="Times New Roman"/>
              </w:rPr>
              <w:t xml:space="preserve"> Roughstalk bluegrass clipping yield after pinoxaden application</w:t>
            </w:r>
            <w:r w:rsidRPr="00605DCD">
              <w:rPr>
                <w:rFonts w:cs="Times New Roman"/>
              </w:rPr>
              <w:t xml:space="preserve"> in a glasshouse in Knoxville, TN in 201</w:t>
            </w:r>
            <w:r>
              <w:rPr>
                <w:rFonts w:cs="Times New Roman"/>
              </w:rPr>
              <w:t>4.</w:t>
            </w:r>
          </w:p>
          <w:p w14:paraId="4CBFC64A" w14:textId="77777777" w:rsidR="0043151E" w:rsidRPr="00051F58" w:rsidRDefault="0043151E" w:rsidP="00D051D8">
            <w:pPr>
              <w:spacing w:line="240" w:lineRule="auto"/>
              <w:rPr>
                <w:rFonts w:cs="Times New Roman"/>
                <w:b/>
              </w:rPr>
            </w:pPr>
          </w:p>
        </w:tc>
        <w:tc>
          <w:tcPr>
            <w:tcW w:w="1008" w:type="dxa"/>
          </w:tcPr>
          <w:p w14:paraId="7426E53D" w14:textId="7EDADC89" w:rsidR="0043151E" w:rsidRPr="004426FF" w:rsidRDefault="0043151E" w:rsidP="00D051D8">
            <w:pPr>
              <w:spacing w:line="240" w:lineRule="auto"/>
            </w:pPr>
            <w:r>
              <w:t>6</w:t>
            </w:r>
            <w:r w:rsidR="005A36A8">
              <w:t>8</w:t>
            </w:r>
          </w:p>
        </w:tc>
      </w:tr>
      <w:tr w:rsidR="00D051D8" w14:paraId="281590CD" w14:textId="77777777">
        <w:trPr>
          <w:trHeight w:val="1485"/>
        </w:trPr>
        <w:tc>
          <w:tcPr>
            <w:tcW w:w="8568" w:type="dxa"/>
          </w:tcPr>
          <w:p w14:paraId="7DBCFDB0" w14:textId="77777777" w:rsidR="00D051D8" w:rsidRDefault="00D051D8" w:rsidP="00D051D8">
            <w:pPr>
              <w:spacing w:line="240" w:lineRule="auto"/>
              <w:rPr>
                <w:rFonts w:cs="Times New Roman"/>
                <w:color w:val="131413"/>
              </w:rPr>
            </w:pPr>
            <w:r>
              <w:rPr>
                <w:rFonts w:cs="Times New Roman"/>
                <w:b/>
                <w:color w:val="131413"/>
              </w:rPr>
              <w:t>Table 4.1</w:t>
            </w:r>
            <w:r w:rsidRPr="00FC125A">
              <w:rPr>
                <w:rFonts w:cs="Times New Roman"/>
                <w:b/>
                <w:color w:val="131413"/>
              </w:rPr>
              <w:t>.</w:t>
            </w:r>
            <w:r>
              <w:rPr>
                <w:rFonts w:cs="Times New Roman"/>
                <w:color w:val="131413"/>
              </w:rPr>
              <w:t xml:space="preserve"> Visual bleaching 14 days after application of 2-(2,4-</w:t>
            </w:r>
            <w:proofErr w:type="gramStart"/>
            <w:r>
              <w:rPr>
                <w:rFonts w:cs="Times New Roman"/>
                <w:color w:val="131413"/>
              </w:rPr>
              <w:t>dichlorobenzoyl)cyclohexane</w:t>
            </w:r>
            <w:proofErr w:type="gramEnd"/>
            <w:r>
              <w:rPr>
                <w:rFonts w:cs="Times New Roman"/>
                <w:color w:val="131413"/>
              </w:rPr>
              <w:t xml:space="preserve">-1,3-dione derivatives and compound </w:t>
            </w:r>
            <w:r w:rsidRPr="00AC2BC8">
              <w:rPr>
                <w:rFonts w:cs="Times New Roman"/>
                <w:b/>
                <w:color w:val="131413"/>
              </w:rPr>
              <w:t>7</w:t>
            </w:r>
            <w:r>
              <w:rPr>
                <w:rFonts w:cs="Times New Roman"/>
                <w:color w:val="131413"/>
              </w:rPr>
              <w:t>, 2-(2,4-dichlorobenzoyl)cycloheptane-1,3-dione.</w:t>
            </w:r>
          </w:p>
          <w:p w14:paraId="565D3EB9" w14:textId="77777777" w:rsidR="00DE384A" w:rsidRDefault="00DE384A" w:rsidP="00D051D8">
            <w:pPr>
              <w:spacing w:line="240" w:lineRule="auto"/>
              <w:rPr>
                <w:b/>
                <w:sz w:val="28"/>
                <w:szCs w:val="28"/>
              </w:rPr>
            </w:pPr>
          </w:p>
          <w:p w14:paraId="523C2DBA" w14:textId="77777777" w:rsidR="00DE384A" w:rsidRDefault="00DE384A" w:rsidP="00D051D8">
            <w:pPr>
              <w:spacing w:line="240" w:lineRule="auto"/>
              <w:rPr>
                <w:b/>
                <w:sz w:val="28"/>
                <w:szCs w:val="28"/>
              </w:rPr>
            </w:pPr>
          </w:p>
          <w:p w14:paraId="69B30F56" w14:textId="77777777" w:rsidR="00DE384A" w:rsidRDefault="00DE384A" w:rsidP="00D051D8">
            <w:pPr>
              <w:spacing w:line="240" w:lineRule="auto"/>
              <w:rPr>
                <w:b/>
                <w:sz w:val="28"/>
                <w:szCs w:val="28"/>
              </w:rPr>
            </w:pPr>
          </w:p>
        </w:tc>
        <w:tc>
          <w:tcPr>
            <w:tcW w:w="1008" w:type="dxa"/>
          </w:tcPr>
          <w:p w14:paraId="15603D1F" w14:textId="5F4C6EB1" w:rsidR="00D051D8" w:rsidRPr="004426FF" w:rsidRDefault="00D051D8" w:rsidP="00D0223E">
            <w:pPr>
              <w:spacing w:line="240" w:lineRule="auto"/>
            </w:pPr>
            <w:r w:rsidRPr="004426FF">
              <w:t>1</w:t>
            </w:r>
            <w:r w:rsidR="00D0223E">
              <w:t>1</w:t>
            </w:r>
            <w:r w:rsidR="005A36A8">
              <w:t>2</w:t>
            </w:r>
          </w:p>
        </w:tc>
      </w:tr>
    </w:tbl>
    <w:p w14:paraId="5E60C756" w14:textId="77777777" w:rsidR="006A12B2" w:rsidRDefault="006A12B2">
      <w:pPr>
        <w:spacing w:line="240" w:lineRule="auto"/>
        <w:rPr>
          <w:b/>
          <w:sz w:val="28"/>
          <w:szCs w:val="28"/>
        </w:rPr>
      </w:pPr>
      <w:r>
        <w:rPr>
          <w:b/>
          <w:sz w:val="28"/>
          <w:szCs w:val="28"/>
        </w:rPr>
        <w:br w:type="page"/>
      </w:r>
    </w:p>
    <w:p w14:paraId="41CC174B" w14:textId="77777777" w:rsidR="00DC17A8" w:rsidRPr="00DC17A8" w:rsidRDefault="00D051D8" w:rsidP="007139E2">
      <w:pPr>
        <w:jc w:val="center"/>
        <w:rPr>
          <w:b/>
          <w:sz w:val="28"/>
          <w:szCs w:val="28"/>
        </w:rPr>
      </w:pPr>
      <w:r>
        <w:rPr>
          <w:b/>
          <w:sz w:val="28"/>
          <w:szCs w:val="28"/>
        </w:rPr>
        <w:lastRenderedPageBreak/>
        <w:t xml:space="preserve">LIST OF </w:t>
      </w:r>
      <w:r w:rsidR="00DC17A8" w:rsidRPr="00DC17A8">
        <w:rPr>
          <w:b/>
          <w:sz w:val="28"/>
          <w:szCs w:val="28"/>
        </w:rPr>
        <w:t>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8"/>
        <w:gridCol w:w="1008"/>
      </w:tblGrid>
      <w:tr w:rsidR="00DC17A8" w14:paraId="35D222C0" w14:textId="77777777" w:rsidTr="00694C85">
        <w:tc>
          <w:tcPr>
            <w:tcW w:w="8568" w:type="dxa"/>
          </w:tcPr>
          <w:p w14:paraId="4DA6650C" w14:textId="77777777" w:rsidR="00DC17A8" w:rsidRPr="008459B1" w:rsidRDefault="00DC17A8" w:rsidP="008459B1">
            <w:pPr>
              <w:pStyle w:val="Caption"/>
              <w:rPr>
                <w:b w:val="0"/>
              </w:rPr>
            </w:pPr>
            <w:r w:rsidRPr="00FB4744">
              <w:t xml:space="preserve">Figure 1.1. </w:t>
            </w:r>
            <w:r w:rsidRPr="008459B1">
              <w:rPr>
                <w:b w:val="0"/>
              </w:rPr>
              <w:t>Creeping bentgrass injury 2 weeks after treatment with topramezone at 0, 2, 4, 8, 16, 32, 64 or 128 g ha</w:t>
            </w:r>
            <w:r w:rsidRPr="008459B1">
              <w:rPr>
                <w:b w:val="0"/>
                <w:vertAlign w:val="superscript"/>
              </w:rPr>
              <w:t>-1</w:t>
            </w:r>
            <w:r w:rsidRPr="008459B1">
              <w:rPr>
                <w:b w:val="0"/>
              </w:rPr>
              <w:t xml:space="preserve"> alone or in combination with cloquintocet-mexyl (28 g ha</w:t>
            </w:r>
            <w:r w:rsidRPr="008459B1">
              <w:rPr>
                <w:b w:val="0"/>
                <w:vertAlign w:val="superscript"/>
              </w:rPr>
              <w:t>-1</w:t>
            </w:r>
            <w:r w:rsidRPr="008459B1">
              <w:rPr>
                <w:b w:val="0"/>
              </w:rPr>
              <w:t>) or malathion (1000 g ha</w:t>
            </w:r>
            <w:r w:rsidRPr="008459B1">
              <w:rPr>
                <w:b w:val="0"/>
                <w:vertAlign w:val="superscript"/>
              </w:rPr>
              <w:t>-1</w:t>
            </w:r>
            <w:r w:rsidRPr="008459B1">
              <w:rPr>
                <w:b w:val="0"/>
              </w:rPr>
              <w:t xml:space="preserve">). </w:t>
            </w:r>
          </w:p>
          <w:p w14:paraId="037F5E2C" w14:textId="77777777" w:rsidR="00761C77" w:rsidRPr="00761C77" w:rsidRDefault="00761C77" w:rsidP="00C605A8">
            <w:pPr>
              <w:spacing w:line="240" w:lineRule="auto"/>
            </w:pPr>
          </w:p>
        </w:tc>
        <w:tc>
          <w:tcPr>
            <w:tcW w:w="1008" w:type="dxa"/>
            <w:tcBorders>
              <w:left w:val="nil"/>
            </w:tcBorders>
          </w:tcPr>
          <w:p w14:paraId="484C652C" w14:textId="77777777" w:rsidR="00DC17A8" w:rsidRPr="00FB4744" w:rsidRDefault="005E2E34" w:rsidP="006A12B2">
            <w:pPr>
              <w:pStyle w:val="TOC1"/>
              <w:spacing w:before="0"/>
              <w:rPr>
                <w:rFonts w:ascii="Times New Roman" w:hAnsi="Times New Roman" w:cs="Times New Roman"/>
                <w:b w:val="0"/>
                <w:sz w:val="24"/>
                <w:szCs w:val="24"/>
                <w:u w:val="none"/>
              </w:rPr>
            </w:pPr>
            <w:r w:rsidRPr="00FB4744">
              <w:rPr>
                <w:rFonts w:ascii="Times New Roman" w:hAnsi="Times New Roman" w:cs="Times New Roman"/>
                <w:b w:val="0"/>
                <w:sz w:val="24"/>
                <w:szCs w:val="24"/>
                <w:u w:val="none"/>
              </w:rPr>
              <w:t>3</w:t>
            </w:r>
            <w:r w:rsidR="00D0223E">
              <w:rPr>
                <w:rFonts w:ascii="Times New Roman" w:hAnsi="Times New Roman" w:cs="Times New Roman"/>
                <w:b w:val="0"/>
                <w:sz w:val="24"/>
                <w:szCs w:val="24"/>
                <w:u w:val="none"/>
              </w:rPr>
              <w:t>9</w:t>
            </w:r>
          </w:p>
        </w:tc>
      </w:tr>
      <w:tr w:rsidR="009727CD" w14:paraId="0305C74D" w14:textId="77777777" w:rsidTr="00694C85">
        <w:tc>
          <w:tcPr>
            <w:tcW w:w="8568" w:type="dxa"/>
          </w:tcPr>
          <w:p w14:paraId="005156F5" w14:textId="77777777" w:rsidR="009727CD" w:rsidRDefault="009727CD" w:rsidP="008459B1">
            <w:pPr>
              <w:pStyle w:val="Caption"/>
            </w:pPr>
            <w:r>
              <w:t xml:space="preserve">Figure 1.2. </w:t>
            </w:r>
            <w:r w:rsidRPr="008459B1">
              <w:rPr>
                <w:b w:val="0"/>
              </w:rPr>
              <w:t>Large crabgrass (A) and goosegrass (B) control 2 weeks after treatment with topramezone alone or in combination with cloquintocet-mexyl (28 g ha</w:t>
            </w:r>
            <w:r w:rsidRPr="008459B1">
              <w:rPr>
                <w:b w:val="0"/>
                <w:vertAlign w:val="superscript"/>
              </w:rPr>
              <w:t>-1</w:t>
            </w:r>
            <w:r w:rsidRPr="008459B1">
              <w:rPr>
                <w:b w:val="0"/>
              </w:rPr>
              <w:t>) or malathion (1000 g ha</w:t>
            </w:r>
            <w:r w:rsidRPr="008459B1">
              <w:rPr>
                <w:b w:val="0"/>
                <w:vertAlign w:val="superscript"/>
              </w:rPr>
              <w:t>-1</w:t>
            </w:r>
            <w:r w:rsidRPr="008459B1">
              <w:rPr>
                <w:b w:val="0"/>
              </w:rPr>
              <w:t>).</w:t>
            </w:r>
          </w:p>
          <w:p w14:paraId="64DF0389" w14:textId="43286902" w:rsidR="00694C85" w:rsidRPr="00694C85" w:rsidRDefault="00694C85" w:rsidP="00694C85">
            <w:pPr>
              <w:spacing w:line="240" w:lineRule="auto"/>
            </w:pPr>
          </w:p>
        </w:tc>
        <w:tc>
          <w:tcPr>
            <w:tcW w:w="1008" w:type="dxa"/>
            <w:tcBorders>
              <w:left w:val="nil"/>
            </w:tcBorders>
          </w:tcPr>
          <w:p w14:paraId="5A978CEA" w14:textId="63159236" w:rsidR="009727CD" w:rsidRPr="00FB4744" w:rsidRDefault="009727CD" w:rsidP="006A12B2">
            <w:pPr>
              <w:pStyle w:val="TOC1"/>
              <w:spacing w:before="0"/>
              <w:rPr>
                <w:rFonts w:ascii="Times New Roman" w:hAnsi="Times New Roman" w:cs="Times New Roman"/>
                <w:b w:val="0"/>
                <w:sz w:val="24"/>
                <w:szCs w:val="24"/>
                <w:u w:val="none"/>
              </w:rPr>
            </w:pPr>
            <w:r>
              <w:rPr>
                <w:rFonts w:ascii="Times New Roman" w:hAnsi="Times New Roman" w:cs="Times New Roman"/>
                <w:b w:val="0"/>
                <w:sz w:val="24"/>
                <w:szCs w:val="24"/>
                <w:u w:val="none"/>
              </w:rPr>
              <w:t>40</w:t>
            </w:r>
          </w:p>
        </w:tc>
      </w:tr>
      <w:tr w:rsidR="00DC17A8" w14:paraId="23197185" w14:textId="77777777" w:rsidTr="00694C85">
        <w:trPr>
          <w:trHeight w:val="863"/>
        </w:trPr>
        <w:tc>
          <w:tcPr>
            <w:tcW w:w="8568" w:type="dxa"/>
          </w:tcPr>
          <w:p w14:paraId="598BEA74" w14:textId="77777777" w:rsidR="00DC17A8" w:rsidRPr="00DC17A8" w:rsidRDefault="00DC17A8" w:rsidP="00C605A8">
            <w:pPr>
              <w:pStyle w:val="Header"/>
              <w:tabs>
                <w:tab w:val="left" w:pos="180"/>
              </w:tabs>
              <w:spacing w:line="240" w:lineRule="auto"/>
              <w:rPr>
                <w:rFonts w:eastAsiaTheme="minorEastAsia" w:cs="Times New Roman"/>
              </w:rPr>
            </w:pPr>
            <w:r w:rsidRPr="00E63601">
              <w:rPr>
                <w:rFonts w:eastAsiaTheme="minorEastAsia" w:cs="Times New Roman"/>
                <w:b/>
              </w:rPr>
              <w:t xml:space="preserve">Figure </w:t>
            </w:r>
            <w:r>
              <w:rPr>
                <w:rFonts w:eastAsiaTheme="minorEastAsia" w:cs="Times New Roman"/>
                <w:b/>
              </w:rPr>
              <w:t>3.</w:t>
            </w:r>
            <w:r w:rsidRPr="00E63601">
              <w:rPr>
                <w:rFonts w:eastAsiaTheme="minorEastAsia" w:cs="Times New Roman"/>
                <w:b/>
              </w:rPr>
              <w:t>1.</w:t>
            </w:r>
            <w:r w:rsidRPr="00945F16">
              <w:rPr>
                <w:rFonts w:eastAsiaTheme="minorEastAsia" w:cs="Times New Roman"/>
              </w:rPr>
              <w:t xml:space="preserve"> Topramezone and its primary metabolite, topramezone-desmethyl as proposed by Grossman and Ehrhardt (2007).</w:t>
            </w:r>
          </w:p>
        </w:tc>
        <w:tc>
          <w:tcPr>
            <w:tcW w:w="1008" w:type="dxa"/>
            <w:tcBorders>
              <w:left w:val="nil"/>
            </w:tcBorders>
          </w:tcPr>
          <w:p w14:paraId="67AE41A6" w14:textId="41E97200" w:rsidR="00DC17A8" w:rsidRPr="00FB4744" w:rsidRDefault="00C605A8" w:rsidP="006A12B2">
            <w:pPr>
              <w:pStyle w:val="TOC1"/>
              <w:spacing w:before="0"/>
              <w:rPr>
                <w:rFonts w:ascii="Times New Roman" w:hAnsi="Times New Roman" w:cs="Times New Roman"/>
                <w:b w:val="0"/>
                <w:sz w:val="24"/>
                <w:szCs w:val="24"/>
                <w:u w:val="none"/>
              </w:rPr>
            </w:pPr>
            <w:r w:rsidRPr="00FB4744">
              <w:rPr>
                <w:rFonts w:ascii="Times New Roman" w:hAnsi="Times New Roman" w:cs="Times New Roman"/>
                <w:b w:val="0"/>
                <w:sz w:val="24"/>
                <w:szCs w:val="24"/>
                <w:u w:val="none"/>
              </w:rPr>
              <w:t>8</w:t>
            </w:r>
            <w:r w:rsidR="005A36A8">
              <w:rPr>
                <w:rFonts w:ascii="Times New Roman" w:hAnsi="Times New Roman" w:cs="Times New Roman"/>
                <w:b w:val="0"/>
                <w:sz w:val="24"/>
                <w:szCs w:val="24"/>
                <w:u w:val="none"/>
              </w:rPr>
              <w:t>8</w:t>
            </w:r>
          </w:p>
        </w:tc>
      </w:tr>
      <w:tr w:rsidR="00DC17A8" w14:paraId="065C78CC" w14:textId="77777777" w:rsidTr="00694C85">
        <w:tc>
          <w:tcPr>
            <w:tcW w:w="8568" w:type="dxa"/>
          </w:tcPr>
          <w:p w14:paraId="2224CA98" w14:textId="69D58FF0" w:rsidR="00DC17A8" w:rsidRDefault="00DC17A8" w:rsidP="00C605A8">
            <w:pPr>
              <w:spacing w:line="240" w:lineRule="auto"/>
              <w:rPr>
                <w:rFonts w:eastAsiaTheme="minorEastAsia"/>
              </w:rPr>
            </w:pPr>
            <w:r w:rsidRPr="00E63601">
              <w:rPr>
                <w:rFonts w:eastAsiaTheme="minorEastAsia"/>
                <w:b/>
              </w:rPr>
              <w:t xml:space="preserve">Figure </w:t>
            </w:r>
            <w:r>
              <w:rPr>
                <w:rFonts w:eastAsiaTheme="minorEastAsia"/>
                <w:b/>
              </w:rPr>
              <w:t>3.</w:t>
            </w:r>
            <w:r w:rsidRPr="00E63601">
              <w:rPr>
                <w:rFonts w:eastAsiaTheme="minorEastAsia"/>
                <w:b/>
              </w:rPr>
              <w:t>2.</w:t>
            </w:r>
            <w:r w:rsidRPr="00945F16">
              <w:rPr>
                <w:rFonts w:eastAsiaTheme="minorEastAsia"/>
              </w:rPr>
              <w:t xml:space="preserve"> Chlorophyll fluorescen</w:t>
            </w:r>
            <w:r>
              <w:rPr>
                <w:rFonts w:eastAsiaTheme="minorEastAsia"/>
              </w:rPr>
              <w:t xml:space="preserve">ce </w:t>
            </w:r>
            <w:proofErr w:type="gramStart"/>
            <w:r>
              <w:rPr>
                <w:rFonts w:eastAsiaTheme="minorEastAsia"/>
              </w:rPr>
              <w:t>yield</w:t>
            </w:r>
            <w:proofErr w:type="gramEnd"/>
            <w:r>
              <w:rPr>
                <w:rFonts w:eastAsiaTheme="minorEastAsia"/>
              </w:rPr>
              <w:t xml:space="preserve"> (F</w:t>
            </w:r>
            <w:r w:rsidRPr="00945F16">
              <w:rPr>
                <w:rFonts w:eastAsiaTheme="minorEastAsia"/>
                <w:vertAlign w:val="subscript"/>
              </w:rPr>
              <w:t>v</w:t>
            </w:r>
            <w:r w:rsidRPr="00945F16">
              <w:rPr>
                <w:rFonts w:eastAsiaTheme="minorEastAsia"/>
              </w:rPr>
              <w:t>/F</w:t>
            </w:r>
            <w:r w:rsidRPr="00945F16">
              <w:rPr>
                <w:rFonts w:eastAsiaTheme="minorEastAsia"/>
                <w:vertAlign w:val="subscript"/>
              </w:rPr>
              <w:t>m</w:t>
            </w:r>
            <w:r w:rsidRPr="00945F16">
              <w:rPr>
                <w:rFonts w:eastAsiaTheme="minorEastAsia"/>
              </w:rPr>
              <w:t>) of creeping bentgrass (</w:t>
            </w:r>
            <w:r w:rsidRPr="00945F16">
              <w:rPr>
                <w:rFonts w:eastAsiaTheme="minorEastAsia"/>
                <w:i/>
              </w:rPr>
              <w:t>Agrostis stolonifera</w:t>
            </w:r>
            <w:r w:rsidRPr="00945F16">
              <w:rPr>
                <w:rFonts w:eastAsiaTheme="minorEastAsia"/>
              </w:rPr>
              <w:t xml:space="preserve"> L.) leaf tissue two days after treatment with topramezone (8 g ha</w:t>
            </w:r>
            <w:r w:rsidRPr="00945F16">
              <w:rPr>
                <w:rFonts w:eastAsiaTheme="minorEastAsia"/>
                <w:vertAlign w:val="superscript"/>
              </w:rPr>
              <w:t>-1</w:t>
            </w:r>
            <w:r w:rsidRPr="00945F16">
              <w:rPr>
                <w:rFonts w:eastAsiaTheme="minorEastAsia"/>
              </w:rPr>
              <w:t xml:space="preserve">) alone or in combination with the cytochrome P450 </w:t>
            </w:r>
            <w:r w:rsidR="00904173">
              <w:rPr>
                <w:rFonts w:eastAsiaTheme="minorEastAsia"/>
              </w:rPr>
              <w:t>monooxygenase</w:t>
            </w:r>
            <w:r w:rsidRPr="00945F16">
              <w:rPr>
                <w:rFonts w:eastAsiaTheme="minorEastAsia"/>
              </w:rPr>
              <w:t xml:space="preserve"> inhibitors 1-aminobenzotriazole (ABT) or malathion.</w:t>
            </w:r>
          </w:p>
          <w:p w14:paraId="787CE36F" w14:textId="77777777" w:rsidR="00761C77" w:rsidRDefault="00761C77" w:rsidP="00C605A8">
            <w:pPr>
              <w:spacing w:line="240" w:lineRule="auto"/>
              <w:rPr>
                <w:b/>
                <w:sz w:val="28"/>
                <w:szCs w:val="28"/>
              </w:rPr>
            </w:pPr>
          </w:p>
        </w:tc>
        <w:tc>
          <w:tcPr>
            <w:tcW w:w="1008" w:type="dxa"/>
            <w:tcBorders>
              <w:left w:val="nil"/>
            </w:tcBorders>
          </w:tcPr>
          <w:p w14:paraId="6A2E1EB2" w14:textId="7B7D2390" w:rsidR="00DC17A8" w:rsidRPr="00FB4744" w:rsidRDefault="00C605A8" w:rsidP="006A12B2">
            <w:pPr>
              <w:pStyle w:val="TOC1"/>
              <w:spacing w:before="0"/>
              <w:rPr>
                <w:rFonts w:ascii="Times New Roman" w:hAnsi="Times New Roman" w:cs="Times New Roman"/>
                <w:b w:val="0"/>
                <w:sz w:val="24"/>
                <w:szCs w:val="24"/>
                <w:u w:val="none"/>
              </w:rPr>
            </w:pPr>
            <w:r w:rsidRPr="00FB4744">
              <w:rPr>
                <w:rFonts w:ascii="Times New Roman" w:hAnsi="Times New Roman" w:cs="Times New Roman"/>
                <w:b w:val="0"/>
                <w:sz w:val="24"/>
                <w:szCs w:val="24"/>
                <w:u w:val="none"/>
              </w:rPr>
              <w:t>8</w:t>
            </w:r>
            <w:r w:rsidR="005A36A8">
              <w:rPr>
                <w:rFonts w:ascii="Times New Roman" w:hAnsi="Times New Roman" w:cs="Times New Roman"/>
                <w:b w:val="0"/>
                <w:sz w:val="24"/>
                <w:szCs w:val="24"/>
                <w:u w:val="none"/>
              </w:rPr>
              <w:t>9</w:t>
            </w:r>
          </w:p>
        </w:tc>
      </w:tr>
      <w:tr w:rsidR="00DC17A8" w14:paraId="291AC388" w14:textId="77777777" w:rsidTr="00694C85">
        <w:tc>
          <w:tcPr>
            <w:tcW w:w="8568" w:type="dxa"/>
          </w:tcPr>
          <w:p w14:paraId="2492CD54" w14:textId="334BC176" w:rsidR="00DC17A8" w:rsidRDefault="00DC17A8" w:rsidP="00C605A8">
            <w:pPr>
              <w:spacing w:line="240" w:lineRule="auto"/>
              <w:rPr>
                <w:rFonts w:eastAsiaTheme="minorEastAsia"/>
              </w:rPr>
            </w:pPr>
            <w:r w:rsidRPr="00E63601">
              <w:rPr>
                <w:rFonts w:eastAsiaTheme="minorEastAsia"/>
                <w:b/>
              </w:rPr>
              <w:t xml:space="preserve">Figure </w:t>
            </w:r>
            <w:r>
              <w:rPr>
                <w:rFonts w:eastAsiaTheme="minorEastAsia"/>
                <w:b/>
              </w:rPr>
              <w:t>3.</w:t>
            </w:r>
            <w:r w:rsidRPr="00E63601">
              <w:rPr>
                <w:rFonts w:eastAsiaTheme="minorEastAsia"/>
                <w:b/>
              </w:rPr>
              <w:t>3.</w:t>
            </w:r>
            <w:r w:rsidRPr="00945F16">
              <w:rPr>
                <w:rFonts w:eastAsiaTheme="minorEastAsia"/>
              </w:rPr>
              <w:t xml:space="preserve"> Visible injury (1) and biomass (2) of creeping bentgrass (</w:t>
            </w:r>
            <w:r w:rsidRPr="00945F16">
              <w:rPr>
                <w:rFonts w:eastAsiaTheme="minorEastAsia"/>
                <w:i/>
              </w:rPr>
              <w:t>Agrostis stolonifera</w:t>
            </w:r>
            <w:r w:rsidRPr="00945F16">
              <w:rPr>
                <w:rFonts w:eastAsiaTheme="minorEastAsia"/>
              </w:rPr>
              <w:t xml:space="preserve"> L.) leaf tissue 10 days after treatment with topramezone (8 g ha</w:t>
            </w:r>
            <w:r w:rsidRPr="00945F16">
              <w:rPr>
                <w:rFonts w:eastAsiaTheme="minorEastAsia"/>
                <w:vertAlign w:val="superscript"/>
              </w:rPr>
              <w:t>-1</w:t>
            </w:r>
            <w:r w:rsidRPr="00945F16">
              <w:rPr>
                <w:rFonts w:eastAsiaTheme="minorEastAsia"/>
              </w:rPr>
              <w:t xml:space="preserve">) in combination with the cytochrome P450 </w:t>
            </w:r>
            <w:r w:rsidR="00904173">
              <w:rPr>
                <w:rFonts w:eastAsiaTheme="minorEastAsia"/>
              </w:rPr>
              <w:t>monooxygenase</w:t>
            </w:r>
            <w:r w:rsidRPr="00945F16">
              <w:rPr>
                <w:rFonts w:eastAsiaTheme="minorEastAsia"/>
              </w:rPr>
              <w:t xml:space="preserve"> inhibitors 1-aminobenzotriazole (ABT) or malathion.</w:t>
            </w:r>
          </w:p>
          <w:p w14:paraId="2EDBD13B" w14:textId="77777777" w:rsidR="00761C77" w:rsidRDefault="00761C77" w:rsidP="00C605A8">
            <w:pPr>
              <w:spacing w:line="240" w:lineRule="auto"/>
              <w:rPr>
                <w:b/>
                <w:sz w:val="28"/>
                <w:szCs w:val="28"/>
              </w:rPr>
            </w:pPr>
          </w:p>
        </w:tc>
        <w:tc>
          <w:tcPr>
            <w:tcW w:w="1008" w:type="dxa"/>
            <w:tcBorders>
              <w:left w:val="nil"/>
            </w:tcBorders>
          </w:tcPr>
          <w:p w14:paraId="41F68360" w14:textId="29ABE3F8" w:rsidR="00DC17A8" w:rsidRPr="00FB4744" w:rsidRDefault="005A36A8" w:rsidP="006A12B2">
            <w:pPr>
              <w:pStyle w:val="TOC1"/>
              <w:spacing w:before="0"/>
              <w:rPr>
                <w:rFonts w:ascii="Times New Roman" w:hAnsi="Times New Roman" w:cs="Times New Roman"/>
                <w:b w:val="0"/>
                <w:sz w:val="24"/>
                <w:szCs w:val="24"/>
                <w:u w:val="none"/>
              </w:rPr>
            </w:pPr>
            <w:r>
              <w:rPr>
                <w:rFonts w:ascii="Times New Roman" w:hAnsi="Times New Roman" w:cs="Times New Roman"/>
                <w:b w:val="0"/>
                <w:sz w:val="24"/>
                <w:szCs w:val="24"/>
                <w:u w:val="none"/>
              </w:rPr>
              <w:t>90</w:t>
            </w:r>
          </w:p>
        </w:tc>
      </w:tr>
      <w:tr w:rsidR="00DC17A8" w14:paraId="648BAA61" w14:textId="77777777" w:rsidTr="00694C85">
        <w:trPr>
          <w:trHeight w:val="575"/>
        </w:trPr>
        <w:tc>
          <w:tcPr>
            <w:tcW w:w="8568" w:type="dxa"/>
          </w:tcPr>
          <w:p w14:paraId="02CC0117" w14:textId="77777777" w:rsidR="00DC17A8" w:rsidRPr="00A514E1" w:rsidRDefault="00DC17A8" w:rsidP="00C605A8">
            <w:pPr>
              <w:widowControl w:val="0"/>
              <w:autoSpaceDE w:val="0"/>
              <w:autoSpaceDN w:val="0"/>
              <w:adjustRightInd w:val="0"/>
              <w:spacing w:line="240" w:lineRule="auto"/>
              <w:rPr>
                <w:rFonts w:cs="Times New Roman"/>
                <w:color w:val="131413"/>
              </w:rPr>
            </w:pPr>
            <w:r w:rsidRPr="003A1DC6">
              <w:rPr>
                <w:rFonts w:cs="Times New Roman"/>
                <w:b/>
                <w:color w:val="131413"/>
              </w:rPr>
              <w:t>Figure 4.1.</w:t>
            </w:r>
            <w:r>
              <w:rPr>
                <w:rFonts w:cs="Times New Roman"/>
                <w:color w:val="131413"/>
              </w:rPr>
              <w:t xml:space="preserve"> Generic structure of the </w:t>
            </w:r>
            <w:r>
              <w:rPr>
                <w:rFonts w:cs="Times New Roman"/>
              </w:rPr>
              <w:t>2-benzoylcylohexane-1</w:t>
            </w:r>
            <w:proofErr w:type="gramStart"/>
            <w:r>
              <w:rPr>
                <w:rFonts w:cs="Times New Roman"/>
              </w:rPr>
              <w:t>,3</w:t>
            </w:r>
            <w:proofErr w:type="gramEnd"/>
            <w:r>
              <w:rPr>
                <w:rFonts w:cs="Times New Roman"/>
              </w:rPr>
              <w:t>-dione herbicides.</w:t>
            </w:r>
          </w:p>
        </w:tc>
        <w:tc>
          <w:tcPr>
            <w:tcW w:w="1008" w:type="dxa"/>
            <w:tcBorders>
              <w:left w:val="nil"/>
            </w:tcBorders>
          </w:tcPr>
          <w:p w14:paraId="67528A2C" w14:textId="11BF7415" w:rsidR="00DC17A8" w:rsidRPr="00FB4744" w:rsidRDefault="00D0223E" w:rsidP="006A12B2">
            <w:pPr>
              <w:pStyle w:val="TOC1"/>
              <w:spacing w:before="0"/>
              <w:rPr>
                <w:rFonts w:ascii="Times New Roman" w:hAnsi="Times New Roman" w:cs="Times New Roman"/>
                <w:b w:val="0"/>
                <w:sz w:val="24"/>
                <w:szCs w:val="24"/>
                <w:u w:val="none"/>
              </w:rPr>
            </w:pPr>
            <w:r>
              <w:rPr>
                <w:rFonts w:ascii="Times New Roman" w:hAnsi="Times New Roman" w:cs="Times New Roman"/>
                <w:b w:val="0"/>
                <w:sz w:val="24"/>
                <w:szCs w:val="24"/>
                <w:u w:val="none"/>
              </w:rPr>
              <w:t>1</w:t>
            </w:r>
            <w:r w:rsidR="005A36A8">
              <w:rPr>
                <w:rFonts w:ascii="Times New Roman" w:hAnsi="Times New Roman" w:cs="Times New Roman"/>
                <w:b w:val="0"/>
                <w:sz w:val="24"/>
                <w:szCs w:val="24"/>
                <w:u w:val="none"/>
              </w:rPr>
              <w:t>10</w:t>
            </w:r>
          </w:p>
        </w:tc>
      </w:tr>
      <w:tr w:rsidR="00DC17A8" w14:paraId="32784030" w14:textId="77777777" w:rsidTr="00694C85">
        <w:tc>
          <w:tcPr>
            <w:tcW w:w="8568" w:type="dxa"/>
          </w:tcPr>
          <w:p w14:paraId="5D142766" w14:textId="77777777" w:rsidR="00DC17A8" w:rsidRPr="00A514E1" w:rsidRDefault="00DC17A8" w:rsidP="00C605A8">
            <w:pPr>
              <w:widowControl w:val="0"/>
              <w:autoSpaceDE w:val="0"/>
              <w:autoSpaceDN w:val="0"/>
              <w:adjustRightInd w:val="0"/>
              <w:spacing w:line="240" w:lineRule="auto"/>
              <w:rPr>
                <w:rFonts w:cs="Times New Roman"/>
                <w:color w:val="131413"/>
              </w:rPr>
            </w:pPr>
            <w:r w:rsidRPr="003A1DC6">
              <w:rPr>
                <w:rFonts w:cs="Times New Roman"/>
                <w:b/>
                <w:color w:val="131413"/>
              </w:rPr>
              <w:t>Figure 4.2.</w:t>
            </w:r>
            <w:r>
              <w:rPr>
                <w:rFonts w:cs="Times New Roman"/>
                <w:color w:val="131413"/>
              </w:rPr>
              <w:t xml:space="preserve"> Minimum structural requirement for HPPD inhibitors proposed by Lee et al. (1997). </w:t>
            </w:r>
          </w:p>
        </w:tc>
        <w:tc>
          <w:tcPr>
            <w:tcW w:w="1008" w:type="dxa"/>
            <w:tcBorders>
              <w:left w:val="nil"/>
            </w:tcBorders>
          </w:tcPr>
          <w:p w14:paraId="69385DED" w14:textId="24BB5F06" w:rsidR="00DC17A8" w:rsidRPr="00FB4744" w:rsidRDefault="00D0223E" w:rsidP="006A12B2">
            <w:pPr>
              <w:pStyle w:val="TOC1"/>
              <w:spacing w:before="0"/>
              <w:rPr>
                <w:rFonts w:ascii="Times New Roman" w:hAnsi="Times New Roman" w:cs="Times New Roman"/>
                <w:b w:val="0"/>
                <w:sz w:val="24"/>
                <w:szCs w:val="24"/>
                <w:u w:val="none"/>
              </w:rPr>
            </w:pPr>
            <w:r>
              <w:rPr>
                <w:rFonts w:ascii="Times New Roman" w:hAnsi="Times New Roman" w:cs="Times New Roman"/>
                <w:b w:val="0"/>
                <w:sz w:val="24"/>
                <w:szCs w:val="24"/>
                <w:u w:val="none"/>
              </w:rPr>
              <w:t>11</w:t>
            </w:r>
            <w:r w:rsidR="005A36A8">
              <w:rPr>
                <w:rFonts w:ascii="Times New Roman" w:hAnsi="Times New Roman" w:cs="Times New Roman"/>
                <w:b w:val="0"/>
                <w:sz w:val="24"/>
                <w:szCs w:val="24"/>
                <w:u w:val="none"/>
              </w:rPr>
              <w:t>1</w:t>
            </w:r>
          </w:p>
        </w:tc>
      </w:tr>
    </w:tbl>
    <w:p w14:paraId="4A434B47" w14:textId="77777777" w:rsidR="000D7C08" w:rsidRDefault="000D7C08" w:rsidP="00EB054E">
      <w:pPr>
        <w:pStyle w:val="TOC1"/>
      </w:pPr>
    </w:p>
    <w:p w14:paraId="12ABB478" w14:textId="77777777" w:rsidR="000D7C08" w:rsidRPr="00B82857" w:rsidRDefault="000D7C08" w:rsidP="00B82857">
      <w:pPr>
        <w:spacing w:line="240" w:lineRule="auto"/>
        <w:rPr>
          <w:caps/>
          <w:sz w:val="28"/>
          <w:szCs w:val="28"/>
        </w:rPr>
      </w:pPr>
      <w:r>
        <w:rPr>
          <w:b/>
          <w:sz w:val="28"/>
          <w:szCs w:val="28"/>
        </w:rPr>
        <w:br w:type="page"/>
      </w:r>
    </w:p>
    <w:bookmarkEnd w:id="2"/>
    <w:bookmarkEnd w:id="1"/>
    <w:bookmarkEnd w:id="0"/>
    <w:p w14:paraId="6037129E" w14:textId="77777777" w:rsidR="008A3BE2" w:rsidRPr="008A3BE2" w:rsidRDefault="008A3BE2" w:rsidP="008A3BE2">
      <w:pPr>
        <w:sectPr w:rsidR="008A3BE2" w:rsidRPr="008A3BE2">
          <w:footerReference w:type="even" r:id="rId9"/>
          <w:footerReference w:type="default" r:id="rId10"/>
          <w:pgSz w:w="12240" w:h="15840"/>
          <w:pgMar w:top="1440" w:right="1440" w:bottom="1440" w:left="1440" w:header="720" w:footer="720" w:gutter="0"/>
          <w:pgNumType w:fmt="lowerRoman" w:start="1"/>
          <w:cols w:space="720"/>
          <w:titlePg/>
          <w:docGrid w:linePitch="360"/>
        </w:sectPr>
      </w:pPr>
    </w:p>
    <w:p w14:paraId="3BD22BFD" w14:textId="77777777" w:rsidR="00D560D4" w:rsidRDefault="00D560D4" w:rsidP="000A2244">
      <w:pPr>
        <w:rPr>
          <w:b/>
        </w:rPr>
      </w:pPr>
    </w:p>
    <w:p w14:paraId="08EE54AB" w14:textId="77777777" w:rsidR="001701FD" w:rsidRDefault="001701FD" w:rsidP="00D560D4">
      <w:pPr>
        <w:pStyle w:val="Heading1"/>
      </w:pPr>
      <w:bookmarkStart w:id="4" w:name="_Toc264713549"/>
      <w:bookmarkStart w:id="5" w:name="_Toc264713592"/>
    </w:p>
    <w:p w14:paraId="3A32C9BC" w14:textId="77777777" w:rsidR="001701FD" w:rsidRDefault="001701FD" w:rsidP="00D560D4">
      <w:pPr>
        <w:pStyle w:val="Heading1"/>
      </w:pPr>
    </w:p>
    <w:p w14:paraId="4972122E" w14:textId="77777777" w:rsidR="001701FD" w:rsidRDefault="001701FD" w:rsidP="00D560D4">
      <w:pPr>
        <w:pStyle w:val="Heading1"/>
      </w:pPr>
    </w:p>
    <w:p w14:paraId="3830433B" w14:textId="77777777" w:rsidR="001701FD" w:rsidRDefault="001701FD" w:rsidP="00D560D4">
      <w:pPr>
        <w:pStyle w:val="Heading1"/>
      </w:pPr>
    </w:p>
    <w:p w14:paraId="2E900414" w14:textId="77777777" w:rsidR="001701FD" w:rsidRDefault="001701FD" w:rsidP="00D560D4">
      <w:pPr>
        <w:pStyle w:val="Heading1"/>
      </w:pPr>
    </w:p>
    <w:p w14:paraId="65F93E57" w14:textId="77777777" w:rsidR="001701FD" w:rsidRDefault="001701FD" w:rsidP="00D560D4">
      <w:pPr>
        <w:pStyle w:val="Heading1"/>
      </w:pPr>
    </w:p>
    <w:p w14:paraId="25D98FF6" w14:textId="77777777" w:rsidR="001701FD" w:rsidRDefault="001701FD" w:rsidP="00D560D4">
      <w:pPr>
        <w:pStyle w:val="Heading1"/>
      </w:pPr>
    </w:p>
    <w:p w14:paraId="2674899D" w14:textId="77777777" w:rsidR="001701FD" w:rsidRDefault="001701FD" w:rsidP="00D560D4">
      <w:pPr>
        <w:pStyle w:val="Heading1"/>
      </w:pPr>
    </w:p>
    <w:p w14:paraId="5FD01D2E" w14:textId="77777777" w:rsidR="00D562D3" w:rsidRDefault="00C070B8" w:rsidP="00D560D4">
      <w:pPr>
        <w:pStyle w:val="Heading1"/>
      </w:pPr>
      <w:bookmarkStart w:id="6" w:name="_Toc264967174"/>
      <w:r w:rsidRPr="00C070B8">
        <w:t>INTRODUCTION</w:t>
      </w:r>
      <w:bookmarkEnd w:id="4"/>
      <w:bookmarkEnd w:id="5"/>
      <w:bookmarkEnd w:id="6"/>
    </w:p>
    <w:p w14:paraId="4DFC630C" w14:textId="77777777" w:rsidR="00D560D4" w:rsidRDefault="00D560D4">
      <w:pPr>
        <w:spacing w:line="240" w:lineRule="auto"/>
        <w:rPr>
          <w:b/>
        </w:rPr>
      </w:pPr>
      <w:r>
        <w:rPr>
          <w:b/>
        </w:rPr>
        <w:br w:type="page"/>
      </w:r>
    </w:p>
    <w:p w14:paraId="6670AE6E" w14:textId="77777777" w:rsidR="00D560D4" w:rsidRDefault="00D560D4" w:rsidP="00D560D4">
      <w:pPr>
        <w:pStyle w:val="Heading2"/>
      </w:pPr>
      <w:bookmarkStart w:id="7" w:name="_Toc264713550"/>
      <w:bookmarkStart w:id="8" w:name="_Toc264713593"/>
      <w:bookmarkStart w:id="9" w:name="_Toc264967175"/>
      <w:r>
        <w:lastRenderedPageBreak/>
        <w:t>BACKGROUND</w:t>
      </w:r>
      <w:bookmarkEnd w:id="7"/>
      <w:bookmarkEnd w:id="8"/>
      <w:bookmarkEnd w:id="9"/>
    </w:p>
    <w:p w14:paraId="0BE0A175" w14:textId="62019465" w:rsidR="00C070B8" w:rsidRDefault="00C070B8" w:rsidP="00C070B8">
      <w:pPr>
        <w:ind w:firstLine="720"/>
        <w:rPr>
          <w:rFonts w:cs="Times New Roman"/>
          <w:color w:val="000000"/>
        </w:rPr>
      </w:pPr>
      <w:r w:rsidRPr="00576A86">
        <w:rPr>
          <w:rFonts w:cs="Times New Roman"/>
        </w:rPr>
        <w:t>Creeping bentgrass (CBG) (</w:t>
      </w:r>
      <w:r w:rsidRPr="00576A86">
        <w:rPr>
          <w:rFonts w:cs="Times New Roman"/>
          <w:i/>
        </w:rPr>
        <w:t>Agrostis stolonifera</w:t>
      </w:r>
      <w:r w:rsidRPr="00576A86">
        <w:rPr>
          <w:rFonts w:cs="Times New Roman"/>
        </w:rPr>
        <w:t xml:space="preserve"> L.) is the most widely used cool-season turfgrass species on golf course fairways and tees in the United States (Lyman et al. 2007). Despite widespread popularity, CBG is tolerant of few post</w:t>
      </w:r>
      <w:r w:rsidR="002F7D0E">
        <w:rPr>
          <w:rFonts w:cs="Times New Roman"/>
        </w:rPr>
        <w:t>-</w:t>
      </w:r>
      <w:r w:rsidRPr="00576A86">
        <w:rPr>
          <w:rFonts w:cs="Times New Roman"/>
        </w:rPr>
        <w:t>emergence herbicides. This forces turfgrass managers to tolerate moderate injury from herbicides used to control graminaceous weeds</w:t>
      </w:r>
      <w:r>
        <w:rPr>
          <w:rFonts w:cs="Times New Roman"/>
        </w:rPr>
        <w:t xml:space="preserve"> or use more laborious methods of removal</w:t>
      </w:r>
      <w:r w:rsidRPr="00576A86">
        <w:rPr>
          <w:rFonts w:cs="Times New Roman"/>
        </w:rPr>
        <w:t xml:space="preserve"> (Dernoeden et al. 2003; Henry and Hart 2004; Johnson 1994; McDonald et al. 2006). </w:t>
      </w:r>
      <w:r>
        <w:rPr>
          <w:rFonts w:cs="Times New Roman"/>
        </w:rPr>
        <w:t>H</w:t>
      </w:r>
      <w:r w:rsidRPr="00576A86">
        <w:rPr>
          <w:rFonts w:cs="Times New Roman"/>
        </w:rPr>
        <w:t xml:space="preserve">erbicide development is </w:t>
      </w:r>
      <w:r>
        <w:rPr>
          <w:rFonts w:cs="Times New Roman"/>
        </w:rPr>
        <w:t xml:space="preserve">currently </w:t>
      </w:r>
      <w:r w:rsidRPr="00576A86">
        <w:rPr>
          <w:rFonts w:cs="Times New Roman"/>
          <w:color w:val="000000"/>
        </w:rPr>
        <w:t xml:space="preserve">focused on providing superintendents with herbicides that pose minimal environmental impact and can be used effectively at lower application rates than older alternatives; examples include </w:t>
      </w:r>
      <w:r>
        <w:rPr>
          <w:rFonts w:cs="Times New Roman"/>
          <w:color w:val="000000"/>
        </w:rPr>
        <w:t>amicarbazone</w:t>
      </w:r>
      <w:r w:rsidRPr="00576A86">
        <w:rPr>
          <w:rFonts w:cs="Times New Roman"/>
          <w:color w:val="000000"/>
        </w:rPr>
        <w:t>, bispyribac-sodium and topramezone. However, few of these products are safe for use on CBG.</w:t>
      </w:r>
      <w:r w:rsidR="009A36A9">
        <w:rPr>
          <w:rFonts w:cs="Times New Roman"/>
          <w:color w:val="000000"/>
        </w:rPr>
        <w:t xml:space="preserve"> </w:t>
      </w:r>
    </w:p>
    <w:p w14:paraId="439EC3C5" w14:textId="77777777" w:rsidR="009A36A9" w:rsidRPr="00576A86" w:rsidRDefault="009A36A9" w:rsidP="00C070B8">
      <w:pPr>
        <w:ind w:firstLine="720"/>
        <w:rPr>
          <w:rFonts w:cs="Times New Roman"/>
        </w:rPr>
      </w:pPr>
      <w:r>
        <w:rPr>
          <w:rFonts w:cs="Times New Roman"/>
          <w:color w:val="000000"/>
        </w:rPr>
        <w:t>The objective of this research was to explore two strategies to develop herbicide options for weed control in CBG. One strategy is to use herbicide safeners to increase CBG tolerance to herbicides. The other is to synthesize analogs of commercially available herbicides and evaluate their efficacy against turfgrass weeds.</w:t>
      </w:r>
    </w:p>
    <w:p w14:paraId="3CC9343C" w14:textId="77777777" w:rsidR="00372604" w:rsidRPr="00372604" w:rsidRDefault="00D560D4" w:rsidP="00D560D4">
      <w:pPr>
        <w:pStyle w:val="Heading2"/>
      </w:pPr>
      <w:bookmarkStart w:id="10" w:name="_Toc264713551"/>
      <w:bookmarkStart w:id="11" w:name="_Toc264713594"/>
      <w:bookmarkStart w:id="12" w:name="_Toc264967176"/>
      <w:r>
        <w:t>HERBICIDE SAFENERS</w:t>
      </w:r>
      <w:bookmarkEnd w:id="10"/>
      <w:bookmarkEnd w:id="11"/>
      <w:bookmarkEnd w:id="12"/>
    </w:p>
    <w:p w14:paraId="0DE5A935" w14:textId="77777777" w:rsidR="00C070B8" w:rsidRPr="00576A86" w:rsidRDefault="00C070B8" w:rsidP="00372604">
      <w:pPr>
        <w:ind w:firstLine="720"/>
        <w:rPr>
          <w:rFonts w:cs="Times New Roman"/>
        </w:rPr>
      </w:pPr>
      <w:r w:rsidRPr="00576A86">
        <w:rPr>
          <w:rFonts w:cs="Times New Roman"/>
        </w:rPr>
        <w:t>Turfgrasses naturally contain enzymatic systems to protect against xenobiotics (synthetic chemicals within the plant). Enzymes responsible for xenobiotic detoxification vary greatly across plant species (Kreuz et al. 1996). This variability is exploited by selective herbicides that are easily detoxified by desirable species but not target weeds. For example, the herbicide bispyribac-sodium is more rapidly detoxified by CBG than annual bluegrass (</w:t>
      </w:r>
      <w:r w:rsidRPr="00576A86">
        <w:rPr>
          <w:rFonts w:cs="Times New Roman"/>
          <w:i/>
        </w:rPr>
        <w:t xml:space="preserve">Poa annua </w:t>
      </w:r>
      <w:r w:rsidRPr="00576A86">
        <w:rPr>
          <w:rFonts w:cs="Times New Roman"/>
        </w:rPr>
        <w:t>L.), leading to selective control of annual bluegrass in CBG (McCullough et al. 2009). However, CBG injury from bispyribac-sodium still occurs</w:t>
      </w:r>
      <w:r>
        <w:rPr>
          <w:rFonts w:cs="Times New Roman"/>
        </w:rPr>
        <w:t>,</w:t>
      </w:r>
      <w:r w:rsidRPr="00576A86">
        <w:rPr>
          <w:rFonts w:cs="Times New Roman"/>
        </w:rPr>
        <w:t xml:space="preserve"> forcing superintendents to</w:t>
      </w:r>
      <w:r>
        <w:rPr>
          <w:rFonts w:cs="Times New Roman"/>
        </w:rPr>
        <w:t xml:space="preserve"> either</w:t>
      </w:r>
      <w:r w:rsidRPr="00576A86">
        <w:rPr>
          <w:rFonts w:cs="Times New Roman"/>
        </w:rPr>
        <w:t xml:space="preserve"> reduce bispyribac-sodium application rates to levels that reduce weed control</w:t>
      </w:r>
      <w:r>
        <w:rPr>
          <w:rFonts w:cs="Times New Roman"/>
        </w:rPr>
        <w:t xml:space="preserve"> or tolerate moderate CBG </w:t>
      </w:r>
      <w:r>
        <w:rPr>
          <w:rFonts w:cs="Times New Roman"/>
        </w:rPr>
        <w:lastRenderedPageBreak/>
        <w:t>injury</w:t>
      </w:r>
      <w:r w:rsidRPr="00576A86">
        <w:rPr>
          <w:rFonts w:cs="Times New Roman"/>
        </w:rPr>
        <w:t xml:space="preserve"> (Dernoeden et al. 2008; Rutledge et al. 2010). Selectively enhancing the ability of CBG to more rapidly detoxify bispyribac-sodium or other herbicides would provide more versatile options for selective weed control.</w:t>
      </w:r>
    </w:p>
    <w:p w14:paraId="3E990DB4" w14:textId="77777777" w:rsidR="00C070B8" w:rsidRPr="00576A86" w:rsidRDefault="00C070B8" w:rsidP="00C070B8">
      <w:pPr>
        <w:ind w:firstLine="720"/>
        <w:rPr>
          <w:rFonts w:cs="Times New Roman"/>
          <w:color w:val="000000"/>
        </w:rPr>
      </w:pPr>
      <w:r>
        <w:rPr>
          <w:rFonts w:cs="Times New Roman"/>
        </w:rPr>
        <w:t>Ideally, h</w:t>
      </w:r>
      <w:r w:rsidRPr="00576A86">
        <w:rPr>
          <w:rFonts w:cs="Times New Roman"/>
        </w:rPr>
        <w:t>erbicide safeners enhance xenobiotic detoxification in desirable plants but not weeds. The cytochrome P</w:t>
      </w:r>
      <w:r w:rsidRPr="00424926">
        <w:rPr>
          <w:rFonts w:cs="Times New Roman"/>
          <w:vertAlign w:val="subscript"/>
        </w:rPr>
        <w:t>450</w:t>
      </w:r>
      <w:r w:rsidRPr="00576A86">
        <w:rPr>
          <w:rFonts w:cs="Times New Roman"/>
        </w:rPr>
        <w:t xml:space="preserve"> and glutathione transferase</w:t>
      </w:r>
      <w:r>
        <w:rPr>
          <w:rFonts w:cs="Times New Roman"/>
        </w:rPr>
        <w:t xml:space="preserve"> (GST)</w:t>
      </w:r>
      <w:r w:rsidRPr="00576A86">
        <w:rPr>
          <w:rFonts w:cs="Times New Roman"/>
        </w:rPr>
        <w:t xml:space="preserve"> enzyme</w:t>
      </w:r>
      <w:r>
        <w:rPr>
          <w:rFonts w:cs="Times New Roman"/>
        </w:rPr>
        <w:t xml:space="preserve"> </w:t>
      </w:r>
      <w:r w:rsidRPr="00576A86">
        <w:rPr>
          <w:rFonts w:cs="Times New Roman"/>
        </w:rPr>
        <w:t>families are responsible for detoxifying many herbicides; herbicide safeners increase production of these enzymes in select species leading to more rapid herbicide detoxification and less injury (Edwards et al. 2000; Werck-Reichart et al. 2000). Introduced in 1971, nap</w:t>
      </w:r>
      <w:r>
        <w:rPr>
          <w:rFonts w:cs="Times New Roman"/>
        </w:rPr>
        <w:t>h</w:t>
      </w:r>
      <w:r w:rsidRPr="00576A86">
        <w:rPr>
          <w:rFonts w:cs="Times New Roman"/>
        </w:rPr>
        <w:t xml:space="preserve">thalic anhydride (NA) was the first compound patented exclusively as </w:t>
      </w:r>
      <w:proofErr w:type="gramStart"/>
      <w:r w:rsidRPr="00576A86">
        <w:rPr>
          <w:rFonts w:cs="Times New Roman"/>
        </w:rPr>
        <w:t>a</w:t>
      </w:r>
      <w:proofErr w:type="gramEnd"/>
      <w:r w:rsidRPr="00576A86">
        <w:rPr>
          <w:rFonts w:cs="Times New Roman"/>
        </w:rPr>
        <w:t xml:space="preserve"> herbicide safener (Davies 2001). Since the inception of NA</w:t>
      </w:r>
      <w:r>
        <w:rPr>
          <w:rFonts w:cs="Times New Roman"/>
        </w:rPr>
        <w:t xml:space="preserve"> </w:t>
      </w:r>
      <w:r w:rsidRPr="00576A86">
        <w:rPr>
          <w:rFonts w:cs="Times New Roman"/>
        </w:rPr>
        <w:t>other safeners have been developed. For example, the safener mefenpyr-diethyl reduces injury from the herbicide fenoxaprop-p-ethyl to cereal crops (Hacker et al. 2000)</w:t>
      </w:r>
      <w:r w:rsidRPr="00576A86">
        <w:rPr>
          <w:rFonts w:cs="Times New Roman"/>
          <w:color w:val="000000"/>
        </w:rPr>
        <w:t xml:space="preserve">. In crop production, other safeners such as cloquintocet-mexyl, isoxadifen-ethyl, furilazole, and cyprosulfamide reduce injury from several different herbicidal classes (Davies 2001; Hatzios 1997; Maldiza et al. 2010). </w:t>
      </w:r>
      <w:r>
        <w:rPr>
          <w:rFonts w:cs="Times New Roman"/>
          <w:color w:val="000000"/>
        </w:rPr>
        <w:t>R</w:t>
      </w:r>
      <w:r w:rsidRPr="00576A86">
        <w:rPr>
          <w:rFonts w:cs="Times New Roman"/>
          <w:color w:val="000000"/>
        </w:rPr>
        <w:t>esearch investigating the use of safeners in turfgrass found that the pyridine carboxylic acid</w:t>
      </w:r>
      <w:r>
        <w:rPr>
          <w:rFonts w:cs="Times New Roman"/>
          <w:color w:val="000000"/>
        </w:rPr>
        <w:t xml:space="preserve"> herbicide</w:t>
      </w:r>
      <w:r w:rsidRPr="00576A86">
        <w:rPr>
          <w:rFonts w:cs="Times New Roman"/>
          <w:color w:val="000000"/>
        </w:rPr>
        <w:t>, triclopyr, reduces zoysiagrass (</w:t>
      </w:r>
      <w:r w:rsidRPr="00576A86">
        <w:rPr>
          <w:rFonts w:cs="Times New Roman"/>
          <w:i/>
          <w:color w:val="000000"/>
        </w:rPr>
        <w:t>Zoysia japonica</w:t>
      </w:r>
      <w:r w:rsidRPr="00576A86">
        <w:rPr>
          <w:rFonts w:cs="Times New Roman"/>
          <w:color w:val="000000"/>
        </w:rPr>
        <w:t xml:space="preserve"> Steud.) injury with fluazifop-p-butyl (Lewis et al. 2010). </w:t>
      </w:r>
      <w:r>
        <w:rPr>
          <w:rFonts w:cs="Times New Roman"/>
          <w:color w:val="000000"/>
        </w:rPr>
        <w:t xml:space="preserve">Other research investigating tall fescue </w:t>
      </w:r>
      <w:r w:rsidR="00D75B85">
        <w:rPr>
          <w:rFonts w:cs="Times New Roman"/>
          <w:color w:val="000000"/>
        </w:rPr>
        <w:t>[</w:t>
      </w:r>
      <w:r w:rsidRPr="00051283">
        <w:rPr>
          <w:rFonts w:cs="Times New Roman"/>
          <w:i/>
          <w:color w:val="000000"/>
        </w:rPr>
        <w:t>Festuca arundinacea</w:t>
      </w:r>
      <w:r>
        <w:rPr>
          <w:rFonts w:cs="Times New Roman"/>
          <w:color w:val="000000"/>
        </w:rPr>
        <w:t xml:space="preserve"> (Scop.) Holub</w:t>
      </w:r>
      <w:r w:rsidR="00D75B85">
        <w:rPr>
          <w:rFonts w:cs="Times New Roman"/>
          <w:color w:val="000000"/>
        </w:rPr>
        <w:t xml:space="preserve">] </w:t>
      </w:r>
      <w:r>
        <w:rPr>
          <w:rFonts w:cs="Times New Roman"/>
          <w:color w:val="000000"/>
        </w:rPr>
        <w:t>as a buffer in row crops demonstrated several safeners increased tall fescue metabolism of the herbicides terbuthylazine and butachlor (Scarponi and Del Buono 2009).</w:t>
      </w:r>
    </w:p>
    <w:p w14:paraId="10AF75C1" w14:textId="77777777" w:rsidR="00C070B8" w:rsidRPr="00576A86" w:rsidRDefault="00C070B8" w:rsidP="00C070B8">
      <w:pPr>
        <w:ind w:firstLine="720"/>
        <w:rPr>
          <w:rFonts w:cs="Times New Roman"/>
          <w:color w:val="000000"/>
        </w:rPr>
      </w:pPr>
      <w:r w:rsidRPr="00576A86">
        <w:rPr>
          <w:rFonts w:cs="Times New Roman"/>
          <w:color w:val="000000"/>
        </w:rPr>
        <w:t xml:space="preserve">Information regarding the use of safeners in </w:t>
      </w:r>
      <w:r>
        <w:rPr>
          <w:rFonts w:cs="Times New Roman"/>
          <w:color w:val="000000"/>
        </w:rPr>
        <w:t>CBG</w:t>
      </w:r>
      <w:r w:rsidRPr="00576A86">
        <w:rPr>
          <w:rFonts w:cs="Times New Roman"/>
          <w:color w:val="000000"/>
        </w:rPr>
        <w:t xml:space="preserve"> weed management programs is needed. Findings could allow superintendents to develop weed management programs centered </w:t>
      </w:r>
      <w:r>
        <w:rPr>
          <w:rFonts w:cs="Times New Roman"/>
          <w:color w:val="000000"/>
        </w:rPr>
        <w:t>up</w:t>
      </w:r>
      <w:r w:rsidRPr="00576A86">
        <w:rPr>
          <w:rFonts w:cs="Times New Roman"/>
          <w:color w:val="000000"/>
        </w:rPr>
        <w:t xml:space="preserve">on the use of herbicides not currently safe for use on </w:t>
      </w:r>
      <w:r>
        <w:rPr>
          <w:rFonts w:cs="Times New Roman"/>
          <w:color w:val="000000"/>
        </w:rPr>
        <w:t>CBG</w:t>
      </w:r>
      <w:r w:rsidRPr="00576A86">
        <w:rPr>
          <w:rFonts w:cs="Times New Roman"/>
          <w:color w:val="000000"/>
        </w:rPr>
        <w:t xml:space="preserve">, many of which offer more favorable environmental toxicology and lower use-rates than current options. For example, ethofumesate is applied </w:t>
      </w:r>
      <w:r w:rsidR="00D75B85">
        <w:rPr>
          <w:rFonts w:cs="Times New Roman"/>
          <w:color w:val="000000"/>
        </w:rPr>
        <w:t xml:space="preserve">at </w:t>
      </w:r>
      <w:r w:rsidR="008C6084">
        <w:rPr>
          <w:rFonts w:cs="Times New Roman"/>
          <w:color w:val="000000"/>
        </w:rPr>
        <w:t>rates as high as 900 g ha-1</w:t>
      </w:r>
      <w:r w:rsidRPr="00576A86">
        <w:rPr>
          <w:rFonts w:cs="Times New Roman"/>
          <w:color w:val="000000"/>
        </w:rPr>
        <w:t xml:space="preserve"> despite the potential for CBG injury and inconsistent </w:t>
      </w:r>
      <w:r w:rsidRPr="00576A86">
        <w:rPr>
          <w:rFonts w:cs="Times New Roman"/>
          <w:color w:val="000000"/>
        </w:rPr>
        <w:lastRenderedPageBreak/>
        <w:t>annual bluegrass control (Branham and Meyer 2006; Kohler and Branham 2002). Herbicides that can be used at lower use rates and offer a more favorable environmental profile (e.g., bispyribac-sodium, amicarbazone, etc.) have been developed for annual bluegrass control in CBG. However, they are often injurious to CBG, making these herbicides ideal candidates for improvement with safeners (</w:t>
      </w:r>
      <w:r w:rsidRPr="00576A86">
        <w:rPr>
          <w:rFonts w:cs="Times New Roman"/>
        </w:rPr>
        <w:t>McCullough et al. 2009; McCullough et al. 2010)</w:t>
      </w:r>
      <w:r w:rsidRPr="00576A86">
        <w:rPr>
          <w:rFonts w:cs="Times New Roman"/>
          <w:color w:val="000000"/>
        </w:rPr>
        <w:t>. The same is true for herbicides used to control weed species other t</w:t>
      </w:r>
      <w:r>
        <w:rPr>
          <w:rFonts w:cs="Times New Roman"/>
          <w:color w:val="000000"/>
        </w:rPr>
        <w:t>han annual bluegrass including</w:t>
      </w:r>
      <w:r w:rsidRPr="00576A86">
        <w:rPr>
          <w:rFonts w:cs="Times New Roman"/>
          <w:color w:val="000000"/>
        </w:rPr>
        <w:t xml:space="preserve"> imazapic, topramezone and fenoxaprop-p-ethyl.</w:t>
      </w:r>
    </w:p>
    <w:p w14:paraId="36452BE7" w14:textId="77777777" w:rsidR="00C070B8" w:rsidRDefault="00C070B8" w:rsidP="00C070B8">
      <w:pPr>
        <w:ind w:firstLine="720"/>
        <w:rPr>
          <w:rFonts w:cs="Times New Roman"/>
          <w:color w:val="000000"/>
        </w:rPr>
      </w:pPr>
      <w:r w:rsidRPr="00576A86">
        <w:rPr>
          <w:rFonts w:cs="Times New Roman"/>
          <w:color w:val="000000"/>
        </w:rPr>
        <w:t>In recent years, herbicide development has focused on providing superintendents herbicides with minimal environmental impact that can be used effectively at lower application rates than older alternatives. Few of these products are safe for use on CBG. The objective of this research is to determine if safeners can increase CBG tolerance to these new herbicides and maintain weed control efficacy.</w:t>
      </w:r>
    </w:p>
    <w:p w14:paraId="16B21F00" w14:textId="77777777" w:rsidR="00372604" w:rsidRPr="009A36A9" w:rsidRDefault="00D560D4" w:rsidP="00D560D4">
      <w:pPr>
        <w:pStyle w:val="Heading2"/>
      </w:pPr>
      <w:bookmarkStart w:id="13" w:name="_Toc264713552"/>
      <w:bookmarkStart w:id="14" w:name="_Toc264713595"/>
      <w:bookmarkStart w:id="15" w:name="_Toc264967177"/>
      <w:r>
        <w:t>TRIKETONE HERBICIDES</w:t>
      </w:r>
      <w:bookmarkEnd w:id="13"/>
      <w:bookmarkEnd w:id="14"/>
      <w:bookmarkEnd w:id="15"/>
    </w:p>
    <w:p w14:paraId="4A5C13EC" w14:textId="33D4CDC7" w:rsidR="00F36966" w:rsidRDefault="00372604" w:rsidP="00372604">
      <w:pPr>
        <w:ind w:firstLine="720"/>
        <w:rPr>
          <w:rFonts w:cs="Times New Roman"/>
        </w:rPr>
      </w:pPr>
      <w:r>
        <w:rPr>
          <w:rFonts w:cs="Times New Roman"/>
        </w:rPr>
        <w:t>Mesotrione is the only HPPD-inhibiting, triketone herbicide registered for use in turfgrass and corn. It is registered for postemergence application at up to 150 g ha</w:t>
      </w:r>
      <w:r w:rsidRPr="00AD2617">
        <w:rPr>
          <w:rFonts w:cs="Times New Roman"/>
          <w:vertAlign w:val="superscript"/>
        </w:rPr>
        <w:t>-1</w:t>
      </w:r>
      <w:r>
        <w:rPr>
          <w:rFonts w:cs="Times New Roman"/>
        </w:rPr>
        <w:t xml:space="preserve"> in </w:t>
      </w:r>
      <w:r>
        <w:rPr>
          <w:rFonts w:cs="Times New Roman"/>
          <w:i/>
        </w:rPr>
        <w:t>Z</w:t>
      </w:r>
      <w:r w:rsidRPr="0042235C">
        <w:rPr>
          <w:rFonts w:cs="Times New Roman"/>
          <w:i/>
        </w:rPr>
        <w:t>ea mays</w:t>
      </w:r>
      <w:r>
        <w:rPr>
          <w:rFonts w:cs="Times New Roman"/>
        </w:rPr>
        <w:t xml:space="preserve"> and the turfgrass </w:t>
      </w:r>
      <w:r w:rsidRPr="000025E3">
        <w:rPr>
          <w:rFonts w:cs="Times New Roman"/>
          <w:i/>
        </w:rPr>
        <w:t>Lolium perenne</w:t>
      </w:r>
      <w:r w:rsidRPr="0042235C">
        <w:rPr>
          <w:rFonts w:cs="Times New Roman"/>
        </w:rPr>
        <w:t xml:space="preserve">, </w:t>
      </w:r>
      <w:r>
        <w:rPr>
          <w:rFonts w:cs="Times New Roman"/>
        </w:rPr>
        <w:t>and up to 280 g ha</w:t>
      </w:r>
      <w:r w:rsidRPr="00AD2617">
        <w:rPr>
          <w:rFonts w:cs="Times New Roman"/>
          <w:vertAlign w:val="superscript"/>
        </w:rPr>
        <w:t>-1</w:t>
      </w:r>
      <w:r>
        <w:rPr>
          <w:rFonts w:cs="Times New Roman"/>
        </w:rPr>
        <w:t xml:space="preserve"> in </w:t>
      </w:r>
      <w:r w:rsidRPr="00AD2617">
        <w:rPr>
          <w:rFonts w:cs="Times New Roman"/>
          <w:i/>
        </w:rPr>
        <w:t>Festuca arundinacea</w:t>
      </w:r>
      <w:r>
        <w:rPr>
          <w:rFonts w:cs="Times New Roman"/>
        </w:rPr>
        <w:t xml:space="preserve"> and </w:t>
      </w:r>
      <w:r w:rsidRPr="00AD2617">
        <w:rPr>
          <w:rFonts w:cs="Times New Roman"/>
          <w:i/>
        </w:rPr>
        <w:t>Poa pratensis</w:t>
      </w:r>
      <w:r w:rsidRPr="00AD2617">
        <w:rPr>
          <w:rFonts w:cs="Times New Roman"/>
        </w:rPr>
        <w:t xml:space="preserve"> </w:t>
      </w:r>
      <w:r>
        <w:rPr>
          <w:rFonts w:cs="Times New Roman"/>
        </w:rPr>
        <w:t xml:space="preserve">(Anonymous 2011, 2012). In </w:t>
      </w:r>
      <w:r>
        <w:rPr>
          <w:rFonts w:cs="Times New Roman"/>
          <w:i/>
        </w:rPr>
        <w:t>Z</w:t>
      </w:r>
      <w:r w:rsidRPr="0042235C">
        <w:rPr>
          <w:rFonts w:cs="Times New Roman"/>
          <w:i/>
        </w:rPr>
        <w:t>ea mays</w:t>
      </w:r>
      <w:r>
        <w:rPr>
          <w:rFonts w:cs="Times New Roman"/>
        </w:rPr>
        <w:t xml:space="preserve">, mesotrione is primarily used to control broadleaf weeds. It can provide control of </w:t>
      </w:r>
      <w:r w:rsidRPr="00420496">
        <w:rPr>
          <w:rFonts w:cs="Times New Roman"/>
          <w:i/>
        </w:rPr>
        <w:t>Digitaria</w:t>
      </w:r>
      <w:r>
        <w:rPr>
          <w:rFonts w:cs="Times New Roman"/>
        </w:rPr>
        <w:t xml:space="preserve"> and </w:t>
      </w:r>
      <w:r w:rsidRPr="00420496">
        <w:rPr>
          <w:rFonts w:cs="Times New Roman"/>
          <w:i/>
        </w:rPr>
        <w:t>Echinochloa</w:t>
      </w:r>
      <w:r>
        <w:rPr>
          <w:rFonts w:cs="Times New Roman"/>
        </w:rPr>
        <w:t xml:space="preserve"> species at higher application rates, but it is often applied in combination with an ALS-inhibiting herbicide to provide annual grassy weed control (Mitchell et al. 2001; Soltani et al. 2012). In turfgrass, many other effective options for broadleaf weed control are </w:t>
      </w:r>
      <w:proofErr w:type="gramStart"/>
      <w:r>
        <w:rPr>
          <w:rFonts w:cs="Times New Roman"/>
        </w:rPr>
        <w:t>available,</w:t>
      </w:r>
      <w:proofErr w:type="gramEnd"/>
      <w:r>
        <w:rPr>
          <w:rFonts w:cs="Times New Roman"/>
        </w:rPr>
        <w:t xml:space="preserve"> therefore, mesotrione is used primarily for selective control of grassy weeds such as </w:t>
      </w:r>
      <w:r w:rsidRPr="009A23DC">
        <w:rPr>
          <w:rFonts w:cs="Times New Roman"/>
          <w:i/>
        </w:rPr>
        <w:t>Agrostis stolonifera</w:t>
      </w:r>
      <w:r>
        <w:rPr>
          <w:rFonts w:cs="Times New Roman"/>
        </w:rPr>
        <w:t xml:space="preserve">, </w:t>
      </w:r>
      <w:r w:rsidRPr="009A23DC">
        <w:rPr>
          <w:rFonts w:cs="Times New Roman"/>
          <w:i/>
        </w:rPr>
        <w:t>Poa annua</w:t>
      </w:r>
      <w:r>
        <w:rPr>
          <w:rFonts w:cs="Times New Roman"/>
        </w:rPr>
        <w:t xml:space="preserve">, and </w:t>
      </w:r>
      <w:r w:rsidRPr="009A23DC">
        <w:rPr>
          <w:rFonts w:cs="Times New Roman"/>
          <w:i/>
        </w:rPr>
        <w:t>Digitaria</w:t>
      </w:r>
      <w:r>
        <w:rPr>
          <w:rFonts w:cs="Times New Roman"/>
        </w:rPr>
        <w:t xml:space="preserve"> species. However, complete control of these grassy weeds often requires multiple applications (Elmore et al. 2012; </w:t>
      </w:r>
      <w:r>
        <w:rPr>
          <w:rFonts w:cs="Times New Roman"/>
        </w:rPr>
        <w:lastRenderedPageBreak/>
        <w:t>Jones and Christians 2007; Skelton et al. 2012). The efficacy of triketones with alkyl-substituted 1,3-cyclohexanedione moieties against graminaceous weeds problematic in turfgrass has not been evaluated. HPPD-inhibitors with more efficacy and selectivity for certain weedy grasses would have utility in turfgrass management.</w:t>
      </w:r>
    </w:p>
    <w:p w14:paraId="4975252B" w14:textId="77777777" w:rsidR="00C070B8" w:rsidRPr="00F36966" w:rsidRDefault="00F36966" w:rsidP="00F36966">
      <w:pPr>
        <w:spacing w:line="240" w:lineRule="auto"/>
        <w:rPr>
          <w:rFonts w:cs="Times New Roman"/>
        </w:rPr>
      </w:pPr>
      <w:r>
        <w:rPr>
          <w:rFonts w:cs="Times New Roman"/>
        </w:rPr>
        <w:br w:type="page"/>
      </w:r>
    </w:p>
    <w:p w14:paraId="2E1FB3B2" w14:textId="77777777" w:rsidR="00ED54C2" w:rsidRDefault="00372604" w:rsidP="00D560D4">
      <w:pPr>
        <w:pStyle w:val="Heading2"/>
      </w:pPr>
      <w:bookmarkStart w:id="16" w:name="_Toc264713553"/>
      <w:bookmarkStart w:id="17" w:name="_Toc264713596"/>
      <w:bookmarkStart w:id="18" w:name="_Toc264967178"/>
      <w:r>
        <w:lastRenderedPageBreak/>
        <w:t>LITERATURE CITED</w:t>
      </w:r>
      <w:bookmarkEnd w:id="16"/>
      <w:bookmarkEnd w:id="17"/>
      <w:bookmarkEnd w:id="18"/>
    </w:p>
    <w:p w14:paraId="113D7BAC" w14:textId="77777777" w:rsidR="003A116A" w:rsidRDefault="0066734F" w:rsidP="003A116A">
      <w:pPr>
        <w:ind w:left="720" w:hanging="720"/>
        <w:rPr>
          <w:rFonts w:cs="Times New Roman"/>
        </w:rPr>
      </w:pPr>
      <w:r>
        <w:rPr>
          <w:rFonts w:cs="Times New Roman"/>
        </w:rPr>
        <w:t>Anonymous. 2012.</w:t>
      </w:r>
      <w:r w:rsidR="003A116A">
        <w:rPr>
          <w:rFonts w:cs="Times New Roman"/>
        </w:rPr>
        <w:t xml:space="preserve"> Callisto herbicide label. </w:t>
      </w:r>
      <w:proofErr w:type="gramStart"/>
      <w:r w:rsidR="003A116A">
        <w:rPr>
          <w:rFonts w:cs="Times New Roman"/>
        </w:rPr>
        <w:t>Syngenta Crop Protection, LLC.</w:t>
      </w:r>
      <w:proofErr w:type="gramEnd"/>
      <w:r w:rsidR="003A116A">
        <w:rPr>
          <w:rFonts w:cs="Times New Roman"/>
        </w:rPr>
        <w:t xml:space="preserve"> </w:t>
      </w:r>
      <w:proofErr w:type="gramStart"/>
      <w:r w:rsidR="003A116A">
        <w:rPr>
          <w:rFonts w:cs="Times New Roman"/>
        </w:rPr>
        <w:t>Greensboro NC, USA.</w:t>
      </w:r>
      <w:proofErr w:type="gramEnd"/>
    </w:p>
    <w:p w14:paraId="7EBE3E50" w14:textId="77777777" w:rsidR="003A116A" w:rsidRDefault="0066734F" w:rsidP="003A116A">
      <w:pPr>
        <w:ind w:left="720" w:hanging="720"/>
        <w:rPr>
          <w:rFonts w:cs="Times New Roman"/>
        </w:rPr>
      </w:pPr>
      <w:r>
        <w:rPr>
          <w:rFonts w:cs="Times New Roman"/>
        </w:rPr>
        <w:t>Anonymous. 2011.</w:t>
      </w:r>
      <w:r w:rsidR="003A116A">
        <w:rPr>
          <w:rFonts w:cs="Times New Roman"/>
        </w:rPr>
        <w:t xml:space="preserve"> Tenacity herbicide label. </w:t>
      </w:r>
      <w:proofErr w:type="gramStart"/>
      <w:r w:rsidR="003A116A">
        <w:rPr>
          <w:rFonts w:cs="Times New Roman"/>
        </w:rPr>
        <w:t>Syngenta Professional Products.</w:t>
      </w:r>
      <w:proofErr w:type="gramEnd"/>
      <w:r w:rsidR="003A116A">
        <w:rPr>
          <w:rFonts w:cs="Times New Roman"/>
        </w:rPr>
        <w:t xml:space="preserve"> </w:t>
      </w:r>
      <w:proofErr w:type="gramStart"/>
      <w:r w:rsidR="003A116A">
        <w:rPr>
          <w:rFonts w:cs="Times New Roman"/>
        </w:rPr>
        <w:t>Greensboro NC, USA.</w:t>
      </w:r>
      <w:proofErr w:type="gramEnd"/>
    </w:p>
    <w:p w14:paraId="6369722E" w14:textId="77777777" w:rsidR="00372604" w:rsidRDefault="00372604" w:rsidP="00372604">
      <w:pPr>
        <w:ind w:left="720" w:hanging="720"/>
        <w:rPr>
          <w:rFonts w:cs="Times New Roman"/>
        </w:rPr>
      </w:pPr>
      <w:r>
        <w:rPr>
          <w:rFonts w:cs="Times New Roman"/>
        </w:rPr>
        <w:t>Buehring, B., R.E. Talbert and F.L. Baldwin. 2006. Rice (</w:t>
      </w:r>
      <w:r w:rsidRPr="004645C2">
        <w:rPr>
          <w:rFonts w:cs="Times New Roman"/>
          <w:i/>
        </w:rPr>
        <w:t>Oryza Sativa</w:t>
      </w:r>
      <w:r>
        <w:rPr>
          <w:rFonts w:cs="Times New Roman"/>
        </w:rPr>
        <w:t>) response and annual grass control with graminicides. Weed Technol. 20:738-744.</w:t>
      </w:r>
    </w:p>
    <w:p w14:paraId="5F4E36EF" w14:textId="77777777" w:rsidR="00372604" w:rsidRDefault="00372604" w:rsidP="00372604">
      <w:pPr>
        <w:ind w:left="720" w:hanging="720"/>
        <w:rPr>
          <w:rFonts w:cs="Times New Roman"/>
        </w:rPr>
      </w:pPr>
      <w:proofErr w:type="gramStart"/>
      <w:r>
        <w:rPr>
          <w:rFonts w:cs="Times New Roman"/>
        </w:rPr>
        <w:t>Bunting, J.A., C.L. Sprague and D.E. Reichers.</w:t>
      </w:r>
      <w:proofErr w:type="gramEnd"/>
      <w:r>
        <w:rPr>
          <w:rFonts w:cs="Times New Roman"/>
        </w:rPr>
        <w:t xml:space="preserve"> 2004. Physiological basis for tolerance of corn hybrids to foramsulfuron. Weed Sci. 52:711-717.</w:t>
      </w:r>
    </w:p>
    <w:p w14:paraId="569E6210" w14:textId="77777777" w:rsidR="00372604" w:rsidRPr="00900AE9" w:rsidRDefault="00372604" w:rsidP="00372604">
      <w:pPr>
        <w:ind w:left="720" w:hanging="720"/>
        <w:rPr>
          <w:rFonts w:cs="Times New Roman"/>
        </w:rPr>
      </w:pPr>
      <w:r w:rsidRPr="00900AE9">
        <w:rPr>
          <w:rFonts w:cs="Times New Roman"/>
        </w:rPr>
        <w:t>Branham, B.E. and J.W. Meyer. 2006. Response of four turfgrass species to ethofumesate.   Weed Technol</w:t>
      </w:r>
      <w:r>
        <w:rPr>
          <w:rFonts w:cs="Times New Roman"/>
        </w:rPr>
        <w:t>.</w:t>
      </w:r>
      <w:r w:rsidRPr="00900AE9">
        <w:rPr>
          <w:rFonts w:cs="Times New Roman"/>
        </w:rPr>
        <w:t xml:space="preserve"> 20:123-129.</w:t>
      </w:r>
    </w:p>
    <w:p w14:paraId="1524E797" w14:textId="4E2D4A63" w:rsidR="00372604" w:rsidRPr="00900AE9" w:rsidRDefault="00372604" w:rsidP="00372604">
      <w:pPr>
        <w:ind w:left="720" w:hanging="720"/>
        <w:rPr>
          <w:rFonts w:cs="Times New Roman"/>
        </w:rPr>
      </w:pPr>
      <w:r w:rsidRPr="00900AE9">
        <w:rPr>
          <w:rFonts w:cs="Times New Roman"/>
        </w:rPr>
        <w:t xml:space="preserve">Davies, J. 2001. </w:t>
      </w:r>
      <w:proofErr w:type="gramStart"/>
      <w:r w:rsidRPr="00900AE9">
        <w:rPr>
          <w:rFonts w:cs="Times New Roman"/>
        </w:rPr>
        <w:t xml:space="preserve">Herbicide safeners – commercial products and tools for </w:t>
      </w:r>
      <w:r w:rsidR="00C00B8F">
        <w:rPr>
          <w:rFonts w:cs="Times New Roman"/>
        </w:rPr>
        <w:t>agrochemical research.</w:t>
      </w:r>
      <w:proofErr w:type="gramEnd"/>
      <w:r w:rsidR="00C00B8F">
        <w:rPr>
          <w:rFonts w:cs="Times New Roman"/>
        </w:rPr>
        <w:t xml:space="preserve"> Pestic.</w:t>
      </w:r>
      <w:r w:rsidRPr="00900AE9">
        <w:rPr>
          <w:rFonts w:cs="Times New Roman"/>
        </w:rPr>
        <w:t xml:space="preserve"> Outlook. Doi: 10.1039/b 100799h.</w:t>
      </w:r>
    </w:p>
    <w:p w14:paraId="43D55549" w14:textId="77777777" w:rsidR="00372604" w:rsidRPr="00900AE9" w:rsidRDefault="00372604" w:rsidP="00372604">
      <w:pPr>
        <w:ind w:left="720" w:hanging="720"/>
        <w:rPr>
          <w:rFonts w:cs="Times New Roman"/>
        </w:rPr>
      </w:pPr>
      <w:r w:rsidRPr="00900AE9">
        <w:rPr>
          <w:rFonts w:cs="Times New Roman"/>
        </w:rPr>
        <w:t>Dernoeden, P.H., C.A. Bigelow, J.E. Kaminski, and J.M Krouse. 2003. Smooth crabgrass control and perennial ryegrass and creeping bentg</w:t>
      </w:r>
      <w:r>
        <w:rPr>
          <w:rFonts w:cs="Times New Roman"/>
        </w:rPr>
        <w:t>r</w:t>
      </w:r>
      <w:r w:rsidRPr="00900AE9">
        <w:rPr>
          <w:rFonts w:cs="Times New Roman"/>
        </w:rPr>
        <w:t xml:space="preserve">ass tolerance to quinclorac. HortSci. </w:t>
      </w:r>
      <w:proofErr w:type="gramStart"/>
      <w:r w:rsidRPr="00900AE9">
        <w:rPr>
          <w:rFonts w:cs="Times New Roman"/>
        </w:rPr>
        <w:t>38:607-612.</w:t>
      </w:r>
      <w:proofErr w:type="gramEnd"/>
    </w:p>
    <w:p w14:paraId="6A35ABA8" w14:textId="77777777" w:rsidR="00372604" w:rsidRPr="00900AE9" w:rsidRDefault="00372604" w:rsidP="00372604">
      <w:pPr>
        <w:ind w:left="720" w:hanging="720"/>
        <w:rPr>
          <w:rFonts w:cs="Times New Roman"/>
        </w:rPr>
      </w:pPr>
      <w:r w:rsidRPr="00900AE9">
        <w:rPr>
          <w:rFonts w:cs="Times New Roman"/>
        </w:rPr>
        <w:t xml:space="preserve">Dernoeden, P.H., S.J. McDonald, and J.E. Kaminski. 2008. Creeping bentgrass and perennial ryegrass seedling tolerance to bispyribac-sodium. HortSci. </w:t>
      </w:r>
      <w:proofErr w:type="gramStart"/>
      <w:r w:rsidRPr="00900AE9">
        <w:rPr>
          <w:rFonts w:cs="Times New Roman"/>
        </w:rPr>
        <w:t>43:2186-2190.</w:t>
      </w:r>
      <w:proofErr w:type="gramEnd"/>
    </w:p>
    <w:p w14:paraId="28073994" w14:textId="77777777" w:rsidR="00372604" w:rsidRDefault="00372604" w:rsidP="00372604">
      <w:pPr>
        <w:ind w:left="720" w:hanging="720"/>
        <w:rPr>
          <w:rFonts w:cs="Times New Roman"/>
        </w:rPr>
      </w:pPr>
      <w:r w:rsidRPr="00900AE9">
        <w:rPr>
          <w:rFonts w:cs="Times New Roman"/>
        </w:rPr>
        <w:t xml:space="preserve">Edwards, R., D.P. Dixon, and V. Walbot. 2000. Plant glutathione </w:t>
      </w:r>
      <w:r w:rsidRPr="00900AE9">
        <w:rPr>
          <w:rFonts w:cs="Times New Roman"/>
          <w:i/>
        </w:rPr>
        <w:t>S</w:t>
      </w:r>
      <w:r w:rsidRPr="00900AE9">
        <w:rPr>
          <w:rFonts w:cs="Times New Roman"/>
        </w:rPr>
        <w:t>-transferases: enzymes with multiple functions in sickness and in health. Trends in Plant Sci. 5:193-198</w:t>
      </w:r>
      <w:r>
        <w:rPr>
          <w:rFonts w:cs="Times New Roman"/>
        </w:rPr>
        <w:t>.</w:t>
      </w:r>
    </w:p>
    <w:p w14:paraId="3838ABAC" w14:textId="77777777" w:rsidR="003A116A" w:rsidRPr="00900AE9" w:rsidRDefault="003A116A" w:rsidP="003A116A">
      <w:pPr>
        <w:widowControl w:val="0"/>
        <w:autoSpaceDE w:val="0"/>
        <w:autoSpaceDN w:val="0"/>
        <w:adjustRightInd w:val="0"/>
        <w:ind w:left="720" w:hanging="720"/>
        <w:rPr>
          <w:rFonts w:cs="Times New Roman"/>
        </w:rPr>
      </w:pPr>
      <w:r>
        <w:rPr>
          <w:rFonts w:cs="Times New Roman"/>
        </w:rPr>
        <w:t>Elmore M</w:t>
      </w:r>
      <w:r w:rsidR="0066734F">
        <w:rPr>
          <w:rFonts w:cs="Times New Roman"/>
        </w:rPr>
        <w:t>.</w:t>
      </w:r>
      <w:r>
        <w:rPr>
          <w:rFonts w:cs="Times New Roman"/>
        </w:rPr>
        <w:t>T</w:t>
      </w:r>
      <w:r w:rsidR="0066734F">
        <w:rPr>
          <w:rFonts w:cs="Times New Roman"/>
        </w:rPr>
        <w:t>.</w:t>
      </w:r>
      <w:r>
        <w:rPr>
          <w:rFonts w:cs="Times New Roman"/>
        </w:rPr>
        <w:t xml:space="preserve">, </w:t>
      </w:r>
      <w:r w:rsidR="0066734F">
        <w:rPr>
          <w:rFonts w:cs="Times New Roman"/>
        </w:rPr>
        <w:t xml:space="preserve">J.T. </w:t>
      </w:r>
      <w:r w:rsidRPr="005A1D78">
        <w:rPr>
          <w:rFonts w:cs="Times New Roman"/>
        </w:rPr>
        <w:t>Brosnan</w:t>
      </w:r>
      <w:r w:rsidR="0066734F">
        <w:rPr>
          <w:rFonts w:cs="Times New Roman"/>
        </w:rPr>
        <w:t>, D.A.</w:t>
      </w:r>
      <w:r>
        <w:rPr>
          <w:rFonts w:cs="Times New Roman"/>
        </w:rPr>
        <w:t xml:space="preserve"> </w:t>
      </w:r>
      <w:r w:rsidRPr="005A1D78">
        <w:rPr>
          <w:rFonts w:cs="Times New Roman"/>
        </w:rPr>
        <w:t>Kopsell</w:t>
      </w:r>
      <w:r>
        <w:rPr>
          <w:rFonts w:cs="Times New Roman"/>
        </w:rPr>
        <w:t xml:space="preserve">, </w:t>
      </w:r>
      <w:r w:rsidR="0066734F">
        <w:rPr>
          <w:rFonts w:cs="Times New Roman"/>
        </w:rPr>
        <w:t xml:space="preserve">G.K. </w:t>
      </w:r>
      <w:r w:rsidRPr="005A1D78">
        <w:rPr>
          <w:rFonts w:cs="Times New Roman"/>
        </w:rPr>
        <w:t>Breeden. 2012</w:t>
      </w:r>
      <w:r w:rsidR="0066734F">
        <w:rPr>
          <w:rFonts w:cs="Times New Roman"/>
        </w:rPr>
        <w:t>.</w:t>
      </w:r>
      <w:r w:rsidRPr="005A1D78">
        <w:rPr>
          <w:rFonts w:cs="Times New Roman"/>
        </w:rPr>
        <w:t xml:space="preserve"> Nitrogen-enhanced efficacy of mesotrione and topramezone for smooth crabgrass (</w:t>
      </w:r>
      <w:r w:rsidRPr="005A1D78">
        <w:rPr>
          <w:rFonts w:cs="Times New Roman"/>
          <w:i/>
          <w:iCs/>
        </w:rPr>
        <w:t>Digitaria ischaemum</w:t>
      </w:r>
      <w:r>
        <w:rPr>
          <w:rFonts w:cs="Times New Roman"/>
        </w:rPr>
        <w:t xml:space="preserve">) control. </w:t>
      </w:r>
      <w:r w:rsidRPr="005A1D78">
        <w:rPr>
          <w:rFonts w:cs="Times New Roman"/>
        </w:rPr>
        <w:t>Weed Sci. 60:480-485</w:t>
      </w:r>
    </w:p>
    <w:p w14:paraId="711EB535" w14:textId="77777777" w:rsidR="00372604" w:rsidRPr="00900AE9" w:rsidRDefault="00372604" w:rsidP="00372604">
      <w:pPr>
        <w:ind w:left="720" w:hanging="720"/>
        <w:rPr>
          <w:rFonts w:cs="Times New Roman"/>
        </w:rPr>
      </w:pPr>
      <w:r w:rsidRPr="00900AE9">
        <w:rPr>
          <w:rFonts w:cs="Times New Roman"/>
        </w:rPr>
        <w:lastRenderedPageBreak/>
        <w:t>Hacker, E., H. Bieringer, L. Willms, W. R</w:t>
      </w:r>
      <w:r w:rsidRPr="00900AE9">
        <w:rPr>
          <w:rFonts w:cs="Times New Roman"/>
          <w:color w:val="000000"/>
        </w:rPr>
        <w:t>ö</w:t>
      </w:r>
      <w:r w:rsidRPr="00900AE9">
        <w:rPr>
          <w:rFonts w:cs="Times New Roman"/>
        </w:rPr>
        <w:t>sch, H. K</w:t>
      </w:r>
      <w:r w:rsidRPr="00900AE9">
        <w:rPr>
          <w:rFonts w:cs="Times New Roman"/>
          <w:color w:val="000000"/>
        </w:rPr>
        <w:t>ö</w:t>
      </w:r>
      <w:r w:rsidRPr="00900AE9">
        <w:rPr>
          <w:rFonts w:cs="Times New Roman"/>
        </w:rPr>
        <w:t xml:space="preserve">cher and R. Wolf. 2000. Mefenpyr-diethyl: a safener for feoxaprop-p-ethyl and iodosulfuron in cereals. </w:t>
      </w:r>
      <w:proofErr w:type="gramStart"/>
      <w:r w:rsidRPr="00900AE9">
        <w:rPr>
          <w:rFonts w:cs="Times New Roman"/>
        </w:rPr>
        <w:t>Proc. 20</w:t>
      </w:r>
      <w:r w:rsidRPr="00900AE9">
        <w:rPr>
          <w:rFonts w:cs="Times New Roman"/>
          <w:vertAlign w:val="superscript"/>
        </w:rPr>
        <w:t>th</w:t>
      </w:r>
      <w:r w:rsidRPr="00900AE9">
        <w:rPr>
          <w:rFonts w:cs="Times New Roman"/>
        </w:rPr>
        <w:t xml:space="preserve"> German Conference on Weed Biology and Weed Control.</w:t>
      </w:r>
      <w:proofErr w:type="gramEnd"/>
      <w:r w:rsidRPr="00900AE9">
        <w:rPr>
          <w:rFonts w:cs="Times New Roman"/>
        </w:rPr>
        <w:t xml:space="preserve"> 493-500.</w:t>
      </w:r>
    </w:p>
    <w:p w14:paraId="421A9649" w14:textId="77777777" w:rsidR="00372604" w:rsidRDefault="00372604" w:rsidP="00372604">
      <w:pPr>
        <w:ind w:left="720" w:hanging="720"/>
        <w:rPr>
          <w:rFonts w:cs="Times New Roman"/>
        </w:rPr>
      </w:pPr>
      <w:r w:rsidRPr="00900AE9">
        <w:rPr>
          <w:rFonts w:cs="Times New Roman"/>
        </w:rPr>
        <w:t xml:space="preserve">Hatzios, K.K. 1997. </w:t>
      </w:r>
      <w:proofErr w:type="gramStart"/>
      <w:r w:rsidRPr="00900AE9">
        <w:rPr>
          <w:rFonts w:cs="Times New Roman"/>
        </w:rPr>
        <w:t>Regulation of xenobiotic degrading enzymes with herbicide safeners.</w:t>
      </w:r>
      <w:proofErr w:type="gramEnd"/>
      <w:r w:rsidRPr="00900AE9">
        <w:rPr>
          <w:rFonts w:cs="Times New Roman"/>
        </w:rPr>
        <w:t xml:space="preserve"> In: Regulation of enzymatic systems detoxifying xenobiotics in plants. Ed. K.K. Hatzios. Netherlands: Kluwer Academic publishers. 275-288. </w:t>
      </w:r>
    </w:p>
    <w:p w14:paraId="110434E1" w14:textId="77777777" w:rsidR="00372604" w:rsidRPr="00B8176B" w:rsidRDefault="00372604" w:rsidP="00372604">
      <w:pPr>
        <w:widowControl w:val="0"/>
        <w:autoSpaceDE w:val="0"/>
        <w:autoSpaceDN w:val="0"/>
        <w:adjustRightInd w:val="0"/>
        <w:ind w:left="720" w:hanging="720"/>
        <w:rPr>
          <w:rFonts w:cs="Times New Roman"/>
        </w:rPr>
      </w:pPr>
      <w:proofErr w:type="gramStart"/>
      <w:r>
        <w:rPr>
          <w:rFonts w:cs="Times New Roman"/>
        </w:rPr>
        <w:t>Hatzios, K. K</w:t>
      </w:r>
      <w:r w:rsidRPr="00B8176B">
        <w:rPr>
          <w:rFonts w:cs="Times New Roman"/>
        </w:rPr>
        <w:t>. 1983.</w:t>
      </w:r>
      <w:proofErr w:type="gramEnd"/>
      <w:r w:rsidRPr="00B8176B">
        <w:rPr>
          <w:rFonts w:cs="Times New Roman"/>
        </w:rPr>
        <w:t xml:space="preserve"> Herbicide antidotes: Development, chemistry and mode of action. </w:t>
      </w:r>
      <w:proofErr w:type="gramStart"/>
      <w:r w:rsidRPr="00B8176B">
        <w:rPr>
          <w:rFonts w:cs="Times New Roman"/>
          <w:iCs/>
        </w:rPr>
        <w:t>Advances in Agronomy</w:t>
      </w:r>
      <w:r>
        <w:rPr>
          <w:rFonts w:cs="Times New Roman"/>
        </w:rPr>
        <w:t>.</w:t>
      </w:r>
      <w:proofErr w:type="gramEnd"/>
      <w:r w:rsidRPr="00B8176B">
        <w:rPr>
          <w:rFonts w:cs="Times New Roman"/>
        </w:rPr>
        <w:t xml:space="preserve"> </w:t>
      </w:r>
      <w:proofErr w:type="gramStart"/>
      <w:r w:rsidRPr="00B8176B">
        <w:rPr>
          <w:rFonts w:cs="Times New Roman"/>
          <w:bCs/>
        </w:rPr>
        <w:t>36:</w:t>
      </w:r>
      <w:r w:rsidRPr="00B8176B">
        <w:rPr>
          <w:rFonts w:cs="Times New Roman"/>
        </w:rPr>
        <w:t>265–316.</w:t>
      </w:r>
      <w:proofErr w:type="gramEnd"/>
    </w:p>
    <w:p w14:paraId="696D64B7" w14:textId="77777777" w:rsidR="00372604" w:rsidRDefault="00372604" w:rsidP="00372604">
      <w:pPr>
        <w:tabs>
          <w:tab w:val="left" w:pos="270"/>
        </w:tabs>
        <w:ind w:left="720" w:hanging="720"/>
        <w:rPr>
          <w:rFonts w:cs="Times New Roman"/>
        </w:rPr>
      </w:pPr>
      <w:r w:rsidRPr="00900AE9">
        <w:rPr>
          <w:rFonts w:cs="Times New Roman"/>
        </w:rPr>
        <w:t xml:space="preserve">Henry, G.M. and S.E. Hart. 2004. Velvet and </w:t>
      </w:r>
      <w:r w:rsidR="00B41392">
        <w:rPr>
          <w:rFonts w:cs="Times New Roman"/>
        </w:rPr>
        <w:t>c</w:t>
      </w:r>
      <w:r w:rsidRPr="00900AE9">
        <w:rPr>
          <w:rFonts w:cs="Times New Roman"/>
        </w:rPr>
        <w:t xml:space="preserve">reeping </w:t>
      </w:r>
      <w:r w:rsidR="00B41392">
        <w:rPr>
          <w:rFonts w:cs="Times New Roman"/>
        </w:rPr>
        <w:t>b</w:t>
      </w:r>
      <w:r w:rsidRPr="00900AE9">
        <w:rPr>
          <w:rFonts w:cs="Times New Roman"/>
        </w:rPr>
        <w:t xml:space="preserve">entgrass </w:t>
      </w:r>
      <w:r w:rsidR="00B41392">
        <w:rPr>
          <w:rFonts w:cs="Times New Roman"/>
        </w:rPr>
        <w:t>t</w:t>
      </w:r>
      <w:r w:rsidRPr="00900AE9">
        <w:rPr>
          <w:rFonts w:cs="Times New Roman"/>
        </w:rPr>
        <w:t xml:space="preserve">olerance to </w:t>
      </w:r>
      <w:r w:rsidR="00B41392">
        <w:rPr>
          <w:rFonts w:cs="Times New Roman"/>
        </w:rPr>
        <w:t>f</w:t>
      </w:r>
      <w:r w:rsidRPr="00900AE9">
        <w:rPr>
          <w:rFonts w:cs="Times New Roman"/>
        </w:rPr>
        <w:t xml:space="preserve">enoxaprop. HortSci. </w:t>
      </w:r>
      <w:proofErr w:type="gramStart"/>
      <w:r w:rsidRPr="00900AE9">
        <w:rPr>
          <w:rFonts w:cs="Times New Roman"/>
        </w:rPr>
        <w:t>39:1768-1770.</w:t>
      </w:r>
      <w:proofErr w:type="gramEnd"/>
    </w:p>
    <w:p w14:paraId="24BDBD8A" w14:textId="1AB2777D" w:rsidR="003A116A" w:rsidRPr="003A116A" w:rsidRDefault="003A116A" w:rsidP="003A116A">
      <w:pPr>
        <w:widowControl w:val="0"/>
        <w:autoSpaceDE w:val="0"/>
        <w:autoSpaceDN w:val="0"/>
        <w:adjustRightInd w:val="0"/>
        <w:ind w:left="720" w:hanging="720"/>
        <w:rPr>
          <w:rFonts w:cs="Times New Roman"/>
          <w:color w:val="231F20"/>
        </w:rPr>
      </w:pPr>
      <w:proofErr w:type="gramStart"/>
      <w:r w:rsidRPr="00FA2958">
        <w:rPr>
          <w:rStyle w:val="patent-title"/>
          <w:rFonts w:cs="Times New Roman"/>
        </w:rPr>
        <w:t>Jones M</w:t>
      </w:r>
      <w:r w:rsidR="001445D0">
        <w:rPr>
          <w:rStyle w:val="patent-title"/>
          <w:rFonts w:cs="Times New Roman"/>
        </w:rPr>
        <w:t>.</w:t>
      </w:r>
      <w:r w:rsidRPr="00FA2958">
        <w:rPr>
          <w:rStyle w:val="patent-title"/>
          <w:rFonts w:cs="Times New Roman"/>
        </w:rPr>
        <w:t>A</w:t>
      </w:r>
      <w:r w:rsidR="001445D0">
        <w:rPr>
          <w:rStyle w:val="patent-title"/>
          <w:rFonts w:cs="Times New Roman"/>
        </w:rPr>
        <w:t>. and N.E. Christians.</w:t>
      </w:r>
      <w:proofErr w:type="gramEnd"/>
      <w:r w:rsidR="001445D0">
        <w:rPr>
          <w:rStyle w:val="patent-title"/>
          <w:rFonts w:cs="Times New Roman"/>
        </w:rPr>
        <w:t xml:space="preserve"> 2007.</w:t>
      </w:r>
      <w:r w:rsidRPr="00FA2958">
        <w:rPr>
          <w:rStyle w:val="patent-title"/>
          <w:rFonts w:cs="Times New Roman"/>
        </w:rPr>
        <w:t xml:space="preserve"> </w:t>
      </w:r>
      <w:r w:rsidRPr="00FA2958">
        <w:rPr>
          <w:rFonts w:cs="Times New Roman"/>
          <w:color w:val="231F20"/>
        </w:rPr>
        <w:t xml:space="preserve">Mesotrione </w:t>
      </w:r>
      <w:r w:rsidR="00B41392">
        <w:rPr>
          <w:rFonts w:cs="Times New Roman"/>
          <w:color w:val="231F20"/>
        </w:rPr>
        <w:t>c</w:t>
      </w:r>
      <w:r w:rsidRPr="00FA2958">
        <w:rPr>
          <w:rFonts w:cs="Times New Roman"/>
          <w:color w:val="231F20"/>
        </w:rPr>
        <w:t xml:space="preserve">ontrols </w:t>
      </w:r>
      <w:r w:rsidR="00B41392">
        <w:rPr>
          <w:rFonts w:cs="Times New Roman"/>
          <w:color w:val="231F20"/>
        </w:rPr>
        <w:t>c</w:t>
      </w:r>
      <w:r w:rsidRPr="00FA2958">
        <w:rPr>
          <w:rFonts w:cs="Times New Roman"/>
          <w:color w:val="231F20"/>
        </w:rPr>
        <w:t xml:space="preserve">reeping </w:t>
      </w:r>
      <w:r w:rsidR="00B41392">
        <w:rPr>
          <w:rFonts w:cs="Times New Roman"/>
          <w:color w:val="231F20"/>
        </w:rPr>
        <w:t>b</w:t>
      </w:r>
      <w:r w:rsidRPr="00FA2958">
        <w:rPr>
          <w:rFonts w:cs="Times New Roman"/>
          <w:color w:val="231F20"/>
        </w:rPr>
        <w:t>entgrass (</w:t>
      </w:r>
      <w:r w:rsidRPr="00FA2958">
        <w:rPr>
          <w:rFonts w:cs="Times New Roman"/>
          <w:i/>
          <w:color w:val="231F20"/>
        </w:rPr>
        <w:t>Agrostis stolonifera</w:t>
      </w:r>
      <w:r w:rsidRPr="00FA2958">
        <w:rPr>
          <w:rFonts w:cs="Times New Roman"/>
          <w:color w:val="231F20"/>
        </w:rPr>
        <w:t xml:space="preserve">) in Kentucky </w:t>
      </w:r>
      <w:r w:rsidR="00B41392">
        <w:rPr>
          <w:rFonts w:cs="Times New Roman"/>
          <w:color w:val="231F20"/>
        </w:rPr>
        <w:t>b</w:t>
      </w:r>
      <w:r w:rsidR="00C00B8F">
        <w:rPr>
          <w:rFonts w:cs="Times New Roman"/>
          <w:color w:val="231F20"/>
        </w:rPr>
        <w:t>luegrass. Weed Technol.</w:t>
      </w:r>
      <w:r w:rsidRPr="00FA2958">
        <w:rPr>
          <w:rFonts w:cs="Times New Roman"/>
          <w:color w:val="231F20"/>
        </w:rPr>
        <w:t xml:space="preserve"> 21:402-405</w:t>
      </w:r>
    </w:p>
    <w:p w14:paraId="1E1D10AE" w14:textId="77777777" w:rsidR="00372604" w:rsidRPr="00900AE9" w:rsidRDefault="00372604" w:rsidP="00372604">
      <w:pPr>
        <w:tabs>
          <w:tab w:val="left" w:pos="270"/>
        </w:tabs>
        <w:ind w:left="720" w:hanging="720"/>
        <w:rPr>
          <w:rFonts w:cs="Times New Roman"/>
        </w:rPr>
      </w:pPr>
      <w:r w:rsidRPr="00900AE9">
        <w:rPr>
          <w:rFonts w:cs="Times New Roman"/>
        </w:rPr>
        <w:t>Karcher, D.E., and M.D. Richardson. 2003. Quantifying turfgrass color using digital image analysis. Crop Sci. 43:943-951.</w:t>
      </w:r>
    </w:p>
    <w:p w14:paraId="5C15A9DE" w14:textId="77777777" w:rsidR="00372604" w:rsidRPr="00900AE9" w:rsidRDefault="00372604" w:rsidP="00372604">
      <w:pPr>
        <w:tabs>
          <w:tab w:val="left" w:pos="90"/>
        </w:tabs>
        <w:ind w:left="720" w:hanging="720"/>
        <w:rPr>
          <w:rFonts w:cs="Times New Roman"/>
        </w:rPr>
      </w:pPr>
      <w:r w:rsidRPr="00900AE9">
        <w:rPr>
          <w:rFonts w:cs="Times New Roman"/>
        </w:rPr>
        <w:t>Kohler, E.A. and B. E. Branham. 2002. Site of uptake, absorption, translocation and metabolism of ethofumesate in three turfgrass species. Weed Sci. 50:576-580.</w:t>
      </w:r>
    </w:p>
    <w:p w14:paraId="46228E80" w14:textId="77777777" w:rsidR="00372604" w:rsidRPr="00900AE9" w:rsidRDefault="00372604" w:rsidP="00372604">
      <w:pPr>
        <w:tabs>
          <w:tab w:val="left" w:pos="270"/>
        </w:tabs>
        <w:ind w:left="720" w:hanging="720"/>
        <w:rPr>
          <w:rFonts w:cs="Times New Roman"/>
        </w:rPr>
      </w:pPr>
      <w:proofErr w:type="gramStart"/>
      <w:r w:rsidRPr="00900AE9">
        <w:rPr>
          <w:rFonts w:cs="Times New Roman"/>
        </w:rPr>
        <w:t>Kreuz, K., R. Tommasini, and E. Martinoia.</w:t>
      </w:r>
      <w:proofErr w:type="gramEnd"/>
      <w:r w:rsidRPr="00900AE9">
        <w:rPr>
          <w:rFonts w:cs="Times New Roman"/>
        </w:rPr>
        <w:t xml:space="preserve"> 1996. Old enzymes for a new job. Plant Physiol. 111:349-353.</w:t>
      </w:r>
    </w:p>
    <w:p w14:paraId="36C1B112" w14:textId="77777777" w:rsidR="00372604" w:rsidRPr="00900AE9" w:rsidRDefault="00372604" w:rsidP="00372604">
      <w:pPr>
        <w:widowControl w:val="0"/>
        <w:tabs>
          <w:tab w:val="left" w:pos="270"/>
        </w:tabs>
        <w:autoSpaceDE w:val="0"/>
        <w:autoSpaceDN w:val="0"/>
        <w:adjustRightInd w:val="0"/>
        <w:ind w:left="720" w:hanging="720"/>
        <w:rPr>
          <w:rFonts w:ascii="TimesNewRomanPSMT" w:hAnsi="TimesNewRomanPSMT" w:cs="TimesNewRomanPSMT"/>
        </w:rPr>
      </w:pPr>
      <w:proofErr w:type="gramStart"/>
      <w:r w:rsidRPr="00900AE9">
        <w:rPr>
          <w:rFonts w:ascii="TimesNewRomanPSMT" w:hAnsi="TimesNewRomanPSMT" w:cs="TimesNewRomanPSMT"/>
        </w:rPr>
        <w:t>Lewis, D. F., J. S. McElroy, J. C. Sorochan, T. C. Mueller, T. J. Samples, and G. K. Breeden.</w:t>
      </w:r>
      <w:proofErr w:type="gramEnd"/>
      <w:r w:rsidRPr="00900AE9">
        <w:rPr>
          <w:rFonts w:ascii="TimesNewRomanPSMT" w:hAnsi="TimesNewRomanPSMT" w:cs="TimesNewRomanPSMT"/>
        </w:rPr>
        <w:t xml:space="preserve"> 2010. Efficacy and safening of aryloxyphenoxypropionate herbicides when tank-mixed with triclopyr for bermudagrass control in zoysiagrass turf. Weed Technol. 24:489-494.</w:t>
      </w:r>
    </w:p>
    <w:p w14:paraId="3FB2E0F2" w14:textId="77777777" w:rsidR="00372604" w:rsidRPr="00576A86" w:rsidRDefault="00372604" w:rsidP="00372604">
      <w:pPr>
        <w:pStyle w:val="Header"/>
        <w:tabs>
          <w:tab w:val="left" w:pos="270"/>
        </w:tabs>
        <w:ind w:left="720" w:hanging="720"/>
        <w:rPr>
          <w:rFonts w:cs="Times New Roman"/>
        </w:rPr>
      </w:pPr>
      <w:r w:rsidRPr="00576A86">
        <w:rPr>
          <w:rFonts w:cs="Times New Roman"/>
        </w:rPr>
        <w:lastRenderedPageBreak/>
        <w:t>Lyman, G.T., C.S. Throssell, M.E. Johnson, G.A. Stacey, and C.D. Brown. 2007. Golf course profile describes turfgrass, landscape, and environmental stewardship features. Applied Turfgrass Science doi</w:t>
      </w:r>
      <w:proofErr w:type="gramStart"/>
      <w:r w:rsidRPr="00576A86">
        <w:rPr>
          <w:rFonts w:cs="Times New Roman"/>
        </w:rPr>
        <w:t>:10.1094</w:t>
      </w:r>
      <w:proofErr w:type="gramEnd"/>
      <w:r w:rsidRPr="00576A86">
        <w:rPr>
          <w:rFonts w:cs="Times New Roman"/>
        </w:rPr>
        <w:t>/ATS-2007-1107-01-RS.</w:t>
      </w:r>
    </w:p>
    <w:p w14:paraId="4C6C82D9" w14:textId="77777777" w:rsidR="00372604" w:rsidRPr="00576A86" w:rsidRDefault="00372604" w:rsidP="00372604">
      <w:pPr>
        <w:pStyle w:val="Header"/>
        <w:tabs>
          <w:tab w:val="left" w:pos="270"/>
        </w:tabs>
        <w:ind w:left="720" w:hanging="720"/>
        <w:rPr>
          <w:rFonts w:cs="Times New Roman"/>
        </w:rPr>
      </w:pPr>
      <w:r w:rsidRPr="00576A86">
        <w:rPr>
          <w:rFonts w:cs="Times New Roman"/>
        </w:rPr>
        <w:t xml:space="preserve">Maldiza, G., G. Bekavac, and M. Capelija. 2010. Effect of safener cyprosulfamide on isoxaflutole selectivity towards maize inbred lines. </w:t>
      </w:r>
      <w:proofErr w:type="gramStart"/>
      <w:r w:rsidRPr="00576A86">
        <w:rPr>
          <w:rFonts w:cs="Times New Roman"/>
        </w:rPr>
        <w:t>Ratarstvo i Povetarstvo.</w:t>
      </w:r>
      <w:proofErr w:type="gramEnd"/>
      <w:r w:rsidRPr="00576A86">
        <w:rPr>
          <w:rFonts w:cs="Times New Roman"/>
        </w:rPr>
        <w:t xml:space="preserve"> </w:t>
      </w:r>
      <w:proofErr w:type="gramStart"/>
      <w:r w:rsidRPr="00576A86">
        <w:rPr>
          <w:rFonts w:cs="Times New Roman"/>
        </w:rPr>
        <w:t>47:123-129.</w:t>
      </w:r>
      <w:proofErr w:type="gramEnd"/>
    </w:p>
    <w:p w14:paraId="79E49DFD" w14:textId="77777777" w:rsidR="00372604" w:rsidRPr="00576A86" w:rsidRDefault="00372604" w:rsidP="00372604">
      <w:pPr>
        <w:pStyle w:val="Header"/>
        <w:tabs>
          <w:tab w:val="left" w:pos="270"/>
        </w:tabs>
        <w:ind w:left="720" w:hanging="720"/>
        <w:rPr>
          <w:rFonts w:cs="Times New Roman"/>
        </w:rPr>
      </w:pPr>
      <w:r w:rsidRPr="00576A86">
        <w:rPr>
          <w:rFonts w:cs="Times New Roman"/>
        </w:rPr>
        <w:t>McCullough, P.E., S.E. Hart, D.V. Weisenberger and Z.J. Reicher. 2010. Amicarbazone efficacy on annual bluegrass and safety to cool-season turfgrasses. Weed Technol. 24:461-470</w:t>
      </w:r>
      <w:r>
        <w:rPr>
          <w:rFonts w:cs="Times New Roman"/>
        </w:rPr>
        <w:t>.</w:t>
      </w:r>
    </w:p>
    <w:p w14:paraId="528DE6F9" w14:textId="77777777" w:rsidR="00372604" w:rsidRPr="00576A86" w:rsidRDefault="00372604" w:rsidP="00372604">
      <w:pPr>
        <w:pStyle w:val="Header"/>
        <w:tabs>
          <w:tab w:val="left" w:pos="270"/>
        </w:tabs>
        <w:ind w:left="720" w:hanging="720"/>
        <w:rPr>
          <w:rFonts w:cs="Times New Roman"/>
        </w:rPr>
      </w:pPr>
      <w:r w:rsidRPr="00576A86">
        <w:rPr>
          <w:rFonts w:cs="Times New Roman"/>
        </w:rPr>
        <w:t>McCullough, P.E., S.E. Hart, T.J. Gianfagna, and F.C. Chaves. 2009. Bispyribac-sodium metabolism in annual bluegrass, creeping bentgrass, and perennial ryegrass. Weed Sci. 57:470-473.</w:t>
      </w:r>
    </w:p>
    <w:p w14:paraId="28E2C63C" w14:textId="77777777" w:rsidR="00372604" w:rsidRDefault="00372604" w:rsidP="00372604">
      <w:pPr>
        <w:pStyle w:val="Header"/>
        <w:tabs>
          <w:tab w:val="left" w:pos="270"/>
        </w:tabs>
        <w:ind w:left="720" w:hanging="720"/>
        <w:rPr>
          <w:rFonts w:cs="Times New Roman"/>
        </w:rPr>
      </w:pPr>
      <w:r w:rsidRPr="00576A86">
        <w:rPr>
          <w:rFonts w:cs="Times New Roman"/>
        </w:rPr>
        <w:t>McDonald, S.J., P.H. Dernoeden, and J.E. Kaminski. 2006. Creeping bentgrass tolerance and annual bluegrass control with bispyribac-sodium tank-mixed with iron and nitrogen. Applied Turfgrass Science doi</w:t>
      </w:r>
      <w:proofErr w:type="gramStart"/>
      <w:r w:rsidRPr="00576A86">
        <w:rPr>
          <w:rFonts w:cs="Times New Roman"/>
        </w:rPr>
        <w:t>:10.1094</w:t>
      </w:r>
      <w:proofErr w:type="gramEnd"/>
      <w:r w:rsidRPr="00576A86">
        <w:rPr>
          <w:rFonts w:cs="Times New Roman"/>
        </w:rPr>
        <w:t>/ATS-2006-0811-01-RS.</w:t>
      </w:r>
    </w:p>
    <w:p w14:paraId="1EDBB53B" w14:textId="2167905D" w:rsidR="003A116A" w:rsidRPr="003A116A" w:rsidRDefault="003A116A" w:rsidP="003A116A">
      <w:pPr>
        <w:autoSpaceDE w:val="0"/>
        <w:autoSpaceDN w:val="0"/>
        <w:adjustRightInd w:val="0"/>
        <w:ind w:left="720" w:hanging="720"/>
      </w:pPr>
      <w:r>
        <w:t>Mitchell, G., D.W. Bartlett, T.E.M</w:t>
      </w:r>
      <w:r w:rsidR="00C00B8F">
        <w:t>.</w:t>
      </w:r>
      <w:r>
        <w:t xml:space="preserve"> Fraser, T.R. Hawkes, D.C. Holt, J.K. Townson, and R.A. Wichert. 2001. Mesotrione: a new selective herbi</w:t>
      </w:r>
      <w:r w:rsidR="00C00B8F">
        <w:t>cide for use in maize. Pest Manage</w:t>
      </w:r>
      <w:r>
        <w:t xml:space="preserve">. </w:t>
      </w:r>
      <w:proofErr w:type="gramStart"/>
      <w:r>
        <w:t>Sci. 57:120-128.</w:t>
      </w:r>
      <w:proofErr w:type="gramEnd"/>
    </w:p>
    <w:p w14:paraId="6DC44C35" w14:textId="77777777" w:rsidR="00372604" w:rsidRPr="00576A86" w:rsidRDefault="00372604" w:rsidP="00372604">
      <w:pPr>
        <w:pStyle w:val="Header"/>
        <w:tabs>
          <w:tab w:val="left" w:pos="270"/>
        </w:tabs>
        <w:ind w:left="720" w:hanging="720"/>
        <w:rPr>
          <w:rFonts w:cs="Times New Roman"/>
        </w:rPr>
      </w:pPr>
      <w:r w:rsidRPr="00576A86">
        <w:rPr>
          <w:rFonts w:cs="Times New Roman"/>
        </w:rPr>
        <w:t>Richardson, M.D., D.E. Karcher and L.C. Purcell. 2001. Quantifying turfgrass cover using digital image analysis. Crop Sci. 41:1884-1888.</w:t>
      </w:r>
    </w:p>
    <w:p w14:paraId="1EAC7ACD" w14:textId="77777777" w:rsidR="00372604" w:rsidRDefault="00372604" w:rsidP="00372604">
      <w:pPr>
        <w:pStyle w:val="Header"/>
        <w:tabs>
          <w:tab w:val="left" w:pos="270"/>
        </w:tabs>
        <w:ind w:left="720" w:hanging="720"/>
        <w:rPr>
          <w:rFonts w:cs="Times New Roman"/>
        </w:rPr>
      </w:pPr>
      <w:r w:rsidRPr="00576A86">
        <w:rPr>
          <w:rFonts w:cs="Times New Roman"/>
        </w:rPr>
        <w:t xml:space="preserve">Rutledge, J.M., D.V. Weisenberger, and Z.J. Reicher. 2010. Response of seedling roughstalk bluegrass and creeping bentgrass to bispyribac-sodium and sulfosulfuron. HortSci. 45:288-292. </w:t>
      </w:r>
    </w:p>
    <w:p w14:paraId="59EFD387" w14:textId="0BC652C7" w:rsidR="00372604" w:rsidRDefault="00372604" w:rsidP="00372604">
      <w:pPr>
        <w:pStyle w:val="Header"/>
        <w:tabs>
          <w:tab w:val="left" w:pos="270"/>
        </w:tabs>
        <w:ind w:left="720" w:hanging="720"/>
        <w:rPr>
          <w:rFonts w:cs="Times New Roman"/>
        </w:rPr>
      </w:pPr>
      <w:r>
        <w:rPr>
          <w:rFonts w:cs="Times New Roman"/>
        </w:rPr>
        <w:lastRenderedPageBreak/>
        <w:t xml:space="preserve">Scarponi, L. and D. Del Buono. 2009. </w:t>
      </w:r>
      <w:r w:rsidRPr="00900AE9">
        <w:rPr>
          <w:rFonts w:cs="Times New Roman"/>
          <w:i/>
        </w:rPr>
        <w:t>Festuca arundinacea</w:t>
      </w:r>
      <w:r>
        <w:rPr>
          <w:rFonts w:cs="Times New Roman"/>
        </w:rPr>
        <w:t>, glutathione S-</w:t>
      </w:r>
      <w:r w:rsidRPr="00900AE9">
        <w:rPr>
          <w:rFonts w:cs="Times New Roman"/>
          <w:i/>
        </w:rPr>
        <w:t>transferase</w:t>
      </w:r>
      <w:r>
        <w:rPr>
          <w:rFonts w:cs="Times New Roman"/>
        </w:rPr>
        <w:t xml:space="preserve"> and herbicide safeners: A preliminary case study to reduce herbicida</w:t>
      </w:r>
      <w:r w:rsidR="00C00B8F">
        <w:rPr>
          <w:rFonts w:cs="Times New Roman"/>
        </w:rPr>
        <w:t xml:space="preserve">l pollution. J. </w:t>
      </w:r>
      <w:proofErr w:type="gramStart"/>
      <w:r w:rsidR="00C00B8F">
        <w:rPr>
          <w:rFonts w:cs="Times New Roman"/>
        </w:rPr>
        <w:t>of</w:t>
      </w:r>
      <w:proofErr w:type="gramEnd"/>
      <w:r w:rsidR="00C00B8F">
        <w:rPr>
          <w:rFonts w:cs="Times New Roman"/>
        </w:rPr>
        <w:t xml:space="preserve"> Environ.</w:t>
      </w:r>
      <w:r>
        <w:rPr>
          <w:rFonts w:cs="Times New Roman"/>
        </w:rPr>
        <w:t xml:space="preserve"> Sci. and Health Part B. 44:805-809. </w:t>
      </w:r>
    </w:p>
    <w:p w14:paraId="6092BFB4" w14:textId="20252F8B" w:rsidR="003A116A" w:rsidRDefault="003A116A" w:rsidP="003A116A">
      <w:pPr>
        <w:ind w:left="720" w:hanging="720"/>
        <w:rPr>
          <w:rFonts w:cs="Times New Roman"/>
        </w:rPr>
      </w:pPr>
      <w:r>
        <w:rPr>
          <w:rFonts w:cs="Times New Roman"/>
        </w:rPr>
        <w:t>Skelton J</w:t>
      </w:r>
      <w:r w:rsidR="001445D0">
        <w:rPr>
          <w:rFonts w:cs="Times New Roman"/>
        </w:rPr>
        <w:t>.</w:t>
      </w:r>
      <w:r>
        <w:rPr>
          <w:rFonts w:cs="Times New Roman"/>
        </w:rPr>
        <w:t>J</w:t>
      </w:r>
      <w:r w:rsidR="001445D0">
        <w:rPr>
          <w:rFonts w:cs="Times New Roman"/>
        </w:rPr>
        <w:t>.</w:t>
      </w:r>
      <w:r>
        <w:rPr>
          <w:rFonts w:cs="Times New Roman"/>
        </w:rPr>
        <w:t xml:space="preserve">, </w:t>
      </w:r>
      <w:r w:rsidR="00C00B8F">
        <w:rPr>
          <w:rFonts w:cs="Times New Roman"/>
        </w:rPr>
        <w:t>W. Sharp an</w:t>
      </w:r>
      <w:r w:rsidR="001445D0">
        <w:rPr>
          <w:rFonts w:cs="Times New Roman"/>
        </w:rPr>
        <w:t xml:space="preserve">d B.E. </w:t>
      </w:r>
      <w:r w:rsidRPr="00F708D3">
        <w:rPr>
          <w:rFonts w:cs="Times New Roman"/>
        </w:rPr>
        <w:t>Branham</w:t>
      </w:r>
      <w:r w:rsidR="001445D0">
        <w:rPr>
          <w:rFonts w:cs="Times New Roman"/>
        </w:rPr>
        <w:t>. 2012.</w:t>
      </w:r>
      <w:r w:rsidRPr="00F708D3">
        <w:rPr>
          <w:rFonts w:cs="Times New Roman"/>
        </w:rPr>
        <w:t xml:space="preserve"> Postemergence control of annual bluegrass with mesotrione in Kentucky bluegrass. HortSci</w:t>
      </w:r>
      <w:r>
        <w:rPr>
          <w:rFonts w:cs="Times New Roman"/>
        </w:rPr>
        <w:t>.</w:t>
      </w:r>
      <w:r w:rsidRPr="00F708D3">
        <w:rPr>
          <w:rFonts w:cs="Times New Roman"/>
        </w:rPr>
        <w:t xml:space="preserve"> </w:t>
      </w:r>
      <w:proofErr w:type="gramStart"/>
      <w:r w:rsidRPr="00F708D3">
        <w:rPr>
          <w:rFonts w:cs="Times New Roman"/>
        </w:rPr>
        <w:t>47:522-526.</w:t>
      </w:r>
      <w:proofErr w:type="gramEnd"/>
    </w:p>
    <w:p w14:paraId="78D1382D" w14:textId="5C9BD1B8" w:rsidR="003A116A" w:rsidRPr="003A116A" w:rsidRDefault="003A116A" w:rsidP="003A116A">
      <w:pPr>
        <w:widowControl w:val="0"/>
        <w:autoSpaceDE w:val="0"/>
        <w:autoSpaceDN w:val="0"/>
        <w:adjustRightInd w:val="0"/>
        <w:ind w:left="720" w:hanging="720"/>
        <w:rPr>
          <w:rFonts w:ascii="Times-Bold" w:hAnsi="Times-Bold" w:cs="Times-Bold"/>
          <w:color w:val="231F20"/>
        </w:rPr>
      </w:pPr>
      <w:r>
        <w:rPr>
          <w:rFonts w:ascii="Times-Bold" w:hAnsi="Times-Bold" w:cs="Times-Bold"/>
          <w:color w:val="231F20"/>
        </w:rPr>
        <w:t>Soltani N</w:t>
      </w:r>
      <w:r w:rsidR="001445D0">
        <w:rPr>
          <w:rFonts w:ascii="Times-Bold" w:hAnsi="Times-Bold" w:cs="Times-Bold"/>
          <w:color w:val="231F20"/>
        </w:rPr>
        <w:t>.</w:t>
      </w:r>
      <w:r>
        <w:rPr>
          <w:rFonts w:ascii="Times-Bold" w:hAnsi="Times-Bold" w:cs="Times-Bold"/>
          <w:color w:val="231F20"/>
        </w:rPr>
        <w:t xml:space="preserve">, </w:t>
      </w:r>
      <w:r w:rsidR="001445D0">
        <w:rPr>
          <w:rFonts w:ascii="Times-Bold" w:hAnsi="Times-Bold" w:cs="Times-Bold"/>
          <w:color w:val="231F20"/>
        </w:rPr>
        <w:t>A.C. Kaastra</w:t>
      </w:r>
      <w:r>
        <w:rPr>
          <w:rFonts w:ascii="Times-Bold" w:hAnsi="Times-Bold" w:cs="Times-Bold"/>
          <w:color w:val="231F20"/>
        </w:rPr>
        <w:t xml:space="preserve">, </w:t>
      </w:r>
      <w:r w:rsidR="001445D0">
        <w:rPr>
          <w:rFonts w:ascii="Times-Bold" w:hAnsi="Times-Bold" w:cs="Times-Bold"/>
          <w:color w:val="231F20"/>
        </w:rPr>
        <w:t xml:space="preserve">C.J. Swanton, and P.H. </w:t>
      </w:r>
      <w:r>
        <w:rPr>
          <w:rFonts w:ascii="Times-Bold" w:hAnsi="Times-Bold" w:cs="Times-Bold"/>
          <w:color w:val="231F20"/>
        </w:rPr>
        <w:t>Sikkema</w:t>
      </w:r>
      <w:r w:rsidR="001445D0">
        <w:rPr>
          <w:rFonts w:ascii="Times-Bold" w:hAnsi="Times-Bold" w:cs="Times-Bold"/>
          <w:color w:val="231F20"/>
        </w:rPr>
        <w:t>. 2012.</w:t>
      </w:r>
      <w:r>
        <w:rPr>
          <w:rFonts w:ascii="Times-Bold" w:hAnsi="Times-Bold" w:cs="Times-Bold"/>
          <w:color w:val="231F20"/>
        </w:rPr>
        <w:t xml:space="preserve"> Efficacy of topramezone and mesotrione for control of annual grasses. Int</w:t>
      </w:r>
      <w:r w:rsidR="00C00B8F">
        <w:rPr>
          <w:rFonts w:ascii="Times-Bold" w:hAnsi="Times-Bold" w:cs="Times-Bold"/>
          <w:color w:val="231F20"/>
        </w:rPr>
        <w:t>.</w:t>
      </w:r>
      <w:r>
        <w:rPr>
          <w:rFonts w:ascii="Times-Bold" w:hAnsi="Times-Bold" w:cs="Times-Bold"/>
          <w:color w:val="231F20"/>
        </w:rPr>
        <w:t xml:space="preserve"> Res</w:t>
      </w:r>
      <w:r w:rsidR="00C00B8F">
        <w:rPr>
          <w:rFonts w:ascii="Times-Bold" w:hAnsi="Times-Bold" w:cs="Times-Bold"/>
          <w:color w:val="231F20"/>
        </w:rPr>
        <w:t>.</w:t>
      </w:r>
      <w:r>
        <w:rPr>
          <w:rFonts w:ascii="Times-Bold" w:hAnsi="Times-Bold" w:cs="Times-Bold"/>
          <w:color w:val="231F20"/>
        </w:rPr>
        <w:t xml:space="preserve"> J</w:t>
      </w:r>
      <w:r w:rsidR="00C00B8F">
        <w:rPr>
          <w:rFonts w:ascii="Times-Bold" w:hAnsi="Times-Bold" w:cs="Times-Bold"/>
          <w:color w:val="231F20"/>
        </w:rPr>
        <w:t>.</w:t>
      </w:r>
      <w:r>
        <w:rPr>
          <w:rFonts w:ascii="Times-Bold" w:hAnsi="Times-Bold" w:cs="Times-Bold"/>
          <w:color w:val="231F20"/>
        </w:rPr>
        <w:t xml:space="preserve"> o</w:t>
      </w:r>
      <w:r w:rsidR="00C00B8F">
        <w:rPr>
          <w:rFonts w:ascii="Times-Bold" w:hAnsi="Times-Bold" w:cs="Times-Bold"/>
          <w:color w:val="231F20"/>
        </w:rPr>
        <w:t>f Agric.</w:t>
      </w:r>
      <w:r>
        <w:rPr>
          <w:rFonts w:ascii="Times-Bold" w:hAnsi="Times-Bold" w:cs="Times-Bold"/>
          <w:color w:val="231F20"/>
        </w:rPr>
        <w:t xml:space="preserve"> Sci</w:t>
      </w:r>
      <w:r w:rsidR="00C00B8F">
        <w:rPr>
          <w:rFonts w:ascii="Times-Bold" w:hAnsi="Times-Bold" w:cs="Times-Bold"/>
          <w:color w:val="231F20"/>
        </w:rPr>
        <w:t>.</w:t>
      </w:r>
      <w:r>
        <w:rPr>
          <w:rFonts w:ascii="Times-Bold" w:hAnsi="Times-Bold" w:cs="Times-Bold"/>
          <w:color w:val="231F20"/>
        </w:rPr>
        <w:t xml:space="preserve"> and Soil Sci. 2:46-50</w:t>
      </w:r>
    </w:p>
    <w:p w14:paraId="0D6503BF" w14:textId="77777777" w:rsidR="00372604" w:rsidRDefault="00372604" w:rsidP="00372604">
      <w:pPr>
        <w:pStyle w:val="Header"/>
        <w:tabs>
          <w:tab w:val="left" w:pos="270"/>
        </w:tabs>
        <w:ind w:left="720" w:hanging="720"/>
        <w:rPr>
          <w:rFonts w:cs="Times New Roman"/>
        </w:rPr>
      </w:pPr>
      <w:proofErr w:type="gramStart"/>
      <w:r w:rsidRPr="00576A86">
        <w:rPr>
          <w:rFonts w:cs="Times New Roman"/>
        </w:rPr>
        <w:t>Werck-Reichart, D., A. Hehn, and L. Didierjean.</w:t>
      </w:r>
      <w:proofErr w:type="gramEnd"/>
      <w:r w:rsidRPr="00576A86">
        <w:rPr>
          <w:rFonts w:cs="Times New Roman"/>
        </w:rPr>
        <w:t xml:space="preserve"> 2000. Cytochromes P450 for engineering herbicide tolerance. Trends in Plant Sci. 5:116-123</w:t>
      </w:r>
      <w:r>
        <w:rPr>
          <w:rFonts w:cs="Times New Roman"/>
        </w:rPr>
        <w:t>.</w:t>
      </w:r>
    </w:p>
    <w:p w14:paraId="774D715A" w14:textId="77777777" w:rsidR="003A4E9F" w:rsidRPr="00576A86" w:rsidRDefault="003A4E9F" w:rsidP="00372604">
      <w:pPr>
        <w:pStyle w:val="Header"/>
        <w:tabs>
          <w:tab w:val="left" w:pos="270"/>
        </w:tabs>
        <w:ind w:left="720" w:hanging="720"/>
        <w:rPr>
          <w:rFonts w:cs="Times New Roman"/>
        </w:rPr>
      </w:pPr>
    </w:p>
    <w:p w14:paraId="71028806" w14:textId="77777777" w:rsidR="00372604" w:rsidRPr="00576A86" w:rsidRDefault="00372604" w:rsidP="00372604">
      <w:pPr>
        <w:rPr>
          <w:rFonts w:cs="Times New Roman"/>
        </w:rPr>
      </w:pPr>
      <w:r w:rsidRPr="00576A86">
        <w:rPr>
          <w:rFonts w:cs="Times New Roman"/>
        </w:rPr>
        <w:br w:type="page"/>
      </w:r>
    </w:p>
    <w:p w14:paraId="0929319D" w14:textId="77777777" w:rsidR="00372604" w:rsidRDefault="00372604" w:rsidP="00372604"/>
    <w:p w14:paraId="0C610903" w14:textId="77777777" w:rsidR="00ED54C2" w:rsidRDefault="00ED54C2" w:rsidP="00ED54C2"/>
    <w:p w14:paraId="01A37BAE" w14:textId="77777777" w:rsidR="00ED54C2" w:rsidRDefault="00ED54C2" w:rsidP="00ED54C2"/>
    <w:p w14:paraId="77CC6F8A" w14:textId="77777777" w:rsidR="00ED54C2" w:rsidRDefault="00ED54C2" w:rsidP="00ED54C2"/>
    <w:p w14:paraId="78DFFD36" w14:textId="77777777" w:rsidR="00F91FCF" w:rsidRDefault="00F91FCF" w:rsidP="00ED54C2"/>
    <w:p w14:paraId="44020491" w14:textId="77777777" w:rsidR="00F91FCF" w:rsidRDefault="00F91FCF" w:rsidP="00ED54C2"/>
    <w:p w14:paraId="1C760392" w14:textId="77777777" w:rsidR="00F91FCF" w:rsidRDefault="00F91FCF" w:rsidP="00ED54C2"/>
    <w:p w14:paraId="7673CA28" w14:textId="77777777" w:rsidR="00F91FCF" w:rsidRDefault="00F91FCF" w:rsidP="00ED54C2"/>
    <w:p w14:paraId="531F63BB" w14:textId="77777777" w:rsidR="00F91FCF" w:rsidRPr="00ED54C2" w:rsidRDefault="00F91FCF" w:rsidP="00ED54C2"/>
    <w:p w14:paraId="7641D8DE" w14:textId="77777777" w:rsidR="00AA45E0" w:rsidRPr="00ED54C2" w:rsidRDefault="00051F58" w:rsidP="00D560D4">
      <w:pPr>
        <w:pStyle w:val="Heading1"/>
      </w:pPr>
      <w:bookmarkStart w:id="19" w:name="_Toc264713554"/>
      <w:bookmarkStart w:id="20" w:name="_Toc264713597"/>
      <w:bookmarkStart w:id="21" w:name="_Toc264967179"/>
      <w:bookmarkEnd w:id="3"/>
      <w:r>
        <w:t>CHAPTER 1: HERBICIDE SAFENERS INCREASE CREEPING BENTGRASS TOLERANCE TO TOPRAMEZONE</w:t>
      </w:r>
      <w:bookmarkEnd w:id="19"/>
      <w:bookmarkEnd w:id="20"/>
      <w:bookmarkEnd w:id="21"/>
    </w:p>
    <w:p w14:paraId="5729B7FB" w14:textId="77777777" w:rsidR="00FF1665" w:rsidRDefault="00FF1665" w:rsidP="00ED54C2">
      <w:pPr>
        <w:pStyle w:val="Title"/>
      </w:pPr>
    </w:p>
    <w:p w14:paraId="7683F16C" w14:textId="77777777" w:rsidR="00FF1665" w:rsidRDefault="00FF1665" w:rsidP="005E54E2"/>
    <w:p w14:paraId="3ED1A2E3" w14:textId="77777777" w:rsidR="00003F6A" w:rsidRPr="00334400" w:rsidRDefault="00003F6A" w:rsidP="00334400">
      <w:pPr>
        <w:pStyle w:val="Heading3"/>
      </w:pPr>
      <w:r w:rsidRPr="00334400">
        <w:br w:type="page"/>
      </w:r>
    </w:p>
    <w:p w14:paraId="0B62B29D" w14:textId="6AAE320A" w:rsidR="00F46BA7" w:rsidRPr="00F46BA7" w:rsidRDefault="00FA75A5" w:rsidP="00F46BA7">
      <w:pPr>
        <w:rPr>
          <w:rFonts w:cs="Times New Roman"/>
        </w:rPr>
      </w:pPr>
      <w:r w:rsidRPr="005E54E2">
        <w:lastRenderedPageBreak/>
        <w:tab/>
      </w:r>
      <w:r w:rsidR="00F46BA7" w:rsidRPr="00F46BA7">
        <w:rPr>
          <w:rFonts w:cs="Times New Roman"/>
        </w:rPr>
        <w:t xml:space="preserve">This chapter is based on a paper </w:t>
      </w:r>
      <w:r w:rsidR="00F46BA7">
        <w:rPr>
          <w:rFonts w:cs="Times New Roman"/>
        </w:rPr>
        <w:t>submitted for publication</w:t>
      </w:r>
      <w:r w:rsidR="00000AA7">
        <w:rPr>
          <w:rFonts w:cs="Times New Roman"/>
        </w:rPr>
        <w:t xml:space="preserve"> on April 23, 2014</w:t>
      </w:r>
      <w:r w:rsidR="00F46BA7" w:rsidRPr="00F46BA7">
        <w:rPr>
          <w:rFonts w:cs="Times New Roman"/>
        </w:rPr>
        <w:t xml:space="preserve"> by Matthew Elmore, James Brosnan,</w:t>
      </w:r>
      <w:r w:rsidR="00F46BA7">
        <w:rPr>
          <w:rFonts w:cs="Times New Roman"/>
        </w:rPr>
        <w:t xml:space="preserve"> Gregory Armel, Javier Vargas </w:t>
      </w:r>
      <w:r w:rsidR="00F46BA7" w:rsidRPr="00F46BA7">
        <w:rPr>
          <w:rFonts w:cs="Times New Roman"/>
        </w:rPr>
        <w:t>and Gregory Breeden:</w:t>
      </w:r>
    </w:p>
    <w:p w14:paraId="646AE3D6" w14:textId="77777777" w:rsidR="00F46BA7" w:rsidRPr="00F46BA7" w:rsidRDefault="00F46BA7" w:rsidP="00F46BA7">
      <w:pPr>
        <w:pStyle w:val="BodyText"/>
        <w:widowControl/>
        <w:jc w:val="left"/>
        <w:rPr>
          <w:sz w:val="24"/>
          <w:szCs w:val="24"/>
        </w:rPr>
      </w:pPr>
    </w:p>
    <w:p w14:paraId="73B3686C" w14:textId="77777777" w:rsidR="00F46BA7" w:rsidRPr="00F46BA7" w:rsidRDefault="00F46BA7" w:rsidP="00F46BA7">
      <w:pPr>
        <w:rPr>
          <w:rFonts w:cs="Times New Roman"/>
        </w:rPr>
      </w:pPr>
      <w:r w:rsidRPr="00F46BA7">
        <w:rPr>
          <w:rFonts w:cs="Times New Roman"/>
        </w:rPr>
        <w:t>Elmore, M.T., J.T. Brosnan, G.R. Armel, J.</w:t>
      </w:r>
      <w:r w:rsidR="00E54AAC">
        <w:rPr>
          <w:rFonts w:cs="Times New Roman"/>
        </w:rPr>
        <w:t>J. Vargas and G.K. Breeden. 2014</w:t>
      </w:r>
      <w:r w:rsidRPr="00F46BA7">
        <w:rPr>
          <w:rFonts w:cs="Times New Roman"/>
        </w:rPr>
        <w:t>. Herbicide Safeners Increase Creeping Bentgrass (</w:t>
      </w:r>
      <w:r w:rsidRPr="00F46BA7">
        <w:rPr>
          <w:rFonts w:cs="Times New Roman"/>
          <w:i/>
        </w:rPr>
        <w:t>Agrostis stolonifera</w:t>
      </w:r>
      <w:r w:rsidRPr="00F46BA7">
        <w:rPr>
          <w:rFonts w:cs="Times New Roman"/>
        </w:rPr>
        <w:t xml:space="preserve">) Tolerance to Topramezone. Weed Technology. </w:t>
      </w:r>
      <w:proofErr w:type="gramStart"/>
      <w:r w:rsidRPr="00F46BA7">
        <w:rPr>
          <w:rFonts w:cs="Times New Roman"/>
        </w:rPr>
        <w:t>(</w:t>
      </w:r>
      <w:r w:rsidR="003E3B06">
        <w:rPr>
          <w:rFonts w:cs="Times New Roman"/>
          <w:i/>
        </w:rPr>
        <w:t>U</w:t>
      </w:r>
      <w:r w:rsidRPr="00F46BA7">
        <w:rPr>
          <w:rFonts w:cs="Times New Roman"/>
          <w:i/>
        </w:rPr>
        <w:t>nder review</w:t>
      </w:r>
      <w:r w:rsidRPr="00F46BA7">
        <w:rPr>
          <w:rFonts w:cs="Times New Roman"/>
        </w:rPr>
        <w:t>).</w:t>
      </w:r>
      <w:proofErr w:type="gramEnd"/>
    </w:p>
    <w:p w14:paraId="44B9F5B7" w14:textId="77777777" w:rsidR="00F46BA7" w:rsidRPr="00F46BA7" w:rsidRDefault="00F46BA7" w:rsidP="00F46BA7">
      <w:pPr>
        <w:pStyle w:val="BodyText"/>
        <w:widowControl/>
        <w:jc w:val="left"/>
        <w:rPr>
          <w:sz w:val="24"/>
          <w:szCs w:val="24"/>
        </w:rPr>
      </w:pPr>
    </w:p>
    <w:p w14:paraId="2D143856" w14:textId="77777777" w:rsidR="00FA75A5" w:rsidRPr="005E54E2" w:rsidRDefault="00F46BA7" w:rsidP="00F46BA7">
      <w:pPr>
        <w:pStyle w:val="BodyText"/>
        <w:widowControl/>
        <w:jc w:val="left"/>
      </w:pPr>
      <w:bookmarkStart w:id="22" w:name="_Toc264713598"/>
      <w:r w:rsidRPr="00F46BA7">
        <w:rPr>
          <w:sz w:val="24"/>
          <w:szCs w:val="24"/>
        </w:rPr>
        <w:t xml:space="preserve">My primary contributions to this paper include </w:t>
      </w:r>
      <w:r>
        <w:rPr>
          <w:sz w:val="24"/>
          <w:szCs w:val="24"/>
        </w:rPr>
        <w:t xml:space="preserve">(i) Discovering the concept (ii) Design and conducting the experiments, (iii) processing, analyzing and interpreting data, </w:t>
      </w:r>
      <w:proofErr w:type="gramStart"/>
      <w:r>
        <w:rPr>
          <w:sz w:val="24"/>
          <w:szCs w:val="24"/>
        </w:rPr>
        <w:t>(iv) reading</w:t>
      </w:r>
      <w:proofErr w:type="gramEnd"/>
      <w:r>
        <w:rPr>
          <w:sz w:val="24"/>
          <w:szCs w:val="24"/>
        </w:rPr>
        <w:t xml:space="preserve"> literature, (v) writing the manuscript</w:t>
      </w:r>
      <w:bookmarkEnd w:id="22"/>
    </w:p>
    <w:p w14:paraId="7BC20053" w14:textId="77777777" w:rsidR="00D6654B" w:rsidRPr="00D6654B" w:rsidRDefault="00455D5B" w:rsidP="0092717D">
      <w:pPr>
        <w:pStyle w:val="Heading2"/>
      </w:pPr>
      <w:bookmarkStart w:id="23" w:name="_Toc264635669"/>
      <w:bookmarkStart w:id="24" w:name="_Toc264713555"/>
      <w:bookmarkStart w:id="25" w:name="_Toc264713599"/>
      <w:bookmarkStart w:id="26" w:name="_Toc264967180"/>
      <w:r>
        <w:t>ABSTRACT</w:t>
      </w:r>
      <w:bookmarkEnd w:id="23"/>
      <w:bookmarkEnd w:id="24"/>
      <w:bookmarkEnd w:id="25"/>
      <w:bookmarkEnd w:id="26"/>
    </w:p>
    <w:p w14:paraId="5C935C1F" w14:textId="71A6DE80" w:rsidR="00F46BA7" w:rsidRDefault="00F46BA7" w:rsidP="00F46BA7">
      <w:pPr>
        <w:rPr>
          <w:rFonts w:cs="Times New Roman"/>
        </w:rPr>
      </w:pPr>
      <w:bookmarkStart w:id="27" w:name="_Toc289175827"/>
      <w:r w:rsidRPr="00F46BA7">
        <w:rPr>
          <w:rFonts w:cs="Times New Roman"/>
        </w:rPr>
        <w:t>Glasshouse research was conducted to investigate the efficacy of herbicide safeners for improving creeping bentgrass (CBG) tolerance to various herbicides. CBG injury from amicarbazone (150 g ha</w:t>
      </w:r>
      <w:r w:rsidRPr="00F46BA7">
        <w:rPr>
          <w:rFonts w:cs="Times New Roman"/>
          <w:vertAlign w:val="superscript"/>
        </w:rPr>
        <w:t>-1</w:t>
      </w:r>
      <w:r w:rsidRPr="00F46BA7">
        <w:rPr>
          <w:rFonts w:cs="Times New Roman"/>
        </w:rPr>
        <w:t>), bispyribac-sodium (110 g ha</w:t>
      </w:r>
      <w:r w:rsidRPr="00F46BA7">
        <w:rPr>
          <w:rFonts w:cs="Times New Roman"/>
          <w:vertAlign w:val="superscript"/>
        </w:rPr>
        <w:t>-1</w:t>
      </w:r>
      <w:r w:rsidRPr="00F46BA7">
        <w:rPr>
          <w:rFonts w:cs="Times New Roman"/>
        </w:rPr>
        <w:t>) fenoxaprop-p-ethyl (35 g ha</w:t>
      </w:r>
      <w:r w:rsidRPr="00F46BA7">
        <w:rPr>
          <w:rFonts w:cs="Times New Roman"/>
          <w:vertAlign w:val="superscript"/>
        </w:rPr>
        <w:t>-1</w:t>
      </w:r>
      <w:r w:rsidRPr="00F46BA7">
        <w:rPr>
          <w:rFonts w:cs="Times New Roman"/>
        </w:rPr>
        <w:t>), imazapic (45 g ha</w:t>
      </w:r>
      <w:r w:rsidRPr="00F46BA7">
        <w:rPr>
          <w:rFonts w:cs="Times New Roman"/>
          <w:vertAlign w:val="superscript"/>
        </w:rPr>
        <w:t>-1</w:t>
      </w:r>
      <w:r w:rsidRPr="00F46BA7">
        <w:rPr>
          <w:rFonts w:cs="Times New Roman"/>
        </w:rPr>
        <w:t>), quinclorac (1050 g ha</w:t>
      </w:r>
      <w:r w:rsidRPr="00F46BA7">
        <w:rPr>
          <w:rFonts w:cs="Times New Roman"/>
          <w:vertAlign w:val="superscript"/>
        </w:rPr>
        <w:t>-1</w:t>
      </w:r>
      <w:r w:rsidRPr="00F46BA7">
        <w:rPr>
          <w:rFonts w:cs="Times New Roman"/>
        </w:rPr>
        <w:t>) or topramezone (37 g ha</w:t>
      </w:r>
      <w:r w:rsidRPr="00F46BA7">
        <w:rPr>
          <w:rFonts w:cs="Times New Roman"/>
          <w:vertAlign w:val="superscript"/>
        </w:rPr>
        <w:t>-1</w:t>
      </w:r>
      <w:r w:rsidRPr="00F46BA7">
        <w:rPr>
          <w:rFonts w:cs="Times New Roman"/>
        </w:rPr>
        <w:t>) applied in combination with the herbicide safeners naphthalic anhydride or isoxadifen-ethyl was evaluated. These safeners reduced CBG injury from topramezone. Topramezone was then applied in combination with naphthalic anhydride, isoxadifen-ethyl, cloquintocet-mexyl (cloquintocet), fenchlorazole-ethyl, mefenpy</w:t>
      </w:r>
      <w:r w:rsidR="002F7D0E">
        <w:rPr>
          <w:rFonts w:cs="Times New Roman"/>
        </w:rPr>
        <w:t>r</w:t>
      </w:r>
      <w:r w:rsidRPr="00F46BA7">
        <w:rPr>
          <w:rFonts w:cs="Times New Roman"/>
        </w:rPr>
        <w:t>-diethyl and benoxacor. These experiments determined that CBG injury was lowest from topramezone in combination with cloquintocet. Additional experiments evaluated topramezone (37 g ha</w:t>
      </w:r>
      <w:r w:rsidRPr="00F46BA7">
        <w:rPr>
          <w:rFonts w:cs="Times New Roman"/>
          <w:vertAlign w:val="superscript"/>
        </w:rPr>
        <w:t>-1</w:t>
      </w:r>
      <w:r w:rsidRPr="00F46BA7">
        <w:rPr>
          <w:rFonts w:cs="Times New Roman"/>
        </w:rPr>
        <w:t xml:space="preserve">) with several rates of cloquintocet and determined that applications at </w:t>
      </w:r>
      <w:r w:rsidRPr="00F46BA7">
        <w:rPr>
          <w:rFonts w:eastAsia="MS Gothic" w:cs="Times New Roman"/>
          <w:color w:val="000000"/>
        </w:rPr>
        <w:t>≥</w:t>
      </w:r>
      <w:r w:rsidRPr="00F46BA7">
        <w:rPr>
          <w:rFonts w:cs="Times New Roman"/>
        </w:rPr>
        <w:t xml:space="preserve"> 28 g ha</w:t>
      </w:r>
      <w:r w:rsidRPr="00F46BA7">
        <w:rPr>
          <w:rFonts w:cs="Times New Roman"/>
          <w:vertAlign w:val="superscript"/>
        </w:rPr>
        <w:t>-1</w:t>
      </w:r>
      <w:r w:rsidRPr="00F46BA7">
        <w:rPr>
          <w:rFonts w:cs="Times New Roman"/>
        </w:rPr>
        <w:t xml:space="preserve"> reduced CBG injury similarly. Cloquintocet (28 g ha</w:t>
      </w:r>
      <w:r w:rsidRPr="00F46BA7">
        <w:rPr>
          <w:rFonts w:cs="Times New Roman"/>
          <w:vertAlign w:val="superscript"/>
        </w:rPr>
        <w:t>-1</w:t>
      </w:r>
      <w:r w:rsidRPr="00F46BA7">
        <w:rPr>
          <w:rFonts w:cs="Times New Roman"/>
        </w:rPr>
        <w:t>) increased topramezone I</w:t>
      </w:r>
      <w:r w:rsidRPr="00F46BA7">
        <w:rPr>
          <w:rFonts w:cs="Times New Roman"/>
          <w:vertAlign w:val="subscript"/>
        </w:rPr>
        <w:t>50</w:t>
      </w:r>
      <w:r w:rsidRPr="00F46BA7">
        <w:rPr>
          <w:rFonts w:cs="Times New Roman"/>
        </w:rPr>
        <w:t xml:space="preserve"> values against CBG, but not large crabgrass or goosegrass. The cytochrome P450 (cP450) </w:t>
      </w:r>
      <w:r w:rsidRPr="00F46BA7">
        <w:rPr>
          <w:rFonts w:cs="Times New Roman"/>
        </w:rPr>
        <w:lastRenderedPageBreak/>
        <w:t xml:space="preserve">inhibitor </w:t>
      </w:r>
      <w:proofErr w:type="gramStart"/>
      <w:r w:rsidRPr="00F46BA7">
        <w:rPr>
          <w:rFonts w:cs="Times New Roman"/>
        </w:rPr>
        <w:t>malathion</w:t>
      </w:r>
      <w:proofErr w:type="gramEnd"/>
      <w:r w:rsidRPr="00F46BA7">
        <w:rPr>
          <w:rFonts w:cs="Times New Roman"/>
        </w:rPr>
        <w:t xml:space="preserve"> (1000 g ha</w:t>
      </w:r>
      <w:r w:rsidRPr="00F46BA7">
        <w:rPr>
          <w:rFonts w:cs="Times New Roman"/>
          <w:vertAlign w:val="superscript"/>
        </w:rPr>
        <w:t>-1</w:t>
      </w:r>
      <w:r w:rsidRPr="00F46BA7">
        <w:rPr>
          <w:rFonts w:cs="Times New Roman"/>
        </w:rPr>
        <w:t>) reduced topramezone I</w:t>
      </w:r>
      <w:r w:rsidRPr="00F46BA7">
        <w:rPr>
          <w:rFonts w:cs="Times New Roman"/>
          <w:vertAlign w:val="subscript"/>
        </w:rPr>
        <w:t>50</w:t>
      </w:r>
      <w:r w:rsidRPr="00F46BA7">
        <w:rPr>
          <w:rFonts w:cs="Times New Roman"/>
        </w:rPr>
        <w:t xml:space="preserve"> values against CBG in one experimental run. Topramezone-cloquintocet combinations warrant further research in field settings.</w:t>
      </w:r>
    </w:p>
    <w:p w14:paraId="1C4207BA" w14:textId="77777777" w:rsidR="00F46BA7" w:rsidRPr="00F46BA7" w:rsidRDefault="00F46BA7" w:rsidP="00F46BA7">
      <w:pPr>
        <w:rPr>
          <w:rFonts w:cs="Times New Roman"/>
        </w:rPr>
      </w:pPr>
      <w:r>
        <w:rPr>
          <w:rFonts w:cs="Times New Roman"/>
        </w:rPr>
        <w:br w:type="page"/>
      </w:r>
    </w:p>
    <w:p w14:paraId="2C2F24B7" w14:textId="77777777" w:rsidR="003C7FC5" w:rsidRPr="00F46BA7" w:rsidRDefault="00455D5B" w:rsidP="00D560D4">
      <w:pPr>
        <w:pStyle w:val="Heading2"/>
      </w:pPr>
      <w:bookmarkStart w:id="28" w:name="_Toc264635670"/>
      <w:bookmarkStart w:id="29" w:name="_Toc264713556"/>
      <w:bookmarkStart w:id="30" w:name="_Toc264713600"/>
      <w:bookmarkStart w:id="31" w:name="_Toc264967181"/>
      <w:bookmarkEnd w:id="27"/>
      <w:r>
        <w:lastRenderedPageBreak/>
        <w:t>INTRODUCTION</w:t>
      </w:r>
      <w:bookmarkEnd w:id="28"/>
      <w:bookmarkEnd w:id="29"/>
      <w:bookmarkEnd w:id="30"/>
      <w:bookmarkEnd w:id="31"/>
    </w:p>
    <w:p w14:paraId="27A05886" w14:textId="77777777" w:rsidR="00F46BA7" w:rsidRPr="00F46BA7" w:rsidRDefault="00F46BA7" w:rsidP="00D560D4">
      <w:pPr>
        <w:ind w:firstLine="720"/>
        <w:rPr>
          <w:rFonts w:cs="Times New Roman"/>
        </w:rPr>
      </w:pPr>
      <w:r w:rsidRPr="00F46BA7">
        <w:rPr>
          <w:rFonts w:cs="Times New Roman"/>
        </w:rPr>
        <w:t>Creeping bentgrass (CBG) is the most widely used cool-season turfgrass on golf course fairways and tees in the United States (Lyman et al. 2007). Despite widespread usage, there are few efficacious options for POST control of warm-season graminaceous weeds such as crabgrass (</w:t>
      </w:r>
      <w:r w:rsidRPr="00F46BA7">
        <w:rPr>
          <w:rFonts w:cs="Times New Roman"/>
          <w:i/>
        </w:rPr>
        <w:t>Digitaria</w:t>
      </w:r>
      <w:r w:rsidRPr="00F46BA7">
        <w:rPr>
          <w:rFonts w:cs="Times New Roman"/>
        </w:rPr>
        <w:t xml:space="preserve"> spp.), goosegrass and bermudagrass (</w:t>
      </w:r>
      <w:r w:rsidRPr="00F46BA7">
        <w:rPr>
          <w:rFonts w:cs="Times New Roman"/>
          <w:i/>
        </w:rPr>
        <w:t>Cynodon</w:t>
      </w:r>
      <w:r w:rsidRPr="00F46BA7">
        <w:rPr>
          <w:rFonts w:cs="Times New Roman"/>
        </w:rPr>
        <w:t xml:space="preserve"> spp.), as herbicide rates required to provide acceptable weed control are too injurious to desirable CBG. </w:t>
      </w:r>
    </w:p>
    <w:p w14:paraId="4D70D090" w14:textId="2D78A42E" w:rsidR="00F46BA7" w:rsidRPr="00F46BA7" w:rsidRDefault="00F46BA7" w:rsidP="00F46BA7">
      <w:pPr>
        <w:ind w:firstLine="720"/>
        <w:rPr>
          <w:rFonts w:eastAsia="MS Gothic" w:cs="Times New Roman"/>
          <w:color w:val="000000"/>
        </w:rPr>
      </w:pPr>
      <w:r w:rsidRPr="00F46BA7">
        <w:rPr>
          <w:rFonts w:eastAsia="MS Gothic" w:cs="Times New Roman"/>
          <w:color w:val="000000"/>
        </w:rPr>
        <w:t xml:space="preserve">Desirable herbicide safeners protect graminaceous crop plants from herbicide injury more than target weeds, increasing the margin of selectivity. Safeners function predominately by increasing activity of proteins that catalyze Phase I or II reactions involved in herbicide metabolism. Hydroxylation, deamination, oxidation and N-dealkylation are </w:t>
      </w:r>
      <w:proofErr w:type="gramStart"/>
      <w:r w:rsidRPr="00F46BA7">
        <w:rPr>
          <w:rFonts w:eastAsia="MS Gothic" w:cs="Times New Roman"/>
          <w:color w:val="000000"/>
        </w:rPr>
        <w:t>Phase</w:t>
      </w:r>
      <w:proofErr w:type="gramEnd"/>
      <w:r w:rsidRPr="00F46BA7">
        <w:rPr>
          <w:rFonts w:eastAsia="MS Gothic" w:cs="Times New Roman"/>
          <w:color w:val="000000"/>
        </w:rPr>
        <w:t xml:space="preserve"> I reactions catalyzed by cP450 </w:t>
      </w:r>
      <w:r w:rsidR="00904173">
        <w:rPr>
          <w:rFonts w:eastAsia="MS Gothic" w:cs="Times New Roman"/>
          <w:color w:val="000000"/>
        </w:rPr>
        <w:t>monooxygenase</w:t>
      </w:r>
      <w:r w:rsidRPr="00F46BA7">
        <w:rPr>
          <w:rFonts w:eastAsia="MS Gothic" w:cs="Times New Roman"/>
          <w:color w:val="000000"/>
        </w:rPr>
        <w:t xml:space="preserve"> enzymes. These reactions can predispose the herbicide molecule to Phase II reactions that involve conjugation with glutathione, glucose or amino acids. </w:t>
      </w:r>
      <w:proofErr w:type="gramStart"/>
      <w:r w:rsidRPr="00F46BA7">
        <w:rPr>
          <w:rFonts w:eastAsia="MS Gothic" w:cs="Times New Roman"/>
          <w:color w:val="000000"/>
        </w:rPr>
        <w:t>These Phase II reactions can be catalyzed by enzymes such as glutathione s-transferases, glucosyl transferases and UDP-glucose transferases</w:t>
      </w:r>
      <w:proofErr w:type="gramEnd"/>
      <w:r w:rsidRPr="00F46BA7">
        <w:rPr>
          <w:rFonts w:eastAsia="MS Gothic" w:cs="Times New Roman"/>
          <w:color w:val="000000"/>
        </w:rPr>
        <w:t xml:space="preserve"> (Chapple 1998; Davies et al. 1998; Hatzios and Burgos 2004; Kreuz et al. 1996).</w:t>
      </w:r>
    </w:p>
    <w:p w14:paraId="7BFE13E1" w14:textId="29B2BF59" w:rsidR="00F46BA7" w:rsidRPr="00F46BA7" w:rsidRDefault="00F46BA7" w:rsidP="00F46BA7">
      <w:pPr>
        <w:rPr>
          <w:rFonts w:eastAsia="MS Gothic" w:cs="Times New Roman"/>
          <w:color w:val="000000"/>
        </w:rPr>
      </w:pPr>
      <w:r w:rsidRPr="00F46BA7">
        <w:rPr>
          <w:rFonts w:eastAsia="MS Gothic" w:cs="Times New Roman"/>
          <w:color w:val="000000"/>
        </w:rPr>
        <w:tab/>
        <w:t>Safener selectivity is dependent on either application placement or different herbicide-safener interactions among crops and weeds (Hatzios and Burgos 2004). For example, the broad-spectrum safener naphthalic anhydride was applied to corn (</w:t>
      </w:r>
      <w:r w:rsidRPr="00F46BA7">
        <w:rPr>
          <w:rFonts w:eastAsia="MS Gothic" w:cs="Times New Roman"/>
          <w:i/>
          <w:color w:val="000000"/>
        </w:rPr>
        <w:t>Zea mays</w:t>
      </w:r>
      <w:r w:rsidRPr="00F46BA7">
        <w:rPr>
          <w:rFonts w:eastAsia="MS Gothic" w:cs="Times New Roman"/>
          <w:color w:val="000000"/>
        </w:rPr>
        <w:t xml:space="preserve"> L.) seed to prevent injury from thiocarbamate herbicides and has been shown experimentally to safen corn, and other graminacoues crops to a wide range of herbicides (Davies et. al 2001; Parker 1983). Advances in safener technology have yielded safeners such as isoxadifen-ethyl and cyprosulfamide that are sold commercially to increase the tolerance of corn to herbicides such as isoxaflutole, foramsulfuron, </w:t>
      </w:r>
      <w:proofErr w:type="gramStart"/>
      <w:r w:rsidRPr="00F46BA7">
        <w:rPr>
          <w:rFonts w:eastAsia="MS Gothic" w:cs="Times New Roman"/>
          <w:color w:val="000000"/>
        </w:rPr>
        <w:t>thiencarbazone</w:t>
      </w:r>
      <w:proofErr w:type="gramEnd"/>
      <w:r w:rsidRPr="00F46BA7">
        <w:rPr>
          <w:rFonts w:eastAsia="MS Gothic" w:cs="Times New Roman"/>
          <w:color w:val="000000"/>
        </w:rPr>
        <w:t xml:space="preserve">-methyl. Other safeners such as cloquintocet, fenchlorazole-ethyl </w:t>
      </w:r>
      <w:r w:rsidRPr="00F46BA7">
        <w:rPr>
          <w:rFonts w:eastAsia="MS Gothic" w:cs="Times New Roman"/>
          <w:color w:val="000000"/>
        </w:rPr>
        <w:lastRenderedPageBreak/>
        <w:t>and mefenpyr-diethyl are used to increase the tolerance of cereal crops to aryloxyphenoxypropionate (AOPP) and sulfonylurea herbicides (Davies and Cassely 1999; Hatzios and Burgos 2004). Safeners used in cereal crops are applied in pre-packaged mixtures with the herbicide at safener</w:t>
      </w:r>
      <w:proofErr w:type="gramStart"/>
      <w:r w:rsidRPr="00F46BA7">
        <w:rPr>
          <w:rFonts w:eastAsia="MS Gothic" w:cs="Times New Roman"/>
          <w:color w:val="000000"/>
        </w:rPr>
        <w:t>:herbicide</w:t>
      </w:r>
      <w:proofErr w:type="gramEnd"/>
      <w:r w:rsidRPr="00F46BA7">
        <w:rPr>
          <w:rFonts w:eastAsia="MS Gothic" w:cs="Times New Roman"/>
          <w:color w:val="000000"/>
        </w:rPr>
        <w:t xml:space="preserve"> ratios typically ranging from 1:4 to 1:6 (Hatzios and Burgos 2004). Safeners such as isoxadifen-ethyl, fenchlorazole-ethyl, mefenpyr-diethyl and cloquintocet are absorbed through the foliage and de-ester</w:t>
      </w:r>
      <w:r w:rsidR="002F7D0E">
        <w:rPr>
          <w:rFonts w:eastAsia="MS Gothic" w:cs="Times New Roman"/>
          <w:color w:val="000000"/>
        </w:rPr>
        <w:t>i</w:t>
      </w:r>
      <w:r w:rsidRPr="00F46BA7">
        <w:rPr>
          <w:rFonts w:eastAsia="MS Gothic" w:cs="Times New Roman"/>
          <w:color w:val="000000"/>
        </w:rPr>
        <w:t xml:space="preserve">fied, resulting in a free acid that is thought to be the active agent (Taylor et al. 2013). </w:t>
      </w:r>
    </w:p>
    <w:p w14:paraId="5D4D8A55" w14:textId="77777777" w:rsidR="00F46BA7" w:rsidRPr="00F46BA7" w:rsidRDefault="00F46BA7" w:rsidP="00F46BA7">
      <w:pPr>
        <w:rPr>
          <w:rFonts w:eastAsia="MS Gothic" w:cs="Times New Roman"/>
          <w:color w:val="000000"/>
        </w:rPr>
      </w:pPr>
      <w:r w:rsidRPr="00F46BA7">
        <w:rPr>
          <w:rFonts w:eastAsia="MS Gothic" w:cs="Times New Roman"/>
          <w:color w:val="000000"/>
        </w:rPr>
        <w:tab/>
        <w:t>Use of several herbicides is limited or prohibited on CBG because they cause too much turfgrass injury at rates that provide acceptable weed control. However, these herbicides are registered for use in other cool-season turfgrass species, which suggests effective safeners may have utility in CBG management. There are no reports of increased CBG tolerance to herbicides after application of compounds used exclusively as safeners. However, other researchers have reported that triclopyr, a pyrimidine carboxylic acid herbicide, can increase zoysiagrass (</w:t>
      </w:r>
      <w:r w:rsidRPr="00F46BA7">
        <w:rPr>
          <w:rFonts w:eastAsia="MS Gothic" w:cs="Times New Roman"/>
          <w:i/>
          <w:color w:val="000000"/>
        </w:rPr>
        <w:t>Zoysia japonica</w:t>
      </w:r>
      <w:r w:rsidRPr="00F46BA7">
        <w:rPr>
          <w:rFonts w:eastAsia="MS Gothic" w:cs="Times New Roman"/>
          <w:color w:val="000000"/>
        </w:rPr>
        <w:t xml:space="preserve"> Steud.) tolerance to AOPP herbicides (Doroh et al. 2010; Lewis et al. 2010; McElroy and Breeden 2006).</w:t>
      </w:r>
    </w:p>
    <w:p w14:paraId="02C0D8CB" w14:textId="77777777" w:rsidR="00F46BA7" w:rsidRPr="00F46BA7" w:rsidRDefault="00F46BA7" w:rsidP="00F46BA7">
      <w:pPr>
        <w:ind w:firstLine="720"/>
        <w:rPr>
          <w:rFonts w:cs="Times New Roman"/>
          <w:color w:val="000000"/>
        </w:rPr>
      </w:pPr>
      <w:r w:rsidRPr="00F46BA7">
        <w:rPr>
          <w:rFonts w:cs="Times New Roman"/>
          <w:color w:val="000000"/>
        </w:rPr>
        <w:t>The AOPP herbicide fenoxaprop-</w:t>
      </w:r>
      <w:r w:rsidRPr="00F46BA7">
        <w:rPr>
          <w:rFonts w:cs="Times New Roman"/>
          <w:i/>
          <w:color w:val="000000"/>
        </w:rPr>
        <w:t>p</w:t>
      </w:r>
      <w:r w:rsidRPr="00F46BA7">
        <w:rPr>
          <w:rFonts w:cs="Times New Roman"/>
          <w:color w:val="000000"/>
        </w:rPr>
        <w:t>-ethyl is widely used to control crabgrass and goosegrass in cool-season turfgrass at 200 g ha</w:t>
      </w:r>
      <w:r w:rsidRPr="00F46BA7">
        <w:rPr>
          <w:rFonts w:cs="Times New Roman"/>
          <w:color w:val="000000"/>
          <w:vertAlign w:val="superscript"/>
        </w:rPr>
        <w:t xml:space="preserve">-1 </w:t>
      </w:r>
      <w:r w:rsidRPr="00F46BA7">
        <w:rPr>
          <w:rFonts w:cs="Times New Roman"/>
          <w:color w:val="000000"/>
        </w:rPr>
        <w:t>(Neal et al. 1990). However, fenoxaprop-</w:t>
      </w:r>
      <w:r w:rsidRPr="00F46BA7">
        <w:rPr>
          <w:rFonts w:cs="Times New Roman"/>
          <w:i/>
          <w:color w:val="000000"/>
        </w:rPr>
        <w:t>p</w:t>
      </w:r>
      <w:r w:rsidRPr="00F46BA7">
        <w:rPr>
          <w:rFonts w:cs="Times New Roman"/>
          <w:color w:val="000000"/>
        </w:rPr>
        <w:t>-ethyl can cause phytotoxicity to CBG when applied at &gt; 40 g ha</w:t>
      </w:r>
      <w:r w:rsidRPr="00F46BA7">
        <w:rPr>
          <w:rFonts w:cs="Times New Roman"/>
          <w:color w:val="000000"/>
          <w:vertAlign w:val="superscript"/>
        </w:rPr>
        <w:t>-1</w:t>
      </w:r>
      <w:r w:rsidRPr="00F46BA7">
        <w:rPr>
          <w:rFonts w:cs="Times New Roman"/>
          <w:color w:val="000000"/>
        </w:rPr>
        <w:t xml:space="preserve"> (Dernoeden 1987; Henry and Hart 2004; Shim and Johnson 1992). Current fenoxaprop-</w:t>
      </w:r>
      <w:r w:rsidRPr="00F46BA7">
        <w:rPr>
          <w:rFonts w:cs="Times New Roman"/>
          <w:i/>
          <w:color w:val="000000"/>
        </w:rPr>
        <w:t>p</w:t>
      </w:r>
      <w:r w:rsidRPr="00F46BA7">
        <w:rPr>
          <w:rFonts w:cs="Times New Roman"/>
          <w:color w:val="000000"/>
        </w:rPr>
        <w:t>-ethyl labeling prohibits applications at &gt; 18 g ha</w:t>
      </w:r>
      <w:r w:rsidRPr="00F46BA7">
        <w:rPr>
          <w:rFonts w:cs="Times New Roman"/>
          <w:color w:val="000000"/>
          <w:vertAlign w:val="superscript"/>
        </w:rPr>
        <w:t>-1</w:t>
      </w:r>
      <w:r w:rsidRPr="00F46BA7">
        <w:rPr>
          <w:rFonts w:cs="Times New Roman"/>
          <w:color w:val="000000"/>
        </w:rPr>
        <w:t xml:space="preserve"> to CBG fairways and prohibits use on putting greens altogether (Anonymous 2004). These reduced rates make controlling crabgrass and goosegrass infestations in CBG challenging. Dernoeden et al. (1992) reported multiple applications of fenoxaprop-ethyl at 36 g ha</w:t>
      </w:r>
      <w:r w:rsidRPr="00F46BA7">
        <w:rPr>
          <w:rFonts w:cs="Times New Roman"/>
          <w:color w:val="000000"/>
          <w:vertAlign w:val="superscript"/>
        </w:rPr>
        <w:t>-1</w:t>
      </w:r>
      <w:r w:rsidRPr="00F46BA7">
        <w:rPr>
          <w:rFonts w:cs="Times New Roman"/>
          <w:color w:val="000000"/>
        </w:rPr>
        <w:t xml:space="preserve"> were required to provide acceptable control of </w:t>
      </w:r>
      <w:proofErr w:type="gramStart"/>
      <w:r w:rsidRPr="00F46BA7">
        <w:rPr>
          <w:rFonts w:cs="Times New Roman"/>
          <w:color w:val="000000"/>
        </w:rPr>
        <w:t>1 to</w:t>
      </w:r>
      <w:proofErr w:type="gramEnd"/>
      <w:r w:rsidRPr="00F46BA7">
        <w:rPr>
          <w:rFonts w:cs="Times New Roman"/>
          <w:color w:val="000000"/>
        </w:rPr>
        <w:t xml:space="preserve"> 2 leaf smooth crabgrass [</w:t>
      </w:r>
      <w:r w:rsidRPr="00F46BA7">
        <w:rPr>
          <w:rFonts w:cs="Times New Roman"/>
          <w:i/>
          <w:color w:val="000000"/>
        </w:rPr>
        <w:t>Digitaria ischaemum</w:t>
      </w:r>
      <w:r w:rsidRPr="00F46BA7">
        <w:rPr>
          <w:rFonts w:cs="Times New Roman"/>
          <w:color w:val="000000"/>
        </w:rPr>
        <w:t xml:space="preserve"> </w:t>
      </w:r>
      <w:r w:rsidRPr="00F46BA7">
        <w:rPr>
          <w:rFonts w:cs="Times New Roman"/>
          <w:color w:val="000000"/>
        </w:rPr>
        <w:lastRenderedPageBreak/>
        <w:t xml:space="preserve">(Schreb.) Schreb. </w:t>
      </w:r>
      <w:proofErr w:type="gramStart"/>
      <w:r w:rsidRPr="00F46BA7">
        <w:rPr>
          <w:rFonts w:cs="Times New Roman"/>
          <w:color w:val="000000"/>
        </w:rPr>
        <w:t>ex</w:t>
      </w:r>
      <w:proofErr w:type="gramEnd"/>
      <w:r w:rsidRPr="00F46BA7">
        <w:rPr>
          <w:rFonts w:cs="Times New Roman"/>
          <w:color w:val="000000"/>
        </w:rPr>
        <w:t xml:space="preserve"> Muhl] in a perennial ryegrass (</w:t>
      </w:r>
      <w:r w:rsidRPr="00F46BA7">
        <w:rPr>
          <w:rFonts w:cs="Times New Roman"/>
          <w:i/>
          <w:color w:val="000000"/>
        </w:rPr>
        <w:t xml:space="preserve">Lolium perenne </w:t>
      </w:r>
      <w:r w:rsidRPr="00F46BA7">
        <w:rPr>
          <w:rFonts w:cs="Times New Roman"/>
          <w:color w:val="000000"/>
        </w:rPr>
        <w:t>L.) fairway. Improved fenoxaprop-</w:t>
      </w:r>
      <w:r w:rsidRPr="00F46BA7">
        <w:rPr>
          <w:rFonts w:cs="Times New Roman"/>
          <w:i/>
          <w:color w:val="000000"/>
        </w:rPr>
        <w:t>p</w:t>
      </w:r>
      <w:r w:rsidRPr="00F46BA7">
        <w:rPr>
          <w:rFonts w:cs="Times New Roman"/>
          <w:color w:val="000000"/>
        </w:rPr>
        <w:t>-ethyl utility would require greater CBG tolerance to permit applications at &gt;18 g ha</w:t>
      </w:r>
      <w:r w:rsidRPr="00F46BA7">
        <w:rPr>
          <w:rFonts w:cs="Times New Roman"/>
          <w:color w:val="000000"/>
          <w:vertAlign w:val="superscript"/>
        </w:rPr>
        <w:t>-1</w:t>
      </w:r>
      <w:r w:rsidRPr="00F46BA7">
        <w:rPr>
          <w:rFonts w:cs="Times New Roman"/>
          <w:color w:val="000000"/>
        </w:rPr>
        <w:t xml:space="preserve">. </w:t>
      </w:r>
      <w:r w:rsidRPr="00F46BA7">
        <w:rPr>
          <w:rFonts w:eastAsia="MS Gothic" w:cs="Times New Roman"/>
          <w:color w:val="000000"/>
        </w:rPr>
        <w:t xml:space="preserve">More rapid </w:t>
      </w:r>
      <w:r w:rsidRPr="00F46BA7">
        <w:rPr>
          <w:rFonts w:cs="Times New Roman"/>
          <w:color w:val="000000"/>
        </w:rPr>
        <w:t xml:space="preserve">metabolism </w:t>
      </w:r>
      <w:r w:rsidRPr="00F46BA7">
        <w:rPr>
          <w:rFonts w:eastAsia="MS Gothic" w:cs="Times New Roman"/>
          <w:color w:val="000000"/>
        </w:rPr>
        <w:t>of the herbicidally active fenoxaprop acid to inactive metabolites in wheat (</w:t>
      </w:r>
      <w:r w:rsidRPr="00F46BA7">
        <w:rPr>
          <w:rFonts w:eastAsia="MS Gothic" w:cs="Times New Roman"/>
          <w:i/>
          <w:color w:val="000000"/>
        </w:rPr>
        <w:t>Triticum</w:t>
      </w:r>
      <w:r w:rsidRPr="00F46BA7">
        <w:rPr>
          <w:rFonts w:eastAsia="MS Gothic" w:cs="Times New Roman"/>
          <w:color w:val="000000"/>
        </w:rPr>
        <w:t xml:space="preserve"> spp.), compared to weed species such as smooth crabgrass allows for </w:t>
      </w:r>
      <w:r w:rsidRPr="00F46BA7">
        <w:rPr>
          <w:rFonts w:cs="Times New Roman"/>
          <w:color w:val="000000"/>
        </w:rPr>
        <w:t>fenoxaprop-</w:t>
      </w:r>
      <w:r w:rsidRPr="00F46BA7">
        <w:rPr>
          <w:rFonts w:cs="Times New Roman"/>
          <w:i/>
          <w:color w:val="000000"/>
        </w:rPr>
        <w:t>p</w:t>
      </w:r>
      <w:r w:rsidRPr="00F46BA7">
        <w:rPr>
          <w:rFonts w:cs="Times New Roman"/>
          <w:color w:val="000000"/>
        </w:rPr>
        <w:t>-ethyl</w:t>
      </w:r>
      <w:r w:rsidRPr="00F46BA7">
        <w:rPr>
          <w:rFonts w:eastAsia="MS Gothic" w:cs="Times New Roman"/>
          <w:color w:val="000000"/>
        </w:rPr>
        <w:t xml:space="preserve"> utility in wheat. The safener fenchlorazole-ethyl can increase the rate of </w:t>
      </w:r>
      <w:r w:rsidRPr="00F46BA7">
        <w:rPr>
          <w:rFonts w:cs="Times New Roman"/>
          <w:color w:val="000000"/>
        </w:rPr>
        <w:t>fenoxaprop-</w:t>
      </w:r>
      <w:r w:rsidRPr="00F46BA7">
        <w:rPr>
          <w:rFonts w:cs="Times New Roman"/>
          <w:i/>
          <w:color w:val="000000"/>
        </w:rPr>
        <w:t>p</w:t>
      </w:r>
      <w:r w:rsidRPr="00F46BA7">
        <w:rPr>
          <w:rFonts w:cs="Times New Roman"/>
          <w:color w:val="000000"/>
        </w:rPr>
        <w:t>-ethyl</w:t>
      </w:r>
      <w:r w:rsidRPr="00F46BA7">
        <w:rPr>
          <w:rFonts w:eastAsia="MS Gothic" w:cs="Times New Roman"/>
          <w:color w:val="000000"/>
        </w:rPr>
        <w:t xml:space="preserve"> metabolism in wheat without doing the same in weeds, improving selectivity. </w:t>
      </w:r>
      <w:proofErr w:type="gramStart"/>
      <w:r w:rsidRPr="00F46BA7">
        <w:rPr>
          <w:rFonts w:eastAsia="MS Gothic" w:cs="Times New Roman"/>
          <w:color w:val="000000"/>
        </w:rPr>
        <w:t>(Lefsrund and Hall 1989; Stephenson et al. 1993; Tal et al. 1995; Yaacoby et al. 1991).</w:t>
      </w:r>
      <w:proofErr w:type="gramEnd"/>
    </w:p>
    <w:p w14:paraId="3B49852A" w14:textId="77777777" w:rsidR="00F46BA7" w:rsidRPr="00F46BA7" w:rsidRDefault="00F46BA7" w:rsidP="00F46BA7">
      <w:pPr>
        <w:ind w:firstLine="720"/>
        <w:rPr>
          <w:rFonts w:cs="Times New Roman"/>
          <w:color w:val="000000"/>
        </w:rPr>
      </w:pPr>
      <w:r w:rsidRPr="00F46BA7">
        <w:rPr>
          <w:rFonts w:cs="Times New Roman"/>
        </w:rPr>
        <w:t xml:space="preserve">Quinclorac can be applied to cool-season turfgrasses such as </w:t>
      </w:r>
      <w:r w:rsidRPr="00F46BA7">
        <w:rPr>
          <w:rFonts w:cs="Times New Roman"/>
          <w:color w:val="000000"/>
        </w:rPr>
        <w:t>tall fescue (</w:t>
      </w:r>
      <w:r w:rsidRPr="00F46BA7">
        <w:rPr>
          <w:rFonts w:cs="Times New Roman"/>
          <w:i/>
          <w:color w:val="000000"/>
        </w:rPr>
        <w:t xml:space="preserve">Festuca arundinacea </w:t>
      </w:r>
      <w:r w:rsidRPr="00F46BA7">
        <w:rPr>
          <w:rFonts w:cs="Times New Roman"/>
          <w:color w:val="000000"/>
        </w:rPr>
        <w:t>Schreb.), Kentucky bluegrass (</w:t>
      </w:r>
      <w:r w:rsidRPr="00F46BA7">
        <w:rPr>
          <w:rFonts w:cs="Times New Roman"/>
          <w:i/>
          <w:color w:val="000000"/>
        </w:rPr>
        <w:t xml:space="preserve">Poa pratensis </w:t>
      </w:r>
      <w:r w:rsidRPr="00F46BA7">
        <w:rPr>
          <w:rFonts w:cs="Times New Roman"/>
          <w:color w:val="000000"/>
        </w:rPr>
        <w:t>L.) and perennial ryegrass at rates up to 840 g ha</w:t>
      </w:r>
      <w:r w:rsidRPr="00F46BA7">
        <w:rPr>
          <w:rFonts w:cs="Times New Roman"/>
          <w:color w:val="000000"/>
          <w:vertAlign w:val="superscript"/>
        </w:rPr>
        <w:t xml:space="preserve">-1 </w:t>
      </w:r>
      <w:r w:rsidRPr="00F46BA7">
        <w:rPr>
          <w:rFonts w:cs="Times New Roman"/>
          <w:color w:val="000000"/>
        </w:rPr>
        <w:t xml:space="preserve">(Anonymous 2012a). </w:t>
      </w:r>
      <w:r w:rsidRPr="00F46BA7">
        <w:rPr>
          <w:rFonts w:cs="Times New Roman"/>
        </w:rPr>
        <w:t>However, quinclorac is labeled for use on CBG fairways at lower rates (280 to 560 g ha</w:t>
      </w:r>
      <w:r w:rsidRPr="00F46BA7">
        <w:rPr>
          <w:rFonts w:cs="Times New Roman"/>
          <w:vertAlign w:val="superscript"/>
        </w:rPr>
        <w:t>-1</w:t>
      </w:r>
      <w:r w:rsidRPr="00F46BA7">
        <w:rPr>
          <w:rFonts w:cs="Times New Roman"/>
        </w:rPr>
        <w:t xml:space="preserve">) (Anonymous 2012a; Chism and Bingham 1991; Dernoeden et al. 2003; Zawierucha and Penner 2001). </w:t>
      </w:r>
      <w:r w:rsidRPr="00F46BA7">
        <w:rPr>
          <w:rFonts w:cs="Times New Roman"/>
          <w:color w:val="000000"/>
        </w:rPr>
        <w:t xml:space="preserve">Even at these reduced rates, </w:t>
      </w:r>
      <w:r w:rsidRPr="00F46BA7">
        <w:rPr>
          <w:rFonts w:cs="Times New Roman"/>
        </w:rPr>
        <w:t xml:space="preserve">quinclorac applications often result in CBG leaf chlorosis that can lead to stand density reductions, especially if applications are made prior to or during high temperatures (Dernoeden et al. 2003; Hart et al. 2004; Johnson 1994; Reicher et al. 2002). </w:t>
      </w:r>
    </w:p>
    <w:p w14:paraId="0E86768D" w14:textId="77777777" w:rsidR="00F46BA7" w:rsidRPr="00F46BA7" w:rsidRDefault="00F46BA7" w:rsidP="00F46BA7">
      <w:pPr>
        <w:rPr>
          <w:rFonts w:eastAsia="MS Gothic" w:cs="Times New Roman"/>
          <w:color w:val="000000"/>
        </w:rPr>
      </w:pPr>
      <w:r w:rsidRPr="00F46BA7">
        <w:rPr>
          <w:rFonts w:cs="Times New Roman"/>
          <w:color w:val="000000"/>
        </w:rPr>
        <w:tab/>
        <w:t xml:space="preserve">Amicarbazone is a photosystem II-inhibiting herbicide registered for application on CBG fairways at </w:t>
      </w:r>
      <w:r w:rsidRPr="00F46BA7">
        <w:rPr>
          <w:rFonts w:eastAsia="MS Gothic" w:cs="Times New Roman"/>
          <w:color w:val="000000"/>
        </w:rPr>
        <w:t>≤ 50 g ha</w:t>
      </w:r>
      <w:r w:rsidRPr="00F46BA7">
        <w:rPr>
          <w:rFonts w:eastAsia="MS Gothic" w:cs="Times New Roman"/>
          <w:color w:val="000000"/>
          <w:vertAlign w:val="superscript"/>
        </w:rPr>
        <w:t>-1</w:t>
      </w:r>
      <w:r w:rsidRPr="00F46BA7">
        <w:rPr>
          <w:rFonts w:eastAsia="MS Gothic" w:cs="Times New Roman"/>
          <w:color w:val="000000"/>
        </w:rPr>
        <w:t xml:space="preserve"> for selective annual bluegrass control (Anonymous 2012b; Dayan et al. 2009). Amicarbazone injury has been reported in fairway-height CBG following sequential fall applications at 100 g ha</w:t>
      </w:r>
      <w:r w:rsidRPr="00F46BA7">
        <w:rPr>
          <w:rFonts w:eastAsia="MS Gothic" w:cs="Times New Roman"/>
          <w:color w:val="000000"/>
          <w:vertAlign w:val="superscript"/>
        </w:rPr>
        <w:t>-1</w:t>
      </w:r>
      <w:r w:rsidRPr="00F46BA7">
        <w:rPr>
          <w:rFonts w:eastAsia="MS Gothic" w:cs="Times New Roman"/>
          <w:color w:val="000000"/>
        </w:rPr>
        <w:t xml:space="preserve"> (McCullough et al. 2010). Other researchers have reported CBG injury at rates as low as 49 g ha</w:t>
      </w:r>
      <w:r w:rsidRPr="00F46BA7">
        <w:rPr>
          <w:rFonts w:eastAsia="MS Gothic" w:cs="Times New Roman"/>
          <w:color w:val="000000"/>
          <w:vertAlign w:val="superscript"/>
        </w:rPr>
        <w:t xml:space="preserve">-1 </w:t>
      </w:r>
      <w:r w:rsidRPr="00F46BA7">
        <w:rPr>
          <w:rFonts w:eastAsia="MS Gothic" w:cs="Times New Roman"/>
          <w:color w:val="000000"/>
        </w:rPr>
        <w:t>on putting greens and in glasshouse and growth chamber experiments (Brosnan et al. 2013; Jefferies et al. 2012). The selectivity of amicarbazone for annual bluegrass in CBG is at least partially attributed to metabolism (Yu et al. 2013).</w:t>
      </w:r>
    </w:p>
    <w:p w14:paraId="577EC4FB" w14:textId="77777777" w:rsidR="00F46BA7" w:rsidRPr="00F46BA7" w:rsidRDefault="00F46BA7" w:rsidP="00F46BA7">
      <w:pPr>
        <w:rPr>
          <w:rFonts w:eastAsia="MS Gothic" w:cs="Times New Roman"/>
          <w:color w:val="000000"/>
        </w:rPr>
      </w:pPr>
      <w:r w:rsidRPr="00F46BA7">
        <w:rPr>
          <w:rFonts w:eastAsia="MS Gothic" w:cs="Times New Roman"/>
          <w:color w:val="000000"/>
        </w:rPr>
        <w:lastRenderedPageBreak/>
        <w:tab/>
        <w:t>Topramezone is a p-hydroxyphenylpyruvate dioxygenase (HPPD; EC 1.13.11.27)-inhibiting herbicide registered for use in Kentucky bluegrass, tall fescue, fine fescue (</w:t>
      </w:r>
      <w:r w:rsidRPr="00F46BA7">
        <w:rPr>
          <w:rFonts w:eastAsia="MS Gothic" w:cs="Times New Roman"/>
          <w:i/>
          <w:color w:val="000000"/>
        </w:rPr>
        <w:t>Festuca</w:t>
      </w:r>
      <w:r w:rsidRPr="00F46BA7">
        <w:rPr>
          <w:rFonts w:eastAsia="MS Gothic" w:cs="Times New Roman"/>
          <w:color w:val="000000"/>
        </w:rPr>
        <w:t xml:space="preserve"> spp.), perennial ryegrass and centipedegrass [</w:t>
      </w:r>
      <w:r w:rsidRPr="00F46BA7">
        <w:rPr>
          <w:rFonts w:eastAsia="MS Gothic" w:cs="Times New Roman"/>
          <w:i/>
          <w:color w:val="000000"/>
        </w:rPr>
        <w:t xml:space="preserve">Eremochloa ophiuroides </w:t>
      </w:r>
      <w:r w:rsidRPr="00F46BA7">
        <w:rPr>
          <w:rFonts w:eastAsia="MS Gothic" w:cs="Times New Roman"/>
          <w:color w:val="000000"/>
        </w:rPr>
        <w:t>(Munro) Hack</w:t>
      </w:r>
      <w:r w:rsidRPr="00F46BA7">
        <w:rPr>
          <w:rFonts w:eastAsia="MS Gothic" w:cs="Times New Roman"/>
          <w:i/>
          <w:color w:val="000000"/>
        </w:rPr>
        <w:t>.</w:t>
      </w:r>
      <w:r w:rsidRPr="00F46BA7">
        <w:rPr>
          <w:rFonts w:eastAsia="MS Gothic" w:cs="Times New Roman"/>
          <w:color w:val="000000"/>
        </w:rPr>
        <w:t>] at ≤ 37 g ha</w:t>
      </w:r>
      <w:r w:rsidRPr="00F46BA7">
        <w:rPr>
          <w:rFonts w:eastAsia="MS Gothic" w:cs="Times New Roman"/>
          <w:color w:val="000000"/>
          <w:vertAlign w:val="superscript"/>
        </w:rPr>
        <w:t>-1</w:t>
      </w:r>
      <w:r w:rsidRPr="00F46BA7">
        <w:rPr>
          <w:rFonts w:eastAsia="MS Gothic" w:cs="Times New Roman"/>
          <w:color w:val="000000"/>
        </w:rPr>
        <w:t xml:space="preserve">  (Anonymous 2013, Grossman and Ehrhardt 2007). When applied between 12 and 37 g ha</w:t>
      </w:r>
      <w:r w:rsidRPr="00F46BA7">
        <w:rPr>
          <w:rFonts w:eastAsia="MS Gothic" w:cs="Times New Roman"/>
          <w:color w:val="000000"/>
          <w:vertAlign w:val="superscript"/>
        </w:rPr>
        <w:t>-1</w:t>
      </w:r>
      <w:r w:rsidRPr="00F46BA7">
        <w:rPr>
          <w:rFonts w:eastAsia="MS Gothic" w:cs="Times New Roman"/>
          <w:color w:val="000000"/>
        </w:rPr>
        <w:t>, topramezone can control multi-tiller crabgrass and goosegrass, while sequential applications can suppress bermudagrass (Brosnan and Breeden 2013; Elmore et al. 2012; Smith et al. 2013). However, topramezone can cause injury to CBG when applied at 6 to 37 g ha</w:t>
      </w:r>
      <w:r w:rsidRPr="00F46BA7">
        <w:rPr>
          <w:rFonts w:eastAsia="MS Gothic" w:cs="Times New Roman"/>
          <w:color w:val="000000"/>
          <w:vertAlign w:val="superscript"/>
        </w:rPr>
        <w:t>-1</w:t>
      </w:r>
      <w:r w:rsidRPr="00F46BA7">
        <w:rPr>
          <w:rFonts w:eastAsia="MS Gothic" w:cs="Times New Roman"/>
          <w:color w:val="000000"/>
        </w:rPr>
        <w:t xml:space="preserve"> and therefore is not registered for use in CBG (Smith et al. 2013; Venner et al. 2014). Rapid N-demethylation of topramezone to an inactive metabolite has been attributed to excellent corn tolerance (Grossman and </w:t>
      </w:r>
      <w:r w:rsidRPr="00F46BA7">
        <w:rPr>
          <w:rFonts w:eastAsiaTheme="minorEastAsia" w:cs="Times New Roman"/>
        </w:rPr>
        <w:t>Ehrhardt</w:t>
      </w:r>
      <w:r w:rsidRPr="00F46BA7">
        <w:rPr>
          <w:rFonts w:eastAsia="MS Gothic" w:cs="Times New Roman"/>
          <w:color w:val="000000"/>
        </w:rPr>
        <w:t xml:space="preserve"> 2007).</w:t>
      </w:r>
    </w:p>
    <w:p w14:paraId="3557AF25" w14:textId="77777777" w:rsidR="00F46BA7" w:rsidRPr="00F46BA7" w:rsidRDefault="00F46BA7" w:rsidP="00F46BA7">
      <w:pPr>
        <w:rPr>
          <w:rFonts w:eastAsia="MS Gothic" w:cs="Times New Roman"/>
          <w:color w:val="000000"/>
        </w:rPr>
      </w:pPr>
      <w:r w:rsidRPr="00F46BA7">
        <w:rPr>
          <w:rFonts w:eastAsia="MS Gothic" w:cs="Times New Roman"/>
          <w:color w:val="000000"/>
        </w:rPr>
        <w:tab/>
        <w:t>Bispyribac-sodium is an acetolactate synthase (ALS; EC 2.2.16)-inhibiting herbicide labeled for use on CBG fairways at up to 74 g ha</w:t>
      </w:r>
      <w:r w:rsidRPr="00F46BA7">
        <w:rPr>
          <w:rFonts w:eastAsia="MS Gothic" w:cs="Times New Roman"/>
          <w:color w:val="000000"/>
          <w:vertAlign w:val="superscript"/>
        </w:rPr>
        <w:t>-1</w:t>
      </w:r>
      <w:r w:rsidRPr="00F46BA7">
        <w:rPr>
          <w:rFonts w:eastAsia="MS Gothic" w:cs="Times New Roman"/>
          <w:color w:val="000000"/>
        </w:rPr>
        <w:t xml:space="preserve"> (Anonymous 2010; Shimizu 1997). However, lack of selectivity for ABG in CBG causes transient injury, which can make bispyribac-sodium applications problematic, especially in cooler temperatures in the fall (McDonald et al. 2006; Park et al. 2002). The selectivity of bispyribac-sodium for annual bluegrass in CBG is at least partially attributed to metabolism (McCullough et al. 2009).</w:t>
      </w:r>
    </w:p>
    <w:p w14:paraId="7FE6EFBC" w14:textId="77777777" w:rsidR="00F46BA7" w:rsidRPr="00F46BA7" w:rsidRDefault="00F46BA7" w:rsidP="00F46BA7">
      <w:pPr>
        <w:ind w:firstLine="720"/>
        <w:rPr>
          <w:rFonts w:eastAsia="MS Gothic" w:cs="Times New Roman"/>
          <w:color w:val="000000"/>
        </w:rPr>
      </w:pPr>
      <w:r w:rsidRPr="00F46BA7">
        <w:rPr>
          <w:rFonts w:eastAsia="MS Gothic" w:cs="Times New Roman"/>
          <w:color w:val="000000"/>
        </w:rPr>
        <w:t>Imidazolinone herbicides such as imazapic have been evaluated for growth regulation and seedhead suppression in warm- and cool-season turfgrasses (Brosnan et al. 2011, 2012; Baker et al. 1999; Gannon and Yelverton 2011; Hixon et al. 2007; McCarty et al. 2004). Imazapic can control large crabgrass and other weeds, but there are no reports describing CBG tolerance (Jordan et al. 2009). Preliminary research conducted at the University of Tennessee demonstrated transient ‘Penncross’ CBG injury from imazapic (65 g ha</w:t>
      </w:r>
      <w:r w:rsidRPr="00F46BA7">
        <w:rPr>
          <w:rFonts w:eastAsia="MS Gothic" w:cs="Times New Roman"/>
          <w:color w:val="000000"/>
          <w:vertAlign w:val="superscript"/>
        </w:rPr>
        <w:t>-1</w:t>
      </w:r>
      <w:r w:rsidRPr="00F46BA7">
        <w:rPr>
          <w:rFonts w:eastAsia="MS Gothic" w:cs="Times New Roman"/>
          <w:color w:val="000000"/>
        </w:rPr>
        <w:t xml:space="preserve">). The safener </w:t>
      </w:r>
      <w:r w:rsidRPr="00F46BA7">
        <w:rPr>
          <w:rFonts w:eastAsia="MS Gothic" w:cs="Times New Roman"/>
          <w:color w:val="000000"/>
        </w:rPr>
        <w:lastRenderedPageBreak/>
        <w:t>naphthalic anhydride can increase cP450-mediated hydroxylation of imazapic in maize (Davies et al. 1998). A similar effect in CBG may give imazapic utility in CBG weed management.</w:t>
      </w:r>
    </w:p>
    <w:p w14:paraId="59880292" w14:textId="77777777" w:rsidR="00F46BA7" w:rsidRPr="00F46BA7" w:rsidRDefault="00F46BA7" w:rsidP="00F46BA7">
      <w:pPr>
        <w:rPr>
          <w:rFonts w:eastAsia="MS Gothic" w:cs="Times New Roman"/>
          <w:color w:val="000000"/>
        </w:rPr>
      </w:pPr>
      <w:r w:rsidRPr="00F46BA7">
        <w:rPr>
          <w:rFonts w:eastAsia="MS Gothic" w:cs="Times New Roman"/>
          <w:color w:val="000000"/>
        </w:rPr>
        <w:tab/>
        <w:t xml:space="preserve">Since there are no reports of safener efficacy in turfgrass, the objective of this research was to evaluate CBG tolerance to various herbicides in combination with herbicide safeners. Additionally, our objective was to determine the effect of various safener rates on CBG tolerance and graminaceous weed control. These herbicides comprise five different sites of action and six different chemical families. Increasing CBG tolerance to these herbicides would increase weed control options in CBG. Our hypothesis was that CBG tolerance to some herbicides evaluated will be improved but safener rates of specific herbicide-safener combinations will require optimization. </w:t>
      </w:r>
    </w:p>
    <w:p w14:paraId="51D77DDE" w14:textId="77777777" w:rsidR="00F46BA7" w:rsidRPr="00F46BA7" w:rsidRDefault="00F46BA7" w:rsidP="00F46BA7">
      <w:pPr>
        <w:rPr>
          <w:rFonts w:eastAsia="MS Gothic" w:cs="Times New Roman"/>
          <w:color w:val="000000"/>
        </w:rPr>
      </w:pPr>
    </w:p>
    <w:p w14:paraId="53049DE4" w14:textId="77777777" w:rsidR="00C8757C" w:rsidRPr="00C8757C" w:rsidRDefault="00C8757C" w:rsidP="00D560D4">
      <w:pPr>
        <w:pStyle w:val="Heading2"/>
      </w:pPr>
      <w:bookmarkStart w:id="32" w:name="_Toc264635671"/>
      <w:bookmarkStart w:id="33" w:name="_Toc264713557"/>
      <w:bookmarkStart w:id="34" w:name="_Toc264713601"/>
      <w:bookmarkStart w:id="35" w:name="_Toc264967182"/>
      <w:r w:rsidRPr="00C8757C">
        <w:t>MATERIALS AND METHODS</w:t>
      </w:r>
      <w:bookmarkEnd w:id="32"/>
      <w:bookmarkEnd w:id="33"/>
      <w:bookmarkEnd w:id="34"/>
      <w:bookmarkEnd w:id="35"/>
    </w:p>
    <w:p w14:paraId="732A1169" w14:textId="49639412" w:rsidR="00F46BA7" w:rsidRPr="00F46BA7" w:rsidRDefault="00F46BA7" w:rsidP="00F46BA7">
      <w:pPr>
        <w:outlineLvl w:val="0"/>
        <w:rPr>
          <w:rFonts w:cs="Times New Roman"/>
        </w:rPr>
      </w:pPr>
      <w:r w:rsidRPr="00F46BA7">
        <w:rPr>
          <w:rFonts w:cs="Times New Roman"/>
          <w:b/>
        </w:rPr>
        <w:t xml:space="preserve">Plant Culture. </w:t>
      </w:r>
      <w:r w:rsidRPr="00F46BA7">
        <w:rPr>
          <w:rFonts w:cs="Times New Roman"/>
        </w:rPr>
        <w:t>Glasshouse experiments were conducted during 2012 and 2013 in Knoxville, TN (35</w:t>
      </w:r>
      <w:r w:rsidRPr="00F46BA7">
        <w:rPr>
          <w:rFonts w:cs="Times New Roman"/>
          <w:color w:val="000000"/>
        </w:rPr>
        <w:t>° 57</w:t>
      </w:r>
      <w:r w:rsidRPr="00F46BA7">
        <w:rPr>
          <w:rFonts w:eastAsia="MS Gothic" w:cs="Times New Roman"/>
          <w:color w:val="000000"/>
        </w:rPr>
        <w:t>’</w:t>
      </w:r>
      <w:r w:rsidRPr="00F46BA7">
        <w:rPr>
          <w:rFonts w:cs="Times New Roman"/>
          <w:color w:val="000000"/>
        </w:rPr>
        <w:t xml:space="preserve"> N lat</w:t>
      </w:r>
      <w:r w:rsidR="002F7D0E">
        <w:rPr>
          <w:rFonts w:cs="Times New Roman"/>
          <w:color w:val="000000"/>
        </w:rPr>
        <w:t>.</w:t>
      </w:r>
      <w:r w:rsidRPr="00F46BA7">
        <w:rPr>
          <w:rFonts w:cs="Times New Roman"/>
          <w:color w:val="000000"/>
        </w:rPr>
        <w:t>) under ambient light. ‘Penncross’ CBG was seeded to 6.5-cm diameter cone-tainers (Stuewe and Sons. Tangent, OR) filled with a peat moss, perlite and vermiculite growing medium (Fafard No. 2, Sun Gro Horticulture, Agawam, MA) and maintained in a glasshouse at a 1.3 cm height using mechanical shears (Showmaster, Oster Professional Products, McMinnville, TN) for six months before treatment. During this time, CBG was fertilized on an as-needed basis using a complete (20N</w:t>
      </w:r>
      <w:proofErr w:type="gramStart"/>
      <w:r w:rsidRPr="00F46BA7">
        <w:rPr>
          <w:rFonts w:cs="Times New Roman"/>
          <w:color w:val="000000"/>
        </w:rPr>
        <w:t>:20P</w:t>
      </w:r>
      <w:r w:rsidRPr="00F46BA7">
        <w:rPr>
          <w:rFonts w:cs="Times New Roman"/>
          <w:color w:val="000000"/>
          <w:vertAlign w:val="subscript"/>
        </w:rPr>
        <w:t>2</w:t>
      </w:r>
      <w:r w:rsidRPr="00F46BA7">
        <w:rPr>
          <w:rFonts w:cs="Times New Roman"/>
          <w:color w:val="000000"/>
        </w:rPr>
        <w:t>O</w:t>
      </w:r>
      <w:r w:rsidRPr="00F46BA7">
        <w:rPr>
          <w:rFonts w:cs="Times New Roman"/>
          <w:color w:val="000000"/>
          <w:vertAlign w:val="subscript"/>
        </w:rPr>
        <w:t>5</w:t>
      </w:r>
      <w:r w:rsidRPr="00F46BA7">
        <w:rPr>
          <w:rFonts w:cs="Times New Roman"/>
          <w:color w:val="000000"/>
        </w:rPr>
        <w:t>:20K</w:t>
      </w:r>
      <w:r w:rsidRPr="00F46BA7">
        <w:rPr>
          <w:rFonts w:cs="Times New Roman"/>
          <w:color w:val="000000"/>
          <w:vertAlign w:val="subscript"/>
        </w:rPr>
        <w:t>2</w:t>
      </w:r>
      <w:r w:rsidRPr="00F46BA7">
        <w:rPr>
          <w:rFonts w:cs="Times New Roman"/>
          <w:color w:val="000000"/>
        </w:rPr>
        <w:t>O</w:t>
      </w:r>
      <w:proofErr w:type="gramEnd"/>
      <w:r w:rsidRPr="00F46BA7">
        <w:rPr>
          <w:rFonts w:cs="Times New Roman"/>
          <w:color w:val="000000"/>
        </w:rPr>
        <w:t>) fertilizer (</w:t>
      </w:r>
      <w:r w:rsidRPr="00F46BA7">
        <w:rPr>
          <w:rFonts w:cs="Times New Roman"/>
        </w:rPr>
        <w:t>Howard Johnson’s Triple Twenty Plus Minors, Milwaukee, WI) at 25 kg N ha</w:t>
      </w:r>
      <w:r w:rsidRPr="00F46BA7">
        <w:rPr>
          <w:rFonts w:cs="Times New Roman"/>
          <w:vertAlign w:val="superscript"/>
        </w:rPr>
        <w:t>-1</w:t>
      </w:r>
      <w:r w:rsidRPr="00F46BA7">
        <w:rPr>
          <w:rFonts w:cs="Times New Roman"/>
        </w:rPr>
        <w:t xml:space="preserve"> and irrigated as needed to prevent wilt. Beginning 10 days prior to treatment application, CBG was fertilized with a complete fertilizer at 10 kg N ha</w:t>
      </w:r>
      <w:r w:rsidRPr="00F46BA7">
        <w:rPr>
          <w:rFonts w:cs="Times New Roman"/>
          <w:vertAlign w:val="superscript"/>
        </w:rPr>
        <w:t>-1</w:t>
      </w:r>
      <w:r w:rsidRPr="00F46BA7">
        <w:rPr>
          <w:rFonts w:cs="Times New Roman"/>
        </w:rPr>
        <w:t xml:space="preserve"> every 10 days for the duration of the experiment. Plants were hand-trimmed to a 1.3-cm height with </w:t>
      </w:r>
      <w:r w:rsidRPr="00F46BA7">
        <w:rPr>
          <w:rFonts w:cs="Times New Roman"/>
        </w:rPr>
        <w:lastRenderedPageBreak/>
        <w:t xml:space="preserve">scissors approximately 24 h before treatment and mowing was then suspended for the duration of experimentation. </w:t>
      </w:r>
    </w:p>
    <w:p w14:paraId="2FEAE454" w14:textId="77777777" w:rsidR="00F46BA7" w:rsidRPr="00F46BA7" w:rsidRDefault="00F46BA7" w:rsidP="00F46BA7">
      <w:pPr>
        <w:outlineLvl w:val="0"/>
        <w:rPr>
          <w:rFonts w:cs="Times New Roman"/>
          <w:color w:val="000000"/>
        </w:rPr>
      </w:pPr>
    </w:p>
    <w:p w14:paraId="614635AB" w14:textId="4DCB8D1C" w:rsidR="00F46BA7" w:rsidRPr="00F46BA7" w:rsidRDefault="00F46BA7" w:rsidP="00F46BA7">
      <w:pPr>
        <w:rPr>
          <w:rFonts w:cs="Times New Roman"/>
        </w:rPr>
      </w:pPr>
      <w:r w:rsidRPr="00F46BA7">
        <w:rPr>
          <w:rFonts w:cs="Times New Roman"/>
          <w:b/>
          <w:color w:val="000000"/>
        </w:rPr>
        <w:t xml:space="preserve">Experiment 1: Identify Candidate Herbicides. </w:t>
      </w:r>
      <w:r w:rsidRPr="00F46BA7">
        <w:rPr>
          <w:rFonts w:cs="Times New Roman"/>
          <w:color w:val="000000"/>
        </w:rPr>
        <w:t>Rese</w:t>
      </w:r>
      <w:r w:rsidR="002F7D0E">
        <w:rPr>
          <w:rFonts w:cs="Times New Roman"/>
          <w:color w:val="000000"/>
        </w:rPr>
        <w:t>arch was conducted to determine</w:t>
      </w:r>
      <w:r w:rsidR="003E15FA">
        <w:rPr>
          <w:rFonts w:cs="Times New Roman"/>
          <w:color w:val="000000"/>
        </w:rPr>
        <w:t xml:space="preserve"> which </w:t>
      </w:r>
      <w:r w:rsidRPr="00F46BA7">
        <w:rPr>
          <w:rFonts w:cs="Times New Roman"/>
          <w:color w:val="000000"/>
        </w:rPr>
        <w:t xml:space="preserve">herbicides could be candidates for use on CBG when combined with </w:t>
      </w:r>
      <w:proofErr w:type="gramStart"/>
      <w:r w:rsidRPr="00F46BA7">
        <w:rPr>
          <w:rFonts w:cs="Times New Roman"/>
          <w:color w:val="000000"/>
        </w:rPr>
        <w:t>a</w:t>
      </w:r>
      <w:proofErr w:type="gramEnd"/>
      <w:r w:rsidRPr="00F46BA7">
        <w:rPr>
          <w:rFonts w:cs="Times New Roman"/>
          <w:color w:val="000000"/>
        </w:rPr>
        <w:t xml:space="preserve"> herbicide safener. All treatments were compared to a non-treated control. Herbicide treatments listed in Table 1 were applied alone or in combination with the herbicide safeners naphthalic anhydride (1,8-naphthalic anhydride; Sigma Aldrich, St. Louis, MO) or isoxadifen-ethyl (50 WDG; DuPont Ag Products, Wilmington, DE). Herbicide rates were based on current product labeling and preliminary field research that determined rates expected to cause 15 to 30% injury. Safeners were applied at 0, 5 or 10 times the rate of each herbicide to maximize potential for safener efficacy. Safeners were also applied at two timings: three days or 30 min before herbicide application. This formed a four-way (herbicide, safener, safener rate, safener timing) factorial treatment design with three replications. Safeners were applied to non-herbicide-treated CBG to ensure they were not phytotoxic.</w:t>
      </w:r>
    </w:p>
    <w:p w14:paraId="5D85C214" w14:textId="77777777" w:rsidR="00F46BA7" w:rsidRPr="00F46BA7" w:rsidRDefault="00F46BA7" w:rsidP="00F46BA7">
      <w:pPr>
        <w:ind w:firstLine="720"/>
        <w:outlineLvl w:val="0"/>
        <w:rPr>
          <w:rFonts w:cs="Times New Roman"/>
        </w:rPr>
      </w:pPr>
      <w:r w:rsidRPr="00F46BA7">
        <w:rPr>
          <w:rFonts w:cs="Times New Roman"/>
        </w:rPr>
        <w:t>All treatments except for quinclorac were applied with non-ionic surfactant (Activator 90. Loveland Products Inc., Loveland, CO) at 0.25% v/v. Quinclorac was applied with a methylated seed oil (Loveland Products Inc., Loveland, CO) (MSO) at 1% v/v according to the product label (Anonymous 2012a). All treatments were applied with 215 L ha</w:t>
      </w:r>
      <w:r w:rsidRPr="00F46BA7">
        <w:rPr>
          <w:rFonts w:cs="Times New Roman"/>
          <w:vertAlign w:val="superscript"/>
        </w:rPr>
        <w:t>-1</w:t>
      </w:r>
      <w:r w:rsidRPr="00F46BA7">
        <w:rPr>
          <w:rFonts w:cs="Times New Roman"/>
        </w:rPr>
        <w:t xml:space="preserve"> of water carrier through a single flat-fan nozzle (8004 EVS; Spraying Systems Co., Roswell, GA) in a spray chamber</w:t>
      </w:r>
      <w:r w:rsidRPr="00F46BA7">
        <w:rPr>
          <w:rFonts w:cs="Times New Roman"/>
          <w:vertAlign w:val="superscript"/>
        </w:rPr>
        <w:t xml:space="preserve"> </w:t>
      </w:r>
      <w:r w:rsidRPr="00F46BA7">
        <w:rPr>
          <w:rFonts w:cs="Times New Roman"/>
        </w:rPr>
        <w:t xml:space="preserve">(Generation III Research Track Sprayer. </w:t>
      </w:r>
      <w:proofErr w:type="gramStart"/>
      <w:r w:rsidRPr="00F46BA7">
        <w:rPr>
          <w:rFonts w:cs="Times New Roman"/>
        </w:rPr>
        <w:t>DeVries Manufacturing, Hollandale, MN).</w:t>
      </w:r>
      <w:proofErr w:type="gramEnd"/>
      <w:r w:rsidRPr="00F46BA7">
        <w:rPr>
          <w:rFonts w:cs="Times New Roman"/>
        </w:rPr>
        <w:t xml:space="preserve"> Naphthlic anhydride </w:t>
      </w:r>
      <w:r w:rsidRPr="00F46BA7">
        <w:rPr>
          <w:rFonts w:cs="Times New Roman"/>
          <w:color w:val="000000"/>
        </w:rPr>
        <w:t xml:space="preserve">was dissolved in 3 ml of acetone prior to addition to appropriate spray solutions. </w:t>
      </w:r>
      <w:r w:rsidRPr="00F46BA7">
        <w:rPr>
          <w:rFonts w:cs="Times New Roman"/>
        </w:rPr>
        <w:lastRenderedPageBreak/>
        <w:t xml:space="preserve">Irrigation was withheld for 18 h after treatment application. Herbicides were applied on 7 February and 1 June 2012 for experimental runs A and B, respectively.   </w:t>
      </w:r>
    </w:p>
    <w:p w14:paraId="6F7354C0" w14:textId="14F13DE5" w:rsidR="00F46BA7" w:rsidRDefault="00F46BA7" w:rsidP="00F46BA7">
      <w:pPr>
        <w:ind w:firstLine="720"/>
        <w:outlineLvl w:val="0"/>
        <w:rPr>
          <w:rFonts w:cs="Times New Roman"/>
          <w:color w:val="000000"/>
        </w:rPr>
      </w:pPr>
      <w:r w:rsidRPr="00F46BA7">
        <w:rPr>
          <w:rFonts w:cs="Times New Roman"/>
        </w:rPr>
        <w:t>CBG injury was evaluated 1, 2 and 3 weeks after treatment (WAT) on a 0 (no injury) to 100% (complete leaf tissue necrosis) scale. Only CBG injury data collected 2 WAT will be presented</w:t>
      </w:r>
      <w:r w:rsidR="002F7D0E">
        <w:rPr>
          <w:rFonts w:cs="Times New Roman"/>
        </w:rPr>
        <w:t>,</w:t>
      </w:r>
      <w:r w:rsidRPr="00F46BA7">
        <w:rPr>
          <w:rFonts w:cs="Times New Roman"/>
        </w:rPr>
        <w:t xml:space="preserve"> as treatment responses were most apparent at this time. </w:t>
      </w:r>
      <w:r w:rsidRPr="00F46BA7">
        <w:rPr>
          <w:rFonts w:cs="Times New Roman"/>
          <w:color w:val="000000"/>
        </w:rPr>
        <w:t xml:space="preserve">Additionally, clipping yield was quantified 3 WAT. Scissors were used to remove foliage above 1.3 cm. Harvested tissue was then placed in a drying oven at 80°C for 48 h and weighed. </w:t>
      </w:r>
    </w:p>
    <w:p w14:paraId="368741A3" w14:textId="77777777" w:rsidR="00035E7F" w:rsidRPr="00F46BA7" w:rsidRDefault="00035E7F" w:rsidP="00F46BA7">
      <w:pPr>
        <w:ind w:firstLine="720"/>
        <w:outlineLvl w:val="0"/>
        <w:rPr>
          <w:rFonts w:cs="Times New Roman"/>
          <w:color w:val="000000"/>
        </w:rPr>
      </w:pPr>
    </w:p>
    <w:p w14:paraId="7DEDD5AA" w14:textId="77777777" w:rsidR="00F46BA7" w:rsidRPr="00F46BA7" w:rsidRDefault="00F46BA7" w:rsidP="00F46BA7">
      <w:pPr>
        <w:outlineLvl w:val="0"/>
        <w:rPr>
          <w:rFonts w:cs="Times New Roman"/>
          <w:color w:val="000000"/>
        </w:rPr>
      </w:pPr>
      <w:r w:rsidRPr="00F46BA7">
        <w:rPr>
          <w:rFonts w:cs="Times New Roman"/>
          <w:b/>
          <w:color w:val="000000"/>
        </w:rPr>
        <w:t xml:space="preserve">Experiment 2: Identify Candidate Safeners. </w:t>
      </w:r>
      <w:r w:rsidRPr="00F46BA7">
        <w:rPr>
          <w:rFonts w:cs="Times New Roman"/>
          <w:color w:val="000000"/>
        </w:rPr>
        <w:t>Based on the results of Experiment 1, research was conducted to determine safener candidates for use on CBG when combined with topramezone. CBG was treated with safeners listed in Table 2 at a 5:1 safener</w:t>
      </w:r>
      <w:proofErr w:type="gramStart"/>
      <w:r w:rsidRPr="00F46BA7">
        <w:rPr>
          <w:rFonts w:cs="Times New Roman"/>
          <w:color w:val="000000"/>
        </w:rPr>
        <w:t>:herbicide</w:t>
      </w:r>
      <w:proofErr w:type="gramEnd"/>
      <w:r w:rsidRPr="00F46BA7">
        <w:rPr>
          <w:rFonts w:cs="Times New Roman"/>
          <w:color w:val="000000"/>
        </w:rPr>
        <w:t xml:space="preserve"> ratio 30 min prior to application of topramezone (37 g ha</w:t>
      </w:r>
      <w:r w:rsidRPr="00F46BA7">
        <w:rPr>
          <w:rFonts w:cs="Times New Roman"/>
          <w:color w:val="000000"/>
          <w:vertAlign w:val="superscript"/>
        </w:rPr>
        <w:t>-1</w:t>
      </w:r>
      <w:r w:rsidRPr="00F46BA7">
        <w:rPr>
          <w:rFonts w:cs="Times New Roman"/>
          <w:color w:val="000000"/>
        </w:rPr>
        <w:t xml:space="preserve">). Comparisons were made to a non-treated control. Plant culture, treatment application and evaluation were conducted in the same manner as in Experiment 1. Additionally, </w:t>
      </w:r>
      <w:r w:rsidRPr="00F46BA7">
        <w:rPr>
          <w:rFonts w:cs="Times New Roman"/>
        </w:rPr>
        <w:t>CBG injury was also quantified via measurements of turfgrass cover via digital image analysis (DIA) using methods modified from Richardson (2001) and Karcher and Richardson (2003). CBG cone-tainers were placed into a custom-constructed light box with a blue background</w:t>
      </w:r>
      <w:r w:rsidRPr="00F46BA7">
        <w:rPr>
          <w:rFonts w:eastAsiaTheme="minorEastAsia" w:cs="Times New Roman"/>
          <w:sz w:val="32"/>
          <w:szCs w:val="32"/>
        </w:rPr>
        <w:t xml:space="preserve"> </w:t>
      </w:r>
      <w:r w:rsidRPr="00F46BA7">
        <w:rPr>
          <w:rFonts w:eastAsiaTheme="minorEastAsia" w:cs="Times New Roman"/>
        </w:rPr>
        <w:t xml:space="preserve">and digitally photographed with a Canon G12 (Canon Inc., Japan) camera. Sigma Scan Pro Software (v. 5.0, SPSS. Inc., Chicago, IL) was used to determine the number of green pixels in each image. Green pixels were defined as those having a hue between 60 and 102 and saturation between 0 and 100 percent to exclude herbicide-injured leaves (defined as hue &lt; 60; 103 to 134) and the blue background </w:t>
      </w:r>
      <w:r w:rsidRPr="00F46BA7">
        <w:rPr>
          <w:rFonts w:cs="Times New Roman"/>
        </w:rPr>
        <w:t>(hue range 135 to 153)</w:t>
      </w:r>
      <w:r w:rsidRPr="00F46BA7">
        <w:rPr>
          <w:rFonts w:eastAsiaTheme="minorEastAsia" w:cs="Times New Roman"/>
        </w:rPr>
        <w:t xml:space="preserve"> from selection.</w:t>
      </w:r>
    </w:p>
    <w:p w14:paraId="282AD797" w14:textId="77777777" w:rsidR="00F46BA7" w:rsidRDefault="00F46BA7" w:rsidP="00F46BA7">
      <w:pPr>
        <w:outlineLvl w:val="0"/>
        <w:rPr>
          <w:rFonts w:cs="Times New Roman"/>
        </w:rPr>
      </w:pPr>
      <w:r w:rsidRPr="00F46BA7">
        <w:rPr>
          <w:rFonts w:cs="Times New Roman"/>
          <w:color w:val="000000"/>
        </w:rPr>
        <w:lastRenderedPageBreak/>
        <w:tab/>
        <w:t xml:space="preserve">Treatments were arranged in a single factor treatment design with three replications. </w:t>
      </w:r>
      <w:r w:rsidRPr="00F46BA7">
        <w:rPr>
          <w:rFonts w:cs="Times New Roman"/>
        </w:rPr>
        <w:t xml:space="preserve">Herbicides were applied on 16 and 30 August 2012 for experimental runs A and B, respectively.  </w:t>
      </w:r>
    </w:p>
    <w:p w14:paraId="0E9D8703" w14:textId="77777777" w:rsidR="00035E7F" w:rsidRPr="00F46BA7" w:rsidRDefault="00035E7F" w:rsidP="00F46BA7">
      <w:pPr>
        <w:outlineLvl w:val="0"/>
        <w:rPr>
          <w:rFonts w:cs="Times New Roman"/>
        </w:rPr>
      </w:pPr>
    </w:p>
    <w:p w14:paraId="4C5138AF" w14:textId="77777777" w:rsidR="00F46BA7" w:rsidRDefault="00F46BA7" w:rsidP="00F46BA7">
      <w:pPr>
        <w:outlineLvl w:val="0"/>
        <w:rPr>
          <w:rFonts w:cs="Times New Roman"/>
          <w:color w:val="000000"/>
        </w:rPr>
      </w:pPr>
      <w:r w:rsidRPr="00F46BA7">
        <w:rPr>
          <w:rFonts w:cs="Times New Roman"/>
          <w:b/>
          <w:color w:val="000000"/>
        </w:rPr>
        <w:t>Experiment 3: Evaluate Safener Efficacy at Reduced Rates.</w:t>
      </w:r>
      <w:r w:rsidRPr="00F46BA7">
        <w:rPr>
          <w:rFonts w:cs="Times New Roman"/>
          <w:color w:val="000000"/>
        </w:rPr>
        <w:t xml:space="preserve"> Additional glasshouse research evaluated the efficacy of various safener rates to reduce CBG injury from topramezone with effective herbicide-safener combinations identified in Experiments 1 and 2.  Cloquintocet was evaluated at 185, 93, 37, 28, 18, 9 and 0 g ha</w:t>
      </w:r>
      <w:r w:rsidRPr="00F46BA7">
        <w:rPr>
          <w:rFonts w:cs="Times New Roman"/>
          <w:color w:val="000000"/>
          <w:vertAlign w:val="superscript"/>
        </w:rPr>
        <w:t>-1</w:t>
      </w:r>
      <w:r w:rsidRPr="00F46BA7">
        <w:rPr>
          <w:rFonts w:cs="Times New Roman"/>
          <w:color w:val="000000"/>
        </w:rPr>
        <w:t xml:space="preserve"> in combination with topramezone at 37 g ha</w:t>
      </w:r>
      <w:r w:rsidRPr="00F46BA7">
        <w:rPr>
          <w:rFonts w:cs="Times New Roman"/>
          <w:color w:val="000000"/>
          <w:vertAlign w:val="superscript"/>
        </w:rPr>
        <w:t>-1</w:t>
      </w:r>
      <w:r w:rsidRPr="00F46BA7">
        <w:rPr>
          <w:rFonts w:cs="Times New Roman"/>
          <w:color w:val="000000"/>
        </w:rPr>
        <w:t>. CBG was treated with cloquintocet 30 min prior to topramezone application. Comparisons were made to a non-treated control. Treatments were arranged in a single-factor, completely randomized design with four replications. Plant culture, treatment application, and data collection were conducted in the same manner as Experiment 2. Treatments for experimental runs A and B were applied on 19 March and 11 October 2013.</w:t>
      </w:r>
    </w:p>
    <w:p w14:paraId="62F86D0F" w14:textId="77777777" w:rsidR="00035E7F" w:rsidRPr="00F46BA7" w:rsidRDefault="00035E7F" w:rsidP="00F46BA7">
      <w:pPr>
        <w:outlineLvl w:val="0"/>
        <w:rPr>
          <w:rFonts w:cs="Times New Roman"/>
          <w:color w:val="000000"/>
        </w:rPr>
      </w:pPr>
    </w:p>
    <w:p w14:paraId="6F7CD055" w14:textId="77777777" w:rsidR="00F46BA7" w:rsidRPr="00F46BA7" w:rsidRDefault="00F46BA7" w:rsidP="00F46BA7">
      <w:pPr>
        <w:outlineLvl w:val="0"/>
        <w:rPr>
          <w:rFonts w:cs="Times New Roman"/>
          <w:color w:val="000000"/>
        </w:rPr>
      </w:pPr>
      <w:r w:rsidRPr="00F46BA7">
        <w:rPr>
          <w:rFonts w:cs="Times New Roman"/>
          <w:b/>
          <w:color w:val="000000"/>
        </w:rPr>
        <w:t xml:space="preserve">Experiment 4: Comparing Responses on CBG and Weeds. </w:t>
      </w:r>
      <w:r w:rsidRPr="00F46BA7">
        <w:rPr>
          <w:rFonts w:cs="Times New Roman"/>
          <w:color w:val="000000"/>
        </w:rPr>
        <w:t xml:space="preserve">Additional research was conducted to compare the response of CBG and </w:t>
      </w:r>
      <w:r w:rsidRPr="00F46BA7">
        <w:rPr>
          <w:rFonts w:eastAsia="MS Gothic" w:cs="Times New Roman"/>
          <w:color w:val="000000"/>
        </w:rPr>
        <w:t>graminaceous weeds to herbicide-safener combinations identified in Experiments 1, 2 and 3</w:t>
      </w:r>
      <w:r w:rsidRPr="00F46BA7">
        <w:rPr>
          <w:rFonts w:cs="Times New Roman"/>
          <w:color w:val="000000"/>
        </w:rPr>
        <w:t>. CBG was maintained according to previously described methods. Large crabgrass and goosegrass were seeded to separate 10-by-10 cm square pots filled with peat moss, perlite and vermiculite growing medium described previously. During this time, they were fertilized on an as-needed basis using a complete (20N</w:t>
      </w:r>
      <w:proofErr w:type="gramStart"/>
      <w:r w:rsidRPr="00F46BA7">
        <w:rPr>
          <w:rFonts w:cs="Times New Roman"/>
          <w:color w:val="000000"/>
        </w:rPr>
        <w:t>:20P</w:t>
      </w:r>
      <w:r w:rsidRPr="00F46BA7">
        <w:rPr>
          <w:rFonts w:cs="Times New Roman"/>
          <w:color w:val="000000"/>
          <w:vertAlign w:val="subscript"/>
        </w:rPr>
        <w:t>2</w:t>
      </w:r>
      <w:r w:rsidRPr="00F46BA7">
        <w:rPr>
          <w:rFonts w:cs="Times New Roman"/>
          <w:color w:val="000000"/>
        </w:rPr>
        <w:t>O</w:t>
      </w:r>
      <w:r w:rsidRPr="00F46BA7">
        <w:rPr>
          <w:rFonts w:cs="Times New Roman"/>
          <w:color w:val="000000"/>
          <w:vertAlign w:val="subscript"/>
        </w:rPr>
        <w:t>5</w:t>
      </w:r>
      <w:r w:rsidRPr="00F46BA7">
        <w:rPr>
          <w:rFonts w:cs="Times New Roman"/>
          <w:color w:val="000000"/>
        </w:rPr>
        <w:t>:20K</w:t>
      </w:r>
      <w:r w:rsidRPr="00F46BA7">
        <w:rPr>
          <w:rFonts w:cs="Times New Roman"/>
          <w:color w:val="000000"/>
          <w:vertAlign w:val="subscript"/>
        </w:rPr>
        <w:t>2</w:t>
      </w:r>
      <w:r w:rsidRPr="00F46BA7">
        <w:rPr>
          <w:rFonts w:cs="Times New Roman"/>
          <w:color w:val="000000"/>
        </w:rPr>
        <w:t>O</w:t>
      </w:r>
      <w:proofErr w:type="gramEnd"/>
      <w:r w:rsidRPr="00F46BA7">
        <w:rPr>
          <w:rFonts w:cs="Times New Roman"/>
          <w:color w:val="000000"/>
        </w:rPr>
        <w:t>) fertilizer (</w:t>
      </w:r>
      <w:r w:rsidRPr="00F46BA7">
        <w:rPr>
          <w:rFonts w:cs="Times New Roman"/>
        </w:rPr>
        <w:t>Howard Johnson’s Triple Twenty Plus Minors, Milwaukee, WI) at 25 kg N ha</w:t>
      </w:r>
      <w:r w:rsidRPr="00F46BA7">
        <w:rPr>
          <w:rFonts w:cs="Times New Roman"/>
          <w:vertAlign w:val="superscript"/>
        </w:rPr>
        <w:t>-1</w:t>
      </w:r>
      <w:r w:rsidRPr="00F46BA7">
        <w:rPr>
          <w:rFonts w:cs="Times New Roman"/>
        </w:rPr>
        <w:t xml:space="preserve"> and irrigated as needed to prevent wilt. </w:t>
      </w:r>
      <w:r w:rsidRPr="00F46BA7">
        <w:rPr>
          <w:rFonts w:cs="Times New Roman"/>
          <w:color w:val="000000"/>
        </w:rPr>
        <w:t xml:space="preserve"> After emergence, pots were hand-thinned to contain 2 plants. Scissors were used to maintain large crabgrass and goosegrass at a 10 cm height prior to </w:t>
      </w:r>
      <w:r w:rsidRPr="00F46BA7">
        <w:rPr>
          <w:rFonts w:cs="Times New Roman"/>
          <w:color w:val="000000"/>
        </w:rPr>
        <w:lastRenderedPageBreak/>
        <w:t>treatment. Herbicide-safener combinations were applied to goosegrass and large crabgrass plants at the three-to-five tiller growth stage.</w:t>
      </w:r>
    </w:p>
    <w:p w14:paraId="22513EB2" w14:textId="77777777" w:rsidR="00F46BA7" w:rsidRDefault="00F46BA7" w:rsidP="00F46BA7">
      <w:pPr>
        <w:ind w:firstLine="720"/>
        <w:outlineLvl w:val="0"/>
        <w:rPr>
          <w:rFonts w:cs="Times New Roman"/>
          <w:color w:val="000000"/>
        </w:rPr>
      </w:pPr>
      <w:r w:rsidRPr="00F46BA7">
        <w:rPr>
          <w:rFonts w:cs="Times New Roman"/>
          <w:color w:val="000000"/>
        </w:rPr>
        <w:t>Large crabgrass, goosegrass and CBG plants were treated with either the safener cloquintocet (28 g ha</w:t>
      </w:r>
      <w:r w:rsidRPr="00F46BA7">
        <w:rPr>
          <w:rFonts w:cs="Times New Roman"/>
          <w:color w:val="000000"/>
          <w:vertAlign w:val="superscript"/>
        </w:rPr>
        <w:t>-1</w:t>
      </w:r>
      <w:r w:rsidRPr="00F46BA7">
        <w:rPr>
          <w:rFonts w:cs="Times New Roman"/>
          <w:color w:val="000000"/>
        </w:rPr>
        <w:t>), the cP450-inhibitor malathion (1000 g ha</w:t>
      </w:r>
      <w:r w:rsidRPr="00F46BA7">
        <w:rPr>
          <w:rFonts w:cs="Times New Roman"/>
          <w:color w:val="000000"/>
          <w:vertAlign w:val="superscript"/>
        </w:rPr>
        <w:t>-1</w:t>
      </w:r>
      <w:r w:rsidRPr="00F46BA7">
        <w:rPr>
          <w:rFonts w:cs="Times New Roman"/>
          <w:color w:val="000000"/>
        </w:rPr>
        <w:t>), or left non-treated 30 min prior to treatment with topramezone at 0, 2, 4, 8, 16, 32, 64 or 128 g ha</w:t>
      </w:r>
      <w:r w:rsidRPr="00F46BA7">
        <w:rPr>
          <w:rFonts w:cs="Times New Roman"/>
          <w:color w:val="000000"/>
          <w:vertAlign w:val="superscript"/>
        </w:rPr>
        <w:t>-1</w:t>
      </w:r>
      <w:r w:rsidRPr="00F46BA7">
        <w:rPr>
          <w:rFonts w:cs="Times New Roman"/>
          <w:color w:val="000000"/>
        </w:rPr>
        <w:t xml:space="preserve">. Malathion was used to inhibit cP450 function </w:t>
      </w:r>
      <w:r w:rsidRPr="00F46BA7">
        <w:rPr>
          <w:rFonts w:cs="Times New Roman"/>
          <w:i/>
          <w:color w:val="000000"/>
        </w:rPr>
        <w:t xml:space="preserve">in vivo </w:t>
      </w:r>
      <w:r w:rsidRPr="00F46BA7">
        <w:rPr>
          <w:rFonts w:cs="Times New Roman"/>
          <w:color w:val="000000"/>
        </w:rPr>
        <w:t xml:space="preserve">and indirectly evaluate the influence of cP450-catalyzed metabolism on CBG tolerance to topramezone (Yun et al. 2005). Treatments were applied in the same manner as previously described for Experiments 1, 2 and 3. CBG visible injury was evaluated on </w:t>
      </w:r>
      <w:r w:rsidRPr="00F46BA7">
        <w:rPr>
          <w:rFonts w:cs="Times New Roman"/>
        </w:rPr>
        <w:t>0 (i.e., no injury) to 100% (i.e., complete leaf tissue necrosis) scale</w:t>
      </w:r>
      <w:r w:rsidRPr="00F46BA7" w:rsidDel="00EE3C65">
        <w:rPr>
          <w:rFonts w:cs="Times New Roman"/>
          <w:color w:val="000000"/>
        </w:rPr>
        <w:t xml:space="preserve"> </w:t>
      </w:r>
      <w:r w:rsidRPr="00F46BA7">
        <w:rPr>
          <w:rFonts w:cs="Times New Roman"/>
          <w:color w:val="000000"/>
        </w:rPr>
        <w:t xml:space="preserve">and using DIA at 1, 2 and 3 WAT. Goosegrass and large crabgrass injury were evaluated at 1, 2 and 3 WAT on a similar 0 to 100% scale. Aboveground biomass data were collected for large crabgrass and goosegrass 3 WAT as described previously. Visible </w:t>
      </w:r>
      <w:r w:rsidRPr="00F46BA7">
        <w:rPr>
          <w:rFonts w:cs="Times New Roman"/>
        </w:rPr>
        <w:t xml:space="preserve">injury data collected 2 WAT will be presented, as treatment responses were greatest at this time. Pots were arranged in a completely randomized design with four replications. </w:t>
      </w:r>
      <w:r w:rsidRPr="00F46BA7">
        <w:rPr>
          <w:rFonts w:cs="Times New Roman"/>
          <w:color w:val="000000"/>
        </w:rPr>
        <w:t>Treatments for experimental runs A and B were applied on 2 and 14 October 2013, respectively.</w:t>
      </w:r>
    </w:p>
    <w:p w14:paraId="21DF0935" w14:textId="77777777" w:rsidR="00035E7F" w:rsidRPr="00F46BA7" w:rsidRDefault="00035E7F" w:rsidP="00F46BA7">
      <w:pPr>
        <w:ind w:firstLine="720"/>
        <w:outlineLvl w:val="0"/>
        <w:rPr>
          <w:rFonts w:cs="Times New Roman"/>
          <w:color w:val="000000"/>
        </w:rPr>
      </w:pPr>
    </w:p>
    <w:p w14:paraId="0471083B" w14:textId="08F52966" w:rsidR="00F46BA7" w:rsidRPr="00F46BA7" w:rsidRDefault="00F46BA7" w:rsidP="00F46BA7">
      <w:pPr>
        <w:outlineLvl w:val="0"/>
        <w:rPr>
          <w:rStyle w:val="sm"/>
        </w:rPr>
      </w:pPr>
      <w:r w:rsidRPr="00F46BA7">
        <w:rPr>
          <w:rFonts w:cs="Times New Roman"/>
          <w:b/>
        </w:rPr>
        <w:t>Statistical Analysis</w:t>
      </w:r>
      <w:r w:rsidRPr="00F46BA7">
        <w:rPr>
          <w:rFonts w:eastAsiaTheme="minorEastAsia" w:cs="Times New Roman"/>
        </w:rPr>
        <w:t xml:space="preserve">. In all experiments, model assumptions were tested through residual analysis (Shapiro–Wilk statistic) in SAS version 9.3 (Statistical Analysis Software, Inc., Cary, NC). Visible injury data in Experiments 1 and 2 were subjected to arcsine-square root transformation prior to analysis. Untransformed data are </w:t>
      </w:r>
      <w:proofErr w:type="gramStart"/>
      <w:r w:rsidRPr="00F46BA7">
        <w:rPr>
          <w:rFonts w:eastAsiaTheme="minorEastAsia" w:cs="Times New Roman"/>
        </w:rPr>
        <w:t>presented</w:t>
      </w:r>
      <w:proofErr w:type="gramEnd"/>
      <w:r w:rsidRPr="00F46BA7">
        <w:rPr>
          <w:rFonts w:eastAsiaTheme="minorEastAsia" w:cs="Times New Roman"/>
        </w:rPr>
        <w:t xml:space="preserve"> as interpretations were the same. In Experiment 2, t-tests (</w:t>
      </w:r>
      <w:r w:rsidRPr="00F46BA7">
        <w:rPr>
          <w:rFonts w:cs="Times New Roman"/>
          <w:color w:val="000000"/>
        </w:rPr>
        <w:t>α</w:t>
      </w:r>
      <w:r w:rsidRPr="00F46BA7">
        <w:rPr>
          <w:rFonts w:eastAsiaTheme="minorEastAsia" w:cs="Times New Roman"/>
        </w:rPr>
        <w:t xml:space="preserve"> </w:t>
      </w:r>
      <w:r w:rsidRPr="00F46BA7">
        <w:rPr>
          <w:rFonts w:eastAsia="MS Gothic" w:cs="Times New Roman"/>
          <w:color w:val="000000"/>
        </w:rPr>
        <w:t xml:space="preserve">≤ </w:t>
      </w:r>
      <w:r w:rsidRPr="00F46BA7">
        <w:rPr>
          <w:rFonts w:eastAsiaTheme="minorEastAsia" w:cs="Times New Roman"/>
        </w:rPr>
        <w:t xml:space="preserve">0.05) were used to compare the each safener treatments to the herbicide-treated control. In all experiments, ANOVA was conducted in SAS with main effects and all possible interactions tested using the appropriate expected mean square values as </w:t>
      </w:r>
      <w:r w:rsidRPr="00F46BA7">
        <w:rPr>
          <w:rFonts w:eastAsiaTheme="minorEastAsia" w:cs="Times New Roman"/>
        </w:rPr>
        <w:lastRenderedPageBreak/>
        <w:t>described by McIntosh (1983). Fisher’s protected LSD (</w:t>
      </w:r>
      <w:r w:rsidRPr="00F46BA7">
        <w:rPr>
          <w:rFonts w:cs="Times New Roman"/>
          <w:color w:val="000000"/>
        </w:rPr>
        <w:t>α</w:t>
      </w:r>
      <w:r w:rsidRPr="00F46BA7">
        <w:rPr>
          <w:rFonts w:eastAsiaTheme="minorEastAsia" w:cs="Times New Roman"/>
        </w:rPr>
        <w:t xml:space="preserve"> </w:t>
      </w:r>
      <w:r w:rsidRPr="00F46BA7">
        <w:rPr>
          <w:rFonts w:eastAsia="MS Gothic" w:cs="Times New Roman"/>
          <w:color w:val="000000"/>
        </w:rPr>
        <w:t xml:space="preserve">≤ </w:t>
      </w:r>
      <w:r w:rsidRPr="00F46BA7">
        <w:rPr>
          <w:rFonts w:eastAsiaTheme="minorEastAsia" w:cs="Times New Roman"/>
        </w:rPr>
        <w:t xml:space="preserve">0.05) was used to separate means. Pearson’s </w:t>
      </w:r>
      <w:proofErr w:type="gramStart"/>
      <w:r w:rsidRPr="00F46BA7">
        <w:rPr>
          <w:rFonts w:eastAsiaTheme="minorEastAsia" w:cs="Times New Roman"/>
        </w:rPr>
        <w:t>correlation</w:t>
      </w:r>
      <w:proofErr w:type="gramEnd"/>
      <w:r w:rsidRPr="00F46BA7">
        <w:rPr>
          <w:rFonts w:eastAsiaTheme="minorEastAsia" w:cs="Times New Roman"/>
        </w:rPr>
        <w:t xml:space="preserve"> coefficients of visible injury and turfgrass cover as determined by DIA were conducted in SAS (</w:t>
      </w:r>
      <w:r w:rsidRPr="00F46BA7">
        <w:rPr>
          <w:rFonts w:cs="Times New Roman"/>
          <w:color w:val="000000"/>
        </w:rPr>
        <w:t>α</w:t>
      </w:r>
      <w:r w:rsidRPr="00F46BA7">
        <w:rPr>
          <w:rFonts w:eastAsiaTheme="minorEastAsia" w:cs="Times New Roman"/>
        </w:rPr>
        <w:t xml:space="preserve"> </w:t>
      </w:r>
      <w:r w:rsidRPr="00F46BA7">
        <w:rPr>
          <w:rFonts w:eastAsia="MS Gothic" w:cs="Times New Roman"/>
          <w:color w:val="000000"/>
        </w:rPr>
        <w:t xml:space="preserve">≤ </w:t>
      </w:r>
      <w:r w:rsidRPr="00F46BA7">
        <w:rPr>
          <w:rFonts w:eastAsiaTheme="minorEastAsia" w:cs="Times New Roman"/>
        </w:rPr>
        <w:t xml:space="preserve">0.05). </w:t>
      </w:r>
      <w:r w:rsidRPr="00F46BA7">
        <w:rPr>
          <w:rStyle w:val="sm"/>
          <w:rFonts w:cs="Times New Roman"/>
        </w:rPr>
        <w:t>In Experiment 4, I</w:t>
      </w:r>
      <w:r w:rsidRPr="00F46BA7">
        <w:rPr>
          <w:rStyle w:val="sm"/>
          <w:rFonts w:cs="Times New Roman"/>
          <w:vertAlign w:val="subscript"/>
        </w:rPr>
        <w:t>50</w:t>
      </w:r>
      <w:r w:rsidRPr="00F46BA7">
        <w:rPr>
          <w:rStyle w:val="sm"/>
          <w:rFonts w:cs="Times New Roman"/>
        </w:rPr>
        <w:t xml:space="preserve"> (i.e., the herbicide dose required to cause 50% visible injury)</w:t>
      </w:r>
      <w:r w:rsidRPr="00F46BA7">
        <w:rPr>
          <w:rStyle w:val="sm"/>
          <w:rFonts w:cs="Times New Roman"/>
          <w:vertAlign w:val="subscript"/>
        </w:rPr>
        <w:t xml:space="preserve"> </w:t>
      </w:r>
      <w:r w:rsidRPr="00F46BA7">
        <w:rPr>
          <w:rStyle w:val="sm"/>
          <w:rFonts w:cs="Times New Roman"/>
        </w:rPr>
        <w:t>and GR</w:t>
      </w:r>
      <w:r w:rsidRPr="00F46BA7">
        <w:rPr>
          <w:rStyle w:val="sm"/>
          <w:rFonts w:cs="Times New Roman"/>
          <w:vertAlign w:val="subscript"/>
        </w:rPr>
        <w:t xml:space="preserve">50 </w:t>
      </w:r>
      <w:r w:rsidRPr="00F46BA7">
        <w:rPr>
          <w:rStyle w:val="sm"/>
          <w:rFonts w:cs="Times New Roman"/>
        </w:rPr>
        <w:t>(</w:t>
      </w:r>
      <w:r w:rsidR="002F7D0E" w:rsidRPr="00F46BA7">
        <w:rPr>
          <w:rStyle w:val="sm"/>
          <w:rFonts w:cs="Times New Roman"/>
        </w:rPr>
        <w:t>i.e.</w:t>
      </w:r>
      <w:r w:rsidRPr="00F46BA7">
        <w:rPr>
          <w:rStyle w:val="sm"/>
          <w:rFonts w:cs="Times New Roman"/>
        </w:rPr>
        <w:t>, the herbicide dose required to cause a 50% reduction in aboveground biomass)</w:t>
      </w:r>
      <w:r w:rsidRPr="00F46BA7">
        <w:rPr>
          <w:rStyle w:val="sm"/>
          <w:rFonts w:cs="Times New Roman"/>
          <w:vertAlign w:val="subscript"/>
        </w:rPr>
        <w:t xml:space="preserve"> </w:t>
      </w:r>
      <w:r w:rsidRPr="00F46BA7">
        <w:rPr>
          <w:rStyle w:val="sm"/>
          <w:rFonts w:cs="Times New Roman"/>
        </w:rPr>
        <w:t xml:space="preserve">values were calculated using a log-logistic model in Prism </w:t>
      </w:r>
      <w:r w:rsidRPr="00F46BA7">
        <w:rPr>
          <w:rFonts w:cs="Times New Roman"/>
        </w:rPr>
        <w:t>(Prism 5.0 for Mac OSX, GraphPad Software, LaJolla, CA)</w:t>
      </w:r>
      <w:r w:rsidRPr="00F46BA7">
        <w:rPr>
          <w:rStyle w:val="sm"/>
          <w:rFonts w:cs="Times New Roman"/>
        </w:rPr>
        <w:t>:</w:t>
      </w:r>
    </w:p>
    <w:p w14:paraId="7F5567F7" w14:textId="77777777" w:rsidR="00F46BA7" w:rsidRPr="00F46BA7" w:rsidRDefault="00F46BA7" w:rsidP="00F46BA7">
      <w:pPr>
        <w:jc w:val="center"/>
        <w:rPr>
          <w:rStyle w:val="sm"/>
        </w:rPr>
      </w:pPr>
      <w:r w:rsidRPr="00F46BA7">
        <w:rPr>
          <w:rStyle w:val="sm"/>
          <w:rFonts w:cs="Times New Roman"/>
        </w:rPr>
        <w:t xml:space="preserve">Y = C + ([D – C) / [1 + X / </w:t>
      </w:r>
      <w:proofErr w:type="gramStart"/>
      <w:r w:rsidRPr="00F46BA7">
        <w:rPr>
          <w:rStyle w:val="sm"/>
          <w:rFonts w:cs="Times New Roman"/>
        </w:rPr>
        <w:t>I</w:t>
      </w:r>
      <w:r w:rsidRPr="00F46BA7">
        <w:rPr>
          <w:rStyle w:val="sm"/>
          <w:rFonts w:cs="Times New Roman"/>
          <w:vertAlign w:val="subscript"/>
        </w:rPr>
        <w:t>50</w:t>
      </w:r>
      <w:r w:rsidRPr="00F46BA7">
        <w:rPr>
          <w:rStyle w:val="sm"/>
          <w:rFonts w:cs="Times New Roman"/>
        </w:rPr>
        <w:t>)</w:t>
      </w:r>
      <w:r w:rsidRPr="00F46BA7">
        <w:rPr>
          <w:rStyle w:val="sm"/>
          <w:rFonts w:cs="Times New Roman"/>
          <w:vertAlign w:val="superscript"/>
        </w:rPr>
        <w:t>B</w:t>
      </w:r>
      <w:proofErr w:type="gramEnd"/>
      <w:r w:rsidRPr="00F46BA7">
        <w:rPr>
          <w:rStyle w:val="sm"/>
          <w:rFonts w:cs="Times New Roman"/>
        </w:rPr>
        <w:t>])</w:t>
      </w:r>
      <w:r w:rsidRPr="00F46BA7">
        <w:rPr>
          <w:rStyle w:val="sm"/>
          <w:rFonts w:cs="Times New Roman"/>
        </w:rPr>
        <w:tab/>
      </w:r>
      <w:r w:rsidRPr="00F46BA7">
        <w:rPr>
          <w:rStyle w:val="sm"/>
          <w:rFonts w:cs="Times New Roman"/>
        </w:rPr>
        <w:tab/>
      </w:r>
      <w:r w:rsidRPr="00F46BA7">
        <w:rPr>
          <w:rStyle w:val="sm"/>
          <w:rFonts w:cs="Times New Roman"/>
        </w:rPr>
        <w:tab/>
        <w:t>[1]</w:t>
      </w:r>
    </w:p>
    <w:p w14:paraId="0A827934" w14:textId="77777777" w:rsidR="00F46BA7" w:rsidRPr="00F46BA7" w:rsidRDefault="00F46BA7" w:rsidP="00F46BA7">
      <w:pPr>
        <w:outlineLvl w:val="0"/>
        <w:rPr>
          <w:rStyle w:val="sm"/>
        </w:rPr>
      </w:pPr>
      <w:r w:rsidRPr="00F46BA7">
        <w:rPr>
          <w:rStyle w:val="sm"/>
          <w:rFonts w:cs="Times New Roman"/>
        </w:rPr>
        <w:t>Where Y represents large crabgrass or goosegrass injury, X represents the log</w:t>
      </w:r>
      <w:r w:rsidRPr="00F46BA7">
        <w:rPr>
          <w:rStyle w:val="sm"/>
          <w:rFonts w:cs="Times New Roman"/>
          <w:vertAlign w:val="subscript"/>
        </w:rPr>
        <w:t>10</w:t>
      </w:r>
      <w:r w:rsidRPr="00F46BA7">
        <w:rPr>
          <w:rStyle w:val="sm"/>
          <w:rFonts w:cs="Times New Roman"/>
        </w:rPr>
        <w:t xml:space="preserve"> of the herbicide dose applied, C is the lower limit for Y (i.e., 0% large crabgrass control or goosegrass injury), D is the upper limit for Y (i.e., 100% large crabgrass control or goosegrass injury), I</w:t>
      </w:r>
      <w:r w:rsidRPr="00F46BA7">
        <w:rPr>
          <w:rStyle w:val="sm"/>
          <w:rFonts w:cs="Times New Roman"/>
          <w:vertAlign w:val="subscript"/>
        </w:rPr>
        <w:t>50</w:t>
      </w:r>
      <w:r w:rsidRPr="00F46BA7">
        <w:rPr>
          <w:rStyle w:val="sm"/>
          <w:rFonts w:cs="Times New Roman"/>
        </w:rPr>
        <w:t xml:space="preserve"> is the herbicide dose resulting in 50% injury, B is the slope of the line at I</w:t>
      </w:r>
      <w:r w:rsidRPr="00F46BA7">
        <w:rPr>
          <w:rStyle w:val="sm"/>
          <w:rFonts w:cs="Times New Roman"/>
          <w:vertAlign w:val="subscript"/>
        </w:rPr>
        <w:t>50</w:t>
      </w:r>
      <w:r w:rsidRPr="00F46BA7">
        <w:rPr>
          <w:rStyle w:val="sm"/>
          <w:rFonts w:cs="Times New Roman"/>
        </w:rPr>
        <w:t xml:space="preserve">, and (Seefeldt et al. 1995). Significance of main effect interactions of herbicide dose-by-cloquintocet or </w:t>
      </w:r>
      <w:proofErr w:type="gramStart"/>
      <w:r w:rsidRPr="00F46BA7">
        <w:rPr>
          <w:rStyle w:val="sm"/>
          <w:rFonts w:cs="Times New Roman"/>
        </w:rPr>
        <w:t>malathion</w:t>
      </w:r>
      <w:proofErr w:type="gramEnd"/>
      <w:r w:rsidRPr="00F46BA7">
        <w:rPr>
          <w:rStyle w:val="sm"/>
          <w:rFonts w:cs="Times New Roman"/>
        </w:rPr>
        <w:t xml:space="preserve"> in Experiment 4 were evaluated using non-linear regression and a lack of fit F-test (</w:t>
      </w:r>
      <w:r w:rsidRPr="00F46BA7">
        <w:rPr>
          <w:rFonts w:cs="Times New Roman"/>
          <w:color w:val="000000"/>
        </w:rPr>
        <w:t>α</w:t>
      </w:r>
      <w:r w:rsidRPr="00F46BA7">
        <w:rPr>
          <w:rStyle w:val="sm"/>
          <w:rFonts w:cs="Times New Roman"/>
        </w:rPr>
        <w:t xml:space="preserve"> </w:t>
      </w:r>
      <w:r w:rsidRPr="00F46BA7">
        <w:rPr>
          <w:rFonts w:eastAsia="MS Gothic" w:cs="Times New Roman"/>
          <w:color w:val="000000"/>
        </w:rPr>
        <w:t>≤</w:t>
      </w:r>
      <w:r w:rsidRPr="00F46BA7">
        <w:rPr>
          <w:rStyle w:val="sm"/>
          <w:rFonts w:cs="Times New Roman"/>
        </w:rPr>
        <w:t xml:space="preserve"> 0.05) in Prism as well.</w:t>
      </w:r>
    </w:p>
    <w:p w14:paraId="4A7066C7" w14:textId="77777777" w:rsidR="00F46BA7" w:rsidRPr="00F46BA7" w:rsidRDefault="00F46BA7" w:rsidP="00F46BA7">
      <w:pPr>
        <w:outlineLvl w:val="0"/>
        <w:rPr>
          <w:rStyle w:val="sm"/>
        </w:rPr>
      </w:pPr>
    </w:p>
    <w:p w14:paraId="5523C48C" w14:textId="77777777" w:rsidR="0067070F" w:rsidRPr="0067070F" w:rsidRDefault="00455D5B" w:rsidP="00D560D4">
      <w:pPr>
        <w:pStyle w:val="Heading2"/>
      </w:pPr>
      <w:bookmarkStart w:id="36" w:name="_Toc264635672"/>
      <w:bookmarkStart w:id="37" w:name="_Toc264713558"/>
      <w:bookmarkStart w:id="38" w:name="_Toc264713602"/>
      <w:bookmarkStart w:id="39" w:name="_Toc264967183"/>
      <w:r w:rsidRPr="0067070F">
        <w:rPr>
          <w:rStyle w:val="sm"/>
        </w:rPr>
        <w:t>RESULTS AND DISCUSSION</w:t>
      </w:r>
      <w:bookmarkEnd w:id="36"/>
      <w:bookmarkEnd w:id="37"/>
      <w:bookmarkEnd w:id="38"/>
      <w:bookmarkEnd w:id="39"/>
    </w:p>
    <w:p w14:paraId="58380A0C" w14:textId="77777777" w:rsidR="00F46BA7" w:rsidRPr="00F46BA7" w:rsidRDefault="00F46BA7" w:rsidP="00F46BA7">
      <w:pPr>
        <w:outlineLvl w:val="0"/>
        <w:rPr>
          <w:rFonts w:cs="Times New Roman"/>
        </w:rPr>
      </w:pPr>
      <w:r w:rsidRPr="00F46BA7">
        <w:rPr>
          <w:rStyle w:val="sm"/>
          <w:rFonts w:cs="Times New Roman"/>
          <w:b/>
        </w:rPr>
        <w:t xml:space="preserve">Experiment 1: Identify Candidate Herbicides. </w:t>
      </w:r>
      <w:r w:rsidRPr="00F46BA7">
        <w:rPr>
          <w:rFonts w:cs="Times New Roman"/>
        </w:rPr>
        <w:t xml:space="preserve">Main effect interactions with experimental run were significant; therefore, data from each experimental run were analyzed separately. </w:t>
      </w:r>
    </w:p>
    <w:p w14:paraId="78E64A5E" w14:textId="77777777" w:rsidR="00F46BA7" w:rsidRPr="00F46BA7" w:rsidRDefault="00F46BA7" w:rsidP="00F46BA7">
      <w:pPr>
        <w:ind w:firstLine="720"/>
        <w:outlineLvl w:val="0"/>
        <w:rPr>
          <w:rFonts w:cs="Times New Roman"/>
        </w:rPr>
      </w:pPr>
      <w:r w:rsidRPr="00F46BA7">
        <w:rPr>
          <w:rFonts w:cs="Times New Roman"/>
        </w:rPr>
        <w:t xml:space="preserve">The main effect of herbicide was significant in both experimental runs. Averaged across main effects, amicarbazone was the most injurious herbicide to CBG; treated plants displayed 29 and 49% injury in Runs A and B, respectively, 2 WAT. This injury is similar to that reported in growth chamber experiments by McCullough et al. (2010). Topramezone-treated CBG displayed 15 and 9% injury 2 WAT in runs A and B, respectively. All other treatments displayed &lt; 10% </w:t>
      </w:r>
      <w:r w:rsidRPr="00F46BA7">
        <w:rPr>
          <w:rFonts w:cs="Times New Roman"/>
        </w:rPr>
        <w:lastRenderedPageBreak/>
        <w:t xml:space="preserve">CBG injury 2 WAT. Despite injuring CBG &lt; 10%, clipping yields of imazapic and fenoxaprop-treated plants were reduced 40 to 51% compared to non-herbicide-treated CBG. Henry and Hart (2004) reported similar levels of injury after a single fenoxaprop application at </w:t>
      </w:r>
      <w:r w:rsidRPr="00F46BA7">
        <w:rPr>
          <w:rStyle w:val="sm"/>
          <w:rFonts w:cs="Times New Roman"/>
        </w:rPr>
        <w:t>≤ 40 g ha</w:t>
      </w:r>
      <w:r w:rsidRPr="00F46BA7">
        <w:rPr>
          <w:rStyle w:val="sm"/>
          <w:rFonts w:cs="Times New Roman"/>
          <w:vertAlign w:val="superscript"/>
        </w:rPr>
        <w:t>-1</w:t>
      </w:r>
      <w:r w:rsidRPr="00F46BA7">
        <w:rPr>
          <w:rFonts w:cs="Times New Roman"/>
        </w:rPr>
        <w:t>, but only observed &lt; 20% clipping yield reduction on ‘L-93’ CBG. However, the researchers collected clipping data 4 WAT; anecdotal observations from our experiments suggest CBG shoot growth was mostly reduced for approximately 2 WAT, after which time it began to recover.</w:t>
      </w:r>
    </w:p>
    <w:p w14:paraId="35BFFA73" w14:textId="4041EF18" w:rsidR="00F46BA7" w:rsidRPr="00F46BA7" w:rsidRDefault="00F46BA7" w:rsidP="00F46BA7">
      <w:pPr>
        <w:ind w:firstLine="720"/>
        <w:outlineLvl w:val="0"/>
        <w:rPr>
          <w:rFonts w:cs="Times New Roman"/>
        </w:rPr>
      </w:pPr>
      <w:r w:rsidRPr="00F46BA7">
        <w:rPr>
          <w:rFonts w:cs="Times New Roman"/>
        </w:rPr>
        <w:t>A significant herbicide-by-safener interaction was detected in visible CBG data collected in Run A. Topramezone injury was reduced from 26% when no safener was applied to 17 and 11% when naphthalic anhydride and isoxadifen were applied, respectively (data not presented). Similarly, topramezone reduced CBG clipping yield by 28% compared to the non</w:t>
      </w:r>
      <w:r w:rsidR="002F7D0E">
        <w:rPr>
          <w:rFonts w:cs="Times New Roman"/>
        </w:rPr>
        <w:t>-</w:t>
      </w:r>
      <w:r w:rsidRPr="00F46BA7">
        <w:rPr>
          <w:rFonts w:cs="Times New Roman"/>
        </w:rPr>
        <w:t xml:space="preserve">treated-control; when applied with naphthalic anhydride or isoxadifen, topramezone only reduced clipping yield &lt; 15% in Run A. Herbicide interactions with safener rate or timing were not significant in either experimental run, suggesting no advantage to applying the safener 3 days prior to the herbicide or applying the safener at a 10:1 herbicide-to-safener ratio instead of a 5:1 ratio. </w:t>
      </w:r>
    </w:p>
    <w:p w14:paraId="20F7E2D3" w14:textId="77777777" w:rsidR="00F46BA7" w:rsidRPr="00F46BA7" w:rsidRDefault="00F46BA7" w:rsidP="00F46BA7">
      <w:pPr>
        <w:ind w:firstLine="720"/>
        <w:outlineLvl w:val="0"/>
        <w:rPr>
          <w:rFonts w:cs="Times New Roman"/>
        </w:rPr>
      </w:pPr>
    </w:p>
    <w:p w14:paraId="60C57258" w14:textId="77777777" w:rsidR="00F46BA7" w:rsidRPr="00F46BA7" w:rsidRDefault="00F46BA7" w:rsidP="00F46BA7">
      <w:pPr>
        <w:outlineLvl w:val="0"/>
        <w:rPr>
          <w:rStyle w:val="sm"/>
        </w:rPr>
      </w:pPr>
      <w:r w:rsidRPr="00F46BA7">
        <w:rPr>
          <w:rStyle w:val="sm"/>
          <w:rFonts w:cs="Times New Roman"/>
          <w:b/>
        </w:rPr>
        <w:t>Experiment 2: Identify Candidate Safeners.</w:t>
      </w:r>
      <w:r w:rsidRPr="00F46BA7">
        <w:rPr>
          <w:rStyle w:val="sm"/>
          <w:rFonts w:cs="Times New Roman"/>
        </w:rPr>
        <w:t xml:space="preserve"> Safener-by-experimental run interactions were not detected; therefore, data were pooled across experimental runs A and B. </w:t>
      </w:r>
    </w:p>
    <w:p w14:paraId="11C094EE" w14:textId="77777777" w:rsidR="00F46BA7" w:rsidRDefault="00F46BA7" w:rsidP="00F46BA7">
      <w:pPr>
        <w:outlineLvl w:val="0"/>
        <w:rPr>
          <w:rStyle w:val="sm"/>
        </w:rPr>
      </w:pPr>
      <w:r w:rsidRPr="00F46BA7">
        <w:rPr>
          <w:rStyle w:val="sm"/>
          <w:rFonts w:cs="Times New Roman"/>
        </w:rPr>
        <w:tab/>
        <w:t>Topramezone caused 23% CBG injury when applied alone. When topramezone was applied following treatment with cloquintocet (185 g ha</w:t>
      </w:r>
      <w:r w:rsidRPr="00F46BA7">
        <w:rPr>
          <w:rStyle w:val="sm"/>
          <w:rFonts w:cs="Times New Roman"/>
          <w:vertAlign w:val="superscript"/>
        </w:rPr>
        <w:t>-1</w:t>
      </w:r>
      <w:r w:rsidRPr="00F46BA7">
        <w:rPr>
          <w:rStyle w:val="sm"/>
          <w:rFonts w:cs="Times New Roman"/>
        </w:rPr>
        <w:t xml:space="preserve">) CBG injury only measured 11%. When topramezone was applied following treatment with other safeners listed in Table </w:t>
      </w:r>
      <w:r w:rsidR="008C6084">
        <w:rPr>
          <w:rStyle w:val="sm"/>
          <w:rFonts w:cs="Times New Roman"/>
        </w:rPr>
        <w:t>1.</w:t>
      </w:r>
      <w:r w:rsidRPr="00F46BA7">
        <w:rPr>
          <w:rStyle w:val="sm"/>
          <w:rFonts w:cs="Times New Roman"/>
        </w:rPr>
        <w:t xml:space="preserve">2, CBG injury was similar to CBG treated with topramezone alone (data not presented). CBG injury and turfgrass cover were well correlated (r = -0.77; P &lt; 0.0001) at 2 WAT. Hoyle et al. (2013) </w:t>
      </w:r>
      <w:r w:rsidRPr="00F46BA7">
        <w:rPr>
          <w:rStyle w:val="sm"/>
          <w:rFonts w:cs="Times New Roman"/>
        </w:rPr>
        <w:lastRenderedPageBreak/>
        <w:t>reported similar regression coefficients (r = 0.78 to 0.90) between evaluations of percent crabgrass cover and DIA after application of the HPPD-inhibitor mesotrione.</w:t>
      </w:r>
    </w:p>
    <w:p w14:paraId="241E24B6" w14:textId="77777777" w:rsidR="00035E7F" w:rsidRPr="00F46BA7" w:rsidRDefault="00035E7F" w:rsidP="00F46BA7">
      <w:pPr>
        <w:outlineLvl w:val="0"/>
        <w:rPr>
          <w:rStyle w:val="sm"/>
        </w:rPr>
      </w:pPr>
    </w:p>
    <w:p w14:paraId="33732113" w14:textId="77777777" w:rsidR="00F46BA7" w:rsidRPr="00F46BA7" w:rsidRDefault="00F46BA7" w:rsidP="00F46BA7">
      <w:pPr>
        <w:outlineLvl w:val="0"/>
        <w:rPr>
          <w:rStyle w:val="sm"/>
        </w:rPr>
      </w:pPr>
      <w:r w:rsidRPr="00F46BA7">
        <w:rPr>
          <w:rStyle w:val="sm"/>
          <w:rFonts w:cs="Times New Roman"/>
          <w:b/>
        </w:rPr>
        <w:t xml:space="preserve">Experiment 3: </w:t>
      </w:r>
      <w:r w:rsidRPr="00F46BA7">
        <w:rPr>
          <w:rFonts w:cs="Times New Roman"/>
          <w:b/>
          <w:color w:val="000000"/>
        </w:rPr>
        <w:t>Evaluate Safener Efficacy at Reduced Rates</w:t>
      </w:r>
      <w:r w:rsidRPr="00F46BA7">
        <w:rPr>
          <w:rStyle w:val="sm"/>
          <w:rFonts w:cs="Times New Roman"/>
          <w:b/>
        </w:rPr>
        <w:t>.</w:t>
      </w:r>
      <w:r w:rsidRPr="00F46BA7">
        <w:rPr>
          <w:rStyle w:val="sm"/>
          <w:rFonts w:cs="Times New Roman"/>
        </w:rPr>
        <w:t xml:space="preserve"> Interactions of safener rate with experimental run were not detected; therefore data were pooled across experimental runs. </w:t>
      </w:r>
    </w:p>
    <w:p w14:paraId="62C8B044" w14:textId="77777777" w:rsidR="00F46BA7" w:rsidRDefault="00F46BA7" w:rsidP="00F46BA7">
      <w:pPr>
        <w:ind w:firstLine="720"/>
        <w:outlineLvl w:val="0"/>
        <w:rPr>
          <w:rStyle w:val="sm"/>
        </w:rPr>
      </w:pPr>
      <w:r w:rsidRPr="00F46BA7">
        <w:rPr>
          <w:rStyle w:val="sm"/>
          <w:rFonts w:cs="Times New Roman"/>
        </w:rPr>
        <w:t xml:space="preserve">Similar to observations from Experiment 2, topramezone applied without cloquintocet caused 23% CBG injury 2 WAT (Table </w:t>
      </w:r>
      <w:r w:rsidR="008C6084">
        <w:rPr>
          <w:rStyle w:val="sm"/>
          <w:rFonts w:cs="Times New Roman"/>
        </w:rPr>
        <w:t>1.</w:t>
      </w:r>
      <w:r w:rsidRPr="00F46BA7">
        <w:rPr>
          <w:rStyle w:val="sm"/>
          <w:rFonts w:cs="Times New Roman"/>
        </w:rPr>
        <w:t>3). Cloquintocet application reduced injury to ≤ 11% 2 WAT when applied at rates</w:t>
      </w:r>
      <w:r w:rsidRPr="00F46BA7">
        <w:rPr>
          <w:rFonts w:eastAsia="MS Gothic" w:cs="Times New Roman"/>
          <w:color w:val="000000"/>
        </w:rPr>
        <w:t xml:space="preserve"> ≥ </w:t>
      </w:r>
      <w:r w:rsidRPr="00F46BA7">
        <w:rPr>
          <w:rStyle w:val="sm"/>
          <w:rFonts w:cs="Times New Roman"/>
        </w:rPr>
        <w:t>28 g ha</w:t>
      </w:r>
      <w:r w:rsidRPr="00F46BA7">
        <w:rPr>
          <w:rStyle w:val="sm"/>
          <w:rFonts w:cs="Times New Roman"/>
          <w:vertAlign w:val="superscript"/>
        </w:rPr>
        <w:t>-1</w:t>
      </w:r>
      <w:r w:rsidRPr="00F46BA7">
        <w:rPr>
          <w:rStyle w:val="sm"/>
          <w:rFonts w:cs="Times New Roman"/>
        </w:rPr>
        <w:t>. Data suggest there is no benefit to applying cloquintocet at &gt; 28 g ha</w:t>
      </w:r>
      <w:r w:rsidRPr="00F46BA7">
        <w:rPr>
          <w:rStyle w:val="sm"/>
          <w:rFonts w:cs="Times New Roman"/>
          <w:vertAlign w:val="superscript"/>
        </w:rPr>
        <w:t>-1</w:t>
      </w:r>
      <w:r w:rsidRPr="00F46BA7">
        <w:rPr>
          <w:rStyle w:val="sm"/>
          <w:rFonts w:cs="Times New Roman"/>
        </w:rPr>
        <w:t xml:space="preserve"> in combination with topramezone at 37 g ha</w:t>
      </w:r>
      <w:r w:rsidRPr="00F46BA7">
        <w:rPr>
          <w:rStyle w:val="sm"/>
          <w:rFonts w:cs="Times New Roman"/>
          <w:vertAlign w:val="superscript"/>
        </w:rPr>
        <w:t>-1</w:t>
      </w:r>
      <w:r w:rsidRPr="00F46BA7">
        <w:rPr>
          <w:rStyle w:val="sm"/>
          <w:rFonts w:cs="Times New Roman"/>
        </w:rPr>
        <w:t xml:space="preserve">. CBG injury observed </w:t>
      </w:r>
      <w:proofErr w:type="gramStart"/>
      <w:r w:rsidRPr="00F46BA7">
        <w:rPr>
          <w:rStyle w:val="sm"/>
          <w:rFonts w:cs="Times New Roman"/>
        </w:rPr>
        <w:t>in this experiment (as well as Experiments 1 and 2) was less than the 30 to 40% reported by Venner et al.</w:t>
      </w:r>
      <w:proofErr w:type="gramEnd"/>
      <w:r w:rsidRPr="00F46BA7">
        <w:rPr>
          <w:rStyle w:val="sm"/>
          <w:rFonts w:cs="Times New Roman"/>
        </w:rPr>
        <w:t xml:space="preserve"> (2014) from topramezone application at 25 g ha</w:t>
      </w:r>
      <w:r w:rsidRPr="00F46BA7">
        <w:rPr>
          <w:rStyle w:val="sm"/>
          <w:rFonts w:cs="Times New Roman"/>
          <w:vertAlign w:val="superscript"/>
        </w:rPr>
        <w:t>-1</w:t>
      </w:r>
      <w:r w:rsidRPr="00F46BA7">
        <w:rPr>
          <w:rStyle w:val="sm"/>
          <w:rFonts w:cs="Times New Roman"/>
        </w:rPr>
        <w:t xml:space="preserve"> in early or late summer. CBG injury and turfgrass cover were weakly correlated (r = -0.54; P &lt; 0.0001) in Experiment 3 at 2 WAT.</w:t>
      </w:r>
    </w:p>
    <w:p w14:paraId="481EFCCA" w14:textId="77777777" w:rsidR="00035E7F" w:rsidRPr="00F46BA7" w:rsidRDefault="00035E7F" w:rsidP="00F46BA7">
      <w:pPr>
        <w:ind w:firstLine="720"/>
        <w:outlineLvl w:val="0"/>
        <w:rPr>
          <w:rFonts w:cs="Times New Roman"/>
        </w:rPr>
      </w:pPr>
    </w:p>
    <w:p w14:paraId="67D4B449" w14:textId="77777777" w:rsidR="00F46BA7" w:rsidRPr="00F46BA7" w:rsidRDefault="00F46BA7" w:rsidP="00F46BA7">
      <w:pPr>
        <w:outlineLvl w:val="0"/>
        <w:rPr>
          <w:rFonts w:cs="Times New Roman"/>
        </w:rPr>
      </w:pPr>
      <w:r w:rsidRPr="00F46BA7">
        <w:rPr>
          <w:rStyle w:val="sm"/>
          <w:rFonts w:cs="Times New Roman"/>
          <w:b/>
        </w:rPr>
        <w:t xml:space="preserve">Experiment 4: Dose-Response Experiments. </w:t>
      </w:r>
      <w:r w:rsidRPr="00F46BA7">
        <w:rPr>
          <w:rFonts w:cs="Times New Roman"/>
        </w:rPr>
        <w:t xml:space="preserve">Main effect interactions with experimental run were significant; therefore, data from each experimental run were analyzed separately. </w:t>
      </w:r>
      <w:r w:rsidRPr="00F46BA7">
        <w:rPr>
          <w:rStyle w:val="sm"/>
          <w:rFonts w:cs="Times New Roman"/>
        </w:rPr>
        <w:t>CBG injury and turfgrass cover were well correlated in Run A (- 0.79; P &lt; 0.0001) and B (r = -0.92; P &lt; 0.0001).</w:t>
      </w:r>
    </w:p>
    <w:p w14:paraId="66154BBA" w14:textId="77777777" w:rsidR="00F46BA7" w:rsidRPr="00F46BA7" w:rsidRDefault="00F46BA7" w:rsidP="00F46BA7">
      <w:pPr>
        <w:ind w:firstLine="720"/>
        <w:outlineLvl w:val="0"/>
        <w:rPr>
          <w:rFonts w:cs="Times New Roman"/>
        </w:rPr>
      </w:pPr>
      <w:r w:rsidRPr="00F46BA7">
        <w:rPr>
          <w:rFonts w:cs="Times New Roman"/>
        </w:rPr>
        <w:t xml:space="preserve">In both experimental runs, the main effect of topramezone rate significantly affected injury and aboveground biomass data collected on goosegrass and large crabgrass; the effect of topramezone rate was also significant for CBG injury and turfgrass cover at 2 WAT. The main effect of cloquintocet and </w:t>
      </w:r>
      <w:proofErr w:type="gramStart"/>
      <w:r w:rsidRPr="00F46BA7">
        <w:rPr>
          <w:rFonts w:cs="Times New Roman"/>
        </w:rPr>
        <w:t>malathion</w:t>
      </w:r>
      <w:proofErr w:type="gramEnd"/>
      <w:r w:rsidRPr="00F46BA7">
        <w:rPr>
          <w:rFonts w:cs="Times New Roman"/>
        </w:rPr>
        <w:t xml:space="preserve"> was not significant crabgrass or goosegrass control 2 WAT in Run A. Cloquintocet and malathion did affect topramezone injury to CBG.</w:t>
      </w:r>
    </w:p>
    <w:p w14:paraId="5A071E66" w14:textId="77777777" w:rsidR="00F46BA7" w:rsidRPr="00F46BA7" w:rsidRDefault="00F46BA7" w:rsidP="00F46BA7">
      <w:pPr>
        <w:ind w:firstLine="720"/>
        <w:outlineLvl w:val="0"/>
        <w:rPr>
          <w:rStyle w:val="sm"/>
        </w:rPr>
      </w:pPr>
      <w:r w:rsidRPr="00F46BA7">
        <w:rPr>
          <w:rStyle w:val="sm"/>
          <w:rFonts w:cs="Times New Roman"/>
        </w:rPr>
        <w:lastRenderedPageBreak/>
        <w:t xml:space="preserve">Treatment with cloquintocet and </w:t>
      </w:r>
      <w:proofErr w:type="gramStart"/>
      <w:r w:rsidRPr="00F46BA7">
        <w:rPr>
          <w:rStyle w:val="sm"/>
          <w:rFonts w:cs="Times New Roman"/>
        </w:rPr>
        <w:t>malathion</w:t>
      </w:r>
      <w:proofErr w:type="gramEnd"/>
      <w:r w:rsidRPr="00F46BA7">
        <w:rPr>
          <w:rStyle w:val="sm"/>
          <w:rFonts w:cs="Times New Roman"/>
        </w:rPr>
        <w:t xml:space="preserve"> affected topramezone I</w:t>
      </w:r>
      <w:r w:rsidRPr="00F46BA7">
        <w:rPr>
          <w:rStyle w:val="sm"/>
          <w:rFonts w:cs="Times New Roman"/>
          <w:vertAlign w:val="subscript"/>
        </w:rPr>
        <w:t>50</w:t>
      </w:r>
      <w:r w:rsidRPr="00F46BA7">
        <w:rPr>
          <w:rStyle w:val="sm"/>
          <w:rFonts w:cs="Times New Roman"/>
        </w:rPr>
        <w:t xml:space="preserve"> values against CBG. In Run A, the I</w:t>
      </w:r>
      <w:r w:rsidRPr="00F46BA7">
        <w:rPr>
          <w:rStyle w:val="sm"/>
          <w:rFonts w:cs="Times New Roman"/>
          <w:vertAlign w:val="subscript"/>
        </w:rPr>
        <w:t>50</w:t>
      </w:r>
      <w:r w:rsidRPr="00F46BA7">
        <w:rPr>
          <w:rStyle w:val="sm"/>
          <w:rFonts w:cs="Times New Roman"/>
        </w:rPr>
        <w:t xml:space="preserve"> value for topramezone applied alone was 60 g ha</w:t>
      </w:r>
      <w:r w:rsidRPr="00F46BA7">
        <w:rPr>
          <w:rStyle w:val="sm"/>
          <w:rFonts w:cs="Times New Roman"/>
          <w:vertAlign w:val="superscript"/>
        </w:rPr>
        <w:t>-1</w:t>
      </w:r>
      <w:r w:rsidRPr="00F46BA7">
        <w:rPr>
          <w:rStyle w:val="sm"/>
          <w:rFonts w:cs="Times New Roman"/>
        </w:rPr>
        <w:t xml:space="preserve"> (Figure 1). Treatment with cloquintocet increased the topramezone I</w:t>
      </w:r>
      <w:r w:rsidRPr="00F46BA7">
        <w:rPr>
          <w:rStyle w:val="sm"/>
          <w:rFonts w:cs="Times New Roman"/>
          <w:vertAlign w:val="subscript"/>
        </w:rPr>
        <w:t>50</w:t>
      </w:r>
      <w:r w:rsidRPr="00F46BA7">
        <w:rPr>
          <w:rStyle w:val="sm"/>
          <w:rFonts w:cs="Times New Roman"/>
        </w:rPr>
        <w:t xml:space="preserve"> value against CBG to 114 g ha</w:t>
      </w:r>
      <w:r w:rsidRPr="00F46BA7">
        <w:rPr>
          <w:rStyle w:val="sm"/>
          <w:rFonts w:cs="Times New Roman"/>
          <w:vertAlign w:val="superscript"/>
        </w:rPr>
        <w:t>-1</w:t>
      </w:r>
      <w:r w:rsidRPr="00F46BA7">
        <w:rPr>
          <w:rStyle w:val="sm"/>
          <w:rFonts w:cs="Times New Roman"/>
        </w:rPr>
        <w:t xml:space="preserve"> while </w:t>
      </w:r>
      <w:proofErr w:type="gramStart"/>
      <w:r w:rsidRPr="00F46BA7">
        <w:rPr>
          <w:rStyle w:val="sm"/>
          <w:rFonts w:cs="Times New Roman"/>
        </w:rPr>
        <w:t>malathion</w:t>
      </w:r>
      <w:proofErr w:type="gramEnd"/>
      <w:r w:rsidRPr="00F46BA7">
        <w:rPr>
          <w:rStyle w:val="sm"/>
          <w:rFonts w:cs="Times New Roman"/>
        </w:rPr>
        <w:t xml:space="preserve"> reduced it to 42 g ha</w:t>
      </w:r>
      <w:r w:rsidRPr="00F46BA7">
        <w:rPr>
          <w:rStyle w:val="sm"/>
          <w:rFonts w:cs="Times New Roman"/>
          <w:vertAlign w:val="superscript"/>
        </w:rPr>
        <w:t>-1</w:t>
      </w:r>
      <w:r w:rsidRPr="00F46BA7">
        <w:rPr>
          <w:rStyle w:val="sm"/>
          <w:rFonts w:cs="Times New Roman"/>
        </w:rPr>
        <w:t>. In Run B, the I</w:t>
      </w:r>
      <w:r w:rsidRPr="00F46BA7">
        <w:rPr>
          <w:rStyle w:val="sm"/>
          <w:rFonts w:cs="Times New Roman"/>
          <w:vertAlign w:val="subscript"/>
        </w:rPr>
        <w:t>50</w:t>
      </w:r>
      <w:r w:rsidRPr="00F46BA7">
        <w:rPr>
          <w:rStyle w:val="sm"/>
          <w:rFonts w:cs="Times New Roman"/>
        </w:rPr>
        <w:t xml:space="preserve"> value for topramezone applied alone was 32 g ha</w:t>
      </w:r>
      <w:r w:rsidRPr="00F46BA7">
        <w:rPr>
          <w:rStyle w:val="sm"/>
          <w:rFonts w:cs="Times New Roman"/>
          <w:vertAlign w:val="superscript"/>
        </w:rPr>
        <w:t>-1</w:t>
      </w:r>
      <w:r w:rsidRPr="00F46BA7">
        <w:rPr>
          <w:rStyle w:val="sm"/>
          <w:rFonts w:cs="Times New Roman"/>
        </w:rPr>
        <w:t>. Cloquintocet increased the I</w:t>
      </w:r>
      <w:r w:rsidRPr="00F46BA7">
        <w:rPr>
          <w:rStyle w:val="sm"/>
          <w:rFonts w:cs="Times New Roman"/>
          <w:vertAlign w:val="subscript"/>
        </w:rPr>
        <w:t>50</w:t>
      </w:r>
      <w:r w:rsidRPr="00F46BA7">
        <w:rPr>
          <w:rStyle w:val="sm"/>
          <w:rFonts w:cs="Times New Roman"/>
        </w:rPr>
        <w:t xml:space="preserve"> value to 52 g ha</w:t>
      </w:r>
      <w:r w:rsidRPr="00F46BA7">
        <w:rPr>
          <w:rStyle w:val="sm"/>
          <w:rFonts w:cs="Times New Roman"/>
          <w:vertAlign w:val="superscript"/>
        </w:rPr>
        <w:t>-1</w:t>
      </w:r>
      <w:r w:rsidRPr="00F46BA7">
        <w:rPr>
          <w:rStyle w:val="sm"/>
          <w:rFonts w:cs="Times New Roman"/>
        </w:rPr>
        <w:t xml:space="preserve"> while </w:t>
      </w:r>
      <w:proofErr w:type="gramStart"/>
      <w:r w:rsidRPr="00F46BA7">
        <w:rPr>
          <w:rStyle w:val="sm"/>
          <w:rFonts w:cs="Times New Roman"/>
        </w:rPr>
        <w:t>malathion</w:t>
      </w:r>
      <w:proofErr w:type="gramEnd"/>
      <w:r w:rsidRPr="00F46BA7">
        <w:rPr>
          <w:rStyle w:val="sm"/>
          <w:rFonts w:cs="Times New Roman"/>
        </w:rPr>
        <w:t xml:space="preserve"> had no effect on the I</w:t>
      </w:r>
      <w:r w:rsidRPr="00F46BA7">
        <w:rPr>
          <w:rStyle w:val="sm"/>
          <w:rFonts w:cs="Times New Roman"/>
          <w:vertAlign w:val="subscript"/>
        </w:rPr>
        <w:t>50</w:t>
      </w:r>
      <w:r w:rsidRPr="00F46BA7">
        <w:rPr>
          <w:rStyle w:val="sm"/>
          <w:rFonts w:cs="Times New Roman"/>
        </w:rPr>
        <w:t xml:space="preserve"> value for topramezone in Run B. These data indicate that cloquintocet (28 g ha</w:t>
      </w:r>
      <w:r w:rsidRPr="00F46BA7">
        <w:rPr>
          <w:rStyle w:val="sm"/>
          <w:rFonts w:cs="Times New Roman"/>
          <w:vertAlign w:val="superscript"/>
        </w:rPr>
        <w:t>-1</w:t>
      </w:r>
      <w:r w:rsidRPr="00F46BA7">
        <w:rPr>
          <w:rStyle w:val="sm"/>
          <w:rFonts w:cs="Times New Roman"/>
        </w:rPr>
        <w:t xml:space="preserve">) reduces CBG injury caused by topramezone application across several herbicide rates. Malathion increased CBG injury caused by topramezone in one experimental </w:t>
      </w:r>
      <w:proofErr w:type="gramStart"/>
      <w:r w:rsidRPr="00F46BA7">
        <w:rPr>
          <w:rStyle w:val="sm"/>
          <w:rFonts w:cs="Times New Roman"/>
        </w:rPr>
        <w:t>run,</w:t>
      </w:r>
      <w:proofErr w:type="gramEnd"/>
      <w:r w:rsidRPr="00F46BA7">
        <w:rPr>
          <w:rStyle w:val="sm"/>
          <w:rFonts w:cs="Times New Roman"/>
        </w:rPr>
        <w:t xml:space="preserve"> suggesting cP450-catalyzed metabolism may influence CBG tolerance to topramezone. However, additional research is needed to explore this concept in further detail. Even in combination with the cP450 inhibitor </w:t>
      </w:r>
      <w:proofErr w:type="gramStart"/>
      <w:r w:rsidRPr="00F46BA7">
        <w:rPr>
          <w:rStyle w:val="sm"/>
          <w:rFonts w:cs="Times New Roman"/>
        </w:rPr>
        <w:t>malathion</w:t>
      </w:r>
      <w:proofErr w:type="gramEnd"/>
      <w:r w:rsidRPr="00F46BA7">
        <w:rPr>
          <w:rStyle w:val="sm"/>
          <w:rFonts w:cs="Times New Roman"/>
        </w:rPr>
        <w:t>, I</w:t>
      </w:r>
      <w:r w:rsidRPr="00F46BA7">
        <w:rPr>
          <w:rStyle w:val="sm"/>
          <w:rFonts w:cs="Times New Roman"/>
          <w:vertAlign w:val="subscript"/>
        </w:rPr>
        <w:t>50</w:t>
      </w:r>
      <w:r w:rsidRPr="00F46BA7">
        <w:rPr>
          <w:rStyle w:val="sm"/>
          <w:rFonts w:cs="Times New Roman"/>
        </w:rPr>
        <w:t xml:space="preserve"> values for topramezone were higher in CBG (</w:t>
      </w:r>
      <w:r w:rsidRPr="00F46BA7">
        <w:rPr>
          <w:rFonts w:eastAsia="MS Gothic" w:cs="Times New Roman"/>
          <w:color w:val="000000"/>
        </w:rPr>
        <w:t xml:space="preserve">≤ </w:t>
      </w:r>
      <w:r w:rsidRPr="00F46BA7">
        <w:rPr>
          <w:rStyle w:val="sm"/>
          <w:rFonts w:cs="Times New Roman"/>
        </w:rPr>
        <w:t>42 g ha</w:t>
      </w:r>
      <w:r w:rsidRPr="00F46BA7">
        <w:rPr>
          <w:rStyle w:val="sm"/>
          <w:rFonts w:cs="Times New Roman"/>
          <w:vertAlign w:val="superscript"/>
        </w:rPr>
        <w:t>-1</w:t>
      </w:r>
      <w:r w:rsidRPr="00F46BA7">
        <w:rPr>
          <w:rStyle w:val="sm"/>
          <w:rFonts w:cs="Times New Roman"/>
        </w:rPr>
        <w:t>) than when topramezone was applied alone to goosegrass or large crabgrass (&lt; 10 g ha</w:t>
      </w:r>
      <w:r w:rsidRPr="00F46BA7">
        <w:rPr>
          <w:rStyle w:val="sm"/>
          <w:rFonts w:cs="Times New Roman"/>
          <w:vertAlign w:val="superscript"/>
        </w:rPr>
        <w:t>-1</w:t>
      </w:r>
      <w:r w:rsidRPr="00F46BA7">
        <w:rPr>
          <w:rStyle w:val="sm"/>
          <w:rFonts w:cs="Times New Roman"/>
        </w:rPr>
        <w:t>) suggesting that CBG tolerance to topramezone may be conferred by additional mechanisms.</w:t>
      </w:r>
    </w:p>
    <w:p w14:paraId="5E26043F" w14:textId="77777777" w:rsidR="00F46BA7" w:rsidRPr="00F46BA7" w:rsidRDefault="00F46BA7" w:rsidP="00F46BA7">
      <w:pPr>
        <w:ind w:firstLine="720"/>
        <w:outlineLvl w:val="0"/>
        <w:rPr>
          <w:rStyle w:val="sm"/>
        </w:rPr>
      </w:pPr>
      <w:r w:rsidRPr="00F46BA7">
        <w:rPr>
          <w:rFonts w:cs="Times New Roman"/>
        </w:rPr>
        <w:t xml:space="preserve">Cloquintocet and </w:t>
      </w:r>
      <w:proofErr w:type="gramStart"/>
      <w:r w:rsidRPr="00F46BA7">
        <w:rPr>
          <w:rFonts w:cs="Times New Roman"/>
        </w:rPr>
        <w:t>malathion</w:t>
      </w:r>
      <w:proofErr w:type="gramEnd"/>
      <w:r w:rsidRPr="00F46BA7">
        <w:rPr>
          <w:rFonts w:cs="Times New Roman"/>
        </w:rPr>
        <w:t xml:space="preserve"> generally has less effect on topramezone efficacy against large crabgrass and goosegrass than CBG. Regression analyses determined that large crabgrass and goosegrass </w:t>
      </w:r>
      <w:r w:rsidRPr="00F46BA7">
        <w:rPr>
          <w:rStyle w:val="sm"/>
          <w:rFonts w:cs="Times New Roman"/>
        </w:rPr>
        <w:t>I</w:t>
      </w:r>
      <w:r w:rsidRPr="00F46BA7">
        <w:rPr>
          <w:rStyle w:val="sm"/>
          <w:rFonts w:cs="Times New Roman"/>
          <w:vertAlign w:val="subscript"/>
        </w:rPr>
        <w:t xml:space="preserve">50 </w:t>
      </w:r>
      <w:r w:rsidRPr="00F46BA7">
        <w:rPr>
          <w:rStyle w:val="sm"/>
          <w:rFonts w:cs="Times New Roman"/>
        </w:rPr>
        <w:t>and GR</w:t>
      </w:r>
      <w:r w:rsidRPr="00F46BA7">
        <w:rPr>
          <w:rStyle w:val="sm"/>
          <w:rFonts w:cs="Times New Roman"/>
          <w:vertAlign w:val="subscript"/>
        </w:rPr>
        <w:t>50</w:t>
      </w:r>
      <w:r w:rsidRPr="00F46BA7">
        <w:rPr>
          <w:rStyle w:val="sm"/>
          <w:rFonts w:cs="Times New Roman"/>
        </w:rPr>
        <w:t xml:space="preserve"> values </w:t>
      </w:r>
      <w:r w:rsidRPr="00F46BA7">
        <w:rPr>
          <w:rFonts w:cs="Times New Roman"/>
        </w:rPr>
        <w:t xml:space="preserve">were not affected by the inclusion of cloquintocet or malathion in Run A. Topramezone </w:t>
      </w:r>
      <w:r w:rsidRPr="00F46BA7">
        <w:rPr>
          <w:rStyle w:val="sm"/>
          <w:rFonts w:cs="Times New Roman"/>
        </w:rPr>
        <w:t>I</w:t>
      </w:r>
      <w:r w:rsidRPr="00F46BA7">
        <w:rPr>
          <w:rStyle w:val="sm"/>
          <w:rFonts w:cs="Times New Roman"/>
          <w:vertAlign w:val="subscript"/>
        </w:rPr>
        <w:t xml:space="preserve">50 </w:t>
      </w:r>
      <w:r w:rsidRPr="00F46BA7">
        <w:rPr>
          <w:rStyle w:val="sm"/>
          <w:rFonts w:cs="Times New Roman"/>
        </w:rPr>
        <w:t>and GR</w:t>
      </w:r>
      <w:r w:rsidRPr="00F46BA7">
        <w:rPr>
          <w:rStyle w:val="sm"/>
          <w:rFonts w:cs="Times New Roman"/>
          <w:vertAlign w:val="subscript"/>
        </w:rPr>
        <w:t xml:space="preserve">50 </w:t>
      </w:r>
      <w:r w:rsidRPr="00F46BA7">
        <w:rPr>
          <w:rStyle w:val="sm"/>
          <w:rFonts w:cs="Times New Roman"/>
        </w:rPr>
        <w:t>values against large crabgrass were 5.5 and 8.3 g ha</w:t>
      </w:r>
      <w:r w:rsidRPr="00F46BA7">
        <w:rPr>
          <w:rStyle w:val="sm"/>
          <w:rFonts w:cs="Times New Roman"/>
          <w:vertAlign w:val="superscript"/>
        </w:rPr>
        <w:t>-1</w:t>
      </w:r>
      <w:r w:rsidRPr="00F46BA7">
        <w:rPr>
          <w:rStyle w:val="sm"/>
          <w:rFonts w:cs="Times New Roman"/>
        </w:rPr>
        <w:t xml:space="preserve"> in Run A, respectively; I</w:t>
      </w:r>
      <w:r w:rsidRPr="00F46BA7">
        <w:rPr>
          <w:rStyle w:val="sm"/>
          <w:rFonts w:cs="Times New Roman"/>
          <w:vertAlign w:val="subscript"/>
        </w:rPr>
        <w:t xml:space="preserve">50 </w:t>
      </w:r>
      <w:r w:rsidRPr="00F46BA7">
        <w:rPr>
          <w:rStyle w:val="sm"/>
          <w:rFonts w:cs="Times New Roman"/>
        </w:rPr>
        <w:t>and GR</w:t>
      </w:r>
      <w:r w:rsidRPr="00F46BA7">
        <w:rPr>
          <w:rStyle w:val="sm"/>
          <w:rFonts w:cs="Times New Roman"/>
          <w:vertAlign w:val="subscript"/>
        </w:rPr>
        <w:t xml:space="preserve">50 </w:t>
      </w:r>
      <w:r w:rsidRPr="00F46BA7">
        <w:rPr>
          <w:rStyle w:val="sm"/>
          <w:rFonts w:cs="Times New Roman"/>
        </w:rPr>
        <w:t>values against goosegrass were 1.3 and 6.1 g ha</w:t>
      </w:r>
      <w:r w:rsidRPr="00F46BA7">
        <w:rPr>
          <w:rStyle w:val="sm"/>
          <w:rFonts w:cs="Times New Roman"/>
          <w:vertAlign w:val="superscript"/>
        </w:rPr>
        <w:t>-1</w:t>
      </w:r>
      <w:r w:rsidRPr="00F46BA7">
        <w:rPr>
          <w:rStyle w:val="sm"/>
          <w:rFonts w:cs="Times New Roman"/>
        </w:rPr>
        <w:t xml:space="preserve">, respectively (data not presented). </w:t>
      </w:r>
      <w:r w:rsidRPr="00F46BA7">
        <w:rPr>
          <w:rFonts w:cs="Times New Roman"/>
        </w:rPr>
        <w:t>In Run B,</w:t>
      </w:r>
      <w:r w:rsidRPr="00F46BA7">
        <w:rPr>
          <w:rStyle w:val="sm"/>
          <w:rFonts w:cs="Times New Roman"/>
        </w:rPr>
        <w:t xml:space="preserve"> compared to topramezone alone,</w:t>
      </w:r>
      <w:r w:rsidRPr="00F46BA7">
        <w:rPr>
          <w:rFonts w:cs="Times New Roman"/>
        </w:rPr>
        <w:t xml:space="preserve"> c</w:t>
      </w:r>
      <w:r w:rsidRPr="00F46BA7">
        <w:rPr>
          <w:rStyle w:val="sm"/>
          <w:rFonts w:cs="Times New Roman"/>
        </w:rPr>
        <w:t xml:space="preserve">loquintocet and </w:t>
      </w:r>
      <w:proofErr w:type="gramStart"/>
      <w:r w:rsidRPr="00F46BA7">
        <w:rPr>
          <w:rStyle w:val="sm"/>
          <w:rFonts w:cs="Times New Roman"/>
        </w:rPr>
        <w:t>malathion</w:t>
      </w:r>
      <w:proofErr w:type="gramEnd"/>
      <w:r w:rsidRPr="00F46BA7">
        <w:rPr>
          <w:rStyle w:val="sm"/>
          <w:rFonts w:cs="Times New Roman"/>
        </w:rPr>
        <w:t xml:space="preserve"> reduced topramezone GR</w:t>
      </w:r>
      <w:r w:rsidRPr="00F46BA7">
        <w:rPr>
          <w:rStyle w:val="sm"/>
          <w:rFonts w:cs="Times New Roman"/>
          <w:vertAlign w:val="subscript"/>
        </w:rPr>
        <w:t>50</w:t>
      </w:r>
      <w:r w:rsidRPr="00F46BA7">
        <w:rPr>
          <w:rStyle w:val="sm"/>
          <w:rFonts w:cs="Times New Roman"/>
        </w:rPr>
        <w:t xml:space="preserve"> values against large crabgrass from 4.3 to ≤ 2.3 g ha</w:t>
      </w:r>
      <w:r w:rsidRPr="00F46BA7">
        <w:rPr>
          <w:rStyle w:val="sm"/>
          <w:rFonts w:cs="Times New Roman"/>
          <w:vertAlign w:val="superscript"/>
        </w:rPr>
        <w:t>-1</w:t>
      </w:r>
      <w:r w:rsidRPr="00F46BA7">
        <w:rPr>
          <w:rStyle w:val="sm"/>
          <w:rFonts w:cs="Times New Roman"/>
        </w:rPr>
        <w:t>; goosegrass GR</w:t>
      </w:r>
      <w:r w:rsidRPr="00F46BA7">
        <w:rPr>
          <w:rStyle w:val="sm"/>
          <w:rFonts w:cs="Times New Roman"/>
          <w:vertAlign w:val="subscript"/>
        </w:rPr>
        <w:t xml:space="preserve">50 </w:t>
      </w:r>
      <w:r w:rsidRPr="00F46BA7">
        <w:rPr>
          <w:rStyle w:val="sm"/>
          <w:rFonts w:cs="Times New Roman"/>
        </w:rPr>
        <w:t>values were reduced from 2.6 to 1.7 g ha</w:t>
      </w:r>
      <w:r w:rsidRPr="00F46BA7">
        <w:rPr>
          <w:rStyle w:val="sm"/>
          <w:rFonts w:cs="Times New Roman"/>
          <w:vertAlign w:val="superscript"/>
        </w:rPr>
        <w:t>-1</w:t>
      </w:r>
      <w:r w:rsidRPr="00F46BA7">
        <w:rPr>
          <w:rStyle w:val="sm"/>
          <w:rFonts w:cs="Times New Roman"/>
        </w:rPr>
        <w:t xml:space="preserve">. </w:t>
      </w:r>
      <w:r w:rsidRPr="00F46BA7">
        <w:rPr>
          <w:rFonts w:cs="Times New Roman"/>
        </w:rPr>
        <w:t xml:space="preserve">Unlike </w:t>
      </w:r>
      <w:r w:rsidRPr="00F46BA7">
        <w:rPr>
          <w:rStyle w:val="sm"/>
          <w:rFonts w:cs="Times New Roman"/>
        </w:rPr>
        <w:t>GR</w:t>
      </w:r>
      <w:r w:rsidRPr="00F46BA7">
        <w:rPr>
          <w:rStyle w:val="sm"/>
          <w:rFonts w:cs="Times New Roman"/>
          <w:vertAlign w:val="subscript"/>
        </w:rPr>
        <w:t>50</w:t>
      </w:r>
      <w:r w:rsidRPr="00F46BA7">
        <w:rPr>
          <w:rStyle w:val="sm"/>
          <w:rFonts w:cs="Times New Roman"/>
        </w:rPr>
        <w:t xml:space="preserve"> values,</w:t>
      </w:r>
      <w:r w:rsidRPr="00F46BA7">
        <w:rPr>
          <w:rFonts w:cs="Times New Roman"/>
        </w:rPr>
        <w:t xml:space="preserve"> topramezone </w:t>
      </w:r>
      <w:r w:rsidRPr="00F46BA7">
        <w:rPr>
          <w:rStyle w:val="sm"/>
          <w:rFonts w:cs="Times New Roman"/>
        </w:rPr>
        <w:t>I</w:t>
      </w:r>
      <w:r w:rsidRPr="00F46BA7">
        <w:rPr>
          <w:rStyle w:val="sm"/>
          <w:rFonts w:cs="Times New Roman"/>
          <w:vertAlign w:val="subscript"/>
        </w:rPr>
        <w:t xml:space="preserve">50 </w:t>
      </w:r>
      <w:r w:rsidRPr="00F46BA7">
        <w:rPr>
          <w:rStyle w:val="sm"/>
          <w:rFonts w:cs="Times New Roman"/>
        </w:rPr>
        <w:t xml:space="preserve">values against </w:t>
      </w:r>
      <w:r w:rsidRPr="00F46BA7">
        <w:rPr>
          <w:rFonts w:cs="Times New Roman"/>
        </w:rPr>
        <w:t>crabgrass and goosegrass</w:t>
      </w:r>
      <w:r w:rsidRPr="00F46BA7">
        <w:rPr>
          <w:rStyle w:val="sm"/>
          <w:rFonts w:cs="Times New Roman"/>
        </w:rPr>
        <w:t xml:space="preserve"> (11.1 and 10.1 g ha</w:t>
      </w:r>
      <w:r w:rsidRPr="00F46BA7">
        <w:rPr>
          <w:rStyle w:val="sm"/>
          <w:rFonts w:cs="Times New Roman"/>
          <w:vertAlign w:val="superscript"/>
        </w:rPr>
        <w:t>-1</w:t>
      </w:r>
      <w:r w:rsidRPr="00F46BA7">
        <w:rPr>
          <w:rStyle w:val="sm"/>
          <w:rFonts w:cs="Times New Roman"/>
        </w:rPr>
        <w:t xml:space="preserve">, respectively) were not affected by </w:t>
      </w:r>
      <w:r w:rsidRPr="00F46BA7">
        <w:rPr>
          <w:rStyle w:val="sm"/>
          <w:rFonts w:cs="Times New Roman"/>
        </w:rPr>
        <w:lastRenderedPageBreak/>
        <w:t xml:space="preserve">cloquintocet or </w:t>
      </w:r>
      <w:proofErr w:type="gramStart"/>
      <w:r w:rsidRPr="00F46BA7">
        <w:rPr>
          <w:rStyle w:val="sm"/>
          <w:rFonts w:cs="Times New Roman"/>
        </w:rPr>
        <w:t>malathion</w:t>
      </w:r>
      <w:proofErr w:type="gramEnd"/>
      <w:r w:rsidRPr="00F46BA7">
        <w:rPr>
          <w:rStyle w:val="sm"/>
          <w:rFonts w:cs="Times New Roman"/>
        </w:rPr>
        <w:t xml:space="preserve"> in Run B. These data indicate that cloquintocet does not reduce efficacy of topramezone against large crabgrass and goosegrass.</w:t>
      </w:r>
    </w:p>
    <w:p w14:paraId="737DD2E1" w14:textId="77777777" w:rsidR="00F46BA7" w:rsidRPr="00F46BA7" w:rsidRDefault="00F46BA7" w:rsidP="00F46BA7">
      <w:pPr>
        <w:outlineLvl w:val="0"/>
        <w:rPr>
          <w:rFonts w:cs="Times New Roman"/>
        </w:rPr>
      </w:pPr>
      <w:r w:rsidRPr="00F46BA7">
        <w:rPr>
          <w:rStyle w:val="sm"/>
          <w:rFonts w:cs="Times New Roman"/>
        </w:rPr>
        <w:t xml:space="preserve"> </w:t>
      </w:r>
      <w:r w:rsidRPr="00F46BA7">
        <w:rPr>
          <w:rStyle w:val="sm"/>
          <w:rFonts w:cs="Times New Roman"/>
        </w:rPr>
        <w:tab/>
        <w:t>Our findings suggest that cP450-catalyzed metabolism may influence CBG tolerance to topramezone. However, there may be additional mechanisms responsible for this response including a reduced affinity of topramezone for CBG HPPD relative to target weeds; this has been reported as one mechanism of maize tolerance to topramezone (Grossman and Ehrhardt 2007). It is also possible that significant topramezone metabolism may occur via conjugation reactions that do not require cP450-mediated topramezone N-demethylation. Cloquintocet has been reported to increase pyridinyl N-glucosylation of clodinafop-propargyl in wheat (Kreuz et al. 1991). Topramezone N-glycosylation via N-glucosyltransferase at the un-saturated pyrimidinyl N could occur without prior topramezone metabolism. Metabolism may also proceed via O-glucosylation at hydroxyl groups; cloquintocet can increase O-glycosyltransferase activity in wheat (</w:t>
      </w:r>
      <w:r w:rsidRPr="00F46BA7">
        <w:rPr>
          <w:rStyle w:val="sm"/>
          <w:rFonts w:cs="Times New Roman"/>
          <w:i/>
        </w:rPr>
        <w:t>Triticum aestivum</w:t>
      </w:r>
      <w:r w:rsidRPr="00F46BA7">
        <w:rPr>
          <w:rStyle w:val="sm"/>
          <w:rFonts w:cs="Times New Roman"/>
        </w:rPr>
        <w:t xml:space="preserve"> L.) </w:t>
      </w:r>
      <w:proofErr w:type="gramStart"/>
      <w:r w:rsidRPr="00F46BA7">
        <w:rPr>
          <w:rStyle w:val="sm"/>
          <w:rFonts w:cs="Times New Roman"/>
        </w:rPr>
        <w:t>(Brazier et al. 2002).</w:t>
      </w:r>
      <w:proofErr w:type="gramEnd"/>
      <w:r w:rsidRPr="00F46BA7">
        <w:rPr>
          <w:rStyle w:val="sm"/>
          <w:rFonts w:cs="Times New Roman"/>
        </w:rPr>
        <w:t xml:space="preserve"> Future research should explore CBG metabolism of topramezone in greater detail. </w:t>
      </w:r>
    </w:p>
    <w:p w14:paraId="3D0FF474" w14:textId="77777777" w:rsidR="00F46BA7" w:rsidRPr="00F46BA7" w:rsidRDefault="00F46BA7" w:rsidP="00F46BA7">
      <w:pPr>
        <w:outlineLvl w:val="0"/>
        <w:rPr>
          <w:rStyle w:val="sm"/>
        </w:rPr>
      </w:pPr>
      <w:r w:rsidRPr="00F46BA7">
        <w:rPr>
          <w:rStyle w:val="sm"/>
          <w:rFonts w:cs="Times New Roman"/>
        </w:rPr>
        <w:tab/>
        <w:t xml:space="preserve">Our glasshouse data indicate that topramezone-cloquintocet combinations warrant further research under field conditions. Other researchers have reported that CBG tolerance to topramezone varies seasonally (Venner et al. 2014). Field research should evaluate CBG injury and graminaceous weed control from applications of topramezone in combination with cloquintocet at different seasonal application timings. </w:t>
      </w:r>
    </w:p>
    <w:p w14:paraId="2821E394" w14:textId="77777777" w:rsidR="00F46BA7" w:rsidRPr="00F46BA7" w:rsidRDefault="00F46BA7" w:rsidP="00F46BA7">
      <w:pPr>
        <w:outlineLvl w:val="0"/>
        <w:rPr>
          <w:rFonts w:cs="Times New Roman"/>
        </w:rPr>
      </w:pPr>
      <w:r w:rsidRPr="00F46BA7">
        <w:rPr>
          <w:rStyle w:val="sm"/>
          <w:rFonts w:cs="Times New Roman"/>
        </w:rPr>
        <w:tab/>
      </w:r>
    </w:p>
    <w:p w14:paraId="37246BA6" w14:textId="77777777" w:rsidR="00F46BA7" w:rsidRPr="00E56988" w:rsidRDefault="00F46BA7" w:rsidP="00D560D4">
      <w:pPr>
        <w:pStyle w:val="Heading2"/>
      </w:pPr>
      <w:bookmarkStart w:id="40" w:name="_Toc264635673"/>
      <w:bookmarkStart w:id="41" w:name="_Toc264713559"/>
      <w:bookmarkStart w:id="42" w:name="_Toc264713603"/>
      <w:bookmarkStart w:id="43" w:name="_Toc264967184"/>
      <w:r w:rsidRPr="00E56988">
        <w:t>A</w:t>
      </w:r>
      <w:r w:rsidR="00E56988">
        <w:t>CKNOWLEDGEMENTS</w:t>
      </w:r>
      <w:bookmarkEnd w:id="40"/>
      <w:bookmarkEnd w:id="41"/>
      <w:bookmarkEnd w:id="42"/>
      <w:bookmarkEnd w:id="43"/>
    </w:p>
    <w:p w14:paraId="0B4292B4" w14:textId="77777777" w:rsidR="00F46BA7" w:rsidRPr="00F46BA7" w:rsidRDefault="00F46BA7" w:rsidP="00F46BA7">
      <w:pPr>
        <w:rPr>
          <w:rFonts w:cs="Times New Roman"/>
        </w:rPr>
      </w:pPr>
      <w:proofErr w:type="gramStart"/>
      <w:r w:rsidRPr="00F46BA7">
        <w:rPr>
          <w:rFonts w:cs="Times New Roman"/>
        </w:rPr>
        <w:t>This work was supported by the United States Golf Association and the Tennessee Agricultural Experiment Station</w:t>
      </w:r>
      <w:proofErr w:type="gramEnd"/>
      <w:r w:rsidRPr="00F46BA7">
        <w:rPr>
          <w:rFonts w:cs="Times New Roman"/>
        </w:rPr>
        <w:t xml:space="preserve">. The authors would also like to thank Daniel Farnsworth, Veronica Sublett, </w:t>
      </w:r>
      <w:r w:rsidRPr="00F46BA7">
        <w:rPr>
          <w:rFonts w:cs="Times New Roman"/>
        </w:rPr>
        <w:lastRenderedPageBreak/>
        <w:t>Tyler Campbell, Kelly Arnholt and James Greenway for their assistance in conducting these experiments and Dr. Michael Barrett for his guidance. Mention of trade names or commercial products in this publication is solely for the purpose of providing specific information and does not imply recommendation or endorsement by the University of Tennessee Institute of Agriculture.</w:t>
      </w:r>
    </w:p>
    <w:p w14:paraId="1402BD3D" w14:textId="77777777" w:rsidR="00F46BA7" w:rsidRPr="00F46BA7" w:rsidRDefault="00F46BA7" w:rsidP="00F46BA7">
      <w:pPr>
        <w:rPr>
          <w:rFonts w:cs="Times New Roman"/>
        </w:rPr>
      </w:pPr>
      <w:r w:rsidRPr="00F46BA7">
        <w:rPr>
          <w:rFonts w:cs="Times New Roman"/>
        </w:rPr>
        <w:br w:type="page"/>
      </w:r>
    </w:p>
    <w:p w14:paraId="48228954" w14:textId="77777777" w:rsidR="00F46BA7" w:rsidRPr="00E56988" w:rsidRDefault="00F46BA7" w:rsidP="00D560D4">
      <w:pPr>
        <w:pStyle w:val="Heading2"/>
        <w:rPr>
          <w:rStyle w:val="search"/>
          <w:b w:val="0"/>
          <w:bCs w:val="0"/>
          <w:iCs w:val="0"/>
        </w:rPr>
      </w:pPr>
      <w:bookmarkStart w:id="44" w:name="_Toc264635674"/>
      <w:bookmarkStart w:id="45" w:name="_Toc264713560"/>
      <w:bookmarkStart w:id="46" w:name="_Toc264713604"/>
      <w:bookmarkStart w:id="47" w:name="_Toc264967185"/>
      <w:r w:rsidRPr="00E56988">
        <w:rPr>
          <w:rStyle w:val="search"/>
        </w:rPr>
        <w:lastRenderedPageBreak/>
        <w:t>L</w:t>
      </w:r>
      <w:r w:rsidR="00E56988">
        <w:rPr>
          <w:rStyle w:val="search"/>
        </w:rPr>
        <w:t>ITERATURE CITED</w:t>
      </w:r>
      <w:bookmarkEnd w:id="44"/>
      <w:bookmarkEnd w:id="45"/>
      <w:bookmarkEnd w:id="46"/>
      <w:bookmarkEnd w:id="47"/>
    </w:p>
    <w:p w14:paraId="6FFB2FE2" w14:textId="77777777" w:rsidR="00F46BA7" w:rsidRPr="00F46BA7" w:rsidRDefault="00F46BA7" w:rsidP="00F46BA7">
      <w:pPr>
        <w:widowControl w:val="0"/>
        <w:autoSpaceDE w:val="0"/>
        <w:autoSpaceDN w:val="0"/>
        <w:adjustRightInd w:val="0"/>
        <w:ind w:left="720" w:hanging="720"/>
        <w:rPr>
          <w:rFonts w:eastAsiaTheme="minorEastAsia" w:cs="Times New Roman"/>
        </w:rPr>
      </w:pPr>
      <w:proofErr w:type="gramStart"/>
      <w:r w:rsidRPr="00F46BA7">
        <w:rPr>
          <w:rFonts w:eastAsiaTheme="minorEastAsia" w:cs="Times New Roman"/>
        </w:rPr>
        <w:t>Anonymous (2004) Acclaim Extra</w:t>
      </w:r>
      <w:r w:rsidRPr="00F46BA7">
        <w:rPr>
          <w:rFonts w:cs="Times New Roman"/>
          <w:b/>
          <w:color w:val="000000"/>
        </w:rPr>
        <w:t>®</w:t>
      </w:r>
      <w:r w:rsidRPr="00F46BA7">
        <w:rPr>
          <w:rFonts w:eastAsiaTheme="minorEastAsia" w:cs="Times New Roman"/>
        </w:rPr>
        <w:t xml:space="preserve"> product label.</w:t>
      </w:r>
      <w:proofErr w:type="gramEnd"/>
      <w:r w:rsidRPr="00F46BA7">
        <w:rPr>
          <w:rFonts w:eastAsiaTheme="minorEastAsia" w:cs="Times New Roman"/>
        </w:rPr>
        <w:t xml:space="preserve"> </w:t>
      </w:r>
      <w:proofErr w:type="gramStart"/>
      <w:r w:rsidRPr="00F46BA7">
        <w:rPr>
          <w:rFonts w:eastAsiaTheme="minorEastAsia" w:cs="Times New Roman"/>
        </w:rPr>
        <w:t>Bayer Environmental Science.</w:t>
      </w:r>
      <w:proofErr w:type="gramEnd"/>
      <w:r w:rsidRPr="00F46BA7">
        <w:rPr>
          <w:rFonts w:eastAsiaTheme="minorEastAsia" w:cs="Times New Roman"/>
        </w:rPr>
        <w:t xml:space="preserve"> Research Triangle Park, NC: 12 p</w:t>
      </w:r>
    </w:p>
    <w:p w14:paraId="1268DF2D" w14:textId="77777777" w:rsidR="00F46BA7" w:rsidRPr="00F46BA7" w:rsidRDefault="00F46BA7" w:rsidP="00F46BA7">
      <w:pPr>
        <w:widowControl w:val="0"/>
        <w:autoSpaceDE w:val="0"/>
        <w:autoSpaceDN w:val="0"/>
        <w:adjustRightInd w:val="0"/>
        <w:ind w:left="720" w:hanging="720"/>
        <w:rPr>
          <w:rFonts w:eastAsiaTheme="minorEastAsia" w:cs="Times New Roman"/>
        </w:rPr>
      </w:pPr>
      <w:proofErr w:type="gramStart"/>
      <w:r w:rsidRPr="00F46BA7">
        <w:rPr>
          <w:rFonts w:eastAsiaTheme="minorEastAsia" w:cs="Times New Roman"/>
        </w:rPr>
        <w:t>Anonymous (2010) Velocity</w:t>
      </w:r>
      <w:r w:rsidRPr="00F46BA7">
        <w:rPr>
          <w:rFonts w:cs="Times New Roman"/>
          <w:b/>
          <w:color w:val="000000"/>
        </w:rPr>
        <w:t>®</w:t>
      </w:r>
      <w:r w:rsidRPr="00F46BA7">
        <w:rPr>
          <w:rFonts w:eastAsiaTheme="minorEastAsia" w:cs="Times New Roman"/>
        </w:rPr>
        <w:t xml:space="preserve"> product label.</w:t>
      </w:r>
      <w:proofErr w:type="gramEnd"/>
      <w:r w:rsidRPr="00F46BA7">
        <w:rPr>
          <w:rFonts w:eastAsiaTheme="minorEastAsia" w:cs="Times New Roman"/>
        </w:rPr>
        <w:t xml:space="preserve"> Valent U.S.A. Corp. Publication No. 2010-Vel-0001. Walnut Creek, CA: 10 p</w:t>
      </w:r>
    </w:p>
    <w:p w14:paraId="5C466E61" w14:textId="77777777" w:rsidR="00F46BA7" w:rsidRPr="00F46BA7" w:rsidRDefault="00F46BA7" w:rsidP="00F46BA7">
      <w:pPr>
        <w:widowControl w:val="0"/>
        <w:autoSpaceDE w:val="0"/>
        <w:autoSpaceDN w:val="0"/>
        <w:adjustRightInd w:val="0"/>
        <w:ind w:left="720" w:hanging="720"/>
        <w:rPr>
          <w:rFonts w:eastAsiaTheme="minorEastAsia" w:cs="Times New Roman"/>
        </w:rPr>
      </w:pPr>
      <w:proofErr w:type="gramStart"/>
      <w:r w:rsidRPr="00F46BA7">
        <w:rPr>
          <w:rFonts w:eastAsiaTheme="minorEastAsia" w:cs="Times New Roman"/>
        </w:rPr>
        <w:t>Anonymous (2012a) Drive XLR8</w:t>
      </w:r>
      <w:r w:rsidRPr="00F46BA7">
        <w:rPr>
          <w:rFonts w:cs="Times New Roman"/>
          <w:b/>
          <w:color w:val="000000"/>
        </w:rPr>
        <w:t>®</w:t>
      </w:r>
      <w:r w:rsidRPr="00F46BA7">
        <w:rPr>
          <w:rFonts w:eastAsiaTheme="minorEastAsia" w:cs="Times New Roman"/>
        </w:rPr>
        <w:t xml:space="preserve"> product label.</w:t>
      </w:r>
      <w:proofErr w:type="gramEnd"/>
      <w:r w:rsidRPr="00F46BA7">
        <w:rPr>
          <w:rFonts w:eastAsiaTheme="minorEastAsia" w:cs="Times New Roman"/>
        </w:rPr>
        <w:t xml:space="preserve"> </w:t>
      </w:r>
      <w:proofErr w:type="gramStart"/>
      <w:r w:rsidRPr="00F46BA7">
        <w:rPr>
          <w:rFonts w:eastAsiaTheme="minorEastAsia" w:cs="Times New Roman"/>
        </w:rPr>
        <w:t>BASF Corp. Publication No. 007969-00272.20120611.NVA 2012-04-310-0141.</w:t>
      </w:r>
      <w:proofErr w:type="gramEnd"/>
      <w:r w:rsidRPr="00F46BA7">
        <w:rPr>
          <w:rFonts w:eastAsiaTheme="minorEastAsia" w:cs="Times New Roman"/>
        </w:rPr>
        <w:t xml:space="preserve"> Research Triangle Park, NC: 10 p</w:t>
      </w:r>
    </w:p>
    <w:p w14:paraId="15055F73" w14:textId="77777777" w:rsidR="00F46BA7" w:rsidRPr="00F46BA7" w:rsidRDefault="00F46BA7" w:rsidP="00F46BA7">
      <w:pPr>
        <w:widowControl w:val="0"/>
        <w:autoSpaceDE w:val="0"/>
        <w:autoSpaceDN w:val="0"/>
        <w:adjustRightInd w:val="0"/>
        <w:ind w:left="720" w:hanging="720"/>
        <w:rPr>
          <w:rFonts w:eastAsiaTheme="minorEastAsia" w:cs="Times New Roman"/>
        </w:rPr>
      </w:pPr>
      <w:proofErr w:type="gramStart"/>
      <w:r w:rsidRPr="00F46BA7">
        <w:rPr>
          <w:rFonts w:eastAsiaTheme="minorEastAsia" w:cs="Times New Roman"/>
        </w:rPr>
        <w:t>Anonymous (2012b) Xonerate</w:t>
      </w:r>
      <w:r w:rsidRPr="00F46BA7">
        <w:rPr>
          <w:rFonts w:cs="Times New Roman"/>
          <w:b/>
          <w:color w:val="000000"/>
        </w:rPr>
        <w:t>®</w:t>
      </w:r>
      <w:r w:rsidRPr="00F46BA7">
        <w:rPr>
          <w:rFonts w:eastAsiaTheme="minorEastAsia" w:cs="Times New Roman"/>
        </w:rPr>
        <w:t xml:space="preserve"> product label.</w:t>
      </w:r>
      <w:proofErr w:type="gramEnd"/>
      <w:r w:rsidRPr="00F46BA7">
        <w:rPr>
          <w:rFonts w:eastAsiaTheme="minorEastAsia" w:cs="Times New Roman"/>
        </w:rPr>
        <w:t xml:space="preserve"> </w:t>
      </w:r>
      <w:proofErr w:type="gramStart"/>
      <w:r w:rsidRPr="00F46BA7">
        <w:rPr>
          <w:rFonts w:eastAsiaTheme="minorEastAsia" w:cs="Times New Roman"/>
        </w:rPr>
        <w:t>Arysta LifeSciences Publication No.</w:t>
      </w:r>
      <w:proofErr w:type="gramEnd"/>
      <w:r w:rsidRPr="00F46BA7">
        <w:rPr>
          <w:rFonts w:eastAsiaTheme="minorEastAsia" w:cs="Times New Roman"/>
        </w:rPr>
        <w:t xml:space="preserve"> AD070912 Cary, NC: 33 p </w:t>
      </w:r>
    </w:p>
    <w:p w14:paraId="0A2B7AF3" w14:textId="77777777" w:rsidR="00F46BA7" w:rsidRPr="00F46BA7" w:rsidRDefault="00F46BA7" w:rsidP="00F46BA7">
      <w:pPr>
        <w:widowControl w:val="0"/>
        <w:autoSpaceDE w:val="0"/>
        <w:autoSpaceDN w:val="0"/>
        <w:adjustRightInd w:val="0"/>
        <w:ind w:left="720" w:hanging="720"/>
        <w:rPr>
          <w:rFonts w:eastAsiaTheme="minorEastAsia" w:cs="Times New Roman"/>
        </w:rPr>
      </w:pPr>
      <w:proofErr w:type="gramStart"/>
      <w:r w:rsidRPr="00F46BA7">
        <w:rPr>
          <w:rFonts w:eastAsiaTheme="minorEastAsia" w:cs="Times New Roman"/>
        </w:rPr>
        <w:t>Anonymous (2013) Pylex</w:t>
      </w:r>
      <w:r w:rsidRPr="00F46BA7">
        <w:rPr>
          <w:rFonts w:cs="Times New Roman"/>
          <w:b/>
          <w:color w:val="000000"/>
        </w:rPr>
        <w:t>®</w:t>
      </w:r>
      <w:r w:rsidRPr="00F46BA7">
        <w:rPr>
          <w:rFonts w:eastAsiaTheme="minorEastAsia" w:cs="Times New Roman"/>
        </w:rPr>
        <w:t xml:space="preserve"> product label.</w:t>
      </w:r>
      <w:proofErr w:type="gramEnd"/>
      <w:r w:rsidRPr="00F46BA7">
        <w:rPr>
          <w:rFonts w:eastAsiaTheme="minorEastAsia" w:cs="Times New Roman"/>
        </w:rPr>
        <w:t xml:space="preserve"> BASF Corp. Publication No. 007969-00327.20130213. NVA 2013-04-382-0030. Research Triangle Park, NC: 10 p</w:t>
      </w:r>
    </w:p>
    <w:p w14:paraId="41186A49"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Baker RD, McCarty LB, Colvin DL, Higgins JM, Weinbrecht JS, Moreno JE (1999) Bahiagrass (</w:t>
      </w:r>
      <w:r w:rsidRPr="00F46BA7">
        <w:rPr>
          <w:rFonts w:eastAsiaTheme="minorEastAsia" w:cs="Times New Roman"/>
          <w:i/>
        </w:rPr>
        <w:t>Paspalum notatum</w:t>
      </w:r>
      <w:r w:rsidRPr="00F46BA7">
        <w:rPr>
          <w:rFonts w:eastAsiaTheme="minorEastAsia" w:cs="Times New Roman"/>
        </w:rPr>
        <w:t>) seedhead suppression following consecutive yearly applications of plant growth retardants. Weed Technol 13:378-384</w:t>
      </w:r>
    </w:p>
    <w:p w14:paraId="60B23A39" w14:textId="77777777" w:rsidR="00F46BA7" w:rsidRPr="00F46BA7" w:rsidRDefault="00F46BA7" w:rsidP="00F46BA7">
      <w:pPr>
        <w:widowControl w:val="0"/>
        <w:autoSpaceDE w:val="0"/>
        <w:autoSpaceDN w:val="0"/>
        <w:adjustRightInd w:val="0"/>
        <w:ind w:left="720" w:hanging="720"/>
        <w:rPr>
          <w:rFonts w:eastAsiaTheme="minorEastAsia" w:cs="Times New Roman"/>
        </w:rPr>
      </w:pPr>
      <w:proofErr w:type="gramStart"/>
      <w:r w:rsidRPr="00F46BA7">
        <w:rPr>
          <w:rFonts w:eastAsiaTheme="minorEastAsia" w:cs="Times New Roman"/>
        </w:rPr>
        <w:t>Brazier M, Cole DJ, Edwards R (2002) O-Glucosyltransferase activities toward phenolic natural products and xenobiotics in wheat and herbicide-resistant and herbicide susceptible black-grass (</w:t>
      </w:r>
      <w:r w:rsidRPr="00F46BA7">
        <w:rPr>
          <w:rFonts w:eastAsiaTheme="minorEastAsia" w:cs="Times New Roman"/>
          <w:i/>
        </w:rPr>
        <w:t>Alopecurus myosuroides</w:t>
      </w:r>
      <w:r w:rsidRPr="00F46BA7">
        <w:rPr>
          <w:rFonts w:eastAsiaTheme="minorEastAsia" w:cs="Times New Roman"/>
        </w:rPr>
        <w:t>).</w:t>
      </w:r>
      <w:proofErr w:type="gramEnd"/>
      <w:r w:rsidRPr="00F46BA7">
        <w:rPr>
          <w:rFonts w:eastAsiaTheme="minorEastAsia" w:cs="Times New Roman"/>
        </w:rPr>
        <w:t xml:space="preserve"> Phytochemistry 59:149-156</w:t>
      </w:r>
    </w:p>
    <w:p w14:paraId="30709664"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Brosnan JT, Breeden GK, Armel GR, Vargas JJ (2011) Common bermudagrass seedhead suppression and growth regulation with fenoxaprop. Weed Technol 25:404-410</w:t>
      </w:r>
    </w:p>
    <w:p w14:paraId="6A465391"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Brosnan JT, Breeden GK, Elmore MT, Patton AJ, Weisenberger DV (2012) Zoysiagrass seedhead suppression with imidazolinone herbicides. Weed Technol 26:708-713</w:t>
      </w:r>
    </w:p>
    <w:p w14:paraId="2700C854"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Brosnan JT, Breeden GK (2013) Bermudagrass (</w:t>
      </w:r>
      <w:r w:rsidRPr="00F46BA7">
        <w:rPr>
          <w:rFonts w:eastAsiaTheme="minorEastAsia" w:cs="Times New Roman"/>
          <w:i/>
        </w:rPr>
        <w:t>Cynodon dactlylon</w:t>
      </w:r>
      <w:r w:rsidRPr="00F46BA7">
        <w:rPr>
          <w:rFonts w:eastAsiaTheme="minorEastAsia" w:cs="Times New Roman"/>
        </w:rPr>
        <w:t>) control with topramezone and triclopyr. Weed Technol 27:138-142</w:t>
      </w:r>
    </w:p>
    <w:p w14:paraId="64121282"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lastRenderedPageBreak/>
        <w:t>Brosnan JT, Calvache S, Breeden GK, Sorochan JC (2013) Rooting depth, soil type, and application rate effects in creeping bentgrass injury with amicarbazone and methiozolin. Crop Sci 53:655-659</w:t>
      </w:r>
    </w:p>
    <w:p w14:paraId="245CF6D2" w14:textId="0076FB1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 xml:space="preserve">Chapple C (1998) Molecular-genetic analysis of plant cytochrome P450-dependent </w:t>
      </w:r>
      <w:r w:rsidR="00904173">
        <w:rPr>
          <w:rFonts w:eastAsiaTheme="minorEastAsia" w:cs="Times New Roman"/>
        </w:rPr>
        <w:t>monooxygenase</w:t>
      </w:r>
      <w:r w:rsidRPr="00F46BA7">
        <w:rPr>
          <w:rFonts w:eastAsiaTheme="minorEastAsia" w:cs="Times New Roman"/>
        </w:rPr>
        <w:t xml:space="preserve">s. Annu Rev Plant Physiol Plant Mol Biol 49:311-343 </w:t>
      </w:r>
    </w:p>
    <w:p w14:paraId="1D7597DB"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Chism WJ, Bingham SW (1991) Postemergence control of large crabgrass (</w:t>
      </w:r>
      <w:r w:rsidRPr="00F46BA7">
        <w:rPr>
          <w:rFonts w:eastAsiaTheme="minorEastAsia" w:cs="Times New Roman"/>
          <w:i/>
        </w:rPr>
        <w:t>Digitaria sanguinalis</w:t>
      </w:r>
      <w:r w:rsidRPr="00F46BA7">
        <w:rPr>
          <w:rFonts w:eastAsiaTheme="minorEastAsia" w:cs="Times New Roman"/>
        </w:rPr>
        <w:t>) with herbicides. Weed Sci 39:62-66</w:t>
      </w:r>
    </w:p>
    <w:p w14:paraId="434F5D90"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Davies J, Casely JC, Jones OTG, Barrett M, Polge ND (1998) Mode of action of naphthalic anhydride as a safener for the herbicide AC 263222 in maize. Pestic Sci. 52:29-38</w:t>
      </w:r>
    </w:p>
    <w:p w14:paraId="56C52F35"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Davies J, Caseley JC (1999) Herbicide safeners: a review. Pestic Sci 55:1043-1058</w:t>
      </w:r>
    </w:p>
    <w:p w14:paraId="65B0F28C" w14:textId="77777777" w:rsidR="00F46BA7" w:rsidRPr="00F46BA7" w:rsidRDefault="00F46BA7" w:rsidP="00F46BA7">
      <w:pPr>
        <w:widowControl w:val="0"/>
        <w:autoSpaceDE w:val="0"/>
        <w:autoSpaceDN w:val="0"/>
        <w:adjustRightInd w:val="0"/>
        <w:ind w:left="720" w:hanging="720"/>
        <w:rPr>
          <w:rFonts w:eastAsiaTheme="minorEastAsia" w:cs="Times New Roman"/>
        </w:rPr>
      </w:pPr>
      <w:proofErr w:type="gramStart"/>
      <w:r w:rsidRPr="00F46BA7">
        <w:rPr>
          <w:rFonts w:eastAsiaTheme="minorEastAsia" w:cs="Times New Roman"/>
        </w:rPr>
        <w:t>Davies J (2001) Herbicide safeners – commercial products and tools for agrochemical research.</w:t>
      </w:r>
      <w:proofErr w:type="gramEnd"/>
      <w:r w:rsidRPr="00F46BA7">
        <w:rPr>
          <w:rFonts w:eastAsiaTheme="minorEastAsia" w:cs="Times New Roman"/>
        </w:rPr>
        <w:t xml:space="preserve"> Pestic Outlook DOI: 10.1039/b100799h</w:t>
      </w:r>
    </w:p>
    <w:p w14:paraId="5055CD15" w14:textId="77777777" w:rsidR="00F46BA7" w:rsidRPr="00F46BA7" w:rsidRDefault="00F46BA7" w:rsidP="00F46BA7">
      <w:pPr>
        <w:widowControl w:val="0"/>
        <w:autoSpaceDE w:val="0"/>
        <w:autoSpaceDN w:val="0"/>
        <w:adjustRightInd w:val="0"/>
        <w:ind w:left="720" w:hanging="720"/>
        <w:rPr>
          <w:rFonts w:eastAsiaTheme="minorEastAsia" w:cs="Times New Roman"/>
        </w:rPr>
      </w:pPr>
      <w:proofErr w:type="gramStart"/>
      <w:r w:rsidRPr="00F46BA7">
        <w:rPr>
          <w:rFonts w:eastAsiaTheme="minorEastAsia" w:cs="Times New Roman"/>
        </w:rPr>
        <w:t>Dayan FE, Trindade MLB, Velini ED (2009) Amicarbazone, a new photosystem II inhibitor.</w:t>
      </w:r>
      <w:proofErr w:type="gramEnd"/>
      <w:r w:rsidRPr="00F46BA7">
        <w:rPr>
          <w:rFonts w:eastAsiaTheme="minorEastAsia" w:cs="Times New Roman"/>
        </w:rPr>
        <w:t xml:space="preserve"> Weed Sci 57:579–583</w:t>
      </w:r>
    </w:p>
    <w:p w14:paraId="06A991DF" w14:textId="77777777" w:rsidR="00F46BA7" w:rsidRPr="00F46BA7" w:rsidRDefault="00F46BA7" w:rsidP="00F46BA7">
      <w:pPr>
        <w:widowControl w:val="0"/>
        <w:autoSpaceDE w:val="0"/>
        <w:autoSpaceDN w:val="0"/>
        <w:adjustRightInd w:val="0"/>
        <w:ind w:left="720" w:hanging="720"/>
        <w:rPr>
          <w:rFonts w:eastAsiaTheme="minorEastAsia" w:cs="Times New Roman"/>
        </w:rPr>
      </w:pPr>
      <w:proofErr w:type="gramStart"/>
      <w:r w:rsidRPr="00F46BA7">
        <w:rPr>
          <w:rFonts w:eastAsiaTheme="minorEastAsia" w:cs="Times New Roman"/>
        </w:rPr>
        <w:t>Dernoeden PH (1987) Tolerance of perennial ryegrass and tall fescue seedlings to fenoxaprop.</w:t>
      </w:r>
      <w:proofErr w:type="gramEnd"/>
      <w:r w:rsidRPr="00F46BA7">
        <w:rPr>
          <w:rFonts w:eastAsiaTheme="minorEastAsia" w:cs="Times New Roman"/>
        </w:rPr>
        <w:t xml:space="preserve"> Agron J 79:1035-1037</w:t>
      </w:r>
    </w:p>
    <w:p w14:paraId="324DD96D"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Dernoeden PH, Mahoney MJ, Carroll MJ (1992) Smooth crabgrass control in perennial ryegrass with repeated low fenoxaprop application rates. HortSci 27:1001-1003</w:t>
      </w:r>
    </w:p>
    <w:p w14:paraId="6F9AF406" w14:textId="77777777" w:rsidR="00F46BA7" w:rsidRPr="00F46BA7" w:rsidRDefault="00F46BA7" w:rsidP="00F46BA7">
      <w:pPr>
        <w:widowControl w:val="0"/>
        <w:autoSpaceDE w:val="0"/>
        <w:autoSpaceDN w:val="0"/>
        <w:adjustRightInd w:val="0"/>
        <w:ind w:left="630" w:hanging="630"/>
        <w:rPr>
          <w:rFonts w:eastAsiaTheme="minorEastAsia" w:cs="Times New Roman"/>
        </w:rPr>
      </w:pPr>
      <w:r w:rsidRPr="00F46BA7">
        <w:rPr>
          <w:rFonts w:eastAsiaTheme="minorEastAsia" w:cs="Times New Roman"/>
        </w:rPr>
        <w:t xml:space="preserve">Dernoeden PH, Bigelow CA, Kaminski JE, Krouse JM (2003) Smooth crabgrass control in perennial ryegrass and creeping bentgrass tolerance to quinclorac. HortScience 38:607-612 </w:t>
      </w:r>
    </w:p>
    <w:p w14:paraId="26908AAF" w14:textId="77777777" w:rsidR="00F46BA7" w:rsidRPr="00F46BA7" w:rsidRDefault="00F46BA7" w:rsidP="00F46BA7">
      <w:pPr>
        <w:widowControl w:val="0"/>
        <w:autoSpaceDE w:val="0"/>
        <w:autoSpaceDN w:val="0"/>
        <w:adjustRightInd w:val="0"/>
        <w:ind w:left="630" w:hanging="630"/>
        <w:rPr>
          <w:rFonts w:eastAsiaTheme="minorEastAsia" w:cs="Times New Roman"/>
        </w:rPr>
      </w:pPr>
      <w:r w:rsidRPr="00F46BA7">
        <w:rPr>
          <w:rFonts w:eastAsiaTheme="minorEastAsia" w:cs="Times New Roman"/>
        </w:rPr>
        <w:t>Doroh MC, McElroy JS, van Santen EJ (2010) Evaluation of new aryloxyphenoxyproponiate herbicides for bermudagrass control in zoysiagrass. Weed Technol 25:97-102</w:t>
      </w:r>
    </w:p>
    <w:p w14:paraId="122522D6" w14:textId="77777777" w:rsidR="00F46BA7" w:rsidRPr="00F46BA7" w:rsidRDefault="00F46BA7" w:rsidP="00F46BA7">
      <w:pPr>
        <w:widowControl w:val="0"/>
        <w:autoSpaceDE w:val="0"/>
        <w:autoSpaceDN w:val="0"/>
        <w:adjustRightInd w:val="0"/>
        <w:ind w:left="630" w:hanging="630"/>
        <w:rPr>
          <w:rFonts w:eastAsiaTheme="minorEastAsia" w:cs="Times New Roman"/>
        </w:rPr>
      </w:pPr>
      <w:r w:rsidRPr="00F46BA7">
        <w:rPr>
          <w:rFonts w:eastAsiaTheme="minorEastAsia" w:cs="Times New Roman"/>
        </w:rPr>
        <w:lastRenderedPageBreak/>
        <w:t>Elmore MT, Brosnan JT, Kopsell DA, Breeden GK (2012) Nitrogen-enhanced efficacy of mesotrione and topramezone for smooth crabgrass (</w:t>
      </w:r>
      <w:r w:rsidRPr="00F46BA7">
        <w:rPr>
          <w:rFonts w:eastAsiaTheme="minorEastAsia" w:cs="Times New Roman"/>
          <w:i/>
        </w:rPr>
        <w:t>Digitaria ischaemum</w:t>
      </w:r>
      <w:r w:rsidRPr="00F46BA7">
        <w:rPr>
          <w:rFonts w:eastAsiaTheme="minorEastAsia" w:cs="Times New Roman"/>
        </w:rPr>
        <w:t>) control. Weed Sci 60:480-485</w:t>
      </w:r>
    </w:p>
    <w:p w14:paraId="35B61541" w14:textId="77777777" w:rsidR="00F46BA7" w:rsidRPr="00F46BA7" w:rsidRDefault="00F46BA7" w:rsidP="00F46BA7">
      <w:pPr>
        <w:widowControl w:val="0"/>
        <w:autoSpaceDE w:val="0"/>
        <w:autoSpaceDN w:val="0"/>
        <w:adjustRightInd w:val="0"/>
        <w:ind w:left="630" w:hanging="630"/>
        <w:rPr>
          <w:rFonts w:eastAsiaTheme="minorEastAsia" w:cs="Times New Roman"/>
        </w:rPr>
      </w:pPr>
      <w:r w:rsidRPr="00F46BA7">
        <w:rPr>
          <w:rFonts w:eastAsiaTheme="minorEastAsia" w:cs="Times New Roman"/>
        </w:rPr>
        <w:t>Gannon TW, Yelverton FH (2011) Application placement equipment for bahiagrass (</w:t>
      </w:r>
      <w:r w:rsidRPr="00F46BA7">
        <w:rPr>
          <w:rFonts w:eastAsiaTheme="minorEastAsia" w:cs="Times New Roman"/>
          <w:i/>
        </w:rPr>
        <w:t>Paspalum notatum</w:t>
      </w:r>
      <w:r w:rsidRPr="00F46BA7">
        <w:rPr>
          <w:rFonts w:eastAsiaTheme="minorEastAsia" w:cs="Times New Roman"/>
        </w:rPr>
        <w:t>) along roadsides. Weed Technol 25:77-83</w:t>
      </w:r>
    </w:p>
    <w:p w14:paraId="255A2A38"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Grossman K, Ehrhardt T (2007) On the mechanism of action and selectivity of the corn herbicide topramezone: a new inhibitor of hydroxyphenylpyruvate dioxygenase. Pest Manage Sci 63:429-439.</w:t>
      </w:r>
    </w:p>
    <w:p w14:paraId="0F126463" w14:textId="77777777" w:rsidR="00F46BA7" w:rsidRPr="00F46BA7" w:rsidRDefault="00F46BA7" w:rsidP="00F46BA7">
      <w:pPr>
        <w:widowControl w:val="0"/>
        <w:autoSpaceDE w:val="0"/>
        <w:autoSpaceDN w:val="0"/>
        <w:adjustRightInd w:val="0"/>
        <w:ind w:left="630" w:hanging="630"/>
        <w:rPr>
          <w:rFonts w:eastAsiaTheme="minorEastAsia" w:cs="Times New Roman"/>
        </w:rPr>
      </w:pPr>
      <w:r w:rsidRPr="00F46BA7">
        <w:rPr>
          <w:rFonts w:eastAsiaTheme="minorEastAsia" w:cs="Times New Roman"/>
        </w:rPr>
        <w:t>Hart SE, Lycan DW, Murphy JA (2004) Use of quinclorac for large crabgrass (</w:t>
      </w:r>
      <w:r w:rsidRPr="00F46BA7">
        <w:rPr>
          <w:rFonts w:eastAsiaTheme="minorEastAsia" w:cs="Times New Roman"/>
          <w:i/>
        </w:rPr>
        <w:t>Digitaria sanguinalis</w:t>
      </w:r>
      <w:r w:rsidRPr="00F46BA7">
        <w:rPr>
          <w:rFonts w:eastAsiaTheme="minorEastAsia" w:cs="Times New Roman"/>
        </w:rPr>
        <w:t>) control in newly summer-seeded creeping bentgrass (</w:t>
      </w:r>
      <w:r w:rsidRPr="00F46BA7">
        <w:rPr>
          <w:rFonts w:eastAsiaTheme="minorEastAsia" w:cs="Times New Roman"/>
          <w:i/>
        </w:rPr>
        <w:t>Agrostis stolonifera</w:t>
      </w:r>
      <w:r w:rsidRPr="00F46BA7">
        <w:rPr>
          <w:rFonts w:eastAsiaTheme="minorEastAsia" w:cs="Times New Roman"/>
        </w:rPr>
        <w:t>). Weed Technol 18:375-379</w:t>
      </w:r>
    </w:p>
    <w:p w14:paraId="4FA1ECBA"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Hatzios KK, Burgos N (2004) Metabolism-based herbicide resistance: regulation by safeners. Weed Sci 52:454-467</w:t>
      </w:r>
    </w:p>
    <w:p w14:paraId="12036F58" w14:textId="77777777" w:rsidR="00F46BA7" w:rsidRPr="00F46BA7" w:rsidRDefault="00F46BA7" w:rsidP="00F46BA7">
      <w:pPr>
        <w:widowControl w:val="0"/>
        <w:autoSpaceDE w:val="0"/>
        <w:autoSpaceDN w:val="0"/>
        <w:adjustRightInd w:val="0"/>
        <w:ind w:left="720" w:hanging="720"/>
        <w:rPr>
          <w:rFonts w:eastAsiaTheme="minorEastAsia" w:cs="Times New Roman"/>
        </w:rPr>
      </w:pPr>
      <w:proofErr w:type="gramStart"/>
      <w:r w:rsidRPr="00F46BA7">
        <w:rPr>
          <w:rFonts w:eastAsiaTheme="minorEastAsia" w:cs="Times New Roman"/>
        </w:rPr>
        <w:t>Henry GM, Hart SE (2004) Velvet and creeping bentgrass tolerance to fenoxaprop.</w:t>
      </w:r>
      <w:proofErr w:type="gramEnd"/>
      <w:r w:rsidRPr="00F46BA7">
        <w:rPr>
          <w:rFonts w:eastAsiaTheme="minorEastAsia" w:cs="Times New Roman"/>
        </w:rPr>
        <w:t xml:space="preserve"> HortScience 39:1768-1770</w:t>
      </w:r>
    </w:p>
    <w:p w14:paraId="28D3394B" w14:textId="77777777" w:rsidR="00F46BA7" w:rsidRPr="00F46BA7" w:rsidRDefault="00F46BA7" w:rsidP="00F46BA7">
      <w:pPr>
        <w:widowControl w:val="0"/>
        <w:autoSpaceDE w:val="0"/>
        <w:autoSpaceDN w:val="0"/>
        <w:adjustRightInd w:val="0"/>
        <w:ind w:left="720" w:hanging="720"/>
        <w:rPr>
          <w:rFonts w:eastAsiaTheme="minorEastAsia" w:cs="Times New Roman"/>
        </w:rPr>
      </w:pPr>
      <w:proofErr w:type="gramStart"/>
      <w:r w:rsidRPr="00F46BA7">
        <w:rPr>
          <w:rFonts w:eastAsiaTheme="minorEastAsia" w:cs="Times New Roman"/>
        </w:rPr>
        <w:t>Hixon AC, Gannon TW, Yelverton FH (2007) Efficacy of application placement equipment for tall fescue (</w:t>
      </w:r>
      <w:r w:rsidRPr="00F46BA7">
        <w:rPr>
          <w:rFonts w:eastAsiaTheme="minorEastAsia" w:cs="Times New Roman"/>
          <w:i/>
        </w:rPr>
        <w:t>Lolium arundinaceum</w:t>
      </w:r>
      <w:r w:rsidRPr="00F46BA7">
        <w:rPr>
          <w:rFonts w:eastAsiaTheme="minorEastAsia" w:cs="Times New Roman"/>
        </w:rPr>
        <w:t>) growth and seedhead suppression.</w:t>
      </w:r>
      <w:proofErr w:type="gramEnd"/>
      <w:r w:rsidRPr="00F46BA7">
        <w:rPr>
          <w:rFonts w:eastAsiaTheme="minorEastAsia" w:cs="Times New Roman"/>
        </w:rPr>
        <w:t xml:space="preserve"> Weed Technol 21:801-806</w:t>
      </w:r>
    </w:p>
    <w:p w14:paraId="4A49C02C"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 xml:space="preserve">Hoyle JA, Yelverton FH, Gannon TW (2013) </w:t>
      </w:r>
      <w:proofErr w:type="gramStart"/>
      <w:r w:rsidRPr="00F46BA7">
        <w:rPr>
          <w:rFonts w:eastAsiaTheme="minorEastAsia" w:cs="Times New Roman"/>
        </w:rPr>
        <w:t>Evaluating</w:t>
      </w:r>
      <w:proofErr w:type="gramEnd"/>
      <w:r w:rsidRPr="00F46BA7">
        <w:rPr>
          <w:rFonts w:eastAsiaTheme="minorEastAsia" w:cs="Times New Roman"/>
        </w:rPr>
        <w:t xml:space="preserve"> multiple rating methods utilized in turfgrass weed science. Weed Technol 27:362-368</w:t>
      </w:r>
    </w:p>
    <w:p w14:paraId="0A5E2E3B"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Jeffries MD, Yelverton FH, Gannon TW (2013) Annual bluegrass (</w:t>
      </w:r>
      <w:r w:rsidRPr="00F46BA7">
        <w:rPr>
          <w:rFonts w:eastAsiaTheme="minorEastAsia" w:cs="Times New Roman"/>
          <w:i/>
        </w:rPr>
        <w:t>Poa annua</w:t>
      </w:r>
      <w:r w:rsidRPr="00F46BA7">
        <w:rPr>
          <w:rFonts w:eastAsiaTheme="minorEastAsia" w:cs="Times New Roman"/>
        </w:rPr>
        <w:t>) control in creeping bentgrass putting greens with amicarbazone and paclobutrazol. Weed Technol 27:520-526</w:t>
      </w:r>
    </w:p>
    <w:p w14:paraId="5A204388"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lastRenderedPageBreak/>
        <w:t xml:space="preserve">Johnson BJ (1994) </w:t>
      </w:r>
      <w:proofErr w:type="gramStart"/>
      <w:r w:rsidRPr="00F46BA7">
        <w:rPr>
          <w:rFonts w:eastAsiaTheme="minorEastAsia" w:cs="Times New Roman"/>
        </w:rPr>
        <w:t>Creeping</w:t>
      </w:r>
      <w:proofErr w:type="gramEnd"/>
      <w:r w:rsidRPr="00F46BA7">
        <w:rPr>
          <w:rFonts w:eastAsiaTheme="minorEastAsia" w:cs="Times New Roman"/>
        </w:rPr>
        <w:t xml:space="preserve"> bentgrass quality following preemergence and postemergence herbicide application. HortScience 29:880-883</w:t>
      </w:r>
    </w:p>
    <w:p w14:paraId="22CB97CB"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Jordan DL, Lancaster SH, Lanier JE, Lassiter BR, Johnson PD (2009) Weed management in peanut with herbicide combinations containing imazapic and other pesticides. Weed Technol 23:6-10</w:t>
      </w:r>
    </w:p>
    <w:p w14:paraId="778B02FC" w14:textId="77777777" w:rsidR="00F46BA7" w:rsidRPr="00F46BA7" w:rsidRDefault="00F46BA7" w:rsidP="00F46BA7">
      <w:pPr>
        <w:widowControl w:val="0"/>
        <w:autoSpaceDE w:val="0"/>
        <w:autoSpaceDN w:val="0"/>
        <w:adjustRightInd w:val="0"/>
        <w:rPr>
          <w:rFonts w:eastAsiaTheme="minorEastAsia" w:cs="Times New Roman"/>
        </w:rPr>
      </w:pPr>
      <w:r w:rsidRPr="00F46BA7">
        <w:rPr>
          <w:rFonts w:eastAsiaTheme="minorEastAsia" w:cs="Times New Roman"/>
        </w:rPr>
        <w:t>Karcher DE, Richardson MD (2003) Quantifying turfgrass color using digital</w:t>
      </w:r>
    </w:p>
    <w:p w14:paraId="2AFE7F40" w14:textId="77777777" w:rsidR="00F46BA7" w:rsidRPr="00F46BA7" w:rsidRDefault="00F46BA7" w:rsidP="00F46BA7">
      <w:pPr>
        <w:widowControl w:val="0"/>
        <w:autoSpaceDE w:val="0"/>
        <w:autoSpaceDN w:val="0"/>
        <w:adjustRightInd w:val="0"/>
        <w:ind w:left="720"/>
        <w:rPr>
          <w:rFonts w:eastAsiaTheme="minorEastAsia" w:cs="Times New Roman"/>
        </w:rPr>
      </w:pPr>
      <w:proofErr w:type="gramStart"/>
      <w:r w:rsidRPr="00F46BA7">
        <w:rPr>
          <w:rFonts w:eastAsiaTheme="minorEastAsia" w:cs="Times New Roman"/>
        </w:rPr>
        <w:t>image</w:t>
      </w:r>
      <w:proofErr w:type="gramEnd"/>
      <w:r w:rsidRPr="00F46BA7">
        <w:rPr>
          <w:rFonts w:eastAsiaTheme="minorEastAsia" w:cs="Times New Roman"/>
        </w:rPr>
        <w:t xml:space="preserve"> analysis. Crop Sci 43:943-951</w:t>
      </w:r>
    </w:p>
    <w:p w14:paraId="00647DEA" w14:textId="77777777" w:rsidR="00F46BA7" w:rsidRPr="00F46BA7" w:rsidRDefault="00F46BA7" w:rsidP="00F46BA7">
      <w:pPr>
        <w:pStyle w:val="Header"/>
        <w:tabs>
          <w:tab w:val="left" w:pos="270"/>
        </w:tabs>
        <w:ind w:left="720" w:hanging="720"/>
        <w:rPr>
          <w:rFonts w:eastAsiaTheme="minorEastAsia" w:cs="Times New Roman"/>
        </w:rPr>
      </w:pPr>
      <w:r w:rsidRPr="00F46BA7">
        <w:rPr>
          <w:rFonts w:eastAsiaTheme="minorEastAsia" w:cs="Times New Roman"/>
        </w:rPr>
        <w:t>Kreuz K, Gaudin J, Stingelin J, Ebert E (1991) Metabolism of the aryloxyphenoxypropionate herbicide, CGA 184927 in wheat, barley and maize: differential effects of the safener, CGA 185072. Zeitschrift fur Naturforschung. Section C, Biosciences 46:901-905</w:t>
      </w:r>
    </w:p>
    <w:p w14:paraId="2A3F2E4F" w14:textId="77777777" w:rsidR="00F46BA7" w:rsidRPr="00F46BA7" w:rsidRDefault="00F46BA7" w:rsidP="00F46BA7">
      <w:pPr>
        <w:pStyle w:val="Header"/>
        <w:tabs>
          <w:tab w:val="left" w:pos="270"/>
        </w:tabs>
        <w:ind w:left="720" w:hanging="720"/>
        <w:rPr>
          <w:rFonts w:eastAsiaTheme="minorEastAsia" w:cs="Times New Roman"/>
        </w:rPr>
      </w:pPr>
      <w:r w:rsidRPr="00F46BA7">
        <w:rPr>
          <w:rFonts w:eastAsiaTheme="minorEastAsia" w:cs="Times New Roman"/>
        </w:rPr>
        <w:t>Kreuz K, Tommasini R, Martinoia E (1996) Old enzymes for a new job: Herbicide detoxification in plants. Plant Physiol 111:349-353</w:t>
      </w:r>
    </w:p>
    <w:p w14:paraId="54E05E4C" w14:textId="77777777" w:rsidR="00F46BA7" w:rsidRPr="00F46BA7" w:rsidRDefault="00F46BA7" w:rsidP="00F46BA7">
      <w:pPr>
        <w:pStyle w:val="Header"/>
        <w:tabs>
          <w:tab w:val="left" w:pos="270"/>
        </w:tabs>
        <w:ind w:left="720" w:hanging="720"/>
        <w:rPr>
          <w:rFonts w:eastAsiaTheme="minorEastAsia" w:cs="Times New Roman"/>
        </w:rPr>
      </w:pPr>
      <w:r w:rsidRPr="00F46BA7">
        <w:rPr>
          <w:rFonts w:eastAsiaTheme="minorEastAsia" w:cs="Times New Roman"/>
        </w:rPr>
        <w:t>Lefsrund C, Hall JC (1989) Basis for sensitivity difference among crabgrass, oat, and wheat to fenoxaprop-ethyl. Pestic Biochem Physiol 34:218-227</w:t>
      </w:r>
    </w:p>
    <w:p w14:paraId="3E8E6A6B" w14:textId="77777777" w:rsidR="00F46BA7" w:rsidRPr="00F46BA7" w:rsidRDefault="00F46BA7" w:rsidP="00F46BA7">
      <w:pPr>
        <w:widowControl w:val="0"/>
        <w:tabs>
          <w:tab w:val="left" w:pos="720"/>
        </w:tabs>
        <w:autoSpaceDE w:val="0"/>
        <w:autoSpaceDN w:val="0"/>
        <w:adjustRightInd w:val="0"/>
        <w:ind w:left="720" w:hanging="720"/>
        <w:rPr>
          <w:rFonts w:eastAsiaTheme="minorEastAsia" w:cs="Times New Roman"/>
        </w:rPr>
      </w:pPr>
      <w:proofErr w:type="gramStart"/>
      <w:r w:rsidRPr="00F46BA7">
        <w:rPr>
          <w:rFonts w:eastAsiaTheme="minorEastAsia" w:cs="Times New Roman"/>
        </w:rPr>
        <w:t>Lewis DF, McElroy JS, Sorochan JC, Mueller TC, Samples TJ, Breeden GK (2010) Efficacy and safening of aryloxyphenoxypropionate herbicides when tank mixed with triclopyr for bermudagrass control in zoysiagrass turf.</w:t>
      </w:r>
      <w:proofErr w:type="gramEnd"/>
      <w:r w:rsidRPr="00F46BA7">
        <w:rPr>
          <w:rFonts w:eastAsiaTheme="minorEastAsia" w:cs="Times New Roman"/>
        </w:rPr>
        <w:t xml:space="preserve"> Weed Technol 24:489–494</w:t>
      </w:r>
    </w:p>
    <w:p w14:paraId="7895586B" w14:textId="77777777" w:rsidR="00F46BA7" w:rsidRPr="00F46BA7" w:rsidRDefault="00F46BA7" w:rsidP="00F46BA7">
      <w:pPr>
        <w:pStyle w:val="Header"/>
        <w:tabs>
          <w:tab w:val="left" w:pos="270"/>
        </w:tabs>
        <w:ind w:left="720" w:hanging="720"/>
        <w:rPr>
          <w:rFonts w:cs="Times New Roman"/>
        </w:rPr>
      </w:pPr>
      <w:r w:rsidRPr="00F46BA7">
        <w:rPr>
          <w:rFonts w:cs="Times New Roman"/>
        </w:rPr>
        <w:t>Lyman GT, Throssell CS, Johnson ME, Stacey GA, Brown CD (2007) Golf course profile describes turfgrass, landscape, and environmental stewardship features. Appl Turf Sci doi</w:t>
      </w:r>
      <w:proofErr w:type="gramStart"/>
      <w:r w:rsidRPr="00F46BA7">
        <w:rPr>
          <w:rFonts w:cs="Times New Roman"/>
        </w:rPr>
        <w:t>:10.1094</w:t>
      </w:r>
      <w:proofErr w:type="gramEnd"/>
      <w:r w:rsidRPr="00F46BA7">
        <w:rPr>
          <w:rFonts w:cs="Times New Roman"/>
        </w:rPr>
        <w:t>/ATS-2007-1107-01-RS</w:t>
      </w:r>
    </w:p>
    <w:p w14:paraId="146E0100" w14:textId="77777777" w:rsidR="00F46BA7" w:rsidRPr="00F46BA7" w:rsidRDefault="00F46BA7" w:rsidP="00F46BA7">
      <w:pPr>
        <w:pStyle w:val="Header"/>
        <w:tabs>
          <w:tab w:val="left" w:pos="270"/>
        </w:tabs>
        <w:ind w:left="720" w:hanging="720"/>
        <w:rPr>
          <w:rFonts w:cs="Times New Roman"/>
        </w:rPr>
      </w:pPr>
      <w:r w:rsidRPr="00F46BA7">
        <w:rPr>
          <w:rFonts w:cs="Times New Roman"/>
        </w:rPr>
        <w:t>McCarty LB, Weinbrecht JS, Toler JE, Miller GL (2004) St. Augustinegrass response to plant growth retardants. Crop Sci 44:1323-1329</w:t>
      </w:r>
    </w:p>
    <w:p w14:paraId="5B2927DA" w14:textId="77777777" w:rsidR="00F46BA7" w:rsidRPr="00F46BA7" w:rsidRDefault="00F46BA7" w:rsidP="00F46BA7">
      <w:pPr>
        <w:pStyle w:val="Header"/>
        <w:tabs>
          <w:tab w:val="left" w:pos="270"/>
        </w:tabs>
        <w:ind w:left="720" w:hanging="720"/>
        <w:rPr>
          <w:rFonts w:cs="Times New Roman"/>
        </w:rPr>
      </w:pPr>
      <w:r w:rsidRPr="00F46BA7">
        <w:rPr>
          <w:rFonts w:cs="Times New Roman"/>
        </w:rPr>
        <w:lastRenderedPageBreak/>
        <w:t>McCullough PE, Hart SE, Gianfagna TJ, Chaves FC (2009) Bispyribac-sodium metabolism in annual bluegrass, creeping bentgrass, and perennial ryegrass. Weed Sci 57:470-473</w:t>
      </w:r>
    </w:p>
    <w:p w14:paraId="54EAC1A4" w14:textId="77777777" w:rsidR="00F46BA7" w:rsidRPr="00F46BA7" w:rsidRDefault="00F46BA7" w:rsidP="00F46BA7">
      <w:pPr>
        <w:pStyle w:val="Header"/>
        <w:tabs>
          <w:tab w:val="left" w:pos="270"/>
        </w:tabs>
        <w:ind w:left="720" w:hanging="720"/>
        <w:rPr>
          <w:rFonts w:cs="Times New Roman"/>
        </w:rPr>
      </w:pPr>
      <w:r w:rsidRPr="00F46BA7">
        <w:rPr>
          <w:rFonts w:cs="Times New Roman"/>
        </w:rPr>
        <w:t>McCullough PE, Hart SE, Weisenberger D, and Reicher ZJ (2010) Amicarbazone efficacy on annual bluegrass and safety on cool-season turfgrass. Weed Technol 24:461-470</w:t>
      </w:r>
    </w:p>
    <w:p w14:paraId="4D139C8D" w14:textId="77777777" w:rsidR="00F46BA7" w:rsidRPr="00F46BA7" w:rsidRDefault="00F46BA7" w:rsidP="00F46BA7">
      <w:pPr>
        <w:pStyle w:val="Header"/>
        <w:tabs>
          <w:tab w:val="left" w:pos="270"/>
        </w:tabs>
        <w:ind w:left="720" w:hanging="720"/>
        <w:rPr>
          <w:rFonts w:cs="Times New Roman"/>
        </w:rPr>
      </w:pPr>
      <w:r w:rsidRPr="00F46BA7">
        <w:rPr>
          <w:rFonts w:cs="Times New Roman"/>
        </w:rPr>
        <w:t>McDonald SJ, Dernoeden PH, Kaminski JE (2006) Creeping bentgrass tolerance and annual bluegrass control with bispyribac-sodium tank-mixed with iron and nitrogen. Appl Turf Sci DOI: 10.1094/ATS-2006-0811-01-RS</w:t>
      </w:r>
    </w:p>
    <w:p w14:paraId="04699D40"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McElroy JS, Breeden GK (2006) Triclopyr safens the use of fluazifop and fenoxaprop on zoysiagrass while maintaining bermudagrass suppression. Appl Turf Sci DOI: 10.1094/ATS-2006-0502-01-RS</w:t>
      </w:r>
    </w:p>
    <w:p w14:paraId="62C2536D"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McIntosh MS (1983) Analysis of combined experiments. Agron J 75:153-155</w:t>
      </w:r>
    </w:p>
    <w:p w14:paraId="540758C2"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Neal JC, Bhowmik PC, Senesac AF (1990) Factors influencing fenoxaprop efficacy in cool-season turfgrass. Weed Technol 4:272-278</w:t>
      </w:r>
    </w:p>
    <w:p w14:paraId="38E4F45A"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Park N, Yuko S, Miura Y, Nakatani N, Iori S, Ogasawara M, (2002) Annual bluegrass (</w:t>
      </w:r>
      <w:r w:rsidRPr="000541CA">
        <w:rPr>
          <w:rFonts w:eastAsiaTheme="minorEastAsia" w:cs="Times New Roman"/>
          <w:i/>
        </w:rPr>
        <w:t>Poa annua</w:t>
      </w:r>
      <w:r w:rsidRPr="00F46BA7">
        <w:rPr>
          <w:rFonts w:eastAsiaTheme="minorEastAsia" w:cs="Times New Roman"/>
        </w:rPr>
        <w:t xml:space="preserve"> L.) control in bentgrass (</w:t>
      </w:r>
      <w:r w:rsidRPr="000541CA">
        <w:rPr>
          <w:rFonts w:eastAsiaTheme="minorEastAsia" w:cs="Times New Roman"/>
          <w:i/>
        </w:rPr>
        <w:t>Agrostis palustris</w:t>
      </w:r>
      <w:r w:rsidRPr="00F46BA7">
        <w:rPr>
          <w:rFonts w:eastAsiaTheme="minorEastAsia" w:cs="Times New Roman"/>
        </w:rPr>
        <w:t xml:space="preserve"> Huds.) green wth sequential application of bispyribac-sodium combined with dinitroanilines. Weed Biol Manage 2:159-162</w:t>
      </w:r>
    </w:p>
    <w:p w14:paraId="427EED6C" w14:textId="77777777" w:rsidR="00F46BA7" w:rsidRPr="00F46BA7" w:rsidRDefault="00F46BA7" w:rsidP="00F46BA7">
      <w:pPr>
        <w:pStyle w:val="Header"/>
        <w:tabs>
          <w:tab w:val="left" w:pos="270"/>
        </w:tabs>
        <w:rPr>
          <w:rFonts w:cs="Times New Roman"/>
        </w:rPr>
      </w:pPr>
      <w:proofErr w:type="gramStart"/>
      <w:r w:rsidRPr="00F46BA7">
        <w:rPr>
          <w:rFonts w:cs="Times New Roman"/>
        </w:rPr>
        <w:t>Parker C (1983) Herbicide antidotes – A review.</w:t>
      </w:r>
      <w:proofErr w:type="gramEnd"/>
      <w:r w:rsidRPr="00F46BA7">
        <w:rPr>
          <w:rFonts w:cs="Times New Roman"/>
        </w:rPr>
        <w:t xml:space="preserve"> Pestic Sci 14:40-48</w:t>
      </w:r>
    </w:p>
    <w:p w14:paraId="1A672213" w14:textId="77777777" w:rsidR="00F46BA7" w:rsidRPr="00F46BA7" w:rsidRDefault="00F46BA7" w:rsidP="00F46BA7">
      <w:pPr>
        <w:widowControl w:val="0"/>
        <w:autoSpaceDE w:val="0"/>
        <w:autoSpaceDN w:val="0"/>
        <w:adjustRightInd w:val="0"/>
        <w:ind w:left="720" w:hanging="720"/>
        <w:rPr>
          <w:rFonts w:eastAsiaTheme="minorEastAsia" w:cs="Times New Roman"/>
        </w:rPr>
      </w:pPr>
      <w:r w:rsidRPr="00F46BA7">
        <w:rPr>
          <w:rFonts w:eastAsiaTheme="minorEastAsia" w:cs="Times New Roman"/>
        </w:rPr>
        <w:t>Richardson MD, Karcher DE, Purcell LC (2001) Quantifying turfgrass cover</w:t>
      </w:r>
    </w:p>
    <w:p w14:paraId="01930494" w14:textId="77777777" w:rsidR="00F46BA7" w:rsidRPr="00F46BA7" w:rsidRDefault="00F46BA7" w:rsidP="00F46BA7">
      <w:pPr>
        <w:pStyle w:val="Header"/>
        <w:tabs>
          <w:tab w:val="left" w:pos="270"/>
        </w:tabs>
        <w:ind w:left="720" w:hanging="720"/>
        <w:rPr>
          <w:rFonts w:cs="Times New Roman"/>
        </w:rPr>
      </w:pPr>
      <w:r w:rsidRPr="00F46BA7">
        <w:rPr>
          <w:rFonts w:eastAsiaTheme="minorEastAsia" w:cs="Times New Roman"/>
        </w:rPr>
        <w:tab/>
      </w:r>
      <w:r w:rsidRPr="00F46BA7">
        <w:rPr>
          <w:rFonts w:eastAsiaTheme="minorEastAsia" w:cs="Times New Roman"/>
        </w:rPr>
        <w:tab/>
      </w:r>
      <w:proofErr w:type="gramStart"/>
      <w:r w:rsidRPr="00F46BA7">
        <w:rPr>
          <w:rFonts w:eastAsiaTheme="minorEastAsia" w:cs="Times New Roman"/>
        </w:rPr>
        <w:t>using</w:t>
      </w:r>
      <w:proofErr w:type="gramEnd"/>
      <w:r w:rsidRPr="00F46BA7">
        <w:rPr>
          <w:rFonts w:eastAsiaTheme="minorEastAsia" w:cs="Times New Roman"/>
        </w:rPr>
        <w:t xml:space="preserve"> digital image analysis. Crop Sci 41:1884-1888</w:t>
      </w:r>
    </w:p>
    <w:p w14:paraId="002354CC" w14:textId="77777777" w:rsidR="00F46BA7" w:rsidRPr="00F46BA7" w:rsidRDefault="00F46BA7" w:rsidP="00F46BA7">
      <w:pPr>
        <w:pStyle w:val="Header"/>
        <w:tabs>
          <w:tab w:val="left" w:pos="270"/>
        </w:tabs>
        <w:ind w:left="720" w:hanging="720"/>
        <w:rPr>
          <w:rFonts w:cs="Times New Roman"/>
        </w:rPr>
      </w:pPr>
      <w:r w:rsidRPr="00F46BA7">
        <w:rPr>
          <w:rFonts w:cs="Times New Roman"/>
        </w:rPr>
        <w:t>Reicher ZJ, Hardebeck GA, Yelverton FF, Christians NE, Bingaman B, Turner J (2002) Tolerance to quinclorac by seedling creeping bentgrass. HortScience 37:210-213</w:t>
      </w:r>
    </w:p>
    <w:p w14:paraId="6678BDF8" w14:textId="4C4B6332" w:rsidR="00F46BA7" w:rsidRPr="00F46BA7" w:rsidRDefault="00F46BA7" w:rsidP="00F46BA7">
      <w:pPr>
        <w:pStyle w:val="Header"/>
        <w:tabs>
          <w:tab w:val="left" w:pos="270"/>
        </w:tabs>
        <w:ind w:left="720" w:hanging="720"/>
        <w:rPr>
          <w:rFonts w:eastAsiaTheme="minorEastAsia" w:cs="Times New Roman"/>
        </w:rPr>
      </w:pPr>
      <w:r w:rsidRPr="00F46BA7">
        <w:rPr>
          <w:rFonts w:cs="Times New Roman"/>
        </w:rPr>
        <w:lastRenderedPageBreak/>
        <w:t xml:space="preserve">Romano ML, Stephenson GR, Tal A, Hall JC (1993) The effect of </w:t>
      </w:r>
      <w:r w:rsidR="00904173">
        <w:rPr>
          <w:rFonts w:cs="Times New Roman"/>
        </w:rPr>
        <w:t>monooxygenase</w:t>
      </w:r>
      <w:r w:rsidRPr="00F46BA7">
        <w:rPr>
          <w:rFonts w:cs="Times New Roman"/>
        </w:rPr>
        <w:t xml:space="preserve"> and glutathione-S-transferaae inhibitors on the metabolism of diclofop-methyl and fenoxaprop-ethyl in barley and wheat. </w:t>
      </w:r>
      <w:r w:rsidRPr="00F46BA7">
        <w:rPr>
          <w:rFonts w:eastAsiaTheme="minorEastAsia" w:cs="Times New Roman"/>
        </w:rPr>
        <w:t>Pestic Biochem Physiol 46:181-189</w:t>
      </w:r>
    </w:p>
    <w:p w14:paraId="411CD0B6" w14:textId="77777777" w:rsidR="00F46BA7" w:rsidRPr="00F46BA7" w:rsidRDefault="00F46BA7" w:rsidP="00F46BA7">
      <w:pPr>
        <w:pStyle w:val="Header"/>
        <w:tabs>
          <w:tab w:val="left" w:pos="270"/>
        </w:tabs>
        <w:ind w:left="720" w:hanging="720"/>
        <w:rPr>
          <w:rFonts w:eastAsiaTheme="minorEastAsia" w:cs="Times New Roman"/>
        </w:rPr>
      </w:pPr>
      <w:r w:rsidRPr="00F46BA7">
        <w:rPr>
          <w:rFonts w:cs="Times New Roman"/>
        </w:rPr>
        <w:t>Seefeldt SS, Jensen JE, Fuerst EP (1995) Log-logistic analysis of herbicide dose-response relationships. Weed Technol 9:218-227</w:t>
      </w:r>
    </w:p>
    <w:p w14:paraId="097F9CA1" w14:textId="77777777" w:rsidR="00F46BA7" w:rsidRPr="00F46BA7" w:rsidRDefault="00F46BA7" w:rsidP="00F46BA7">
      <w:pPr>
        <w:pStyle w:val="Header"/>
        <w:tabs>
          <w:tab w:val="left" w:pos="270"/>
        </w:tabs>
        <w:ind w:left="720" w:hanging="720"/>
        <w:rPr>
          <w:rFonts w:eastAsiaTheme="minorEastAsia" w:cs="Times New Roman"/>
        </w:rPr>
      </w:pPr>
      <w:r w:rsidRPr="00F46BA7">
        <w:rPr>
          <w:rFonts w:eastAsiaTheme="minorEastAsia" w:cs="Times New Roman"/>
        </w:rPr>
        <w:t xml:space="preserve">Shim SR, Johnson BJ (1992) Response of creeping bentgrass to spring-applied herbicides. HortScience 27:237-239 </w:t>
      </w:r>
    </w:p>
    <w:p w14:paraId="7FA87D0A" w14:textId="77777777" w:rsidR="00F46BA7" w:rsidRPr="00F46BA7" w:rsidRDefault="00F46BA7" w:rsidP="00F46BA7">
      <w:pPr>
        <w:pStyle w:val="Header"/>
        <w:tabs>
          <w:tab w:val="left" w:pos="270"/>
        </w:tabs>
        <w:ind w:left="720" w:hanging="720"/>
        <w:rPr>
          <w:rFonts w:eastAsiaTheme="minorEastAsia" w:cs="Times New Roman"/>
        </w:rPr>
      </w:pPr>
      <w:proofErr w:type="gramStart"/>
      <w:r w:rsidRPr="00F46BA7">
        <w:rPr>
          <w:rFonts w:eastAsiaTheme="minorEastAsia" w:cs="Times New Roman"/>
        </w:rPr>
        <w:t>Shimizu, T (1997) Action mechanism of pyrimdinyl carboxy herbicides.</w:t>
      </w:r>
      <w:proofErr w:type="gramEnd"/>
      <w:r w:rsidRPr="00F46BA7">
        <w:rPr>
          <w:rFonts w:eastAsiaTheme="minorEastAsia" w:cs="Times New Roman"/>
        </w:rPr>
        <w:t xml:space="preserve"> J Pestic Sci 22:245-256</w:t>
      </w:r>
    </w:p>
    <w:p w14:paraId="7DD1DD71" w14:textId="77777777" w:rsidR="00F46BA7" w:rsidRPr="00F46BA7" w:rsidRDefault="00F46BA7" w:rsidP="00F46BA7">
      <w:pPr>
        <w:pStyle w:val="Header"/>
        <w:tabs>
          <w:tab w:val="left" w:pos="270"/>
        </w:tabs>
        <w:ind w:left="720" w:hanging="720"/>
        <w:rPr>
          <w:rFonts w:eastAsiaTheme="minorEastAsia" w:cs="Times New Roman"/>
        </w:rPr>
      </w:pPr>
      <w:r w:rsidRPr="00F46BA7">
        <w:rPr>
          <w:rFonts w:eastAsiaTheme="minorEastAsia" w:cs="Times New Roman"/>
        </w:rPr>
        <w:t>Smith A, Cox M, Askew SD, Miller K (2013) Topramezone for crabgrass and goosegrass control in cool season turf. Proc South Weed Sci Soc 66:3</w:t>
      </w:r>
    </w:p>
    <w:p w14:paraId="77293F25" w14:textId="77777777" w:rsidR="00F46BA7" w:rsidRPr="00F46BA7" w:rsidRDefault="00F46BA7" w:rsidP="00F46BA7">
      <w:pPr>
        <w:pStyle w:val="Header"/>
        <w:tabs>
          <w:tab w:val="left" w:pos="270"/>
        </w:tabs>
        <w:ind w:left="720" w:hanging="720"/>
        <w:rPr>
          <w:rFonts w:eastAsiaTheme="minorEastAsia" w:cs="Times New Roman"/>
        </w:rPr>
      </w:pPr>
      <w:r w:rsidRPr="00F46BA7">
        <w:rPr>
          <w:rFonts w:eastAsiaTheme="minorEastAsia" w:cs="Times New Roman"/>
        </w:rPr>
        <w:t>Stephenson GR, Tal A, Vincent NA, Hall JC (1993) Interactions of fenoxaprop-ethyl with fenchlorazole-ethyl in annual grasses. Weed Technol 7:163-168</w:t>
      </w:r>
    </w:p>
    <w:p w14:paraId="04685B77" w14:textId="77777777" w:rsidR="00F46BA7" w:rsidRPr="00F46BA7" w:rsidRDefault="00F46BA7" w:rsidP="00F46BA7">
      <w:pPr>
        <w:pStyle w:val="Header"/>
        <w:tabs>
          <w:tab w:val="left" w:pos="270"/>
        </w:tabs>
        <w:ind w:left="720" w:hanging="720"/>
        <w:rPr>
          <w:rFonts w:cs="Times New Roman"/>
        </w:rPr>
      </w:pPr>
      <w:r w:rsidRPr="00F46BA7">
        <w:rPr>
          <w:rFonts w:cs="Times New Roman"/>
        </w:rPr>
        <w:t>Tal JA, Hall JC, Stephenson GR (1995) Non-enzymatic conjugation of fenoxaprop-ethyl with glutathione and cysteine in several grass species. Weed Res 35:133-139</w:t>
      </w:r>
    </w:p>
    <w:p w14:paraId="3289A2CC" w14:textId="77777777" w:rsidR="00F46BA7" w:rsidRPr="00F46BA7" w:rsidRDefault="00F46BA7" w:rsidP="00F46BA7">
      <w:pPr>
        <w:pStyle w:val="Header"/>
        <w:tabs>
          <w:tab w:val="left" w:pos="270"/>
        </w:tabs>
        <w:ind w:left="720" w:hanging="720"/>
        <w:rPr>
          <w:rFonts w:eastAsiaTheme="minorEastAsia" w:cs="Times New Roman"/>
        </w:rPr>
      </w:pPr>
      <w:r w:rsidRPr="00F46BA7">
        <w:rPr>
          <w:rFonts w:eastAsiaTheme="minorEastAsia" w:cs="Times New Roman"/>
        </w:rPr>
        <w:t>Taylor VL, Cummings I, Brazier-Hicks M, Edwards R (2013) Protective responses induced by herbicide safeners in wheat. Environ Exp Bot 88:93-99</w:t>
      </w:r>
    </w:p>
    <w:p w14:paraId="65373949" w14:textId="77777777" w:rsidR="00F46BA7" w:rsidRPr="00F46BA7" w:rsidRDefault="00F46BA7" w:rsidP="00F46BA7">
      <w:pPr>
        <w:pStyle w:val="Header"/>
        <w:tabs>
          <w:tab w:val="left" w:pos="270"/>
        </w:tabs>
        <w:ind w:left="720" w:hanging="720"/>
        <w:rPr>
          <w:rFonts w:eastAsiaTheme="minorEastAsia" w:cs="Times New Roman"/>
        </w:rPr>
      </w:pPr>
      <w:r w:rsidRPr="00F46BA7">
        <w:rPr>
          <w:rFonts w:eastAsiaTheme="minorEastAsia" w:cs="Times New Roman"/>
        </w:rPr>
        <w:t xml:space="preserve">Venner KA, Askew SD, Askew, Cox MC (2014) </w:t>
      </w:r>
      <w:proofErr w:type="gramStart"/>
      <w:r w:rsidRPr="00F46BA7">
        <w:rPr>
          <w:rFonts w:eastAsiaTheme="minorEastAsia" w:cs="Times New Roman"/>
        </w:rPr>
        <w:t>Creeping</w:t>
      </w:r>
      <w:proofErr w:type="gramEnd"/>
      <w:r w:rsidRPr="00F46BA7">
        <w:rPr>
          <w:rFonts w:eastAsiaTheme="minorEastAsia" w:cs="Times New Roman"/>
        </w:rPr>
        <w:t xml:space="preserve"> bentgrass response to topramezone. Proc Northeastern Weed Sci Soc (</w:t>
      </w:r>
      <w:r w:rsidRPr="00F46BA7">
        <w:rPr>
          <w:rFonts w:eastAsiaTheme="minorEastAsia" w:cs="Times New Roman"/>
          <w:i/>
        </w:rPr>
        <w:t>In press</w:t>
      </w:r>
      <w:r w:rsidRPr="00F46BA7">
        <w:rPr>
          <w:rFonts w:eastAsiaTheme="minorEastAsia" w:cs="Times New Roman"/>
        </w:rPr>
        <w:t>)</w:t>
      </w:r>
    </w:p>
    <w:p w14:paraId="129D82CF" w14:textId="77777777" w:rsidR="00F46BA7" w:rsidRPr="00F46BA7" w:rsidRDefault="00F46BA7" w:rsidP="00F46BA7">
      <w:pPr>
        <w:pStyle w:val="Header"/>
        <w:tabs>
          <w:tab w:val="left" w:pos="270"/>
        </w:tabs>
        <w:ind w:left="720" w:hanging="720"/>
        <w:rPr>
          <w:rFonts w:eastAsiaTheme="minorEastAsia" w:cs="Times New Roman"/>
        </w:rPr>
      </w:pPr>
      <w:r w:rsidRPr="00F46BA7">
        <w:rPr>
          <w:rFonts w:eastAsiaTheme="minorEastAsia" w:cs="Times New Roman"/>
        </w:rPr>
        <w:t>Yaacoby T, Hall JC, Stephenson GR (1991) Influence of fenchlorazole-ethyl on the metabolism of fenoxaprop-ethyl in wheat, barley and crabgrass. Pestic Biochem Physiol 41:296-304</w:t>
      </w:r>
    </w:p>
    <w:p w14:paraId="3FAFF825" w14:textId="77777777" w:rsidR="00F46BA7" w:rsidRPr="00F46BA7" w:rsidRDefault="00F46BA7" w:rsidP="00F46BA7">
      <w:pPr>
        <w:pStyle w:val="Header"/>
        <w:tabs>
          <w:tab w:val="left" w:pos="270"/>
        </w:tabs>
        <w:ind w:left="720" w:hanging="720"/>
        <w:rPr>
          <w:rFonts w:eastAsiaTheme="minorEastAsia" w:cs="Times New Roman"/>
        </w:rPr>
      </w:pPr>
      <w:r w:rsidRPr="00F46BA7">
        <w:rPr>
          <w:rFonts w:eastAsiaTheme="minorEastAsia" w:cs="Times New Roman"/>
        </w:rPr>
        <w:t>Yu JL, McCullough PE, Vencill WK (2013) Absorption, translocation, and metabolism of amicarbazone in annual bluegrass (</w:t>
      </w:r>
      <w:r w:rsidRPr="00F46BA7">
        <w:rPr>
          <w:rFonts w:eastAsiaTheme="minorEastAsia" w:cs="Times New Roman"/>
          <w:i/>
        </w:rPr>
        <w:t>Poa annua</w:t>
      </w:r>
      <w:r w:rsidRPr="00F46BA7">
        <w:rPr>
          <w:rFonts w:eastAsiaTheme="minorEastAsia" w:cs="Times New Roman"/>
        </w:rPr>
        <w:t>), creeping bentgrass (</w:t>
      </w:r>
      <w:r w:rsidRPr="00F46BA7">
        <w:rPr>
          <w:rFonts w:eastAsiaTheme="minorEastAsia" w:cs="Times New Roman"/>
          <w:i/>
        </w:rPr>
        <w:t>Agrostis stolonifera</w:t>
      </w:r>
      <w:r w:rsidRPr="00F46BA7">
        <w:rPr>
          <w:rFonts w:eastAsiaTheme="minorEastAsia" w:cs="Times New Roman"/>
        </w:rPr>
        <w:t>) and tall fescue (</w:t>
      </w:r>
      <w:r w:rsidRPr="00F46BA7">
        <w:rPr>
          <w:rFonts w:eastAsiaTheme="minorEastAsia" w:cs="Times New Roman"/>
          <w:i/>
        </w:rPr>
        <w:t>Festuca arundinacea</w:t>
      </w:r>
      <w:r w:rsidRPr="00F46BA7">
        <w:rPr>
          <w:rFonts w:eastAsiaTheme="minorEastAsia" w:cs="Times New Roman"/>
        </w:rPr>
        <w:t>) Weed Sci 61:217-221</w:t>
      </w:r>
    </w:p>
    <w:p w14:paraId="5CCF7F14" w14:textId="77777777" w:rsidR="00F46BA7" w:rsidRDefault="00F46BA7" w:rsidP="00F46BA7">
      <w:pPr>
        <w:pStyle w:val="Header"/>
        <w:tabs>
          <w:tab w:val="left" w:pos="270"/>
        </w:tabs>
        <w:ind w:left="720" w:hanging="720"/>
        <w:rPr>
          <w:rFonts w:eastAsiaTheme="minorEastAsia" w:cs="Times New Roman"/>
        </w:rPr>
      </w:pPr>
      <w:r w:rsidRPr="00F46BA7">
        <w:rPr>
          <w:rFonts w:eastAsiaTheme="minorEastAsia" w:cs="Times New Roman"/>
        </w:rPr>
        <w:lastRenderedPageBreak/>
        <w:t>Zawierucha JE, Penner D (2001) Adjuvant efficacy with quinclorac in canola (</w:t>
      </w:r>
      <w:r w:rsidRPr="00F46BA7">
        <w:rPr>
          <w:rFonts w:eastAsiaTheme="minorEastAsia" w:cs="Times New Roman"/>
          <w:i/>
        </w:rPr>
        <w:t>Brassica napus</w:t>
      </w:r>
      <w:r w:rsidRPr="00F46BA7">
        <w:rPr>
          <w:rFonts w:eastAsiaTheme="minorEastAsia" w:cs="Times New Roman"/>
        </w:rPr>
        <w:t>) and turfgrass. Weed Technol 15:220-223</w:t>
      </w:r>
    </w:p>
    <w:p w14:paraId="1F4B01BA" w14:textId="77777777" w:rsidR="003E1903" w:rsidRDefault="003E1903">
      <w:pPr>
        <w:rPr>
          <w:rFonts w:eastAsiaTheme="minorEastAsia" w:cs="Times New Roman"/>
        </w:rPr>
      </w:pPr>
      <w:r>
        <w:rPr>
          <w:rFonts w:eastAsiaTheme="minorEastAsia" w:cs="Times New Roman"/>
        </w:rPr>
        <w:br w:type="page"/>
      </w:r>
    </w:p>
    <w:p w14:paraId="1B8DFFC9" w14:textId="77777777" w:rsidR="003E1903" w:rsidRDefault="003E1903" w:rsidP="003E1903">
      <w:pPr>
        <w:pStyle w:val="Header"/>
        <w:tabs>
          <w:tab w:val="left" w:pos="270"/>
        </w:tabs>
        <w:ind w:left="720" w:hanging="720"/>
        <w:jc w:val="center"/>
        <w:rPr>
          <w:rFonts w:cs="Times New Roman"/>
        </w:rPr>
      </w:pPr>
    </w:p>
    <w:p w14:paraId="319A72E0" w14:textId="77777777" w:rsidR="003E1903" w:rsidRDefault="003E1903" w:rsidP="003E1903">
      <w:pPr>
        <w:pStyle w:val="Header"/>
        <w:tabs>
          <w:tab w:val="left" w:pos="270"/>
        </w:tabs>
        <w:ind w:left="720" w:hanging="720"/>
        <w:jc w:val="center"/>
        <w:rPr>
          <w:rFonts w:cs="Times New Roman"/>
        </w:rPr>
      </w:pPr>
    </w:p>
    <w:p w14:paraId="0D35BF57" w14:textId="77777777" w:rsidR="003E1903" w:rsidRDefault="003E1903" w:rsidP="003E1903">
      <w:pPr>
        <w:pStyle w:val="Header"/>
        <w:tabs>
          <w:tab w:val="left" w:pos="270"/>
        </w:tabs>
        <w:ind w:left="720" w:hanging="720"/>
        <w:jc w:val="center"/>
        <w:rPr>
          <w:rFonts w:cs="Times New Roman"/>
        </w:rPr>
      </w:pPr>
    </w:p>
    <w:p w14:paraId="61FA166A" w14:textId="77777777" w:rsidR="003E1903" w:rsidRDefault="003E1903" w:rsidP="003E1903">
      <w:pPr>
        <w:pStyle w:val="Header"/>
        <w:tabs>
          <w:tab w:val="left" w:pos="270"/>
        </w:tabs>
        <w:ind w:left="720" w:hanging="720"/>
        <w:jc w:val="center"/>
        <w:rPr>
          <w:rFonts w:cs="Times New Roman"/>
        </w:rPr>
      </w:pPr>
    </w:p>
    <w:p w14:paraId="523AC7FC" w14:textId="77777777" w:rsidR="003E1903" w:rsidRDefault="003E1903" w:rsidP="003E1903">
      <w:pPr>
        <w:pStyle w:val="Header"/>
        <w:tabs>
          <w:tab w:val="left" w:pos="270"/>
        </w:tabs>
        <w:ind w:left="720" w:hanging="720"/>
        <w:jc w:val="center"/>
        <w:rPr>
          <w:rFonts w:cs="Times New Roman"/>
        </w:rPr>
      </w:pPr>
    </w:p>
    <w:p w14:paraId="3416E278" w14:textId="77777777" w:rsidR="003E1903" w:rsidRDefault="003E1903" w:rsidP="00051F58">
      <w:pPr>
        <w:pStyle w:val="Header"/>
        <w:tabs>
          <w:tab w:val="left" w:pos="270"/>
        </w:tabs>
        <w:rPr>
          <w:rFonts w:cs="Times New Roman"/>
        </w:rPr>
      </w:pPr>
    </w:p>
    <w:p w14:paraId="6CFAD9DA" w14:textId="77777777" w:rsidR="003E1903" w:rsidRDefault="003E1903" w:rsidP="003E1903">
      <w:pPr>
        <w:pStyle w:val="Header"/>
        <w:tabs>
          <w:tab w:val="left" w:pos="270"/>
        </w:tabs>
        <w:ind w:left="720" w:hanging="720"/>
        <w:jc w:val="center"/>
        <w:rPr>
          <w:rFonts w:cs="Times New Roman"/>
        </w:rPr>
      </w:pPr>
    </w:p>
    <w:p w14:paraId="6E846C3D" w14:textId="77777777" w:rsidR="003E1903" w:rsidRDefault="003E1903" w:rsidP="003E1903">
      <w:pPr>
        <w:pStyle w:val="Header"/>
        <w:tabs>
          <w:tab w:val="left" w:pos="270"/>
        </w:tabs>
        <w:ind w:left="720" w:hanging="720"/>
        <w:jc w:val="center"/>
        <w:rPr>
          <w:rFonts w:cs="Times New Roman"/>
        </w:rPr>
      </w:pPr>
    </w:p>
    <w:p w14:paraId="69395DAA" w14:textId="77777777" w:rsidR="003E1903" w:rsidRDefault="003E1903" w:rsidP="00DD14E8">
      <w:pPr>
        <w:pStyle w:val="Heading2"/>
      </w:pPr>
      <w:bookmarkStart w:id="48" w:name="_Toc264635675"/>
      <w:bookmarkStart w:id="49" w:name="_Toc264713561"/>
      <w:bookmarkStart w:id="50" w:name="_Toc264713605"/>
      <w:bookmarkStart w:id="51" w:name="_Toc264967186"/>
      <w:r>
        <w:t>APPENDIX</w:t>
      </w:r>
      <w:bookmarkStart w:id="52" w:name="_Toc264635676"/>
      <w:bookmarkStart w:id="53" w:name="_Toc264713562"/>
      <w:bookmarkStart w:id="54" w:name="_Toc264713606"/>
      <w:bookmarkEnd w:id="48"/>
      <w:bookmarkEnd w:id="49"/>
      <w:bookmarkEnd w:id="50"/>
      <w:r w:rsidR="00DD14E8">
        <w:t xml:space="preserve"> </w:t>
      </w:r>
      <w:r w:rsidR="00DD14E8">
        <w:br/>
      </w:r>
      <w:r>
        <w:t>TABLES AND FIGURES</w:t>
      </w:r>
      <w:bookmarkEnd w:id="52"/>
      <w:bookmarkEnd w:id="53"/>
      <w:bookmarkEnd w:id="54"/>
      <w:bookmarkEnd w:id="51"/>
    </w:p>
    <w:p w14:paraId="58CB2630" w14:textId="77777777" w:rsidR="001D2278" w:rsidRDefault="001D2278" w:rsidP="001D2278">
      <w:pPr>
        <w:sectPr w:rsidR="001D2278">
          <w:pgSz w:w="12240" w:h="15840"/>
          <w:pgMar w:top="1440" w:right="1440" w:bottom="1440" w:left="1440" w:header="720" w:footer="720" w:gutter="0"/>
          <w:pgNumType w:start="1"/>
          <w:cols w:space="720"/>
          <w:docGrid w:linePitch="360"/>
        </w:sectPr>
      </w:pPr>
    </w:p>
    <w:p w14:paraId="0484DAB4" w14:textId="77777777" w:rsidR="001D2278" w:rsidRPr="001D2278" w:rsidRDefault="001D2278" w:rsidP="001D2278"/>
    <w:p w14:paraId="77C6E801" w14:textId="77777777" w:rsidR="00F46BA7" w:rsidRPr="00F46BA7" w:rsidRDefault="00F46BA7" w:rsidP="000E693C">
      <w:pPr>
        <w:autoSpaceDE w:val="0"/>
        <w:autoSpaceDN w:val="0"/>
        <w:adjustRightInd w:val="0"/>
        <w:rPr>
          <w:rFonts w:cs="Times New Roman"/>
        </w:rPr>
      </w:pPr>
      <w:r w:rsidRPr="00F46BA7">
        <w:rPr>
          <w:rFonts w:cs="Times New Roman"/>
          <w:b/>
        </w:rPr>
        <w:t xml:space="preserve">Table </w:t>
      </w:r>
      <w:r w:rsidR="00823063">
        <w:rPr>
          <w:rFonts w:cs="Times New Roman"/>
          <w:b/>
        </w:rPr>
        <w:t>1.</w:t>
      </w:r>
      <w:r w:rsidRPr="00F46BA7">
        <w:rPr>
          <w:rFonts w:cs="Times New Roman"/>
          <w:b/>
        </w:rPr>
        <w:t>1.</w:t>
      </w:r>
      <w:r w:rsidRPr="00F46BA7">
        <w:rPr>
          <w:rFonts w:cs="Times New Roman"/>
        </w:rPr>
        <w:t xml:space="preserve"> Herbicides applied in Experiment 1 to ‘Penncross’ creeping bentgrass in a glasshouse in Knoxville, TN in 2012. </w:t>
      </w:r>
      <w:r w:rsidRPr="00F46BA7">
        <w:rPr>
          <w:rFonts w:cs="Times New Roman"/>
          <w:color w:val="000000"/>
        </w:rPr>
        <w:t>Herbicide rates were based on current product labeling and preliminary field research that determined rates expected to cause 15 to 30% injury.</w:t>
      </w:r>
    </w:p>
    <w:tbl>
      <w:tblPr>
        <w:tblW w:w="5341" w:type="pct"/>
        <w:tblInd w:w="468" w:type="dxa"/>
        <w:tblLayout w:type="fixed"/>
        <w:tblLook w:val="04A0" w:firstRow="1" w:lastRow="0" w:firstColumn="1" w:lastColumn="0" w:noHBand="0" w:noVBand="1"/>
      </w:tblPr>
      <w:tblGrid>
        <w:gridCol w:w="2290"/>
        <w:gridCol w:w="1797"/>
        <w:gridCol w:w="1615"/>
        <w:gridCol w:w="868"/>
        <w:gridCol w:w="564"/>
        <w:gridCol w:w="5376"/>
        <w:gridCol w:w="1565"/>
      </w:tblGrid>
      <w:tr w:rsidR="00F46BA7" w:rsidRPr="00F46BA7" w14:paraId="4C8CBEC5" w14:textId="77777777">
        <w:tc>
          <w:tcPr>
            <w:tcW w:w="2290" w:type="dxa"/>
            <w:tcBorders>
              <w:top w:val="nil"/>
              <w:left w:val="nil"/>
              <w:bottom w:val="nil"/>
              <w:right w:val="nil"/>
            </w:tcBorders>
            <w:vAlign w:val="bottom"/>
          </w:tcPr>
          <w:p w14:paraId="24BF6C8B" w14:textId="77777777" w:rsidR="00F46BA7" w:rsidRPr="00F46BA7" w:rsidRDefault="00F46BA7" w:rsidP="00F46BA7">
            <w:pPr>
              <w:jc w:val="center"/>
              <w:rPr>
                <w:rFonts w:cs="Times New Roman"/>
                <w:sz w:val="20"/>
                <w:szCs w:val="20"/>
              </w:rPr>
            </w:pPr>
          </w:p>
        </w:tc>
        <w:tc>
          <w:tcPr>
            <w:tcW w:w="1797" w:type="dxa"/>
            <w:tcBorders>
              <w:top w:val="nil"/>
              <w:left w:val="nil"/>
              <w:bottom w:val="nil"/>
              <w:right w:val="nil"/>
            </w:tcBorders>
          </w:tcPr>
          <w:p w14:paraId="5EB3E5D6" w14:textId="77777777" w:rsidR="00F46BA7" w:rsidRPr="00F46BA7" w:rsidRDefault="00F46BA7" w:rsidP="00F46BA7">
            <w:pPr>
              <w:jc w:val="center"/>
              <w:rPr>
                <w:rFonts w:cs="Times New Roman"/>
                <w:sz w:val="20"/>
                <w:szCs w:val="20"/>
              </w:rPr>
            </w:pPr>
          </w:p>
        </w:tc>
        <w:tc>
          <w:tcPr>
            <w:tcW w:w="1615" w:type="dxa"/>
            <w:tcBorders>
              <w:top w:val="nil"/>
              <w:left w:val="nil"/>
              <w:bottom w:val="nil"/>
              <w:right w:val="nil"/>
            </w:tcBorders>
          </w:tcPr>
          <w:p w14:paraId="36853EAD" w14:textId="77777777" w:rsidR="00F46BA7" w:rsidRPr="00F46BA7" w:rsidRDefault="00F46BA7" w:rsidP="00F46BA7">
            <w:pPr>
              <w:jc w:val="center"/>
              <w:rPr>
                <w:rFonts w:cs="Times New Roman"/>
                <w:sz w:val="20"/>
                <w:szCs w:val="20"/>
              </w:rPr>
            </w:pPr>
          </w:p>
        </w:tc>
        <w:tc>
          <w:tcPr>
            <w:tcW w:w="1432" w:type="dxa"/>
            <w:gridSpan w:val="2"/>
            <w:tcBorders>
              <w:top w:val="nil"/>
              <w:left w:val="nil"/>
              <w:bottom w:val="nil"/>
              <w:right w:val="nil"/>
            </w:tcBorders>
          </w:tcPr>
          <w:p w14:paraId="30C236F5" w14:textId="77777777" w:rsidR="00F46BA7" w:rsidRPr="00F46BA7" w:rsidRDefault="00F46BA7" w:rsidP="00F46BA7">
            <w:pPr>
              <w:jc w:val="center"/>
              <w:rPr>
                <w:rFonts w:cs="Times New Roman"/>
                <w:sz w:val="20"/>
                <w:szCs w:val="20"/>
              </w:rPr>
            </w:pPr>
          </w:p>
        </w:tc>
        <w:tc>
          <w:tcPr>
            <w:tcW w:w="6941" w:type="dxa"/>
            <w:gridSpan w:val="2"/>
            <w:tcBorders>
              <w:top w:val="nil"/>
              <w:left w:val="nil"/>
              <w:bottom w:val="nil"/>
              <w:right w:val="nil"/>
            </w:tcBorders>
            <w:vAlign w:val="bottom"/>
          </w:tcPr>
          <w:p w14:paraId="25C3331E" w14:textId="77777777" w:rsidR="00F46BA7" w:rsidRPr="00F46BA7" w:rsidRDefault="00F46BA7" w:rsidP="00F46BA7">
            <w:pPr>
              <w:jc w:val="center"/>
              <w:rPr>
                <w:rFonts w:cs="Times New Roman"/>
                <w:sz w:val="20"/>
                <w:szCs w:val="20"/>
              </w:rPr>
            </w:pPr>
          </w:p>
        </w:tc>
      </w:tr>
      <w:tr w:rsidR="00F46BA7" w:rsidRPr="00F46BA7" w14:paraId="2961EE82" w14:textId="77777777">
        <w:trPr>
          <w:gridAfter w:val="1"/>
          <w:wAfter w:w="1565" w:type="dxa"/>
        </w:trPr>
        <w:tc>
          <w:tcPr>
            <w:tcW w:w="2290" w:type="dxa"/>
            <w:tcBorders>
              <w:top w:val="single" w:sz="4" w:space="0" w:color="auto"/>
              <w:left w:val="nil"/>
              <w:bottom w:val="single" w:sz="4" w:space="0" w:color="auto"/>
              <w:right w:val="nil"/>
            </w:tcBorders>
            <w:vAlign w:val="bottom"/>
          </w:tcPr>
          <w:p w14:paraId="4E7F603C" w14:textId="77777777" w:rsidR="00F46BA7" w:rsidRPr="00F46BA7" w:rsidRDefault="00F46BA7" w:rsidP="00F46BA7">
            <w:pPr>
              <w:jc w:val="center"/>
              <w:rPr>
                <w:rFonts w:cs="Times New Roman"/>
                <w:sz w:val="20"/>
                <w:szCs w:val="20"/>
              </w:rPr>
            </w:pPr>
            <w:r w:rsidRPr="00F46BA7">
              <w:rPr>
                <w:rFonts w:cs="Times New Roman"/>
                <w:sz w:val="20"/>
                <w:szCs w:val="20"/>
              </w:rPr>
              <w:t>Common Name</w:t>
            </w:r>
          </w:p>
        </w:tc>
        <w:tc>
          <w:tcPr>
            <w:tcW w:w="1797" w:type="dxa"/>
            <w:tcBorders>
              <w:top w:val="single" w:sz="4" w:space="0" w:color="auto"/>
              <w:left w:val="nil"/>
              <w:bottom w:val="single" w:sz="4" w:space="0" w:color="auto"/>
              <w:right w:val="nil"/>
            </w:tcBorders>
            <w:vAlign w:val="bottom"/>
          </w:tcPr>
          <w:p w14:paraId="079BC161" w14:textId="77777777" w:rsidR="00F46BA7" w:rsidRPr="00F46BA7" w:rsidRDefault="00F46BA7" w:rsidP="00F46BA7">
            <w:pPr>
              <w:jc w:val="center"/>
              <w:rPr>
                <w:rFonts w:cs="Times New Roman"/>
                <w:sz w:val="20"/>
                <w:szCs w:val="20"/>
              </w:rPr>
            </w:pPr>
            <w:r w:rsidRPr="00F46BA7">
              <w:rPr>
                <w:rFonts w:cs="Times New Roman"/>
                <w:sz w:val="20"/>
                <w:szCs w:val="20"/>
              </w:rPr>
              <w:t>Trade Name</w:t>
            </w:r>
          </w:p>
        </w:tc>
        <w:tc>
          <w:tcPr>
            <w:tcW w:w="1615" w:type="dxa"/>
            <w:tcBorders>
              <w:top w:val="single" w:sz="4" w:space="0" w:color="auto"/>
              <w:left w:val="nil"/>
              <w:bottom w:val="single" w:sz="4" w:space="0" w:color="auto"/>
              <w:right w:val="nil"/>
            </w:tcBorders>
            <w:vAlign w:val="bottom"/>
          </w:tcPr>
          <w:p w14:paraId="7D566912" w14:textId="77777777" w:rsidR="00F46BA7" w:rsidRPr="00F46BA7" w:rsidRDefault="00F46BA7" w:rsidP="00F46BA7">
            <w:pPr>
              <w:jc w:val="center"/>
              <w:rPr>
                <w:rFonts w:cs="Times New Roman"/>
                <w:sz w:val="20"/>
                <w:szCs w:val="20"/>
              </w:rPr>
            </w:pPr>
            <w:r w:rsidRPr="00F46BA7">
              <w:rPr>
                <w:rFonts w:cs="Times New Roman"/>
                <w:sz w:val="20"/>
                <w:szCs w:val="20"/>
              </w:rPr>
              <w:t>Formulation</w:t>
            </w:r>
          </w:p>
        </w:tc>
        <w:tc>
          <w:tcPr>
            <w:tcW w:w="868" w:type="dxa"/>
            <w:tcBorders>
              <w:top w:val="single" w:sz="4" w:space="0" w:color="auto"/>
              <w:left w:val="nil"/>
              <w:bottom w:val="single" w:sz="4" w:space="0" w:color="auto"/>
              <w:right w:val="nil"/>
            </w:tcBorders>
            <w:vAlign w:val="bottom"/>
          </w:tcPr>
          <w:p w14:paraId="7709D8A3" w14:textId="77777777" w:rsidR="00F46BA7" w:rsidRPr="00F46BA7" w:rsidRDefault="00F46BA7" w:rsidP="00F46BA7">
            <w:pPr>
              <w:jc w:val="center"/>
              <w:rPr>
                <w:rFonts w:cs="Times New Roman"/>
                <w:sz w:val="20"/>
                <w:szCs w:val="20"/>
              </w:rPr>
            </w:pPr>
            <w:r w:rsidRPr="00F46BA7">
              <w:rPr>
                <w:rFonts w:cs="Times New Roman"/>
                <w:sz w:val="20"/>
                <w:szCs w:val="20"/>
              </w:rPr>
              <w:t>Rate</w:t>
            </w:r>
          </w:p>
          <w:p w14:paraId="4FC8E438" w14:textId="77777777" w:rsidR="00F46BA7" w:rsidRPr="00F46BA7" w:rsidRDefault="00F46BA7" w:rsidP="001D2278">
            <w:pPr>
              <w:jc w:val="center"/>
              <w:rPr>
                <w:rFonts w:cs="Times New Roman"/>
                <w:sz w:val="20"/>
                <w:szCs w:val="20"/>
              </w:rPr>
            </w:pPr>
            <w:r w:rsidRPr="00F46BA7">
              <w:rPr>
                <w:rFonts w:cs="Times New Roman"/>
                <w:sz w:val="20"/>
                <w:szCs w:val="20"/>
              </w:rPr>
              <w:t>(</w:t>
            </w:r>
            <w:proofErr w:type="gramStart"/>
            <w:r w:rsidRPr="00F46BA7">
              <w:rPr>
                <w:rFonts w:cs="Times New Roman"/>
                <w:sz w:val="20"/>
                <w:szCs w:val="20"/>
              </w:rPr>
              <w:t>g</w:t>
            </w:r>
            <w:proofErr w:type="gramEnd"/>
            <w:r w:rsidRPr="00F46BA7">
              <w:rPr>
                <w:rFonts w:cs="Times New Roman"/>
                <w:sz w:val="20"/>
                <w:szCs w:val="20"/>
              </w:rPr>
              <w:t xml:space="preserve"> ha</w:t>
            </w:r>
            <w:r w:rsidRPr="00F46BA7">
              <w:rPr>
                <w:rFonts w:cs="Times New Roman"/>
                <w:sz w:val="20"/>
                <w:szCs w:val="20"/>
                <w:vertAlign w:val="superscript"/>
              </w:rPr>
              <w:t>-1</w:t>
            </w:r>
            <w:r w:rsidRPr="00F46BA7">
              <w:rPr>
                <w:rFonts w:cs="Times New Roman"/>
                <w:sz w:val="20"/>
                <w:szCs w:val="20"/>
              </w:rPr>
              <w:t>)</w:t>
            </w:r>
          </w:p>
        </w:tc>
        <w:tc>
          <w:tcPr>
            <w:tcW w:w="5940" w:type="dxa"/>
            <w:gridSpan w:val="2"/>
            <w:tcBorders>
              <w:top w:val="single" w:sz="4" w:space="0" w:color="auto"/>
              <w:left w:val="nil"/>
              <w:bottom w:val="single" w:sz="4" w:space="0" w:color="auto"/>
              <w:right w:val="nil"/>
            </w:tcBorders>
            <w:vAlign w:val="bottom"/>
          </w:tcPr>
          <w:p w14:paraId="68E80DAF" w14:textId="77777777" w:rsidR="00F46BA7" w:rsidRPr="00F46BA7" w:rsidRDefault="00F46BA7" w:rsidP="005152EB">
            <w:pPr>
              <w:ind w:right="893"/>
              <w:jc w:val="center"/>
              <w:rPr>
                <w:rFonts w:cs="Times New Roman"/>
                <w:sz w:val="20"/>
                <w:szCs w:val="20"/>
              </w:rPr>
            </w:pPr>
            <w:r w:rsidRPr="00F46BA7">
              <w:rPr>
                <w:rFonts w:cs="Times New Roman"/>
                <w:sz w:val="20"/>
                <w:szCs w:val="20"/>
              </w:rPr>
              <w:t>Manufacturer</w:t>
            </w:r>
          </w:p>
        </w:tc>
      </w:tr>
      <w:tr w:rsidR="005152EB" w:rsidRPr="00F46BA7" w14:paraId="1969A4E1" w14:textId="77777777">
        <w:trPr>
          <w:gridAfter w:val="1"/>
          <w:wAfter w:w="1565" w:type="dxa"/>
        </w:trPr>
        <w:tc>
          <w:tcPr>
            <w:tcW w:w="2290" w:type="dxa"/>
            <w:tcBorders>
              <w:top w:val="single" w:sz="4" w:space="0" w:color="auto"/>
              <w:left w:val="nil"/>
              <w:bottom w:val="nil"/>
              <w:right w:val="nil"/>
            </w:tcBorders>
            <w:vAlign w:val="bottom"/>
          </w:tcPr>
          <w:p w14:paraId="2D07B556" w14:textId="77777777" w:rsidR="00F46BA7" w:rsidRPr="00F46BA7" w:rsidRDefault="00F46BA7" w:rsidP="00F46BA7">
            <w:pPr>
              <w:jc w:val="center"/>
              <w:rPr>
                <w:rFonts w:cs="Times New Roman"/>
                <w:sz w:val="20"/>
                <w:szCs w:val="20"/>
              </w:rPr>
            </w:pPr>
            <w:r w:rsidRPr="00F46BA7">
              <w:rPr>
                <w:rFonts w:cs="Times New Roman"/>
                <w:sz w:val="20"/>
                <w:szCs w:val="20"/>
              </w:rPr>
              <w:t>Amicarbazone</w:t>
            </w:r>
            <w:r w:rsidRPr="00F46BA7">
              <w:rPr>
                <w:rFonts w:cs="Times New Roman"/>
                <w:sz w:val="20"/>
                <w:szCs w:val="20"/>
                <w:vertAlign w:val="superscript"/>
              </w:rPr>
              <w:t>a</w:t>
            </w:r>
          </w:p>
        </w:tc>
        <w:tc>
          <w:tcPr>
            <w:tcW w:w="1797" w:type="dxa"/>
            <w:tcBorders>
              <w:top w:val="single" w:sz="4" w:space="0" w:color="auto"/>
              <w:left w:val="nil"/>
              <w:bottom w:val="nil"/>
              <w:right w:val="nil"/>
            </w:tcBorders>
          </w:tcPr>
          <w:p w14:paraId="1BC4825B" w14:textId="77777777" w:rsidR="00F46BA7" w:rsidRPr="00F46BA7" w:rsidRDefault="00F46BA7" w:rsidP="00F46BA7">
            <w:pPr>
              <w:jc w:val="center"/>
              <w:rPr>
                <w:rFonts w:cs="Times New Roman"/>
                <w:sz w:val="20"/>
                <w:szCs w:val="20"/>
              </w:rPr>
            </w:pPr>
            <w:r w:rsidRPr="00F46BA7">
              <w:rPr>
                <w:rFonts w:cs="Times New Roman"/>
                <w:sz w:val="20"/>
                <w:szCs w:val="20"/>
              </w:rPr>
              <w:t>Xonerate</w:t>
            </w:r>
          </w:p>
        </w:tc>
        <w:tc>
          <w:tcPr>
            <w:tcW w:w="1615" w:type="dxa"/>
            <w:tcBorders>
              <w:top w:val="single" w:sz="4" w:space="0" w:color="auto"/>
              <w:left w:val="nil"/>
              <w:bottom w:val="nil"/>
              <w:right w:val="nil"/>
            </w:tcBorders>
          </w:tcPr>
          <w:p w14:paraId="5CC995EE" w14:textId="77777777" w:rsidR="00F46BA7" w:rsidRPr="00F46BA7" w:rsidRDefault="00F46BA7" w:rsidP="00F46BA7">
            <w:pPr>
              <w:jc w:val="center"/>
              <w:rPr>
                <w:rFonts w:cs="Times New Roman"/>
                <w:sz w:val="20"/>
                <w:szCs w:val="20"/>
              </w:rPr>
            </w:pPr>
            <w:r w:rsidRPr="00F46BA7">
              <w:rPr>
                <w:rFonts w:cs="Times New Roman"/>
                <w:sz w:val="20"/>
                <w:szCs w:val="20"/>
              </w:rPr>
              <w:t>75 WDG</w:t>
            </w:r>
          </w:p>
        </w:tc>
        <w:tc>
          <w:tcPr>
            <w:tcW w:w="868" w:type="dxa"/>
            <w:tcBorders>
              <w:top w:val="single" w:sz="4" w:space="0" w:color="auto"/>
              <w:left w:val="nil"/>
              <w:bottom w:val="nil"/>
              <w:right w:val="nil"/>
            </w:tcBorders>
          </w:tcPr>
          <w:p w14:paraId="3C89A021" w14:textId="77777777" w:rsidR="00F46BA7" w:rsidRPr="00F46BA7" w:rsidRDefault="00F46BA7" w:rsidP="00F46BA7">
            <w:pPr>
              <w:jc w:val="center"/>
              <w:rPr>
                <w:rFonts w:cs="Times New Roman"/>
                <w:sz w:val="20"/>
                <w:szCs w:val="20"/>
              </w:rPr>
            </w:pPr>
            <w:r w:rsidRPr="00F46BA7">
              <w:rPr>
                <w:rFonts w:cs="Times New Roman"/>
                <w:sz w:val="20"/>
                <w:szCs w:val="20"/>
              </w:rPr>
              <w:t>150</w:t>
            </w:r>
          </w:p>
        </w:tc>
        <w:tc>
          <w:tcPr>
            <w:tcW w:w="5940" w:type="dxa"/>
            <w:gridSpan w:val="2"/>
            <w:tcBorders>
              <w:top w:val="single" w:sz="4" w:space="0" w:color="auto"/>
              <w:left w:val="nil"/>
              <w:bottom w:val="nil"/>
              <w:right w:val="nil"/>
            </w:tcBorders>
            <w:vAlign w:val="bottom"/>
          </w:tcPr>
          <w:p w14:paraId="06D0F592" w14:textId="77777777" w:rsidR="00F46BA7" w:rsidRPr="00F46BA7" w:rsidRDefault="00F46BA7" w:rsidP="005152EB">
            <w:pPr>
              <w:ind w:right="893"/>
              <w:jc w:val="center"/>
              <w:rPr>
                <w:rFonts w:cs="Times New Roman"/>
                <w:sz w:val="20"/>
                <w:szCs w:val="20"/>
              </w:rPr>
            </w:pPr>
            <w:r w:rsidRPr="00F46BA7">
              <w:rPr>
                <w:rFonts w:cs="Times New Roman"/>
                <w:sz w:val="20"/>
                <w:szCs w:val="20"/>
              </w:rPr>
              <w:t>Arysta Lifescience North America LLC; Cary, NC</w:t>
            </w:r>
          </w:p>
        </w:tc>
      </w:tr>
      <w:tr w:rsidR="005152EB" w:rsidRPr="00F46BA7" w14:paraId="5DCFC1E0" w14:textId="77777777">
        <w:trPr>
          <w:gridAfter w:val="1"/>
          <w:wAfter w:w="1565" w:type="dxa"/>
        </w:trPr>
        <w:tc>
          <w:tcPr>
            <w:tcW w:w="2290" w:type="dxa"/>
            <w:tcBorders>
              <w:top w:val="nil"/>
              <w:left w:val="nil"/>
              <w:bottom w:val="nil"/>
              <w:right w:val="nil"/>
            </w:tcBorders>
            <w:vAlign w:val="bottom"/>
          </w:tcPr>
          <w:p w14:paraId="04E7001E" w14:textId="77777777" w:rsidR="00F46BA7" w:rsidRPr="00F46BA7" w:rsidRDefault="00F46BA7" w:rsidP="00F46BA7">
            <w:pPr>
              <w:jc w:val="center"/>
              <w:rPr>
                <w:rFonts w:cs="Times New Roman"/>
                <w:sz w:val="20"/>
                <w:szCs w:val="20"/>
              </w:rPr>
            </w:pPr>
            <w:r w:rsidRPr="00F46BA7">
              <w:rPr>
                <w:rFonts w:cs="Times New Roman"/>
                <w:sz w:val="20"/>
                <w:szCs w:val="20"/>
              </w:rPr>
              <w:t>Bispyribac-sodium</w:t>
            </w:r>
          </w:p>
        </w:tc>
        <w:tc>
          <w:tcPr>
            <w:tcW w:w="1797" w:type="dxa"/>
            <w:tcBorders>
              <w:top w:val="nil"/>
              <w:left w:val="nil"/>
              <w:bottom w:val="nil"/>
              <w:right w:val="nil"/>
            </w:tcBorders>
          </w:tcPr>
          <w:p w14:paraId="2CFC311A" w14:textId="77777777" w:rsidR="00F46BA7" w:rsidRPr="00F46BA7" w:rsidRDefault="00F46BA7" w:rsidP="00F46BA7">
            <w:pPr>
              <w:jc w:val="center"/>
              <w:rPr>
                <w:rFonts w:cs="Times New Roman"/>
                <w:sz w:val="20"/>
                <w:szCs w:val="20"/>
              </w:rPr>
            </w:pPr>
            <w:r w:rsidRPr="00F46BA7">
              <w:rPr>
                <w:rFonts w:cs="Times New Roman"/>
                <w:sz w:val="20"/>
                <w:szCs w:val="20"/>
              </w:rPr>
              <w:t>Velocity</w:t>
            </w:r>
          </w:p>
        </w:tc>
        <w:tc>
          <w:tcPr>
            <w:tcW w:w="1615" w:type="dxa"/>
            <w:tcBorders>
              <w:top w:val="nil"/>
              <w:left w:val="nil"/>
              <w:bottom w:val="nil"/>
              <w:right w:val="nil"/>
            </w:tcBorders>
          </w:tcPr>
          <w:p w14:paraId="61F480BE" w14:textId="77777777" w:rsidR="00F46BA7" w:rsidRPr="00F46BA7" w:rsidRDefault="00F46BA7" w:rsidP="00F46BA7">
            <w:pPr>
              <w:jc w:val="center"/>
              <w:rPr>
                <w:rFonts w:cs="Times New Roman"/>
                <w:sz w:val="20"/>
                <w:szCs w:val="20"/>
              </w:rPr>
            </w:pPr>
            <w:r w:rsidRPr="00F46BA7">
              <w:rPr>
                <w:rFonts w:cs="Times New Roman"/>
                <w:sz w:val="20"/>
                <w:szCs w:val="20"/>
              </w:rPr>
              <w:t>17.6 SG</w:t>
            </w:r>
          </w:p>
        </w:tc>
        <w:tc>
          <w:tcPr>
            <w:tcW w:w="868" w:type="dxa"/>
            <w:tcBorders>
              <w:top w:val="nil"/>
              <w:left w:val="nil"/>
              <w:bottom w:val="nil"/>
              <w:right w:val="nil"/>
            </w:tcBorders>
          </w:tcPr>
          <w:p w14:paraId="7BFBF21B" w14:textId="77777777" w:rsidR="00F46BA7" w:rsidRPr="00F46BA7" w:rsidRDefault="00F46BA7" w:rsidP="00F46BA7">
            <w:pPr>
              <w:jc w:val="center"/>
              <w:rPr>
                <w:rFonts w:cs="Times New Roman"/>
                <w:sz w:val="20"/>
                <w:szCs w:val="20"/>
              </w:rPr>
            </w:pPr>
            <w:r w:rsidRPr="00F46BA7">
              <w:rPr>
                <w:rFonts w:cs="Times New Roman"/>
                <w:sz w:val="20"/>
                <w:szCs w:val="20"/>
              </w:rPr>
              <w:t>110</w:t>
            </w:r>
          </w:p>
        </w:tc>
        <w:tc>
          <w:tcPr>
            <w:tcW w:w="5940" w:type="dxa"/>
            <w:gridSpan w:val="2"/>
            <w:tcBorders>
              <w:top w:val="nil"/>
              <w:left w:val="nil"/>
              <w:bottom w:val="nil"/>
              <w:right w:val="nil"/>
            </w:tcBorders>
            <w:vAlign w:val="bottom"/>
          </w:tcPr>
          <w:p w14:paraId="0B83E408" w14:textId="77777777" w:rsidR="00F46BA7" w:rsidRPr="00F46BA7" w:rsidRDefault="00F46BA7" w:rsidP="005152EB">
            <w:pPr>
              <w:ind w:right="893"/>
              <w:jc w:val="center"/>
              <w:rPr>
                <w:rFonts w:cs="Times New Roman"/>
                <w:sz w:val="20"/>
                <w:szCs w:val="20"/>
              </w:rPr>
            </w:pPr>
            <w:r w:rsidRPr="00F46BA7">
              <w:rPr>
                <w:rFonts w:cs="Times New Roman"/>
                <w:sz w:val="20"/>
                <w:szCs w:val="20"/>
              </w:rPr>
              <w:t>Valent Professional Products; Walnut Creek, CA</w:t>
            </w:r>
          </w:p>
        </w:tc>
      </w:tr>
      <w:tr w:rsidR="005152EB" w:rsidRPr="00F46BA7" w14:paraId="1D93CB22" w14:textId="77777777">
        <w:trPr>
          <w:gridAfter w:val="1"/>
          <w:wAfter w:w="1565" w:type="dxa"/>
        </w:trPr>
        <w:tc>
          <w:tcPr>
            <w:tcW w:w="2290" w:type="dxa"/>
            <w:tcBorders>
              <w:top w:val="nil"/>
              <w:left w:val="nil"/>
              <w:bottom w:val="nil"/>
              <w:right w:val="nil"/>
            </w:tcBorders>
            <w:vAlign w:val="bottom"/>
          </w:tcPr>
          <w:p w14:paraId="064D8658" w14:textId="77777777" w:rsidR="00F46BA7" w:rsidRPr="00F46BA7" w:rsidRDefault="00F46BA7" w:rsidP="00F46BA7">
            <w:pPr>
              <w:jc w:val="center"/>
              <w:rPr>
                <w:rFonts w:cs="Times New Roman"/>
                <w:sz w:val="20"/>
                <w:szCs w:val="20"/>
              </w:rPr>
            </w:pPr>
            <w:r w:rsidRPr="00F46BA7">
              <w:rPr>
                <w:rFonts w:cs="Times New Roman"/>
                <w:sz w:val="20"/>
                <w:szCs w:val="20"/>
              </w:rPr>
              <w:t>Fenoxaprop-ethyl</w:t>
            </w:r>
          </w:p>
        </w:tc>
        <w:tc>
          <w:tcPr>
            <w:tcW w:w="1797" w:type="dxa"/>
            <w:tcBorders>
              <w:top w:val="nil"/>
              <w:left w:val="nil"/>
              <w:bottom w:val="nil"/>
              <w:right w:val="nil"/>
            </w:tcBorders>
          </w:tcPr>
          <w:p w14:paraId="67279AE2" w14:textId="77777777" w:rsidR="00F46BA7" w:rsidRPr="00F46BA7" w:rsidRDefault="00F46BA7" w:rsidP="00F46BA7">
            <w:pPr>
              <w:jc w:val="center"/>
              <w:rPr>
                <w:rFonts w:cs="Times New Roman"/>
                <w:sz w:val="20"/>
                <w:szCs w:val="20"/>
              </w:rPr>
            </w:pPr>
            <w:r w:rsidRPr="00F46BA7">
              <w:rPr>
                <w:rFonts w:cs="Times New Roman"/>
                <w:sz w:val="20"/>
                <w:szCs w:val="20"/>
              </w:rPr>
              <w:t>Acclaim Extra</w:t>
            </w:r>
          </w:p>
        </w:tc>
        <w:tc>
          <w:tcPr>
            <w:tcW w:w="1615" w:type="dxa"/>
            <w:tcBorders>
              <w:top w:val="nil"/>
              <w:left w:val="nil"/>
              <w:bottom w:val="nil"/>
              <w:right w:val="nil"/>
            </w:tcBorders>
          </w:tcPr>
          <w:p w14:paraId="756DC3CA" w14:textId="77777777" w:rsidR="00F46BA7" w:rsidRPr="00F46BA7" w:rsidRDefault="00F46BA7" w:rsidP="00F46BA7">
            <w:pPr>
              <w:jc w:val="center"/>
              <w:rPr>
                <w:rFonts w:cs="Times New Roman"/>
                <w:sz w:val="20"/>
                <w:szCs w:val="20"/>
              </w:rPr>
            </w:pPr>
            <w:r w:rsidRPr="00F46BA7">
              <w:rPr>
                <w:rFonts w:cs="Times New Roman"/>
                <w:sz w:val="20"/>
                <w:szCs w:val="20"/>
              </w:rPr>
              <w:t>0.57 EC</w:t>
            </w:r>
          </w:p>
        </w:tc>
        <w:tc>
          <w:tcPr>
            <w:tcW w:w="868" w:type="dxa"/>
            <w:tcBorders>
              <w:top w:val="nil"/>
              <w:left w:val="nil"/>
              <w:bottom w:val="nil"/>
              <w:right w:val="nil"/>
            </w:tcBorders>
          </w:tcPr>
          <w:p w14:paraId="0EFD079C" w14:textId="77777777" w:rsidR="00F46BA7" w:rsidRPr="00F46BA7" w:rsidRDefault="00F46BA7" w:rsidP="00F46BA7">
            <w:pPr>
              <w:jc w:val="center"/>
              <w:rPr>
                <w:rFonts w:cs="Times New Roman"/>
                <w:sz w:val="20"/>
                <w:szCs w:val="20"/>
              </w:rPr>
            </w:pPr>
            <w:r w:rsidRPr="00F46BA7">
              <w:rPr>
                <w:rFonts w:cs="Times New Roman"/>
                <w:sz w:val="20"/>
                <w:szCs w:val="20"/>
              </w:rPr>
              <w:t>35</w:t>
            </w:r>
          </w:p>
        </w:tc>
        <w:tc>
          <w:tcPr>
            <w:tcW w:w="5940" w:type="dxa"/>
            <w:gridSpan w:val="2"/>
            <w:tcBorders>
              <w:top w:val="nil"/>
              <w:left w:val="nil"/>
              <w:bottom w:val="nil"/>
              <w:right w:val="nil"/>
            </w:tcBorders>
            <w:vAlign w:val="bottom"/>
          </w:tcPr>
          <w:p w14:paraId="1C199C74" w14:textId="77777777" w:rsidR="00F46BA7" w:rsidRPr="00F46BA7" w:rsidRDefault="00F46BA7" w:rsidP="005152EB">
            <w:pPr>
              <w:ind w:right="893"/>
              <w:jc w:val="center"/>
              <w:rPr>
                <w:rFonts w:cs="Times New Roman"/>
                <w:sz w:val="20"/>
                <w:szCs w:val="20"/>
              </w:rPr>
            </w:pPr>
            <w:r w:rsidRPr="00F46BA7">
              <w:rPr>
                <w:rFonts w:cs="Times New Roman"/>
                <w:sz w:val="20"/>
                <w:szCs w:val="20"/>
              </w:rPr>
              <w:t>Bayer Environmental Science; Research Triangle Park, NC</w:t>
            </w:r>
          </w:p>
        </w:tc>
      </w:tr>
      <w:tr w:rsidR="005152EB" w:rsidRPr="00F46BA7" w14:paraId="2AF86409" w14:textId="77777777">
        <w:trPr>
          <w:gridAfter w:val="1"/>
          <w:wAfter w:w="1565" w:type="dxa"/>
        </w:trPr>
        <w:tc>
          <w:tcPr>
            <w:tcW w:w="2290" w:type="dxa"/>
            <w:tcBorders>
              <w:top w:val="nil"/>
              <w:left w:val="nil"/>
              <w:bottom w:val="nil"/>
              <w:right w:val="nil"/>
            </w:tcBorders>
            <w:vAlign w:val="bottom"/>
          </w:tcPr>
          <w:p w14:paraId="49E4ABA5" w14:textId="77777777" w:rsidR="00F46BA7" w:rsidRPr="00F46BA7" w:rsidRDefault="00F46BA7" w:rsidP="00F46BA7">
            <w:pPr>
              <w:jc w:val="center"/>
              <w:rPr>
                <w:rFonts w:cs="Times New Roman"/>
                <w:sz w:val="20"/>
                <w:szCs w:val="20"/>
              </w:rPr>
            </w:pPr>
            <w:r w:rsidRPr="00F46BA7">
              <w:rPr>
                <w:rFonts w:cs="Times New Roman"/>
                <w:sz w:val="20"/>
                <w:szCs w:val="20"/>
              </w:rPr>
              <w:t>Imazapic</w:t>
            </w:r>
          </w:p>
        </w:tc>
        <w:tc>
          <w:tcPr>
            <w:tcW w:w="1797" w:type="dxa"/>
            <w:tcBorders>
              <w:top w:val="nil"/>
              <w:left w:val="nil"/>
              <w:bottom w:val="nil"/>
              <w:right w:val="nil"/>
            </w:tcBorders>
          </w:tcPr>
          <w:p w14:paraId="6499C00A" w14:textId="77777777" w:rsidR="00F46BA7" w:rsidRPr="00F46BA7" w:rsidRDefault="00F46BA7" w:rsidP="00F46BA7">
            <w:pPr>
              <w:jc w:val="center"/>
              <w:rPr>
                <w:rFonts w:cs="Times New Roman"/>
                <w:sz w:val="20"/>
                <w:szCs w:val="20"/>
              </w:rPr>
            </w:pPr>
            <w:r w:rsidRPr="00F46BA7">
              <w:rPr>
                <w:rFonts w:cs="Times New Roman"/>
                <w:sz w:val="20"/>
                <w:szCs w:val="20"/>
              </w:rPr>
              <w:t>Plateau</w:t>
            </w:r>
          </w:p>
        </w:tc>
        <w:tc>
          <w:tcPr>
            <w:tcW w:w="1615" w:type="dxa"/>
            <w:tcBorders>
              <w:top w:val="nil"/>
              <w:left w:val="nil"/>
              <w:bottom w:val="nil"/>
              <w:right w:val="nil"/>
            </w:tcBorders>
          </w:tcPr>
          <w:p w14:paraId="79693D6F" w14:textId="77777777" w:rsidR="00F46BA7" w:rsidRPr="00F46BA7" w:rsidRDefault="00F46BA7" w:rsidP="00F46BA7">
            <w:pPr>
              <w:jc w:val="center"/>
              <w:rPr>
                <w:rFonts w:cs="Times New Roman"/>
                <w:sz w:val="20"/>
                <w:szCs w:val="20"/>
              </w:rPr>
            </w:pPr>
            <w:r w:rsidRPr="00F46BA7">
              <w:rPr>
                <w:rFonts w:cs="Times New Roman"/>
                <w:sz w:val="20"/>
                <w:szCs w:val="20"/>
              </w:rPr>
              <w:t>2 SL</w:t>
            </w:r>
          </w:p>
        </w:tc>
        <w:tc>
          <w:tcPr>
            <w:tcW w:w="868" w:type="dxa"/>
            <w:tcBorders>
              <w:top w:val="nil"/>
              <w:left w:val="nil"/>
              <w:bottom w:val="nil"/>
              <w:right w:val="nil"/>
            </w:tcBorders>
          </w:tcPr>
          <w:p w14:paraId="5566CA8D" w14:textId="77777777" w:rsidR="00F46BA7" w:rsidRPr="00F46BA7" w:rsidRDefault="00F46BA7" w:rsidP="00F46BA7">
            <w:pPr>
              <w:jc w:val="center"/>
              <w:rPr>
                <w:rFonts w:cs="Times New Roman"/>
                <w:sz w:val="20"/>
                <w:szCs w:val="20"/>
              </w:rPr>
            </w:pPr>
            <w:r w:rsidRPr="00F46BA7">
              <w:rPr>
                <w:rFonts w:cs="Times New Roman"/>
                <w:sz w:val="20"/>
                <w:szCs w:val="20"/>
              </w:rPr>
              <w:t>45</w:t>
            </w:r>
          </w:p>
        </w:tc>
        <w:tc>
          <w:tcPr>
            <w:tcW w:w="5940" w:type="dxa"/>
            <w:gridSpan w:val="2"/>
            <w:tcBorders>
              <w:top w:val="nil"/>
              <w:left w:val="nil"/>
              <w:bottom w:val="nil"/>
              <w:right w:val="nil"/>
            </w:tcBorders>
            <w:vAlign w:val="bottom"/>
          </w:tcPr>
          <w:p w14:paraId="63756D8B" w14:textId="77777777" w:rsidR="00F46BA7" w:rsidRPr="00F46BA7" w:rsidRDefault="00F46BA7" w:rsidP="005152EB">
            <w:pPr>
              <w:ind w:right="893"/>
              <w:jc w:val="center"/>
              <w:rPr>
                <w:rFonts w:cs="Times New Roman"/>
                <w:sz w:val="20"/>
                <w:szCs w:val="20"/>
              </w:rPr>
            </w:pPr>
            <w:r w:rsidRPr="00F46BA7">
              <w:rPr>
                <w:rFonts w:cs="Times New Roman"/>
                <w:sz w:val="20"/>
                <w:szCs w:val="20"/>
              </w:rPr>
              <w:t>BASF Corporation; Research Triangle Park, NC</w:t>
            </w:r>
          </w:p>
        </w:tc>
      </w:tr>
      <w:tr w:rsidR="005152EB" w:rsidRPr="00F46BA7" w14:paraId="53C15ACD" w14:textId="77777777">
        <w:trPr>
          <w:gridAfter w:val="1"/>
          <w:wAfter w:w="1565" w:type="dxa"/>
        </w:trPr>
        <w:tc>
          <w:tcPr>
            <w:tcW w:w="2290" w:type="dxa"/>
            <w:tcBorders>
              <w:top w:val="nil"/>
              <w:left w:val="nil"/>
              <w:bottom w:val="nil"/>
              <w:right w:val="nil"/>
            </w:tcBorders>
            <w:vAlign w:val="bottom"/>
          </w:tcPr>
          <w:p w14:paraId="16226E63" w14:textId="77777777" w:rsidR="00F46BA7" w:rsidRPr="00F46BA7" w:rsidRDefault="00F46BA7" w:rsidP="00F46BA7">
            <w:pPr>
              <w:jc w:val="center"/>
              <w:rPr>
                <w:rFonts w:cs="Times New Roman"/>
                <w:sz w:val="20"/>
                <w:szCs w:val="20"/>
              </w:rPr>
            </w:pPr>
            <w:r w:rsidRPr="00F46BA7">
              <w:rPr>
                <w:rFonts w:cs="Times New Roman"/>
                <w:sz w:val="20"/>
                <w:szCs w:val="20"/>
              </w:rPr>
              <w:t>Quinclorac</w:t>
            </w:r>
          </w:p>
        </w:tc>
        <w:tc>
          <w:tcPr>
            <w:tcW w:w="1797" w:type="dxa"/>
            <w:tcBorders>
              <w:top w:val="nil"/>
              <w:left w:val="nil"/>
              <w:bottom w:val="nil"/>
              <w:right w:val="nil"/>
            </w:tcBorders>
          </w:tcPr>
          <w:p w14:paraId="41F17985" w14:textId="77777777" w:rsidR="00F46BA7" w:rsidRPr="00F46BA7" w:rsidRDefault="00F46BA7" w:rsidP="00F46BA7">
            <w:pPr>
              <w:jc w:val="center"/>
              <w:rPr>
                <w:rFonts w:cs="Times New Roman"/>
                <w:sz w:val="20"/>
                <w:szCs w:val="20"/>
              </w:rPr>
            </w:pPr>
            <w:r w:rsidRPr="00F46BA7">
              <w:rPr>
                <w:rFonts w:cs="Times New Roman"/>
                <w:sz w:val="20"/>
                <w:szCs w:val="20"/>
              </w:rPr>
              <w:t>Drive XLR8</w:t>
            </w:r>
          </w:p>
        </w:tc>
        <w:tc>
          <w:tcPr>
            <w:tcW w:w="1615" w:type="dxa"/>
            <w:tcBorders>
              <w:top w:val="nil"/>
              <w:left w:val="nil"/>
              <w:bottom w:val="nil"/>
              <w:right w:val="nil"/>
            </w:tcBorders>
          </w:tcPr>
          <w:p w14:paraId="67CFCDF0" w14:textId="77777777" w:rsidR="00F46BA7" w:rsidRPr="00F46BA7" w:rsidRDefault="00F46BA7" w:rsidP="00F46BA7">
            <w:pPr>
              <w:jc w:val="center"/>
              <w:rPr>
                <w:rFonts w:cs="Times New Roman"/>
                <w:sz w:val="20"/>
                <w:szCs w:val="20"/>
              </w:rPr>
            </w:pPr>
            <w:r w:rsidRPr="00F46BA7">
              <w:rPr>
                <w:rFonts w:cs="Times New Roman"/>
                <w:sz w:val="20"/>
                <w:szCs w:val="20"/>
              </w:rPr>
              <w:t>1.5 SL</w:t>
            </w:r>
          </w:p>
        </w:tc>
        <w:tc>
          <w:tcPr>
            <w:tcW w:w="868" w:type="dxa"/>
            <w:tcBorders>
              <w:top w:val="nil"/>
              <w:left w:val="nil"/>
              <w:bottom w:val="nil"/>
              <w:right w:val="nil"/>
            </w:tcBorders>
          </w:tcPr>
          <w:p w14:paraId="2A1C5C3C" w14:textId="77777777" w:rsidR="00F46BA7" w:rsidRPr="00F46BA7" w:rsidRDefault="00F46BA7" w:rsidP="00F46BA7">
            <w:pPr>
              <w:jc w:val="center"/>
              <w:rPr>
                <w:rFonts w:cs="Times New Roman"/>
                <w:sz w:val="20"/>
                <w:szCs w:val="20"/>
              </w:rPr>
            </w:pPr>
            <w:r w:rsidRPr="00F46BA7">
              <w:rPr>
                <w:rFonts w:cs="Times New Roman"/>
                <w:sz w:val="20"/>
                <w:szCs w:val="20"/>
              </w:rPr>
              <w:t>1050</w:t>
            </w:r>
          </w:p>
        </w:tc>
        <w:tc>
          <w:tcPr>
            <w:tcW w:w="5940" w:type="dxa"/>
            <w:gridSpan w:val="2"/>
            <w:tcBorders>
              <w:top w:val="nil"/>
              <w:left w:val="nil"/>
              <w:bottom w:val="nil"/>
              <w:right w:val="nil"/>
            </w:tcBorders>
            <w:vAlign w:val="bottom"/>
          </w:tcPr>
          <w:p w14:paraId="1D0B40CB" w14:textId="77777777" w:rsidR="00F46BA7" w:rsidRPr="00F46BA7" w:rsidRDefault="00F46BA7" w:rsidP="005152EB">
            <w:pPr>
              <w:ind w:right="893"/>
              <w:jc w:val="center"/>
              <w:rPr>
                <w:rFonts w:cs="Times New Roman"/>
                <w:sz w:val="20"/>
                <w:szCs w:val="20"/>
              </w:rPr>
            </w:pPr>
            <w:r w:rsidRPr="00F46BA7">
              <w:rPr>
                <w:rFonts w:cs="Times New Roman"/>
                <w:sz w:val="20"/>
                <w:szCs w:val="20"/>
              </w:rPr>
              <w:t>BASF Corporation; Research Triangle Park, NC</w:t>
            </w:r>
          </w:p>
        </w:tc>
      </w:tr>
      <w:tr w:rsidR="00F46BA7" w:rsidRPr="00F46BA7" w14:paraId="7DE85BB2" w14:textId="77777777">
        <w:trPr>
          <w:gridAfter w:val="1"/>
          <w:wAfter w:w="1565" w:type="dxa"/>
        </w:trPr>
        <w:tc>
          <w:tcPr>
            <w:tcW w:w="2290" w:type="dxa"/>
            <w:tcBorders>
              <w:top w:val="nil"/>
              <w:left w:val="nil"/>
              <w:bottom w:val="single" w:sz="4" w:space="0" w:color="auto"/>
              <w:right w:val="nil"/>
            </w:tcBorders>
            <w:vAlign w:val="bottom"/>
          </w:tcPr>
          <w:p w14:paraId="3BC54702" w14:textId="77777777" w:rsidR="00F46BA7" w:rsidRPr="00F46BA7" w:rsidRDefault="00F46BA7" w:rsidP="00F46BA7">
            <w:pPr>
              <w:jc w:val="center"/>
              <w:rPr>
                <w:rFonts w:cs="Times New Roman"/>
                <w:sz w:val="20"/>
                <w:szCs w:val="20"/>
              </w:rPr>
            </w:pPr>
            <w:r w:rsidRPr="00F46BA7">
              <w:rPr>
                <w:rFonts w:cs="Times New Roman"/>
                <w:sz w:val="20"/>
                <w:szCs w:val="20"/>
              </w:rPr>
              <w:t>Topramezone</w:t>
            </w:r>
          </w:p>
        </w:tc>
        <w:tc>
          <w:tcPr>
            <w:tcW w:w="1797" w:type="dxa"/>
            <w:tcBorders>
              <w:top w:val="nil"/>
              <w:left w:val="nil"/>
              <w:bottom w:val="single" w:sz="4" w:space="0" w:color="auto"/>
              <w:right w:val="nil"/>
            </w:tcBorders>
          </w:tcPr>
          <w:p w14:paraId="1A41FE15" w14:textId="77777777" w:rsidR="00F46BA7" w:rsidRPr="00F46BA7" w:rsidRDefault="00F46BA7" w:rsidP="00F46BA7">
            <w:pPr>
              <w:jc w:val="center"/>
              <w:rPr>
                <w:rFonts w:cs="Times New Roman"/>
                <w:sz w:val="20"/>
                <w:szCs w:val="20"/>
              </w:rPr>
            </w:pPr>
            <w:r w:rsidRPr="00F46BA7">
              <w:rPr>
                <w:rFonts w:cs="Times New Roman"/>
                <w:sz w:val="20"/>
                <w:szCs w:val="20"/>
              </w:rPr>
              <w:t>Pylex</w:t>
            </w:r>
          </w:p>
        </w:tc>
        <w:tc>
          <w:tcPr>
            <w:tcW w:w="1615" w:type="dxa"/>
            <w:tcBorders>
              <w:top w:val="nil"/>
              <w:left w:val="nil"/>
              <w:bottom w:val="single" w:sz="4" w:space="0" w:color="auto"/>
              <w:right w:val="nil"/>
            </w:tcBorders>
          </w:tcPr>
          <w:p w14:paraId="70BD23BF" w14:textId="77777777" w:rsidR="00F46BA7" w:rsidRPr="00F46BA7" w:rsidRDefault="00F46BA7" w:rsidP="00F46BA7">
            <w:pPr>
              <w:jc w:val="center"/>
              <w:rPr>
                <w:rFonts w:cs="Times New Roman"/>
                <w:sz w:val="20"/>
                <w:szCs w:val="20"/>
              </w:rPr>
            </w:pPr>
            <w:r w:rsidRPr="00F46BA7">
              <w:rPr>
                <w:rFonts w:cs="Times New Roman"/>
                <w:sz w:val="20"/>
                <w:szCs w:val="20"/>
              </w:rPr>
              <w:t>2.8 SC</w:t>
            </w:r>
          </w:p>
        </w:tc>
        <w:tc>
          <w:tcPr>
            <w:tcW w:w="868" w:type="dxa"/>
            <w:tcBorders>
              <w:top w:val="nil"/>
              <w:left w:val="nil"/>
              <w:bottom w:val="single" w:sz="4" w:space="0" w:color="auto"/>
              <w:right w:val="nil"/>
            </w:tcBorders>
          </w:tcPr>
          <w:p w14:paraId="23115877" w14:textId="77777777" w:rsidR="00F46BA7" w:rsidRPr="00F46BA7" w:rsidRDefault="00F46BA7" w:rsidP="00F46BA7">
            <w:pPr>
              <w:jc w:val="center"/>
              <w:rPr>
                <w:rFonts w:cs="Times New Roman"/>
                <w:sz w:val="20"/>
                <w:szCs w:val="20"/>
              </w:rPr>
            </w:pPr>
            <w:r w:rsidRPr="00F46BA7">
              <w:rPr>
                <w:rFonts w:cs="Times New Roman"/>
                <w:sz w:val="20"/>
                <w:szCs w:val="20"/>
              </w:rPr>
              <w:t>37</w:t>
            </w:r>
          </w:p>
        </w:tc>
        <w:tc>
          <w:tcPr>
            <w:tcW w:w="5940" w:type="dxa"/>
            <w:gridSpan w:val="2"/>
            <w:tcBorders>
              <w:top w:val="nil"/>
              <w:left w:val="nil"/>
              <w:bottom w:val="single" w:sz="4" w:space="0" w:color="auto"/>
              <w:right w:val="nil"/>
            </w:tcBorders>
            <w:vAlign w:val="bottom"/>
          </w:tcPr>
          <w:p w14:paraId="6B7B8D4B" w14:textId="77777777" w:rsidR="00F46BA7" w:rsidRPr="00F46BA7" w:rsidRDefault="00F46BA7" w:rsidP="005152EB">
            <w:pPr>
              <w:ind w:right="893"/>
              <w:jc w:val="center"/>
              <w:rPr>
                <w:rFonts w:cs="Times New Roman"/>
                <w:sz w:val="20"/>
                <w:szCs w:val="20"/>
              </w:rPr>
            </w:pPr>
            <w:r w:rsidRPr="00F46BA7">
              <w:rPr>
                <w:rFonts w:cs="Times New Roman"/>
                <w:sz w:val="20"/>
                <w:szCs w:val="20"/>
              </w:rPr>
              <w:t>BASF Corporation; Research Triangle Park, NC</w:t>
            </w:r>
          </w:p>
        </w:tc>
      </w:tr>
    </w:tbl>
    <w:p w14:paraId="5612B9C4" w14:textId="77777777" w:rsidR="001D2278" w:rsidRDefault="00F46BA7" w:rsidP="001D2278">
      <w:pPr>
        <w:ind w:left="720" w:hanging="720"/>
        <w:rPr>
          <w:rFonts w:cs="Times New Roman"/>
          <w:sz w:val="20"/>
          <w:szCs w:val="20"/>
        </w:rPr>
        <w:sectPr w:rsidR="001D2278">
          <w:pgSz w:w="15840" w:h="12240" w:orient="landscape"/>
          <w:pgMar w:top="1440" w:right="1440" w:bottom="1440" w:left="1440" w:header="720" w:footer="720" w:gutter="0"/>
          <w:cols w:space="720"/>
          <w:docGrid w:linePitch="360"/>
        </w:sectPr>
      </w:pPr>
      <w:proofErr w:type="gramStart"/>
      <w:r w:rsidRPr="00F46BA7">
        <w:rPr>
          <w:rFonts w:cs="Times New Roman"/>
          <w:sz w:val="20"/>
          <w:szCs w:val="20"/>
          <w:vertAlign w:val="superscript"/>
        </w:rPr>
        <w:t>a</w:t>
      </w:r>
      <w:r w:rsidRPr="00F46BA7">
        <w:rPr>
          <w:rFonts w:cs="Times New Roman"/>
          <w:sz w:val="20"/>
          <w:szCs w:val="20"/>
        </w:rPr>
        <w:t>All</w:t>
      </w:r>
      <w:proofErr w:type="gramEnd"/>
      <w:r w:rsidRPr="00F46BA7">
        <w:rPr>
          <w:rFonts w:cs="Times New Roman"/>
          <w:sz w:val="20"/>
          <w:szCs w:val="20"/>
        </w:rPr>
        <w:t xml:space="preserve"> herbicides except for quinclorac were applied with non-ionic surfactant at 0.25% v/v. Quinclorac was applied with </w:t>
      </w:r>
      <w:r w:rsidR="005152EB">
        <w:rPr>
          <w:rFonts w:cs="Times New Roman"/>
          <w:sz w:val="20"/>
          <w:szCs w:val="20"/>
        </w:rPr>
        <w:t>methylated seed oil at 1.0% v/v.</w:t>
      </w:r>
    </w:p>
    <w:p w14:paraId="276D8905" w14:textId="77777777" w:rsidR="00F46BA7" w:rsidRPr="00F46BA7" w:rsidRDefault="00F46BA7" w:rsidP="000E693C">
      <w:pPr>
        <w:rPr>
          <w:rFonts w:cs="Times New Roman"/>
        </w:rPr>
      </w:pPr>
      <w:r w:rsidRPr="00F46BA7">
        <w:rPr>
          <w:rFonts w:cs="Times New Roman"/>
          <w:b/>
        </w:rPr>
        <w:lastRenderedPageBreak/>
        <w:t xml:space="preserve">Table </w:t>
      </w:r>
      <w:r w:rsidR="00823063">
        <w:rPr>
          <w:rFonts w:cs="Times New Roman"/>
          <w:b/>
        </w:rPr>
        <w:t>1.</w:t>
      </w:r>
      <w:r w:rsidRPr="00F46BA7">
        <w:rPr>
          <w:rFonts w:cs="Times New Roman"/>
          <w:b/>
        </w:rPr>
        <w:t>2.</w:t>
      </w:r>
      <w:r w:rsidRPr="00F46BA7">
        <w:rPr>
          <w:rFonts w:cs="Times New Roman"/>
        </w:rPr>
        <w:t xml:space="preserve"> Safeners applied in Experiment 2 to ‘Penncross’ creeping bentgrass in a glasshouse in Knoxville, TN in 2013. Safeners were applied at 185 g ha</w:t>
      </w:r>
      <w:r w:rsidRPr="00F46BA7">
        <w:rPr>
          <w:rFonts w:cs="Times New Roman"/>
          <w:vertAlign w:val="superscript"/>
        </w:rPr>
        <w:t>-1</w:t>
      </w:r>
      <w:r w:rsidRPr="00F46BA7">
        <w:rPr>
          <w:rFonts w:cs="Times New Roman"/>
        </w:rPr>
        <w:t xml:space="preserve"> 30 min prior to treatment with topramezone at 37 g ha</w:t>
      </w:r>
      <w:r w:rsidRPr="00F46BA7">
        <w:rPr>
          <w:rFonts w:cs="Times New Roman"/>
          <w:vertAlign w:val="superscript"/>
        </w:rPr>
        <w:t>-1</w:t>
      </w:r>
      <w:r w:rsidRPr="00F46BA7">
        <w:rPr>
          <w:rFonts w:cs="Times New Roman"/>
        </w:rPr>
        <w:t>.</w:t>
      </w:r>
    </w:p>
    <w:tbl>
      <w:tblPr>
        <w:tblW w:w="5094" w:type="pct"/>
        <w:tblInd w:w="288" w:type="dxa"/>
        <w:tblLayout w:type="fixed"/>
        <w:tblLook w:val="04A0" w:firstRow="1" w:lastRow="0" w:firstColumn="1" w:lastColumn="0" w:noHBand="0" w:noVBand="1"/>
      </w:tblPr>
      <w:tblGrid>
        <w:gridCol w:w="2094"/>
        <w:gridCol w:w="1091"/>
        <w:gridCol w:w="1315"/>
        <w:gridCol w:w="621"/>
        <w:gridCol w:w="3891"/>
        <w:gridCol w:w="744"/>
      </w:tblGrid>
      <w:tr w:rsidR="00F46BA7" w:rsidRPr="00F46BA7" w14:paraId="73D3CEDE" w14:textId="77777777">
        <w:tc>
          <w:tcPr>
            <w:tcW w:w="2094" w:type="dxa"/>
            <w:tcBorders>
              <w:top w:val="nil"/>
              <w:left w:val="nil"/>
              <w:bottom w:val="nil"/>
              <w:right w:val="nil"/>
            </w:tcBorders>
            <w:vAlign w:val="bottom"/>
          </w:tcPr>
          <w:p w14:paraId="302E3F1D" w14:textId="77777777" w:rsidR="00F46BA7" w:rsidRPr="00F46BA7" w:rsidRDefault="00F46BA7" w:rsidP="00F46BA7">
            <w:pPr>
              <w:jc w:val="center"/>
              <w:rPr>
                <w:rFonts w:cs="Times New Roman"/>
                <w:sz w:val="20"/>
                <w:szCs w:val="20"/>
              </w:rPr>
            </w:pPr>
          </w:p>
        </w:tc>
        <w:tc>
          <w:tcPr>
            <w:tcW w:w="1091" w:type="dxa"/>
            <w:tcBorders>
              <w:top w:val="nil"/>
              <w:left w:val="nil"/>
              <w:bottom w:val="nil"/>
              <w:right w:val="nil"/>
            </w:tcBorders>
          </w:tcPr>
          <w:p w14:paraId="7937FB25" w14:textId="77777777" w:rsidR="00F46BA7" w:rsidRPr="00F46BA7" w:rsidRDefault="00F46BA7" w:rsidP="00F46BA7">
            <w:pPr>
              <w:jc w:val="center"/>
              <w:rPr>
                <w:rFonts w:cs="Times New Roman"/>
                <w:sz w:val="20"/>
                <w:szCs w:val="20"/>
              </w:rPr>
            </w:pPr>
          </w:p>
        </w:tc>
        <w:tc>
          <w:tcPr>
            <w:tcW w:w="1315" w:type="dxa"/>
            <w:tcBorders>
              <w:top w:val="nil"/>
              <w:left w:val="nil"/>
              <w:bottom w:val="nil"/>
              <w:right w:val="nil"/>
            </w:tcBorders>
          </w:tcPr>
          <w:p w14:paraId="73AAC2CF" w14:textId="77777777" w:rsidR="00F46BA7" w:rsidRPr="00F46BA7" w:rsidRDefault="00F46BA7" w:rsidP="00F46BA7">
            <w:pPr>
              <w:jc w:val="center"/>
              <w:rPr>
                <w:rFonts w:cs="Times New Roman"/>
                <w:sz w:val="20"/>
                <w:szCs w:val="20"/>
              </w:rPr>
            </w:pPr>
          </w:p>
        </w:tc>
        <w:tc>
          <w:tcPr>
            <w:tcW w:w="621" w:type="dxa"/>
            <w:tcBorders>
              <w:top w:val="nil"/>
              <w:left w:val="nil"/>
              <w:bottom w:val="nil"/>
              <w:right w:val="nil"/>
            </w:tcBorders>
          </w:tcPr>
          <w:p w14:paraId="79006F83" w14:textId="77777777" w:rsidR="00F46BA7" w:rsidRPr="00F46BA7" w:rsidRDefault="00F46BA7" w:rsidP="00F46BA7">
            <w:pPr>
              <w:jc w:val="center"/>
              <w:rPr>
                <w:rFonts w:cs="Times New Roman"/>
                <w:sz w:val="20"/>
                <w:szCs w:val="20"/>
              </w:rPr>
            </w:pPr>
          </w:p>
        </w:tc>
        <w:tc>
          <w:tcPr>
            <w:tcW w:w="4635" w:type="dxa"/>
            <w:gridSpan w:val="2"/>
            <w:tcBorders>
              <w:top w:val="nil"/>
              <w:left w:val="nil"/>
              <w:bottom w:val="nil"/>
              <w:right w:val="nil"/>
            </w:tcBorders>
            <w:vAlign w:val="bottom"/>
          </w:tcPr>
          <w:p w14:paraId="20C2FF96" w14:textId="77777777" w:rsidR="00F46BA7" w:rsidRPr="00F46BA7" w:rsidRDefault="00F46BA7" w:rsidP="00F46BA7">
            <w:pPr>
              <w:jc w:val="center"/>
              <w:rPr>
                <w:rFonts w:cs="Times New Roman"/>
                <w:sz w:val="20"/>
                <w:szCs w:val="20"/>
              </w:rPr>
            </w:pPr>
          </w:p>
        </w:tc>
      </w:tr>
      <w:tr w:rsidR="00F46BA7" w:rsidRPr="00F46BA7" w14:paraId="41E3D9A0" w14:textId="77777777">
        <w:trPr>
          <w:gridAfter w:val="1"/>
          <w:wAfter w:w="744" w:type="dxa"/>
        </w:trPr>
        <w:tc>
          <w:tcPr>
            <w:tcW w:w="2094" w:type="dxa"/>
            <w:tcBorders>
              <w:top w:val="single" w:sz="4" w:space="0" w:color="auto"/>
              <w:left w:val="nil"/>
              <w:bottom w:val="single" w:sz="4" w:space="0" w:color="auto"/>
              <w:right w:val="nil"/>
            </w:tcBorders>
            <w:vAlign w:val="bottom"/>
          </w:tcPr>
          <w:p w14:paraId="1FB40F64" w14:textId="77777777" w:rsidR="00F46BA7" w:rsidRPr="00F46BA7" w:rsidRDefault="00F46BA7" w:rsidP="00F46BA7">
            <w:pPr>
              <w:jc w:val="center"/>
              <w:rPr>
                <w:rFonts w:cs="Times New Roman"/>
                <w:sz w:val="20"/>
                <w:szCs w:val="20"/>
              </w:rPr>
            </w:pPr>
            <w:r w:rsidRPr="00F46BA7">
              <w:rPr>
                <w:rFonts w:cs="Times New Roman"/>
                <w:sz w:val="20"/>
                <w:szCs w:val="20"/>
              </w:rPr>
              <w:t>Common name</w:t>
            </w:r>
          </w:p>
        </w:tc>
        <w:tc>
          <w:tcPr>
            <w:tcW w:w="1091" w:type="dxa"/>
            <w:tcBorders>
              <w:top w:val="single" w:sz="4" w:space="0" w:color="auto"/>
              <w:left w:val="nil"/>
              <w:bottom w:val="single" w:sz="4" w:space="0" w:color="auto"/>
              <w:right w:val="nil"/>
            </w:tcBorders>
            <w:vAlign w:val="bottom"/>
          </w:tcPr>
          <w:p w14:paraId="59BF22CD" w14:textId="77777777" w:rsidR="00F46BA7" w:rsidRPr="00F46BA7" w:rsidRDefault="00F46BA7" w:rsidP="00F46BA7">
            <w:pPr>
              <w:jc w:val="center"/>
              <w:rPr>
                <w:rFonts w:cs="Times New Roman"/>
                <w:sz w:val="20"/>
                <w:szCs w:val="20"/>
              </w:rPr>
            </w:pPr>
            <w:r w:rsidRPr="00F46BA7">
              <w:rPr>
                <w:rFonts w:cs="Times New Roman"/>
                <w:sz w:val="20"/>
                <w:szCs w:val="20"/>
              </w:rPr>
              <w:t>Trade name</w:t>
            </w:r>
          </w:p>
        </w:tc>
        <w:tc>
          <w:tcPr>
            <w:tcW w:w="1315" w:type="dxa"/>
            <w:tcBorders>
              <w:top w:val="single" w:sz="4" w:space="0" w:color="auto"/>
              <w:left w:val="nil"/>
              <w:bottom w:val="single" w:sz="4" w:space="0" w:color="auto"/>
              <w:right w:val="nil"/>
            </w:tcBorders>
            <w:vAlign w:val="bottom"/>
          </w:tcPr>
          <w:p w14:paraId="14A70A83" w14:textId="77777777" w:rsidR="00F46BA7" w:rsidRPr="00F46BA7" w:rsidRDefault="00F46BA7" w:rsidP="00F46BA7">
            <w:pPr>
              <w:jc w:val="center"/>
              <w:rPr>
                <w:rFonts w:cs="Times New Roman"/>
                <w:sz w:val="20"/>
                <w:szCs w:val="20"/>
              </w:rPr>
            </w:pPr>
            <w:r w:rsidRPr="00F46BA7">
              <w:rPr>
                <w:rFonts w:cs="Times New Roman"/>
                <w:sz w:val="20"/>
                <w:szCs w:val="20"/>
              </w:rPr>
              <w:t>Formulation</w:t>
            </w:r>
          </w:p>
        </w:tc>
        <w:tc>
          <w:tcPr>
            <w:tcW w:w="4512" w:type="dxa"/>
            <w:gridSpan w:val="2"/>
            <w:tcBorders>
              <w:top w:val="single" w:sz="4" w:space="0" w:color="auto"/>
              <w:left w:val="nil"/>
              <w:bottom w:val="single" w:sz="4" w:space="0" w:color="auto"/>
              <w:right w:val="nil"/>
            </w:tcBorders>
            <w:vAlign w:val="bottom"/>
          </w:tcPr>
          <w:p w14:paraId="674AF69D" w14:textId="77777777" w:rsidR="00F46BA7" w:rsidRPr="00F46BA7" w:rsidRDefault="00F46BA7" w:rsidP="00F46BA7">
            <w:pPr>
              <w:jc w:val="center"/>
              <w:rPr>
                <w:rFonts w:cs="Times New Roman"/>
                <w:sz w:val="20"/>
                <w:szCs w:val="20"/>
              </w:rPr>
            </w:pPr>
            <w:r w:rsidRPr="00F46BA7">
              <w:rPr>
                <w:rFonts w:cs="Times New Roman"/>
                <w:sz w:val="20"/>
                <w:szCs w:val="20"/>
              </w:rPr>
              <w:t>Manufacturer</w:t>
            </w:r>
          </w:p>
        </w:tc>
      </w:tr>
      <w:tr w:rsidR="00F46BA7" w:rsidRPr="00F46BA7" w14:paraId="303B77FB" w14:textId="77777777">
        <w:trPr>
          <w:gridAfter w:val="1"/>
          <w:wAfter w:w="744" w:type="dxa"/>
        </w:trPr>
        <w:tc>
          <w:tcPr>
            <w:tcW w:w="2094" w:type="dxa"/>
            <w:tcBorders>
              <w:top w:val="single" w:sz="4" w:space="0" w:color="auto"/>
              <w:left w:val="nil"/>
              <w:bottom w:val="nil"/>
              <w:right w:val="nil"/>
            </w:tcBorders>
            <w:vAlign w:val="bottom"/>
          </w:tcPr>
          <w:p w14:paraId="5D209AE0" w14:textId="77777777" w:rsidR="00F46BA7" w:rsidRPr="00F46BA7" w:rsidRDefault="00F46BA7" w:rsidP="00F46BA7">
            <w:pPr>
              <w:jc w:val="center"/>
              <w:rPr>
                <w:rFonts w:cs="Times New Roman"/>
                <w:sz w:val="20"/>
                <w:szCs w:val="20"/>
              </w:rPr>
            </w:pPr>
            <w:r w:rsidRPr="00F46BA7">
              <w:rPr>
                <w:rFonts w:cs="Times New Roman"/>
                <w:sz w:val="20"/>
                <w:szCs w:val="20"/>
              </w:rPr>
              <w:t>Naphthalic anhydride</w:t>
            </w:r>
            <w:r w:rsidRPr="00F46BA7">
              <w:rPr>
                <w:rFonts w:cs="Times New Roman"/>
                <w:sz w:val="20"/>
                <w:szCs w:val="20"/>
                <w:vertAlign w:val="superscript"/>
              </w:rPr>
              <w:t>a</w:t>
            </w:r>
          </w:p>
        </w:tc>
        <w:tc>
          <w:tcPr>
            <w:tcW w:w="1091" w:type="dxa"/>
            <w:tcBorders>
              <w:top w:val="single" w:sz="4" w:space="0" w:color="auto"/>
              <w:left w:val="nil"/>
              <w:bottom w:val="nil"/>
              <w:right w:val="nil"/>
            </w:tcBorders>
          </w:tcPr>
          <w:p w14:paraId="46E275B7" w14:textId="77777777" w:rsidR="00F46BA7" w:rsidRPr="00F46BA7" w:rsidRDefault="00F46BA7" w:rsidP="00F46BA7">
            <w:pPr>
              <w:jc w:val="center"/>
              <w:rPr>
                <w:rFonts w:cs="Times New Roman"/>
                <w:sz w:val="20"/>
                <w:szCs w:val="20"/>
              </w:rPr>
            </w:pPr>
            <w:r w:rsidRPr="00F46BA7">
              <w:rPr>
                <w:rFonts w:cs="Times New Roman"/>
                <w:sz w:val="20"/>
                <w:szCs w:val="20"/>
              </w:rPr>
              <w:t>N/A</w:t>
            </w:r>
          </w:p>
        </w:tc>
        <w:tc>
          <w:tcPr>
            <w:tcW w:w="1315" w:type="dxa"/>
            <w:tcBorders>
              <w:top w:val="single" w:sz="4" w:space="0" w:color="auto"/>
              <w:left w:val="nil"/>
              <w:bottom w:val="nil"/>
              <w:right w:val="nil"/>
            </w:tcBorders>
          </w:tcPr>
          <w:p w14:paraId="78CACE5C" w14:textId="77777777" w:rsidR="00F46BA7" w:rsidRPr="00F46BA7" w:rsidRDefault="00F46BA7" w:rsidP="00F46BA7">
            <w:pPr>
              <w:jc w:val="center"/>
              <w:rPr>
                <w:rFonts w:cs="Times New Roman"/>
                <w:sz w:val="20"/>
                <w:szCs w:val="20"/>
              </w:rPr>
            </w:pPr>
            <w:r w:rsidRPr="00F46BA7">
              <w:rPr>
                <w:rFonts w:cs="Times New Roman"/>
                <w:sz w:val="20"/>
                <w:szCs w:val="20"/>
              </w:rPr>
              <w:t>&gt; 97% Tech.</w:t>
            </w:r>
          </w:p>
        </w:tc>
        <w:tc>
          <w:tcPr>
            <w:tcW w:w="4512" w:type="dxa"/>
            <w:gridSpan w:val="2"/>
            <w:tcBorders>
              <w:top w:val="single" w:sz="4" w:space="0" w:color="auto"/>
              <w:left w:val="nil"/>
              <w:bottom w:val="nil"/>
              <w:right w:val="nil"/>
            </w:tcBorders>
            <w:vAlign w:val="bottom"/>
          </w:tcPr>
          <w:p w14:paraId="175B9A4F" w14:textId="77777777" w:rsidR="00F46BA7" w:rsidRPr="00F46BA7" w:rsidRDefault="00F46BA7" w:rsidP="00F46BA7">
            <w:pPr>
              <w:jc w:val="center"/>
              <w:rPr>
                <w:rFonts w:cs="Times New Roman"/>
                <w:sz w:val="20"/>
                <w:szCs w:val="20"/>
              </w:rPr>
            </w:pPr>
            <w:r w:rsidRPr="00F46BA7">
              <w:rPr>
                <w:rFonts w:cs="Times New Roman"/>
                <w:sz w:val="20"/>
                <w:szCs w:val="20"/>
              </w:rPr>
              <w:t xml:space="preserve">Acros Organics; Pittsburgh, PA </w:t>
            </w:r>
          </w:p>
        </w:tc>
      </w:tr>
      <w:tr w:rsidR="00F46BA7" w:rsidRPr="00F46BA7" w14:paraId="1F1CBDCC" w14:textId="77777777">
        <w:trPr>
          <w:gridAfter w:val="1"/>
          <w:wAfter w:w="744" w:type="dxa"/>
        </w:trPr>
        <w:tc>
          <w:tcPr>
            <w:tcW w:w="2094" w:type="dxa"/>
            <w:tcBorders>
              <w:top w:val="nil"/>
              <w:left w:val="nil"/>
              <w:bottom w:val="nil"/>
              <w:right w:val="nil"/>
            </w:tcBorders>
            <w:vAlign w:val="bottom"/>
          </w:tcPr>
          <w:p w14:paraId="7476A342" w14:textId="77777777" w:rsidR="00F46BA7" w:rsidRPr="00F46BA7" w:rsidRDefault="00F46BA7" w:rsidP="00F46BA7">
            <w:pPr>
              <w:jc w:val="center"/>
              <w:rPr>
                <w:rFonts w:cs="Times New Roman"/>
                <w:sz w:val="20"/>
                <w:szCs w:val="20"/>
              </w:rPr>
            </w:pPr>
            <w:r w:rsidRPr="00F46BA7">
              <w:rPr>
                <w:rFonts w:cs="Times New Roman"/>
                <w:sz w:val="20"/>
                <w:szCs w:val="20"/>
              </w:rPr>
              <w:t>Isoxadifen-ethyl</w:t>
            </w:r>
          </w:p>
        </w:tc>
        <w:tc>
          <w:tcPr>
            <w:tcW w:w="1091" w:type="dxa"/>
            <w:tcBorders>
              <w:top w:val="nil"/>
              <w:left w:val="nil"/>
              <w:bottom w:val="nil"/>
              <w:right w:val="nil"/>
            </w:tcBorders>
          </w:tcPr>
          <w:p w14:paraId="06621B55" w14:textId="77777777" w:rsidR="00F46BA7" w:rsidRPr="00F46BA7" w:rsidRDefault="00F46BA7" w:rsidP="00F46BA7">
            <w:pPr>
              <w:jc w:val="center"/>
              <w:rPr>
                <w:rFonts w:cs="Times New Roman"/>
                <w:sz w:val="20"/>
                <w:szCs w:val="20"/>
              </w:rPr>
            </w:pPr>
            <w:r w:rsidRPr="00F46BA7">
              <w:rPr>
                <w:rFonts w:cs="Times New Roman"/>
                <w:sz w:val="20"/>
                <w:szCs w:val="20"/>
              </w:rPr>
              <w:t>N/A</w:t>
            </w:r>
          </w:p>
        </w:tc>
        <w:tc>
          <w:tcPr>
            <w:tcW w:w="1315" w:type="dxa"/>
            <w:tcBorders>
              <w:top w:val="nil"/>
              <w:left w:val="nil"/>
              <w:bottom w:val="nil"/>
              <w:right w:val="nil"/>
            </w:tcBorders>
          </w:tcPr>
          <w:p w14:paraId="7CBF4532" w14:textId="77777777" w:rsidR="00F46BA7" w:rsidRPr="00F46BA7" w:rsidRDefault="00F46BA7" w:rsidP="00F46BA7">
            <w:pPr>
              <w:jc w:val="center"/>
              <w:rPr>
                <w:rFonts w:cs="Times New Roman"/>
                <w:sz w:val="20"/>
                <w:szCs w:val="20"/>
              </w:rPr>
            </w:pPr>
            <w:r w:rsidRPr="00F46BA7">
              <w:rPr>
                <w:rFonts w:cs="Times New Roman"/>
                <w:sz w:val="20"/>
                <w:szCs w:val="20"/>
              </w:rPr>
              <w:t>50 WDG</w:t>
            </w:r>
          </w:p>
        </w:tc>
        <w:tc>
          <w:tcPr>
            <w:tcW w:w="4512" w:type="dxa"/>
            <w:gridSpan w:val="2"/>
            <w:tcBorders>
              <w:top w:val="nil"/>
              <w:left w:val="nil"/>
              <w:bottom w:val="nil"/>
              <w:right w:val="nil"/>
            </w:tcBorders>
            <w:vAlign w:val="bottom"/>
          </w:tcPr>
          <w:p w14:paraId="50CE8DA4" w14:textId="77777777" w:rsidR="00F46BA7" w:rsidRPr="00F46BA7" w:rsidRDefault="00F46BA7" w:rsidP="00F46BA7">
            <w:pPr>
              <w:jc w:val="center"/>
              <w:rPr>
                <w:rFonts w:cs="Times New Roman"/>
                <w:sz w:val="20"/>
                <w:szCs w:val="20"/>
              </w:rPr>
            </w:pPr>
            <w:r w:rsidRPr="00F46BA7">
              <w:rPr>
                <w:rFonts w:cs="Times New Roman"/>
                <w:sz w:val="20"/>
                <w:szCs w:val="20"/>
              </w:rPr>
              <w:t>DuPont Ag Products; Wilmington, DE</w:t>
            </w:r>
          </w:p>
        </w:tc>
      </w:tr>
      <w:tr w:rsidR="00F46BA7" w:rsidRPr="00F46BA7" w14:paraId="397424E0" w14:textId="77777777">
        <w:trPr>
          <w:gridAfter w:val="1"/>
          <w:wAfter w:w="744" w:type="dxa"/>
        </w:trPr>
        <w:tc>
          <w:tcPr>
            <w:tcW w:w="2094" w:type="dxa"/>
            <w:tcBorders>
              <w:top w:val="nil"/>
              <w:left w:val="nil"/>
              <w:bottom w:val="nil"/>
              <w:right w:val="nil"/>
            </w:tcBorders>
            <w:vAlign w:val="bottom"/>
          </w:tcPr>
          <w:p w14:paraId="2CAA0032" w14:textId="77777777" w:rsidR="00F46BA7" w:rsidRPr="00F46BA7" w:rsidRDefault="00F46BA7" w:rsidP="00F46BA7">
            <w:pPr>
              <w:jc w:val="center"/>
              <w:rPr>
                <w:rFonts w:cs="Times New Roman"/>
                <w:sz w:val="20"/>
                <w:szCs w:val="20"/>
              </w:rPr>
            </w:pPr>
            <w:r w:rsidRPr="00F46BA7">
              <w:rPr>
                <w:rFonts w:cs="Times New Roman"/>
                <w:sz w:val="20"/>
                <w:szCs w:val="20"/>
              </w:rPr>
              <w:t>Benoxacor</w:t>
            </w:r>
          </w:p>
        </w:tc>
        <w:tc>
          <w:tcPr>
            <w:tcW w:w="1091" w:type="dxa"/>
            <w:tcBorders>
              <w:top w:val="nil"/>
              <w:left w:val="nil"/>
              <w:bottom w:val="nil"/>
              <w:right w:val="nil"/>
            </w:tcBorders>
          </w:tcPr>
          <w:p w14:paraId="10D643C7" w14:textId="77777777" w:rsidR="00F46BA7" w:rsidRPr="00F46BA7" w:rsidRDefault="00F46BA7" w:rsidP="00F46BA7">
            <w:pPr>
              <w:jc w:val="center"/>
              <w:rPr>
                <w:rFonts w:cs="Times New Roman"/>
                <w:sz w:val="20"/>
                <w:szCs w:val="20"/>
              </w:rPr>
            </w:pPr>
            <w:r w:rsidRPr="00F46BA7">
              <w:rPr>
                <w:rFonts w:cs="Times New Roman"/>
                <w:sz w:val="20"/>
                <w:szCs w:val="20"/>
              </w:rPr>
              <w:t>N/A</w:t>
            </w:r>
          </w:p>
        </w:tc>
        <w:tc>
          <w:tcPr>
            <w:tcW w:w="1315" w:type="dxa"/>
            <w:tcBorders>
              <w:top w:val="nil"/>
              <w:left w:val="nil"/>
              <w:bottom w:val="nil"/>
              <w:right w:val="nil"/>
            </w:tcBorders>
          </w:tcPr>
          <w:p w14:paraId="06F2D2F5" w14:textId="77777777" w:rsidR="00F46BA7" w:rsidRPr="00F46BA7" w:rsidRDefault="00F46BA7" w:rsidP="00F46BA7">
            <w:pPr>
              <w:jc w:val="center"/>
              <w:rPr>
                <w:rFonts w:cs="Times New Roman"/>
                <w:sz w:val="20"/>
                <w:szCs w:val="20"/>
              </w:rPr>
            </w:pPr>
            <w:r w:rsidRPr="00F46BA7">
              <w:rPr>
                <w:rFonts w:cs="Times New Roman"/>
                <w:sz w:val="20"/>
                <w:szCs w:val="20"/>
              </w:rPr>
              <w:t>1.6 EC</w:t>
            </w:r>
          </w:p>
        </w:tc>
        <w:tc>
          <w:tcPr>
            <w:tcW w:w="4512" w:type="dxa"/>
            <w:gridSpan w:val="2"/>
            <w:tcBorders>
              <w:top w:val="nil"/>
              <w:left w:val="nil"/>
              <w:bottom w:val="nil"/>
              <w:right w:val="nil"/>
            </w:tcBorders>
            <w:vAlign w:val="bottom"/>
          </w:tcPr>
          <w:p w14:paraId="2C93B42E" w14:textId="77777777" w:rsidR="00F46BA7" w:rsidRPr="00F46BA7" w:rsidRDefault="00F46BA7" w:rsidP="00F46BA7">
            <w:pPr>
              <w:jc w:val="center"/>
              <w:rPr>
                <w:rFonts w:cs="Times New Roman"/>
                <w:sz w:val="20"/>
                <w:szCs w:val="20"/>
              </w:rPr>
            </w:pPr>
            <w:r w:rsidRPr="00F46BA7">
              <w:rPr>
                <w:rFonts w:cs="Times New Roman"/>
                <w:sz w:val="20"/>
                <w:szCs w:val="20"/>
              </w:rPr>
              <w:t>Arysta Lifescience North America LLC; Cary, NC</w:t>
            </w:r>
          </w:p>
        </w:tc>
      </w:tr>
      <w:tr w:rsidR="00F46BA7" w:rsidRPr="00F46BA7" w14:paraId="647797A3" w14:textId="77777777">
        <w:trPr>
          <w:gridAfter w:val="1"/>
          <w:wAfter w:w="744" w:type="dxa"/>
        </w:trPr>
        <w:tc>
          <w:tcPr>
            <w:tcW w:w="2094" w:type="dxa"/>
            <w:tcBorders>
              <w:top w:val="nil"/>
              <w:left w:val="nil"/>
              <w:bottom w:val="nil"/>
              <w:right w:val="nil"/>
            </w:tcBorders>
            <w:vAlign w:val="bottom"/>
          </w:tcPr>
          <w:p w14:paraId="37B768E3" w14:textId="77777777" w:rsidR="00F46BA7" w:rsidRPr="00F46BA7" w:rsidRDefault="00F46BA7" w:rsidP="00F46BA7">
            <w:pPr>
              <w:jc w:val="center"/>
              <w:rPr>
                <w:rFonts w:cs="Times New Roman"/>
                <w:sz w:val="20"/>
                <w:szCs w:val="20"/>
              </w:rPr>
            </w:pPr>
            <w:r w:rsidRPr="00F46BA7">
              <w:rPr>
                <w:rFonts w:cs="Times New Roman"/>
                <w:sz w:val="20"/>
                <w:szCs w:val="20"/>
              </w:rPr>
              <w:t>Cloquintocet-mexyl</w:t>
            </w:r>
          </w:p>
        </w:tc>
        <w:tc>
          <w:tcPr>
            <w:tcW w:w="1091" w:type="dxa"/>
            <w:tcBorders>
              <w:top w:val="nil"/>
              <w:left w:val="nil"/>
              <w:bottom w:val="nil"/>
              <w:right w:val="nil"/>
            </w:tcBorders>
          </w:tcPr>
          <w:p w14:paraId="123F9932" w14:textId="77777777" w:rsidR="00F46BA7" w:rsidRPr="00F46BA7" w:rsidRDefault="00F46BA7" w:rsidP="00F46BA7">
            <w:pPr>
              <w:jc w:val="center"/>
              <w:rPr>
                <w:rFonts w:cs="Times New Roman"/>
                <w:sz w:val="20"/>
                <w:szCs w:val="20"/>
              </w:rPr>
            </w:pPr>
            <w:r w:rsidRPr="00F46BA7">
              <w:rPr>
                <w:rFonts w:cs="Times New Roman"/>
                <w:sz w:val="20"/>
                <w:szCs w:val="20"/>
              </w:rPr>
              <w:t>N/A</w:t>
            </w:r>
          </w:p>
        </w:tc>
        <w:tc>
          <w:tcPr>
            <w:tcW w:w="1315" w:type="dxa"/>
            <w:tcBorders>
              <w:top w:val="nil"/>
              <w:left w:val="nil"/>
              <w:bottom w:val="nil"/>
              <w:right w:val="nil"/>
            </w:tcBorders>
          </w:tcPr>
          <w:p w14:paraId="2CE4C6A4" w14:textId="77777777" w:rsidR="00F46BA7" w:rsidRPr="00F46BA7" w:rsidRDefault="00F46BA7" w:rsidP="00F46BA7">
            <w:pPr>
              <w:jc w:val="center"/>
              <w:rPr>
                <w:rFonts w:cs="Times New Roman"/>
                <w:sz w:val="20"/>
                <w:szCs w:val="20"/>
              </w:rPr>
            </w:pPr>
            <w:r w:rsidRPr="00F46BA7">
              <w:rPr>
                <w:rFonts w:cs="Times New Roman"/>
                <w:sz w:val="20"/>
                <w:szCs w:val="20"/>
              </w:rPr>
              <w:t>1.6 EC</w:t>
            </w:r>
          </w:p>
        </w:tc>
        <w:tc>
          <w:tcPr>
            <w:tcW w:w="4512" w:type="dxa"/>
            <w:gridSpan w:val="2"/>
            <w:tcBorders>
              <w:top w:val="nil"/>
              <w:left w:val="nil"/>
              <w:bottom w:val="nil"/>
              <w:right w:val="nil"/>
            </w:tcBorders>
            <w:vAlign w:val="bottom"/>
          </w:tcPr>
          <w:p w14:paraId="5FA55340" w14:textId="77777777" w:rsidR="00F46BA7" w:rsidRPr="00F46BA7" w:rsidRDefault="00F46BA7" w:rsidP="00F46BA7">
            <w:pPr>
              <w:jc w:val="center"/>
              <w:rPr>
                <w:rFonts w:cs="Times New Roman"/>
                <w:sz w:val="20"/>
                <w:szCs w:val="20"/>
              </w:rPr>
            </w:pPr>
            <w:r w:rsidRPr="00F46BA7">
              <w:rPr>
                <w:rFonts w:cs="Times New Roman"/>
                <w:sz w:val="20"/>
                <w:szCs w:val="20"/>
              </w:rPr>
              <w:t>Arysta Lifescience North America LLC; Cary, NC</w:t>
            </w:r>
          </w:p>
        </w:tc>
      </w:tr>
      <w:tr w:rsidR="00F46BA7" w:rsidRPr="00F46BA7" w14:paraId="380114DC" w14:textId="77777777">
        <w:trPr>
          <w:gridAfter w:val="1"/>
          <w:wAfter w:w="744" w:type="dxa"/>
        </w:trPr>
        <w:tc>
          <w:tcPr>
            <w:tcW w:w="2094" w:type="dxa"/>
            <w:tcBorders>
              <w:top w:val="nil"/>
              <w:left w:val="nil"/>
              <w:bottom w:val="nil"/>
              <w:right w:val="nil"/>
            </w:tcBorders>
            <w:vAlign w:val="bottom"/>
          </w:tcPr>
          <w:p w14:paraId="5B013CCD" w14:textId="77777777" w:rsidR="00F46BA7" w:rsidRPr="00F46BA7" w:rsidRDefault="00F46BA7" w:rsidP="00F46BA7">
            <w:pPr>
              <w:jc w:val="center"/>
              <w:rPr>
                <w:rFonts w:cs="Times New Roman"/>
                <w:sz w:val="20"/>
                <w:szCs w:val="20"/>
              </w:rPr>
            </w:pPr>
            <w:r w:rsidRPr="00F46BA7">
              <w:rPr>
                <w:rFonts w:cs="Times New Roman"/>
                <w:sz w:val="20"/>
                <w:szCs w:val="20"/>
              </w:rPr>
              <w:t>Fenchlorazole-ethyl</w:t>
            </w:r>
          </w:p>
        </w:tc>
        <w:tc>
          <w:tcPr>
            <w:tcW w:w="1091" w:type="dxa"/>
            <w:tcBorders>
              <w:top w:val="nil"/>
              <w:left w:val="nil"/>
              <w:bottom w:val="nil"/>
              <w:right w:val="nil"/>
            </w:tcBorders>
          </w:tcPr>
          <w:p w14:paraId="59867696" w14:textId="77777777" w:rsidR="00F46BA7" w:rsidRPr="00F46BA7" w:rsidRDefault="00F46BA7" w:rsidP="00F46BA7">
            <w:pPr>
              <w:jc w:val="center"/>
              <w:rPr>
                <w:rFonts w:cs="Times New Roman"/>
                <w:sz w:val="20"/>
                <w:szCs w:val="20"/>
              </w:rPr>
            </w:pPr>
            <w:r w:rsidRPr="00F46BA7">
              <w:rPr>
                <w:rFonts w:cs="Times New Roman"/>
                <w:sz w:val="20"/>
                <w:szCs w:val="20"/>
              </w:rPr>
              <w:t>N/A</w:t>
            </w:r>
          </w:p>
        </w:tc>
        <w:tc>
          <w:tcPr>
            <w:tcW w:w="1315" w:type="dxa"/>
            <w:tcBorders>
              <w:top w:val="nil"/>
              <w:left w:val="nil"/>
              <w:bottom w:val="nil"/>
              <w:right w:val="nil"/>
            </w:tcBorders>
          </w:tcPr>
          <w:p w14:paraId="16804AD6" w14:textId="77777777" w:rsidR="00F46BA7" w:rsidRPr="00F46BA7" w:rsidRDefault="00F46BA7" w:rsidP="00F46BA7">
            <w:pPr>
              <w:jc w:val="center"/>
              <w:rPr>
                <w:rFonts w:cs="Times New Roman"/>
                <w:sz w:val="20"/>
                <w:szCs w:val="20"/>
              </w:rPr>
            </w:pPr>
            <w:r w:rsidRPr="00F46BA7">
              <w:rPr>
                <w:rFonts w:cs="Times New Roman"/>
                <w:sz w:val="20"/>
                <w:szCs w:val="20"/>
              </w:rPr>
              <w:t>1.6 EC</w:t>
            </w:r>
          </w:p>
        </w:tc>
        <w:tc>
          <w:tcPr>
            <w:tcW w:w="4512" w:type="dxa"/>
            <w:gridSpan w:val="2"/>
            <w:tcBorders>
              <w:top w:val="nil"/>
              <w:left w:val="nil"/>
              <w:bottom w:val="nil"/>
              <w:right w:val="nil"/>
            </w:tcBorders>
            <w:vAlign w:val="bottom"/>
          </w:tcPr>
          <w:p w14:paraId="52C3AE43" w14:textId="77777777" w:rsidR="00F46BA7" w:rsidRPr="00F46BA7" w:rsidRDefault="00F46BA7" w:rsidP="00F46BA7">
            <w:pPr>
              <w:jc w:val="center"/>
              <w:rPr>
                <w:rFonts w:cs="Times New Roman"/>
                <w:sz w:val="20"/>
                <w:szCs w:val="20"/>
              </w:rPr>
            </w:pPr>
            <w:r w:rsidRPr="00F46BA7">
              <w:rPr>
                <w:rFonts w:cs="Times New Roman"/>
                <w:sz w:val="20"/>
                <w:szCs w:val="20"/>
              </w:rPr>
              <w:t>Arysta Lifescience North America LLC; Cary, NC</w:t>
            </w:r>
          </w:p>
        </w:tc>
      </w:tr>
      <w:tr w:rsidR="00F46BA7" w:rsidRPr="00F46BA7" w14:paraId="6A854B1A" w14:textId="77777777">
        <w:trPr>
          <w:gridAfter w:val="1"/>
          <w:wAfter w:w="744" w:type="dxa"/>
        </w:trPr>
        <w:tc>
          <w:tcPr>
            <w:tcW w:w="2094" w:type="dxa"/>
            <w:tcBorders>
              <w:top w:val="nil"/>
              <w:left w:val="nil"/>
              <w:bottom w:val="single" w:sz="4" w:space="0" w:color="auto"/>
              <w:right w:val="nil"/>
            </w:tcBorders>
            <w:vAlign w:val="bottom"/>
          </w:tcPr>
          <w:p w14:paraId="1C8A1191" w14:textId="77777777" w:rsidR="00F46BA7" w:rsidRPr="00F46BA7" w:rsidRDefault="00F46BA7" w:rsidP="00F46BA7">
            <w:pPr>
              <w:jc w:val="center"/>
              <w:rPr>
                <w:rFonts w:cs="Times New Roman"/>
                <w:sz w:val="20"/>
                <w:szCs w:val="20"/>
              </w:rPr>
            </w:pPr>
            <w:r w:rsidRPr="00F46BA7">
              <w:rPr>
                <w:rFonts w:cs="Times New Roman"/>
                <w:sz w:val="20"/>
                <w:szCs w:val="20"/>
              </w:rPr>
              <w:t>Mefenpyr-diethyl</w:t>
            </w:r>
          </w:p>
        </w:tc>
        <w:tc>
          <w:tcPr>
            <w:tcW w:w="1091" w:type="dxa"/>
            <w:tcBorders>
              <w:top w:val="nil"/>
              <w:left w:val="nil"/>
              <w:bottom w:val="single" w:sz="4" w:space="0" w:color="auto"/>
              <w:right w:val="nil"/>
            </w:tcBorders>
          </w:tcPr>
          <w:p w14:paraId="77D0B2C0" w14:textId="77777777" w:rsidR="00F46BA7" w:rsidRPr="00F46BA7" w:rsidRDefault="00F46BA7" w:rsidP="00F46BA7">
            <w:pPr>
              <w:jc w:val="center"/>
              <w:rPr>
                <w:rFonts w:cs="Times New Roman"/>
                <w:sz w:val="20"/>
                <w:szCs w:val="20"/>
              </w:rPr>
            </w:pPr>
            <w:r w:rsidRPr="00F46BA7">
              <w:rPr>
                <w:rFonts w:cs="Times New Roman"/>
                <w:sz w:val="20"/>
                <w:szCs w:val="20"/>
              </w:rPr>
              <w:t>N/A</w:t>
            </w:r>
          </w:p>
        </w:tc>
        <w:tc>
          <w:tcPr>
            <w:tcW w:w="1315" w:type="dxa"/>
            <w:tcBorders>
              <w:top w:val="nil"/>
              <w:left w:val="nil"/>
              <w:bottom w:val="single" w:sz="4" w:space="0" w:color="auto"/>
              <w:right w:val="nil"/>
            </w:tcBorders>
          </w:tcPr>
          <w:p w14:paraId="1C66701B" w14:textId="77777777" w:rsidR="00F46BA7" w:rsidRPr="00F46BA7" w:rsidRDefault="00F46BA7" w:rsidP="00F46BA7">
            <w:pPr>
              <w:jc w:val="center"/>
              <w:rPr>
                <w:rFonts w:cs="Times New Roman"/>
                <w:sz w:val="20"/>
                <w:szCs w:val="20"/>
              </w:rPr>
            </w:pPr>
            <w:r w:rsidRPr="00F46BA7">
              <w:rPr>
                <w:rFonts w:cs="Times New Roman"/>
                <w:sz w:val="20"/>
                <w:szCs w:val="20"/>
              </w:rPr>
              <w:t>1.6 EC</w:t>
            </w:r>
          </w:p>
        </w:tc>
        <w:tc>
          <w:tcPr>
            <w:tcW w:w="4512" w:type="dxa"/>
            <w:gridSpan w:val="2"/>
            <w:tcBorders>
              <w:top w:val="nil"/>
              <w:left w:val="nil"/>
              <w:bottom w:val="single" w:sz="4" w:space="0" w:color="auto"/>
              <w:right w:val="nil"/>
            </w:tcBorders>
            <w:vAlign w:val="bottom"/>
          </w:tcPr>
          <w:p w14:paraId="20E77522" w14:textId="77777777" w:rsidR="00F46BA7" w:rsidRPr="00F46BA7" w:rsidRDefault="00F46BA7" w:rsidP="00F46BA7">
            <w:pPr>
              <w:jc w:val="center"/>
              <w:rPr>
                <w:rFonts w:cs="Times New Roman"/>
                <w:sz w:val="20"/>
                <w:szCs w:val="20"/>
              </w:rPr>
            </w:pPr>
            <w:r w:rsidRPr="00F46BA7">
              <w:rPr>
                <w:rFonts w:cs="Times New Roman"/>
                <w:sz w:val="20"/>
                <w:szCs w:val="20"/>
              </w:rPr>
              <w:t>Arysta Lifescience North America LLC; Cary, NC</w:t>
            </w:r>
          </w:p>
        </w:tc>
      </w:tr>
    </w:tbl>
    <w:p w14:paraId="169F15AA" w14:textId="77777777" w:rsidR="00F46BA7" w:rsidRPr="00F46BA7" w:rsidRDefault="00F46BA7" w:rsidP="00F46BA7">
      <w:pPr>
        <w:ind w:left="720" w:hanging="720"/>
        <w:rPr>
          <w:rFonts w:cs="Times New Roman"/>
          <w:b/>
          <w:sz w:val="20"/>
          <w:szCs w:val="20"/>
        </w:rPr>
      </w:pPr>
      <w:proofErr w:type="gramStart"/>
      <w:r w:rsidRPr="00F46BA7">
        <w:rPr>
          <w:rFonts w:cs="Times New Roman"/>
          <w:sz w:val="20"/>
          <w:szCs w:val="20"/>
          <w:vertAlign w:val="superscript"/>
        </w:rPr>
        <w:t>a</w:t>
      </w:r>
      <w:r w:rsidRPr="00F46BA7">
        <w:rPr>
          <w:rFonts w:cs="Times New Roman"/>
          <w:sz w:val="20"/>
          <w:szCs w:val="20"/>
        </w:rPr>
        <w:t>Safeners</w:t>
      </w:r>
      <w:proofErr w:type="gramEnd"/>
      <w:r w:rsidRPr="00F46BA7">
        <w:rPr>
          <w:rFonts w:cs="Times New Roman"/>
          <w:sz w:val="20"/>
          <w:szCs w:val="20"/>
        </w:rPr>
        <w:t xml:space="preserve"> were applied with non-ionic surfactant at 0.25% v/v.</w:t>
      </w:r>
      <w:r w:rsidRPr="00F46BA7">
        <w:rPr>
          <w:rFonts w:cs="Times New Roman"/>
          <w:b/>
          <w:sz w:val="20"/>
          <w:szCs w:val="20"/>
        </w:rPr>
        <w:br w:type="page"/>
      </w:r>
    </w:p>
    <w:p w14:paraId="700EDFD7" w14:textId="2FD03CE1" w:rsidR="00F46BA7" w:rsidRPr="007E36E4" w:rsidRDefault="00F46BA7" w:rsidP="000E693C">
      <w:pPr>
        <w:outlineLvl w:val="0"/>
        <w:rPr>
          <w:rFonts w:cs="Times New Roman"/>
          <w:color w:val="000000"/>
        </w:rPr>
      </w:pPr>
      <w:r w:rsidRPr="00F46BA7">
        <w:rPr>
          <w:rFonts w:cs="Times New Roman"/>
          <w:b/>
        </w:rPr>
        <w:lastRenderedPageBreak/>
        <w:t xml:space="preserve">Table </w:t>
      </w:r>
      <w:r w:rsidR="00823063">
        <w:rPr>
          <w:rFonts w:cs="Times New Roman"/>
          <w:b/>
        </w:rPr>
        <w:t>1.</w:t>
      </w:r>
      <w:r w:rsidRPr="00F46BA7">
        <w:rPr>
          <w:rFonts w:cs="Times New Roman"/>
          <w:b/>
        </w:rPr>
        <w:t>3.</w:t>
      </w:r>
      <w:r w:rsidRPr="00F46BA7">
        <w:rPr>
          <w:rFonts w:cs="Times New Roman"/>
        </w:rPr>
        <w:t xml:space="preserve"> Creeping bentgrass injury</w:t>
      </w:r>
      <w:r w:rsidR="005A4062">
        <w:rPr>
          <w:rFonts w:cs="Times New Roman"/>
        </w:rPr>
        <w:t xml:space="preserve"> and percent green cover as determined by digital image analysis (DIA)</w:t>
      </w:r>
      <w:r w:rsidRPr="00F46BA7">
        <w:rPr>
          <w:rFonts w:cs="Times New Roman"/>
        </w:rPr>
        <w:t xml:space="preserve"> 2 WAT with topramezone (37 g ha</w:t>
      </w:r>
      <w:r w:rsidRPr="00F46BA7">
        <w:rPr>
          <w:rFonts w:cs="Times New Roman"/>
          <w:vertAlign w:val="superscript"/>
        </w:rPr>
        <w:t>-1</w:t>
      </w:r>
      <w:r w:rsidRPr="00F46BA7">
        <w:rPr>
          <w:rFonts w:cs="Times New Roman"/>
        </w:rPr>
        <w:t>) in combination with cloquintocet-mexyl at 0, 9, 19, 28, 37, 93 or 185 g ha</w:t>
      </w:r>
      <w:r w:rsidRPr="00F46BA7">
        <w:rPr>
          <w:rFonts w:cs="Times New Roman"/>
          <w:vertAlign w:val="superscript"/>
        </w:rPr>
        <w:t>-1</w:t>
      </w:r>
      <w:r w:rsidRPr="00F46BA7">
        <w:rPr>
          <w:rFonts w:cs="Times New Roman"/>
        </w:rPr>
        <w:t xml:space="preserve">. </w:t>
      </w:r>
      <w:r w:rsidRPr="00F46BA7">
        <w:rPr>
          <w:rFonts w:cs="Times New Roman"/>
          <w:color w:val="000000"/>
        </w:rPr>
        <w:t>Treatments were applied on 1 and 14 Oc</w:t>
      </w:r>
      <w:r w:rsidR="005E3815">
        <w:rPr>
          <w:rFonts w:cs="Times New Roman"/>
          <w:color w:val="000000"/>
        </w:rPr>
        <w:t>tober 2013 for experimental runs</w:t>
      </w:r>
      <w:r w:rsidRPr="00F46BA7">
        <w:rPr>
          <w:rFonts w:cs="Times New Roman"/>
          <w:color w:val="000000"/>
        </w:rPr>
        <w:t xml:space="preserve"> A and B, respectively.</w:t>
      </w:r>
      <w:r w:rsidR="005A4062">
        <w:rPr>
          <w:rFonts w:cs="Times New Roman"/>
          <w:color w:val="000000"/>
        </w:rPr>
        <w:t xml:space="preserve"> </w:t>
      </w:r>
      <w:r w:rsidRPr="00F46BA7">
        <w:rPr>
          <w:rFonts w:cs="Times New Roman"/>
          <w:color w:val="000000"/>
        </w:rPr>
        <w:t>Data were combined across experimental runs.</w:t>
      </w:r>
    </w:p>
    <w:tbl>
      <w:tblPr>
        <w:tblW w:w="6728" w:type="dxa"/>
        <w:jc w:val="center"/>
        <w:tblLayout w:type="fixed"/>
        <w:tblLook w:val="04A0" w:firstRow="1" w:lastRow="0" w:firstColumn="1" w:lastColumn="0" w:noHBand="0" w:noVBand="1"/>
      </w:tblPr>
      <w:tblGrid>
        <w:gridCol w:w="2070"/>
        <w:gridCol w:w="1827"/>
        <w:gridCol w:w="630"/>
        <w:gridCol w:w="630"/>
        <w:gridCol w:w="637"/>
        <w:gridCol w:w="540"/>
        <w:gridCol w:w="394"/>
      </w:tblGrid>
      <w:tr w:rsidR="005A4062" w:rsidRPr="00F46BA7" w14:paraId="1AD0EF4A" w14:textId="5FDD91D4" w:rsidTr="001B199C">
        <w:trPr>
          <w:jc w:val="center"/>
        </w:trPr>
        <w:tc>
          <w:tcPr>
            <w:tcW w:w="2070" w:type="dxa"/>
            <w:tcBorders>
              <w:top w:val="nil"/>
              <w:left w:val="nil"/>
              <w:bottom w:val="single" w:sz="4" w:space="0" w:color="auto"/>
              <w:right w:val="nil"/>
            </w:tcBorders>
            <w:vAlign w:val="bottom"/>
          </w:tcPr>
          <w:p w14:paraId="05AE2715" w14:textId="77777777" w:rsidR="005A4062" w:rsidRPr="00F46BA7" w:rsidRDefault="005A4062" w:rsidP="00F46BA7">
            <w:pPr>
              <w:jc w:val="center"/>
              <w:rPr>
                <w:rFonts w:cs="Times New Roman"/>
                <w:sz w:val="20"/>
                <w:szCs w:val="20"/>
              </w:rPr>
            </w:pPr>
          </w:p>
        </w:tc>
        <w:tc>
          <w:tcPr>
            <w:tcW w:w="1827" w:type="dxa"/>
            <w:tcBorders>
              <w:top w:val="nil"/>
              <w:left w:val="nil"/>
              <w:bottom w:val="single" w:sz="4" w:space="0" w:color="auto"/>
              <w:right w:val="nil"/>
            </w:tcBorders>
          </w:tcPr>
          <w:p w14:paraId="051DFA5E" w14:textId="77777777" w:rsidR="005A4062" w:rsidRPr="00F46BA7" w:rsidRDefault="005A4062" w:rsidP="00F46BA7">
            <w:pPr>
              <w:jc w:val="center"/>
              <w:rPr>
                <w:rFonts w:cs="Times New Roman"/>
                <w:sz w:val="20"/>
                <w:szCs w:val="20"/>
              </w:rPr>
            </w:pPr>
          </w:p>
        </w:tc>
        <w:tc>
          <w:tcPr>
            <w:tcW w:w="1260" w:type="dxa"/>
            <w:gridSpan w:val="2"/>
            <w:tcBorders>
              <w:top w:val="nil"/>
              <w:left w:val="nil"/>
              <w:bottom w:val="single" w:sz="4" w:space="0" w:color="auto"/>
              <w:right w:val="nil"/>
            </w:tcBorders>
          </w:tcPr>
          <w:p w14:paraId="6A1AA24A" w14:textId="77777777" w:rsidR="005A4062" w:rsidRPr="00F46BA7" w:rsidRDefault="005A4062" w:rsidP="00F46BA7">
            <w:pPr>
              <w:jc w:val="center"/>
              <w:rPr>
                <w:rFonts w:cs="Times New Roman"/>
                <w:sz w:val="20"/>
                <w:szCs w:val="20"/>
              </w:rPr>
            </w:pPr>
          </w:p>
        </w:tc>
        <w:tc>
          <w:tcPr>
            <w:tcW w:w="1571" w:type="dxa"/>
            <w:gridSpan w:val="3"/>
            <w:tcBorders>
              <w:top w:val="nil"/>
              <w:left w:val="nil"/>
              <w:bottom w:val="single" w:sz="4" w:space="0" w:color="auto"/>
              <w:right w:val="nil"/>
            </w:tcBorders>
          </w:tcPr>
          <w:p w14:paraId="523068C7" w14:textId="77777777" w:rsidR="005A4062" w:rsidRPr="00F46BA7" w:rsidRDefault="005A4062" w:rsidP="00F46BA7">
            <w:pPr>
              <w:jc w:val="center"/>
              <w:rPr>
                <w:rFonts w:cs="Times New Roman"/>
                <w:sz w:val="20"/>
                <w:szCs w:val="20"/>
              </w:rPr>
            </w:pPr>
          </w:p>
        </w:tc>
      </w:tr>
      <w:tr w:rsidR="005A4062" w:rsidRPr="00F46BA7" w14:paraId="3494CACE" w14:textId="26307050" w:rsidTr="001B199C">
        <w:trPr>
          <w:jc w:val="center"/>
        </w:trPr>
        <w:tc>
          <w:tcPr>
            <w:tcW w:w="2070" w:type="dxa"/>
            <w:tcBorders>
              <w:top w:val="single" w:sz="4" w:space="0" w:color="auto"/>
              <w:left w:val="nil"/>
              <w:bottom w:val="single" w:sz="4" w:space="0" w:color="auto"/>
              <w:right w:val="nil"/>
            </w:tcBorders>
            <w:vAlign w:val="bottom"/>
          </w:tcPr>
          <w:p w14:paraId="5C78ADC4" w14:textId="77777777" w:rsidR="005A4062" w:rsidRPr="00F46BA7" w:rsidRDefault="005A4062" w:rsidP="00F46BA7">
            <w:pPr>
              <w:jc w:val="center"/>
              <w:rPr>
                <w:rFonts w:cs="Times New Roman"/>
                <w:sz w:val="20"/>
                <w:szCs w:val="20"/>
              </w:rPr>
            </w:pPr>
            <w:r w:rsidRPr="00F46BA7">
              <w:rPr>
                <w:rFonts w:cs="Times New Roman"/>
                <w:sz w:val="20"/>
                <w:szCs w:val="20"/>
              </w:rPr>
              <w:t>Cloquintocet-mexyl</w:t>
            </w:r>
            <w:r w:rsidRPr="00F46BA7">
              <w:rPr>
                <w:rFonts w:cs="Times New Roman"/>
                <w:sz w:val="20"/>
                <w:szCs w:val="20"/>
                <w:vertAlign w:val="superscript"/>
              </w:rPr>
              <w:t>a</w:t>
            </w:r>
          </w:p>
        </w:tc>
        <w:tc>
          <w:tcPr>
            <w:tcW w:w="1827" w:type="dxa"/>
            <w:tcBorders>
              <w:top w:val="single" w:sz="4" w:space="0" w:color="auto"/>
              <w:left w:val="nil"/>
              <w:bottom w:val="single" w:sz="4" w:space="0" w:color="auto"/>
              <w:right w:val="nil"/>
            </w:tcBorders>
            <w:vAlign w:val="bottom"/>
          </w:tcPr>
          <w:p w14:paraId="1CAF27C6" w14:textId="77777777" w:rsidR="005A4062" w:rsidRPr="00F46BA7" w:rsidRDefault="005A4062" w:rsidP="00F46BA7">
            <w:pPr>
              <w:jc w:val="center"/>
              <w:rPr>
                <w:rFonts w:cs="Times New Roman"/>
                <w:sz w:val="20"/>
                <w:szCs w:val="20"/>
              </w:rPr>
            </w:pPr>
            <w:r w:rsidRPr="00F46BA7">
              <w:rPr>
                <w:rFonts w:cs="Times New Roman"/>
                <w:sz w:val="20"/>
                <w:szCs w:val="20"/>
              </w:rPr>
              <w:t>Herbicide</w:t>
            </w:r>
            <w:proofErr w:type="gramStart"/>
            <w:r w:rsidRPr="00F46BA7">
              <w:rPr>
                <w:rFonts w:cs="Times New Roman"/>
                <w:sz w:val="20"/>
                <w:szCs w:val="20"/>
              </w:rPr>
              <w:t>:safener</w:t>
            </w:r>
            <w:proofErr w:type="gramEnd"/>
          </w:p>
        </w:tc>
        <w:tc>
          <w:tcPr>
            <w:tcW w:w="1260" w:type="dxa"/>
            <w:gridSpan w:val="2"/>
            <w:tcBorders>
              <w:top w:val="single" w:sz="4" w:space="0" w:color="auto"/>
              <w:left w:val="nil"/>
              <w:bottom w:val="single" w:sz="4" w:space="0" w:color="auto"/>
              <w:right w:val="nil"/>
            </w:tcBorders>
            <w:vAlign w:val="bottom"/>
          </w:tcPr>
          <w:p w14:paraId="06959C2B" w14:textId="77777777" w:rsidR="005A4062" w:rsidRPr="00F46BA7" w:rsidRDefault="005A4062" w:rsidP="00F46BA7">
            <w:pPr>
              <w:jc w:val="center"/>
              <w:rPr>
                <w:rFonts w:cs="Times New Roman"/>
                <w:sz w:val="20"/>
                <w:szCs w:val="20"/>
              </w:rPr>
            </w:pPr>
            <w:r w:rsidRPr="00F46BA7">
              <w:rPr>
                <w:rFonts w:cs="Times New Roman"/>
                <w:sz w:val="20"/>
                <w:szCs w:val="20"/>
              </w:rPr>
              <w:t>2 WAT</w:t>
            </w:r>
            <w:r w:rsidRPr="00F46BA7">
              <w:rPr>
                <w:rFonts w:cs="Times New Roman"/>
                <w:sz w:val="20"/>
                <w:szCs w:val="20"/>
                <w:vertAlign w:val="superscript"/>
              </w:rPr>
              <w:t>b</w:t>
            </w:r>
          </w:p>
        </w:tc>
        <w:tc>
          <w:tcPr>
            <w:tcW w:w="1571" w:type="dxa"/>
            <w:gridSpan w:val="3"/>
            <w:tcBorders>
              <w:top w:val="single" w:sz="4" w:space="0" w:color="auto"/>
              <w:left w:val="nil"/>
              <w:bottom w:val="single" w:sz="4" w:space="0" w:color="auto"/>
              <w:right w:val="nil"/>
            </w:tcBorders>
          </w:tcPr>
          <w:p w14:paraId="2B51749F" w14:textId="6DC320AE" w:rsidR="005A4062" w:rsidRPr="00F46BA7" w:rsidRDefault="005A4062" w:rsidP="00F46BA7">
            <w:pPr>
              <w:jc w:val="center"/>
              <w:rPr>
                <w:rFonts w:cs="Times New Roman"/>
                <w:sz w:val="20"/>
                <w:szCs w:val="20"/>
              </w:rPr>
            </w:pPr>
            <w:r>
              <w:rPr>
                <w:rFonts w:cs="Times New Roman"/>
                <w:sz w:val="20"/>
                <w:szCs w:val="20"/>
              </w:rPr>
              <w:t>% Green cover</w:t>
            </w:r>
          </w:p>
        </w:tc>
      </w:tr>
      <w:tr w:rsidR="005A4062" w:rsidRPr="00F46BA7" w14:paraId="48CD681D" w14:textId="6EF3BD25" w:rsidTr="001B199C">
        <w:trPr>
          <w:trHeight w:val="269"/>
          <w:jc w:val="center"/>
        </w:trPr>
        <w:tc>
          <w:tcPr>
            <w:tcW w:w="2070" w:type="dxa"/>
            <w:tcBorders>
              <w:top w:val="single" w:sz="4" w:space="0" w:color="auto"/>
              <w:left w:val="nil"/>
              <w:bottom w:val="nil"/>
              <w:right w:val="nil"/>
            </w:tcBorders>
            <w:vAlign w:val="bottom"/>
          </w:tcPr>
          <w:p w14:paraId="4B35089E" w14:textId="77777777" w:rsidR="005A4062" w:rsidRPr="00F46BA7" w:rsidRDefault="005A4062" w:rsidP="00F46BA7">
            <w:pPr>
              <w:jc w:val="center"/>
              <w:rPr>
                <w:rFonts w:cs="Times New Roman"/>
                <w:sz w:val="20"/>
                <w:szCs w:val="20"/>
              </w:rPr>
            </w:pPr>
            <w:proofErr w:type="gramStart"/>
            <w:r w:rsidRPr="00F46BA7">
              <w:rPr>
                <w:rFonts w:cs="Times New Roman"/>
                <w:sz w:val="20"/>
                <w:szCs w:val="20"/>
              </w:rPr>
              <w:t>g</w:t>
            </w:r>
            <w:proofErr w:type="gramEnd"/>
            <w:r w:rsidRPr="00F46BA7">
              <w:rPr>
                <w:rFonts w:cs="Times New Roman"/>
                <w:sz w:val="20"/>
                <w:szCs w:val="20"/>
              </w:rPr>
              <w:t xml:space="preserve"> ha</w:t>
            </w:r>
            <w:r w:rsidRPr="00F46BA7">
              <w:rPr>
                <w:rFonts w:cs="Times New Roman"/>
                <w:sz w:val="20"/>
                <w:szCs w:val="20"/>
                <w:vertAlign w:val="superscript"/>
              </w:rPr>
              <w:t>-1</w:t>
            </w:r>
          </w:p>
        </w:tc>
        <w:tc>
          <w:tcPr>
            <w:tcW w:w="1827" w:type="dxa"/>
            <w:tcBorders>
              <w:top w:val="single" w:sz="4" w:space="0" w:color="auto"/>
              <w:left w:val="nil"/>
              <w:bottom w:val="nil"/>
              <w:right w:val="nil"/>
            </w:tcBorders>
          </w:tcPr>
          <w:p w14:paraId="4C986FB0" w14:textId="77777777" w:rsidR="005A4062" w:rsidRPr="00F46BA7" w:rsidRDefault="005A4062" w:rsidP="00F46BA7">
            <w:pPr>
              <w:tabs>
                <w:tab w:val="center" w:pos="4320"/>
                <w:tab w:val="right" w:pos="8640"/>
              </w:tabs>
              <w:jc w:val="center"/>
              <w:rPr>
                <w:rFonts w:cs="Times New Roman"/>
                <w:sz w:val="20"/>
                <w:szCs w:val="20"/>
              </w:rPr>
            </w:pPr>
          </w:p>
        </w:tc>
        <w:tc>
          <w:tcPr>
            <w:tcW w:w="1260" w:type="dxa"/>
            <w:gridSpan w:val="2"/>
            <w:tcBorders>
              <w:top w:val="single" w:sz="4" w:space="0" w:color="auto"/>
              <w:left w:val="nil"/>
              <w:bottom w:val="nil"/>
              <w:right w:val="nil"/>
            </w:tcBorders>
          </w:tcPr>
          <w:p w14:paraId="0F01880F" w14:textId="77777777" w:rsidR="005A4062" w:rsidRPr="00F46BA7" w:rsidRDefault="005A4062" w:rsidP="00F46BA7">
            <w:pPr>
              <w:jc w:val="center"/>
              <w:rPr>
                <w:rFonts w:cs="Times New Roman"/>
                <w:sz w:val="20"/>
                <w:szCs w:val="20"/>
              </w:rPr>
            </w:pPr>
            <w:r w:rsidRPr="00F46BA7">
              <w:rPr>
                <w:rFonts w:cs="Times New Roman"/>
                <w:sz w:val="20"/>
                <w:szCs w:val="20"/>
                <w:vertAlign w:val="superscript"/>
              </w:rPr>
              <w:t>___</w:t>
            </w:r>
            <w:r w:rsidRPr="00F46BA7">
              <w:rPr>
                <w:rFonts w:cs="Times New Roman"/>
                <w:sz w:val="20"/>
                <w:szCs w:val="20"/>
              </w:rPr>
              <w:t>%</w:t>
            </w:r>
            <w:r w:rsidRPr="00F46BA7">
              <w:rPr>
                <w:rFonts w:cs="Times New Roman"/>
                <w:sz w:val="20"/>
                <w:szCs w:val="20"/>
                <w:vertAlign w:val="superscript"/>
              </w:rPr>
              <w:t>___</w:t>
            </w:r>
          </w:p>
        </w:tc>
        <w:tc>
          <w:tcPr>
            <w:tcW w:w="1571" w:type="dxa"/>
            <w:gridSpan w:val="3"/>
            <w:tcBorders>
              <w:top w:val="single" w:sz="4" w:space="0" w:color="auto"/>
              <w:left w:val="nil"/>
              <w:bottom w:val="nil"/>
              <w:right w:val="nil"/>
            </w:tcBorders>
          </w:tcPr>
          <w:p w14:paraId="17AC15ED" w14:textId="1D5635F9" w:rsidR="005A4062" w:rsidRPr="00F46BA7" w:rsidRDefault="005A4062" w:rsidP="00F46BA7">
            <w:pPr>
              <w:jc w:val="center"/>
              <w:rPr>
                <w:rFonts w:cs="Times New Roman"/>
                <w:sz w:val="20"/>
                <w:szCs w:val="20"/>
                <w:vertAlign w:val="superscript"/>
              </w:rPr>
            </w:pPr>
            <w:r w:rsidRPr="00F46BA7">
              <w:rPr>
                <w:rFonts w:cs="Times New Roman"/>
                <w:sz w:val="20"/>
                <w:szCs w:val="20"/>
                <w:vertAlign w:val="superscript"/>
              </w:rPr>
              <w:t>___</w:t>
            </w:r>
            <w:r w:rsidRPr="00F46BA7">
              <w:rPr>
                <w:rFonts w:cs="Times New Roman"/>
                <w:sz w:val="20"/>
                <w:szCs w:val="20"/>
              </w:rPr>
              <w:t>%</w:t>
            </w:r>
            <w:r>
              <w:rPr>
                <w:rFonts w:cs="Times New Roman"/>
                <w:sz w:val="20"/>
                <w:szCs w:val="20"/>
              </w:rPr>
              <w:t xml:space="preserve"> </w:t>
            </w:r>
            <w:proofErr w:type="gramStart"/>
            <w:r>
              <w:rPr>
                <w:rFonts w:cs="Times New Roman"/>
                <w:sz w:val="20"/>
                <w:szCs w:val="20"/>
              </w:rPr>
              <w:t>chk</w:t>
            </w:r>
            <w:r>
              <w:rPr>
                <w:rFonts w:cs="Times New Roman"/>
                <w:sz w:val="20"/>
                <w:szCs w:val="20"/>
                <w:vertAlign w:val="superscript"/>
              </w:rPr>
              <w:t>d</w:t>
            </w:r>
            <w:proofErr w:type="gramEnd"/>
            <w:r w:rsidRPr="00F46BA7">
              <w:rPr>
                <w:rFonts w:cs="Times New Roman"/>
                <w:sz w:val="20"/>
                <w:szCs w:val="20"/>
                <w:vertAlign w:val="superscript"/>
              </w:rPr>
              <w:t>___</w:t>
            </w:r>
          </w:p>
        </w:tc>
      </w:tr>
      <w:tr w:rsidR="005A4062" w:rsidRPr="00F46BA7" w14:paraId="52A32DF3" w14:textId="3FD1E4B6" w:rsidTr="001B199C">
        <w:trPr>
          <w:gridAfter w:val="1"/>
          <w:wAfter w:w="394" w:type="dxa"/>
          <w:jc w:val="center"/>
        </w:trPr>
        <w:tc>
          <w:tcPr>
            <w:tcW w:w="2070" w:type="dxa"/>
            <w:tcBorders>
              <w:top w:val="nil"/>
              <w:left w:val="nil"/>
              <w:bottom w:val="nil"/>
              <w:right w:val="nil"/>
            </w:tcBorders>
            <w:vAlign w:val="bottom"/>
          </w:tcPr>
          <w:p w14:paraId="0B1FF103" w14:textId="77777777" w:rsidR="005A4062" w:rsidRPr="00F46BA7" w:rsidRDefault="005A4062" w:rsidP="00F46BA7">
            <w:pPr>
              <w:jc w:val="center"/>
              <w:rPr>
                <w:rFonts w:cs="Times New Roman"/>
                <w:sz w:val="20"/>
                <w:szCs w:val="20"/>
              </w:rPr>
            </w:pPr>
            <w:r w:rsidRPr="00F46BA7">
              <w:rPr>
                <w:rFonts w:cs="Times New Roman"/>
                <w:sz w:val="20"/>
                <w:szCs w:val="20"/>
              </w:rPr>
              <w:t>0</w:t>
            </w:r>
          </w:p>
        </w:tc>
        <w:tc>
          <w:tcPr>
            <w:tcW w:w="1827" w:type="dxa"/>
            <w:tcBorders>
              <w:top w:val="nil"/>
              <w:left w:val="nil"/>
              <w:bottom w:val="nil"/>
              <w:right w:val="nil"/>
            </w:tcBorders>
          </w:tcPr>
          <w:p w14:paraId="636DB6B6" w14:textId="77777777" w:rsidR="005A4062" w:rsidRPr="00F46BA7" w:rsidRDefault="005A4062" w:rsidP="00F46BA7">
            <w:pPr>
              <w:jc w:val="center"/>
              <w:rPr>
                <w:rFonts w:cs="Times New Roman"/>
                <w:sz w:val="20"/>
                <w:szCs w:val="20"/>
              </w:rPr>
            </w:pPr>
            <w:r w:rsidRPr="00F46BA7">
              <w:rPr>
                <w:rFonts w:cs="Times New Roman"/>
                <w:sz w:val="20"/>
                <w:szCs w:val="20"/>
              </w:rPr>
              <w:t>0</w:t>
            </w:r>
          </w:p>
        </w:tc>
        <w:tc>
          <w:tcPr>
            <w:tcW w:w="630" w:type="dxa"/>
            <w:tcBorders>
              <w:top w:val="nil"/>
              <w:left w:val="nil"/>
              <w:bottom w:val="nil"/>
              <w:right w:val="nil"/>
            </w:tcBorders>
          </w:tcPr>
          <w:p w14:paraId="03074DEC" w14:textId="77777777" w:rsidR="005A4062" w:rsidRPr="00F46BA7" w:rsidRDefault="005A4062" w:rsidP="00F46BA7">
            <w:pPr>
              <w:jc w:val="center"/>
              <w:rPr>
                <w:rFonts w:cs="Times New Roman"/>
                <w:sz w:val="20"/>
                <w:szCs w:val="20"/>
              </w:rPr>
            </w:pPr>
            <w:r w:rsidRPr="00F46BA7">
              <w:rPr>
                <w:rFonts w:cs="Times New Roman"/>
                <w:sz w:val="20"/>
                <w:szCs w:val="20"/>
              </w:rPr>
              <w:t>23</w:t>
            </w:r>
          </w:p>
        </w:tc>
        <w:tc>
          <w:tcPr>
            <w:tcW w:w="630" w:type="dxa"/>
            <w:tcBorders>
              <w:top w:val="nil"/>
              <w:left w:val="nil"/>
              <w:bottom w:val="nil"/>
              <w:right w:val="nil"/>
            </w:tcBorders>
          </w:tcPr>
          <w:p w14:paraId="4A44F621" w14:textId="77777777" w:rsidR="005A4062" w:rsidRPr="00F46BA7" w:rsidRDefault="005A4062" w:rsidP="00F46BA7">
            <w:pPr>
              <w:jc w:val="center"/>
              <w:rPr>
                <w:rFonts w:cs="Times New Roman"/>
                <w:sz w:val="20"/>
                <w:szCs w:val="20"/>
              </w:rPr>
            </w:pPr>
            <w:proofErr w:type="gramStart"/>
            <w:r w:rsidRPr="00F46BA7">
              <w:rPr>
                <w:rFonts w:cs="Times New Roman"/>
                <w:sz w:val="20"/>
                <w:szCs w:val="20"/>
              </w:rPr>
              <w:t>ab</w:t>
            </w:r>
            <w:r w:rsidRPr="00F46BA7">
              <w:rPr>
                <w:rFonts w:cs="Times New Roman"/>
                <w:sz w:val="20"/>
                <w:szCs w:val="20"/>
                <w:vertAlign w:val="superscript"/>
              </w:rPr>
              <w:t>c</w:t>
            </w:r>
            <w:proofErr w:type="gramEnd"/>
          </w:p>
        </w:tc>
        <w:tc>
          <w:tcPr>
            <w:tcW w:w="637" w:type="dxa"/>
            <w:tcBorders>
              <w:top w:val="nil"/>
              <w:left w:val="nil"/>
              <w:right w:val="nil"/>
            </w:tcBorders>
          </w:tcPr>
          <w:p w14:paraId="33E5EAB0" w14:textId="5C7AC63C" w:rsidR="005A4062" w:rsidRPr="00F46BA7" w:rsidRDefault="005A4062" w:rsidP="00F46BA7">
            <w:pPr>
              <w:jc w:val="center"/>
              <w:rPr>
                <w:rFonts w:cs="Times New Roman"/>
                <w:sz w:val="20"/>
                <w:szCs w:val="20"/>
              </w:rPr>
            </w:pPr>
            <w:r>
              <w:rPr>
                <w:rFonts w:cs="Times New Roman"/>
                <w:sz w:val="20"/>
                <w:szCs w:val="20"/>
              </w:rPr>
              <w:t>87</w:t>
            </w:r>
          </w:p>
        </w:tc>
        <w:tc>
          <w:tcPr>
            <w:tcW w:w="540" w:type="dxa"/>
            <w:tcBorders>
              <w:top w:val="nil"/>
              <w:left w:val="nil"/>
              <w:right w:val="nil"/>
            </w:tcBorders>
          </w:tcPr>
          <w:p w14:paraId="723FFC1F" w14:textId="66F42FD9" w:rsidR="005A4062" w:rsidRPr="00F46BA7" w:rsidRDefault="005A4062" w:rsidP="00F46BA7">
            <w:pPr>
              <w:jc w:val="center"/>
              <w:rPr>
                <w:rFonts w:cs="Times New Roman"/>
                <w:sz w:val="20"/>
                <w:szCs w:val="20"/>
              </w:rPr>
            </w:pPr>
            <w:proofErr w:type="gramStart"/>
            <w:r>
              <w:rPr>
                <w:rFonts w:cs="Times New Roman"/>
                <w:sz w:val="20"/>
                <w:szCs w:val="20"/>
              </w:rPr>
              <w:t>a</w:t>
            </w:r>
            <w:proofErr w:type="gramEnd"/>
          </w:p>
        </w:tc>
      </w:tr>
      <w:tr w:rsidR="005A4062" w:rsidRPr="00F46BA7" w14:paraId="74140467" w14:textId="1BB82195" w:rsidTr="001B199C">
        <w:trPr>
          <w:gridAfter w:val="1"/>
          <w:wAfter w:w="394" w:type="dxa"/>
          <w:jc w:val="center"/>
        </w:trPr>
        <w:tc>
          <w:tcPr>
            <w:tcW w:w="2070" w:type="dxa"/>
            <w:tcBorders>
              <w:top w:val="nil"/>
              <w:left w:val="nil"/>
              <w:bottom w:val="nil"/>
              <w:right w:val="nil"/>
            </w:tcBorders>
            <w:vAlign w:val="bottom"/>
          </w:tcPr>
          <w:p w14:paraId="5926AB94" w14:textId="77777777" w:rsidR="005A4062" w:rsidRPr="00F46BA7" w:rsidRDefault="005A4062" w:rsidP="00F46BA7">
            <w:pPr>
              <w:jc w:val="center"/>
              <w:rPr>
                <w:rFonts w:cs="Times New Roman"/>
                <w:sz w:val="20"/>
                <w:szCs w:val="20"/>
              </w:rPr>
            </w:pPr>
            <w:r w:rsidRPr="00F46BA7">
              <w:rPr>
                <w:rFonts w:cs="Times New Roman"/>
                <w:sz w:val="20"/>
                <w:szCs w:val="20"/>
              </w:rPr>
              <w:t>9</w:t>
            </w:r>
          </w:p>
        </w:tc>
        <w:tc>
          <w:tcPr>
            <w:tcW w:w="1827" w:type="dxa"/>
            <w:tcBorders>
              <w:top w:val="nil"/>
              <w:left w:val="nil"/>
              <w:bottom w:val="nil"/>
              <w:right w:val="nil"/>
            </w:tcBorders>
          </w:tcPr>
          <w:p w14:paraId="3B91209C" w14:textId="77777777" w:rsidR="005A4062" w:rsidRPr="00F46BA7" w:rsidRDefault="005A4062" w:rsidP="00F46BA7">
            <w:pPr>
              <w:jc w:val="center"/>
              <w:rPr>
                <w:rFonts w:cs="Times New Roman"/>
                <w:sz w:val="20"/>
                <w:szCs w:val="20"/>
              </w:rPr>
            </w:pPr>
            <w:r w:rsidRPr="00F46BA7">
              <w:rPr>
                <w:rFonts w:cs="Times New Roman"/>
                <w:sz w:val="20"/>
                <w:szCs w:val="20"/>
              </w:rPr>
              <w:t>4:1</w:t>
            </w:r>
          </w:p>
        </w:tc>
        <w:tc>
          <w:tcPr>
            <w:tcW w:w="630" w:type="dxa"/>
            <w:tcBorders>
              <w:top w:val="nil"/>
              <w:left w:val="nil"/>
              <w:bottom w:val="nil"/>
              <w:right w:val="nil"/>
            </w:tcBorders>
          </w:tcPr>
          <w:p w14:paraId="499CE454" w14:textId="77777777" w:rsidR="005A4062" w:rsidRPr="00F46BA7" w:rsidRDefault="005A4062" w:rsidP="00F46BA7">
            <w:pPr>
              <w:jc w:val="center"/>
              <w:rPr>
                <w:rFonts w:cs="Times New Roman"/>
                <w:sz w:val="20"/>
                <w:szCs w:val="20"/>
              </w:rPr>
            </w:pPr>
            <w:r w:rsidRPr="00F46BA7">
              <w:rPr>
                <w:rFonts w:cs="Times New Roman"/>
                <w:sz w:val="20"/>
                <w:szCs w:val="20"/>
              </w:rPr>
              <w:t>25</w:t>
            </w:r>
          </w:p>
        </w:tc>
        <w:tc>
          <w:tcPr>
            <w:tcW w:w="630" w:type="dxa"/>
            <w:tcBorders>
              <w:top w:val="nil"/>
              <w:left w:val="nil"/>
              <w:bottom w:val="nil"/>
              <w:right w:val="nil"/>
            </w:tcBorders>
          </w:tcPr>
          <w:p w14:paraId="22F03452" w14:textId="77777777" w:rsidR="005A4062" w:rsidRPr="00F46BA7" w:rsidRDefault="005A4062" w:rsidP="00F46BA7">
            <w:pPr>
              <w:jc w:val="center"/>
              <w:rPr>
                <w:rFonts w:cs="Times New Roman"/>
                <w:sz w:val="20"/>
                <w:szCs w:val="20"/>
              </w:rPr>
            </w:pPr>
            <w:proofErr w:type="gramStart"/>
            <w:r w:rsidRPr="00F46BA7">
              <w:rPr>
                <w:rFonts w:cs="Times New Roman"/>
                <w:sz w:val="20"/>
                <w:szCs w:val="20"/>
              </w:rPr>
              <w:t>a</w:t>
            </w:r>
            <w:proofErr w:type="gramEnd"/>
          </w:p>
        </w:tc>
        <w:tc>
          <w:tcPr>
            <w:tcW w:w="637" w:type="dxa"/>
            <w:tcBorders>
              <w:left w:val="nil"/>
              <w:right w:val="nil"/>
            </w:tcBorders>
          </w:tcPr>
          <w:p w14:paraId="7BD28636" w14:textId="6D13C569" w:rsidR="005A4062" w:rsidRPr="00F46BA7" w:rsidRDefault="005A4062" w:rsidP="00F46BA7">
            <w:pPr>
              <w:jc w:val="center"/>
              <w:rPr>
                <w:rFonts w:cs="Times New Roman"/>
                <w:sz w:val="20"/>
                <w:szCs w:val="20"/>
              </w:rPr>
            </w:pPr>
            <w:r>
              <w:rPr>
                <w:rFonts w:cs="Times New Roman"/>
                <w:sz w:val="20"/>
                <w:szCs w:val="20"/>
              </w:rPr>
              <w:t>89</w:t>
            </w:r>
          </w:p>
        </w:tc>
        <w:tc>
          <w:tcPr>
            <w:tcW w:w="540" w:type="dxa"/>
            <w:tcBorders>
              <w:left w:val="nil"/>
              <w:right w:val="nil"/>
            </w:tcBorders>
          </w:tcPr>
          <w:p w14:paraId="01ED0F66" w14:textId="40DC8D52" w:rsidR="005A4062" w:rsidRPr="00F46BA7" w:rsidRDefault="005A4062" w:rsidP="00F46BA7">
            <w:pPr>
              <w:jc w:val="center"/>
              <w:rPr>
                <w:rFonts w:cs="Times New Roman"/>
                <w:sz w:val="20"/>
                <w:szCs w:val="20"/>
              </w:rPr>
            </w:pPr>
            <w:proofErr w:type="gramStart"/>
            <w:r>
              <w:rPr>
                <w:rFonts w:cs="Times New Roman"/>
                <w:sz w:val="20"/>
                <w:szCs w:val="20"/>
              </w:rPr>
              <w:t>a</w:t>
            </w:r>
            <w:proofErr w:type="gramEnd"/>
          </w:p>
        </w:tc>
      </w:tr>
      <w:tr w:rsidR="005A4062" w:rsidRPr="00F46BA7" w14:paraId="740E5447" w14:textId="7E746D5B" w:rsidTr="001B199C">
        <w:trPr>
          <w:gridAfter w:val="1"/>
          <w:wAfter w:w="394" w:type="dxa"/>
          <w:jc w:val="center"/>
        </w:trPr>
        <w:tc>
          <w:tcPr>
            <w:tcW w:w="2070" w:type="dxa"/>
            <w:tcBorders>
              <w:top w:val="nil"/>
              <w:left w:val="nil"/>
              <w:bottom w:val="nil"/>
              <w:right w:val="nil"/>
            </w:tcBorders>
            <w:vAlign w:val="bottom"/>
          </w:tcPr>
          <w:p w14:paraId="3EF9E2B9" w14:textId="77777777" w:rsidR="005A4062" w:rsidRPr="00F46BA7" w:rsidRDefault="005A4062" w:rsidP="00F46BA7">
            <w:pPr>
              <w:jc w:val="center"/>
              <w:rPr>
                <w:rFonts w:cs="Times New Roman"/>
                <w:sz w:val="20"/>
                <w:szCs w:val="20"/>
              </w:rPr>
            </w:pPr>
            <w:r w:rsidRPr="00F46BA7">
              <w:rPr>
                <w:rFonts w:cs="Times New Roman"/>
                <w:sz w:val="20"/>
                <w:szCs w:val="20"/>
              </w:rPr>
              <w:t>19</w:t>
            </w:r>
          </w:p>
        </w:tc>
        <w:tc>
          <w:tcPr>
            <w:tcW w:w="1827" w:type="dxa"/>
            <w:tcBorders>
              <w:top w:val="nil"/>
              <w:left w:val="nil"/>
              <w:bottom w:val="nil"/>
              <w:right w:val="nil"/>
            </w:tcBorders>
          </w:tcPr>
          <w:p w14:paraId="137B9E10" w14:textId="77777777" w:rsidR="005A4062" w:rsidRPr="00F46BA7" w:rsidRDefault="005A4062" w:rsidP="00F46BA7">
            <w:pPr>
              <w:jc w:val="center"/>
              <w:rPr>
                <w:rFonts w:cs="Times New Roman"/>
                <w:sz w:val="20"/>
                <w:szCs w:val="20"/>
              </w:rPr>
            </w:pPr>
            <w:r w:rsidRPr="00F46BA7">
              <w:rPr>
                <w:rFonts w:cs="Times New Roman"/>
                <w:sz w:val="20"/>
                <w:szCs w:val="20"/>
              </w:rPr>
              <w:t>2:1</w:t>
            </w:r>
          </w:p>
        </w:tc>
        <w:tc>
          <w:tcPr>
            <w:tcW w:w="630" w:type="dxa"/>
            <w:tcBorders>
              <w:top w:val="nil"/>
              <w:left w:val="nil"/>
              <w:bottom w:val="nil"/>
              <w:right w:val="nil"/>
            </w:tcBorders>
          </w:tcPr>
          <w:p w14:paraId="086B90E6" w14:textId="77777777" w:rsidR="005A4062" w:rsidRPr="00F46BA7" w:rsidRDefault="005A4062" w:rsidP="00F46BA7">
            <w:pPr>
              <w:jc w:val="center"/>
              <w:rPr>
                <w:rFonts w:cs="Times New Roman"/>
                <w:sz w:val="20"/>
                <w:szCs w:val="20"/>
              </w:rPr>
            </w:pPr>
            <w:r w:rsidRPr="00F46BA7">
              <w:rPr>
                <w:rFonts w:cs="Times New Roman"/>
                <w:sz w:val="20"/>
                <w:szCs w:val="20"/>
              </w:rPr>
              <w:t>15</w:t>
            </w:r>
          </w:p>
        </w:tc>
        <w:tc>
          <w:tcPr>
            <w:tcW w:w="630" w:type="dxa"/>
            <w:tcBorders>
              <w:top w:val="nil"/>
              <w:left w:val="nil"/>
              <w:bottom w:val="nil"/>
              <w:right w:val="nil"/>
            </w:tcBorders>
          </w:tcPr>
          <w:p w14:paraId="21A28D2A" w14:textId="77777777" w:rsidR="005A4062" w:rsidRPr="00F46BA7" w:rsidRDefault="005A4062" w:rsidP="00F46BA7">
            <w:pPr>
              <w:jc w:val="center"/>
              <w:rPr>
                <w:rFonts w:cs="Times New Roman"/>
                <w:sz w:val="20"/>
                <w:szCs w:val="20"/>
              </w:rPr>
            </w:pPr>
            <w:proofErr w:type="gramStart"/>
            <w:r w:rsidRPr="00F46BA7">
              <w:rPr>
                <w:rFonts w:cs="Times New Roman"/>
                <w:sz w:val="20"/>
                <w:szCs w:val="20"/>
              </w:rPr>
              <w:t>bc</w:t>
            </w:r>
            <w:proofErr w:type="gramEnd"/>
          </w:p>
        </w:tc>
        <w:tc>
          <w:tcPr>
            <w:tcW w:w="637" w:type="dxa"/>
            <w:tcBorders>
              <w:left w:val="nil"/>
              <w:right w:val="nil"/>
            </w:tcBorders>
          </w:tcPr>
          <w:p w14:paraId="6866E25D" w14:textId="2A893047" w:rsidR="005A4062" w:rsidRPr="00F46BA7" w:rsidRDefault="005A4062" w:rsidP="00F46BA7">
            <w:pPr>
              <w:jc w:val="center"/>
              <w:rPr>
                <w:rFonts w:cs="Times New Roman"/>
                <w:sz w:val="20"/>
                <w:szCs w:val="20"/>
              </w:rPr>
            </w:pPr>
            <w:r>
              <w:rPr>
                <w:rFonts w:cs="Times New Roman"/>
                <w:sz w:val="20"/>
                <w:szCs w:val="20"/>
              </w:rPr>
              <w:t>99</w:t>
            </w:r>
          </w:p>
        </w:tc>
        <w:tc>
          <w:tcPr>
            <w:tcW w:w="540" w:type="dxa"/>
            <w:tcBorders>
              <w:left w:val="nil"/>
              <w:right w:val="nil"/>
            </w:tcBorders>
          </w:tcPr>
          <w:p w14:paraId="539429D4" w14:textId="6826556F" w:rsidR="005A4062" w:rsidRPr="00F46BA7" w:rsidRDefault="005A4062" w:rsidP="00F46BA7">
            <w:pPr>
              <w:jc w:val="center"/>
              <w:rPr>
                <w:rFonts w:cs="Times New Roman"/>
                <w:sz w:val="20"/>
                <w:szCs w:val="20"/>
              </w:rPr>
            </w:pPr>
            <w:proofErr w:type="gramStart"/>
            <w:r>
              <w:rPr>
                <w:rFonts w:cs="Times New Roman"/>
                <w:sz w:val="20"/>
                <w:szCs w:val="20"/>
              </w:rPr>
              <w:t>a</w:t>
            </w:r>
            <w:proofErr w:type="gramEnd"/>
          </w:p>
        </w:tc>
      </w:tr>
      <w:tr w:rsidR="005A4062" w:rsidRPr="00B0272E" w14:paraId="20B9819C" w14:textId="76159ED3" w:rsidTr="001B199C">
        <w:trPr>
          <w:gridAfter w:val="1"/>
          <w:wAfter w:w="394" w:type="dxa"/>
          <w:jc w:val="center"/>
        </w:trPr>
        <w:tc>
          <w:tcPr>
            <w:tcW w:w="2070" w:type="dxa"/>
            <w:tcBorders>
              <w:top w:val="nil"/>
              <w:left w:val="nil"/>
              <w:bottom w:val="nil"/>
              <w:right w:val="nil"/>
            </w:tcBorders>
            <w:vAlign w:val="bottom"/>
          </w:tcPr>
          <w:p w14:paraId="64C427B2" w14:textId="77777777" w:rsidR="005A4062" w:rsidRPr="00F46BA7" w:rsidRDefault="005A4062" w:rsidP="00F46BA7">
            <w:pPr>
              <w:jc w:val="center"/>
              <w:rPr>
                <w:rFonts w:cs="Times New Roman"/>
                <w:sz w:val="20"/>
                <w:szCs w:val="20"/>
              </w:rPr>
            </w:pPr>
            <w:r w:rsidRPr="00F46BA7">
              <w:rPr>
                <w:rFonts w:cs="Times New Roman"/>
                <w:sz w:val="20"/>
                <w:szCs w:val="20"/>
              </w:rPr>
              <w:t>28</w:t>
            </w:r>
          </w:p>
        </w:tc>
        <w:tc>
          <w:tcPr>
            <w:tcW w:w="1827" w:type="dxa"/>
            <w:tcBorders>
              <w:top w:val="nil"/>
              <w:left w:val="nil"/>
              <w:bottom w:val="nil"/>
              <w:right w:val="nil"/>
            </w:tcBorders>
          </w:tcPr>
          <w:p w14:paraId="5433B3E6" w14:textId="77777777" w:rsidR="005A4062" w:rsidRPr="00F46BA7" w:rsidRDefault="005A4062" w:rsidP="00F46BA7">
            <w:pPr>
              <w:jc w:val="center"/>
              <w:rPr>
                <w:rFonts w:cs="Times New Roman"/>
                <w:sz w:val="20"/>
                <w:szCs w:val="20"/>
              </w:rPr>
            </w:pPr>
            <w:r w:rsidRPr="00F46BA7">
              <w:rPr>
                <w:rFonts w:cs="Times New Roman"/>
                <w:sz w:val="20"/>
                <w:szCs w:val="20"/>
              </w:rPr>
              <w:t>4:3</w:t>
            </w:r>
          </w:p>
        </w:tc>
        <w:tc>
          <w:tcPr>
            <w:tcW w:w="630" w:type="dxa"/>
            <w:tcBorders>
              <w:top w:val="nil"/>
              <w:left w:val="nil"/>
              <w:bottom w:val="nil"/>
              <w:right w:val="nil"/>
            </w:tcBorders>
          </w:tcPr>
          <w:p w14:paraId="5E896F65" w14:textId="77777777" w:rsidR="005A4062" w:rsidRPr="00F46BA7" w:rsidRDefault="005A4062" w:rsidP="00F46BA7">
            <w:pPr>
              <w:jc w:val="center"/>
              <w:rPr>
                <w:rFonts w:cs="Times New Roman"/>
                <w:sz w:val="20"/>
                <w:szCs w:val="20"/>
              </w:rPr>
            </w:pPr>
            <w:r w:rsidRPr="00F46BA7">
              <w:rPr>
                <w:rFonts w:cs="Times New Roman"/>
                <w:sz w:val="20"/>
                <w:szCs w:val="20"/>
              </w:rPr>
              <w:t>11</w:t>
            </w:r>
          </w:p>
        </w:tc>
        <w:tc>
          <w:tcPr>
            <w:tcW w:w="630" w:type="dxa"/>
            <w:tcBorders>
              <w:top w:val="nil"/>
              <w:left w:val="nil"/>
              <w:bottom w:val="nil"/>
              <w:right w:val="nil"/>
            </w:tcBorders>
          </w:tcPr>
          <w:p w14:paraId="598364A9" w14:textId="77777777" w:rsidR="005A4062" w:rsidRPr="00F46BA7" w:rsidRDefault="005A4062" w:rsidP="00F46BA7">
            <w:pPr>
              <w:jc w:val="center"/>
              <w:rPr>
                <w:rFonts w:cs="Times New Roman"/>
                <w:sz w:val="20"/>
                <w:szCs w:val="20"/>
              </w:rPr>
            </w:pPr>
            <w:proofErr w:type="gramStart"/>
            <w:r w:rsidRPr="00F46BA7">
              <w:rPr>
                <w:rFonts w:cs="Times New Roman"/>
                <w:sz w:val="20"/>
                <w:szCs w:val="20"/>
              </w:rPr>
              <w:t>dc</w:t>
            </w:r>
            <w:proofErr w:type="gramEnd"/>
          </w:p>
        </w:tc>
        <w:tc>
          <w:tcPr>
            <w:tcW w:w="637" w:type="dxa"/>
            <w:tcBorders>
              <w:left w:val="nil"/>
              <w:right w:val="nil"/>
            </w:tcBorders>
          </w:tcPr>
          <w:p w14:paraId="59E369BD" w14:textId="6C0DD341" w:rsidR="005A4062" w:rsidRPr="00F46BA7" w:rsidRDefault="005A4062" w:rsidP="00F46BA7">
            <w:pPr>
              <w:jc w:val="center"/>
              <w:rPr>
                <w:rFonts w:cs="Times New Roman"/>
                <w:sz w:val="20"/>
                <w:szCs w:val="20"/>
              </w:rPr>
            </w:pPr>
            <w:r>
              <w:rPr>
                <w:rFonts w:cs="Times New Roman"/>
                <w:sz w:val="20"/>
                <w:szCs w:val="20"/>
              </w:rPr>
              <w:t>95</w:t>
            </w:r>
          </w:p>
        </w:tc>
        <w:tc>
          <w:tcPr>
            <w:tcW w:w="540" w:type="dxa"/>
            <w:tcBorders>
              <w:left w:val="nil"/>
              <w:right w:val="nil"/>
            </w:tcBorders>
          </w:tcPr>
          <w:p w14:paraId="367B0BAD" w14:textId="21A86A94" w:rsidR="005A4062" w:rsidRPr="00F46BA7" w:rsidRDefault="005A4062" w:rsidP="00F46BA7">
            <w:pPr>
              <w:jc w:val="center"/>
              <w:rPr>
                <w:rFonts w:cs="Times New Roman"/>
                <w:sz w:val="20"/>
                <w:szCs w:val="20"/>
              </w:rPr>
            </w:pPr>
            <w:proofErr w:type="gramStart"/>
            <w:r>
              <w:rPr>
                <w:rFonts w:cs="Times New Roman"/>
                <w:sz w:val="20"/>
                <w:szCs w:val="20"/>
              </w:rPr>
              <w:t>a</w:t>
            </w:r>
            <w:proofErr w:type="gramEnd"/>
          </w:p>
        </w:tc>
      </w:tr>
      <w:tr w:rsidR="005A4062" w:rsidRPr="00F46BA7" w14:paraId="60C7F815" w14:textId="297BAB9D" w:rsidTr="001B199C">
        <w:trPr>
          <w:gridAfter w:val="1"/>
          <w:wAfter w:w="394" w:type="dxa"/>
          <w:jc w:val="center"/>
        </w:trPr>
        <w:tc>
          <w:tcPr>
            <w:tcW w:w="2070" w:type="dxa"/>
            <w:tcBorders>
              <w:top w:val="nil"/>
              <w:left w:val="nil"/>
              <w:bottom w:val="nil"/>
              <w:right w:val="nil"/>
            </w:tcBorders>
            <w:vAlign w:val="bottom"/>
          </w:tcPr>
          <w:p w14:paraId="07AE0BD3" w14:textId="77777777" w:rsidR="005A4062" w:rsidRPr="00F46BA7" w:rsidRDefault="005A4062" w:rsidP="00F46BA7">
            <w:pPr>
              <w:jc w:val="center"/>
              <w:rPr>
                <w:rFonts w:cs="Times New Roman"/>
                <w:sz w:val="20"/>
                <w:szCs w:val="20"/>
              </w:rPr>
            </w:pPr>
            <w:r w:rsidRPr="00F46BA7">
              <w:rPr>
                <w:rFonts w:cs="Times New Roman"/>
                <w:sz w:val="20"/>
                <w:szCs w:val="20"/>
              </w:rPr>
              <w:t>37</w:t>
            </w:r>
          </w:p>
        </w:tc>
        <w:tc>
          <w:tcPr>
            <w:tcW w:w="1827" w:type="dxa"/>
            <w:tcBorders>
              <w:top w:val="nil"/>
              <w:left w:val="nil"/>
              <w:bottom w:val="nil"/>
              <w:right w:val="nil"/>
            </w:tcBorders>
          </w:tcPr>
          <w:p w14:paraId="3B086270" w14:textId="77777777" w:rsidR="005A4062" w:rsidRPr="00F46BA7" w:rsidRDefault="005A4062" w:rsidP="00F46BA7">
            <w:pPr>
              <w:jc w:val="center"/>
              <w:rPr>
                <w:rFonts w:cs="Times New Roman"/>
                <w:sz w:val="20"/>
                <w:szCs w:val="20"/>
              </w:rPr>
            </w:pPr>
            <w:r w:rsidRPr="00F46BA7">
              <w:rPr>
                <w:rFonts w:cs="Times New Roman"/>
                <w:sz w:val="20"/>
                <w:szCs w:val="20"/>
              </w:rPr>
              <w:t>1:1</w:t>
            </w:r>
          </w:p>
        </w:tc>
        <w:tc>
          <w:tcPr>
            <w:tcW w:w="630" w:type="dxa"/>
            <w:tcBorders>
              <w:top w:val="nil"/>
              <w:left w:val="nil"/>
              <w:bottom w:val="nil"/>
              <w:right w:val="nil"/>
            </w:tcBorders>
          </w:tcPr>
          <w:p w14:paraId="4BB532C9" w14:textId="77777777" w:rsidR="005A4062" w:rsidRPr="00F46BA7" w:rsidRDefault="005A4062" w:rsidP="00F46BA7">
            <w:pPr>
              <w:jc w:val="center"/>
              <w:rPr>
                <w:rFonts w:cs="Times New Roman"/>
                <w:sz w:val="20"/>
                <w:szCs w:val="20"/>
              </w:rPr>
            </w:pPr>
            <w:r w:rsidRPr="00F46BA7">
              <w:rPr>
                <w:rFonts w:cs="Times New Roman"/>
                <w:sz w:val="20"/>
                <w:szCs w:val="20"/>
              </w:rPr>
              <w:t>10</w:t>
            </w:r>
          </w:p>
        </w:tc>
        <w:tc>
          <w:tcPr>
            <w:tcW w:w="630" w:type="dxa"/>
            <w:tcBorders>
              <w:top w:val="nil"/>
              <w:left w:val="nil"/>
              <w:bottom w:val="nil"/>
              <w:right w:val="nil"/>
            </w:tcBorders>
          </w:tcPr>
          <w:p w14:paraId="016A2988" w14:textId="77777777" w:rsidR="005A4062" w:rsidRPr="00F46BA7" w:rsidRDefault="005A4062" w:rsidP="00F46BA7">
            <w:pPr>
              <w:jc w:val="center"/>
              <w:rPr>
                <w:rFonts w:cs="Times New Roman"/>
                <w:sz w:val="20"/>
                <w:szCs w:val="20"/>
              </w:rPr>
            </w:pPr>
            <w:proofErr w:type="gramStart"/>
            <w:r w:rsidRPr="00F46BA7">
              <w:rPr>
                <w:rFonts w:cs="Times New Roman"/>
                <w:sz w:val="20"/>
                <w:szCs w:val="20"/>
              </w:rPr>
              <w:t>dc</w:t>
            </w:r>
            <w:proofErr w:type="gramEnd"/>
          </w:p>
        </w:tc>
        <w:tc>
          <w:tcPr>
            <w:tcW w:w="637" w:type="dxa"/>
            <w:tcBorders>
              <w:left w:val="nil"/>
              <w:right w:val="nil"/>
            </w:tcBorders>
          </w:tcPr>
          <w:p w14:paraId="2512AEEC" w14:textId="696E5F0B" w:rsidR="005A4062" w:rsidRPr="00F46BA7" w:rsidRDefault="005A4062" w:rsidP="00F46BA7">
            <w:pPr>
              <w:jc w:val="center"/>
              <w:rPr>
                <w:rFonts w:cs="Times New Roman"/>
                <w:sz w:val="20"/>
                <w:szCs w:val="20"/>
              </w:rPr>
            </w:pPr>
            <w:r>
              <w:rPr>
                <w:rFonts w:cs="Times New Roman"/>
                <w:sz w:val="20"/>
                <w:szCs w:val="20"/>
              </w:rPr>
              <w:t>99</w:t>
            </w:r>
          </w:p>
        </w:tc>
        <w:tc>
          <w:tcPr>
            <w:tcW w:w="540" w:type="dxa"/>
            <w:tcBorders>
              <w:left w:val="nil"/>
              <w:right w:val="nil"/>
            </w:tcBorders>
          </w:tcPr>
          <w:p w14:paraId="08736F9E" w14:textId="550D6EC8" w:rsidR="005A4062" w:rsidRPr="00F46BA7" w:rsidRDefault="005A4062" w:rsidP="00F46BA7">
            <w:pPr>
              <w:jc w:val="center"/>
              <w:rPr>
                <w:rFonts w:cs="Times New Roman"/>
                <w:sz w:val="20"/>
                <w:szCs w:val="20"/>
              </w:rPr>
            </w:pPr>
            <w:proofErr w:type="gramStart"/>
            <w:r>
              <w:rPr>
                <w:rFonts w:cs="Times New Roman"/>
                <w:sz w:val="20"/>
                <w:szCs w:val="20"/>
              </w:rPr>
              <w:t>a</w:t>
            </w:r>
            <w:proofErr w:type="gramEnd"/>
          </w:p>
        </w:tc>
      </w:tr>
      <w:tr w:rsidR="005A4062" w:rsidRPr="00F46BA7" w14:paraId="1731A028" w14:textId="4F8DC21C" w:rsidTr="001B199C">
        <w:trPr>
          <w:gridAfter w:val="1"/>
          <w:wAfter w:w="394" w:type="dxa"/>
          <w:jc w:val="center"/>
        </w:trPr>
        <w:tc>
          <w:tcPr>
            <w:tcW w:w="2070" w:type="dxa"/>
            <w:tcBorders>
              <w:top w:val="nil"/>
              <w:left w:val="nil"/>
              <w:bottom w:val="nil"/>
              <w:right w:val="nil"/>
            </w:tcBorders>
            <w:vAlign w:val="bottom"/>
          </w:tcPr>
          <w:p w14:paraId="728527E0" w14:textId="77777777" w:rsidR="005A4062" w:rsidRPr="00F46BA7" w:rsidRDefault="005A4062" w:rsidP="00F46BA7">
            <w:pPr>
              <w:jc w:val="center"/>
              <w:rPr>
                <w:rFonts w:cs="Times New Roman"/>
                <w:sz w:val="20"/>
                <w:szCs w:val="20"/>
              </w:rPr>
            </w:pPr>
            <w:r w:rsidRPr="00F46BA7">
              <w:rPr>
                <w:rFonts w:cs="Times New Roman"/>
                <w:sz w:val="20"/>
                <w:szCs w:val="20"/>
              </w:rPr>
              <w:t>93</w:t>
            </w:r>
          </w:p>
        </w:tc>
        <w:tc>
          <w:tcPr>
            <w:tcW w:w="1827" w:type="dxa"/>
            <w:tcBorders>
              <w:top w:val="nil"/>
              <w:left w:val="nil"/>
              <w:bottom w:val="nil"/>
              <w:right w:val="nil"/>
            </w:tcBorders>
          </w:tcPr>
          <w:p w14:paraId="7957B767" w14:textId="77777777" w:rsidR="005A4062" w:rsidRPr="00F46BA7" w:rsidRDefault="005A4062" w:rsidP="00F46BA7">
            <w:pPr>
              <w:jc w:val="center"/>
              <w:rPr>
                <w:rFonts w:cs="Times New Roman"/>
                <w:sz w:val="20"/>
                <w:szCs w:val="20"/>
              </w:rPr>
            </w:pPr>
            <w:r w:rsidRPr="00F46BA7">
              <w:rPr>
                <w:rFonts w:cs="Times New Roman"/>
                <w:sz w:val="20"/>
                <w:szCs w:val="20"/>
              </w:rPr>
              <w:t>1:2.5</w:t>
            </w:r>
          </w:p>
        </w:tc>
        <w:tc>
          <w:tcPr>
            <w:tcW w:w="630" w:type="dxa"/>
            <w:tcBorders>
              <w:top w:val="nil"/>
              <w:left w:val="nil"/>
              <w:bottom w:val="nil"/>
              <w:right w:val="nil"/>
            </w:tcBorders>
          </w:tcPr>
          <w:p w14:paraId="3523F483" w14:textId="77777777" w:rsidR="005A4062" w:rsidRPr="00F46BA7" w:rsidRDefault="005A4062" w:rsidP="00F46BA7">
            <w:pPr>
              <w:jc w:val="center"/>
              <w:rPr>
                <w:rFonts w:cs="Times New Roman"/>
                <w:sz w:val="20"/>
                <w:szCs w:val="20"/>
              </w:rPr>
            </w:pPr>
            <w:r w:rsidRPr="00F46BA7">
              <w:rPr>
                <w:rFonts w:cs="Times New Roman"/>
                <w:sz w:val="20"/>
                <w:szCs w:val="20"/>
              </w:rPr>
              <w:t>9</w:t>
            </w:r>
          </w:p>
        </w:tc>
        <w:tc>
          <w:tcPr>
            <w:tcW w:w="630" w:type="dxa"/>
            <w:tcBorders>
              <w:top w:val="nil"/>
              <w:left w:val="nil"/>
              <w:bottom w:val="nil"/>
              <w:right w:val="nil"/>
            </w:tcBorders>
          </w:tcPr>
          <w:p w14:paraId="3F681670" w14:textId="77777777" w:rsidR="005A4062" w:rsidRPr="00F46BA7" w:rsidRDefault="005A4062" w:rsidP="00F46BA7">
            <w:pPr>
              <w:jc w:val="center"/>
              <w:rPr>
                <w:rFonts w:cs="Times New Roman"/>
                <w:sz w:val="20"/>
                <w:szCs w:val="20"/>
              </w:rPr>
            </w:pPr>
            <w:proofErr w:type="gramStart"/>
            <w:r w:rsidRPr="00F46BA7">
              <w:rPr>
                <w:rFonts w:cs="Times New Roman"/>
                <w:sz w:val="20"/>
                <w:szCs w:val="20"/>
              </w:rPr>
              <w:t>dc</w:t>
            </w:r>
            <w:proofErr w:type="gramEnd"/>
          </w:p>
        </w:tc>
        <w:tc>
          <w:tcPr>
            <w:tcW w:w="637" w:type="dxa"/>
            <w:tcBorders>
              <w:left w:val="nil"/>
              <w:right w:val="nil"/>
            </w:tcBorders>
          </w:tcPr>
          <w:p w14:paraId="5A15AEBD" w14:textId="4A4121B5" w:rsidR="005A4062" w:rsidRPr="00F46BA7" w:rsidRDefault="005A4062" w:rsidP="00F46BA7">
            <w:pPr>
              <w:jc w:val="center"/>
              <w:rPr>
                <w:rFonts w:cs="Times New Roman"/>
                <w:sz w:val="20"/>
                <w:szCs w:val="20"/>
              </w:rPr>
            </w:pPr>
            <w:r>
              <w:rPr>
                <w:rFonts w:cs="Times New Roman"/>
                <w:sz w:val="20"/>
                <w:szCs w:val="20"/>
              </w:rPr>
              <w:t>93</w:t>
            </w:r>
          </w:p>
        </w:tc>
        <w:tc>
          <w:tcPr>
            <w:tcW w:w="540" w:type="dxa"/>
            <w:tcBorders>
              <w:left w:val="nil"/>
              <w:right w:val="nil"/>
            </w:tcBorders>
          </w:tcPr>
          <w:p w14:paraId="0C5C917A" w14:textId="7F5FBF47" w:rsidR="005A4062" w:rsidRPr="00F46BA7" w:rsidRDefault="005A4062" w:rsidP="00F46BA7">
            <w:pPr>
              <w:jc w:val="center"/>
              <w:rPr>
                <w:rFonts w:cs="Times New Roman"/>
                <w:sz w:val="20"/>
                <w:szCs w:val="20"/>
              </w:rPr>
            </w:pPr>
            <w:proofErr w:type="gramStart"/>
            <w:r>
              <w:rPr>
                <w:rFonts w:cs="Times New Roman"/>
                <w:sz w:val="20"/>
                <w:szCs w:val="20"/>
              </w:rPr>
              <w:t>a</w:t>
            </w:r>
            <w:proofErr w:type="gramEnd"/>
          </w:p>
        </w:tc>
      </w:tr>
      <w:tr w:rsidR="005A4062" w:rsidRPr="00F46BA7" w14:paraId="40F64753" w14:textId="5645BEF9" w:rsidTr="001B199C">
        <w:trPr>
          <w:gridAfter w:val="1"/>
          <w:wAfter w:w="394" w:type="dxa"/>
          <w:jc w:val="center"/>
        </w:trPr>
        <w:tc>
          <w:tcPr>
            <w:tcW w:w="2070" w:type="dxa"/>
            <w:tcBorders>
              <w:top w:val="nil"/>
              <w:left w:val="nil"/>
              <w:bottom w:val="single" w:sz="4" w:space="0" w:color="auto"/>
              <w:right w:val="nil"/>
            </w:tcBorders>
            <w:vAlign w:val="bottom"/>
          </w:tcPr>
          <w:p w14:paraId="65D9CD5C" w14:textId="77777777" w:rsidR="005A4062" w:rsidRPr="00F46BA7" w:rsidRDefault="005A4062" w:rsidP="00F46BA7">
            <w:pPr>
              <w:jc w:val="center"/>
              <w:rPr>
                <w:rFonts w:cs="Times New Roman"/>
                <w:sz w:val="20"/>
                <w:szCs w:val="20"/>
              </w:rPr>
            </w:pPr>
            <w:r w:rsidRPr="00F46BA7">
              <w:rPr>
                <w:rFonts w:cs="Times New Roman"/>
                <w:sz w:val="20"/>
                <w:szCs w:val="20"/>
              </w:rPr>
              <w:t>185</w:t>
            </w:r>
          </w:p>
        </w:tc>
        <w:tc>
          <w:tcPr>
            <w:tcW w:w="1827" w:type="dxa"/>
            <w:tcBorders>
              <w:top w:val="nil"/>
              <w:left w:val="nil"/>
              <w:bottom w:val="single" w:sz="4" w:space="0" w:color="auto"/>
              <w:right w:val="nil"/>
            </w:tcBorders>
          </w:tcPr>
          <w:p w14:paraId="6FA8306A" w14:textId="77777777" w:rsidR="005A4062" w:rsidRPr="00F46BA7" w:rsidRDefault="005A4062" w:rsidP="00F46BA7">
            <w:pPr>
              <w:jc w:val="center"/>
              <w:rPr>
                <w:rFonts w:cs="Times New Roman"/>
                <w:sz w:val="20"/>
                <w:szCs w:val="20"/>
              </w:rPr>
            </w:pPr>
            <w:r w:rsidRPr="00F46BA7">
              <w:rPr>
                <w:rFonts w:cs="Times New Roman"/>
                <w:sz w:val="20"/>
                <w:szCs w:val="20"/>
              </w:rPr>
              <w:t>1:5</w:t>
            </w:r>
          </w:p>
        </w:tc>
        <w:tc>
          <w:tcPr>
            <w:tcW w:w="630" w:type="dxa"/>
            <w:tcBorders>
              <w:top w:val="nil"/>
              <w:left w:val="nil"/>
              <w:bottom w:val="single" w:sz="4" w:space="0" w:color="auto"/>
              <w:right w:val="nil"/>
            </w:tcBorders>
          </w:tcPr>
          <w:p w14:paraId="2256453A" w14:textId="77777777" w:rsidR="005A4062" w:rsidRPr="00F46BA7" w:rsidRDefault="005A4062" w:rsidP="00F46BA7">
            <w:pPr>
              <w:jc w:val="center"/>
              <w:rPr>
                <w:rFonts w:cs="Times New Roman"/>
                <w:sz w:val="20"/>
                <w:szCs w:val="20"/>
              </w:rPr>
            </w:pPr>
            <w:r w:rsidRPr="00F46BA7">
              <w:rPr>
                <w:rFonts w:cs="Times New Roman"/>
                <w:sz w:val="20"/>
                <w:szCs w:val="20"/>
              </w:rPr>
              <w:t>7</w:t>
            </w:r>
          </w:p>
        </w:tc>
        <w:tc>
          <w:tcPr>
            <w:tcW w:w="630" w:type="dxa"/>
            <w:tcBorders>
              <w:top w:val="nil"/>
              <w:left w:val="nil"/>
              <w:bottom w:val="single" w:sz="4" w:space="0" w:color="auto"/>
              <w:right w:val="nil"/>
            </w:tcBorders>
          </w:tcPr>
          <w:p w14:paraId="62AA7924" w14:textId="77777777" w:rsidR="005A4062" w:rsidRPr="00F46BA7" w:rsidRDefault="005A4062" w:rsidP="00F46BA7">
            <w:pPr>
              <w:jc w:val="center"/>
              <w:rPr>
                <w:rFonts w:cs="Times New Roman"/>
                <w:sz w:val="20"/>
                <w:szCs w:val="20"/>
              </w:rPr>
            </w:pPr>
            <w:proofErr w:type="gramStart"/>
            <w:r w:rsidRPr="00F46BA7">
              <w:rPr>
                <w:rFonts w:cs="Times New Roman"/>
                <w:sz w:val="20"/>
                <w:szCs w:val="20"/>
              </w:rPr>
              <w:t>d</w:t>
            </w:r>
            <w:proofErr w:type="gramEnd"/>
          </w:p>
        </w:tc>
        <w:tc>
          <w:tcPr>
            <w:tcW w:w="637" w:type="dxa"/>
            <w:tcBorders>
              <w:left w:val="nil"/>
              <w:bottom w:val="single" w:sz="4" w:space="0" w:color="auto"/>
              <w:right w:val="nil"/>
            </w:tcBorders>
          </w:tcPr>
          <w:p w14:paraId="578E773A" w14:textId="3FB6E822" w:rsidR="005A4062" w:rsidRPr="00F46BA7" w:rsidRDefault="005A4062" w:rsidP="00F46BA7">
            <w:pPr>
              <w:jc w:val="center"/>
              <w:rPr>
                <w:rFonts w:cs="Times New Roman"/>
                <w:sz w:val="20"/>
                <w:szCs w:val="20"/>
              </w:rPr>
            </w:pPr>
            <w:r>
              <w:rPr>
                <w:rFonts w:cs="Times New Roman"/>
                <w:sz w:val="20"/>
                <w:szCs w:val="20"/>
              </w:rPr>
              <w:t>94</w:t>
            </w:r>
          </w:p>
        </w:tc>
        <w:tc>
          <w:tcPr>
            <w:tcW w:w="540" w:type="dxa"/>
            <w:tcBorders>
              <w:left w:val="nil"/>
              <w:bottom w:val="single" w:sz="4" w:space="0" w:color="auto"/>
              <w:right w:val="nil"/>
            </w:tcBorders>
          </w:tcPr>
          <w:p w14:paraId="4CBC4580" w14:textId="1739F1B8" w:rsidR="005A4062" w:rsidRPr="00F46BA7" w:rsidRDefault="005A4062" w:rsidP="00F46BA7">
            <w:pPr>
              <w:jc w:val="center"/>
              <w:rPr>
                <w:rFonts w:cs="Times New Roman"/>
                <w:sz w:val="20"/>
                <w:szCs w:val="20"/>
              </w:rPr>
            </w:pPr>
            <w:proofErr w:type="gramStart"/>
            <w:r>
              <w:rPr>
                <w:rFonts w:cs="Times New Roman"/>
                <w:sz w:val="20"/>
                <w:szCs w:val="20"/>
              </w:rPr>
              <w:t>a</w:t>
            </w:r>
            <w:proofErr w:type="gramEnd"/>
          </w:p>
        </w:tc>
      </w:tr>
    </w:tbl>
    <w:p w14:paraId="431B0E8C" w14:textId="77777777" w:rsidR="00F46BA7" w:rsidRPr="00F46BA7" w:rsidRDefault="00F46BA7" w:rsidP="00F46BA7">
      <w:pPr>
        <w:rPr>
          <w:rFonts w:cs="Times New Roman"/>
          <w:sz w:val="20"/>
          <w:szCs w:val="20"/>
        </w:rPr>
      </w:pPr>
      <w:proofErr w:type="gramStart"/>
      <w:r w:rsidRPr="00F46BA7">
        <w:rPr>
          <w:rFonts w:cs="Times New Roman"/>
          <w:sz w:val="20"/>
          <w:szCs w:val="20"/>
          <w:vertAlign w:val="superscript"/>
        </w:rPr>
        <w:t>a</w:t>
      </w:r>
      <w:proofErr w:type="gramEnd"/>
      <w:r w:rsidRPr="00F46BA7">
        <w:rPr>
          <w:rFonts w:cs="Times New Roman"/>
          <w:sz w:val="20"/>
          <w:szCs w:val="20"/>
          <w:vertAlign w:val="superscript"/>
        </w:rPr>
        <w:t xml:space="preserve"> </w:t>
      </w:r>
      <w:r w:rsidRPr="00F46BA7">
        <w:rPr>
          <w:rFonts w:cs="Times New Roman"/>
          <w:sz w:val="20"/>
          <w:szCs w:val="20"/>
        </w:rPr>
        <w:t>Cloquintocet-mexyl was applied &lt; 20 min prior to topramezone application. Topramezone and cloquintocet-mexyl were applied with NIS (0.25% v/v).</w:t>
      </w:r>
    </w:p>
    <w:p w14:paraId="0009F112" w14:textId="77777777" w:rsidR="00F46BA7" w:rsidRPr="00F46BA7" w:rsidRDefault="00F46BA7" w:rsidP="00F46BA7">
      <w:pPr>
        <w:ind w:left="720" w:hanging="720"/>
        <w:rPr>
          <w:rFonts w:cs="Times New Roman"/>
          <w:sz w:val="20"/>
          <w:szCs w:val="20"/>
        </w:rPr>
      </w:pPr>
      <w:proofErr w:type="gramStart"/>
      <w:r w:rsidRPr="00F46BA7">
        <w:rPr>
          <w:rFonts w:cs="Times New Roman"/>
          <w:sz w:val="20"/>
          <w:szCs w:val="20"/>
          <w:vertAlign w:val="superscript"/>
        </w:rPr>
        <w:t>b</w:t>
      </w:r>
      <w:proofErr w:type="gramEnd"/>
      <w:r w:rsidRPr="00F46BA7">
        <w:rPr>
          <w:rFonts w:cs="Times New Roman"/>
          <w:sz w:val="20"/>
          <w:szCs w:val="20"/>
          <w:vertAlign w:val="superscript"/>
        </w:rPr>
        <w:t xml:space="preserve"> </w:t>
      </w:r>
      <w:r w:rsidRPr="00F46BA7">
        <w:rPr>
          <w:rFonts w:cs="Times New Roman"/>
          <w:sz w:val="20"/>
          <w:szCs w:val="20"/>
        </w:rPr>
        <w:t>Abbreviations: Weeks after treatment, WAT.</w:t>
      </w:r>
    </w:p>
    <w:p w14:paraId="1871FBB6" w14:textId="77777777" w:rsidR="00F46BA7" w:rsidRPr="00F46BA7" w:rsidRDefault="00F46BA7" w:rsidP="00F46BA7">
      <w:pPr>
        <w:rPr>
          <w:rFonts w:eastAsia="MS Gothic" w:cs="Times New Roman"/>
          <w:color w:val="000000"/>
          <w:sz w:val="20"/>
          <w:szCs w:val="20"/>
        </w:rPr>
      </w:pPr>
      <w:proofErr w:type="gramStart"/>
      <w:r w:rsidRPr="00F46BA7">
        <w:rPr>
          <w:rFonts w:cs="Times New Roman"/>
          <w:sz w:val="20"/>
          <w:szCs w:val="20"/>
          <w:vertAlign w:val="superscript"/>
        </w:rPr>
        <w:t>c</w:t>
      </w:r>
      <w:r w:rsidRPr="00F46BA7">
        <w:rPr>
          <w:rFonts w:cs="Times New Roman"/>
          <w:sz w:val="20"/>
          <w:szCs w:val="20"/>
        </w:rPr>
        <w:t>Means</w:t>
      </w:r>
      <w:proofErr w:type="gramEnd"/>
      <w:r w:rsidRPr="00F46BA7">
        <w:rPr>
          <w:rFonts w:cs="Times New Roman"/>
          <w:sz w:val="20"/>
          <w:szCs w:val="20"/>
        </w:rPr>
        <w:t xml:space="preserve"> followed by the same letter are not significantly different as determined by Fisher’s protected least significant difference test (</w:t>
      </w:r>
      <w:r w:rsidRPr="00F46BA7">
        <w:rPr>
          <w:rFonts w:cs="Times New Roman"/>
          <w:color w:val="000000"/>
        </w:rPr>
        <w:t>α</w:t>
      </w:r>
      <w:r w:rsidRPr="00F46BA7">
        <w:rPr>
          <w:rFonts w:cs="Times New Roman"/>
          <w:sz w:val="20"/>
          <w:szCs w:val="20"/>
        </w:rPr>
        <w:t xml:space="preserve"> </w:t>
      </w:r>
      <w:r w:rsidRPr="00F46BA7">
        <w:rPr>
          <w:rFonts w:eastAsia="MS Gothic" w:cs="Times New Roman"/>
          <w:color w:val="000000"/>
          <w:sz w:val="20"/>
          <w:szCs w:val="20"/>
        </w:rPr>
        <w:t>≤ 0.05).</w:t>
      </w:r>
    </w:p>
    <w:p w14:paraId="67D2231F" w14:textId="69BE340C" w:rsidR="00F46BA7" w:rsidRPr="005A4062" w:rsidRDefault="005A4062" w:rsidP="00F46BA7">
      <w:pPr>
        <w:rPr>
          <w:rFonts w:cs="Times New Roman"/>
          <w:vertAlign w:val="superscript"/>
        </w:rPr>
      </w:pPr>
      <w:proofErr w:type="gramStart"/>
      <w:r w:rsidRPr="005A4062">
        <w:rPr>
          <w:rFonts w:cs="Times New Roman"/>
          <w:vertAlign w:val="superscript"/>
        </w:rPr>
        <w:t>d</w:t>
      </w:r>
      <w:r w:rsidRPr="005A4062">
        <w:rPr>
          <w:rFonts w:cs="Times New Roman"/>
          <w:color w:val="000000"/>
          <w:sz w:val="20"/>
          <w:szCs w:val="20"/>
        </w:rPr>
        <w:t>Data</w:t>
      </w:r>
      <w:proofErr w:type="gramEnd"/>
      <w:r w:rsidRPr="005A4062">
        <w:rPr>
          <w:rFonts w:cs="Times New Roman"/>
          <w:color w:val="000000"/>
          <w:sz w:val="20"/>
          <w:szCs w:val="20"/>
        </w:rPr>
        <w:t xml:space="preserve"> from DIA were transformed to a percentage of the non-treated control.  </w:t>
      </w:r>
      <w:r w:rsidR="00F46BA7" w:rsidRPr="005A4062">
        <w:rPr>
          <w:rFonts w:cs="Times New Roman"/>
          <w:vertAlign w:val="superscript"/>
        </w:rPr>
        <w:br w:type="page"/>
      </w:r>
    </w:p>
    <w:p w14:paraId="039A57FE" w14:textId="77777777" w:rsidR="00F46BA7" w:rsidRDefault="00F46BA7" w:rsidP="000E693C">
      <w:pPr>
        <w:ind w:left="720" w:firstLine="720"/>
        <w:rPr>
          <w:rFonts w:asciiTheme="minorHAnsi" w:eastAsiaTheme="minorEastAsia" w:hAnsiTheme="minorHAnsi" w:cstheme="minorBidi"/>
        </w:rPr>
      </w:pPr>
      <w:r>
        <w:rPr>
          <w:rFonts w:asciiTheme="minorHAnsi" w:eastAsiaTheme="minorEastAsia" w:hAnsiTheme="minorHAnsi" w:cstheme="minorBidi"/>
          <w:noProof/>
        </w:rPr>
        <w:lastRenderedPageBreak/>
        <w:drawing>
          <wp:inline distT="0" distB="0" distL="0" distR="0" wp14:anchorId="716D20BD" wp14:editId="028DEE98">
            <wp:extent cx="3967480" cy="60566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1.jpg"/>
                    <pic:cNvPicPr/>
                  </pic:nvPicPr>
                  <pic:blipFill>
                    <a:blip r:embed="rId11">
                      <a:extLst>
                        <a:ext uri="{28A0092B-C50C-407E-A947-70E740481C1C}">
                          <a14:useLocalDpi xmlns:a14="http://schemas.microsoft.com/office/drawing/2010/main" val="0"/>
                        </a:ext>
                      </a:extLst>
                    </a:blip>
                    <a:stretch>
                      <a:fillRect/>
                    </a:stretch>
                  </pic:blipFill>
                  <pic:spPr>
                    <a:xfrm>
                      <a:off x="0" y="0"/>
                      <a:ext cx="3967480" cy="6056630"/>
                    </a:xfrm>
                    <a:prstGeom prst="rect">
                      <a:avLst/>
                    </a:prstGeom>
                  </pic:spPr>
                </pic:pic>
              </a:graphicData>
            </a:graphic>
          </wp:inline>
        </w:drawing>
      </w:r>
    </w:p>
    <w:p w14:paraId="532E529C" w14:textId="77777777" w:rsidR="00503016" w:rsidRDefault="00503016" w:rsidP="000E693C">
      <w:bookmarkStart w:id="55" w:name="_Toc264713607"/>
      <w:r w:rsidRPr="008C2F02">
        <w:rPr>
          <w:b/>
        </w:rPr>
        <w:t>Figure 1.1.</w:t>
      </w:r>
      <w:r w:rsidRPr="007E36E4">
        <w:t xml:space="preserve"> Creeping bentgrass injury 2 weeks after treatment with topramezone at 0, 2, 4, 8, 16, 32, 64 or 128 g ha</w:t>
      </w:r>
      <w:r w:rsidRPr="000541CA">
        <w:rPr>
          <w:vertAlign w:val="superscript"/>
        </w:rPr>
        <w:t>-1</w:t>
      </w:r>
      <w:r w:rsidRPr="007E36E4">
        <w:t xml:space="preserve"> alone or in combination with cloquintocet-mexyl (28 g ha</w:t>
      </w:r>
      <w:r w:rsidRPr="000541CA">
        <w:rPr>
          <w:vertAlign w:val="superscript"/>
        </w:rPr>
        <w:t>-1</w:t>
      </w:r>
      <w:r w:rsidRPr="007E36E4">
        <w:t xml:space="preserve">) or </w:t>
      </w:r>
      <w:proofErr w:type="gramStart"/>
      <w:r w:rsidRPr="007E36E4">
        <w:t>malathion</w:t>
      </w:r>
      <w:proofErr w:type="gramEnd"/>
      <w:r w:rsidRPr="007E36E4">
        <w:t xml:space="preserve"> (1000 g ha</w:t>
      </w:r>
      <w:r w:rsidRPr="000541CA">
        <w:rPr>
          <w:vertAlign w:val="superscript"/>
        </w:rPr>
        <w:t>-1</w:t>
      </w:r>
      <w:r w:rsidRPr="007E36E4">
        <w:t xml:space="preserve">). *** </w:t>
      </w:r>
      <w:proofErr w:type="gramStart"/>
      <w:r w:rsidRPr="007E36E4">
        <w:t>indicates</w:t>
      </w:r>
      <w:proofErr w:type="gramEnd"/>
      <w:r w:rsidRPr="007E36E4">
        <w:t xml:space="preserve"> regression curves were not similar (α </w:t>
      </w:r>
      <w:r w:rsidRPr="007E36E4">
        <w:rPr>
          <w:rFonts w:eastAsia="MS Gothic"/>
        </w:rPr>
        <w:t xml:space="preserve">≤ </w:t>
      </w:r>
      <w:r w:rsidRPr="007E36E4">
        <w:t xml:space="preserve"> 0.001). Data from experimental runs A and B are presented separately.</w:t>
      </w:r>
      <w:bookmarkEnd w:id="55"/>
    </w:p>
    <w:p w14:paraId="58FA27FF" w14:textId="77777777" w:rsidR="009727CD" w:rsidRDefault="009727CD" w:rsidP="000E693C"/>
    <w:p w14:paraId="750006B9" w14:textId="77777777" w:rsidR="009727CD" w:rsidRDefault="009727CD" w:rsidP="009727CD">
      <w:pPr>
        <w:rPr>
          <w:b/>
        </w:rPr>
      </w:pPr>
    </w:p>
    <w:p w14:paraId="1D0EECA8" w14:textId="727263BF" w:rsidR="009727CD" w:rsidRDefault="005A36A8" w:rsidP="005A36A8">
      <w:pPr>
        <w:tabs>
          <w:tab w:val="left" w:pos="1350"/>
        </w:tabs>
        <w:ind w:firstLine="1530"/>
        <w:rPr>
          <w:b/>
        </w:rPr>
      </w:pPr>
      <w:r>
        <w:rPr>
          <w:b/>
          <w:noProof/>
        </w:rPr>
        <w:lastRenderedPageBreak/>
        <w:drawing>
          <wp:inline distT="0" distB="0" distL="0" distR="0" wp14:anchorId="29698BF3" wp14:editId="4E3FDD66">
            <wp:extent cx="4363694" cy="640080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se and crab.pdf"/>
                    <pic:cNvPicPr/>
                  </pic:nvPicPr>
                  <pic:blipFill>
                    <a:blip r:embed="rId12">
                      <a:extLst>
                        <a:ext uri="{28A0092B-C50C-407E-A947-70E740481C1C}">
                          <a14:useLocalDpi xmlns:a14="http://schemas.microsoft.com/office/drawing/2010/main" val="0"/>
                        </a:ext>
                      </a:extLst>
                    </a:blip>
                    <a:stretch>
                      <a:fillRect/>
                    </a:stretch>
                  </pic:blipFill>
                  <pic:spPr>
                    <a:xfrm>
                      <a:off x="0" y="0"/>
                      <a:ext cx="4363694" cy="6400800"/>
                    </a:xfrm>
                    <a:prstGeom prst="rect">
                      <a:avLst/>
                    </a:prstGeom>
                  </pic:spPr>
                </pic:pic>
              </a:graphicData>
            </a:graphic>
          </wp:inline>
        </w:drawing>
      </w:r>
    </w:p>
    <w:p w14:paraId="77ECF82F" w14:textId="26506359" w:rsidR="009727CD" w:rsidRPr="007E36E4" w:rsidRDefault="009727CD" w:rsidP="009727CD">
      <w:r>
        <w:rPr>
          <w:b/>
        </w:rPr>
        <w:t>Figure 1.2</w:t>
      </w:r>
      <w:r w:rsidRPr="008C2F02">
        <w:rPr>
          <w:b/>
        </w:rPr>
        <w:t>.</w:t>
      </w:r>
      <w:r w:rsidRPr="007E36E4">
        <w:t xml:space="preserve"> </w:t>
      </w:r>
      <w:r>
        <w:t>Large crabgrass (A) and goosegrass (B)</w:t>
      </w:r>
      <w:r w:rsidRPr="007E36E4">
        <w:t xml:space="preserve"> </w:t>
      </w:r>
      <w:r>
        <w:t xml:space="preserve">control </w:t>
      </w:r>
      <w:r w:rsidRPr="007E36E4">
        <w:t>2 weeks after treatment with topramezone at 0, 2, 4, 8, 16, 32, 64 or 128 g ha</w:t>
      </w:r>
      <w:r w:rsidRPr="000541CA">
        <w:rPr>
          <w:vertAlign w:val="superscript"/>
        </w:rPr>
        <w:t>-1</w:t>
      </w:r>
      <w:r w:rsidRPr="007E36E4">
        <w:t xml:space="preserve"> alone or in combination with cloquintocet-mexyl (28 g ha</w:t>
      </w:r>
      <w:r w:rsidRPr="000541CA">
        <w:rPr>
          <w:vertAlign w:val="superscript"/>
        </w:rPr>
        <w:t>-1</w:t>
      </w:r>
      <w:r w:rsidRPr="007E36E4">
        <w:t>) or malathion (1000 g ha</w:t>
      </w:r>
      <w:r w:rsidRPr="000541CA">
        <w:rPr>
          <w:vertAlign w:val="superscript"/>
        </w:rPr>
        <w:t>-1</w:t>
      </w:r>
      <w:r>
        <w:t>) in experimental run A. R</w:t>
      </w:r>
      <w:r w:rsidRPr="007E36E4">
        <w:t xml:space="preserve">egression curves were not </w:t>
      </w:r>
      <w:r>
        <w:t>different</w:t>
      </w:r>
      <w:r w:rsidRPr="007E36E4">
        <w:t xml:space="preserve"> (α </w:t>
      </w:r>
      <w:proofErr w:type="gramStart"/>
      <w:r w:rsidRPr="007E36E4">
        <w:rPr>
          <w:rFonts w:eastAsia="MS Gothic"/>
        </w:rPr>
        <w:t xml:space="preserve">≤ </w:t>
      </w:r>
      <w:r>
        <w:t xml:space="preserve"> 0.05</w:t>
      </w:r>
      <w:proofErr w:type="gramEnd"/>
      <w:r>
        <w:t>) in the presence of cloquintocet-mexyl or malathion; therefore data were combined to form one regression curve.</w:t>
      </w:r>
    </w:p>
    <w:p w14:paraId="0416C0BE" w14:textId="77777777" w:rsidR="009727CD" w:rsidRPr="007E36E4" w:rsidRDefault="009727CD" w:rsidP="000E693C"/>
    <w:p w14:paraId="33241260" w14:textId="77777777" w:rsidR="00503016" w:rsidRDefault="00503016" w:rsidP="00F46BA7">
      <w:pPr>
        <w:rPr>
          <w:rFonts w:asciiTheme="minorHAnsi" w:eastAsiaTheme="minorEastAsia" w:hAnsiTheme="minorHAnsi" w:cstheme="minorBidi"/>
        </w:rPr>
      </w:pPr>
    </w:p>
    <w:p w14:paraId="09E1AF57" w14:textId="77777777" w:rsidR="00236E6D" w:rsidRDefault="00236E6D" w:rsidP="005E54E2"/>
    <w:p w14:paraId="32105481" w14:textId="77777777" w:rsidR="00ED54C2" w:rsidRDefault="00ED54C2" w:rsidP="00ED54C2">
      <w:pPr>
        <w:pStyle w:val="Title"/>
      </w:pPr>
    </w:p>
    <w:p w14:paraId="37869FAC" w14:textId="77777777" w:rsidR="00ED54C2" w:rsidRDefault="00ED54C2" w:rsidP="00ED54C2">
      <w:pPr>
        <w:pStyle w:val="Title"/>
      </w:pPr>
    </w:p>
    <w:p w14:paraId="42A855E9" w14:textId="77777777" w:rsidR="00ED54C2" w:rsidRDefault="00ED54C2" w:rsidP="00ED54C2">
      <w:pPr>
        <w:pStyle w:val="Title"/>
      </w:pPr>
    </w:p>
    <w:p w14:paraId="4EF4AFF9" w14:textId="77777777" w:rsidR="00ED54C2" w:rsidRDefault="00ED54C2" w:rsidP="00ED54C2">
      <w:pPr>
        <w:pStyle w:val="Title"/>
      </w:pPr>
    </w:p>
    <w:p w14:paraId="052D336A" w14:textId="77777777" w:rsidR="00F91FCF" w:rsidRDefault="00F91FCF" w:rsidP="00193C29">
      <w:pPr>
        <w:pStyle w:val="Title"/>
        <w:jc w:val="left"/>
      </w:pPr>
    </w:p>
    <w:p w14:paraId="321A1498" w14:textId="77777777" w:rsidR="00F91FCF" w:rsidRDefault="00F91FCF" w:rsidP="00ED54C2">
      <w:pPr>
        <w:pStyle w:val="Title"/>
      </w:pPr>
    </w:p>
    <w:p w14:paraId="2D94CFB4" w14:textId="77777777" w:rsidR="00823063" w:rsidRPr="00ED54C2" w:rsidRDefault="00823063" w:rsidP="00D560D4">
      <w:pPr>
        <w:pStyle w:val="Heading1"/>
      </w:pPr>
      <w:bookmarkStart w:id="56" w:name="_Toc264713563"/>
      <w:bookmarkStart w:id="57" w:name="_Toc264713608"/>
      <w:bookmarkStart w:id="58" w:name="_Toc264967187"/>
      <w:r>
        <w:t xml:space="preserve">CHAPTER 2: HERBICIDE SAFENERS INCREASE CREEPING BENTGRASS </w:t>
      </w:r>
      <w:r w:rsidR="00ED54C2">
        <w:t>TO</w:t>
      </w:r>
      <w:r w:rsidR="003A1DC6">
        <w:t>LERANCE TO PINOXADEN AND AFFECT</w:t>
      </w:r>
      <w:r w:rsidR="00ED54C2">
        <w:t xml:space="preserve"> WEED CONTROL</w:t>
      </w:r>
      <w:bookmarkEnd w:id="56"/>
      <w:bookmarkEnd w:id="57"/>
      <w:bookmarkEnd w:id="58"/>
    </w:p>
    <w:p w14:paraId="79A595CF" w14:textId="2747DC9E" w:rsidR="00823063" w:rsidRDefault="00823063" w:rsidP="00061931">
      <w:pPr>
        <w:rPr>
          <w:rFonts w:cs="Times New Roman"/>
        </w:rPr>
      </w:pPr>
      <w:r>
        <w:rPr>
          <w:rFonts w:cs="Times New Roman"/>
        </w:rPr>
        <w:br w:type="page"/>
      </w:r>
      <w:bookmarkStart w:id="59" w:name="_GoBack"/>
      <w:bookmarkEnd w:id="59"/>
    </w:p>
    <w:p w14:paraId="6071231A" w14:textId="77777777" w:rsidR="00061931" w:rsidRPr="00F46BA7" w:rsidRDefault="00061931" w:rsidP="00061931">
      <w:pPr>
        <w:rPr>
          <w:rFonts w:cs="Times New Roman"/>
        </w:rPr>
      </w:pPr>
      <w:r w:rsidRPr="00F46BA7">
        <w:rPr>
          <w:rFonts w:cs="Times New Roman"/>
        </w:rPr>
        <w:lastRenderedPageBreak/>
        <w:t xml:space="preserve">This chapter is based on a paper </w:t>
      </w:r>
      <w:r>
        <w:rPr>
          <w:rFonts w:cs="Times New Roman"/>
        </w:rPr>
        <w:t>that will be submitted for publication</w:t>
      </w:r>
      <w:r w:rsidRPr="00F46BA7">
        <w:rPr>
          <w:rFonts w:cs="Times New Roman"/>
        </w:rPr>
        <w:t xml:space="preserve"> by Matthew Elmore, James Brosnan,</w:t>
      </w:r>
      <w:r>
        <w:rPr>
          <w:rFonts w:cs="Times New Roman"/>
        </w:rPr>
        <w:t xml:space="preserve"> Gregory Armel, Javier Vargas </w:t>
      </w:r>
      <w:r w:rsidRPr="00F46BA7">
        <w:rPr>
          <w:rFonts w:cs="Times New Roman"/>
        </w:rPr>
        <w:t>and Gregory Breeden:</w:t>
      </w:r>
    </w:p>
    <w:p w14:paraId="6F5C94DA" w14:textId="77777777" w:rsidR="00061931" w:rsidRPr="00F46BA7" w:rsidRDefault="00061931" w:rsidP="00061931">
      <w:pPr>
        <w:pStyle w:val="BodyText"/>
        <w:widowControl/>
        <w:jc w:val="left"/>
        <w:rPr>
          <w:sz w:val="24"/>
          <w:szCs w:val="24"/>
        </w:rPr>
      </w:pPr>
    </w:p>
    <w:p w14:paraId="4DC76B6D" w14:textId="77777777" w:rsidR="00061931" w:rsidRPr="00F46BA7" w:rsidRDefault="00061931" w:rsidP="00061931">
      <w:pPr>
        <w:rPr>
          <w:rFonts w:cs="Times New Roman"/>
        </w:rPr>
      </w:pPr>
      <w:r w:rsidRPr="00F46BA7">
        <w:rPr>
          <w:rFonts w:cs="Times New Roman"/>
        </w:rPr>
        <w:t>Elmore, M.T., J.T. Brosnan, G.R. Armel, J.</w:t>
      </w:r>
      <w:r>
        <w:rPr>
          <w:rFonts w:cs="Times New Roman"/>
        </w:rPr>
        <w:t>J. Vargas and G.K. Breeden. 2014</w:t>
      </w:r>
      <w:r w:rsidRPr="00F46BA7">
        <w:rPr>
          <w:rFonts w:cs="Times New Roman"/>
        </w:rPr>
        <w:t>. Herbicide Safeners Increase Creeping Bentgrass (</w:t>
      </w:r>
      <w:r w:rsidRPr="00F46BA7">
        <w:rPr>
          <w:rFonts w:cs="Times New Roman"/>
          <w:i/>
        </w:rPr>
        <w:t>Agrostis stolonifera</w:t>
      </w:r>
      <w:r w:rsidRPr="00F46BA7">
        <w:rPr>
          <w:rFonts w:cs="Times New Roman"/>
        </w:rPr>
        <w:t xml:space="preserve">) Tolerance to </w:t>
      </w:r>
      <w:r>
        <w:rPr>
          <w:rFonts w:cs="Times New Roman"/>
        </w:rPr>
        <w:t>Pinoxaden and Affect Weed Control</w:t>
      </w:r>
      <w:r w:rsidRPr="00F46BA7">
        <w:rPr>
          <w:rFonts w:cs="Times New Roman"/>
        </w:rPr>
        <w:t>. Weed Technology.</w:t>
      </w:r>
    </w:p>
    <w:p w14:paraId="767114BA" w14:textId="77777777" w:rsidR="00061931" w:rsidRPr="00F46BA7" w:rsidRDefault="00061931" w:rsidP="00061931">
      <w:pPr>
        <w:pStyle w:val="BodyText"/>
        <w:widowControl/>
        <w:jc w:val="left"/>
        <w:rPr>
          <w:sz w:val="24"/>
          <w:szCs w:val="24"/>
        </w:rPr>
      </w:pPr>
    </w:p>
    <w:p w14:paraId="6B35257E" w14:textId="77777777" w:rsidR="00061931" w:rsidRDefault="00061931" w:rsidP="00061931">
      <w:pPr>
        <w:pStyle w:val="BodyText"/>
        <w:widowControl/>
        <w:jc w:val="left"/>
        <w:rPr>
          <w:sz w:val="24"/>
          <w:szCs w:val="24"/>
        </w:rPr>
      </w:pPr>
      <w:bookmarkStart w:id="60" w:name="_Toc264713609"/>
      <w:r w:rsidRPr="00F46BA7">
        <w:rPr>
          <w:sz w:val="24"/>
          <w:szCs w:val="24"/>
        </w:rPr>
        <w:t xml:space="preserve">My primary contributions to this paper include </w:t>
      </w:r>
      <w:r>
        <w:rPr>
          <w:sz w:val="24"/>
          <w:szCs w:val="24"/>
        </w:rPr>
        <w:t xml:space="preserve">(i) Discovering the concept (ii) Design and conducting the experiments, (iii) processing, analyzing and interpreting data, </w:t>
      </w:r>
      <w:proofErr w:type="gramStart"/>
      <w:r>
        <w:rPr>
          <w:sz w:val="24"/>
          <w:szCs w:val="24"/>
        </w:rPr>
        <w:t>(iv) reading</w:t>
      </w:r>
      <w:proofErr w:type="gramEnd"/>
      <w:r>
        <w:rPr>
          <w:sz w:val="24"/>
          <w:szCs w:val="24"/>
        </w:rPr>
        <w:t xml:space="preserve"> literature, (v) writing the manuscript</w:t>
      </w:r>
      <w:bookmarkEnd w:id="60"/>
    </w:p>
    <w:p w14:paraId="70EC51C6" w14:textId="77777777" w:rsidR="00415F6B" w:rsidRPr="005E54E2" w:rsidRDefault="00415F6B" w:rsidP="00061931">
      <w:pPr>
        <w:pStyle w:val="BodyText"/>
        <w:widowControl/>
        <w:jc w:val="left"/>
      </w:pPr>
    </w:p>
    <w:p w14:paraId="350A14A3" w14:textId="77777777" w:rsidR="00061931" w:rsidRPr="00061931" w:rsidRDefault="00061931" w:rsidP="00D560D4">
      <w:pPr>
        <w:pStyle w:val="Heading2"/>
      </w:pPr>
      <w:bookmarkStart w:id="61" w:name="_Toc264635677"/>
      <w:bookmarkStart w:id="62" w:name="_Toc264713564"/>
      <w:bookmarkStart w:id="63" w:name="_Toc264713610"/>
      <w:bookmarkStart w:id="64" w:name="_Toc264967188"/>
      <w:r>
        <w:t>ABSTRACT</w:t>
      </w:r>
      <w:bookmarkEnd w:id="61"/>
      <w:bookmarkEnd w:id="62"/>
      <w:bookmarkEnd w:id="63"/>
      <w:bookmarkEnd w:id="64"/>
    </w:p>
    <w:p w14:paraId="5EC686DB" w14:textId="6D73B7D9" w:rsidR="00626CEE" w:rsidRDefault="00626CEE" w:rsidP="00626CEE">
      <w:pPr>
        <w:rPr>
          <w:rFonts w:cs="Times New Roman"/>
        </w:rPr>
      </w:pPr>
      <w:r>
        <w:rPr>
          <w:rFonts w:cs="Times New Roman"/>
        </w:rPr>
        <w:t>The herbicide pinoxaden is a phenylpyrazoline inhibitor of acetyl-CoA carboxylase. Research was conducted to determine the effects of pinoxaden (90 g ha</w:t>
      </w:r>
      <w:r w:rsidRPr="00FA2ED6">
        <w:rPr>
          <w:rFonts w:cs="Times New Roman"/>
          <w:vertAlign w:val="superscript"/>
        </w:rPr>
        <w:t>-1</w:t>
      </w:r>
      <w:r>
        <w:rPr>
          <w:rFonts w:cs="Times New Roman"/>
        </w:rPr>
        <w:t>) alone and in combination with herbicide safeners on creeping bentgrass injury and perennial ryegrass and roughstalk bluegrass control. Greenhouse experiments determined that cloquintocet-mexyl, fenchlorazole-ethyl, and mefenpyr-diethyl were more effective in reducing creeping bentgrass injury than benoxacor, isoxadifen-ethyl and naphthalic-anhydride. Other experiments determined that creeping bentgrass injury</w:t>
      </w:r>
      <w:r w:rsidR="00081EC5">
        <w:rPr>
          <w:rFonts w:cs="Times New Roman"/>
        </w:rPr>
        <w:t xml:space="preserve"> from pinoxaden</w:t>
      </w:r>
      <w:r>
        <w:rPr>
          <w:rFonts w:cs="Times New Roman"/>
        </w:rPr>
        <w:t xml:space="preserve"> decreased as rates (</w:t>
      </w:r>
      <w:r>
        <w:rPr>
          <w:rFonts w:cs="Times New Roman"/>
          <w:color w:val="000000"/>
        </w:rPr>
        <w:t>0, 23, 45, 68, 90, 225, or 450 g ha</w:t>
      </w:r>
      <w:r w:rsidRPr="002E57A9">
        <w:rPr>
          <w:rFonts w:cs="Times New Roman"/>
          <w:color w:val="000000"/>
          <w:vertAlign w:val="superscript"/>
        </w:rPr>
        <w:t>-1</w:t>
      </w:r>
      <w:r>
        <w:rPr>
          <w:rFonts w:cs="Times New Roman"/>
          <w:color w:val="000000"/>
        </w:rPr>
        <w:t>)</w:t>
      </w:r>
      <w:r>
        <w:rPr>
          <w:rFonts w:cs="Times New Roman"/>
        </w:rPr>
        <w:t xml:space="preserve"> of cloquintocet-mexyl, fenchlorazole-ethyl, and mefenpyr-diethyl increased. Based on creeping bentgrass responses to various safener rates, safeners were applied at 68 and 450 g ha</w:t>
      </w:r>
      <w:r w:rsidRPr="002E57A9">
        <w:rPr>
          <w:rFonts w:cs="Times New Roman"/>
          <w:vertAlign w:val="superscript"/>
        </w:rPr>
        <w:t>-1</w:t>
      </w:r>
      <w:r>
        <w:rPr>
          <w:rFonts w:cs="Times New Roman"/>
          <w:vertAlign w:val="superscript"/>
        </w:rPr>
        <w:t xml:space="preserve"> </w:t>
      </w:r>
      <w:r>
        <w:rPr>
          <w:rFonts w:cs="Times New Roman"/>
        </w:rPr>
        <w:t>to evaluate their effects on pinoxaden (90 g ha</w:t>
      </w:r>
      <w:r w:rsidRPr="00FA2ED6">
        <w:rPr>
          <w:rFonts w:cs="Times New Roman"/>
          <w:vertAlign w:val="superscript"/>
        </w:rPr>
        <w:t>-1</w:t>
      </w:r>
      <w:r>
        <w:rPr>
          <w:rFonts w:cs="Times New Roman"/>
        </w:rPr>
        <w:t xml:space="preserve">) injury to creeping bentgrass and efficacy against </w:t>
      </w:r>
      <w:r w:rsidR="00C00B8F">
        <w:rPr>
          <w:rFonts w:cs="Times New Roman"/>
        </w:rPr>
        <w:t>perennial ryegrass and</w:t>
      </w:r>
      <w:r>
        <w:rPr>
          <w:rFonts w:cs="Times New Roman"/>
        </w:rPr>
        <w:t xml:space="preserve"> roughstalk bluegrass. </w:t>
      </w:r>
      <w:r w:rsidR="00B41392">
        <w:rPr>
          <w:rFonts w:cs="Times New Roman"/>
        </w:rPr>
        <w:t>While s</w:t>
      </w:r>
      <w:r>
        <w:rPr>
          <w:rFonts w:cs="Times New Roman"/>
        </w:rPr>
        <w:t>afeners reduced roughstalk bluegrass control</w:t>
      </w:r>
      <w:r w:rsidR="00B41392">
        <w:rPr>
          <w:rFonts w:cs="Times New Roman"/>
        </w:rPr>
        <w:t xml:space="preserve"> </w:t>
      </w:r>
      <w:r w:rsidR="00B41392">
        <w:rPr>
          <w:rFonts w:cs="Times New Roman"/>
        </w:rPr>
        <w:lastRenderedPageBreak/>
        <w:t>these materials also</w:t>
      </w:r>
      <w:r>
        <w:rPr>
          <w:rFonts w:cs="Times New Roman"/>
        </w:rPr>
        <w:t xml:space="preserve"> reduc</w:t>
      </w:r>
      <w:r w:rsidR="00B41392">
        <w:rPr>
          <w:rFonts w:cs="Times New Roman"/>
        </w:rPr>
        <w:t xml:space="preserve">ed </w:t>
      </w:r>
      <w:r>
        <w:rPr>
          <w:rFonts w:cs="Times New Roman"/>
        </w:rPr>
        <w:t>creeping bentgrass injury</w:t>
      </w:r>
      <w:r w:rsidRPr="009D3AE2">
        <w:rPr>
          <w:rFonts w:cs="Times New Roman"/>
        </w:rPr>
        <w:t xml:space="preserve"> </w:t>
      </w:r>
      <w:r>
        <w:rPr>
          <w:rFonts w:cs="Times New Roman"/>
        </w:rPr>
        <w:t xml:space="preserve">from 25% to </w:t>
      </w:r>
      <w:r w:rsidRPr="002E57A9">
        <w:rPr>
          <w:rFonts w:eastAsia="ＭＳ ゴシック" w:cs="Times New Roman"/>
          <w:color w:val="000000"/>
        </w:rPr>
        <w:t>≤</w:t>
      </w:r>
      <w:r>
        <w:rPr>
          <w:rFonts w:cs="Times New Roman"/>
        </w:rPr>
        <w:t xml:space="preserve"> 5%. </w:t>
      </w:r>
      <w:r w:rsidR="00B41392">
        <w:rPr>
          <w:rFonts w:cs="Times New Roman"/>
        </w:rPr>
        <w:t>S</w:t>
      </w:r>
      <w:r>
        <w:rPr>
          <w:rFonts w:cs="Times New Roman"/>
        </w:rPr>
        <w:t>afeners did not affect perennial ryegrass control. Field experiments should evaluate pinoxaden in combination with cloquintocet-mexyl and mefenpyr-diethyl to optimize safener</w:t>
      </w:r>
      <w:proofErr w:type="gramStart"/>
      <w:r>
        <w:rPr>
          <w:rFonts w:cs="Times New Roman"/>
        </w:rPr>
        <w:t>:herbicide</w:t>
      </w:r>
      <w:proofErr w:type="gramEnd"/>
      <w:r>
        <w:rPr>
          <w:rFonts w:cs="Times New Roman"/>
        </w:rPr>
        <w:t xml:space="preserve"> ratios and rates for creeping bentgrass safety as well as perennial</w:t>
      </w:r>
      <w:r w:rsidR="0086365A">
        <w:rPr>
          <w:rFonts w:cs="Times New Roman"/>
        </w:rPr>
        <w:t xml:space="preserve"> ryegrass and rough</w:t>
      </w:r>
      <w:r>
        <w:rPr>
          <w:rFonts w:cs="Times New Roman"/>
        </w:rPr>
        <w:t>stalk bluegrass control in different climates and seasons.</w:t>
      </w:r>
    </w:p>
    <w:p w14:paraId="01307101" w14:textId="77777777" w:rsidR="001D3D0F" w:rsidRDefault="001D3D0F">
      <w:pPr>
        <w:rPr>
          <w:rFonts w:cs="Times New Roman"/>
        </w:rPr>
      </w:pPr>
      <w:r>
        <w:rPr>
          <w:rFonts w:cs="Times New Roman"/>
        </w:rPr>
        <w:br w:type="page"/>
      </w:r>
    </w:p>
    <w:p w14:paraId="3A6BE6FD" w14:textId="77777777" w:rsidR="001D3D0F" w:rsidRPr="00415F6B" w:rsidRDefault="001D3D0F" w:rsidP="00415F6B">
      <w:pPr>
        <w:pStyle w:val="Heading2"/>
      </w:pPr>
      <w:bookmarkStart w:id="65" w:name="_Toc264635678"/>
      <w:bookmarkStart w:id="66" w:name="_Toc264713565"/>
      <w:bookmarkStart w:id="67" w:name="_Toc264713611"/>
      <w:bookmarkStart w:id="68" w:name="_Toc264967189"/>
      <w:r w:rsidRPr="00415F6B">
        <w:lastRenderedPageBreak/>
        <w:t>INTRODUCTION</w:t>
      </w:r>
      <w:bookmarkEnd w:id="65"/>
      <w:bookmarkEnd w:id="66"/>
      <w:bookmarkEnd w:id="67"/>
      <w:bookmarkEnd w:id="68"/>
    </w:p>
    <w:p w14:paraId="58895785" w14:textId="0A5AD8D3" w:rsidR="00DF3770" w:rsidRDefault="00DF3770" w:rsidP="00DF3770">
      <w:pPr>
        <w:ind w:firstLine="720"/>
        <w:rPr>
          <w:rFonts w:cs="Times New Roman"/>
        </w:rPr>
      </w:pPr>
      <w:r>
        <w:rPr>
          <w:rFonts w:cs="Times New Roman"/>
        </w:rPr>
        <w:t xml:space="preserve">Creeping bentgrass (CBG) is the most widely used cool-season turfgrass on golf courses in the United States (Lyman et al. 2007). Perennial ryegrass and roughstalk bluegrass are problematic and difficult to control weeds of CBG turf (Turgeon et al. 2009). Roughstalk bluegrass disrupts the functional quality of CBG turf, especially as it goes dormant in the summer (Dernoeden 2013; Turgeon et al. 2009). Perennial ryegrass disrupts </w:t>
      </w:r>
      <w:r w:rsidR="003E15FA">
        <w:rPr>
          <w:rFonts w:cs="Times New Roman"/>
        </w:rPr>
        <w:t>CBG</w:t>
      </w:r>
      <w:r>
        <w:rPr>
          <w:rFonts w:cs="Times New Roman"/>
        </w:rPr>
        <w:t xml:space="preserve"> stand uniformity with a bunch-type growth and dark green color (Dernoeden 2013; Turgeon et al. 2009).</w:t>
      </w:r>
    </w:p>
    <w:p w14:paraId="27EF65EE" w14:textId="168B1834" w:rsidR="00DF3770" w:rsidRPr="009963F2" w:rsidRDefault="00DF3770" w:rsidP="00DF3770">
      <w:pPr>
        <w:ind w:firstLine="720"/>
        <w:rPr>
          <w:rFonts w:cs="Times New Roman"/>
          <w:color w:val="000000"/>
        </w:rPr>
      </w:pPr>
      <w:r>
        <w:rPr>
          <w:rFonts w:cs="Times New Roman"/>
        </w:rPr>
        <w:t>The acetolactate synthase (ALS) inhibiting herbicides sulfosulfuron and bispyribac-sodium have efficacy for roughstalk bluegrass control in CBG. Sequential applications of sulfosulfuron (13 to 27 g ha</w:t>
      </w:r>
      <w:r w:rsidRPr="000A3CBE">
        <w:rPr>
          <w:rFonts w:cs="Times New Roman"/>
          <w:vertAlign w:val="superscript"/>
        </w:rPr>
        <w:t>-1</w:t>
      </w:r>
      <w:r>
        <w:rPr>
          <w:rFonts w:cs="Times New Roman"/>
        </w:rPr>
        <w:t>) and bispyribac-sodium (56 to 74 g ha</w:t>
      </w:r>
      <w:r w:rsidRPr="000A3CBE">
        <w:rPr>
          <w:rFonts w:cs="Times New Roman"/>
          <w:vertAlign w:val="superscript"/>
        </w:rPr>
        <w:t>-1</w:t>
      </w:r>
      <w:r>
        <w:rPr>
          <w:rFonts w:cs="Times New Roman"/>
        </w:rPr>
        <w:t>) can control roughstalk bluegrass in combination with CBG interseeding (Rutledge et al. 2010). Other researchers have reported three and four sequential applications, respectively, of bispyribac-sodium (56 to 74 g ha</w:t>
      </w:r>
      <w:r w:rsidRPr="000A3CBE">
        <w:rPr>
          <w:rFonts w:cs="Times New Roman"/>
          <w:vertAlign w:val="superscript"/>
        </w:rPr>
        <w:t>-1</w:t>
      </w:r>
      <w:r>
        <w:rPr>
          <w:rFonts w:cs="Times New Roman"/>
        </w:rPr>
        <w:t>) and sulfosulfuron (27 g ha</w:t>
      </w:r>
      <w:r w:rsidRPr="000A3CBE">
        <w:rPr>
          <w:rFonts w:cs="Times New Roman"/>
          <w:vertAlign w:val="superscript"/>
        </w:rPr>
        <w:t>-1</w:t>
      </w:r>
      <w:r>
        <w:rPr>
          <w:rFonts w:cs="Times New Roman"/>
        </w:rPr>
        <w:t xml:space="preserve">) reduce roughstalk bluegrass cover in CBG when temperatures </w:t>
      </w:r>
      <w:r w:rsidRPr="00BB6CFF">
        <w:rPr>
          <w:rFonts w:cs="Times New Roman"/>
        </w:rPr>
        <w:t>exceed 21</w:t>
      </w:r>
      <w:r w:rsidRPr="00BB6CFF">
        <w:rPr>
          <w:rFonts w:cs="Times New Roman"/>
          <w:color w:val="000000"/>
        </w:rPr>
        <w:t>°C</w:t>
      </w:r>
      <w:r>
        <w:rPr>
          <w:rFonts w:cs="Times New Roman"/>
          <w:color w:val="000000"/>
        </w:rPr>
        <w:t xml:space="preserve"> (Morton et al. 2007).  Lycan and Hart (2004) reported sulfosulfuron caused stunting and chlorosis of </w:t>
      </w:r>
      <w:r>
        <w:rPr>
          <w:rFonts w:cs="Times New Roman"/>
        </w:rPr>
        <w:t>perennial ryegrass</w:t>
      </w:r>
      <w:r>
        <w:rPr>
          <w:rFonts w:cs="Times New Roman"/>
          <w:color w:val="000000"/>
        </w:rPr>
        <w:t xml:space="preserve"> at &gt; 22 g ha</w:t>
      </w:r>
      <w:r w:rsidRPr="009963F2">
        <w:rPr>
          <w:rFonts w:cs="Times New Roman"/>
          <w:color w:val="000000"/>
          <w:vertAlign w:val="superscript"/>
        </w:rPr>
        <w:t>-1</w:t>
      </w:r>
      <w:r>
        <w:rPr>
          <w:rFonts w:cs="Times New Roman"/>
          <w:color w:val="000000"/>
        </w:rPr>
        <w:t xml:space="preserve">, but complete recovery was evident 8 WAT; they suggested sequential applications may be required to provide control. </w:t>
      </w:r>
      <w:r>
        <w:rPr>
          <w:rFonts w:cs="Times New Roman"/>
        </w:rPr>
        <w:t xml:space="preserve">McCullough et al. (2008) demonstrated CBG tolerance to sulfosulfuron application at </w:t>
      </w:r>
      <w:r>
        <w:rPr>
          <w:rFonts w:eastAsia="ＭＳ ゴシック" w:cs="Times New Roman"/>
          <w:color w:val="000000"/>
        </w:rPr>
        <w:t>22</w:t>
      </w:r>
      <w:r>
        <w:rPr>
          <w:rFonts w:cs="Times New Roman"/>
        </w:rPr>
        <w:t xml:space="preserve"> g ha</w:t>
      </w:r>
      <w:r w:rsidRPr="00086513">
        <w:rPr>
          <w:rFonts w:cs="Times New Roman"/>
          <w:vertAlign w:val="superscript"/>
        </w:rPr>
        <w:t>-1</w:t>
      </w:r>
      <w:r>
        <w:rPr>
          <w:rFonts w:cs="Times New Roman"/>
        </w:rPr>
        <w:t xml:space="preserve"> is similar to bispyribac-sodium at 74 g ha</w:t>
      </w:r>
      <w:r w:rsidRPr="00086513">
        <w:rPr>
          <w:rFonts w:cs="Times New Roman"/>
          <w:vertAlign w:val="superscript"/>
        </w:rPr>
        <w:t>-1</w:t>
      </w:r>
      <w:r>
        <w:rPr>
          <w:rFonts w:cs="Times New Roman"/>
        </w:rPr>
        <w:t xml:space="preserve">. However, since sulfosulfuron is not labeled for use in CBG, bispyribac-sodium is the only herbicide registered for roughstalk bluegrass control in CBG  (Anonymous 2010a; Anonymous 2012a). </w:t>
      </w:r>
      <w:r w:rsidR="00C00B8F">
        <w:rPr>
          <w:rFonts w:cs="Times New Roman"/>
        </w:rPr>
        <w:t>The ALS-inhibiting herbicide c</w:t>
      </w:r>
      <w:r>
        <w:rPr>
          <w:rFonts w:cs="Times New Roman"/>
        </w:rPr>
        <w:t>hlo</w:t>
      </w:r>
      <w:r w:rsidR="001C7423">
        <w:rPr>
          <w:rFonts w:cs="Times New Roman"/>
        </w:rPr>
        <w:t>r</w:t>
      </w:r>
      <w:r>
        <w:rPr>
          <w:rFonts w:cs="Times New Roman"/>
        </w:rPr>
        <w:t>sulfuron is labeled for perennial ryegrass control in CBG but it must be applied during early autumn to avoid CBG injury (Anonymous 2005; Dernoeden et al. 2013).</w:t>
      </w:r>
    </w:p>
    <w:p w14:paraId="2626226C" w14:textId="1F9F353C" w:rsidR="00DF3770" w:rsidRDefault="00DF3770" w:rsidP="00DF3770">
      <w:pPr>
        <w:ind w:firstLine="720"/>
        <w:rPr>
          <w:rFonts w:cs="Times New Roman"/>
        </w:rPr>
      </w:pPr>
      <w:r>
        <w:rPr>
          <w:rFonts w:cs="Times New Roman"/>
        </w:rPr>
        <w:lastRenderedPageBreak/>
        <w:t>Pinoxaden is registered in turfgrass as Rescue</w:t>
      </w:r>
      <w:r w:rsidRPr="00802EA7">
        <w:rPr>
          <w:rFonts w:cs="Times New Roman"/>
          <w:b/>
          <w:color w:val="000000"/>
        </w:rPr>
        <w:t>®</w:t>
      </w:r>
      <w:r>
        <w:rPr>
          <w:rFonts w:cs="Times New Roman"/>
        </w:rPr>
        <w:t xml:space="preserve"> for use in the United Kingdom to control ryegrass (</w:t>
      </w:r>
      <w:r w:rsidRPr="00F475E6">
        <w:rPr>
          <w:rFonts w:cs="Times New Roman"/>
          <w:i/>
        </w:rPr>
        <w:t>Lolium</w:t>
      </w:r>
      <w:r>
        <w:rPr>
          <w:rFonts w:cs="Times New Roman"/>
        </w:rPr>
        <w:t xml:space="preserve"> spp.) in fine-leaf fescue (</w:t>
      </w:r>
      <w:r w:rsidRPr="004A16C4">
        <w:rPr>
          <w:rFonts w:cs="Times New Roman"/>
          <w:i/>
        </w:rPr>
        <w:t>Festuca</w:t>
      </w:r>
      <w:r>
        <w:rPr>
          <w:rFonts w:cs="Times New Roman"/>
        </w:rPr>
        <w:t xml:space="preserve"> spp.) and annual bluegrass (</w:t>
      </w:r>
      <w:r w:rsidRPr="004A16C4">
        <w:rPr>
          <w:rFonts w:cs="Times New Roman"/>
          <w:i/>
        </w:rPr>
        <w:t>Poa annua</w:t>
      </w:r>
      <w:r>
        <w:rPr>
          <w:rFonts w:cs="Times New Roman"/>
        </w:rPr>
        <w:t xml:space="preserve"> L.) at up to 60 g ha</w:t>
      </w:r>
      <w:r w:rsidRPr="004A16C4">
        <w:rPr>
          <w:rFonts w:cs="Times New Roman"/>
          <w:vertAlign w:val="superscript"/>
        </w:rPr>
        <w:t>-1</w:t>
      </w:r>
      <w:r>
        <w:rPr>
          <w:rFonts w:cs="Times New Roman"/>
        </w:rPr>
        <w:t xml:space="preserve"> (Anonymous 2010b). </w:t>
      </w:r>
      <w:r w:rsidRPr="009B3787">
        <w:rPr>
          <w:rFonts w:cs="Times New Roman"/>
        </w:rPr>
        <w:t>Pinoxaden</w:t>
      </w:r>
      <w:r>
        <w:rPr>
          <w:rFonts w:cs="Times New Roman"/>
        </w:rPr>
        <w:t xml:space="preserve"> is a phenylpyrazoline herbicide that inhibits acetyl-coenzyme </w:t>
      </w:r>
      <w:proofErr w:type="gramStart"/>
      <w:r>
        <w:rPr>
          <w:rFonts w:cs="Times New Roman"/>
        </w:rPr>
        <w:t>A</w:t>
      </w:r>
      <w:proofErr w:type="gramEnd"/>
      <w:r>
        <w:rPr>
          <w:rFonts w:cs="Times New Roman"/>
        </w:rPr>
        <w:t xml:space="preserve"> carboxylase (ACCase) in susceptible plants. It was introduced in 2006 to control certain ACCase and ALS</w:t>
      </w:r>
      <w:r w:rsidR="001C7423">
        <w:rPr>
          <w:rFonts w:cs="Times New Roman"/>
        </w:rPr>
        <w:t>-</w:t>
      </w:r>
      <w:r>
        <w:rPr>
          <w:rFonts w:cs="Times New Roman"/>
        </w:rPr>
        <w:t>resistant ryegrass (</w:t>
      </w:r>
      <w:r w:rsidRPr="0029310F">
        <w:rPr>
          <w:rStyle w:val="Emphasis"/>
        </w:rPr>
        <w:t>Lolium spp.</w:t>
      </w:r>
      <w:r>
        <w:rPr>
          <w:rFonts w:cs="Times New Roman"/>
        </w:rPr>
        <w:t>) populations in wheat (</w:t>
      </w:r>
      <w:r w:rsidRPr="00922ABB">
        <w:rPr>
          <w:rFonts w:cs="Times New Roman"/>
          <w:i/>
        </w:rPr>
        <w:t>Triticum</w:t>
      </w:r>
      <w:r>
        <w:rPr>
          <w:rFonts w:cs="Times New Roman"/>
        </w:rPr>
        <w:t xml:space="preserve"> spp.) and barley (</w:t>
      </w:r>
      <w:r w:rsidRPr="00515830">
        <w:rPr>
          <w:rFonts w:cs="Times New Roman"/>
          <w:i/>
        </w:rPr>
        <w:t>Hordeum</w:t>
      </w:r>
      <w:r>
        <w:rPr>
          <w:rFonts w:cs="Times New Roman"/>
        </w:rPr>
        <w:t xml:space="preserve"> spp.) </w:t>
      </w:r>
      <w:proofErr w:type="gramStart"/>
      <w:r>
        <w:rPr>
          <w:rFonts w:cs="Times New Roman"/>
        </w:rPr>
        <w:t>(Muehlebach et al. 2011).</w:t>
      </w:r>
      <w:proofErr w:type="gramEnd"/>
      <w:r>
        <w:rPr>
          <w:rFonts w:cs="Times New Roman"/>
        </w:rPr>
        <w:t xml:space="preserve"> There are no reports on CBG tolerance to pinoxaden</w:t>
      </w:r>
      <w:proofErr w:type="gramStart"/>
      <w:r>
        <w:rPr>
          <w:rFonts w:cs="Times New Roman"/>
        </w:rPr>
        <w:t>;</w:t>
      </w:r>
      <w:proofErr w:type="gramEnd"/>
      <w:r>
        <w:rPr>
          <w:rFonts w:cs="Times New Roman"/>
        </w:rPr>
        <w:t xml:space="preserve"> however tolerance to highland (</w:t>
      </w:r>
      <w:r w:rsidRPr="00EC3B43">
        <w:rPr>
          <w:rFonts w:cs="Times New Roman"/>
          <w:i/>
        </w:rPr>
        <w:t>Agrostis castellana</w:t>
      </w:r>
      <w:r>
        <w:rPr>
          <w:rFonts w:cs="Times New Roman"/>
          <w:i/>
        </w:rPr>
        <w:t xml:space="preserve"> </w:t>
      </w:r>
      <w:r w:rsidRPr="00EC3B43">
        <w:rPr>
          <w:rFonts w:cs="Times New Roman"/>
        </w:rPr>
        <w:t>Boiss. and Reuter</w:t>
      </w:r>
      <w:r>
        <w:rPr>
          <w:rFonts w:cs="Times New Roman"/>
        </w:rPr>
        <w:t>) and browntop (</w:t>
      </w:r>
      <w:r w:rsidRPr="00EC3B43">
        <w:rPr>
          <w:rFonts w:cs="Times New Roman"/>
          <w:i/>
        </w:rPr>
        <w:t>Agrostis capillaris</w:t>
      </w:r>
      <w:r w:rsidR="0086365A">
        <w:rPr>
          <w:rFonts w:cs="Times New Roman"/>
        </w:rPr>
        <w:t xml:space="preserve"> L.) bentgrass has</w:t>
      </w:r>
      <w:r>
        <w:rPr>
          <w:rFonts w:cs="Times New Roman"/>
        </w:rPr>
        <w:t xml:space="preserve"> been observed (Syngenta Greencast 2010). </w:t>
      </w:r>
    </w:p>
    <w:p w14:paraId="20033D3D" w14:textId="77777777" w:rsidR="00DF3770" w:rsidRDefault="00DF3770" w:rsidP="00DF3770">
      <w:pPr>
        <w:ind w:firstLine="720"/>
        <w:rPr>
          <w:rFonts w:cs="Times New Roman"/>
        </w:rPr>
      </w:pPr>
      <w:r>
        <w:rPr>
          <w:rFonts w:cs="Times New Roman"/>
        </w:rPr>
        <w:t>Registered formulations of pinoxaden (Axial</w:t>
      </w:r>
      <w:r w:rsidRPr="00802EA7">
        <w:rPr>
          <w:rFonts w:cs="Times New Roman"/>
          <w:b/>
          <w:color w:val="000000"/>
        </w:rPr>
        <w:t>®</w:t>
      </w:r>
      <w:r>
        <w:rPr>
          <w:rFonts w:cs="Times New Roman"/>
        </w:rPr>
        <w:t xml:space="preserve"> and Rescue</w:t>
      </w:r>
      <w:r w:rsidRPr="00802EA7">
        <w:rPr>
          <w:rFonts w:cs="Times New Roman"/>
          <w:b/>
          <w:color w:val="000000"/>
        </w:rPr>
        <w:t>®</w:t>
      </w:r>
      <w:r w:rsidRPr="00E022BD">
        <w:rPr>
          <w:rFonts w:cs="Times New Roman"/>
          <w:color w:val="000000"/>
        </w:rPr>
        <w:t>)</w:t>
      </w:r>
      <w:r>
        <w:rPr>
          <w:rFonts w:cs="Times New Roman"/>
        </w:rPr>
        <w:t xml:space="preserve"> contain the herbicide safener cloquintocet-mexyl in a 4:1 herbicide</w:t>
      </w:r>
      <w:proofErr w:type="gramStart"/>
      <w:r>
        <w:rPr>
          <w:rFonts w:cs="Times New Roman"/>
        </w:rPr>
        <w:t>:safener</w:t>
      </w:r>
      <w:proofErr w:type="gramEnd"/>
      <w:r>
        <w:rPr>
          <w:rFonts w:cs="Times New Roman"/>
        </w:rPr>
        <w:t xml:space="preserve"> ratio (Anonymous 2008, 2010b). A pro-herbicide, pinoxaden is metabolized to the herbicidally active compound (a 2-aryl-1</w:t>
      </w:r>
      <w:proofErr w:type="gramStart"/>
      <w:r>
        <w:rPr>
          <w:rFonts w:cs="Times New Roman"/>
        </w:rPr>
        <w:t>,3</w:t>
      </w:r>
      <w:proofErr w:type="gramEnd"/>
      <w:r>
        <w:rPr>
          <w:rFonts w:cs="Times New Roman"/>
        </w:rPr>
        <w:t xml:space="preserve">-dione) by removal of a pivaloyl group via de-esterases in wheat and target weeds equally. Cloquintocet-mexyl accelerates the hydroxylation of this herbicidally active compound to inactive metabolites in winter </w:t>
      </w:r>
      <w:r w:rsidRPr="00997777">
        <w:rPr>
          <w:rFonts w:cs="Times New Roman"/>
        </w:rPr>
        <w:t xml:space="preserve">wheat </w:t>
      </w:r>
      <w:r>
        <w:rPr>
          <w:rStyle w:val="st"/>
          <w:rFonts w:cs="Times New Roman"/>
        </w:rPr>
        <w:t>(</w:t>
      </w:r>
      <w:r w:rsidRPr="00515830">
        <w:rPr>
          <w:rStyle w:val="st"/>
          <w:rFonts w:cs="Times New Roman"/>
          <w:i/>
        </w:rPr>
        <w:t>Triticum aestivum</w:t>
      </w:r>
      <w:r>
        <w:rPr>
          <w:rStyle w:val="st"/>
          <w:rFonts w:cs="Times New Roman"/>
        </w:rPr>
        <w:t xml:space="preserve"> L</w:t>
      </w:r>
      <w:r w:rsidRPr="00997777">
        <w:rPr>
          <w:rStyle w:val="st"/>
          <w:rFonts w:cs="Times New Roman"/>
        </w:rPr>
        <w:t xml:space="preserve">. </w:t>
      </w:r>
      <w:r>
        <w:rPr>
          <w:rStyle w:val="st"/>
          <w:rFonts w:cs="Times New Roman"/>
        </w:rPr>
        <w:t>‘</w:t>
      </w:r>
      <w:r w:rsidRPr="00997777">
        <w:rPr>
          <w:rStyle w:val="Emphasis"/>
        </w:rPr>
        <w:t>Soisson</w:t>
      </w:r>
      <w:r>
        <w:rPr>
          <w:rStyle w:val="st"/>
          <w:rFonts w:cs="Times New Roman"/>
        </w:rPr>
        <w:t>’</w:t>
      </w:r>
      <w:r w:rsidRPr="00997777">
        <w:rPr>
          <w:rStyle w:val="st"/>
          <w:rFonts w:cs="Times New Roman"/>
        </w:rPr>
        <w:t xml:space="preserve">) </w:t>
      </w:r>
      <w:r w:rsidRPr="00997777">
        <w:rPr>
          <w:rFonts w:cs="Times New Roman"/>
        </w:rPr>
        <w:t xml:space="preserve">and barley </w:t>
      </w:r>
      <w:r w:rsidRPr="00997777">
        <w:rPr>
          <w:rStyle w:val="st"/>
          <w:rFonts w:cs="Times New Roman"/>
        </w:rPr>
        <w:t>(</w:t>
      </w:r>
      <w:r w:rsidRPr="00997777">
        <w:rPr>
          <w:rStyle w:val="Emphasis"/>
        </w:rPr>
        <w:t>Hordeum vulgare</w:t>
      </w:r>
      <w:r w:rsidRPr="00997777">
        <w:rPr>
          <w:rStyle w:val="st"/>
          <w:rFonts w:cs="Times New Roman"/>
        </w:rPr>
        <w:t xml:space="preserve"> L.</w:t>
      </w:r>
      <w:r>
        <w:rPr>
          <w:rStyle w:val="st"/>
          <w:rFonts w:cs="Times New Roman"/>
        </w:rPr>
        <w:t>‘</w:t>
      </w:r>
      <w:r w:rsidRPr="00997777">
        <w:rPr>
          <w:rStyle w:val="st"/>
          <w:rFonts w:cs="Times New Roman"/>
        </w:rPr>
        <w:t>conquest</w:t>
      </w:r>
      <w:r>
        <w:rPr>
          <w:rStyle w:val="st"/>
          <w:rFonts w:cs="Times New Roman"/>
        </w:rPr>
        <w:t>’</w:t>
      </w:r>
      <w:r w:rsidRPr="00997777">
        <w:rPr>
          <w:rStyle w:val="st"/>
          <w:rFonts w:cs="Times New Roman"/>
        </w:rPr>
        <w:t>)</w:t>
      </w:r>
      <w:r w:rsidRPr="00997777">
        <w:rPr>
          <w:rFonts w:cs="Times New Roman"/>
        </w:rPr>
        <w:t>,</w:t>
      </w:r>
      <w:r>
        <w:rPr>
          <w:rFonts w:cs="Times New Roman"/>
        </w:rPr>
        <w:t xml:space="preserve"> but not in perennial ryegrass and wild oats (</w:t>
      </w:r>
      <w:r w:rsidRPr="003B359F">
        <w:rPr>
          <w:rFonts w:cs="Times New Roman"/>
          <w:i/>
        </w:rPr>
        <w:t>Avena fatua</w:t>
      </w:r>
      <w:r>
        <w:rPr>
          <w:rFonts w:cs="Times New Roman"/>
        </w:rPr>
        <w:t xml:space="preserve"> L.) </w:t>
      </w:r>
      <w:proofErr w:type="gramStart"/>
      <w:r>
        <w:rPr>
          <w:rFonts w:cs="Times New Roman"/>
        </w:rPr>
        <w:t>(Muehlebach et al. 2011).</w:t>
      </w:r>
      <w:proofErr w:type="gramEnd"/>
      <w:r>
        <w:rPr>
          <w:rFonts w:cs="Times New Roman"/>
        </w:rPr>
        <w:t xml:space="preserve"> This resultant increase in selectivity renders cloquintocet-mexyl a valuable component of the herbicidal mixture. </w:t>
      </w:r>
    </w:p>
    <w:p w14:paraId="375102E2" w14:textId="36B3E2F8" w:rsidR="00DF3770" w:rsidRDefault="002B4930" w:rsidP="00DF3770">
      <w:pPr>
        <w:ind w:firstLine="720"/>
        <w:rPr>
          <w:rFonts w:cs="Times New Roman"/>
        </w:rPr>
      </w:pPr>
      <w:r>
        <w:rPr>
          <w:rFonts w:cs="Times New Roman"/>
        </w:rPr>
        <w:t>Aryloxyphenoxypropionate ACCase-inhibiting herbicides have increased selectivity in cereals when applied with the safeners c</w:t>
      </w:r>
      <w:r w:rsidR="00DF3770">
        <w:rPr>
          <w:rFonts w:cs="Times New Roman"/>
        </w:rPr>
        <w:t>loquintocet-mexyl</w:t>
      </w:r>
      <w:r>
        <w:rPr>
          <w:rFonts w:cs="Times New Roman"/>
        </w:rPr>
        <w:t>,</w:t>
      </w:r>
      <w:r w:rsidR="00DF3770">
        <w:rPr>
          <w:rFonts w:cs="Times New Roman"/>
        </w:rPr>
        <w:t xml:space="preserve"> fenchlorazole-ethyl</w:t>
      </w:r>
      <w:r>
        <w:rPr>
          <w:rFonts w:cs="Times New Roman"/>
        </w:rPr>
        <w:t>,</w:t>
      </w:r>
      <w:r w:rsidR="00DF3770">
        <w:rPr>
          <w:rFonts w:cs="Times New Roman"/>
        </w:rPr>
        <w:t xml:space="preserve"> and mefenpyr-diethyl can increase selectivity of in cereal crops as well (Hatzios and Burgos 2004). These safeners are known to increase conjugation of herbicidally active fenoxaprop acid with glutathione in wheat and barley, but not weeds such as wild oats and crabgrass (Yaacoby et al. 1999). </w:t>
      </w:r>
      <w:r w:rsidR="00DF3770" w:rsidRPr="009B694D">
        <w:rPr>
          <w:rFonts w:cs="Times New Roman"/>
        </w:rPr>
        <w:t>However,</w:t>
      </w:r>
      <w:r w:rsidR="00DF3770">
        <w:rPr>
          <w:rFonts w:cs="Times New Roman"/>
        </w:rPr>
        <w:t xml:space="preserve"> not all weeds are unaffected by safeners; fenchlorazole-ethyl and mefenpyr-</w:t>
      </w:r>
      <w:r w:rsidR="00DF3770">
        <w:rPr>
          <w:rFonts w:cs="Times New Roman"/>
        </w:rPr>
        <w:lastRenderedPageBreak/>
        <w:t xml:space="preserve">diethyl can reduce fenoxaprop-ethyl efficacy against </w:t>
      </w:r>
      <w:r w:rsidR="00DF3770" w:rsidRPr="009B694D">
        <w:rPr>
          <w:rFonts w:cs="Times New Roman"/>
        </w:rPr>
        <w:t>blackgrass (</w:t>
      </w:r>
      <w:r w:rsidR="00DF3770" w:rsidRPr="009B694D">
        <w:rPr>
          <w:rStyle w:val="Emphasis"/>
        </w:rPr>
        <w:t xml:space="preserve">Alopecurus myosuroides </w:t>
      </w:r>
      <w:r w:rsidR="00DF3770" w:rsidRPr="009B694D">
        <w:rPr>
          <w:rStyle w:val="search"/>
        </w:rPr>
        <w:t>Huds</w:t>
      </w:r>
      <w:r w:rsidR="00DF3770">
        <w:rPr>
          <w:rStyle w:val="search"/>
        </w:rPr>
        <w:t>.</w:t>
      </w:r>
      <w:r w:rsidR="00DF3770" w:rsidRPr="009B694D">
        <w:rPr>
          <w:rStyle w:val="search"/>
        </w:rPr>
        <w:t>)</w:t>
      </w:r>
      <w:r w:rsidR="00DF3770">
        <w:rPr>
          <w:rStyle w:val="search"/>
        </w:rPr>
        <w:t xml:space="preserve"> </w:t>
      </w:r>
      <w:proofErr w:type="gramStart"/>
      <w:r w:rsidR="00DF3770">
        <w:rPr>
          <w:rStyle w:val="search"/>
        </w:rPr>
        <w:t>(Cummins et al. 2009).</w:t>
      </w:r>
      <w:proofErr w:type="gramEnd"/>
      <w:r w:rsidR="00DF3770">
        <w:rPr>
          <w:rStyle w:val="search"/>
        </w:rPr>
        <w:t xml:space="preserve"> In turfgrass, cloquintocet-mexyl can increase CBG tolerance to the </w:t>
      </w:r>
      <w:r w:rsidR="00DF3770" w:rsidRPr="007E2AD7">
        <w:rPr>
          <w:rStyle w:val="search"/>
          <w:i/>
        </w:rPr>
        <w:t>p</w:t>
      </w:r>
      <w:r w:rsidR="00DF3770">
        <w:rPr>
          <w:rStyle w:val="search"/>
        </w:rPr>
        <w:t xml:space="preserve">-hydroxyphenylpyruvate dioxygenase herbicide topramezone (Elmore et al. </w:t>
      </w:r>
      <w:r w:rsidR="00081EC5">
        <w:rPr>
          <w:rStyle w:val="search"/>
        </w:rPr>
        <w:t>submitted</w:t>
      </w:r>
      <w:r w:rsidR="00DF3770">
        <w:rPr>
          <w:rStyle w:val="search"/>
        </w:rPr>
        <w:t>). However, no other reports of increased turfgrass tolerance to herbicides from compounds used exclusively as herbicide safeners exist.</w:t>
      </w:r>
    </w:p>
    <w:p w14:paraId="39E87B02" w14:textId="2E170762" w:rsidR="001D3D0F" w:rsidRDefault="001C7423" w:rsidP="00DF3770">
      <w:pPr>
        <w:ind w:firstLine="720"/>
        <w:rPr>
          <w:rFonts w:cs="Times New Roman"/>
        </w:rPr>
      </w:pPr>
      <w:r>
        <w:rPr>
          <w:rFonts w:cs="Times New Roman"/>
        </w:rPr>
        <w:t>Considering that the few</w:t>
      </w:r>
      <w:r w:rsidR="00DF3770">
        <w:rPr>
          <w:rFonts w:cs="Times New Roman"/>
        </w:rPr>
        <w:t xml:space="preserve"> herbicide options for perennial ryegrass and roughstalk bluegrass control in CBG</w:t>
      </w:r>
      <w:r>
        <w:rPr>
          <w:rFonts w:cs="Times New Roman"/>
        </w:rPr>
        <w:t xml:space="preserve"> only exhibit marginal efficacy</w:t>
      </w:r>
      <w:r w:rsidR="00DF3770">
        <w:rPr>
          <w:rFonts w:cs="Times New Roman"/>
        </w:rPr>
        <w:t xml:space="preserve">, investigating new herbicide options is warranted. The objective of this research was to evaluate CBG tolerance </w:t>
      </w:r>
      <w:r>
        <w:rPr>
          <w:rFonts w:cs="Times New Roman"/>
        </w:rPr>
        <w:t xml:space="preserve">and weed control with </w:t>
      </w:r>
      <w:r w:rsidR="00DF3770">
        <w:rPr>
          <w:rFonts w:cs="Times New Roman"/>
        </w:rPr>
        <w:t>pinoxaden alone and in combination with cloquintocet-mexyl, mefenpyr-diethyl and fenchlorazole-ethyl</w:t>
      </w:r>
      <w:r>
        <w:rPr>
          <w:rFonts w:cs="Times New Roman"/>
        </w:rPr>
        <w:t xml:space="preserve"> at</w:t>
      </w:r>
      <w:r w:rsidR="00DF3770">
        <w:rPr>
          <w:rFonts w:cs="Times New Roman"/>
        </w:rPr>
        <w:t xml:space="preserve"> different herbicide</w:t>
      </w:r>
      <w:proofErr w:type="gramStart"/>
      <w:r w:rsidR="00DF3770">
        <w:rPr>
          <w:rFonts w:cs="Times New Roman"/>
        </w:rPr>
        <w:t>:safener</w:t>
      </w:r>
      <w:proofErr w:type="gramEnd"/>
      <w:r w:rsidR="00DF3770">
        <w:rPr>
          <w:rFonts w:cs="Times New Roman"/>
        </w:rPr>
        <w:t xml:space="preserve"> ratios</w:t>
      </w:r>
      <w:r>
        <w:rPr>
          <w:rFonts w:cs="Times New Roman"/>
        </w:rPr>
        <w:t xml:space="preserve">. </w:t>
      </w:r>
      <w:r w:rsidR="00DF3770">
        <w:rPr>
          <w:rFonts w:cs="Times New Roman"/>
        </w:rPr>
        <w:t xml:space="preserve">Our hypothesis was that some safeners would increase CBG tolerance to pinoxaden, but they would also reduce efficacy against perennial ryegrass and roughstalk bluegrass. Additionally, we hypothesized that responses of CBG, perennial ryegrass and roughstalk bluegrass would vary </w:t>
      </w:r>
      <w:r>
        <w:rPr>
          <w:rFonts w:cs="Times New Roman"/>
        </w:rPr>
        <w:t xml:space="preserve">at </w:t>
      </w:r>
      <w:r w:rsidR="00DF3770">
        <w:rPr>
          <w:rFonts w:cs="Times New Roman"/>
        </w:rPr>
        <w:t>different herbicide</w:t>
      </w:r>
      <w:proofErr w:type="gramStart"/>
      <w:r w:rsidR="00DF3770">
        <w:rPr>
          <w:rFonts w:cs="Times New Roman"/>
        </w:rPr>
        <w:t>:safener</w:t>
      </w:r>
      <w:proofErr w:type="gramEnd"/>
      <w:r w:rsidR="00DF3770">
        <w:rPr>
          <w:rFonts w:cs="Times New Roman"/>
        </w:rPr>
        <w:t xml:space="preserve"> ratios.</w:t>
      </w:r>
    </w:p>
    <w:p w14:paraId="26C3CC93" w14:textId="77777777" w:rsidR="001D3D0F" w:rsidRPr="00415F6B" w:rsidRDefault="001D3D0F" w:rsidP="00415F6B">
      <w:pPr>
        <w:pStyle w:val="Heading2"/>
      </w:pPr>
      <w:bookmarkStart w:id="69" w:name="_Toc264635679"/>
      <w:bookmarkStart w:id="70" w:name="_Toc264713566"/>
      <w:bookmarkStart w:id="71" w:name="_Toc264713612"/>
      <w:bookmarkStart w:id="72" w:name="_Toc264967190"/>
      <w:r w:rsidRPr="00415F6B">
        <w:t>MATERIALS AND METHODS</w:t>
      </w:r>
      <w:bookmarkEnd w:id="69"/>
      <w:bookmarkEnd w:id="70"/>
      <w:bookmarkEnd w:id="71"/>
      <w:bookmarkEnd w:id="72"/>
    </w:p>
    <w:p w14:paraId="408BFCDE" w14:textId="77777777" w:rsidR="00DF3770" w:rsidRDefault="00DF3770" w:rsidP="00DF3770">
      <w:pPr>
        <w:rPr>
          <w:rFonts w:cs="Times New Roman"/>
          <w:color w:val="000000"/>
        </w:rPr>
      </w:pPr>
      <w:r w:rsidRPr="00551F62">
        <w:rPr>
          <w:rFonts w:cs="Times New Roman"/>
          <w:b/>
        </w:rPr>
        <w:t>Plant Culture.</w:t>
      </w:r>
      <w:r>
        <w:rPr>
          <w:rFonts w:cs="Times New Roman"/>
        </w:rPr>
        <w:t xml:space="preserve"> Glass</w:t>
      </w:r>
      <w:r w:rsidRPr="00FC6E56">
        <w:rPr>
          <w:rFonts w:cs="Times New Roman"/>
        </w:rPr>
        <w:t>house experiments</w:t>
      </w:r>
      <w:r>
        <w:rPr>
          <w:rFonts w:cs="Times New Roman"/>
        </w:rPr>
        <w:t xml:space="preserve"> were conducted from 2012 to 2014</w:t>
      </w:r>
      <w:r w:rsidRPr="00FC6E56">
        <w:rPr>
          <w:rFonts w:cs="Times New Roman"/>
        </w:rPr>
        <w:t xml:space="preserve"> in Knoxville, TN </w:t>
      </w:r>
      <w:r>
        <w:rPr>
          <w:rFonts w:cs="Times New Roman"/>
        </w:rPr>
        <w:t>(</w:t>
      </w:r>
      <w:r w:rsidRPr="00FC6E56">
        <w:rPr>
          <w:rFonts w:cs="Times New Roman"/>
        </w:rPr>
        <w:t>35</w:t>
      </w:r>
      <w:r w:rsidRPr="00FC6E56">
        <w:rPr>
          <w:rFonts w:cs="Times New Roman"/>
          <w:color w:val="000000"/>
        </w:rPr>
        <w:t>° 57</w:t>
      </w:r>
      <w:r w:rsidRPr="00FC6E56">
        <w:rPr>
          <w:rFonts w:eastAsia="ＭＳ ゴシック" w:cs="Times New Roman"/>
          <w:color w:val="000000"/>
        </w:rPr>
        <w:t>’</w:t>
      </w:r>
      <w:r w:rsidRPr="00FC6E56">
        <w:rPr>
          <w:rFonts w:cs="Times New Roman"/>
          <w:color w:val="000000"/>
        </w:rPr>
        <w:t xml:space="preserve"> N lat</w:t>
      </w:r>
      <w:r>
        <w:rPr>
          <w:rFonts w:cs="Times New Roman"/>
          <w:color w:val="000000"/>
        </w:rPr>
        <w:t>.</w:t>
      </w:r>
      <w:r w:rsidRPr="00FC6E56">
        <w:rPr>
          <w:rFonts w:cs="Times New Roman"/>
          <w:color w:val="000000"/>
        </w:rPr>
        <w:t xml:space="preserve">) under ambient light. </w:t>
      </w:r>
      <w:r>
        <w:rPr>
          <w:rFonts w:cs="Times New Roman"/>
          <w:color w:val="000000"/>
        </w:rPr>
        <w:t xml:space="preserve">All plants were irrigated as needed to prevent wilt and grown in a </w:t>
      </w:r>
      <w:r w:rsidRPr="00FC6E56">
        <w:rPr>
          <w:rFonts w:cs="Times New Roman"/>
          <w:color w:val="000000"/>
        </w:rPr>
        <w:t xml:space="preserve">peat moss, perlite and </w:t>
      </w:r>
      <w:proofErr w:type="gramStart"/>
      <w:r w:rsidRPr="00FC6E56">
        <w:rPr>
          <w:rFonts w:cs="Times New Roman"/>
          <w:color w:val="000000"/>
        </w:rPr>
        <w:t>vermiculite growing</w:t>
      </w:r>
      <w:proofErr w:type="gramEnd"/>
      <w:r w:rsidRPr="00FC6E56">
        <w:rPr>
          <w:rFonts w:cs="Times New Roman"/>
          <w:color w:val="000000"/>
        </w:rPr>
        <w:t xml:space="preserve"> medium (Fafard No. 2, Sun Gro Horticulture, Agawam, MA)</w:t>
      </w:r>
      <w:r>
        <w:rPr>
          <w:rFonts w:cs="Times New Roman"/>
          <w:color w:val="000000"/>
        </w:rPr>
        <w:t xml:space="preserve"> and allowed to mature for at least 6 months prior to treatment.</w:t>
      </w:r>
    </w:p>
    <w:p w14:paraId="5570A5D7" w14:textId="77777777" w:rsidR="00035E7F" w:rsidRDefault="00035E7F" w:rsidP="00DF3770">
      <w:pPr>
        <w:rPr>
          <w:rFonts w:cs="Times New Roman"/>
        </w:rPr>
      </w:pPr>
    </w:p>
    <w:p w14:paraId="5D971719" w14:textId="77777777" w:rsidR="00DF3770" w:rsidRDefault="00DF3770" w:rsidP="00DF3770">
      <w:pPr>
        <w:rPr>
          <w:rFonts w:cs="Times New Roman"/>
        </w:rPr>
      </w:pPr>
      <w:r>
        <w:rPr>
          <w:rFonts w:cs="Times New Roman"/>
          <w:b/>
        </w:rPr>
        <w:t xml:space="preserve">Experiment 1: Identify Candidate Safeners. </w:t>
      </w:r>
      <w:r w:rsidRPr="00FC6E56">
        <w:rPr>
          <w:rFonts w:cs="Times New Roman"/>
          <w:color w:val="000000"/>
        </w:rPr>
        <w:t xml:space="preserve">‘Penncross’ CBG was seeded to 6.5-cm diameter cone-tainers (Stuewe and Sons. Tangent, OR) and maintained in a greenhouse at a 1.3 cm height using mechanical shears (Showmaster, Oster Professional Products, McMinnville, TN) for 6 </w:t>
      </w:r>
      <w:r w:rsidRPr="00FC6E56">
        <w:rPr>
          <w:rFonts w:cs="Times New Roman"/>
          <w:color w:val="000000"/>
        </w:rPr>
        <w:lastRenderedPageBreak/>
        <w:t>months before treatment. During this time, CBG was fertilized on an as-needed basis using a complete (20N</w:t>
      </w:r>
      <w:proofErr w:type="gramStart"/>
      <w:r w:rsidRPr="00FC6E56">
        <w:rPr>
          <w:rFonts w:cs="Times New Roman"/>
          <w:color w:val="000000"/>
        </w:rPr>
        <w:t>:20P</w:t>
      </w:r>
      <w:r w:rsidRPr="00FC6E56">
        <w:rPr>
          <w:rFonts w:cs="Times New Roman"/>
          <w:color w:val="000000"/>
          <w:vertAlign w:val="subscript"/>
        </w:rPr>
        <w:t>2</w:t>
      </w:r>
      <w:r w:rsidRPr="00FC6E56">
        <w:rPr>
          <w:rFonts w:cs="Times New Roman"/>
          <w:color w:val="000000"/>
        </w:rPr>
        <w:t>O</w:t>
      </w:r>
      <w:r w:rsidRPr="00FC6E56">
        <w:rPr>
          <w:rFonts w:cs="Times New Roman"/>
          <w:color w:val="000000"/>
          <w:vertAlign w:val="subscript"/>
        </w:rPr>
        <w:t>5</w:t>
      </w:r>
      <w:r w:rsidRPr="00FC6E56">
        <w:rPr>
          <w:rFonts w:cs="Times New Roman"/>
          <w:color w:val="000000"/>
        </w:rPr>
        <w:t>:20K</w:t>
      </w:r>
      <w:r w:rsidRPr="00FC6E56">
        <w:rPr>
          <w:rFonts w:cs="Times New Roman"/>
          <w:color w:val="000000"/>
          <w:vertAlign w:val="subscript"/>
        </w:rPr>
        <w:t>2</w:t>
      </w:r>
      <w:r w:rsidRPr="00FC6E56">
        <w:rPr>
          <w:rFonts w:cs="Times New Roman"/>
          <w:color w:val="000000"/>
        </w:rPr>
        <w:t>O</w:t>
      </w:r>
      <w:proofErr w:type="gramEnd"/>
      <w:r w:rsidRPr="00FC6E56">
        <w:rPr>
          <w:rFonts w:cs="Times New Roman"/>
          <w:color w:val="000000"/>
        </w:rPr>
        <w:t>) fertilizer (</w:t>
      </w:r>
      <w:r w:rsidRPr="00FC6E56">
        <w:rPr>
          <w:rFonts w:cs="Times New Roman"/>
        </w:rPr>
        <w:t>Howard Johnson’s Triple Twenty Plus Minors, Milwaukee, WI) at 25 kg N ha</w:t>
      </w:r>
      <w:r w:rsidRPr="00FC6E56">
        <w:rPr>
          <w:rFonts w:cs="Times New Roman"/>
          <w:vertAlign w:val="superscript"/>
        </w:rPr>
        <w:t>-1</w:t>
      </w:r>
      <w:r w:rsidRPr="00FC6E56">
        <w:rPr>
          <w:rFonts w:cs="Times New Roman"/>
        </w:rPr>
        <w:t xml:space="preserve"> and irrigated as needed to prevent wilt. Beginning 10 days prior to treatment application, CBG was fertilized with a complete fertilizer at 10 kg N ha</w:t>
      </w:r>
      <w:r w:rsidRPr="00FC6E56">
        <w:rPr>
          <w:rFonts w:cs="Times New Roman"/>
          <w:vertAlign w:val="superscript"/>
        </w:rPr>
        <w:t>-1</w:t>
      </w:r>
      <w:r w:rsidRPr="00FC6E56">
        <w:rPr>
          <w:rFonts w:cs="Times New Roman"/>
        </w:rPr>
        <w:t xml:space="preserve"> every 10 days for the duration of the experiment. Plants were </w:t>
      </w:r>
      <w:r>
        <w:rPr>
          <w:rFonts w:cs="Times New Roman"/>
        </w:rPr>
        <w:t>hand-trimmed to a 1.3 cm</w:t>
      </w:r>
      <w:r w:rsidRPr="00FC6E56">
        <w:rPr>
          <w:rFonts w:cs="Times New Roman"/>
        </w:rPr>
        <w:t xml:space="preserve"> height with scissors approximately 24 hours before treatment and mowing was then suspended for the duration of the experiment.</w:t>
      </w:r>
    </w:p>
    <w:p w14:paraId="085E0CCD" w14:textId="1409D179" w:rsidR="00DF3770" w:rsidRPr="005C78E7" w:rsidRDefault="00DF3770" w:rsidP="00DF3770">
      <w:pPr>
        <w:ind w:firstLine="720"/>
        <w:outlineLvl w:val="0"/>
        <w:rPr>
          <w:rFonts w:cs="Times New Roman"/>
        </w:rPr>
      </w:pPr>
      <w:r w:rsidRPr="005C78E7">
        <w:rPr>
          <w:rFonts w:cs="Times New Roman"/>
          <w:color w:val="000000"/>
        </w:rPr>
        <w:t xml:space="preserve">CBG was treated with safeners listed in Table </w:t>
      </w:r>
      <w:r w:rsidR="008C6084">
        <w:rPr>
          <w:rFonts w:cs="Times New Roman"/>
          <w:color w:val="000000"/>
        </w:rPr>
        <w:t>2.</w:t>
      </w:r>
      <w:r w:rsidRPr="005C78E7">
        <w:rPr>
          <w:rFonts w:cs="Times New Roman"/>
          <w:color w:val="000000"/>
        </w:rPr>
        <w:t>1 at a 5:1 sa</w:t>
      </w:r>
      <w:r w:rsidR="002F1E66">
        <w:rPr>
          <w:rFonts w:cs="Times New Roman"/>
          <w:color w:val="000000"/>
        </w:rPr>
        <w:t>fener</w:t>
      </w:r>
      <w:proofErr w:type="gramStart"/>
      <w:r w:rsidR="002F1E66">
        <w:rPr>
          <w:rFonts w:cs="Times New Roman"/>
          <w:color w:val="000000"/>
        </w:rPr>
        <w:t>:herbicide</w:t>
      </w:r>
      <w:proofErr w:type="gramEnd"/>
      <w:r w:rsidR="002F1E66">
        <w:rPr>
          <w:rFonts w:cs="Times New Roman"/>
          <w:color w:val="000000"/>
        </w:rPr>
        <w:t xml:space="preserve"> ratio 30 mins</w:t>
      </w:r>
      <w:r w:rsidRPr="005C78E7">
        <w:rPr>
          <w:rFonts w:cs="Times New Roman"/>
          <w:color w:val="000000"/>
        </w:rPr>
        <w:t xml:space="preserve"> prior to application of pinoxaden (90 g ha</w:t>
      </w:r>
      <w:r w:rsidRPr="005C78E7">
        <w:rPr>
          <w:rFonts w:cs="Times New Roman"/>
          <w:color w:val="000000"/>
          <w:vertAlign w:val="superscript"/>
        </w:rPr>
        <w:t>-1</w:t>
      </w:r>
      <w:r w:rsidRPr="005C78E7">
        <w:rPr>
          <w:rFonts w:cs="Times New Roman"/>
          <w:color w:val="000000"/>
        </w:rPr>
        <w:t xml:space="preserve">; 0.83 EC, Syngenta Professional Products, Greensboro, NC). </w:t>
      </w:r>
      <w:r w:rsidR="00E97C52">
        <w:rPr>
          <w:rFonts w:cs="Times New Roman"/>
          <w:color w:val="000000"/>
        </w:rPr>
        <w:t xml:space="preserve">Pinoxaden and the safener were applied to efficiently use a limited supply of pinoxaden. </w:t>
      </w:r>
      <w:r w:rsidRPr="005C78E7">
        <w:rPr>
          <w:rFonts w:cs="Times New Roman"/>
          <w:color w:val="000000"/>
        </w:rPr>
        <w:t xml:space="preserve">Comparisons were made to a non-treated control. Safeners in Table </w:t>
      </w:r>
      <w:r w:rsidR="008C6084">
        <w:rPr>
          <w:rFonts w:cs="Times New Roman"/>
          <w:color w:val="000000"/>
        </w:rPr>
        <w:t>2.</w:t>
      </w:r>
      <w:r w:rsidRPr="005C78E7">
        <w:rPr>
          <w:rFonts w:cs="Times New Roman"/>
          <w:color w:val="000000"/>
        </w:rPr>
        <w:t>1 were also applied to CBG alone at 750 g ha</w:t>
      </w:r>
      <w:r w:rsidRPr="005C78E7">
        <w:rPr>
          <w:rFonts w:cs="Times New Roman"/>
          <w:color w:val="000000"/>
          <w:vertAlign w:val="superscript"/>
        </w:rPr>
        <w:t>-1</w:t>
      </w:r>
      <w:r w:rsidRPr="005C78E7">
        <w:rPr>
          <w:rFonts w:cs="Times New Roman"/>
          <w:color w:val="000000"/>
        </w:rPr>
        <w:t xml:space="preserve"> to </w:t>
      </w:r>
      <w:r>
        <w:rPr>
          <w:rFonts w:cs="Times New Roman"/>
          <w:color w:val="000000"/>
        </w:rPr>
        <w:t>assess phytotoxicity</w:t>
      </w:r>
      <w:r w:rsidRPr="005C78E7">
        <w:rPr>
          <w:rFonts w:cs="Times New Roman"/>
          <w:color w:val="000000"/>
        </w:rPr>
        <w:t>.</w:t>
      </w:r>
      <w:r>
        <w:rPr>
          <w:rFonts w:cs="Times New Roman"/>
        </w:rPr>
        <w:t xml:space="preserve"> All treatments were applied with</w:t>
      </w:r>
      <w:r w:rsidRPr="005C78E7">
        <w:rPr>
          <w:rFonts w:cs="Times New Roman"/>
        </w:rPr>
        <w:t xml:space="preserve"> non-ionic surfactant (Activator 90. Loveland Products Inc., Loveland, CO) at 0.25% v/v</w:t>
      </w:r>
      <w:r>
        <w:rPr>
          <w:rFonts w:cs="Times New Roman"/>
        </w:rPr>
        <w:t xml:space="preserve"> in</w:t>
      </w:r>
      <w:r w:rsidRPr="005C78E7">
        <w:rPr>
          <w:rFonts w:cs="Times New Roman"/>
        </w:rPr>
        <w:t xml:space="preserve"> 215 L ha</w:t>
      </w:r>
      <w:r w:rsidRPr="005C78E7">
        <w:rPr>
          <w:rFonts w:cs="Times New Roman"/>
          <w:vertAlign w:val="superscript"/>
        </w:rPr>
        <w:t>-1</w:t>
      </w:r>
      <w:r w:rsidRPr="005C78E7">
        <w:rPr>
          <w:rFonts w:cs="Times New Roman"/>
        </w:rPr>
        <w:t xml:space="preserve"> of water carrier through a single flat-fan nozzle (8004 EVS; Spraying Systems Co., Roswell, GA) in a spray chamber</w:t>
      </w:r>
      <w:r w:rsidRPr="005C78E7">
        <w:rPr>
          <w:rFonts w:cs="Times New Roman"/>
          <w:vertAlign w:val="superscript"/>
        </w:rPr>
        <w:t xml:space="preserve"> </w:t>
      </w:r>
      <w:r w:rsidRPr="005C78E7">
        <w:rPr>
          <w:rFonts w:cs="Times New Roman"/>
        </w:rPr>
        <w:t>(Generation III Research Track Sprayer.</w:t>
      </w:r>
      <w:r w:rsidR="0086365A">
        <w:rPr>
          <w:rFonts w:cs="Times New Roman"/>
        </w:rPr>
        <w:t xml:space="preserve"> </w:t>
      </w:r>
      <w:proofErr w:type="gramStart"/>
      <w:r w:rsidR="0086365A">
        <w:rPr>
          <w:rFonts w:cs="Times New Roman"/>
        </w:rPr>
        <w:t>DeVries Manufacturing,</w:t>
      </w:r>
      <w:r w:rsidRPr="005C78E7">
        <w:rPr>
          <w:rFonts w:cs="Times New Roman"/>
        </w:rPr>
        <w:t xml:space="preserve"> Hollandale, MN).</w:t>
      </w:r>
      <w:proofErr w:type="gramEnd"/>
      <w:r w:rsidRPr="005C78E7">
        <w:rPr>
          <w:rFonts w:cs="Times New Roman"/>
        </w:rPr>
        <w:t xml:space="preserve"> </w:t>
      </w:r>
      <w:r w:rsidR="003C6DA1" w:rsidRPr="000541CA">
        <w:rPr>
          <w:rFonts w:cs="Times New Roman"/>
        </w:rPr>
        <w:t>Naphthalic anhydride</w:t>
      </w:r>
      <w:r w:rsidR="003C6DA1">
        <w:rPr>
          <w:rFonts w:cs="Times New Roman"/>
        </w:rPr>
        <w:t xml:space="preserve"> (</w:t>
      </w:r>
      <w:r w:rsidRPr="005C78E7">
        <w:rPr>
          <w:rFonts w:cs="Times New Roman"/>
        </w:rPr>
        <w:t>NA</w:t>
      </w:r>
      <w:r w:rsidR="003C6DA1">
        <w:rPr>
          <w:rFonts w:cs="Times New Roman"/>
        </w:rPr>
        <w:t>)</w:t>
      </w:r>
      <w:r w:rsidRPr="005C78E7">
        <w:rPr>
          <w:rFonts w:cs="Times New Roman"/>
          <w:color w:val="000000"/>
        </w:rPr>
        <w:t xml:space="preserve"> was dissolved in 3 ml of acetone prior to addition to appropriate spray solutions. </w:t>
      </w:r>
      <w:r w:rsidRPr="005C78E7">
        <w:rPr>
          <w:rFonts w:cs="Times New Roman"/>
        </w:rPr>
        <w:t xml:space="preserve">Irrigation was withheld for 18 h after treatment application. </w:t>
      </w:r>
      <w:r>
        <w:rPr>
          <w:rFonts w:cs="Times New Roman"/>
        </w:rPr>
        <w:t xml:space="preserve">Glasshouse air temperatures averaged </w:t>
      </w:r>
      <w:r w:rsidRPr="00A90E30">
        <w:rPr>
          <w:rFonts w:cs="Times New Roman"/>
        </w:rPr>
        <w:t xml:space="preserve">24 </w:t>
      </w:r>
      <w:r w:rsidRPr="00A90E30">
        <w:rPr>
          <w:rFonts w:cs="Times New Roman"/>
          <w:color w:val="000000"/>
        </w:rPr>
        <w:t>°C</w:t>
      </w:r>
      <w:r>
        <w:rPr>
          <w:rFonts w:cs="Times New Roman"/>
          <w:color w:val="000000"/>
        </w:rPr>
        <w:t xml:space="preserve"> and ranged from 18 to 29 </w:t>
      </w:r>
      <w:r w:rsidRPr="00A90E30">
        <w:rPr>
          <w:rFonts w:cs="Times New Roman"/>
          <w:color w:val="000000"/>
        </w:rPr>
        <w:t>°C</w:t>
      </w:r>
      <w:r>
        <w:rPr>
          <w:rFonts w:cs="Times New Roman"/>
          <w:color w:val="000000"/>
        </w:rPr>
        <w:t xml:space="preserve"> for the duration of each experimental run.</w:t>
      </w:r>
    </w:p>
    <w:p w14:paraId="1B1DCB79" w14:textId="77777777" w:rsidR="00DF3770" w:rsidRPr="00A942D3" w:rsidRDefault="00DF3770" w:rsidP="00DF3770">
      <w:pPr>
        <w:ind w:firstLine="720"/>
        <w:outlineLvl w:val="0"/>
        <w:rPr>
          <w:rFonts w:cs="Times New Roman"/>
          <w:color w:val="000000"/>
        </w:rPr>
      </w:pPr>
      <w:r w:rsidRPr="00A942D3">
        <w:rPr>
          <w:rFonts w:cs="Times New Roman"/>
        </w:rPr>
        <w:t>CBG injury was evaluated 1, 2 and 3 weeks after treatment (WAT) on a 0 (no injury) to 100% (complete leaf tissue necrosis) scale. Only CBG injury data collected 2 WAT will be presented</w:t>
      </w:r>
      <w:r>
        <w:rPr>
          <w:rFonts w:cs="Times New Roman"/>
        </w:rPr>
        <w:t>,</w:t>
      </w:r>
      <w:r w:rsidRPr="00A942D3">
        <w:rPr>
          <w:rFonts w:cs="Times New Roman"/>
        </w:rPr>
        <w:t xml:space="preserve"> as treatment responses were most apparent at this time. CBG injury was also quantified via measurements of turfgrass cover via digital image analysis (DIA) using methods </w:t>
      </w:r>
      <w:r w:rsidRPr="00A942D3">
        <w:rPr>
          <w:rFonts w:cs="Times New Roman"/>
        </w:rPr>
        <w:lastRenderedPageBreak/>
        <w:t>modified from Richardson (2001) and Karcher and Richardson (2003). CBG cone-tainers were placed into a custom-constructed light box with a blue background</w:t>
      </w:r>
      <w:r w:rsidRPr="00A942D3">
        <w:rPr>
          <w:rFonts w:cs="Times New Roman"/>
          <w:sz w:val="32"/>
          <w:szCs w:val="32"/>
        </w:rPr>
        <w:t xml:space="preserve"> </w:t>
      </w:r>
      <w:r w:rsidRPr="00A942D3">
        <w:rPr>
          <w:rFonts w:cs="Times New Roman"/>
        </w:rPr>
        <w:t>and digitally photographed with a Canon G12 (Canon Inc., Japan) camera. Sigma Scan Pro Software (v. 5.0, SPSS. Inc., Chicago, IL) was used to determine the number of green pixels in each image. Green pixels were defined as those having a hue between 60 and 102 and saturation between 0 and 100 percent to exclude herbicide-injured leaves (defined as hue &lt; 60; 103 to 134) and the blue background (hue range 135 to 153) from selection.</w:t>
      </w:r>
      <w:r>
        <w:rPr>
          <w:rFonts w:cs="Times New Roman"/>
        </w:rPr>
        <w:t xml:space="preserve"> </w:t>
      </w:r>
      <w:r w:rsidRPr="00A942D3">
        <w:rPr>
          <w:rFonts w:cs="Times New Roman"/>
          <w:color w:val="000000"/>
        </w:rPr>
        <w:t>Additionally, clipping yield was quantified 3 WAT</w:t>
      </w:r>
      <w:r>
        <w:rPr>
          <w:rFonts w:cs="Times New Roman"/>
          <w:color w:val="000000"/>
        </w:rPr>
        <w:t xml:space="preserve"> to measure how pinoxaden affected the vigor of CBG</w:t>
      </w:r>
      <w:r w:rsidRPr="00A942D3">
        <w:rPr>
          <w:rFonts w:cs="Times New Roman"/>
          <w:color w:val="000000"/>
        </w:rPr>
        <w:t>.</w:t>
      </w:r>
      <w:r>
        <w:rPr>
          <w:rFonts w:cs="Times New Roman"/>
          <w:color w:val="000000"/>
        </w:rPr>
        <w:t xml:space="preserve"> Henry and Hart (2004) also used this technique to assess CBG and velvet bentgrass injury from the ACCase-inhibitor fenoxaprop.</w:t>
      </w:r>
      <w:r w:rsidRPr="00A942D3">
        <w:rPr>
          <w:rFonts w:cs="Times New Roman"/>
          <w:color w:val="000000"/>
        </w:rPr>
        <w:t xml:space="preserve"> Scissors were used to remove foliage above 1.3 cm. Harvested tissue was then placed in a drying oven at 80°C for 48 h and weighed.</w:t>
      </w:r>
      <w:r>
        <w:rPr>
          <w:rFonts w:cs="Times New Roman"/>
          <w:color w:val="000000"/>
        </w:rPr>
        <w:t xml:space="preserve"> Clipping yields were transformed to a percentage of the non-treated control. </w:t>
      </w:r>
    </w:p>
    <w:p w14:paraId="6113A0DF" w14:textId="77777777" w:rsidR="00035E7F" w:rsidRDefault="00DF3770" w:rsidP="00DF3770">
      <w:pPr>
        <w:ind w:firstLine="720"/>
        <w:outlineLvl w:val="0"/>
        <w:rPr>
          <w:rFonts w:cs="Times New Roman"/>
        </w:rPr>
      </w:pPr>
      <w:r w:rsidRPr="00A942D3">
        <w:rPr>
          <w:rFonts w:cs="Times New Roman"/>
          <w:color w:val="000000"/>
        </w:rPr>
        <w:t xml:space="preserve">Treatments were arranged in a single factor treatment design with three replications. </w:t>
      </w:r>
      <w:r w:rsidRPr="00A942D3">
        <w:rPr>
          <w:rFonts w:cs="Times New Roman"/>
        </w:rPr>
        <w:t xml:space="preserve">Herbicides were applied on 16 and 30 August 2012 for experimental runs A and B, respectively.  </w:t>
      </w:r>
    </w:p>
    <w:p w14:paraId="490F6287" w14:textId="77777777" w:rsidR="00035E7F" w:rsidRDefault="00035E7F" w:rsidP="00035E7F">
      <w:pPr>
        <w:outlineLvl w:val="0"/>
        <w:rPr>
          <w:rFonts w:cs="Times New Roman"/>
        </w:rPr>
      </w:pPr>
    </w:p>
    <w:p w14:paraId="6E43B4E0" w14:textId="7C53250F" w:rsidR="00DF3770" w:rsidRDefault="00DF3770" w:rsidP="00035E7F">
      <w:pPr>
        <w:outlineLvl w:val="0"/>
        <w:rPr>
          <w:rFonts w:cs="Times New Roman"/>
          <w:color w:val="000000"/>
        </w:rPr>
      </w:pPr>
      <w:r w:rsidRPr="00256D36">
        <w:rPr>
          <w:rFonts w:cs="Times New Roman"/>
          <w:b/>
          <w:color w:val="000000"/>
        </w:rPr>
        <w:t xml:space="preserve">Experiment </w:t>
      </w:r>
      <w:r>
        <w:rPr>
          <w:rFonts w:cs="Times New Roman"/>
          <w:b/>
          <w:color w:val="000000"/>
        </w:rPr>
        <w:t>2</w:t>
      </w:r>
      <w:r w:rsidRPr="00256D36">
        <w:rPr>
          <w:rFonts w:cs="Times New Roman"/>
          <w:b/>
          <w:color w:val="000000"/>
        </w:rPr>
        <w:t>: Evaluate Safener Efficacy at Reduced Rates.</w:t>
      </w:r>
      <w:r w:rsidRPr="00256D36">
        <w:rPr>
          <w:rFonts w:cs="Times New Roman"/>
          <w:color w:val="000000"/>
        </w:rPr>
        <w:t xml:space="preserve"> Additional glasshouse research evaluated the efficacy of </w:t>
      </w:r>
      <w:r>
        <w:rPr>
          <w:rFonts w:cs="Times New Roman"/>
          <w:color w:val="000000"/>
        </w:rPr>
        <w:t xml:space="preserve">safeners identified as efficacious in Experiment 1. </w:t>
      </w:r>
      <w:r w:rsidRPr="00256D36">
        <w:rPr>
          <w:rFonts w:cs="Times New Roman"/>
          <w:color w:val="000000"/>
        </w:rPr>
        <w:t>Cloquintocet</w:t>
      </w:r>
      <w:r>
        <w:rPr>
          <w:rFonts w:cs="Times New Roman"/>
          <w:color w:val="000000"/>
        </w:rPr>
        <w:t>-mexyl, fenchlorazole-ethyl and mefenpyr-diethyl were</w:t>
      </w:r>
      <w:r w:rsidRPr="00256D36">
        <w:rPr>
          <w:rFonts w:cs="Times New Roman"/>
          <w:color w:val="000000"/>
        </w:rPr>
        <w:t xml:space="preserve"> evaluated at </w:t>
      </w:r>
      <w:r>
        <w:rPr>
          <w:rFonts w:cs="Times New Roman"/>
          <w:color w:val="000000"/>
        </w:rPr>
        <w:t>450</w:t>
      </w:r>
      <w:r w:rsidRPr="00256D36">
        <w:rPr>
          <w:rFonts w:cs="Times New Roman"/>
          <w:color w:val="000000"/>
        </w:rPr>
        <w:t xml:space="preserve">, </w:t>
      </w:r>
      <w:r>
        <w:rPr>
          <w:rFonts w:cs="Times New Roman"/>
          <w:color w:val="000000"/>
        </w:rPr>
        <w:t>225</w:t>
      </w:r>
      <w:r w:rsidRPr="00256D36">
        <w:rPr>
          <w:rFonts w:cs="Times New Roman"/>
          <w:color w:val="000000"/>
        </w:rPr>
        <w:t xml:space="preserve">, </w:t>
      </w:r>
      <w:r>
        <w:rPr>
          <w:rFonts w:cs="Times New Roman"/>
          <w:color w:val="000000"/>
        </w:rPr>
        <w:t>90</w:t>
      </w:r>
      <w:r w:rsidRPr="00256D36">
        <w:rPr>
          <w:rFonts w:cs="Times New Roman"/>
          <w:color w:val="000000"/>
        </w:rPr>
        <w:t xml:space="preserve">, </w:t>
      </w:r>
      <w:r>
        <w:rPr>
          <w:rFonts w:cs="Times New Roman"/>
          <w:color w:val="000000"/>
        </w:rPr>
        <w:t>68, 45, 23 or</w:t>
      </w:r>
      <w:r w:rsidRPr="00256D36">
        <w:rPr>
          <w:rFonts w:cs="Times New Roman"/>
          <w:color w:val="000000"/>
        </w:rPr>
        <w:t xml:space="preserve"> 0 g ha</w:t>
      </w:r>
      <w:r w:rsidRPr="00256D36">
        <w:rPr>
          <w:rFonts w:cs="Times New Roman"/>
          <w:color w:val="000000"/>
          <w:vertAlign w:val="superscript"/>
        </w:rPr>
        <w:t>-1</w:t>
      </w:r>
      <w:r w:rsidRPr="00256D36">
        <w:rPr>
          <w:rFonts w:cs="Times New Roman"/>
          <w:color w:val="000000"/>
        </w:rPr>
        <w:t xml:space="preserve"> in combination with </w:t>
      </w:r>
      <w:r>
        <w:rPr>
          <w:rFonts w:cs="Times New Roman"/>
          <w:color w:val="000000"/>
        </w:rPr>
        <w:t>pinoxaden</w:t>
      </w:r>
      <w:r w:rsidRPr="00256D36">
        <w:rPr>
          <w:rFonts w:cs="Times New Roman"/>
          <w:color w:val="000000"/>
        </w:rPr>
        <w:t xml:space="preserve"> at </w:t>
      </w:r>
      <w:r>
        <w:rPr>
          <w:rFonts w:cs="Times New Roman"/>
          <w:color w:val="000000"/>
        </w:rPr>
        <w:t>90</w:t>
      </w:r>
      <w:r w:rsidRPr="00256D36">
        <w:rPr>
          <w:rFonts w:cs="Times New Roman"/>
          <w:color w:val="000000"/>
        </w:rPr>
        <w:t xml:space="preserve"> g ha</w:t>
      </w:r>
      <w:r w:rsidRPr="00256D36">
        <w:rPr>
          <w:rFonts w:cs="Times New Roman"/>
          <w:color w:val="000000"/>
          <w:vertAlign w:val="superscript"/>
        </w:rPr>
        <w:t>-1</w:t>
      </w:r>
      <w:r w:rsidRPr="00256D36">
        <w:rPr>
          <w:rFonts w:cs="Times New Roman"/>
          <w:color w:val="000000"/>
        </w:rPr>
        <w:t xml:space="preserve">. CBG was treated with </w:t>
      </w:r>
      <w:r>
        <w:rPr>
          <w:rFonts w:cs="Times New Roman"/>
          <w:color w:val="000000"/>
        </w:rPr>
        <w:t>safeners</w:t>
      </w:r>
      <w:r w:rsidRPr="00256D36">
        <w:rPr>
          <w:rFonts w:cs="Times New Roman"/>
          <w:color w:val="000000"/>
        </w:rPr>
        <w:t xml:space="preserve"> 30 min</w:t>
      </w:r>
      <w:r w:rsidR="002F1E66">
        <w:rPr>
          <w:rFonts w:cs="Times New Roman"/>
          <w:color w:val="000000"/>
        </w:rPr>
        <w:t>s</w:t>
      </w:r>
      <w:r w:rsidRPr="00256D36">
        <w:rPr>
          <w:rFonts w:cs="Times New Roman"/>
          <w:color w:val="000000"/>
        </w:rPr>
        <w:t xml:space="preserve"> prior to </w:t>
      </w:r>
      <w:r>
        <w:rPr>
          <w:rFonts w:cs="Times New Roman"/>
          <w:color w:val="000000"/>
        </w:rPr>
        <w:t>pinoxaden</w:t>
      </w:r>
      <w:r w:rsidRPr="00256D36">
        <w:rPr>
          <w:rFonts w:cs="Times New Roman"/>
          <w:color w:val="000000"/>
        </w:rPr>
        <w:t xml:space="preserve"> application. Comparisons were made to a non-treated control. Treatments were arranged in a </w:t>
      </w:r>
      <w:r>
        <w:rPr>
          <w:rFonts w:cs="Times New Roman"/>
          <w:color w:val="000000"/>
        </w:rPr>
        <w:t>three (safener) by seven (safener rate)</w:t>
      </w:r>
      <w:r w:rsidRPr="00256D36">
        <w:rPr>
          <w:rFonts w:cs="Times New Roman"/>
          <w:color w:val="000000"/>
        </w:rPr>
        <w:t>, completely randomized</w:t>
      </w:r>
      <w:r>
        <w:rPr>
          <w:rFonts w:cs="Times New Roman"/>
          <w:color w:val="000000"/>
        </w:rPr>
        <w:t xml:space="preserve"> factorial</w:t>
      </w:r>
      <w:r w:rsidRPr="00256D36">
        <w:rPr>
          <w:rFonts w:cs="Times New Roman"/>
          <w:color w:val="000000"/>
        </w:rPr>
        <w:t xml:space="preserve"> design with </w:t>
      </w:r>
      <w:r>
        <w:rPr>
          <w:rFonts w:cs="Times New Roman"/>
          <w:color w:val="000000"/>
        </w:rPr>
        <w:t>five</w:t>
      </w:r>
      <w:r w:rsidRPr="00256D36">
        <w:rPr>
          <w:rFonts w:cs="Times New Roman"/>
          <w:color w:val="000000"/>
        </w:rPr>
        <w:t xml:space="preserve"> replications. Plant culture, treatment application, and data collection were conducted in</w:t>
      </w:r>
      <w:r>
        <w:rPr>
          <w:rFonts w:cs="Times New Roman"/>
          <w:color w:val="000000"/>
        </w:rPr>
        <w:t xml:space="preserve"> the same manner as Experiment 1</w:t>
      </w:r>
      <w:r w:rsidRPr="00256D36">
        <w:rPr>
          <w:rFonts w:cs="Times New Roman"/>
          <w:color w:val="000000"/>
        </w:rPr>
        <w:t xml:space="preserve">. Treatments for experimental runs A and B were applied on 19 </w:t>
      </w:r>
      <w:r w:rsidRPr="00256D36">
        <w:rPr>
          <w:rFonts w:cs="Times New Roman"/>
          <w:color w:val="000000"/>
        </w:rPr>
        <w:lastRenderedPageBreak/>
        <w:t>March and 11 October 2013.</w:t>
      </w:r>
      <w:r w:rsidRPr="00F92602">
        <w:rPr>
          <w:rFonts w:cs="Times New Roman"/>
        </w:rPr>
        <w:t xml:space="preserve"> </w:t>
      </w:r>
      <w:r>
        <w:rPr>
          <w:rFonts w:cs="Times New Roman"/>
        </w:rPr>
        <w:t>Glasshouse air temperatures averaged 23</w:t>
      </w:r>
      <w:r w:rsidRPr="00A90E30">
        <w:rPr>
          <w:rFonts w:cs="Times New Roman"/>
        </w:rPr>
        <w:t xml:space="preserve"> </w:t>
      </w:r>
      <w:r w:rsidRPr="00A90E30">
        <w:rPr>
          <w:rFonts w:cs="Times New Roman"/>
          <w:color w:val="000000"/>
        </w:rPr>
        <w:t>°C</w:t>
      </w:r>
      <w:r>
        <w:rPr>
          <w:rFonts w:cs="Times New Roman"/>
          <w:color w:val="000000"/>
        </w:rPr>
        <w:t xml:space="preserve"> and ranged from 16 to 32 </w:t>
      </w:r>
      <w:r w:rsidRPr="00A90E30">
        <w:rPr>
          <w:rFonts w:cs="Times New Roman"/>
          <w:color w:val="000000"/>
        </w:rPr>
        <w:t>°C</w:t>
      </w:r>
      <w:r>
        <w:rPr>
          <w:rFonts w:cs="Times New Roman"/>
          <w:color w:val="000000"/>
        </w:rPr>
        <w:t xml:space="preserve"> during Run A. </w:t>
      </w:r>
      <w:r>
        <w:rPr>
          <w:rFonts w:cs="Times New Roman"/>
        </w:rPr>
        <w:t xml:space="preserve">In Run B, air temperatures averaged 19 </w:t>
      </w:r>
      <w:r w:rsidRPr="00A90E30">
        <w:rPr>
          <w:rFonts w:cs="Times New Roman"/>
          <w:color w:val="000000"/>
        </w:rPr>
        <w:t>°C</w:t>
      </w:r>
      <w:r>
        <w:rPr>
          <w:rFonts w:cs="Times New Roman"/>
          <w:color w:val="000000"/>
        </w:rPr>
        <w:t xml:space="preserve"> and reached a maximum of 28 </w:t>
      </w:r>
      <w:r w:rsidRPr="00A90E30">
        <w:rPr>
          <w:rFonts w:cs="Times New Roman"/>
          <w:color w:val="000000"/>
        </w:rPr>
        <w:t>°C</w:t>
      </w:r>
      <w:r>
        <w:rPr>
          <w:rFonts w:cs="Times New Roman"/>
          <w:color w:val="000000"/>
        </w:rPr>
        <w:t xml:space="preserve">, but a problem with the glasshouse heating system resulted in air temperatures as low as </w:t>
      </w:r>
      <w:r>
        <w:rPr>
          <w:rFonts w:cs="Times New Roman"/>
        </w:rPr>
        <w:t xml:space="preserve">7 </w:t>
      </w:r>
      <w:r w:rsidRPr="00A90E30">
        <w:rPr>
          <w:rFonts w:cs="Times New Roman"/>
          <w:color w:val="000000"/>
        </w:rPr>
        <w:t>°C</w:t>
      </w:r>
      <w:r>
        <w:rPr>
          <w:rFonts w:cs="Times New Roman"/>
          <w:color w:val="000000"/>
        </w:rPr>
        <w:t xml:space="preserve"> for 4</w:t>
      </w:r>
      <w:r w:rsidR="003C6DA1">
        <w:rPr>
          <w:rFonts w:cs="Times New Roman"/>
          <w:color w:val="000000"/>
        </w:rPr>
        <w:t xml:space="preserve"> to </w:t>
      </w:r>
      <w:r>
        <w:rPr>
          <w:rFonts w:cs="Times New Roman"/>
          <w:color w:val="000000"/>
        </w:rPr>
        <w:t xml:space="preserve">6 h each night from 9 to 16 days after treatment. </w:t>
      </w:r>
    </w:p>
    <w:p w14:paraId="367EDB6E" w14:textId="77777777" w:rsidR="00035E7F" w:rsidRPr="00D019C6" w:rsidRDefault="00035E7F" w:rsidP="00035E7F">
      <w:pPr>
        <w:outlineLvl w:val="0"/>
        <w:rPr>
          <w:rFonts w:cs="Times New Roman"/>
          <w:color w:val="000000"/>
        </w:rPr>
      </w:pPr>
    </w:p>
    <w:p w14:paraId="3BB4CDB9" w14:textId="1CC1AAA9" w:rsidR="00DF3770" w:rsidRDefault="00DF3770" w:rsidP="00DF3770">
      <w:pPr>
        <w:outlineLvl w:val="0"/>
        <w:rPr>
          <w:rFonts w:cs="Times New Roman"/>
          <w:color w:val="000000"/>
        </w:rPr>
      </w:pPr>
      <w:r w:rsidRPr="00256D36">
        <w:rPr>
          <w:rFonts w:cs="Times New Roman"/>
          <w:b/>
          <w:color w:val="000000"/>
        </w:rPr>
        <w:t xml:space="preserve">Experiment </w:t>
      </w:r>
      <w:r>
        <w:rPr>
          <w:rFonts w:cs="Times New Roman"/>
          <w:b/>
          <w:color w:val="000000"/>
        </w:rPr>
        <w:t>3</w:t>
      </w:r>
      <w:r w:rsidRPr="00256D36">
        <w:rPr>
          <w:rFonts w:cs="Times New Roman"/>
          <w:b/>
          <w:color w:val="000000"/>
        </w:rPr>
        <w:t xml:space="preserve">: </w:t>
      </w:r>
      <w:r>
        <w:rPr>
          <w:rFonts w:cs="Times New Roman"/>
          <w:b/>
          <w:color w:val="000000"/>
        </w:rPr>
        <w:t xml:space="preserve">Comparing CBG, </w:t>
      </w:r>
      <w:r>
        <w:rPr>
          <w:rFonts w:cs="Times New Roman"/>
          <w:b/>
        </w:rPr>
        <w:t>Roughstalk B</w:t>
      </w:r>
      <w:r w:rsidRPr="00FE20A6">
        <w:rPr>
          <w:rFonts w:cs="Times New Roman"/>
          <w:b/>
        </w:rPr>
        <w:t>luegrass</w:t>
      </w:r>
      <w:r>
        <w:rPr>
          <w:rFonts w:cs="Times New Roman"/>
          <w:b/>
          <w:color w:val="000000"/>
        </w:rPr>
        <w:t xml:space="preserve"> and Perennial Ryegrass Responses. </w:t>
      </w:r>
      <w:r>
        <w:rPr>
          <w:rFonts w:cs="Times New Roman"/>
          <w:color w:val="000000"/>
        </w:rPr>
        <w:t xml:space="preserve">Based on results of Experiment 2, glasshouse research was conducted to evaluate the response of CBG, </w:t>
      </w:r>
      <w:r>
        <w:rPr>
          <w:rFonts w:cs="Times New Roman"/>
        </w:rPr>
        <w:t>roughstalk bluegrass</w:t>
      </w:r>
      <w:r>
        <w:rPr>
          <w:rFonts w:cs="Times New Roman"/>
          <w:color w:val="000000"/>
        </w:rPr>
        <w:t xml:space="preserve"> and </w:t>
      </w:r>
      <w:r>
        <w:rPr>
          <w:rFonts w:cs="Times New Roman"/>
        </w:rPr>
        <w:t>perennial ryegrass</w:t>
      </w:r>
      <w:r>
        <w:rPr>
          <w:rFonts w:cs="Times New Roman"/>
          <w:color w:val="000000"/>
        </w:rPr>
        <w:t xml:space="preserve"> to pinoxaden (90 g ha</w:t>
      </w:r>
      <w:r w:rsidRPr="006C4613">
        <w:rPr>
          <w:rFonts w:cs="Times New Roman"/>
          <w:color w:val="000000"/>
          <w:vertAlign w:val="superscript"/>
        </w:rPr>
        <w:t>-1</w:t>
      </w:r>
      <w:r>
        <w:rPr>
          <w:rFonts w:cs="Times New Roman"/>
          <w:color w:val="000000"/>
        </w:rPr>
        <w:t>) alone and in combination with the herbicide safeners cloquintocet-mexyl, mefenpyr-diethyl and fenchlorazole-ethyl at low or high rates (68 or 450 g ha</w:t>
      </w:r>
      <w:r w:rsidRPr="006C4613">
        <w:rPr>
          <w:rFonts w:cs="Times New Roman"/>
          <w:color w:val="000000"/>
          <w:vertAlign w:val="superscript"/>
        </w:rPr>
        <w:t>-1</w:t>
      </w:r>
      <w:r>
        <w:rPr>
          <w:rFonts w:cs="Times New Roman"/>
          <w:color w:val="000000"/>
        </w:rPr>
        <w:t>, respectively). Safeners were applied 30 min</w:t>
      </w:r>
      <w:r w:rsidR="002F1E66">
        <w:rPr>
          <w:rFonts w:cs="Times New Roman"/>
          <w:color w:val="000000"/>
        </w:rPr>
        <w:t>s</w:t>
      </w:r>
      <w:r>
        <w:rPr>
          <w:rFonts w:cs="Times New Roman"/>
          <w:color w:val="000000"/>
        </w:rPr>
        <w:t xml:space="preserve"> prior to pinoxaden application. CBG, </w:t>
      </w:r>
      <w:r>
        <w:rPr>
          <w:rFonts w:cs="Times New Roman"/>
        </w:rPr>
        <w:t>roughstalk bluegrass</w:t>
      </w:r>
      <w:r>
        <w:rPr>
          <w:rFonts w:cs="Times New Roman"/>
          <w:color w:val="000000"/>
        </w:rPr>
        <w:t xml:space="preserve"> and </w:t>
      </w:r>
      <w:r>
        <w:rPr>
          <w:rFonts w:cs="Times New Roman"/>
        </w:rPr>
        <w:t>perennial ryegrass</w:t>
      </w:r>
      <w:r>
        <w:rPr>
          <w:rFonts w:cs="Times New Roman"/>
          <w:color w:val="000000"/>
        </w:rPr>
        <w:t xml:space="preserve"> were seeded to separate 10-cm diameter pots filled with growth media described previously. After grass emergence, pots were hand-thinned to contain five plants each. Plants were maintained at a 2.5 cm height for 6 months using mechanical shears. Plants were fertilized with the complete fertilizer described earlier at 49 kg N ha</w:t>
      </w:r>
      <w:r w:rsidRPr="007B2B4F">
        <w:rPr>
          <w:rFonts w:cs="Times New Roman"/>
          <w:color w:val="000000"/>
          <w:vertAlign w:val="superscript"/>
        </w:rPr>
        <w:t>-1</w:t>
      </w:r>
      <w:r>
        <w:rPr>
          <w:rFonts w:cs="Times New Roman"/>
          <w:color w:val="000000"/>
        </w:rPr>
        <w:t xml:space="preserve"> one week after germination, and also 4 and 2 weeks prior to treatment. Plants were also fertilized with complete fertilizer at 12 kg N ha</w:t>
      </w:r>
      <w:r w:rsidRPr="007B2B4F">
        <w:rPr>
          <w:rFonts w:cs="Times New Roman"/>
          <w:color w:val="000000"/>
          <w:vertAlign w:val="superscript"/>
        </w:rPr>
        <w:t>-1</w:t>
      </w:r>
      <w:r>
        <w:rPr>
          <w:rFonts w:cs="Times New Roman"/>
          <w:color w:val="000000"/>
        </w:rPr>
        <w:t xml:space="preserve"> 24 h before treatment and every 10 d after treatment. Plants were clipped to a 2.5-cm height with scissors 24 h before treatment and then mowing was suspended. </w:t>
      </w:r>
      <w:r>
        <w:rPr>
          <w:rFonts w:cs="Times New Roman"/>
        </w:rPr>
        <w:t>Roughstalk bluegrass</w:t>
      </w:r>
      <w:r>
        <w:rPr>
          <w:rFonts w:cs="Times New Roman"/>
          <w:color w:val="000000"/>
        </w:rPr>
        <w:t xml:space="preserve">, </w:t>
      </w:r>
      <w:r>
        <w:rPr>
          <w:rFonts w:cs="Times New Roman"/>
        </w:rPr>
        <w:t>perennial ryegrass</w:t>
      </w:r>
      <w:r>
        <w:rPr>
          <w:rFonts w:cs="Times New Roman"/>
          <w:color w:val="000000"/>
        </w:rPr>
        <w:t xml:space="preserve"> and CBG averaged 9, 5, and 10 tillers per plant, respectively, at application. Treatments for Run A and B were applied on 7 and 14 May 2014</w:t>
      </w:r>
      <w:r w:rsidR="003C6DA1">
        <w:rPr>
          <w:rFonts w:cs="Times New Roman"/>
          <w:color w:val="000000"/>
        </w:rPr>
        <w:t>, respectively</w:t>
      </w:r>
      <w:r>
        <w:rPr>
          <w:rFonts w:cs="Times New Roman"/>
          <w:color w:val="000000"/>
        </w:rPr>
        <w:t xml:space="preserve">. </w:t>
      </w:r>
    </w:p>
    <w:p w14:paraId="224505FB" w14:textId="57B5DB62" w:rsidR="00DF3770" w:rsidRDefault="00DF3770" w:rsidP="00DF3770">
      <w:pPr>
        <w:ind w:firstLine="720"/>
        <w:outlineLvl w:val="0"/>
        <w:rPr>
          <w:rFonts w:cs="Times New Roman"/>
          <w:color w:val="000000"/>
        </w:rPr>
      </w:pPr>
      <w:r w:rsidRPr="00256D36">
        <w:rPr>
          <w:rFonts w:cs="Times New Roman"/>
          <w:color w:val="000000"/>
        </w:rPr>
        <w:t xml:space="preserve">Treatments were arranged in a </w:t>
      </w:r>
      <w:r>
        <w:rPr>
          <w:rFonts w:cs="Times New Roman"/>
          <w:color w:val="000000"/>
        </w:rPr>
        <w:t>three (safener) by two (safener rate)</w:t>
      </w:r>
      <w:r w:rsidRPr="00256D36">
        <w:rPr>
          <w:rFonts w:cs="Times New Roman"/>
          <w:color w:val="000000"/>
        </w:rPr>
        <w:t>, completely randomized</w:t>
      </w:r>
      <w:r>
        <w:rPr>
          <w:rFonts w:cs="Times New Roman"/>
          <w:color w:val="000000"/>
        </w:rPr>
        <w:t xml:space="preserve"> factorial</w:t>
      </w:r>
      <w:r w:rsidRPr="00256D36">
        <w:rPr>
          <w:rFonts w:cs="Times New Roman"/>
          <w:color w:val="000000"/>
        </w:rPr>
        <w:t xml:space="preserve"> design with </w:t>
      </w:r>
      <w:r>
        <w:rPr>
          <w:rFonts w:cs="Times New Roman"/>
          <w:color w:val="000000"/>
        </w:rPr>
        <w:t>four</w:t>
      </w:r>
      <w:r w:rsidRPr="00256D36">
        <w:rPr>
          <w:rFonts w:cs="Times New Roman"/>
          <w:color w:val="000000"/>
        </w:rPr>
        <w:t xml:space="preserve"> replications. </w:t>
      </w:r>
      <w:r>
        <w:rPr>
          <w:rFonts w:cs="Times New Roman"/>
          <w:color w:val="000000"/>
        </w:rPr>
        <w:t>Non-treated and pinoxaden-treated (90 g ha</w:t>
      </w:r>
      <w:r w:rsidRPr="00CC3988">
        <w:rPr>
          <w:rFonts w:cs="Times New Roman"/>
          <w:color w:val="000000"/>
          <w:vertAlign w:val="superscript"/>
        </w:rPr>
        <w:t>-1</w:t>
      </w:r>
      <w:r>
        <w:rPr>
          <w:rFonts w:cs="Times New Roman"/>
          <w:color w:val="000000"/>
        </w:rPr>
        <w:t>) controls were included for comparison. CBG injury</w:t>
      </w:r>
      <w:r w:rsidR="0086365A">
        <w:rPr>
          <w:rFonts w:cs="Times New Roman"/>
          <w:color w:val="000000"/>
        </w:rPr>
        <w:t>,</w:t>
      </w:r>
      <w:r>
        <w:rPr>
          <w:rFonts w:cs="Times New Roman"/>
          <w:color w:val="000000"/>
        </w:rPr>
        <w:t xml:space="preserve"> as well as </w:t>
      </w:r>
      <w:r>
        <w:rPr>
          <w:rFonts w:cs="Times New Roman"/>
        </w:rPr>
        <w:t>perennial ryegrass</w:t>
      </w:r>
      <w:r>
        <w:rPr>
          <w:rFonts w:cs="Times New Roman"/>
          <w:color w:val="000000"/>
        </w:rPr>
        <w:t xml:space="preserve"> and </w:t>
      </w:r>
      <w:r>
        <w:rPr>
          <w:rFonts w:cs="Times New Roman"/>
        </w:rPr>
        <w:t xml:space="preserve">roughstalk </w:t>
      </w:r>
      <w:r>
        <w:rPr>
          <w:rFonts w:cs="Times New Roman"/>
        </w:rPr>
        <w:lastRenderedPageBreak/>
        <w:t>bluegrass</w:t>
      </w:r>
      <w:r>
        <w:rPr>
          <w:rFonts w:cs="Times New Roman"/>
          <w:color w:val="000000"/>
        </w:rPr>
        <w:t xml:space="preserve"> control were evaluated 2 and 4 WAT as described previously. Clipping yields were collected 2 and 4 WAT as described previously and transformed to a percentage of the non-treated control. At 4 WAT, the </w:t>
      </w:r>
      <w:proofErr w:type="gramStart"/>
      <w:r>
        <w:rPr>
          <w:rFonts w:cs="Times New Roman"/>
          <w:color w:val="000000"/>
        </w:rPr>
        <w:t>number of surviving perennial ryegrass tillers were</w:t>
      </w:r>
      <w:proofErr w:type="gramEnd"/>
      <w:r>
        <w:rPr>
          <w:rFonts w:cs="Times New Roman"/>
          <w:color w:val="000000"/>
        </w:rPr>
        <w:t xml:space="preserve"> counted in each pot. Surviving tillers were defined as those that had green leaf shoots that had grown above the rest of the canopy. </w:t>
      </w:r>
    </w:p>
    <w:p w14:paraId="4D032482" w14:textId="77777777" w:rsidR="00035E7F" w:rsidRDefault="00035E7F" w:rsidP="00DF3770">
      <w:pPr>
        <w:ind w:firstLine="720"/>
        <w:outlineLvl w:val="0"/>
        <w:rPr>
          <w:rFonts w:cs="Times New Roman"/>
          <w:color w:val="000000"/>
        </w:rPr>
      </w:pPr>
    </w:p>
    <w:p w14:paraId="0C9C5D28" w14:textId="77777777" w:rsidR="00DF3770" w:rsidRPr="00081B52" w:rsidRDefault="00DF3770" w:rsidP="00DF3770">
      <w:pPr>
        <w:outlineLvl w:val="0"/>
        <w:rPr>
          <w:rFonts w:cs="Times New Roman"/>
        </w:rPr>
      </w:pPr>
      <w:r w:rsidRPr="002E5671">
        <w:rPr>
          <w:rFonts w:cs="Times New Roman"/>
          <w:b/>
          <w:color w:val="000000"/>
        </w:rPr>
        <w:t>Statistical Analysis</w:t>
      </w:r>
      <w:r>
        <w:rPr>
          <w:rFonts w:cs="Times New Roman"/>
          <w:b/>
          <w:color w:val="000000"/>
        </w:rPr>
        <w:t xml:space="preserve">. </w:t>
      </w:r>
      <w:r w:rsidRPr="001D511C">
        <w:rPr>
          <w:rFonts w:cs="Times New Roman"/>
        </w:rPr>
        <w:t xml:space="preserve">Model assumptions were tested through residual analysis (Shapiro–Wilk statistic) in SAS </w:t>
      </w:r>
      <w:r w:rsidRPr="001D511C">
        <w:rPr>
          <w:rStyle w:val="sm"/>
          <w:rFonts w:cs="Times New Roman"/>
        </w:rPr>
        <w:t>(</w:t>
      </w:r>
      <w:r w:rsidRPr="001D511C">
        <w:rPr>
          <w:rFonts w:cs="Times New Roman"/>
          <w:color w:val="000000"/>
        </w:rPr>
        <w:t>Statistical Analysis Software, Inc., Cary, NC)</w:t>
      </w:r>
      <w:r w:rsidRPr="001D511C">
        <w:rPr>
          <w:rFonts w:cs="Times New Roman"/>
        </w:rPr>
        <w:t>, and no transformations were</w:t>
      </w:r>
      <w:r>
        <w:rPr>
          <w:rFonts w:cs="Times New Roman"/>
        </w:rPr>
        <w:t xml:space="preserve"> needed</w:t>
      </w:r>
      <w:r w:rsidRPr="001D511C">
        <w:rPr>
          <w:rStyle w:val="sm"/>
          <w:rFonts w:cs="Times New Roman"/>
        </w:rPr>
        <w:t>.</w:t>
      </w:r>
      <w:r>
        <w:rPr>
          <w:rStyle w:val="sm"/>
          <w:rFonts w:cs="Times New Roman"/>
        </w:rPr>
        <w:t xml:space="preserve"> ANOVA, mean separations, and contrasts were conducted in SAS</w:t>
      </w:r>
      <w:r w:rsidRPr="00907EA7">
        <w:rPr>
          <w:rStyle w:val="sm"/>
          <w:rFonts w:cs="Times New Roman"/>
        </w:rPr>
        <w:t xml:space="preserve"> </w:t>
      </w:r>
      <w:r w:rsidRPr="00BE59FA">
        <w:rPr>
          <w:rFonts w:cs="Times New Roman"/>
        </w:rPr>
        <w:t>with main effects and all possible interactions tested using the appropriate expected mean square values as described by McIntosh (1983)</w:t>
      </w:r>
      <w:r>
        <w:rPr>
          <w:rFonts w:cs="Times New Roman"/>
        </w:rPr>
        <w:t xml:space="preserve">. Perennial ryegrass clipping yield data collected 4 WAT were subjected to an arcsine-square root transformation. However, non-transformed data are presented for clarity. </w:t>
      </w:r>
      <w:r>
        <w:rPr>
          <w:rStyle w:val="sm"/>
          <w:rFonts w:cs="Times New Roman"/>
        </w:rPr>
        <w:t xml:space="preserve">Fisher’s protected LSD </w:t>
      </w:r>
      <w:r w:rsidRPr="00907EA7">
        <w:rPr>
          <w:rStyle w:val="sm"/>
          <w:rFonts w:cs="Times New Roman"/>
        </w:rPr>
        <w:t xml:space="preserve">(P </w:t>
      </w:r>
      <w:r w:rsidRPr="00907EA7">
        <w:rPr>
          <w:rFonts w:eastAsia="MS Gothic" w:cs="Times New Roman"/>
          <w:color w:val="000000"/>
        </w:rPr>
        <w:t>≤</w:t>
      </w:r>
      <w:r w:rsidRPr="00907EA7">
        <w:rPr>
          <w:rStyle w:val="sm"/>
          <w:rFonts w:cs="Times New Roman"/>
        </w:rPr>
        <w:t xml:space="preserve"> 0.05)</w:t>
      </w:r>
      <w:r>
        <w:rPr>
          <w:rStyle w:val="sm"/>
          <w:rFonts w:cs="Times New Roman"/>
        </w:rPr>
        <w:t xml:space="preserve"> was used to separate means for experiments 1 and 2. For experiment 3, </w:t>
      </w:r>
      <w:r>
        <w:rPr>
          <w:rFonts w:cs="Times New Roman"/>
          <w:color w:val="000000"/>
        </w:rPr>
        <w:t xml:space="preserve">contrasts or paired t-tests were used to determine if responses observed on safener-treated plants differed </w:t>
      </w:r>
      <w:r w:rsidRPr="00172098">
        <w:rPr>
          <w:rFonts w:cs="Times New Roman"/>
        </w:rPr>
        <w:t>(</w:t>
      </w:r>
      <w:r w:rsidRPr="00172098">
        <w:rPr>
          <w:rFonts w:cs="Times New Roman"/>
          <w:color w:val="000000"/>
        </w:rPr>
        <w:t>α</w:t>
      </w:r>
      <w:r w:rsidRPr="00172098">
        <w:rPr>
          <w:rFonts w:cs="Times New Roman"/>
        </w:rPr>
        <w:t xml:space="preserve"> </w:t>
      </w:r>
      <w:r w:rsidRPr="00172098">
        <w:rPr>
          <w:rFonts w:eastAsia="MS Gothic" w:cs="Times New Roman"/>
          <w:color w:val="000000"/>
        </w:rPr>
        <w:t>≤ 0.05)</w:t>
      </w:r>
      <w:r>
        <w:rPr>
          <w:rFonts w:eastAsia="MS Gothic" w:cs="Times New Roman"/>
          <w:color w:val="000000"/>
        </w:rPr>
        <w:t xml:space="preserve"> from pinoxaden-treated plants.</w:t>
      </w:r>
    </w:p>
    <w:p w14:paraId="65AE7769" w14:textId="77777777" w:rsidR="00415F6B" w:rsidRPr="001D3D0F" w:rsidRDefault="00415F6B" w:rsidP="001D3D0F">
      <w:pPr>
        <w:outlineLvl w:val="0"/>
        <w:rPr>
          <w:rFonts w:cs="Times New Roman"/>
          <w:color w:val="000000"/>
        </w:rPr>
      </w:pPr>
    </w:p>
    <w:p w14:paraId="7127D39A" w14:textId="77777777" w:rsidR="001D3D0F" w:rsidRDefault="001D3D0F" w:rsidP="00415F6B">
      <w:pPr>
        <w:pStyle w:val="Heading2"/>
      </w:pPr>
      <w:bookmarkStart w:id="73" w:name="_Toc264635680"/>
      <w:bookmarkStart w:id="74" w:name="_Toc264713567"/>
      <w:bookmarkStart w:id="75" w:name="_Toc264713613"/>
      <w:bookmarkStart w:id="76" w:name="_Toc264967191"/>
      <w:r w:rsidRPr="00415F6B">
        <w:t>RESULTS AND DISCUSSION</w:t>
      </w:r>
      <w:bookmarkEnd w:id="73"/>
      <w:bookmarkEnd w:id="74"/>
      <w:bookmarkEnd w:id="75"/>
      <w:bookmarkEnd w:id="76"/>
    </w:p>
    <w:p w14:paraId="1FEDC0B2" w14:textId="77777777" w:rsidR="00E65A08" w:rsidRDefault="00E65A08" w:rsidP="00E65A08">
      <w:pPr>
        <w:outlineLvl w:val="0"/>
        <w:rPr>
          <w:rFonts w:cs="Times New Roman"/>
        </w:rPr>
      </w:pPr>
      <w:r w:rsidRPr="00AD2F54">
        <w:rPr>
          <w:rFonts w:cs="Times New Roman"/>
          <w:b/>
        </w:rPr>
        <w:t>Experiment 1: Identify Candidate Safeners.</w:t>
      </w:r>
      <w:r>
        <w:rPr>
          <w:rFonts w:cs="Times New Roman"/>
          <w:b/>
        </w:rPr>
        <w:t xml:space="preserve"> </w:t>
      </w:r>
      <w:r>
        <w:rPr>
          <w:rFonts w:cs="Times New Roman"/>
        </w:rPr>
        <w:t>The effect of safener was significant for both CBG injury and clipping yield</w:t>
      </w:r>
      <w:proofErr w:type="gramStart"/>
      <w:r>
        <w:rPr>
          <w:rFonts w:cs="Times New Roman"/>
        </w:rPr>
        <w:t>;</w:t>
      </w:r>
      <w:proofErr w:type="gramEnd"/>
      <w:r>
        <w:rPr>
          <w:rFonts w:cs="Times New Roman"/>
        </w:rPr>
        <w:t xml:space="preserve"> but not DIA. However, DIA and visual injury were correlated (r = -0.71; P &lt; 0.0001). Safeners applied alone did not cause CBG injury or clipping yield reduction and therefore were not included in the statistical analyses.</w:t>
      </w:r>
    </w:p>
    <w:p w14:paraId="7F0628FA" w14:textId="676244E9" w:rsidR="00E65A08" w:rsidRDefault="00E65A08" w:rsidP="00E65A08">
      <w:pPr>
        <w:outlineLvl w:val="0"/>
        <w:rPr>
          <w:rFonts w:cs="Times New Roman"/>
        </w:rPr>
      </w:pPr>
      <w:r>
        <w:rPr>
          <w:rFonts w:cs="Times New Roman"/>
        </w:rPr>
        <w:tab/>
        <w:t xml:space="preserve">Pinoxaden alone caused 9% CBG injury and reduced clipping yield by 30% compared to the non-treated control (Table </w:t>
      </w:r>
      <w:r w:rsidR="008C01C7">
        <w:rPr>
          <w:rFonts w:cs="Times New Roman"/>
        </w:rPr>
        <w:t>2.</w:t>
      </w:r>
      <w:r>
        <w:rPr>
          <w:rFonts w:cs="Times New Roman"/>
        </w:rPr>
        <w:t xml:space="preserve">2). The safeners cloquintocet-mexyl, mefenpyr-diethyl and </w:t>
      </w:r>
      <w:r>
        <w:rPr>
          <w:rFonts w:cs="Times New Roman"/>
        </w:rPr>
        <w:lastRenderedPageBreak/>
        <w:t xml:space="preserve">fenchlorazole-ethyl reduced pinoxaden injury to </w:t>
      </w:r>
      <w:r w:rsidRPr="00A74A80">
        <w:rPr>
          <w:rFonts w:eastAsia="ＭＳ ゴシック" w:cs="Times New Roman"/>
          <w:color w:val="000000"/>
        </w:rPr>
        <w:t>≤</w:t>
      </w:r>
      <w:r w:rsidRPr="00A74A80">
        <w:rPr>
          <w:rFonts w:cs="Times New Roman"/>
        </w:rPr>
        <w:t xml:space="preserve"> 3%.</w:t>
      </w:r>
      <w:r>
        <w:rPr>
          <w:rFonts w:cs="Times New Roman"/>
        </w:rPr>
        <w:t xml:space="preserve"> These safeners also ameliorated clipping yield reductions caused by pinoxaden. The safeners </w:t>
      </w:r>
      <w:r w:rsidR="003C6DA1">
        <w:rPr>
          <w:rFonts w:cs="Times New Roman"/>
        </w:rPr>
        <w:t>NA</w:t>
      </w:r>
      <w:r>
        <w:rPr>
          <w:rFonts w:cs="Times New Roman"/>
        </w:rPr>
        <w:t>, isoxadifen and benoxacor had no effect on CBG injury or clipping yield reductions caused by pinoxaden. These data indicate cloquintocet-mexyl, mefenpyr-diethyl and fenchlorazole-ethyl can increase CBG tolerance to pinoxaden and warrant further investigation to determine optimal application rates.</w:t>
      </w:r>
    </w:p>
    <w:p w14:paraId="2A5F077E" w14:textId="77777777" w:rsidR="00E65A08" w:rsidRDefault="00E65A08" w:rsidP="00E65A08">
      <w:pPr>
        <w:outlineLvl w:val="0"/>
        <w:rPr>
          <w:rFonts w:cs="Times New Roman"/>
        </w:rPr>
      </w:pPr>
    </w:p>
    <w:p w14:paraId="1AAF2C3E" w14:textId="77777777" w:rsidR="00E65A08" w:rsidRDefault="00E65A08" w:rsidP="00E65A08">
      <w:pPr>
        <w:outlineLvl w:val="0"/>
        <w:rPr>
          <w:rFonts w:cs="Times New Roman"/>
        </w:rPr>
      </w:pPr>
      <w:r w:rsidRPr="00AD2F54">
        <w:rPr>
          <w:rFonts w:cs="Times New Roman"/>
          <w:b/>
        </w:rPr>
        <w:t xml:space="preserve">Experiment </w:t>
      </w:r>
      <w:r>
        <w:rPr>
          <w:rFonts w:cs="Times New Roman"/>
          <w:b/>
        </w:rPr>
        <w:t>2</w:t>
      </w:r>
      <w:r w:rsidRPr="00AD2F54">
        <w:rPr>
          <w:rFonts w:cs="Times New Roman"/>
          <w:b/>
        </w:rPr>
        <w:t xml:space="preserve">: </w:t>
      </w:r>
      <w:r w:rsidRPr="00256D36">
        <w:rPr>
          <w:rFonts w:cs="Times New Roman"/>
          <w:b/>
          <w:color w:val="000000"/>
        </w:rPr>
        <w:t>Evaluate Safener Efficacy at Reduced Rates.</w:t>
      </w:r>
      <w:r w:rsidRPr="00256D36">
        <w:rPr>
          <w:rFonts w:cs="Times New Roman"/>
          <w:color w:val="000000"/>
        </w:rPr>
        <w:t xml:space="preserve"> </w:t>
      </w:r>
      <w:r>
        <w:rPr>
          <w:rFonts w:cs="Times New Roman"/>
          <w:color w:val="000000"/>
        </w:rPr>
        <w:t xml:space="preserve">Safener rate-by-experimental run interactions were significant; therefore, runs will be presented separately. Safener rate-by-safener interactions were not significant in either experimental run; therefore data will be presented across safener rates and safeners where appropriate. </w:t>
      </w:r>
      <w:r>
        <w:rPr>
          <w:rFonts w:cs="Times New Roman"/>
        </w:rPr>
        <w:t>DIA and visual injury were correlated in Run A (r = -0.78; P &lt; 0.0001) and Run B (r = -0.61; P &lt; 0.0001).</w:t>
      </w:r>
    </w:p>
    <w:p w14:paraId="4D40F43B" w14:textId="77777777" w:rsidR="00EC7AF6" w:rsidRPr="000169D7" w:rsidRDefault="00EC7AF6" w:rsidP="00E65A08">
      <w:pPr>
        <w:outlineLvl w:val="0"/>
        <w:rPr>
          <w:rFonts w:cs="Times New Roman"/>
        </w:rPr>
      </w:pPr>
    </w:p>
    <w:p w14:paraId="4FE64DA1" w14:textId="3B9012C5" w:rsidR="00E65A08" w:rsidRDefault="00E65A08" w:rsidP="00E65A08">
      <w:pPr>
        <w:outlineLvl w:val="0"/>
        <w:rPr>
          <w:rFonts w:cs="Times New Roman"/>
          <w:color w:val="000000"/>
        </w:rPr>
      </w:pPr>
      <w:r>
        <w:rPr>
          <w:rFonts w:cs="Times New Roman"/>
          <w:i/>
          <w:color w:val="000000"/>
        </w:rPr>
        <w:t>Herbicide Safener E</w:t>
      </w:r>
      <w:r w:rsidRPr="00C36D53">
        <w:rPr>
          <w:rFonts w:cs="Times New Roman"/>
          <w:i/>
          <w:color w:val="000000"/>
        </w:rPr>
        <w:t>fficacy (Combined across safener rates)</w:t>
      </w:r>
      <w:r>
        <w:rPr>
          <w:rFonts w:cs="Times New Roman"/>
          <w:i/>
          <w:color w:val="000000"/>
        </w:rPr>
        <w:t>.</w:t>
      </w:r>
      <w:r>
        <w:rPr>
          <w:rFonts w:cs="Times New Roman"/>
          <w:color w:val="000000"/>
        </w:rPr>
        <w:t xml:space="preserve"> In </w:t>
      </w:r>
      <w:proofErr w:type="gramStart"/>
      <w:r>
        <w:rPr>
          <w:rFonts w:cs="Times New Roman"/>
          <w:color w:val="000000"/>
        </w:rPr>
        <w:t>Run</w:t>
      </w:r>
      <w:proofErr w:type="gramEnd"/>
      <w:r>
        <w:rPr>
          <w:rFonts w:cs="Times New Roman"/>
          <w:color w:val="000000"/>
        </w:rPr>
        <w:t xml:space="preserve"> A, mefenpyr-diethyl reduced CBG injury from pinoxaden from 15 to 6%, more than cloquintocet-mexyl or fenchlorazole-ethyl (Table 3). Similarly, clipping yield of CBG treated with pinoxaden and mefenpyr-diethyl measured 62% of the non-treated, higher than pinoxaden applied with cloquintocet-mexyl (47%) or fenchlorazole-ethyl (51%). In Run B, pinoxaden applied alone only caused 8% injury and a 56% reduction in clipping yield; however, mefenpyr</w:t>
      </w:r>
      <w:r w:rsidR="00E97C52">
        <w:rPr>
          <w:rFonts w:cs="Times New Roman"/>
          <w:color w:val="000000"/>
        </w:rPr>
        <w:t>-diethyl was still the most effe</w:t>
      </w:r>
      <w:r>
        <w:rPr>
          <w:rFonts w:cs="Times New Roman"/>
          <w:color w:val="000000"/>
        </w:rPr>
        <w:t>c</w:t>
      </w:r>
      <w:r w:rsidR="00E97C52">
        <w:rPr>
          <w:rFonts w:cs="Times New Roman"/>
          <w:color w:val="000000"/>
        </w:rPr>
        <w:t>tive</w:t>
      </w:r>
      <w:r>
        <w:rPr>
          <w:rFonts w:cs="Times New Roman"/>
          <w:color w:val="000000"/>
        </w:rPr>
        <w:t xml:space="preserve"> safener as it reduced injury to 2% and clipping yields to only 78% of the non-treated. While mefenpyr-diethyl was the most </w:t>
      </w:r>
      <w:r w:rsidR="00E97C52">
        <w:rPr>
          <w:rFonts w:cs="Times New Roman"/>
          <w:color w:val="000000"/>
        </w:rPr>
        <w:t>effective</w:t>
      </w:r>
      <w:r>
        <w:rPr>
          <w:rFonts w:cs="Times New Roman"/>
          <w:color w:val="000000"/>
        </w:rPr>
        <w:t xml:space="preserve"> safener, these responses indicate that all safeners can reduce CBG injury from pinoxaden.</w:t>
      </w:r>
    </w:p>
    <w:p w14:paraId="513CFD4B" w14:textId="77777777" w:rsidR="001F0E7B" w:rsidRDefault="001F0E7B" w:rsidP="00E65A08">
      <w:pPr>
        <w:outlineLvl w:val="0"/>
        <w:rPr>
          <w:rFonts w:cs="Times New Roman"/>
          <w:color w:val="000000"/>
        </w:rPr>
      </w:pPr>
    </w:p>
    <w:p w14:paraId="2BCDFDFD" w14:textId="76AE22ED" w:rsidR="00E65A08" w:rsidRPr="009B5E72" w:rsidRDefault="00E65A08" w:rsidP="00E65A08">
      <w:pPr>
        <w:outlineLvl w:val="0"/>
        <w:rPr>
          <w:rFonts w:cs="Times New Roman"/>
          <w:color w:val="000000"/>
        </w:rPr>
      </w:pPr>
      <w:r>
        <w:rPr>
          <w:rFonts w:cs="Times New Roman"/>
          <w:i/>
          <w:color w:val="000000"/>
        </w:rPr>
        <w:lastRenderedPageBreak/>
        <w:t>Herbicide Safener Rates (Combined across safener</w:t>
      </w:r>
      <w:r w:rsidRPr="00C36D53">
        <w:rPr>
          <w:rFonts w:cs="Times New Roman"/>
          <w:i/>
          <w:color w:val="000000"/>
        </w:rPr>
        <w:t>s)</w:t>
      </w:r>
      <w:r>
        <w:rPr>
          <w:rFonts w:cs="Times New Roman"/>
          <w:i/>
          <w:color w:val="000000"/>
        </w:rPr>
        <w:t xml:space="preserve">. </w:t>
      </w:r>
      <w:r>
        <w:rPr>
          <w:rFonts w:cs="Times New Roman"/>
          <w:color w:val="000000"/>
        </w:rPr>
        <w:t>The highest safener rate (450 g ha</w:t>
      </w:r>
      <w:r w:rsidRPr="00C85522">
        <w:rPr>
          <w:rFonts w:cs="Times New Roman"/>
          <w:color w:val="000000"/>
          <w:vertAlign w:val="superscript"/>
        </w:rPr>
        <w:t>-1</w:t>
      </w:r>
      <w:r>
        <w:rPr>
          <w:rFonts w:cs="Times New Roman"/>
          <w:color w:val="000000"/>
        </w:rPr>
        <w:t>) reduced CBG injury more than any other rate; this rate reduced CBG injury from 15% to 2% in Run A and 8 to 1% in Run B (Table 4). Compared to pinox</w:t>
      </w:r>
      <w:r w:rsidR="0086365A">
        <w:rPr>
          <w:rFonts w:cs="Times New Roman"/>
          <w:color w:val="000000"/>
        </w:rPr>
        <w:t>a</w:t>
      </w:r>
      <w:r>
        <w:rPr>
          <w:rFonts w:cs="Times New Roman"/>
          <w:color w:val="000000"/>
        </w:rPr>
        <w:t>den applied alone, all safener rates reduced CBG injury in Run A, but safener application at</w:t>
      </w:r>
      <w:r w:rsidRPr="009B5E72">
        <w:rPr>
          <w:rFonts w:cs="Times New Roman"/>
          <w:color w:val="000000"/>
        </w:rPr>
        <w:t xml:space="preserve"> </w:t>
      </w:r>
      <w:r w:rsidRPr="009B5E72">
        <w:rPr>
          <w:rFonts w:eastAsia="ＭＳ ゴシック" w:cs="Times New Roman"/>
          <w:color w:val="000000"/>
        </w:rPr>
        <w:t>≥</w:t>
      </w:r>
      <w:r>
        <w:rPr>
          <w:rFonts w:eastAsia="ＭＳ ゴシック" w:cs="Times New Roman"/>
          <w:color w:val="000000"/>
        </w:rPr>
        <w:t xml:space="preserve"> 68 g ha</w:t>
      </w:r>
      <w:r w:rsidRPr="009B5E72">
        <w:rPr>
          <w:rFonts w:eastAsia="ＭＳ ゴシック" w:cs="Times New Roman"/>
          <w:color w:val="000000"/>
          <w:vertAlign w:val="superscript"/>
        </w:rPr>
        <w:t>-1</w:t>
      </w:r>
      <w:r>
        <w:rPr>
          <w:rFonts w:eastAsia="ＭＳ ゴシック" w:cs="Times New Roman"/>
          <w:color w:val="000000"/>
        </w:rPr>
        <w:t xml:space="preserve"> was required to both reduce CBG injury and increase clipping yield in Run B. Safener rates above 68 g ha</w:t>
      </w:r>
      <w:r w:rsidRPr="007726A6">
        <w:rPr>
          <w:rFonts w:eastAsia="ＭＳ ゴシック" w:cs="Times New Roman"/>
          <w:color w:val="000000"/>
          <w:vertAlign w:val="superscript"/>
        </w:rPr>
        <w:t>-1</w:t>
      </w:r>
      <w:r>
        <w:rPr>
          <w:rFonts w:eastAsia="ＭＳ ゴシック" w:cs="Times New Roman"/>
          <w:color w:val="000000"/>
        </w:rPr>
        <w:t xml:space="preserve"> in Run B, did not affect CBG injury and clipping yield.</w:t>
      </w:r>
    </w:p>
    <w:p w14:paraId="1895A14A" w14:textId="7D928271" w:rsidR="00E65A08" w:rsidRDefault="00E65A08" w:rsidP="00E65A08">
      <w:pPr>
        <w:rPr>
          <w:rFonts w:cs="Times New Roman"/>
          <w:color w:val="000000"/>
        </w:rPr>
      </w:pPr>
      <w:r>
        <w:rPr>
          <w:rFonts w:cs="Times New Roman"/>
          <w:color w:val="000000"/>
        </w:rPr>
        <w:tab/>
        <w:t>Other researchers have reported cloquintocet-mexyl and fenchlorazole-ethyl completely reduced wheat and barley injury from pinoxaden and fenoxaprop-ethyl at a 4:1 herbicide</w:t>
      </w:r>
      <w:proofErr w:type="gramStart"/>
      <w:r>
        <w:rPr>
          <w:rFonts w:cs="Times New Roman"/>
          <w:color w:val="000000"/>
        </w:rPr>
        <w:t>:safener</w:t>
      </w:r>
      <w:proofErr w:type="gramEnd"/>
      <w:r>
        <w:rPr>
          <w:rFonts w:cs="Times New Roman"/>
          <w:color w:val="000000"/>
        </w:rPr>
        <w:t xml:space="preserve"> ratio (Muehlebach et al. 2010; Yaacoby et al. 1991). While herbicide safeners reduced CBG injury from pinoxaden in our experiments, complete reduction of injury and clipping yield at high herbicide</w:t>
      </w:r>
      <w:proofErr w:type="gramStart"/>
      <w:r>
        <w:rPr>
          <w:rFonts w:cs="Times New Roman"/>
          <w:color w:val="000000"/>
        </w:rPr>
        <w:t>:safener</w:t>
      </w:r>
      <w:proofErr w:type="gramEnd"/>
      <w:r>
        <w:rPr>
          <w:rFonts w:cs="Times New Roman"/>
          <w:color w:val="000000"/>
        </w:rPr>
        <w:t xml:space="preserve"> ratios (4:1) similar</w:t>
      </w:r>
      <w:r w:rsidR="009B5B6F">
        <w:rPr>
          <w:rFonts w:cs="Times New Roman"/>
          <w:color w:val="000000"/>
        </w:rPr>
        <w:t xml:space="preserve"> to</w:t>
      </w:r>
      <w:r>
        <w:rPr>
          <w:rFonts w:cs="Times New Roman"/>
          <w:color w:val="000000"/>
        </w:rPr>
        <w:t xml:space="preserve"> those commonly reported in cereal crops was not observed. However, other researchers have reported lower safener</w:t>
      </w:r>
      <w:proofErr w:type="gramStart"/>
      <w:r>
        <w:rPr>
          <w:rFonts w:cs="Times New Roman"/>
          <w:color w:val="000000"/>
        </w:rPr>
        <w:t>:herbicide</w:t>
      </w:r>
      <w:proofErr w:type="gramEnd"/>
      <w:r>
        <w:rPr>
          <w:rFonts w:cs="Times New Roman"/>
          <w:color w:val="000000"/>
        </w:rPr>
        <w:t xml:space="preserve"> ratios did not completely reduce wheat injury from ALS-inhibiting herbicides. Crooks et al. (2004) reported mefenpyr-diethyl at a lower 1:1 or 1:3 herbicide</w:t>
      </w:r>
      <w:proofErr w:type="gramStart"/>
      <w:r>
        <w:rPr>
          <w:rFonts w:cs="Times New Roman"/>
          <w:color w:val="000000"/>
        </w:rPr>
        <w:t>:safener</w:t>
      </w:r>
      <w:proofErr w:type="gramEnd"/>
      <w:r>
        <w:rPr>
          <w:rFonts w:cs="Times New Roman"/>
          <w:color w:val="000000"/>
        </w:rPr>
        <w:t xml:space="preserve"> ratio reduced wheat injury</w:t>
      </w:r>
      <w:r w:rsidRPr="008437B5">
        <w:rPr>
          <w:rFonts w:cs="Times New Roman"/>
          <w:color w:val="000000"/>
        </w:rPr>
        <w:t xml:space="preserve"> </w:t>
      </w:r>
      <w:r>
        <w:rPr>
          <w:rFonts w:cs="Times New Roman"/>
          <w:color w:val="000000"/>
        </w:rPr>
        <w:t>from 27 to 9% at 3 WAT with mesosulfuron-methyl and iodosulfuron-methyl, which supports the inclusion of mefenpyr-diethyl at a lower 1:2.15 herbicide:safener ratio in the cereal herbicide containing mesosulfuron-methyl and propoxycarbazone-sodium (Anonymous 2012b).</w:t>
      </w:r>
    </w:p>
    <w:p w14:paraId="3F594736" w14:textId="77777777" w:rsidR="00E65A08" w:rsidRDefault="00E65A08" w:rsidP="00E65A08">
      <w:pPr>
        <w:rPr>
          <w:rFonts w:cs="Times New Roman"/>
          <w:color w:val="000000"/>
        </w:rPr>
      </w:pPr>
    </w:p>
    <w:p w14:paraId="5F0DA65A" w14:textId="27742D44" w:rsidR="00E65A08" w:rsidRDefault="00E65A08" w:rsidP="00E65A08">
      <w:pPr>
        <w:rPr>
          <w:rFonts w:eastAsia="ＭＳ ゴシック" w:cs="Times New Roman"/>
          <w:color w:val="000000"/>
        </w:rPr>
      </w:pPr>
      <w:r w:rsidRPr="00256D36">
        <w:rPr>
          <w:rFonts w:cs="Times New Roman"/>
          <w:b/>
          <w:color w:val="000000"/>
        </w:rPr>
        <w:t xml:space="preserve">Experiment </w:t>
      </w:r>
      <w:r>
        <w:rPr>
          <w:rFonts w:cs="Times New Roman"/>
          <w:b/>
          <w:color w:val="000000"/>
        </w:rPr>
        <w:t>3</w:t>
      </w:r>
      <w:r w:rsidRPr="00256D36">
        <w:rPr>
          <w:rFonts w:cs="Times New Roman"/>
          <w:b/>
          <w:color w:val="000000"/>
        </w:rPr>
        <w:t xml:space="preserve">: </w:t>
      </w:r>
      <w:r>
        <w:rPr>
          <w:rFonts w:cs="Times New Roman"/>
          <w:b/>
          <w:color w:val="000000"/>
        </w:rPr>
        <w:t xml:space="preserve">Comparing CBG, Roughstalk Bluegrass and Perennial Ryegrass Responses. </w:t>
      </w:r>
      <w:r>
        <w:rPr>
          <w:rFonts w:cs="Times New Roman"/>
          <w:color w:val="000000"/>
        </w:rPr>
        <w:t>CBG and perennial ryegrass response data were combined across experimental runs. Main effect interactions with experimental run were detected in roughstalk bluegrass data</w:t>
      </w:r>
      <w:r w:rsidR="001632E4">
        <w:rPr>
          <w:rFonts w:cs="Times New Roman"/>
          <w:color w:val="000000"/>
        </w:rPr>
        <w:t>;</w:t>
      </w:r>
      <w:r>
        <w:rPr>
          <w:rFonts w:cs="Times New Roman"/>
          <w:color w:val="000000"/>
        </w:rPr>
        <w:t xml:space="preserve"> th</w:t>
      </w:r>
      <w:r w:rsidR="001632E4">
        <w:rPr>
          <w:rFonts w:cs="Times New Roman"/>
          <w:color w:val="000000"/>
        </w:rPr>
        <w:t>erefore</w:t>
      </w:r>
      <w:r>
        <w:rPr>
          <w:rFonts w:cs="Times New Roman"/>
          <w:color w:val="000000"/>
        </w:rPr>
        <w:t xml:space="preserve"> data from each experimental run will be presented separately. Main effects</w:t>
      </w:r>
      <w:r w:rsidR="009B5B6F">
        <w:rPr>
          <w:rFonts w:cs="Times New Roman"/>
          <w:color w:val="000000"/>
        </w:rPr>
        <w:t>,</w:t>
      </w:r>
      <w:r>
        <w:rPr>
          <w:rFonts w:cs="Times New Roman"/>
          <w:color w:val="000000"/>
        </w:rPr>
        <w:t xml:space="preserve"> but not thei</w:t>
      </w:r>
      <w:r w:rsidR="009B5B6F">
        <w:rPr>
          <w:rFonts w:cs="Times New Roman"/>
          <w:color w:val="000000"/>
        </w:rPr>
        <w:t>r interactions were significant,</w:t>
      </w:r>
      <w:r>
        <w:rPr>
          <w:rFonts w:cs="Times New Roman"/>
          <w:color w:val="000000"/>
        </w:rPr>
        <w:t xml:space="preserve"> Thus, only main effects will be presented for CBG and perennial ryegrass </w:t>
      </w:r>
      <w:r>
        <w:rPr>
          <w:rFonts w:cs="Times New Roman"/>
          <w:color w:val="000000"/>
        </w:rPr>
        <w:lastRenderedPageBreak/>
        <w:t xml:space="preserve">responses as well as roughstalk bluegrass control. </w:t>
      </w:r>
      <w:r>
        <w:rPr>
          <w:rFonts w:eastAsia="ＭＳ ゴシック" w:cs="Times New Roman"/>
          <w:color w:val="000000"/>
        </w:rPr>
        <w:t xml:space="preserve">Safener-by-safener rate interactions were detected in </w:t>
      </w:r>
      <w:r>
        <w:rPr>
          <w:rFonts w:cs="Times New Roman"/>
        </w:rPr>
        <w:t>roughstalk bluegrass</w:t>
      </w:r>
      <w:r>
        <w:rPr>
          <w:rFonts w:eastAsia="ＭＳ ゴシック" w:cs="Times New Roman"/>
          <w:color w:val="000000"/>
        </w:rPr>
        <w:t xml:space="preserve"> control data and will be presented. Safener-by-safener rate interactions were not detected for CBG or </w:t>
      </w:r>
      <w:r>
        <w:rPr>
          <w:rFonts w:cs="Times New Roman"/>
        </w:rPr>
        <w:t>roughstalk bluegrass</w:t>
      </w:r>
      <w:r>
        <w:rPr>
          <w:rFonts w:eastAsia="ＭＳ ゴシック" w:cs="Times New Roman"/>
          <w:color w:val="000000"/>
        </w:rPr>
        <w:t xml:space="preserve"> clipping yield data.</w:t>
      </w:r>
    </w:p>
    <w:p w14:paraId="29B3AC54" w14:textId="77777777" w:rsidR="001632E4" w:rsidRDefault="001632E4" w:rsidP="00E65A08">
      <w:pPr>
        <w:rPr>
          <w:rFonts w:eastAsia="ＭＳ ゴシック" w:cs="Times New Roman"/>
          <w:color w:val="000000"/>
        </w:rPr>
      </w:pPr>
    </w:p>
    <w:p w14:paraId="6CE6DFFD" w14:textId="0BDAFCF3" w:rsidR="00E65A08" w:rsidRDefault="00E65A08" w:rsidP="00E65A08">
      <w:pPr>
        <w:rPr>
          <w:rFonts w:eastAsia="ＭＳ ゴシック" w:cs="Times New Roman"/>
          <w:color w:val="000000"/>
        </w:rPr>
      </w:pPr>
      <w:r>
        <w:rPr>
          <w:rFonts w:eastAsia="ＭＳ ゴシック" w:cs="Times New Roman"/>
          <w:i/>
          <w:color w:val="000000"/>
        </w:rPr>
        <w:t xml:space="preserve">CBG Responses. </w:t>
      </w:r>
      <w:r>
        <w:rPr>
          <w:rFonts w:eastAsia="ＭＳ ゴシック" w:cs="Times New Roman"/>
          <w:color w:val="000000"/>
        </w:rPr>
        <w:t xml:space="preserve">At 2 WAT, all safeners and safener rates increased CBG clipping yield and reduced injury compared to plants treated with pinoxaden only (Tables </w:t>
      </w:r>
      <w:r w:rsidR="008C01C7">
        <w:rPr>
          <w:rFonts w:eastAsia="ＭＳ ゴシック" w:cs="Times New Roman"/>
          <w:color w:val="000000"/>
        </w:rPr>
        <w:t>2.</w:t>
      </w:r>
      <w:r>
        <w:rPr>
          <w:rFonts w:eastAsia="ＭＳ ゴシック" w:cs="Times New Roman"/>
          <w:color w:val="000000"/>
        </w:rPr>
        <w:t xml:space="preserve">5 and </w:t>
      </w:r>
      <w:r w:rsidR="008C01C7">
        <w:rPr>
          <w:rFonts w:eastAsia="ＭＳ ゴシック" w:cs="Times New Roman"/>
          <w:color w:val="000000"/>
        </w:rPr>
        <w:t>2.</w:t>
      </w:r>
      <w:r>
        <w:rPr>
          <w:rFonts w:eastAsia="ＭＳ ゴシック" w:cs="Times New Roman"/>
          <w:color w:val="000000"/>
        </w:rPr>
        <w:t xml:space="preserve">6). </w:t>
      </w:r>
      <w:proofErr w:type="gramStart"/>
      <w:r>
        <w:rPr>
          <w:rFonts w:eastAsia="ＭＳ ゴシック" w:cs="Times New Roman"/>
          <w:color w:val="000000"/>
        </w:rPr>
        <w:t>Cloquintocet-mexyl and mefenpyr-diethyl reduced CBG injury more than fenchlorazole-ethyl.</w:t>
      </w:r>
      <w:proofErr w:type="gramEnd"/>
      <w:r>
        <w:rPr>
          <w:rFonts w:eastAsia="ＭＳ ゴシック" w:cs="Times New Roman"/>
          <w:color w:val="000000"/>
        </w:rPr>
        <w:t xml:space="preserve"> Pinoxaden alone reduced CBG clipping yield to 32% of the non-treated, but application in conjunction with either cloquintocet-mexyl or mefenpyr-diethyl increased yield to 69 and 75% of the non-treated. CBG injury from pinoxaden measured 25%, but was reduced to </w:t>
      </w:r>
      <w:r w:rsidRPr="00A81C10">
        <w:rPr>
          <w:rFonts w:eastAsia="ＭＳ ゴシック" w:cs="Times New Roman"/>
          <w:color w:val="000000"/>
        </w:rPr>
        <w:t>≤</w:t>
      </w:r>
      <w:r>
        <w:rPr>
          <w:rFonts w:eastAsia="ＭＳ ゴシック" w:cs="Times New Roman"/>
          <w:color w:val="000000"/>
        </w:rPr>
        <w:t xml:space="preserve"> 5% by cloquintocet-mexyl and mefenpyr-diethyl and 11% by fenchlorazole-ethyl. The high safener rate</w:t>
      </w:r>
      <w:r w:rsidR="001632E4">
        <w:rPr>
          <w:rFonts w:eastAsia="ＭＳ ゴシック" w:cs="Times New Roman"/>
          <w:color w:val="000000"/>
        </w:rPr>
        <w:t xml:space="preserve"> (450 g ha</w:t>
      </w:r>
      <w:r w:rsidR="001632E4" w:rsidRPr="000D36BE">
        <w:rPr>
          <w:rFonts w:eastAsia="ＭＳ ゴシック" w:cs="Times New Roman"/>
          <w:color w:val="000000"/>
          <w:vertAlign w:val="superscript"/>
        </w:rPr>
        <w:t>-1</w:t>
      </w:r>
      <w:proofErr w:type="gramStart"/>
      <w:r w:rsidR="001632E4">
        <w:rPr>
          <w:rFonts w:eastAsia="ＭＳ ゴシック" w:cs="Times New Roman"/>
          <w:color w:val="000000"/>
        </w:rPr>
        <w:t xml:space="preserve">) </w:t>
      </w:r>
      <w:r>
        <w:rPr>
          <w:rFonts w:eastAsia="ＭＳ ゴシック" w:cs="Times New Roman"/>
          <w:color w:val="000000"/>
        </w:rPr>
        <w:t xml:space="preserve"> reduced</w:t>
      </w:r>
      <w:proofErr w:type="gramEnd"/>
      <w:r>
        <w:rPr>
          <w:rFonts w:eastAsia="ＭＳ ゴシック" w:cs="Times New Roman"/>
          <w:color w:val="000000"/>
        </w:rPr>
        <w:t xml:space="preserve"> injury and increased clipping yield more than the low (68 g ha</w:t>
      </w:r>
      <w:r w:rsidRPr="000D36BE">
        <w:rPr>
          <w:rFonts w:eastAsia="ＭＳ ゴシック" w:cs="Times New Roman"/>
          <w:color w:val="000000"/>
          <w:vertAlign w:val="superscript"/>
        </w:rPr>
        <w:t>-1</w:t>
      </w:r>
      <w:r>
        <w:rPr>
          <w:rFonts w:eastAsia="ＭＳ ゴシック" w:cs="Times New Roman"/>
          <w:color w:val="000000"/>
        </w:rPr>
        <w:t>) rate. By 4 WAT, CBG clipping yields were similar for all safener treatments and not different from CBG treated with pinoxaden only. CBG injury was &lt; 5% for all treatments at 4 WAT.</w:t>
      </w:r>
    </w:p>
    <w:p w14:paraId="702BE611" w14:textId="77777777" w:rsidR="001632E4" w:rsidRDefault="001632E4" w:rsidP="00E65A08">
      <w:pPr>
        <w:rPr>
          <w:rFonts w:eastAsia="ＭＳ ゴシック" w:cs="Times New Roman"/>
          <w:color w:val="000000"/>
        </w:rPr>
      </w:pPr>
    </w:p>
    <w:p w14:paraId="5F260F70" w14:textId="60E41E94" w:rsidR="00E65A08" w:rsidRDefault="00E65A08" w:rsidP="00E65A08">
      <w:pPr>
        <w:rPr>
          <w:rFonts w:eastAsia="ＭＳ ゴシック" w:cs="Times New Roman"/>
          <w:color w:val="000000"/>
        </w:rPr>
      </w:pPr>
      <w:proofErr w:type="gramStart"/>
      <w:r>
        <w:rPr>
          <w:rFonts w:eastAsia="ＭＳ ゴシック" w:cs="Times New Roman"/>
          <w:i/>
          <w:color w:val="000000"/>
        </w:rPr>
        <w:t>Perennial Ryegrass Responses.</w:t>
      </w:r>
      <w:proofErr w:type="gramEnd"/>
      <w:r>
        <w:rPr>
          <w:rFonts w:eastAsia="ＭＳ ゴシック" w:cs="Times New Roman"/>
          <w:i/>
          <w:color w:val="000000"/>
        </w:rPr>
        <w:t xml:space="preserve"> </w:t>
      </w:r>
      <w:r>
        <w:rPr>
          <w:rFonts w:eastAsia="ＭＳ ゴシック" w:cs="Times New Roman"/>
          <w:color w:val="000000"/>
        </w:rPr>
        <w:t xml:space="preserve">Neither safener treatment nor safener rate affected </w:t>
      </w:r>
      <w:r>
        <w:rPr>
          <w:rFonts w:cs="Times New Roman"/>
        </w:rPr>
        <w:t>perennial ryegrass</w:t>
      </w:r>
      <w:r>
        <w:rPr>
          <w:rFonts w:eastAsia="ＭＳ ゴシック" w:cs="Times New Roman"/>
          <w:color w:val="000000"/>
        </w:rPr>
        <w:t xml:space="preserve"> clipping yield or reduced control provided by pinoxaden at 2 WAT. Safener rates did not affect perennial ryegrass control at 4 WAT. Clipping yield, which was used to asses</w:t>
      </w:r>
      <w:r w:rsidR="001632E4">
        <w:rPr>
          <w:rFonts w:eastAsia="ＭＳ ゴシック" w:cs="Times New Roman"/>
          <w:color w:val="000000"/>
        </w:rPr>
        <w:t>s</w:t>
      </w:r>
      <w:r>
        <w:rPr>
          <w:rFonts w:eastAsia="ＭＳ ゴシック" w:cs="Times New Roman"/>
          <w:color w:val="000000"/>
        </w:rPr>
        <w:t xml:space="preserve"> plant vigor, measured between 3 and 12% of the non-treated </w:t>
      </w:r>
      <w:r>
        <w:rPr>
          <w:rFonts w:cs="Times New Roman"/>
        </w:rPr>
        <w:t>with perennial ryegrass</w:t>
      </w:r>
      <w:r>
        <w:rPr>
          <w:rFonts w:eastAsia="ＭＳ ゴシック" w:cs="Times New Roman"/>
          <w:color w:val="000000"/>
        </w:rPr>
        <w:t xml:space="preserve"> control ranging from 83 to 95% for all treatments at 4 WAT.  Perennial ryegrass treated with </w:t>
      </w:r>
      <w:r w:rsidR="00E97C52">
        <w:rPr>
          <w:rFonts w:eastAsia="ＭＳ ゴシック" w:cs="Times New Roman"/>
          <w:color w:val="000000"/>
        </w:rPr>
        <w:t xml:space="preserve">pinoxaden and </w:t>
      </w:r>
      <w:r>
        <w:rPr>
          <w:rFonts w:eastAsia="ＭＳ ゴシック" w:cs="Times New Roman"/>
          <w:color w:val="000000"/>
        </w:rPr>
        <w:t xml:space="preserve">mefenpyr-diethyl displayed greater perennial ryegrass control and a lower clipping yield than plants treated with </w:t>
      </w:r>
      <w:r w:rsidR="00E97C52">
        <w:rPr>
          <w:rFonts w:eastAsia="ＭＳ ゴシック" w:cs="Times New Roman"/>
          <w:color w:val="000000"/>
        </w:rPr>
        <w:t xml:space="preserve">pinoxaden and </w:t>
      </w:r>
      <w:r>
        <w:rPr>
          <w:rFonts w:eastAsia="ＭＳ ゴシック" w:cs="Times New Roman"/>
          <w:color w:val="000000"/>
        </w:rPr>
        <w:t xml:space="preserve">cloquintocet-mexyl at 4 WAT. Perennial ryegrass treated with </w:t>
      </w:r>
      <w:r w:rsidR="00E97C52">
        <w:rPr>
          <w:rFonts w:eastAsia="ＭＳ ゴシック" w:cs="Times New Roman"/>
          <w:color w:val="000000"/>
        </w:rPr>
        <w:t xml:space="preserve">pinoxaden and </w:t>
      </w:r>
      <w:r>
        <w:rPr>
          <w:rFonts w:eastAsia="ＭＳ ゴシック" w:cs="Times New Roman"/>
          <w:color w:val="000000"/>
        </w:rPr>
        <w:t xml:space="preserve">cloquintocet-mexyl also averaged seven surviving tillers per pot, compared to </w:t>
      </w:r>
      <w:r>
        <w:rPr>
          <w:rFonts w:eastAsia="ＭＳ ゴシック" w:cs="Times New Roman"/>
          <w:color w:val="000000"/>
        </w:rPr>
        <w:lastRenderedPageBreak/>
        <w:t xml:space="preserve">only one in mefenpyr-diethyl-treated pots at 4 WAT (data not presented). Compared to perennial ryegrass treated with pinoxaden only, safeners did not affect perennial ryegrass control, clipping yield, or the number of surviving tillers at 4 WAT. </w:t>
      </w:r>
    </w:p>
    <w:p w14:paraId="522B1FDE" w14:textId="77777777" w:rsidR="00205FC7" w:rsidRDefault="00205FC7" w:rsidP="00E65A08">
      <w:pPr>
        <w:rPr>
          <w:rFonts w:eastAsia="ＭＳ ゴシック" w:cs="Times New Roman"/>
          <w:color w:val="000000"/>
        </w:rPr>
      </w:pPr>
    </w:p>
    <w:p w14:paraId="5B725BDE" w14:textId="2BB8335B" w:rsidR="00E65A08" w:rsidRDefault="00E65A08" w:rsidP="00E65A08">
      <w:pPr>
        <w:rPr>
          <w:rFonts w:eastAsia="ＭＳ ゴシック" w:cs="Times New Roman"/>
          <w:color w:val="000000"/>
        </w:rPr>
      </w:pPr>
      <w:proofErr w:type="gramStart"/>
      <w:r w:rsidRPr="00161189">
        <w:rPr>
          <w:rFonts w:cs="Times New Roman"/>
          <w:i/>
        </w:rPr>
        <w:t xml:space="preserve">Roughstalk </w:t>
      </w:r>
      <w:r>
        <w:rPr>
          <w:rFonts w:cs="Times New Roman"/>
          <w:i/>
        </w:rPr>
        <w:t>B</w:t>
      </w:r>
      <w:r w:rsidRPr="00161189">
        <w:rPr>
          <w:rFonts w:cs="Times New Roman"/>
          <w:i/>
        </w:rPr>
        <w:t>luegrass</w:t>
      </w:r>
      <w:r>
        <w:rPr>
          <w:rFonts w:eastAsia="ＭＳ ゴシック" w:cs="Times New Roman"/>
          <w:i/>
          <w:color w:val="000000"/>
        </w:rPr>
        <w:t xml:space="preserve"> Responses.</w:t>
      </w:r>
      <w:proofErr w:type="gramEnd"/>
      <w:r>
        <w:rPr>
          <w:rFonts w:eastAsia="ＭＳ ゴシック" w:cs="Times New Roman"/>
          <w:i/>
          <w:color w:val="000000"/>
        </w:rPr>
        <w:t xml:space="preserve"> </w:t>
      </w:r>
      <w:r>
        <w:rPr>
          <w:rFonts w:eastAsia="ＭＳ ゴシック" w:cs="Times New Roman"/>
          <w:color w:val="000000"/>
        </w:rPr>
        <w:t xml:space="preserve">Mefenpyr-diethyl and cloquintocet-mexyl reduced roughstalk bluegrass control with pinoxaden and increased clipping yields at most evaluations (Tables </w:t>
      </w:r>
      <w:r w:rsidR="008C01C7">
        <w:rPr>
          <w:rFonts w:eastAsia="ＭＳ ゴシック" w:cs="Times New Roman"/>
          <w:color w:val="000000"/>
        </w:rPr>
        <w:t>2.</w:t>
      </w:r>
      <w:r>
        <w:rPr>
          <w:rFonts w:eastAsia="ＭＳ ゴシック" w:cs="Times New Roman"/>
          <w:color w:val="000000"/>
        </w:rPr>
        <w:t xml:space="preserve">7 and </w:t>
      </w:r>
      <w:r w:rsidR="008C01C7">
        <w:rPr>
          <w:rFonts w:eastAsia="ＭＳ ゴシック" w:cs="Times New Roman"/>
          <w:color w:val="000000"/>
        </w:rPr>
        <w:t>2.</w:t>
      </w:r>
      <w:r>
        <w:rPr>
          <w:rFonts w:eastAsia="ＭＳ ゴシック" w:cs="Times New Roman"/>
          <w:color w:val="000000"/>
        </w:rPr>
        <w:t xml:space="preserve">8). When treated with pinoxaden alone, </w:t>
      </w:r>
      <w:r>
        <w:rPr>
          <w:rFonts w:cs="Times New Roman"/>
        </w:rPr>
        <w:t>roughstalk bluegrass</w:t>
      </w:r>
      <w:r>
        <w:rPr>
          <w:rFonts w:eastAsia="ＭＳ ゴシック" w:cs="Times New Roman"/>
          <w:color w:val="000000"/>
        </w:rPr>
        <w:t xml:space="preserve"> control was 41 and 80% at 4 WAT in runs A and B, respectively; cloquin</w:t>
      </w:r>
      <w:r w:rsidR="00E97C52">
        <w:rPr>
          <w:rFonts w:eastAsia="ＭＳ ゴシック" w:cs="Times New Roman"/>
          <w:color w:val="000000"/>
        </w:rPr>
        <w:t>to</w:t>
      </w:r>
      <w:r>
        <w:rPr>
          <w:rFonts w:eastAsia="ＭＳ ゴシック" w:cs="Times New Roman"/>
          <w:color w:val="000000"/>
        </w:rPr>
        <w:t>cet-mexyl and mefenpyr-diethyl decreased control to &lt; 10% in Run A and &lt; 65% in Run B. Clipping yield responses supported visual observations. The clipping yield of roughstalk bluegrass increased from 21% of the control with pinoxaden alone to 49 and 43% of the control with cloquintocet-mexyl and mefenpyr-diethyl respectively, at 2 WAT in Run A. By 4 WAT in Run A, clipping yields in roughstalk bluegrass treated with mefenpyr-diethyl and cloquintocet-mexyl were 107 and 113% of the control. Pinoxaden was more efficacious at 4 WAT in Run B than in Run A, but clipping yields of roughstalk bluegrass treated with mefenpyr-diethyl and cloquintocet-mexyl were greater than those in roughstalk bluegrass treated with pinoxaden alone. Generally, fenchlorazole-ethyl did not reduce pinoxaden efficacy or clipping yield. High</w:t>
      </w:r>
      <w:r w:rsidR="00E97C52">
        <w:rPr>
          <w:rFonts w:eastAsia="ＭＳ ゴシック" w:cs="Times New Roman"/>
          <w:color w:val="000000"/>
        </w:rPr>
        <w:t xml:space="preserve"> (450 g ha</w:t>
      </w:r>
      <w:r w:rsidR="00E97C52" w:rsidRPr="00E97C52">
        <w:rPr>
          <w:rFonts w:eastAsia="ＭＳ ゴシック" w:cs="Times New Roman"/>
          <w:color w:val="000000"/>
          <w:vertAlign w:val="superscript"/>
        </w:rPr>
        <w:t>-1</w:t>
      </w:r>
      <w:r w:rsidR="00E97C52">
        <w:rPr>
          <w:rFonts w:eastAsia="ＭＳ ゴシック" w:cs="Times New Roman"/>
          <w:color w:val="000000"/>
        </w:rPr>
        <w:t>)</w:t>
      </w:r>
      <w:r>
        <w:rPr>
          <w:rFonts w:eastAsia="ＭＳ ゴシック" w:cs="Times New Roman"/>
          <w:color w:val="000000"/>
        </w:rPr>
        <w:t xml:space="preserve"> safener rates decreased control more than low rates at 2 WAT in both experimental runs and 4 WAT in Run A. Safeners can antagonize weed control in cereal crops as well. Mefenpyr-diethyl and fen</w:t>
      </w:r>
      <w:r w:rsidR="009B5B6F">
        <w:rPr>
          <w:rFonts w:eastAsia="ＭＳ ゴシック" w:cs="Times New Roman"/>
          <w:color w:val="000000"/>
        </w:rPr>
        <w:t>chlorazole-ethyl can decrease</w:t>
      </w:r>
      <w:r>
        <w:rPr>
          <w:rFonts w:eastAsia="ＭＳ ゴシック" w:cs="Times New Roman"/>
          <w:color w:val="000000"/>
        </w:rPr>
        <w:t xml:space="preserve"> fenoxaprop-ethyl efficacy against blackgrass, a problematic weed of cereal crops in Europe (Cummins et al. 1999). However, the combination of fenoxaprop-p-ethyl and mefenpyr-diethyl is registered for blackgrass control in cereals (Anonymous 2011). </w:t>
      </w:r>
    </w:p>
    <w:p w14:paraId="4D3B33C8" w14:textId="77777777" w:rsidR="00E65A08" w:rsidRPr="00264BD6" w:rsidRDefault="00E65A08" w:rsidP="00E65A08">
      <w:pPr>
        <w:rPr>
          <w:rFonts w:cs="Times New Roman"/>
        </w:rPr>
      </w:pPr>
    </w:p>
    <w:p w14:paraId="733E5B37" w14:textId="407A805B" w:rsidR="00E65A08" w:rsidRDefault="00E65A08" w:rsidP="00E65A08">
      <w:pPr>
        <w:rPr>
          <w:rFonts w:eastAsia="ＭＳ ゴシック" w:cs="Times New Roman"/>
          <w:color w:val="000000"/>
        </w:rPr>
      </w:pPr>
      <w:r>
        <w:rPr>
          <w:rFonts w:eastAsia="ＭＳ ゴシック" w:cs="Times New Roman"/>
          <w:b/>
          <w:color w:val="000000"/>
        </w:rPr>
        <w:lastRenderedPageBreak/>
        <w:t xml:space="preserve">Conclusions. </w:t>
      </w:r>
      <w:r>
        <w:rPr>
          <w:rFonts w:eastAsia="ＭＳ ゴシック" w:cs="Times New Roman"/>
          <w:color w:val="000000"/>
        </w:rPr>
        <w:t xml:space="preserve">These data indicate that safeners traditionally used in cereal crops (cloquintocet-mexyl, fenchlorazole-ethyl, and mefenpyr-diethyl) to reduce injury from ACCase-inhibiting herbicides reduced CBG injury from pinoxaden more than safeners used in corn (benoxacor, isoxadifen-ethyl, </w:t>
      </w:r>
      <w:r w:rsidR="009B5B6F">
        <w:rPr>
          <w:rFonts w:eastAsia="ＭＳ ゴシック" w:cs="Times New Roman"/>
          <w:color w:val="000000"/>
        </w:rPr>
        <w:t xml:space="preserve">and </w:t>
      </w:r>
      <w:r>
        <w:rPr>
          <w:rFonts w:eastAsia="ＭＳ ゴシック" w:cs="Times New Roman"/>
          <w:color w:val="000000"/>
        </w:rPr>
        <w:t xml:space="preserve">naphthalic anhydride). Reductions in CBG injury increased with safener rate and depend on the safener selected. Cloquintocet-mexyl and mefenpyr-diethyl more effectively reduced CBG injury from pinoxaden than fenchlorazole-ethyl. These safeners did not affect pinoxaden efficacy against </w:t>
      </w:r>
      <w:r>
        <w:rPr>
          <w:rFonts w:cs="Times New Roman"/>
        </w:rPr>
        <w:t>perennial ryegrass</w:t>
      </w:r>
      <w:r w:rsidR="009B5B6F">
        <w:rPr>
          <w:rFonts w:cs="Times New Roman"/>
        </w:rPr>
        <w:t>,</w:t>
      </w:r>
      <w:r>
        <w:rPr>
          <w:rFonts w:eastAsia="ＭＳ ゴシック" w:cs="Times New Roman"/>
          <w:color w:val="000000"/>
        </w:rPr>
        <w:t xml:space="preserve"> but reduced efficacy against </w:t>
      </w:r>
      <w:r>
        <w:rPr>
          <w:rFonts w:cs="Times New Roman"/>
        </w:rPr>
        <w:t>roughstalk bluegrass</w:t>
      </w:r>
      <w:r>
        <w:rPr>
          <w:rFonts w:eastAsia="ＭＳ ゴシック" w:cs="Times New Roman"/>
          <w:color w:val="000000"/>
        </w:rPr>
        <w:t xml:space="preserve">. Since reductions in </w:t>
      </w:r>
      <w:r>
        <w:rPr>
          <w:rFonts w:cs="Times New Roman"/>
        </w:rPr>
        <w:t>roughstalk bluegrass</w:t>
      </w:r>
      <w:r>
        <w:rPr>
          <w:rFonts w:eastAsia="ＭＳ ゴシック" w:cs="Times New Roman"/>
          <w:color w:val="000000"/>
        </w:rPr>
        <w:t xml:space="preserve"> control, especially at low (68 g ha</w:t>
      </w:r>
      <w:r w:rsidRPr="00ED1474">
        <w:rPr>
          <w:rFonts w:eastAsia="ＭＳ ゴシック" w:cs="Times New Roman"/>
          <w:color w:val="000000"/>
          <w:vertAlign w:val="superscript"/>
        </w:rPr>
        <w:t>-1</w:t>
      </w:r>
      <w:r>
        <w:rPr>
          <w:rFonts w:eastAsia="ＭＳ ゴシック" w:cs="Times New Roman"/>
          <w:color w:val="000000"/>
        </w:rPr>
        <w:t xml:space="preserve">) safener rates were offset by similar reductions in CBG injury, these data suggest safeners will not reduce pinoxaden selectivity for </w:t>
      </w:r>
      <w:r>
        <w:rPr>
          <w:rFonts w:cs="Times New Roman"/>
        </w:rPr>
        <w:t>roughstalk bluegrass</w:t>
      </w:r>
      <w:r>
        <w:rPr>
          <w:rFonts w:eastAsia="ＭＳ ゴシック" w:cs="Times New Roman"/>
          <w:color w:val="000000"/>
        </w:rPr>
        <w:t xml:space="preserve"> in CBG. However, more research is needed to optimize pinoxaden</w:t>
      </w:r>
      <w:proofErr w:type="gramStart"/>
      <w:r>
        <w:rPr>
          <w:rFonts w:eastAsia="ＭＳ ゴシック" w:cs="Times New Roman"/>
          <w:color w:val="000000"/>
        </w:rPr>
        <w:t>:safener</w:t>
      </w:r>
      <w:proofErr w:type="gramEnd"/>
      <w:r>
        <w:rPr>
          <w:rFonts w:eastAsia="ＭＳ ゴシック" w:cs="Times New Roman"/>
          <w:color w:val="000000"/>
        </w:rPr>
        <w:t xml:space="preserve"> ratios and rates. </w:t>
      </w:r>
    </w:p>
    <w:p w14:paraId="3A3E4BD6" w14:textId="77777777" w:rsidR="00E65A08" w:rsidRDefault="00E65A08" w:rsidP="00E65A08">
      <w:pPr>
        <w:rPr>
          <w:rFonts w:cs="Times New Roman"/>
          <w:color w:val="000000"/>
        </w:rPr>
      </w:pPr>
      <w:r>
        <w:rPr>
          <w:rFonts w:eastAsia="ＭＳ ゴシック" w:cs="Times New Roman"/>
          <w:color w:val="000000"/>
        </w:rPr>
        <w:tab/>
        <w:t xml:space="preserve">Future research should evaluate pinoxaden in combination with cloquintocet-mexyl or mefenpyr-diethyl in field experiments. Since CBG injury and </w:t>
      </w:r>
      <w:r>
        <w:rPr>
          <w:rFonts w:cs="Times New Roman"/>
        </w:rPr>
        <w:t>roughstalk bluegrass</w:t>
      </w:r>
      <w:r>
        <w:rPr>
          <w:rFonts w:eastAsia="ＭＳ ゴシック" w:cs="Times New Roman"/>
          <w:color w:val="000000"/>
        </w:rPr>
        <w:t xml:space="preserve"> control are dependent on safener rate, multiple safener and herbicide rates should be evaluated in different climates and seasons. The effect of different adjuvants on efficacy and selectivity of pinoxaden-safener combinations should also be evaluated as our experiments only evaluated NIS. The methylated rapeseed oil-based adjuvant Adigor</w:t>
      </w:r>
      <w:r w:rsidRPr="00146D66">
        <w:rPr>
          <w:rFonts w:cs="Times New Roman"/>
          <w:color w:val="000000"/>
        </w:rPr>
        <w:t xml:space="preserve">® </w:t>
      </w:r>
      <w:r>
        <w:rPr>
          <w:rFonts w:cs="Times New Roman"/>
          <w:color w:val="000000"/>
        </w:rPr>
        <w:t>improves pinoxaden absorption and efficacy more than non-ionic surfactants, likely a result of its effects on leaf cuticle plasticity (Chitband et al. 2013; Mohassel et al. 2011; Muehlebach et al. 2011; Penner 2000).</w:t>
      </w:r>
    </w:p>
    <w:p w14:paraId="02F01827" w14:textId="77777777" w:rsidR="00DF3770" w:rsidRPr="00E65A08" w:rsidRDefault="00E65A08" w:rsidP="00DF3770">
      <w:pPr>
        <w:rPr>
          <w:rFonts w:eastAsia="ＭＳ ゴシック" w:cs="Times New Roman"/>
          <w:color w:val="000000"/>
        </w:rPr>
      </w:pPr>
      <w:r>
        <w:rPr>
          <w:rFonts w:cs="Times New Roman"/>
          <w:color w:val="000000"/>
        </w:rPr>
        <w:tab/>
        <w:t xml:space="preserve">These experiments only evaluated single herbicide applications in a glasshouse. While they can be used to assess relative efficacy of different treatments, field research will be needed </w:t>
      </w:r>
      <w:r>
        <w:rPr>
          <w:rFonts w:eastAsia="ＭＳ ゴシック" w:cs="Times New Roman"/>
          <w:color w:val="000000"/>
        </w:rPr>
        <w:t>to understand whether sequential applications are required to control roughstalk bluegrass and perennial ryegrass</w:t>
      </w:r>
      <w:r w:rsidR="00205FC7">
        <w:rPr>
          <w:rFonts w:eastAsia="ＭＳ ゴシック" w:cs="Times New Roman"/>
          <w:color w:val="000000"/>
        </w:rPr>
        <w:t xml:space="preserve"> in CBG</w:t>
      </w:r>
      <w:r>
        <w:rPr>
          <w:rFonts w:eastAsia="ＭＳ ゴシック" w:cs="Times New Roman"/>
          <w:color w:val="000000"/>
        </w:rPr>
        <w:t xml:space="preserve">. Even if multiple applications are required for complete perennial </w:t>
      </w:r>
      <w:r>
        <w:rPr>
          <w:rFonts w:eastAsia="ＭＳ ゴシック" w:cs="Times New Roman"/>
          <w:color w:val="000000"/>
        </w:rPr>
        <w:lastRenderedPageBreak/>
        <w:t xml:space="preserve">ryegrass and roughstalk bluegrass control, pinoxaden-safener combinations may be a viable option for turfgrass managers if more research is conducted. </w:t>
      </w:r>
    </w:p>
    <w:p w14:paraId="4FDB479D" w14:textId="77777777" w:rsidR="001D3D0F" w:rsidRPr="00415F6B" w:rsidRDefault="001D3D0F" w:rsidP="00415F6B">
      <w:pPr>
        <w:pStyle w:val="Heading2"/>
      </w:pPr>
      <w:bookmarkStart w:id="77" w:name="_Toc264635681"/>
      <w:bookmarkStart w:id="78" w:name="_Toc264713568"/>
      <w:bookmarkStart w:id="79" w:name="_Toc264713614"/>
      <w:bookmarkStart w:id="80" w:name="_Toc264967192"/>
      <w:r w:rsidRPr="007C372C">
        <w:t>ACKNOWLEDGEMENTS</w:t>
      </w:r>
      <w:bookmarkEnd w:id="77"/>
      <w:bookmarkEnd w:id="78"/>
      <w:bookmarkEnd w:id="79"/>
      <w:bookmarkEnd w:id="80"/>
    </w:p>
    <w:p w14:paraId="2A573BC3" w14:textId="77777777" w:rsidR="00415F6B" w:rsidRDefault="001D3D0F" w:rsidP="001D3D0F">
      <w:pPr>
        <w:ind w:firstLine="720"/>
        <w:rPr>
          <w:rFonts w:cs="Times New Roman"/>
        </w:rPr>
      </w:pPr>
      <w:proofErr w:type="gramStart"/>
      <w:r w:rsidRPr="00642915">
        <w:rPr>
          <w:rFonts w:cs="Times New Roman"/>
        </w:rPr>
        <w:t>This work was supported by the United States Golf Association and the Tennessee Agricultural Experiment Station</w:t>
      </w:r>
      <w:proofErr w:type="gramEnd"/>
      <w:r w:rsidRPr="00642915">
        <w:rPr>
          <w:rFonts w:cs="Times New Roman"/>
        </w:rPr>
        <w:t>. The authors would also like to thank Daniel Farnsworth, Tyler Campbell, Kelly Arnholt</w:t>
      </w:r>
      <w:r>
        <w:rPr>
          <w:rFonts w:cs="Times New Roman"/>
        </w:rPr>
        <w:t>,</w:t>
      </w:r>
      <w:r w:rsidRPr="00642915">
        <w:rPr>
          <w:rFonts w:cs="Times New Roman"/>
        </w:rPr>
        <w:t xml:space="preserve"> James Greenway</w:t>
      </w:r>
      <w:r>
        <w:rPr>
          <w:rFonts w:cs="Times New Roman"/>
        </w:rPr>
        <w:t xml:space="preserve"> and Veronica Sublett</w:t>
      </w:r>
      <w:r w:rsidRPr="00642915">
        <w:rPr>
          <w:rFonts w:cs="Times New Roman"/>
        </w:rPr>
        <w:t xml:space="preserve"> for their assistance in conducting these </w:t>
      </w:r>
      <w:r>
        <w:rPr>
          <w:rFonts w:cs="Times New Roman"/>
        </w:rPr>
        <w:t>experiments and greenhouse manager Lori Osburn</w:t>
      </w:r>
      <w:r w:rsidRPr="00642915">
        <w:rPr>
          <w:rFonts w:cs="Times New Roman"/>
        </w:rPr>
        <w:t xml:space="preserve">. </w:t>
      </w:r>
      <w:proofErr w:type="gramStart"/>
      <w:r>
        <w:rPr>
          <w:rFonts w:cs="Times New Roman"/>
        </w:rPr>
        <w:t>Pinoxaden was provided by Syngenta</w:t>
      </w:r>
      <w:proofErr w:type="gramEnd"/>
      <w:r>
        <w:rPr>
          <w:rFonts w:cs="Times New Roman"/>
        </w:rPr>
        <w:t xml:space="preserve"> and herbicide safeners were generously provided by Arysta LifeScience. </w:t>
      </w:r>
      <w:r w:rsidRPr="00642915">
        <w:rPr>
          <w:rFonts w:cs="Times New Roman"/>
        </w:rPr>
        <w:t>Mention of trade names or commercial products in this publication is solely for the purpose of providing specific information and does not imply recommendation or endorsement by the University of Tennessee Institute of Agriculture.</w:t>
      </w:r>
    </w:p>
    <w:p w14:paraId="6F9C7DA1" w14:textId="77777777" w:rsidR="001D3D0F" w:rsidRPr="00642915" w:rsidRDefault="00415F6B" w:rsidP="00415F6B">
      <w:pPr>
        <w:spacing w:line="240" w:lineRule="auto"/>
        <w:rPr>
          <w:rFonts w:cs="Times New Roman"/>
        </w:rPr>
      </w:pPr>
      <w:r>
        <w:rPr>
          <w:rFonts w:cs="Times New Roman"/>
        </w:rPr>
        <w:br w:type="page"/>
      </w:r>
    </w:p>
    <w:p w14:paraId="618C88DD" w14:textId="77777777" w:rsidR="001D3D0F" w:rsidRPr="009D10FC" w:rsidRDefault="001D3D0F" w:rsidP="009D10FC">
      <w:pPr>
        <w:pStyle w:val="Heading2"/>
      </w:pPr>
      <w:bookmarkStart w:id="81" w:name="_Toc264635682"/>
      <w:bookmarkStart w:id="82" w:name="_Toc264713569"/>
      <w:bookmarkStart w:id="83" w:name="_Toc264713615"/>
      <w:bookmarkStart w:id="84" w:name="_Toc264967193"/>
      <w:r w:rsidRPr="007C372C">
        <w:lastRenderedPageBreak/>
        <w:t>LITERATURE CITED</w:t>
      </w:r>
      <w:bookmarkEnd w:id="81"/>
      <w:bookmarkEnd w:id="82"/>
      <w:bookmarkEnd w:id="83"/>
      <w:bookmarkEnd w:id="84"/>
    </w:p>
    <w:p w14:paraId="676B7E65" w14:textId="77777777" w:rsidR="00DF3770" w:rsidRDefault="00DF3770" w:rsidP="00DF3770">
      <w:pPr>
        <w:widowControl w:val="0"/>
        <w:autoSpaceDE w:val="0"/>
        <w:autoSpaceDN w:val="0"/>
        <w:adjustRightInd w:val="0"/>
        <w:ind w:left="720" w:hanging="720"/>
        <w:rPr>
          <w:rFonts w:cs="Times New Roman"/>
          <w:bCs/>
          <w:color w:val="231F20"/>
        </w:rPr>
      </w:pPr>
      <w:proofErr w:type="gramStart"/>
      <w:r>
        <w:rPr>
          <w:rFonts w:cs="Times New Roman"/>
          <w:bCs/>
          <w:color w:val="231F20"/>
        </w:rPr>
        <w:t>Anonymous (2005) Corsair product label.</w:t>
      </w:r>
      <w:proofErr w:type="gramEnd"/>
      <w:r>
        <w:rPr>
          <w:rFonts w:cs="Times New Roman"/>
          <w:bCs/>
          <w:color w:val="231F20"/>
        </w:rPr>
        <w:t xml:space="preserve"> Nufarm Americas Inc. document PIB.Corsair.0105. Burr Ridge, IL: 2 p</w:t>
      </w:r>
    </w:p>
    <w:p w14:paraId="21DCC90D" w14:textId="77777777" w:rsidR="00DF3770" w:rsidRDefault="00DF3770" w:rsidP="00DF3770">
      <w:pPr>
        <w:widowControl w:val="0"/>
        <w:autoSpaceDE w:val="0"/>
        <w:autoSpaceDN w:val="0"/>
        <w:adjustRightInd w:val="0"/>
        <w:ind w:left="720" w:hanging="720"/>
        <w:rPr>
          <w:rFonts w:cs="Times New Roman"/>
          <w:bCs/>
          <w:color w:val="231F20"/>
        </w:rPr>
      </w:pPr>
      <w:proofErr w:type="gramStart"/>
      <w:r>
        <w:rPr>
          <w:rFonts w:cs="Times New Roman"/>
          <w:bCs/>
          <w:color w:val="231F20"/>
        </w:rPr>
        <w:t>Anonymous (2008</w:t>
      </w:r>
      <w:r w:rsidRPr="00802EA7">
        <w:rPr>
          <w:rFonts w:cs="Times New Roman"/>
          <w:bCs/>
          <w:color w:val="231F20"/>
        </w:rPr>
        <w:t xml:space="preserve">) </w:t>
      </w:r>
      <w:r>
        <w:rPr>
          <w:rFonts w:cs="Times New Roman"/>
          <w:bCs/>
          <w:color w:val="231F20"/>
        </w:rPr>
        <w:t>Axial</w:t>
      </w:r>
      <w:r w:rsidRPr="00802EA7">
        <w:rPr>
          <w:rFonts w:cs="Times New Roman"/>
          <w:b/>
          <w:color w:val="000000"/>
        </w:rPr>
        <w:t xml:space="preserve">® </w:t>
      </w:r>
      <w:r w:rsidRPr="00802EA7">
        <w:rPr>
          <w:rFonts w:cs="Times New Roman"/>
          <w:color w:val="000000"/>
        </w:rPr>
        <w:t>product label.</w:t>
      </w:r>
      <w:proofErr w:type="gramEnd"/>
      <w:r w:rsidRPr="00802EA7">
        <w:rPr>
          <w:rFonts w:cs="Times New Roman"/>
          <w:color w:val="000000"/>
        </w:rPr>
        <w:t xml:space="preserve"> Syngenta Crop Protection </w:t>
      </w:r>
      <w:r>
        <w:rPr>
          <w:rFonts w:cs="Times New Roman"/>
          <w:color w:val="000000"/>
        </w:rPr>
        <w:t>Inc</w:t>
      </w:r>
      <w:r w:rsidRPr="00802EA7">
        <w:rPr>
          <w:rFonts w:cs="Times New Roman"/>
          <w:color w:val="000000"/>
        </w:rPr>
        <w:t>.</w:t>
      </w:r>
      <w:r>
        <w:rPr>
          <w:rFonts w:cs="Times New Roman"/>
          <w:color w:val="000000"/>
        </w:rPr>
        <w:t xml:space="preserve"> document </w:t>
      </w:r>
      <w:r w:rsidRPr="00551F62">
        <w:rPr>
          <w:rFonts w:cs="Times New Roman"/>
          <w:bCs/>
        </w:rPr>
        <w:t xml:space="preserve">SCP </w:t>
      </w:r>
      <w:r w:rsidRPr="003B359F">
        <w:rPr>
          <w:rFonts w:cs="Times New Roman"/>
          <w:bCs/>
        </w:rPr>
        <w:t>1256A-L1B 0308</w:t>
      </w:r>
      <w:r>
        <w:rPr>
          <w:rFonts w:cs="Times New Roman"/>
          <w:bCs/>
        </w:rPr>
        <w:t>.</w:t>
      </w:r>
      <w:r w:rsidRPr="00802EA7">
        <w:rPr>
          <w:rFonts w:cs="Times New Roman"/>
          <w:color w:val="000000"/>
        </w:rPr>
        <w:t xml:space="preserve"> </w:t>
      </w:r>
      <w:r>
        <w:rPr>
          <w:rFonts w:cs="Times New Roman"/>
          <w:color w:val="000000"/>
        </w:rPr>
        <w:t>Greensboro</w:t>
      </w:r>
      <w:r w:rsidRPr="00802EA7">
        <w:rPr>
          <w:rFonts w:cs="Times New Roman"/>
          <w:color w:val="000000"/>
        </w:rPr>
        <w:t xml:space="preserve">, </w:t>
      </w:r>
      <w:r>
        <w:rPr>
          <w:rFonts w:cs="Times New Roman"/>
          <w:color w:val="000000"/>
        </w:rPr>
        <w:t>NC</w:t>
      </w:r>
      <w:r w:rsidRPr="00802EA7">
        <w:rPr>
          <w:rFonts w:cs="Times New Roman"/>
          <w:color w:val="000000"/>
        </w:rPr>
        <w:t xml:space="preserve">: </w:t>
      </w:r>
      <w:r>
        <w:rPr>
          <w:rFonts w:cs="Times New Roman"/>
          <w:color w:val="000000"/>
        </w:rPr>
        <w:t>15</w:t>
      </w:r>
      <w:r w:rsidRPr="00802EA7">
        <w:rPr>
          <w:rFonts w:cs="Times New Roman"/>
          <w:color w:val="000000"/>
        </w:rPr>
        <w:t xml:space="preserve"> p</w:t>
      </w:r>
    </w:p>
    <w:p w14:paraId="2E19C1D4" w14:textId="77777777" w:rsidR="00DF3770" w:rsidRDefault="00DF3770" w:rsidP="00DF3770">
      <w:pPr>
        <w:widowControl w:val="0"/>
        <w:autoSpaceDE w:val="0"/>
        <w:autoSpaceDN w:val="0"/>
        <w:adjustRightInd w:val="0"/>
        <w:ind w:left="720" w:hanging="720"/>
        <w:rPr>
          <w:rFonts w:cs="Times New Roman"/>
          <w:color w:val="000000"/>
        </w:rPr>
      </w:pPr>
      <w:proofErr w:type="gramStart"/>
      <w:r w:rsidRPr="00802EA7">
        <w:rPr>
          <w:rFonts w:cs="Times New Roman"/>
          <w:bCs/>
          <w:color w:val="231F20"/>
        </w:rPr>
        <w:t>Anonymous (2010</w:t>
      </w:r>
      <w:r>
        <w:rPr>
          <w:rFonts w:cs="Times New Roman"/>
          <w:bCs/>
          <w:color w:val="231F20"/>
        </w:rPr>
        <w:t>a</w:t>
      </w:r>
      <w:r w:rsidRPr="00802EA7">
        <w:rPr>
          <w:rFonts w:cs="Times New Roman"/>
          <w:bCs/>
          <w:color w:val="231F20"/>
        </w:rPr>
        <w:t>) Rescue</w:t>
      </w:r>
      <w:r w:rsidRPr="00802EA7">
        <w:rPr>
          <w:rFonts w:cs="Times New Roman"/>
          <w:b/>
          <w:color w:val="000000"/>
        </w:rPr>
        <w:t xml:space="preserve">® </w:t>
      </w:r>
      <w:r w:rsidRPr="00802EA7">
        <w:rPr>
          <w:rFonts w:cs="Times New Roman"/>
          <w:color w:val="000000"/>
        </w:rPr>
        <w:t>product label.</w:t>
      </w:r>
      <w:proofErr w:type="gramEnd"/>
      <w:r w:rsidRPr="00802EA7">
        <w:rPr>
          <w:rFonts w:cs="Times New Roman"/>
          <w:color w:val="000000"/>
        </w:rPr>
        <w:t xml:space="preserve"> Syngenta Crop Protection UK Limited. Capital Park, Cambridge: 7 p</w:t>
      </w:r>
    </w:p>
    <w:p w14:paraId="2D2DAE25" w14:textId="77777777" w:rsidR="00DF3770" w:rsidRDefault="00DF3770" w:rsidP="00DF3770">
      <w:pPr>
        <w:widowControl w:val="0"/>
        <w:autoSpaceDE w:val="0"/>
        <w:autoSpaceDN w:val="0"/>
        <w:adjustRightInd w:val="0"/>
        <w:ind w:left="720" w:hanging="720"/>
        <w:rPr>
          <w:rFonts w:cs="Times New Roman"/>
          <w:color w:val="000000"/>
        </w:rPr>
      </w:pPr>
      <w:proofErr w:type="gramStart"/>
      <w:r>
        <w:rPr>
          <w:rFonts w:cs="Times New Roman"/>
          <w:color w:val="000000"/>
        </w:rPr>
        <w:t>Anonymous (2010b)</w:t>
      </w:r>
      <w:r w:rsidRPr="00E518CD">
        <w:rPr>
          <w:rFonts w:cs="Times New Roman"/>
          <w:bCs/>
          <w:color w:val="231F20"/>
        </w:rPr>
        <w:t xml:space="preserve"> </w:t>
      </w:r>
      <w:r>
        <w:rPr>
          <w:rFonts w:cs="Times New Roman"/>
          <w:bCs/>
          <w:color w:val="231F20"/>
        </w:rPr>
        <w:t>Velocity</w:t>
      </w:r>
      <w:r w:rsidRPr="00802EA7">
        <w:rPr>
          <w:rFonts w:cs="Times New Roman"/>
          <w:b/>
          <w:color w:val="000000"/>
        </w:rPr>
        <w:t xml:space="preserve">® </w:t>
      </w:r>
      <w:r w:rsidRPr="00802EA7">
        <w:rPr>
          <w:rFonts w:cs="Times New Roman"/>
          <w:color w:val="000000"/>
        </w:rPr>
        <w:t>product label.</w:t>
      </w:r>
      <w:proofErr w:type="gramEnd"/>
      <w:r>
        <w:rPr>
          <w:rFonts w:cs="Times New Roman"/>
          <w:color w:val="000000"/>
        </w:rPr>
        <w:t xml:space="preserve"> Valent U.S.A. Corp. Publication No. 2010-Vel-001. Walnut Creek, CA: 10 p</w:t>
      </w:r>
    </w:p>
    <w:p w14:paraId="4C7E89E6" w14:textId="77777777" w:rsidR="00DF3770" w:rsidRDefault="00DF3770" w:rsidP="00DF3770">
      <w:pPr>
        <w:widowControl w:val="0"/>
        <w:autoSpaceDE w:val="0"/>
        <w:autoSpaceDN w:val="0"/>
        <w:adjustRightInd w:val="0"/>
        <w:ind w:left="720" w:hanging="720"/>
        <w:rPr>
          <w:rFonts w:cs="Times New Roman"/>
          <w:color w:val="000000"/>
        </w:rPr>
      </w:pPr>
      <w:proofErr w:type="gramStart"/>
      <w:r>
        <w:rPr>
          <w:rFonts w:cs="Times New Roman"/>
          <w:color w:val="000000"/>
        </w:rPr>
        <w:t>Anonymous (2011) Puma product label.</w:t>
      </w:r>
      <w:proofErr w:type="gramEnd"/>
      <w:r>
        <w:rPr>
          <w:rFonts w:cs="Times New Roman"/>
          <w:color w:val="000000"/>
        </w:rPr>
        <w:t xml:space="preserve"> </w:t>
      </w:r>
      <w:proofErr w:type="gramStart"/>
      <w:r>
        <w:rPr>
          <w:rFonts w:cs="Times New Roman"/>
          <w:color w:val="000000"/>
        </w:rPr>
        <w:t>Bayer CropScience LP.</w:t>
      </w:r>
      <w:proofErr w:type="gramEnd"/>
      <w:r>
        <w:rPr>
          <w:rFonts w:cs="Times New Roman"/>
          <w:color w:val="000000"/>
        </w:rPr>
        <w:t xml:space="preserve"> Publication No. US04514245D. Research Triangle Park, NC: 13 p</w:t>
      </w:r>
    </w:p>
    <w:p w14:paraId="2D7D08D5" w14:textId="77777777" w:rsidR="00DF3770" w:rsidRDefault="00DF3770" w:rsidP="00DF3770">
      <w:pPr>
        <w:widowControl w:val="0"/>
        <w:autoSpaceDE w:val="0"/>
        <w:autoSpaceDN w:val="0"/>
        <w:adjustRightInd w:val="0"/>
        <w:ind w:left="720" w:hanging="720"/>
        <w:rPr>
          <w:rFonts w:cs="Times New Roman"/>
          <w:color w:val="000000"/>
        </w:rPr>
      </w:pPr>
      <w:proofErr w:type="gramStart"/>
      <w:r>
        <w:rPr>
          <w:rFonts w:cs="Times New Roman"/>
          <w:color w:val="000000"/>
        </w:rPr>
        <w:t>Anonymous (2012a) Certainty</w:t>
      </w:r>
      <w:r w:rsidRPr="00802EA7">
        <w:rPr>
          <w:rFonts w:cs="Times New Roman"/>
          <w:b/>
          <w:color w:val="000000"/>
        </w:rPr>
        <w:t>®</w:t>
      </w:r>
      <w:r>
        <w:rPr>
          <w:rFonts w:cs="Times New Roman"/>
          <w:b/>
          <w:color w:val="000000"/>
        </w:rPr>
        <w:t xml:space="preserve"> </w:t>
      </w:r>
      <w:r>
        <w:rPr>
          <w:rFonts w:cs="Times New Roman"/>
          <w:color w:val="000000"/>
        </w:rPr>
        <w:t>product label.</w:t>
      </w:r>
      <w:proofErr w:type="gramEnd"/>
      <w:r>
        <w:rPr>
          <w:rFonts w:cs="Times New Roman"/>
          <w:color w:val="000000"/>
        </w:rPr>
        <w:t xml:space="preserve"> </w:t>
      </w:r>
      <w:proofErr w:type="gramStart"/>
      <w:r>
        <w:rPr>
          <w:rFonts w:cs="Times New Roman"/>
          <w:color w:val="000000"/>
        </w:rPr>
        <w:t>Monsanto Company Publication No. 7101619-6.</w:t>
      </w:r>
      <w:proofErr w:type="gramEnd"/>
      <w:r>
        <w:rPr>
          <w:rFonts w:cs="Times New Roman"/>
          <w:color w:val="000000"/>
        </w:rPr>
        <w:t xml:space="preserve"> St. Louis, MO: 5 p</w:t>
      </w:r>
    </w:p>
    <w:p w14:paraId="30C8A9C6" w14:textId="77777777" w:rsidR="00DF3770" w:rsidRDefault="00DF3770" w:rsidP="00DF3770">
      <w:pPr>
        <w:widowControl w:val="0"/>
        <w:autoSpaceDE w:val="0"/>
        <w:autoSpaceDN w:val="0"/>
        <w:adjustRightInd w:val="0"/>
        <w:ind w:left="720" w:hanging="720"/>
        <w:rPr>
          <w:rFonts w:cs="Times New Roman"/>
          <w:color w:val="000000"/>
        </w:rPr>
      </w:pPr>
      <w:proofErr w:type="gramStart"/>
      <w:r>
        <w:rPr>
          <w:rFonts w:cs="Times New Roman"/>
          <w:color w:val="000000"/>
        </w:rPr>
        <w:t>Anonymous (2012b) RimFire Max</w:t>
      </w:r>
      <w:r w:rsidRPr="00802EA7">
        <w:rPr>
          <w:rFonts w:cs="Times New Roman"/>
          <w:b/>
          <w:color w:val="000000"/>
        </w:rPr>
        <w:t>®</w:t>
      </w:r>
      <w:r>
        <w:rPr>
          <w:rFonts w:cs="Times New Roman"/>
          <w:b/>
          <w:color w:val="000000"/>
        </w:rPr>
        <w:t xml:space="preserve"> </w:t>
      </w:r>
      <w:r>
        <w:rPr>
          <w:rFonts w:cs="Times New Roman"/>
          <w:color w:val="000000"/>
        </w:rPr>
        <w:t>safety data sheet.</w:t>
      </w:r>
      <w:proofErr w:type="gramEnd"/>
      <w:r>
        <w:rPr>
          <w:rFonts w:cs="Times New Roman"/>
          <w:color w:val="000000"/>
        </w:rPr>
        <w:t xml:space="preserve"> </w:t>
      </w:r>
      <w:proofErr w:type="gramStart"/>
      <w:r>
        <w:rPr>
          <w:rFonts w:cs="Times New Roman"/>
          <w:color w:val="000000"/>
        </w:rPr>
        <w:t>Bayer CropScience Publication No. 102000020887.</w:t>
      </w:r>
      <w:proofErr w:type="gramEnd"/>
      <w:r>
        <w:rPr>
          <w:rFonts w:cs="Times New Roman"/>
          <w:color w:val="000000"/>
        </w:rPr>
        <w:t xml:space="preserve"> Research Triangle Park, NC. 10 p</w:t>
      </w:r>
    </w:p>
    <w:p w14:paraId="1D25D4F8" w14:textId="77777777" w:rsidR="00DF3770" w:rsidRDefault="00DF3770" w:rsidP="00DF3770">
      <w:pPr>
        <w:widowControl w:val="0"/>
        <w:autoSpaceDE w:val="0"/>
        <w:autoSpaceDN w:val="0"/>
        <w:adjustRightInd w:val="0"/>
        <w:ind w:left="720" w:hanging="720"/>
        <w:rPr>
          <w:rFonts w:cs="Times New Roman"/>
          <w:color w:val="000000"/>
        </w:rPr>
      </w:pPr>
      <w:r w:rsidRPr="00E018D7">
        <w:rPr>
          <w:rFonts w:cs="Times New Roman"/>
          <w:color w:val="000000"/>
        </w:rPr>
        <w:t xml:space="preserve">Crooks HL, York AC, Jordan DL (2004) </w:t>
      </w:r>
      <w:r>
        <w:rPr>
          <w:rFonts w:cs="Times New Roman"/>
          <w:bCs/>
        </w:rPr>
        <w:t>Wheat t</w:t>
      </w:r>
      <w:r w:rsidRPr="00E018D7">
        <w:rPr>
          <w:rFonts w:cs="Times New Roman"/>
          <w:bCs/>
        </w:rPr>
        <w:t>olerance to AE F1</w:t>
      </w:r>
      <w:r>
        <w:rPr>
          <w:rFonts w:cs="Times New Roman"/>
          <w:bCs/>
        </w:rPr>
        <w:t>30060 00 plus AE F115008 00 as affected by t</w:t>
      </w:r>
      <w:r w:rsidRPr="00E018D7">
        <w:rPr>
          <w:rFonts w:cs="Times New Roman"/>
          <w:bCs/>
        </w:rPr>
        <w:t>ime of</w:t>
      </w:r>
      <w:r>
        <w:rPr>
          <w:rFonts w:cs="Times New Roman"/>
          <w:bCs/>
        </w:rPr>
        <w:t xml:space="preserve"> application and rate of the s</w:t>
      </w:r>
      <w:r w:rsidRPr="00E018D7">
        <w:rPr>
          <w:rFonts w:cs="Times New Roman"/>
          <w:bCs/>
        </w:rPr>
        <w:t>afener AE F107892</w:t>
      </w:r>
      <w:r w:rsidRPr="00E018D7">
        <w:rPr>
          <w:rFonts w:cs="Times New Roman"/>
          <w:color w:val="000000"/>
        </w:rPr>
        <w:t>. Weed Technol 18:841-845.</w:t>
      </w:r>
    </w:p>
    <w:p w14:paraId="4F67DEDF" w14:textId="082C9078" w:rsidR="00DF3770" w:rsidRPr="00E018D7" w:rsidRDefault="00DF3770" w:rsidP="00DF3770">
      <w:pPr>
        <w:widowControl w:val="0"/>
        <w:autoSpaceDE w:val="0"/>
        <w:autoSpaceDN w:val="0"/>
        <w:adjustRightInd w:val="0"/>
        <w:ind w:left="720" w:hanging="720"/>
        <w:rPr>
          <w:rFonts w:cs="Times New Roman"/>
          <w:bCs/>
        </w:rPr>
      </w:pPr>
      <w:r>
        <w:rPr>
          <w:rFonts w:cs="Times New Roman"/>
          <w:color w:val="000000"/>
        </w:rPr>
        <w:t>Chitband AA, Ghorbani R, Abbasi R, Nabizade M (2013) Optmizing the dosage of pinoxaden with adjuvants to control of wild oat (</w:t>
      </w:r>
      <w:r w:rsidRPr="00835EEB">
        <w:rPr>
          <w:rFonts w:cs="Times New Roman"/>
          <w:i/>
          <w:color w:val="000000"/>
        </w:rPr>
        <w:t>Avena ludoviciana</w:t>
      </w:r>
      <w:r w:rsidR="00E97C52">
        <w:rPr>
          <w:rFonts w:cs="Times New Roman"/>
          <w:color w:val="000000"/>
        </w:rPr>
        <w:t xml:space="preserve"> Durieu.). Int J</w:t>
      </w:r>
      <w:r>
        <w:rPr>
          <w:rFonts w:cs="Times New Roman"/>
          <w:color w:val="000000"/>
        </w:rPr>
        <w:t xml:space="preserve"> of Agronomy and Plant Production 4:3157-3163.</w:t>
      </w:r>
    </w:p>
    <w:p w14:paraId="5EDDF45D" w14:textId="01433572" w:rsidR="00DF3770" w:rsidRDefault="00DF3770" w:rsidP="00DF3770">
      <w:pPr>
        <w:widowControl w:val="0"/>
        <w:tabs>
          <w:tab w:val="left" w:pos="90"/>
        </w:tabs>
        <w:autoSpaceDE w:val="0"/>
        <w:autoSpaceDN w:val="0"/>
        <w:adjustRightInd w:val="0"/>
        <w:ind w:left="720" w:hanging="720"/>
        <w:rPr>
          <w:rFonts w:cs="Times New Roman"/>
        </w:rPr>
      </w:pPr>
      <w:proofErr w:type="gramStart"/>
      <w:r>
        <w:rPr>
          <w:rFonts w:cs="Times New Roman"/>
          <w:color w:val="000000"/>
        </w:rPr>
        <w:t xml:space="preserve">Cummins I, Bryant DN, </w:t>
      </w:r>
      <w:r w:rsidRPr="00613EA3">
        <w:rPr>
          <w:rFonts w:cs="Times New Roman"/>
          <w:color w:val="000000"/>
        </w:rPr>
        <w:t xml:space="preserve">Edwards R (2009) </w:t>
      </w:r>
      <w:r w:rsidRPr="00613EA3">
        <w:rPr>
          <w:rFonts w:cs="Times New Roman"/>
        </w:rPr>
        <w:t>Safe</w:t>
      </w:r>
      <w:r>
        <w:rPr>
          <w:rFonts w:cs="Times New Roman"/>
        </w:rPr>
        <w:t xml:space="preserve">ner responsiveness and multiple </w:t>
      </w:r>
      <w:r w:rsidRPr="00613EA3">
        <w:rPr>
          <w:rFonts w:cs="Times New Roman"/>
        </w:rPr>
        <w:t>herbicide resistance</w:t>
      </w:r>
      <w:r>
        <w:rPr>
          <w:rFonts w:cs="Times New Roman"/>
        </w:rPr>
        <w:t xml:space="preserve"> </w:t>
      </w:r>
      <w:r w:rsidRPr="00613EA3">
        <w:rPr>
          <w:rFonts w:cs="Times New Roman"/>
        </w:rPr>
        <w:t>in the weed black-grass (</w:t>
      </w:r>
      <w:r w:rsidRPr="00613EA3">
        <w:rPr>
          <w:rFonts w:cs="Times New Roman"/>
          <w:i/>
        </w:rPr>
        <w:t>Alopecurus myosuroides</w:t>
      </w:r>
      <w:r w:rsidRPr="00613EA3">
        <w:rPr>
          <w:rFonts w:cs="Times New Roman"/>
        </w:rPr>
        <w:t>)</w:t>
      </w:r>
      <w:r>
        <w:rPr>
          <w:rFonts w:cs="Times New Roman"/>
        </w:rPr>
        <w:t>.</w:t>
      </w:r>
      <w:proofErr w:type="gramEnd"/>
      <w:r>
        <w:rPr>
          <w:rFonts w:cs="Times New Roman"/>
        </w:rPr>
        <w:t xml:space="preserve"> Plant Biot</w:t>
      </w:r>
      <w:r w:rsidR="00E97C52">
        <w:rPr>
          <w:rFonts w:cs="Times New Roman"/>
        </w:rPr>
        <w:t>e</w:t>
      </w:r>
      <w:r>
        <w:rPr>
          <w:rFonts w:cs="Times New Roman"/>
        </w:rPr>
        <w:t>ch J 7:807-820</w:t>
      </w:r>
    </w:p>
    <w:p w14:paraId="03F48E72" w14:textId="77777777" w:rsidR="00DF3770" w:rsidRDefault="00DF3770" w:rsidP="00DF3770">
      <w:pPr>
        <w:widowControl w:val="0"/>
        <w:tabs>
          <w:tab w:val="left" w:pos="90"/>
        </w:tabs>
        <w:autoSpaceDE w:val="0"/>
        <w:autoSpaceDN w:val="0"/>
        <w:adjustRightInd w:val="0"/>
        <w:ind w:left="720" w:hanging="720"/>
        <w:rPr>
          <w:rFonts w:cs="Times New Roman"/>
        </w:rPr>
      </w:pPr>
      <w:r>
        <w:rPr>
          <w:rFonts w:cs="Times New Roman"/>
        </w:rPr>
        <w:lastRenderedPageBreak/>
        <w:t xml:space="preserve">Dernoeden PH (2013) </w:t>
      </w:r>
      <w:proofErr w:type="gramStart"/>
      <w:r>
        <w:rPr>
          <w:rFonts w:cs="Times New Roman"/>
        </w:rPr>
        <w:t>Creeping</w:t>
      </w:r>
      <w:proofErr w:type="gramEnd"/>
      <w:r>
        <w:rPr>
          <w:rFonts w:cs="Times New Roman"/>
        </w:rPr>
        <w:t xml:space="preserve"> bentgrass management: summer stresses, weeds and selected maladies. 2nd edn. Hoboken NJ: John Wiley and Sons Inc. pp 108-109</w:t>
      </w:r>
    </w:p>
    <w:p w14:paraId="58096C27" w14:textId="4394C19F" w:rsidR="00DF3770" w:rsidRDefault="00DF3770" w:rsidP="00DF3770">
      <w:pPr>
        <w:widowControl w:val="0"/>
        <w:tabs>
          <w:tab w:val="left" w:pos="90"/>
        </w:tabs>
        <w:autoSpaceDE w:val="0"/>
        <w:autoSpaceDN w:val="0"/>
        <w:adjustRightInd w:val="0"/>
        <w:ind w:left="720" w:hanging="720"/>
        <w:rPr>
          <w:rFonts w:cs="Times New Roman"/>
        </w:rPr>
      </w:pPr>
      <w:r>
        <w:rPr>
          <w:rFonts w:cs="Times New Roman"/>
        </w:rPr>
        <w:t>Elmore MT, Brosnan JT, Armel GR, Vargas JJ, Breeden GK (</w:t>
      </w:r>
      <w:r w:rsidR="00E97C52">
        <w:rPr>
          <w:rFonts w:cs="Times New Roman"/>
        </w:rPr>
        <w:t>under review</w:t>
      </w:r>
      <w:r>
        <w:rPr>
          <w:rFonts w:cs="Times New Roman"/>
        </w:rPr>
        <w:t>) Herbicide safeners increase creeping bentgrass tolerance to topramezone. Weed Technol (</w:t>
      </w:r>
      <w:r>
        <w:rPr>
          <w:rFonts w:cs="Times New Roman"/>
          <w:i/>
        </w:rPr>
        <w:t>submitted</w:t>
      </w:r>
      <w:r>
        <w:rPr>
          <w:rFonts w:cs="Times New Roman"/>
        </w:rPr>
        <w:t>).</w:t>
      </w:r>
    </w:p>
    <w:p w14:paraId="7C86EB9B" w14:textId="77777777" w:rsidR="00DF3770" w:rsidRPr="00646B23" w:rsidRDefault="00DF3770" w:rsidP="00DF3770">
      <w:pPr>
        <w:widowControl w:val="0"/>
        <w:autoSpaceDE w:val="0"/>
        <w:autoSpaceDN w:val="0"/>
        <w:adjustRightInd w:val="0"/>
        <w:ind w:left="720" w:hanging="720"/>
        <w:rPr>
          <w:rFonts w:cs="Times New Roman"/>
        </w:rPr>
      </w:pPr>
      <w:r w:rsidRPr="00646B23">
        <w:rPr>
          <w:rFonts w:cs="Times New Roman"/>
        </w:rPr>
        <w:t>Hatzios KK, Burgos N (2004) Metabolism-based herbicide resistance: regulation by safeners. Weed Sci 52:454-467</w:t>
      </w:r>
    </w:p>
    <w:p w14:paraId="5F099889" w14:textId="77777777" w:rsidR="00DF3770" w:rsidRDefault="00DF3770" w:rsidP="00DF3770">
      <w:pPr>
        <w:widowControl w:val="0"/>
        <w:tabs>
          <w:tab w:val="left" w:pos="90"/>
        </w:tabs>
        <w:autoSpaceDE w:val="0"/>
        <w:autoSpaceDN w:val="0"/>
        <w:adjustRightInd w:val="0"/>
        <w:ind w:left="720" w:hanging="720"/>
        <w:rPr>
          <w:rFonts w:cs="Times New Roman"/>
        </w:rPr>
      </w:pPr>
      <w:r>
        <w:rPr>
          <w:rFonts w:cs="Times New Roman"/>
        </w:rPr>
        <w:t>Lycan DW, Hart SE (2004) Relative tolerance of four cool-season turfgrass species to sulfosulfuron. Weed Technol 18:977-981</w:t>
      </w:r>
    </w:p>
    <w:p w14:paraId="0E2DAA19" w14:textId="77777777" w:rsidR="00DF3770" w:rsidRDefault="00DF3770" w:rsidP="00DF3770">
      <w:pPr>
        <w:pStyle w:val="Header"/>
        <w:tabs>
          <w:tab w:val="left" w:pos="270"/>
        </w:tabs>
        <w:ind w:left="720" w:hanging="720"/>
      </w:pPr>
      <w:r>
        <w:t>Lyman GT</w:t>
      </w:r>
      <w:r w:rsidRPr="00993911">
        <w:t xml:space="preserve">, Throssell </w:t>
      </w:r>
      <w:r>
        <w:t>CS</w:t>
      </w:r>
      <w:r w:rsidRPr="00993911">
        <w:t xml:space="preserve">, Johnson </w:t>
      </w:r>
      <w:r>
        <w:t>ME</w:t>
      </w:r>
      <w:r w:rsidRPr="00993911">
        <w:t xml:space="preserve">, Stacey </w:t>
      </w:r>
      <w:r>
        <w:t xml:space="preserve">GA, </w:t>
      </w:r>
      <w:r w:rsidRPr="00993911">
        <w:t xml:space="preserve">Brown </w:t>
      </w:r>
      <w:r>
        <w:t>CD</w:t>
      </w:r>
      <w:r w:rsidRPr="00993911">
        <w:t xml:space="preserve"> </w:t>
      </w:r>
      <w:r>
        <w:t>(2007)</w:t>
      </w:r>
      <w:r w:rsidRPr="00993911">
        <w:t xml:space="preserve"> Golf course profile describes turfgrass, landscape, and environment</w:t>
      </w:r>
      <w:r>
        <w:t>al stewardship features. Appl</w:t>
      </w:r>
      <w:r w:rsidRPr="00993911">
        <w:t xml:space="preserve"> Tu</w:t>
      </w:r>
      <w:r>
        <w:t>rf Sci</w:t>
      </w:r>
      <w:r w:rsidRPr="00993911">
        <w:t xml:space="preserve"> </w:t>
      </w:r>
      <w:r>
        <w:t>doi</w:t>
      </w:r>
      <w:proofErr w:type="gramStart"/>
      <w:r>
        <w:t>:10.1094</w:t>
      </w:r>
      <w:proofErr w:type="gramEnd"/>
      <w:r>
        <w:t>/ATS-2007-1107-01-RS</w:t>
      </w:r>
    </w:p>
    <w:p w14:paraId="08E32AE5" w14:textId="3CD4CFCF" w:rsidR="00DF3770" w:rsidRDefault="00DF3770" w:rsidP="00DF3770">
      <w:pPr>
        <w:widowControl w:val="0"/>
        <w:autoSpaceDE w:val="0"/>
        <w:autoSpaceDN w:val="0"/>
        <w:adjustRightInd w:val="0"/>
        <w:ind w:left="720" w:hanging="720"/>
        <w:rPr>
          <w:rFonts w:cs="Times New Roman"/>
        </w:rPr>
      </w:pPr>
      <w:r>
        <w:rPr>
          <w:rFonts w:cs="Times New Roman"/>
        </w:rPr>
        <w:t xml:space="preserve">McCullough PE, Hart SE. </w:t>
      </w:r>
      <w:proofErr w:type="gramStart"/>
      <w:r>
        <w:rPr>
          <w:rFonts w:cs="Times New Roman"/>
        </w:rPr>
        <w:t>(2008) Creeping bentgrass (</w:t>
      </w:r>
      <w:r w:rsidRPr="00FB2001">
        <w:rPr>
          <w:rFonts w:cs="Times New Roman"/>
          <w:i/>
        </w:rPr>
        <w:t>Agrostis stolonifera</w:t>
      </w:r>
      <w:r>
        <w:rPr>
          <w:rFonts w:cs="Times New Roman"/>
        </w:rPr>
        <w:t>) tolerance to sulfosulfuron</w:t>
      </w:r>
      <w:r w:rsidR="00E97C52">
        <w:rPr>
          <w:rFonts w:cs="Times New Roman"/>
        </w:rPr>
        <w:t>.</w:t>
      </w:r>
      <w:proofErr w:type="gramEnd"/>
      <w:r>
        <w:rPr>
          <w:rFonts w:cs="Times New Roman"/>
        </w:rPr>
        <w:t xml:space="preserve"> Weed Technol 22:481-485</w:t>
      </w:r>
    </w:p>
    <w:p w14:paraId="0DF1544F" w14:textId="77777777" w:rsidR="00DF3770" w:rsidRDefault="00DF3770" w:rsidP="00DF3770">
      <w:pPr>
        <w:ind w:left="720" w:hanging="720"/>
        <w:rPr>
          <w:rFonts w:cs="Times New Roman"/>
        </w:rPr>
      </w:pPr>
      <w:r w:rsidRPr="00BE59FA">
        <w:rPr>
          <w:rFonts w:cs="Times New Roman"/>
        </w:rPr>
        <w:t>McIntosh, M.S. 1983. Analysis of combined experiments. Agron</w:t>
      </w:r>
      <w:r>
        <w:rPr>
          <w:rFonts w:cs="Times New Roman"/>
        </w:rPr>
        <w:t>.</w:t>
      </w:r>
      <w:r w:rsidRPr="00BE59FA">
        <w:rPr>
          <w:rFonts w:cs="Times New Roman"/>
        </w:rPr>
        <w:t xml:space="preserve"> J. 75:153-155.</w:t>
      </w:r>
    </w:p>
    <w:p w14:paraId="7E3C0841" w14:textId="77777777" w:rsidR="00DF3770" w:rsidRPr="00300F98" w:rsidRDefault="00DF3770" w:rsidP="00DF3770">
      <w:pPr>
        <w:ind w:left="720" w:hanging="720"/>
        <w:rPr>
          <w:rFonts w:cs="Times New Roman"/>
          <w:b/>
        </w:rPr>
      </w:pPr>
      <w:r>
        <w:rPr>
          <w:rFonts w:cs="Times New Roman"/>
        </w:rPr>
        <w:t>Mohassel, MHR, Aliverdi A, Rahimi S (2011) Optimizing dosage of sethoxydim and fenoxaprop-</w:t>
      </w:r>
      <w:r>
        <w:rPr>
          <w:rFonts w:cs="Times New Roman"/>
          <w:i/>
        </w:rPr>
        <w:t>p</w:t>
      </w:r>
      <w:r>
        <w:rPr>
          <w:rFonts w:cs="Times New Roman"/>
        </w:rPr>
        <w:t>-ethyl with adjuvants to control wild oat. Industrial Crops and Products 34:1583-1587</w:t>
      </w:r>
    </w:p>
    <w:p w14:paraId="6015903C" w14:textId="4B350EAB" w:rsidR="00DF3770" w:rsidRPr="00082D2A" w:rsidRDefault="00DF3770" w:rsidP="00DF3770">
      <w:pPr>
        <w:widowControl w:val="0"/>
        <w:autoSpaceDE w:val="0"/>
        <w:autoSpaceDN w:val="0"/>
        <w:adjustRightInd w:val="0"/>
        <w:ind w:left="720" w:hanging="720"/>
        <w:rPr>
          <w:rFonts w:cs="Times New Roman"/>
        </w:rPr>
      </w:pPr>
      <w:r>
        <w:rPr>
          <w:rFonts w:cs="Times New Roman"/>
        </w:rPr>
        <w:t>Morton D</w:t>
      </w:r>
      <w:r w:rsidRPr="00082D2A">
        <w:rPr>
          <w:rFonts w:cs="Times New Roman"/>
        </w:rPr>
        <w:t>, Weisenberger</w:t>
      </w:r>
      <w:r>
        <w:rPr>
          <w:rFonts w:cs="Times New Roman"/>
        </w:rPr>
        <w:t xml:space="preserve"> D</w:t>
      </w:r>
      <w:r w:rsidRPr="00082D2A">
        <w:rPr>
          <w:rFonts w:cs="Times New Roman"/>
        </w:rPr>
        <w:t>,</w:t>
      </w:r>
      <w:r>
        <w:rPr>
          <w:rFonts w:cs="Times New Roman"/>
        </w:rPr>
        <w:t xml:space="preserve"> </w:t>
      </w:r>
      <w:r w:rsidRPr="00082D2A">
        <w:rPr>
          <w:rFonts w:cs="Times New Roman"/>
        </w:rPr>
        <w:t>Reicher</w:t>
      </w:r>
      <w:r>
        <w:rPr>
          <w:rFonts w:cs="Times New Roman"/>
        </w:rPr>
        <w:t xml:space="preserve"> Z, </w:t>
      </w:r>
      <w:r w:rsidRPr="00082D2A">
        <w:rPr>
          <w:rFonts w:cs="Times New Roman"/>
        </w:rPr>
        <w:t>Branham</w:t>
      </w:r>
      <w:r>
        <w:rPr>
          <w:rFonts w:cs="Times New Roman"/>
        </w:rPr>
        <w:t xml:space="preserve"> B, </w:t>
      </w:r>
      <w:r w:rsidRPr="00082D2A">
        <w:rPr>
          <w:rFonts w:cs="Times New Roman"/>
        </w:rPr>
        <w:t>Sharp</w:t>
      </w:r>
      <w:r>
        <w:rPr>
          <w:rFonts w:cs="Times New Roman"/>
        </w:rPr>
        <w:t xml:space="preserve"> B, </w:t>
      </w:r>
      <w:r w:rsidRPr="00082D2A">
        <w:rPr>
          <w:rFonts w:cs="Times New Roman"/>
        </w:rPr>
        <w:t>Gaussoin</w:t>
      </w:r>
      <w:r>
        <w:rPr>
          <w:rFonts w:cs="Times New Roman"/>
        </w:rPr>
        <w:t xml:space="preserve"> R, </w:t>
      </w:r>
      <w:r w:rsidRPr="00082D2A">
        <w:rPr>
          <w:rFonts w:cs="Times New Roman"/>
        </w:rPr>
        <w:t>Stier</w:t>
      </w:r>
      <w:r>
        <w:rPr>
          <w:rFonts w:cs="Times New Roman"/>
        </w:rPr>
        <w:t xml:space="preserve"> J, Koeritz E (2007)</w:t>
      </w:r>
      <w:r w:rsidRPr="00082D2A">
        <w:rPr>
          <w:rFonts w:cs="Times New Roman"/>
        </w:rPr>
        <w:t xml:space="preserve"> Evaluating bispyribac</w:t>
      </w:r>
      <w:r>
        <w:rPr>
          <w:rFonts w:cs="Times New Roman"/>
        </w:rPr>
        <w:t>-</w:t>
      </w:r>
      <w:r w:rsidRPr="00082D2A">
        <w:rPr>
          <w:rFonts w:cs="Times New Roman"/>
        </w:rPr>
        <w:t>sodium and sulfosulfuron for control of roughstalk blue</w:t>
      </w:r>
      <w:r>
        <w:rPr>
          <w:rFonts w:cs="Times New Roman"/>
        </w:rPr>
        <w:t>grass. HortSci 42:1710–1714</w:t>
      </w:r>
    </w:p>
    <w:p w14:paraId="364B39EB" w14:textId="77777777" w:rsidR="00DF3770" w:rsidRDefault="00DF3770" w:rsidP="00DF3770">
      <w:pPr>
        <w:widowControl w:val="0"/>
        <w:autoSpaceDE w:val="0"/>
        <w:autoSpaceDN w:val="0"/>
        <w:adjustRightInd w:val="0"/>
        <w:ind w:left="720" w:hanging="720"/>
        <w:rPr>
          <w:rFonts w:cs="Times New Roman"/>
          <w:color w:val="231F20"/>
        </w:rPr>
      </w:pPr>
      <w:r w:rsidRPr="00802EA7">
        <w:rPr>
          <w:rFonts w:cs="Times New Roman"/>
          <w:bCs/>
          <w:color w:val="231F20"/>
        </w:rPr>
        <w:t>Muehlebach M, Cederbaum F, Cornes D, Friedmann AA, Glock J, Hall G, Indolese AF, Kloer DP, Goupil GL, Maetzke T, Meier H, Schneider R, Stoller A, Szczepanski H, Wendeborn S, Widmer H (2</w:t>
      </w:r>
      <w:r>
        <w:rPr>
          <w:rFonts w:cs="Times New Roman"/>
          <w:bCs/>
          <w:color w:val="231F20"/>
        </w:rPr>
        <w:t xml:space="preserve">011) Aryldiones incorporating a </w:t>
      </w:r>
      <w:r w:rsidRPr="00802EA7">
        <w:rPr>
          <w:rFonts w:cs="Times New Roman"/>
          <w:bCs/>
          <w:color w:val="231F20"/>
        </w:rPr>
        <w:t>[</w:t>
      </w:r>
      <w:proofErr w:type="gramStart"/>
      <w:r w:rsidRPr="00802EA7">
        <w:rPr>
          <w:rFonts w:cs="Times New Roman"/>
          <w:bCs/>
          <w:color w:val="231F20"/>
        </w:rPr>
        <w:t>1,4,5]oxadiazepane</w:t>
      </w:r>
      <w:proofErr w:type="gramEnd"/>
      <w:r>
        <w:rPr>
          <w:rFonts w:cs="Times New Roman"/>
          <w:bCs/>
          <w:color w:val="231F20"/>
        </w:rPr>
        <w:t xml:space="preserve"> </w:t>
      </w:r>
      <w:r w:rsidRPr="00802EA7">
        <w:rPr>
          <w:rFonts w:cs="Times New Roman"/>
          <w:bCs/>
          <w:color w:val="231F20"/>
        </w:rPr>
        <w:t xml:space="preserve">ring. Part 2: </w:t>
      </w:r>
      <w:r w:rsidRPr="00802EA7">
        <w:rPr>
          <w:rFonts w:cs="Times New Roman"/>
          <w:bCs/>
          <w:color w:val="231F20"/>
        </w:rPr>
        <w:lastRenderedPageBreak/>
        <w:t xml:space="preserve">Chemistry and biology of the cereal herbicide pinoxaden. </w:t>
      </w:r>
      <w:r w:rsidRPr="00AF2D6B">
        <w:rPr>
          <w:rFonts w:cs="Times New Roman"/>
          <w:iCs/>
          <w:color w:val="231F20"/>
        </w:rPr>
        <w:t>Pest Manag</w:t>
      </w:r>
      <w:r>
        <w:rPr>
          <w:rFonts w:cs="Times New Roman"/>
          <w:iCs/>
          <w:color w:val="231F20"/>
        </w:rPr>
        <w:t>.</w:t>
      </w:r>
      <w:r w:rsidRPr="00AF2D6B">
        <w:rPr>
          <w:rFonts w:cs="Times New Roman"/>
          <w:iCs/>
          <w:color w:val="231F20"/>
        </w:rPr>
        <w:t xml:space="preserve"> Sci</w:t>
      </w:r>
      <w:r w:rsidRPr="00802EA7">
        <w:rPr>
          <w:rFonts w:cs="Times New Roman"/>
          <w:i/>
          <w:iCs/>
          <w:color w:val="231F20"/>
        </w:rPr>
        <w:t xml:space="preserve"> </w:t>
      </w:r>
      <w:r w:rsidRPr="00802EA7">
        <w:rPr>
          <w:rFonts w:cs="Times New Roman"/>
          <w:bCs/>
          <w:color w:val="231F20"/>
        </w:rPr>
        <w:t>67</w:t>
      </w:r>
      <w:r>
        <w:rPr>
          <w:rFonts w:cs="Times New Roman"/>
          <w:color w:val="231F20"/>
        </w:rPr>
        <w:t>:</w:t>
      </w:r>
      <w:r w:rsidRPr="00802EA7">
        <w:rPr>
          <w:rFonts w:cs="Times New Roman"/>
          <w:color w:val="231F20"/>
        </w:rPr>
        <w:t>1499–1521</w:t>
      </w:r>
    </w:p>
    <w:p w14:paraId="7EF9CA54" w14:textId="77777777" w:rsidR="00DF3770" w:rsidRDefault="00DF3770" w:rsidP="00DF3770">
      <w:pPr>
        <w:widowControl w:val="0"/>
        <w:autoSpaceDE w:val="0"/>
        <w:autoSpaceDN w:val="0"/>
        <w:adjustRightInd w:val="0"/>
        <w:ind w:left="720" w:hanging="720"/>
        <w:rPr>
          <w:rFonts w:cs="Times New Roman"/>
          <w:color w:val="231F20"/>
        </w:rPr>
      </w:pPr>
      <w:proofErr w:type="gramStart"/>
      <w:r>
        <w:rPr>
          <w:rFonts w:cs="Times New Roman"/>
          <w:color w:val="231F20"/>
        </w:rPr>
        <w:t>Penner D (2001) Activator Adjuvants.</w:t>
      </w:r>
      <w:proofErr w:type="gramEnd"/>
      <w:r>
        <w:rPr>
          <w:rFonts w:cs="Times New Roman"/>
          <w:color w:val="231F20"/>
        </w:rPr>
        <w:t xml:space="preserve"> Weed Technol 14:785-791</w:t>
      </w:r>
    </w:p>
    <w:p w14:paraId="4FD3F02D" w14:textId="4D808120" w:rsidR="00DF3770" w:rsidRPr="00E01F6C" w:rsidRDefault="00DF3770" w:rsidP="00DF3770">
      <w:pPr>
        <w:widowControl w:val="0"/>
        <w:autoSpaceDE w:val="0"/>
        <w:autoSpaceDN w:val="0"/>
        <w:adjustRightInd w:val="0"/>
        <w:ind w:left="720" w:hanging="720"/>
        <w:rPr>
          <w:rFonts w:cs="Times New Roman"/>
          <w:bCs/>
          <w:color w:val="231F20"/>
        </w:rPr>
      </w:pPr>
      <w:r>
        <w:rPr>
          <w:rFonts w:cs="Times New Roman"/>
          <w:color w:val="231F20"/>
        </w:rPr>
        <w:t>Rutledge JM, Weisenberger DV, Reicher ZJ (2010) Bispyribac-sodium, sulfosulfuron, and interseeding creeping bentgrass for long-term control of roughstalk bluegrass HortSci 45:283-287</w:t>
      </w:r>
    </w:p>
    <w:p w14:paraId="10B1CB56" w14:textId="77777777" w:rsidR="00DF3770" w:rsidRDefault="00DF3770" w:rsidP="00DF3770">
      <w:pPr>
        <w:widowControl w:val="0"/>
        <w:autoSpaceDE w:val="0"/>
        <w:autoSpaceDN w:val="0"/>
        <w:adjustRightInd w:val="0"/>
        <w:ind w:left="720" w:hanging="720"/>
        <w:rPr>
          <w:rFonts w:cs="Times New Roman"/>
        </w:rPr>
      </w:pPr>
      <w:proofErr w:type="gramStart"/>
      <w:r w:rsidRPr="00201F42">
        <w:rPr>
          <w:rFonts w:cs="Times New Roman"/>
        </w:rPr>
        <w:t>Syngenta GreenCast (2010) Rescue herbicide overview.</w:t>
      </w:r>
      <w:proofErr w:type="gramEnd"/>
      <w:r w:rsidRPr="00201F42">
        <w:rPr>
          <w:rFonts w:cs="Times New Roman"/>
        </w:rPr>
        <w:t xml:space="preserve"> http://www.greencast.co.uk/uk/products-and-offers/herbicides/rescue.aspx. Accessed: April 17, 2014</w:t>
      </w:r>
    </w:p>
    <w:p w14:paraId="0FD265AE" w14:textId="77777777" w:rsidR="00DF3770" w:rsidRPr="00201F42" w:rsidRDefault="00DF3770" w:rsidP="00DF3770">
      <w:pPr>
        <w:widowControl w:val="0"/>
        <w:autoSpaceDE w:val="0"/>
        <w:autoSpaceDN w:val="0"/>
        <w:adjustRightInd w:val="0"/>
        <w:ind w:left="720" w:hanging="720"/>
        <w:rPr>
          <w:rFonts w:cs="Times New Roman"/>
          <w:color w:val="231F20"/>
        </w:rPr>
      </w:pPr>
      <w:r>
        <w:rPr>
          <w:rFonts w:cs="Times New Roman"/>
        </w:rPr>
        <w:t xml:space="preserve">Turgeon AJ, McCarty LB, Christians NE, </w:t>
      </w:r>
      <w:proofErr w:type="gramStart"/>
      <w:r>
        <w:rPr>
          <w:rFonts w:cs="Times New Roman"/>
        </w:rPr>
        <w:t>eds</w:t>
      </w:r>
      <w:proofErr w:type="gramEnd"/>
      <w:r>
        <w:rPr>
          <w:rFonts w:cs="Times New Roman"/>
        </w:rPr>
        <w:t xml:space="preserve"> (2009) Weed control in turf and ornamentals. 1</w:t>
      </w:r>
      <w:r w:rsidRPr="001F1BE8">
        <w:rPr>
          <w:rFonts w:cs="Times New Roman"/>
        </w:rPr>
        <w:t>st</w:t>
      </w:r>
      <w:r>
        <w:rPr>
          <w:rFonts w:cs="Times New Roman"/>
        </w:rPr>
        <w:t xml:space="preserve"> edn. Upper Saddle River, NJ: Pearson Education Inc. Pp 10-11</w:t>
      </w:r>
    </w:p>
    <w:p w14:paraId="159389F9" w14:textId="77777777" w:rsidR="00DF3770" w:rsidRDefault="00DF3770" w:rsidP="00DF3770">
      <w:pPr>
        <w:widowControl w:val="0"/>
        <w:autoSpaceDE w:val="0"/>
        <w:autoSpaceDN w:val="0"/>
        <w:adjustRightInd w:val="0"/>
        <w:ind w:left="720" w:hanging="720"/>
        <w:rPr>
          <w:rFonts w:cs="Times New Roman"/>
          <w:bCs/>
          <w:color w:val="231F20"/>
        </w:rPr>
      </w:pPr>
      <w:r>
        <w:rPr>
          <w:rFonts w:cs="Times New Roman"/>
          <w:bCs/>
          <w:color w:val="231F20"/>
        </w:rPr>
        <w:t>Yaacoby T, Hall JC, Stephenson GR (1991) Influence of fenchlorazole-ethyl on the metabolism of fenoxaprop-ethyl in wheat, barley and crabgrass. Pestic Biochem Physiol 41:296-304.</w:t>
      </w:r>
    </w:p>
    <w:p w14:paraId="5820CD0D" w14:textId="77777777" w:rsidR="001D3D0F" w:rsidRDefault="001D3D0F">
      <w:pPr>
        <w:rPr>
          <w:rFonts w:cs="Times New Roman"/>
          <w:bCs/>
          <w:color w:val="231F20"/>
        </w:rPr>
      </w:pPr>
      <w:r>
        <w:rPr>
          <w:rFonts w:cs="Times New Roman"/>
          <w:bCs/>
          <w:color w:val="231F20"/>
        </w:rPr>
        <w:br w:type="page"/>
      </w:r>
    </w:p>
    <w:p w14:paraId="7D676361" w14:textId="77777777" w:rsidR="001D3D0F" w:rsidRDefault="001D3D0F" w:rsidP="001D3D0F">
      <w:pPr>
        <w:widowControl w:val="0"/>
        <w:autoSpaceDE w:val="0"/>
        <w:autoSpaceDN w:val="0"/>
        <w:adjustRightInd w:val="0"/>
        <w:ind w:left="720" w:hanging="720"/>
        <w:rPr>
          <w:rFonts w:cs="Times New Roman"/>
          <w:bCs/>
          <w:color w:val="231F20"/>
        </w:rPr>
      </w:pPr>
    </w:p>
    <w:p w14:paraId="025C8384" w14:textId="77777777" w:rsidR="001D3D0F" w:rsidRDefault="001D3D0F" w:rsidP="001D3D0F">
      <w:pPr>
        <w:pStyle w:val="Heading2"/>
      </w:pPr>
    </w:p>
    <w:p w14:paraId="322E1B6C" w14:textId="77777777" w:rsidR="00823063" w:rsidRPr="00823063" w:rsidRDefault="00823063" w:rsidP="00823063"/>
    <w:p w14:paraId="2DDEC81E" w14:textId="77777777" w:rsidR="001D3D0F" w:rsidRDefault="001D3D0F" w:rsidP="001D3D0F">
      <w:pPr>
        <w:pStyle w:val="Heading2"/>
      </w:pPr>
    </w:p>
    <w:p w14:paraId="56AFF51F" w14:textId="77777777" w:rsidR="001D3D0F" w:rsidRDefault="001D3D0F" w:rsidP="001D3D0F">
      <w:pPr>
        <w:pStyle w:val="Heading2"/>
      </w:pPr>
    </w:p>
    <w:p w14:paraId="375B9861" w14:textId="77777777" w:rsidR="001D3D0F" w:rsidRDefault="001D3D0F" w:rsidP="001D3D0F">
      <w:pPr>
        <w:pStyle w:val="Heading2"/>
      </w:pPr>
    </w:p>
    <w:p w14:paraId="4FF18D37" w14:textId="77777777" w:rsidR="001D3D0F" w:rsidRDefault="001D3D0F" w:rsidP="00DD14E8">
      <w:pPr>
        <w:pStyle w:val="Heading2"/>
      </w:pPr>
      <w:bookmarkStart w:id="85" w:name="_Toc264635683"/>
      <w:bookmarkStart w:id="86" w:name="_Toc264713570"/>
      <w:bookmarkStart w:id="87" w:name="_Toc264713616"/>
      <w:bookmarkStart w:id="88" w:name="_Toc264967194"/>
      <w:r>
        <w:t>APPENDIX</w:t>
      </w:r>
      <w:bookmarkStart w:id="89" w:name="_Toc264635684"/>
      <w:bookmarkStart w:id="90" w:name="_Toc264713571"/>
      <w:bookmarkStart w:id="91" w:name="_Toc264713617"/>
      <w:bookmarkEnd w:id="85"/>
      <w:bookmarkEnd w:id="86"/>
      <w:bookmarkEnd w:id="87"/>
      <w:r w:rsidR="00DD14E8">
        <w:t xml:space="preserve"> </w:t>
      </w:r>
      <w:r w:rsidR="00DD14E8">
        <w:br/>
      </w:r>
      <w:r>
        <w:t>TABLES AND FIGURES</w:t>
      </w:r>
      <w:bookmarkEnd w:id="88"/>
      <w:bookmarkEnd w:id="89"/>
      <w:bookmarkEnd w:id="90"/>
      <w:bookmarkEnd w:id="91"/>
    </w:p>
    <w:p w14:paraId="610E8DCD" w14:textId="7259553F" w:rsidR="001D3D0F" w:rsidRPr="00547A4B" w:rsidRDefault="001D3D0F" w:rsidP="000E693C">
      <w:pPr>
        <w:rPr>
          <w:rFonts w:cs="Times New Roman"/>
          <w:b/>
          <w:bCs/>
          <w:iCs/>
          <w:sz w:val="28"/>
          <w:szCs w:val="28"/>
        </w:rPr>
      </w:pPr>
      <w:r>
        <w:br w:type="page"/>
      </w:r>
      <w:r w:rsidRPr="00051F58">
        <w:rPr>
          <w:rFonts w:cs="Times New Roman"/>
          <w:b/>
        </w:rPr>
        <w:lastRenderedPageBreak/>
        <w:t xml:space="preserve">Table </w:t>
      </w:r>
      <w:r w:rsidR="00823063" w:rsidRPr="00051F58">
        <w:rPr>
          <w:rFonts w:cs="Times New Roman"/>
          <w:b/>
        </w:rPr>
        <w:t>2.</w:t>
      </w:r>
      <w:r w:rsidRPr="00051F58">
        <w:rPr>
          <w:rFonts w:cs="Times New Roman"/>
          <w:b/>
        </w:rPr>
        <w:t>1.</w:t>
      </w:r>
      <w:r w:rsidRPr="00605DCD">
        <w:rPr>
          <w:rFonts w:cs="Times New Roman"/>
        </w:rPr>
        <w:t xml:space="preserve"> Safeners applied in Experiment </w:t>
      </w:r>
      <w:r>
        <w:rPr>
          <w:rFonts w:cs="Times New Roman"/>
        </w:rPr>
        <w:t>1</w:t>
      </w:r>
      <w:r w:rsidRPr="00605DCD">
        <w:rPr>
          <w:rFonts w:cs="Times New Roman"/>
        </w:rPr>
        <w:t xml:space="preserve"> to ‘Penncross’ creeping bentgrass in a glasshouse in Knoxville, TN in 2013. Safeners were applied at </w:t>
      </w:r>
      <w:r>
        <w:rPr>
          <w:rFonts w:cs="Times New Roman"/>
        </w:rPr>
        <w:t>450</w:t>
      </w:r>
      <w:r w:rsidRPr="00605DCD">
        <w:rPr>
          <w:rFonts w:cs="Times New Roman"/>
        </w:rPr>
        <w:t xml:space="preserve"> g ha</w:t>
      </w:r>
      <w:r w:rsidRPr="00605DCD">
        <w:rPr>
          <w:rFonts w:cs="Times New Roman"/>
          <w:vertAlign w:val="superscript"/>
        </w:rPr>
        <w:t>-1</w:t>
      </w:r>
      <w:r>
        <w:rPr>
          <w:rFonts w:cs="Times New Roman"/>
        </w:rPr>
        <w:t xml:space="preserve">, </w:t>
      </w:r>
      <w:r w:rsidRPr="00605DCD">
        <w:rPr>
          <w:rFonts w:cs="Times New Roman"/>
        </w:rPr>
        <w:t>30 min</w:t>
      </w:r>
      <w:r w:rsidR="00BC02EE">
        <w:rPr>
          <w:rFonts w:cs="Times New Roman"/>
        </w:rPr>
        <w:t>s</w:t>
      </w:r>
      <w:r w:rsidRPr="00605DCD">
        <w:rPr>
          <w:rFonts w:cs="Times New Roman"/>
        </w:rPr>
        <w:t xml:space="preserve"> prior to </w:t>
      </w:r>
      <w:r>
        <w:rPr>
          <w:rFonts w:cs="Times New Roman"/>
        </w:rPr>
        <w:t>pinoxaden</w:t>
      </w:r>
      <w:r w:rsidRPr="00605DCD">
        <w:rPr>
          <w:rFonts w:cs="Times New Roman"/>
        </w:rPr>
        <w:t xml:space="preserve"> treatment at </w:t>
      </w:r>
      <w:r>
        <w:rPr>
          <w:rFonts w:cs="Times New Roman"/>
        </w:rPr>
        <w:t>90</w:t>
      </w:r>
      <w:r w:rsidRPr="00605DCD">
        <w:rPr>
          <w:rFonts w:cs="Times New Roman"/>
        </w:rPr>
        <w:t xml:space="preserve"> g ha</w:t>
      </w:r>
      <w:r w:rsidRPr="00605DCD">
        <w:rPr>
          <w:rFonts w:cs="Times New Roman"/>
          <w:vertAlign w:val="superscript"/>
        </w:rPr>
        <w:t>-1</w:t>
      </w:r>
      <w:r w:rsidRPr="00605DCD">
        <w:rPr>
          <w:rFonts w:cs="Times New Roman"/>
        </w:rPr>
        <w:t>.</w:t>
      </w:r>
    </w:p>
    <w:tbl>
      <w:tblPr>
        <w:tblW w:w="10170" w:type="dxa"/>
        <w:tblInd w:w="108" w:type="dxa"/>
        <w:tblLayout w:type="fixed"/>
        <w:tblLook w:val="04A0" w:firstRow="1" w:lastRow="0" w:firstColumn="1" w:lastColumn="0" w:noHBand="0" w:noVBand="1"/>
      </w:tblPr>
      <w:tblGrid>
        <w:gridCol w:w="2070"/>
        <w:gridCol w:w="1170"/>
        <w:gridCol w:w="1260"/>
        <w:gridCol w:w="810"/>
        <w:gridCol w:w="4050"/>
        <w:gridCol w:w="810"/>
      </w:tblGrid>
      <w:tr w:rsidR="001D3D0F" w:rsidRPr="00605DCD" w14:paraId="40CBB2BB" w14:textId="77777777">
        <w:tc>
          <w:tcPr>
            <w:tcW w:w="2070" w:type="dxa"/>
            <w:tcBorders>
              <w:top w:val="nil"/>
              <w:left w:val="nil"/>
              <w:bottom w:val="nil"/>
              <w:right w:val="nil"/>
            </w:tcBorders>
            <w:vAlign w:val="bottom"/>
          </w:tcPr>
          <w:p w14:paraId="0662ED7C" w14:textId="77777777" w:rsidR="001D3D0F" w:rsidRPr="00605DCD" w:rsidRDefault="001D3D0F" w:rsidP="00D56C61">
            <w:pPr>
              <w:jc w:val="center"/>
              <w:rPr>
                <w:rFonts w:cs="Times New Roman"/>
                <w:sz w:val="20"/>
                <w:szCs w:val="20"/>
              </w:rPr>
            </w:pPr>
          </w:p>
        </w:tc>
        <w:tc>
          <w:tcPr>
            <w:tcW w:w="1170" w:type="dxa"/>
            <w:tcBorders>
              <w:top w:val="nil"/>
              <w:left w:val="nil"/>
              <w:bottom w:val="nil"/>
              <w:right w:val="nil"/>
            </w:tcBorders>
          </w:tcPr>
          <w:p w14:paraId="1C3D5E3A" w14:textId="77777777" w:rsidR="001D3D0F" w:rsidRPr="00605DCD" w:rsidRDefault="001D3D0F" w:rsidP="00D56C61">
            <w:pPr>
              <w:jc w:val="center"/>
              <w:rPr>
                <w:rFonts w:cs="Times New Roman"/>
                <w:sz w:val="20"/>
                <w:szCs w:val="20"/>
              </w:rPr>
            </w:pPr>
          </w:p>
        </w:tc>
        <w:tc>
          <w:tcPr>
            <w:tcW w:w="1260" w:type="dxa"/>
            <w:tcBorders>
              <w:top w:val="nil"/>
              <w:left w:val="nil"/>
              <w:bottom w:val="nil"/>
              <w:right w:val="nil"/>
            </w:tcBorders>
          </w:tcPr>
          <w:p w14:paraId="7954A90A" w14:textId="77777777" w:rsidR="001D3D0F" w:rsidRPr="00605DCD" w:rsidRDefault="001D3D0F" w:rsidP="00D56C61">
            <w:pPr>
              <w:jc w:val="center"/>
              <w:rPr>
                <w:rFonts w:cs="Times New Roman"/>
                <w:sz w:val="20"/>
                <w:szCs w:val="20"/>
              </w:rPr>
            </w:pPr>
          </w:p>
        </w:tc>
        <w:tc>
          <w:tcPr>
            <w:tcW w:w="810" w:type="dxa"/>
            <w:tcBorders>
              <w:top w:val="nil"/>
              <w:left w:val="nil"/>
              <w:bottom w:val="nil"/>
              <w:right w:val="nil"/>
            </w:tcBorders>
          </w:tcPr>
          <w:p w14:paraId="3FE5D9E5" w14:textId="77777777" w:rsidR="001D3D0F" w:rsidRPr="00605DCD" w:rsidRDefault="001D3D0F" w:rsidP="00D56C61">
            <w:pPr>
              <w:jc w:val="center"/>
              <w:rPr>
                <w:rFonts w:cs="Times New Roman"/>
                <w:sz w:val="20"/>
                <w:szCs w:val="20"/>
              </w:rPr>
            </w:pPr>
          </w:p>
        </w:tc>
        <w:tc>
          <w:tcPr>
            <w:tcW w:w="4860" w:type="dxa"/>
            <w:gridSpan w:val="2"/>
            <w:tcBorders>
              <w:top w:val="nil"/>
              <w:left w:val="nil"/>
              <w:bottom w:val="nil"/>
              <w:right w:val="nil"/>
            </w:tcBorders>
            <w:vAlign w:val="bottom"/>
          </w:tcPr>
          <w:p w14:paraId="6FE50A5E" w14:textId="77777777" w:rsidR="001D3D0F" w:rsidRPr="00605DCD" w:rsidRDefault="001D3D0F" w:rsidP="00D56C61">
            <w:pPr>
              <w:jc w:val="center"/>
              <w:rPr>
                <w:rFonts w:cs="Times New Roman"/>
                <w:sz w:val="20"/>
                <w:szCs w:val="20"/>
              </w:rPr>
            </w:pPr>
          </w:p>
        </w:tc>
      </w:tr>
      <w:tr w:rsidR="001D3D0F" w:rsidRPr="00605DCD" w14:paraId="668E1E57" w14:textId="77777777">
        <w:trPr>
          <w:gridAfter w:val="1"/>
          <w:wAfter w:w="810" w:type="dxa"/>
        </w:trPr>
        <w:tc>
          <w:tcPr>
            <w:tcW w:w="2070" w:type="dxa"/>
            <w:tcBorders>
              <w:top w:val="single" w:sz="4" w:space="0" w:color="auto"/>
              <w:left w:val="nil"/>
              <w:bottom w:val="single" w:sz="4" w:space="0" w:color="auto"/>
              <w:right w:val="nil"/>
            </w:tcBorders>
            <w:vAlign w:val="bottom"/>
          </w:tcPr>
          <w:p w14:paraId="61949011" w14:textId="77777777" w:rsidR="001D3D0F" w:rsidRPr="00605DCD" w:rsidRDefault="001D3D0F" w:rsidP="00D56C61">
            <w:pPr>
              <w:jc w:val="center"/>
              <w:rPr>
                <w:rFonts w:cs="Times New Roman"/>
                <w:sz w:val="20"/>
                <w:szCs w:val="20"/>
              </w:rPr>
            </w:pPr>
            <w:r w:rsidRPr="00605DCD">
              <w:rPr>
                <w:rFonts w:cs="Times New Roman"/>
                <w:sz w:val="20"/>
                <w:szCs w:val="20"/>
              </w:rPr>
              <w:t>Common name</w:t>
            </w:r>
          </w:p>
        </w:tc>
        <w:tc>
          <w:tcPr>
            <w:tcW w:w="1170" w:type="dxa"/>
            <w:tcBorders>
              <w:top w:val="single" w:sz="4" w:space="0" w:color="auto"/>
              <w:left w:val="nil"/>
              <w:bottom w:val="single" w:sz="4" w:space="0" w:color="auto"/>
              <w:right w:val="nil"/>
            </w:tcBorders>
            <w:vAlign w:val="bottom"/>
          </w:tcPr>
          <w:p w14:paraId="1B67B7BE" w14:textId="77777777" w:rsidR="001D3D0F" w:rsidRPr="00605DCD" w:rsidRDefault="001D3D0F" w:rsidP="00D56C61">
            <w:pPr>
              <w:jc w:val="center"/>
              <w:rPr>
                <w:rFonts w:cs="Times New Roman"/>
                <w:sz w:val="20"/>
                <w:szCs w:val="20"/>
              </w:rPr>
            </w:pPr>
            <w:r w:rsidRPr="00605DCD">
              <w:rPr>
                <w:rFonts w:cs="Times New Roman"/>
                <w:sz w:val="20"/>
                <w:szCs w:val="20"/>
              </w:rPr>
              <w:t>Trade name</w:t>
            </w:r>
          </w:p>
        </w:tc>
        <w:tc>
          <w:tcPr>
            <w:tcW w:w="1260" w:type="dxa"/>
            <w:tcBorders>
              <w:top w:val="single" w:sz="4" w:space="0" w:color="auto"/>
              <w:left w:val="nil"/>
              <w:bottom w:val="single" w:sz="4" w:space="0" w:color="auto"/>
              <w:right w:val="nil"/>
            </w:tcBorders>
            <w:vAlign w:val="bottom"/>
          </w:tcPr>
          <w:p w14:paraId="7500A626" w14:textId="77777777" w:rsidR="001D3D0F" w:rsidRPr="00605DCD" w:rsidRDefault="001D3D0F" w:rsidP="00D56C61">
            <w:pPr>
              <w:jc w:val="center"/>
              <w:rPr>
                <w:rFonts w:cs="Times New Roman"/>
                <w:sz w:val="20"/>
                <w:szCs w:val="20"/>
              </w:rPr>
            </w:pPr>
            <w:r w:rsidRPr="00605DCD">
              <w:rPr>
                <w:rFonts w:cs="Times New Roman"/>
                <w:sz w:val="20"/>
                <w:szCs w:val="20"/>
              </w:rPr>
              <w:t>Formulation</w:t>
            </w:r>
          </w:p>
        </w:tc>
        <w:tc>
          <w:tcPr>
            <w:tcW w:w="4860" w:type="dxa"/>
            <w:gridSpan w:val="2"/>
            <w:tcBorders>
              <w:top w:val="single" w:sz="4" w:space="0" w:color="auto"/>
              <w:left w:val="nil"/>
              <w:bottom w:val="single" w:sz="4" w:space="0" w:color="auto"/>
              <w:right w:val="nil"/>
            </w:tcBorders>
            <w:vAlign w:val="bottom"/>
          </w:tcPr>
          <w:p w14:paraId="34F2ED80" w14:textId="77777777" w:rsidR="001D3D0F" w:rsidRPr="00605DCD" w:rsidRDefault="001D3D0F" w:rsidP="00D56C61">
            <w:pPr>
              <w:jc w:val="center"/>
              <w:rPr>
                <w:rFonts w:cs="Times New Roman"/>
                <w:sz w:val="20"/>
                <w:szCs w:val="20"/>
              </w:rPr>
            </w:pPr>
            <w:r w:rsidRPr="00605DCD">
              <w:rPr>
                <w:rFonts w:cs="Times New Roman"/>
                <w:sz w:val="20"/>
                <w:szCs w:val="20"/>
              </w:rPr>
              <w:t>Manufacturer</w:t>
            </w:r>
          </w:p>
        </w:tc>
      </w:tr>
      <w:tr w:rsidR="001D3D0F" w:rsidRPr="00605DCD" w14:paraId="0DDAAC2F" w14:textId="77777777">
        <w:trPr>
          <w:gridAfter w:val="1"/>
          <w:wAfter w:w="810" w:type="dxa"/>
        </w:trPr>
        <w:tc>
          <w:tcPr>
            <w:tcW w:w="2070" w:type="dxa"/>
            <w:tcBorders>
              <w:top w:val="single" w:sz="4" w:space="0" w:color="auto"/>
              <w:left w:val="nil"/>
              <w:bottom w:val="nil"/>
              <w:right w:val="nil"/>
            </w:tcBorders>
            <w:vAlign w:val="bottom"/>
          </w:tcPr>
          <w:p w14:paraId="752EDD73" w14:textId="77777777" w:rsidR="001D3D0F" w:rsidRPr="00605DCD" w:rsidRDefault="001D3D0F" w:rsidP="00D56C61">
            <w:pPr>
              <w:jc w:val="center"/>
              <w:rPr>
                <w:rFonts w:cs="Times New Roman"/>
                <w:sz w:val="20"/>
                <w:szCs w:val="20"/>
              </w:rPr>
            </w:pPr>
            <w:r w:rsidRPr="00605DCD">
              <w:rPr>
                <w:rFonts w:cs="Times New Roman"/>
                <w:sz w:val="20"/>
                <w:szCs w:val="20"/>
              </w:rPr>
              <w:t>Naphthalic anhydride</w:t>
            </w:r>
            <w:r w:rsidRPr="00605DCD">
              <w:rPr>
                <w:rFonts w:cs="Times New Roman"/>
                <w:sz w:val="20"/>
                <w:szCs w:val="20"/>
                <w:vertAlign w:val="superscript"/>
              </w:rPr>
              <w:t>a</w:t>
            </w:r>
          </w:p>
        </w:tc>
        <w:tc>
          <w:tcPr>
            <w:tcW w:w="1170" w:type="dxa"/>
            <w:tcBorders>
              <w:top w:val="single" w:sz="4" w:space="0" w:color="auto"/>
              <w:left w:val="nil"/>
              <w:bottom w:val="nil"/>
              <w:right w:val="nil"/>
            </w:tcBorders>
          </w:tcPr>
          <w:p w14:paraId="21F2698F" w14:textId="77777777" w:rsidR="001D3D0F" w:rsidRPr="00605DCD" w:rsidRDefault="001D3D0F" w:rsidP="00D56C61">
            <w:pPr>
              <w:jc w:val="center"/>
              <w:rPr>
                <w:rFonts w:cs="Times New Roman"/>
                <w:sz w:val="20"/>
                <w:szCs w:val="20"/>
              </w:rPr>
            </w:pPr>
            <w:r w:rsidRPr="00605DCD">
              <w:rPr>
                <w:rFonts w:cs="Times New Roman"/>
                <w:sz w:val="20"/>
                <w:szCs w:val="20"/>
              </w:rPr>
              <w:t>N/A</w:t>
            </w:r>
          </w:p>
        </w:tc>
        <w:tc>
          <w:tcPr>
            <w:tcW w:w="1260" w:type="dxa"/>
            <w:tcBorders>
              <w:top w:val="single" w:sz="4" w:space="0" w:color="auto"/>
              <w:left w:val="nil"/>
              <w:bottom w:val="nil"/>
              <w:right w:val="nil"/>
            </w:tcBorders>
          </w:tcPr>
          <w:p w14:paraId="6BC85243" w14:textId="77777777" w:rsidR="001D3D0F" w:rsidRPr="00605DCD" w:rsidRDefault="001D3D0F" w:rsidP="00D56C61">
            <w:pPr>
              <w:jc w:val="center"/>
              <w:rPr>
                <w:rFonts w:cs="Times New Roman"/>
                <w:sz w:val="20"/>
                <w:szCs w:val="20"/>
              </w:rPr>
            </w:pPr>
            <w:r w:rsidRPr="00605DCD">
              <w:rPr>
                <w:rFonts w:cs="Times New Roman"/>
                <w:sz w:val="20"/>
                <w:szCs w:val="20"/>
              </w:rPr>
              <w:t>&gt; 97% Tech.</w:t>
            </w:r>
          </w:p>
        </w:tc>
        <w:tc>
          <w:tcPr>
            <w:tcW w:w="4860" w:type="dxa"/>
            <w:gridSpan w:val="2"/>
            <w:tcBorders>
              <w:top w:val="single" w:sz="4" w:space="0" w:color="auto"/>
              <w:left w:val="nil"/>
              <w:bottom w:val="nil"/>
              <w:right w:val="nil"/>
            </w:tcBorders>
            <w:vAlign w:val="bottom"/>
          </w:tcPr>
          <w:p w14:paraId="7F08C0D5" w14:textId="77777777" w:rsidR="001D3D0F" w:rsidRPr="00605DCD" w:rsidRDefault="001D3D0F" w:rsidP="00D56C61">
            <w:pPr>
              <w:jc w:val="center"/>
              <w:rPr>
                <w:rFonts w:cs="Times New Roman"/>
                <w:sz w:val="20"/>
                <w:szCs w:val="20"/>
              </w:rPr>
            </w:pPr>
            <w:r w:rsidRPr="00605DCD">
              <w:rPr>
                <w:rFonts w:cs="Times New Roman"/>
                <w:sz w:val="20"/>
                <w:szCs w:val="20"/>
              </w:rPr>
              <w:t xml:space="preserve">Acros Organics; Pittsburgh, PA </w:t>
            </w:r>
          </w:p>
        </w:tc>
      </w:tr>
      <w:tr w:rsidR="001D3D0F" w:rsidRPr="00605DCD" w14:paraId="04E72892" w14:textId="77777777">
        <w:trPr>
          <w:gridAfter w:val="1"/>
          <w:wAfter w:w="810" w:type="dxa"/>
        </w:trPr>
        <w:tc>
          <w:tcPr>
            <w:tcW w:w="2070" w:type="dxa"/>
            <w:tcBorders>
              <w:top w:val="nil"/>
              <w:left w:val="nil"/>
              <w:bottom w:val="nil"/>
              <w:right w:val="nil"/>
            </w:tcBorders>
            <w:vAlign w:val="bottom"/>
          </w:tcPr>
          <w:p w14:paraId="190C43D8" w14:textId="77777777" w:rsidR="001D3D0F" w:rsidRPr="00605DCD" w:rsidRDefault="001D3D0F" w:rsidP="00D56C61">
            <w:pPr>
              <w:jc w:val="center"/>
              <w:rPr>
                <w:rFonts w:cs="Times New Roman"/>
                <w:sz w:val="20"/>
                <w:szCs w:val="20"/>
              </w:rPr>
            </w:pPr>
            <w:r w:rsidRPr="00605DCD">
              <w:rPr>
                <w:rFonts w:cs="Times New Roman"/>
                <w:sz w:val="20"/>
                <w:szCs w:val="20"/>
              </w:rPr>
              <w:t>Isoxadifen-ethyl</w:t>
            </w:r>
          </w:p>
        </w:tc>
        <w:tc>
          <w:tcPr>
            <w:tcW w:w="1170" w:type="dxa"/>
            <w:tcBorders>
              <w:top w:val="nil"/>
              <w:left w:val="nil"/>
              <w:bottom w:val="nil"/>
              <w:right w:val="nil"/>
            </w:tcBorders>
          </w:tcPr>
          <w:p w14:paraId="069374DD" w14:textId="77777777" w:rsidR="001D3D0F" w:rsidRPr="00605DCD" w:rsidRDefault="001D3D0F" w:rsidP="00D56C61">
            <w:pPr>
              <w:jc w:val="center"/>
              <w:rPr>
                <w:rFonts w:cs="Times New Roman"/>
                <w:sz w:val="20"/>
                <w:szCs w:val="20"/>
              </w:rPr>
            </w:pPr>
            <w:r w:rsidRPr="00605DCD">
              <w:rPr>
                <w:rFonts w:cs="Times New Roman"/>
                <w:sz w:val="20"/>
                <w:szCs w:val="20"/>
              </w:rPr>
              <w:t>N/A</w:t>
            </w:r>
          </w:p>
        </w:tc>
        <w:tc>
          <w:tcPr>
            <w:tcW w:w="1260" w:type="dxa"/>
            <w:tcBorders>
              <w:top w:val="nil"/>
              <w:left w:val="nil"/>
              <w:bottom w:val="nil"/>
              <w:right w:val="nil"/>
            </w:tcBorders>
          </w:tcPr>
          <w:p w14:paraId="61F6E905" w14:textId="77777777" w:rsidR="001D3D0F" w:rsidRPr="00605DCD" w:rsidRDefault="001D3D0F" w:rsidP="00D56C61">
            <w:pPr>
              <w:jc w:val="center"/>
              <w:rPr>
                <w:rFonts w:cs="Times New Roman"/>
                <w:sz w:val="20"/>
                <w:szCs w:val="20"/>
              </w:rPr>
            </w:pPr>
            <w:r w:rsidRPr="00605DCD">
              <w:rPr>
                <w:rFonts w:cs="Times New Roman"/>
                <w:sz w:val="20"/>
                <w:szCs w:val="20"/>
              </w:rPr>
              <w:t>50 WDG</w:t>
            </w:r>
          </w:p>
        </w:tc>
        <w:tc>
          <w:tcPr>
            <w:tcW w:w="4860" w:type="dxa"/>
            <w:gridSpan w:val="2"/>
            <w:tcBorders>
              <w:top w:val="nil"/>
              <w:left w:val="nil"/>
              <w:bottom w:val="nil"/>
              <w:right w:val="nil"/>
            </w:tcBorders>
            <w:vAlign w:val="bottom"/>
          </w:tcPr>
          <w:p w14:paraId="5856617F" w14:textId="77777777" w:rsidR="001D3D0F" w:rsidRPr="00605DCD" w:rsidRDefault="001D3D0F" w:rsidP="00D56C61">
            <w:pPr>
              <w:jc w:val="center"/>
              <w:rPr>
                <w:rFonts w:cs="Times New Roman"/>
                <w:sz w:val="20"/>
                <w:szCs w:val="20"/>
              </w:rPr>
            </w:pPr>
            <w:r w:rsidRPr="00605DCD">
              <w:rPr>
                <w:rFonts w:cs="Times New Roman"/>
                <w:sz w:val="20"/>
                <w:szCs w:val="20"/>
              </w:rPr>
              <w:t>DuPont Ag Products; Wilmington, DE</w:t>
            </w:r>
          </w:p>
        </w:tc>
      </w:tr>
      <w:tr w:rsidR="001D3D0F" w:rsidRPr="00605DCD" w14:paraId="5D20AE79" w14:textId="77777777">
        <w:trPr>
          <w:gridAfter w:val="1"/>
          <w:wAfter w:w="810" w:type="dxa"/>
        </w:trPr>
        <w:tc>
          <w:tcPr>
            <w:tcW w:w="2070" w:type="dxa"/>
            <w:tcBorders>
              <w:top w:val="nil"/>
              <w:left w:val="nil"/>
              <w:bottom w:val="nil"/>
              <w:right w:val="nil"/>
            </w:tcBorders>
            <w:vAlign w:val="bottom"/>
          </w:tcPr>
          <w:p w14:paraId="330C1DF1" w14:textId="77777777" w:rsidR="001D3D0F" w:rsidRPr="00605DCD" w:rsidRDefault="001D3D0F" w:rsidP="00D56C61">
            <w:pPr>
              <w:jc w:val="center"/>
              <w:rPr>
                <w:rFonts w:cs="Times New Roman"/>
                <w:sz w:val="20"/>
                <w:szCs w:val="20"/>
              </w:rPr>
            </w:pPr>
            <w:r w:rsidRPr="00605DCD">
              <w:rPr>
                <w:rFonts w:cs="Times New Roman"/>
                <w:sz w:val="20"/>
                <w:szCs w:val="20"/>
              </w:rPr>
              <w:t>Benoxacor</w:t>
            </w:r>
          </w:p>
        </w:tc>
        <w:tc>
          <w:tcPr>
            <w:tcW w:w="1170" w:type="dxa"/>
            <w:tcBorders>
              <w:top w:val="nil"/>
              <w:left w:val="nil"/>
              <w:bottom w:val="nil"/>
              <w:right w:val="nil"/>
            </w:tcBorders>
          </w:tcPr>
          <w:p w14:paraId="72E5632A" w14:textId="77777777" w:rsidR="001D3D0F" w:rsidRPr="00605DCD" w:rsidRDefault="001D3D0F" w:rsidP="00D56C61">
            <w:pPr>
              <w:jc w:val="center"/>
              <w:rPr>
                <w:rFonts w:cs="Times New Roman"/>
                <w:sz w:val="20"/>
                <w:szCs w:val="20"/>
              </w:rPr>
            </w:pPr>
            <w:r w:rsidRPr="00605DCD">
              <w:rPr>
                <w:rFonts w:cs="Times New Roman"/>
                <w:sz w:val="20"/>
                <w:szCs w:val="20"/>
              </w:rPr>
              <w:t>N/A</w:t>
            </w:r>
          </w:p>
        </w:tc>
        <w:tc>
          <w:tcPr>
            <w:tcW w:w="1260" w:type="dxa"/>
            <w:tcBorders>
              <w:top w:val="nil"/>
              <w:left w:val="nil"/>
              <w:bottom w:val="nil"/>
              <w:right w:val="nil"/>
            </w:tcBorders>
          </w:tcPr>
          <w:p w14:paraId="651A406F" w14:textId="77777777" w:rsidR="001D3D0F" w:rsidRPr="00605DCD" w:rsidRDefault="001D3D0F" w:rsidP="00D56C61">
            <w:pPr>
              <w:jc w:val="center"/>
              <w:rPr>
                <w:rFonts w:cs="Times New Roman"/>
                <w:sz w:val="20"/>
                <w:szCs w:val="20"/>
              </w:rPr>
            </w:pPr>
            <w:r w:rsidRPr="00605DCD">
              <w:rPr>
                <w:rFonts w:cs="Times New Roman"/>
                <w:sz w:val="20"/>
                <w:szCs w:val="20"/>
              </w:rPr>
              <w:t>1.6 EC</w:t>
            </w:r>
          </w:p>
        </w:tc>
        <w:tc>
          <w:tcPr>
            <w:tcW w:w="4860" w:type="dxa"/>
            <w:gridSpan w:val="2"/>
            <w:tcBorders>
              <w:top w:val="nil"/>
              <w:left w:val="nil"/>
              <w:bottom w:val="nil"/>
              <w:right w:val="nil"/>
            </w:tcBorders>
            <w:vAlign w:val="bottom"/>
          </w:tcPr>
          <w:p w14:paraId="3B26DE08" w14:textId="77777777" w:rsidR="001D3D0F" w:rsidRPr="00605DCD" w:rsidRDefault="001D3D0F" w:rsidP="00D56C61">
            <w:pPr>
              <w:jc w:val="center"/>
              <w:rPr>
                <w:rFonts w:cs="Times New Roman"/>
                <w:sz w:val="20"/>
                <w:szCs w:val="20"/>
              </w:rPr>
            </w:pPr>
            <w:r w:rsidRPr="00605DCD">
              <w:rPr>
                <w:rFonts w:cs="Times New Roman"/>
                <w:sz w:val="20"/>
                <w:szCs w:val="20"/>
              </w:rPr>
              <w:t>Arysta Lifescience North America LLC; Cary, NC</w:t>
            </w:r>
          </w:p>
        </w:tc>
      </w:tr>
      <w:tr w:rsidR="001D3D0F" w:rsidRPr="00605DCD" w14:paraId="75F2CE29" w14:textId="77777777">
        <w:trPr>
          <w:gridAfter w:val="1"/>
          <w:wAfter w:w="810" w:type="dxa"/>
        </w:trPr>
        <w:tc>
          <w:tcPr>
            <w:tcW w:w="2070" w:type="dxa"/>
            <w:tcBorders>
              <w:top w:val="nil"/>
              <w:left w:val="nil"/>
              <w:bottom w:val="nil"/>
              <w:right w:val="nil"/>
            </w:tcBorders>
            <w:vAlign w:val="bottom"/>
          </w:tcPr>
          <w:p w14:paraId="49D2426E" w14:textId="77777777" w:rsidR="001D3D0F" w:rsidRPr="00605DCD" w:rsidRDefault="001D3D0F" w:rsidP="00D56C61">
            <w:pPr>
              <w:jc w:val="center"/>
              <w:rPr>
                <w:rFonts w:cs="Times New Roman"/>
                <w:sz w:val="20"/>
                <w:szCs w:val="20"/>
              </w:rPr>
            </w:pPr>
            <w:r w:rsidRPr="00605DCD">
              <w:rPr>
                <w:rFonts w:cs="Times New Roman"/>
                <w:sz w:val="20"/>
                <w:szCs w:val="20"/>
              </w:rPr>
              <w:t>Cloquintocet-mexyl</w:t>
            </w:r>
          </w:p>
        </w:tc>
        <w:tc>
          <w:tcPr>
            <w:tcW w:w="1170" w:type="dxa"/>
            <w:tcBorders>
              <w:top w:val="nil"/>
              <w:left w:val="nil"/>
              <w:bottom w:val="nil"/>
              <w:right w:val="nil"/>
            </w:tcBorders>
          </w:tcPr>
          <w:p w14:paraId="224B5413" w14:textId="77777777" w:rsidR="001D3D0F" w:rsidRPr="00605DCD" w:rsidRDefault="001D3D0F" w:rsidP="00D56C61">
            <w:pPr>
              <w:jc w:val="center"/>
              <w:rPr>
                <w:rFonts w:cs="Times New Roman"/>
                <w:sz w:val="20"/>
                <w:szCs w:val="20"/>
              </w:rPr>
            </w:pPr>
            <w:r w:rsidRPr="00605DCD">
              <w:rPr>
                <w:rFonts w:cs="Times New Roman"/>
                <w:sz w:val="20"/>
                <w:szCs w:val="20"/>
              </w:rPr>
              <w:t>N/A</w:t>
            </w:r>
          </w:p>
        </w:tc>
        <w:tc>
          <w:tcPr>
            <w:tcW w:w="1260" w:type="dxa"/>
            <w:tcBorders>
              <w:top w:val="nil"/>
              <w:left w:val="nil"/>
              <w:bottom w:val="nil"/>
              <w:right w:val="nil"/>
            </w:tcBorders>
          </w:tcPr>
          <w:p w14:paraId="3EE515C6" w14:textId="77777777" w:rsidR="001D3D0F" w:rsidRPr="00605DCD" w:rsidRDefault="001D3D0F" w:rsidP="00D56C61">
            <w:pPr>
              <w:jc w:val="center"/>
              <w:rPr>
                <w:rFonts w:cs="Times New Roman"/>
                <w:sz w:val="20"/>
                <w:szCs w:val="20"/>
              </w:rPr>
            </w:pPr>
            <w:r w:rsidRPr="00605DCD">
              <w:rPr>
                <w:rFonts w:cs="Times New Roman"/>
                <w:sz w:val="20"/>
                <w:szCs w:val="20"/>
              </w:rPr>
              <w:t>1.6 EC</w:t>
            </w:r>
          </w:p>
        </w:tc>
        <w:tc>
          <w:tcPr>
            <w:tcW w:w="4860" w:type="dxa"/>
            <w:gridSpan w:val="2"/>
            <w:tcBorders>
              <w:top w:val="nil"/>
              <w:left w:val="nil"/>
              <w:bottom w:val="nil"/>
              <w:right w:val="nil"/>
            </w:tcBorders>
            <w:vAlign w:val="bottom"/>
          </w:tcPr>
          <w:p w14:paraId="75812199" w14:textId="77777777" w:rsidR="001D3D0F" w:rsidRPr="00605DCD" w:rsidRDefault="001D3D0F" w:rsidP="00D56C61">
            <w:pPr>
              <w:jc w:val="center"/>
              <w:rPr>
                <w:rFonts w:cs="Times New Roman"/>
                <w:sz w:val="20"/>
                <w:szCs w:val="20"/>
              </w:rPr>
            </w:pPr>
            <w:r w:rsidRPr="00605DCD">
              <w:rPr>
                <w:rFonts w:cs="Times New Roman"/>
                <w:sz w:val="20"/>
                <w:szCs w:val="20"/>
              </w:rPr>
              <w:t>Arysta Lifescience North America LLC; Cary, NC</w:t>
            </w:r>
          </w:p>
        </w:tc>
      </w:tr>
      <w:tr w:rsidR="001D3D0F" w:rsidRPr="00605DCD" w14:paraId="00E4A84B" w14:textId="77777777">
        <w:trPr>
          <w:gridAfter w:val="1"/>
          <w:wAfter w:w="810" w:type="dxa"/>
        </w:trPr>
        <w:tc>
          <w:tcPr>
            <w:tcW w:w="2070" w:type="dxa"/>
            <w:tcBorders>
              <w:top w:val="nil"/>
              <w:left w:val="nil"/>
              <w:bottom w:val="nil"/>
              <w:right w:val="nil"/>
            </w:tcBorders>
            <w:vAlign w:val="bottom"/>
          </w:tcPr>
          <w:p w14:paraId="7EDBE42A" w14:textId="77777777" w:rsidR="001D3D0F" w:rsidRPr="00605DCD" w:rsidRDefault="001D3D0F" w:rsidP="00D56C61">
            <w:pPr>
              <w:jc w:val="center"/>
              <w:rPr>
                <w:rFonts w:cs="Times New Roman"/>
                <w:sz w:val="20"/>
                <w:szCs w:val="20"/>
              </w:rPr>
            </w:pPr>
            <w:r w:rsidRPr="00605DCD">
              <w:rPr>
                <w:rFonts w:cs="Times New Roman"/>
                <w:sz w:val="20"/>
                <w:szCs w:val="20"/>
              </w:rPr>
              <w:t>Fenchlorazole-ethyl</w:t>
            </w:r>
          </w:p>
        </w:tc>
        <w:tc>
          <w:tcPr>
            <w:tcW w:w="1170" w:type="dxa"/>
            <w:tcBorders>
              <w:top w:val="nil"/>
              <w:left w:val="nil"/>
              <w:bottom w:val="nil"/>
              <w:right w:val="nil"/>
            </w:tcBorders>
          </w:tcPr>
          <w:p w14:paraId="54CD2767" w14:textId="77777777" w:rsidR="001D3D0F" w:rsidRPr="00605DCD" w:rsidRDefault="001D3D0F" w:rsidP="00D56C61">
            <w:pPr>
              <w:jc w:val="center"/>
              <w:rPr>
                <w:rFonts w:cs="Times New Roman"/>
                <w:sz w:val="20"/>
                <w:szCs w:val="20"/>
              </w:rPr>
            </w:pPr>
            <w:r w:rsidRPr="00605DCD">
              <w:rPr>
                <w:rFonts w:cs="Times New Roman"/>
                <w:sz w:val="20"/>
                <w:szCs w:val="20"/>
              </w:rPr>
              <w:t>N/A</w:t>
            </w:r>
          </w:p>
        </w:tc>
        <w:tc>
          <w:tcPr>
            <w:tcW w:w="1260" w:type="dxa"/>
            <w:tcBorders>
              <w:top w:val="nil"/>
              <w:left w:val="nil"/>
              <w:bottom w:val="nil"/>
              <w:right w:val="nil"/>
            </w:tcBorders>
          </w:tcPr>
          <w:p w14:paraId="5D6D75E7" w14:textId="77777777" w:rsidR="001D3D0F" w:rsidRPr="00605DCD" w:rsidRDefault="001D3D0F" w:rsidP="00D56C61">
            <w:pPr>
              <w:jc w:val="center"/>
              <w:rPr>
                <w:rFonts w:cs="Times New Roman"/>
                <w:sz w:val="20"/>
                <w:szCs w:val="20"/>
              </w:rPr>
            </w:pPr>
            <w:r w:rsidRPr="00605DCD">
              <w:rPr>
                <w:rFonts w:cs="Times New Roman"/>
                <w:sz w:val="20"/>
                <w:szCs w:val="20"/>
              </w:rPr>
              <w:t>1.6 EC</w:t>
            </w:r>
          </w:p>
        </w:tc>
        <w:tc>
          <w:tcPr>
            <w:tcW w:w="4860" w:type="dxa"/>
            <w:gridSpan w:val="2"/>
            <w:tcBorders>
              <w:top w:val="nil"/>
              <w:left w:val="nil"/>
              <w:bottom w:val="nil"/>
              <w:right w:val="nil"/>
            </w:tcBorders>
            <w:vAlign w:val="bottom"/>
          </w:tcPr>
          <w:p w14:paraId="4B5116CE" w14:textId="77777777" w:rsidR="001D3D0F" w:rsidRPr="00605DCD" w:rsidRDefault="001D3D0F" w:rsidP="00D56C61">
            <w:pPr>
              <w:jc w:val="center"/>
              <w:rPr>
                <w:rFonts w:cs="Times New Roman"/>
                <w:sz w:val="20"/>
                <w:szCs w:val="20"/>
              </w:rPr>
            </w:pPr>
            <w:r w:rsidRPr="00605DCD">
              <w:rPr>
                <w:rFonts w:cs="Times New Roman"/>
                <w:sz w:val="20"/>
                <w:szCs w:val="20"/>
              </w:rPr>
              <w:t>Arysta Lifescience North America LLC; Cary, NC</w:t>
            </w:r>
          </w:p>
        </w:tc>
      </w:tr>
      <w:tr w:rsidR="001D3D0F" w:rsidRPr="00605DCD" w14:paraId="59393A66" w14:textId="77777777">
        <w:trPr>
          <w:gridAfter w:val="1"/>
          <w:wAfter w:w="810" w:type="dxa"/>
        </w:trPr>
        <w:tc>
          <w:tcPr>
            <w:tcW w:w="2070" w:type="dxa"/>
            <w:tcBorders>
              <w:top w:val="nil"/>
              <w:left w:val="nil"/>
              <w:bottom w:val="single" w:sz="4" w:space="0" w:color="auto"/>
              <w:right w:val="nil"/>
            </w:tcBorders>
            <w:vAlign w:val="bottom"/>
          </w:tcPr>
          <w:p w14:paraId="5F18F559" w14:textId="77777777" w:rsidR="001D3D0F" w:rsidRPr="00605DCD" w:rsidRDefault="001D3D0F" w:rsidP="00D56C61">
            <w:pPr>
              <w:jc w:val="center"/>
              <w:rPr>
                <w:rFonts w:cs="Times New Roman"/>
                <w:sz w:val="20"/>
                <w:szCs w:val="20"/>
              </w:rPr>
            </w:pPr>
            <w:r>
              <w:rPr>
                <w:rFonts w:cs="Times New Roman"/>
                <w:sz w:val="20"/>
                <w:szCs w:val="20"/>
              </w:rPr>
              <w:t>Mefenpyr-diethyl</w:t>
            </w:r>
          </w:p>
        </w:tc>
        <w:tc>
          <w:tcPr>
            <w:tcW w:w="1170" w:type="dxa"/>
            <w:tcBorders>
              <w:top w:val="nil"/>
              <w:left w:val="nil"/>
              <w:bottom w:val="single" w:sz="4" w:space="0" w:color="auto"/>
              <w:right w:val="nil"/>
            </w:tcBorders>
          </w:tcPr>
          <w:p w14:paraId="5B8948B3" w14:textId="77777777" w:rsidR="001D3D0F" w:rsidRPr="00605DCD" w:rsidRDefault="001D3D0F" w:rsidP="00D56C61">
            <w:pPr>
              <w:jc w:val="center"/>
              <w:rPr>
                <w:rFonts w:cs="Times New Roman"/>
                <w:sz w:val="20"/>
                <w:szCs w:val="20"/>
              </w:rPr>
            </w:pPr>
            <w:r w:rsidRPr="00605DCD">
              <w:rPr>
                <w:rFonts w:cs="Times New Roman"/>
                <w:sz w:val="20"/>
                <w:szCs w:val="20"/>
              </w:rPr>
              <w:t>N/A</w:t>
            </w:r>
          </w:p>
        </w:tc>
        <w:tc>
          <w:tcPr>
            <w:tcW w:w="1260" w:type="dxa"/>
            <w:tcBorders>
              <w:top w:val="nil"/>
              <w:left w:val="nil"/>
              <w:bottom w:val="single" w:sz="4" w:space="0" w:color="auto"/>
              <w:right w:val="nil"/>
            </w:tcBorders>
          </w:tcPr>
          <w:p w14:paraId="3CB6D983" w14:textId="77777777" w:rsidR="001D3D0F" w:rsidRPr="00605DCD" w:rsidRDefault="001D3D0F" w:rsidP="00D56C61">
            <w:pPr>
              <w:jc w:val="center"/>
              <w:rPr>
                <w:rFonts w:cs="Times New Roman"/>
                <w:sz w:val="20"/>
                <w:szCs w:val="20"/>
              </w:rPr>
            </w:pPr>
            <w:r w:rsidRPr="00605DCD">
              <w:rPr>
                <w:rFonts w:cs="Times New Roman"/>
                <w:sz w:val="20"/>
                <w:szCs w:val="20"/>
              </w:rPr>
              <w:t>1.6 EC</w:t>
            </w:r>
          </w:p>
        </w:tc>
        <w:tc>
          <w:tcPr>
            <w:tcW w:w="4860" w:type="dxa"/>
            <w:gridSpan w:val="2"/>
            <w:tcBorders>
              <w:top w:val="nil"/>
              <w:left w:val="nil"/>
              <w:bottom w:val="single" w:sz="4" w:space="0" w:color="auto"/>
              <w:right w:val="nil"/>
            </w:tcBorders>
            <w:vAlign w:val="bottom"/>
          </w:tcPr>
          <w:p w14:paraId="4DC3524D" w14:textId="77777777" w:rsidR="001D3D0F" w:rsidRPr="00605DCD" w:rsidRDefault="001D3D0F" w:rsidP="00D56C61">
            <w:pPr>
              <w:jc w:val="center"/>
              <w:rPr>
                <w:rFonts w:cs="Times New Roman"/>
                <w:sz w:val="20"/>
                <w:szCs w:val="20"/>
              </w:rPr>
            </w:pPr>
            <w:r w:rsidRPr="00605DCD">
              <w:rPr>
                <w:rFonts w:cs="Times New Roman"/>
                <w:sz w:val="20"/>
                <w:szCs w:val="20"/>
              </w:rPr>
              <w:t>Arysta Lifescience North America LLC; Cary, NC</w:t>
            </w:r>
          </w:p>
        </w:tc>
      </w:tr>
    </w:tbl>
    <w:p w14:paraId="03824083" w14:textId="77777777" w:rsidR="001D3D0F" w:rsidRDefault="001D3D0F" w:rsidP="001D3D0F">
      <w:pPr>
        <w:rPr>
          <w:rFonts w:cs="Times New Roman"/>
          <w:sz w:val="20"/>
          <w:szCs w:val="20"/>
        </w:rPr>
      </w:pPr>
      <w:proofErr w:type="gramStart"/>
      <w:r w:rsidRPr="00605DCD">
        <w:rPr>
          <w:rFonts w:cs="Times New Roman"/>
          <w:sz w:val="20"/>
          <w:szCs w:val="20"/>
          <w:vertAlign w:val="superscript"/>
        </w:rPr>
        <w:t>a</w:t>
      </w:r>
      <w:r w:rsidRPr="00605DCD">
        <w:rPr>
          <w:rFonts w:cs="Times New Roman"/>
          <w:sz w:val="20"/>
          <w:szCs w:val="20"/>
        </w:rPr>
        <w:t>Safeners</w:t>
      </w:r>
      <w:proofErr w:type="gramEnd"/>
      <w:r w:rsidRPr="00605DCD">
        <w:rPr>
          <w:rFonts w:cs="Times New Roman"/>
          <w:sz w:val="20"/>
          <w:szCs w:val="20"/>
        </w:rPr>
        <w:t xml:space="preserve"> were applied with non-ionic surfactant at 0.25% v/v.</w:t>
      </w:r>
    </w:p>
    <w:p w14:paraId="36F192D2" w14:textId="77777777" w:rsidR="001D3D0F" w:rsidRDefault="001D3D0F" w:rsidP="001D3D0F">
      <w:pPr>
        <w:rPr>
          <w:rFonts w:cs="Times New Roman"/>
          <w:sz w:val="20"/>
          <w:szCs w:val="20"/>
        </w:rPr>
      </w:pPr>
      <w:r>
        <w:rPr>
          <w:rFonts w:cs="Times New Roman"/>
          <w:sz w:val="20"/>
          <w:szCs w:val="20"/>
        </w:rPr>
        <w:br w:type="page"/>
      </w:r>
    </w:p>
    <w:p w14:paraId="6C9A42BA" w14:textId="77777777" w:rsidR="001D3D0F" w:rsidRPr="00605DCD" w:rsidRDefault="001D3D0F" w:rsidP="000E693C">
      <w:pPr>
        <w:rPr>
          <w:rFonts w:cs="Times New Roman"/>
        </w:rPr>
      </w:pPr>
      <w:r w:rsidRPr="00051F58">
        <w:rPr>
          <w:rFonts w:cs="Times New Roman"/>
          <w:b/>
        </w:rPr>
        <w:lastRenderedPageBreak/>
        <w:t xml:space="preserve">Table </w:t>
      </w:r>
      <w:r w:rsidR="00823063" w:rsidRPr="00051F58">
        <w:rPr>
          <w:rFonts w:cs="Times New Roman"/>
          <w:b/>
        </w:rPr>
        <w:t>2.</w:t>
      </w:r>
      <w:r w:rsidRPr="00051F58">
        <w:rPr>
          <w:rFonts w:cs="Times New Roman"/>
          <w:b/>
        </w:rPr>
        <w:t>2.</w:t>
      </w:r>
      <w:r w:rsidRPr="00605DCD">
        <w:rPr>
          <w:rFonts w:cs="Times New Roman"/>
        </w:rPr>
        <w:t xml:space="preserve"> ‘Penncross’ creeping bentgrass</w:t>
      </w:r>
      <w:r>
        <w:rPr>
          <w:rFonts w:cs="Times New Roman"/>
        </w:rPr>
        <w:t xml:space="preserve"> injury and clipping yield after pinoxaden application</w:t>
      </w:r>
      <w:r w:rsidRPr="00605DCD">
        <w:rPr>
          <w:rFonts w:cs="Times New Roman"/>
        </w:rPr>
        <w:t xml:space="preserve"> in a glasshouse in Knoxville, TN in 2013</w:t>
      </w:r>
      <w:r>
        <w:rPr>
          <w:rFonts w:cs="Times New Roman"/>
        </w:rPr>
        <w:t>. Pinoxaden was applied at 90 g ha</w:t>
      </w:r>
      <w:r w:rsidRPr="007B6691">
        <w:rPr>
          <w:rFonts w:cs="Times New Roman"/>
          <w:vertAlign w:val="superscript"/>
        </w:rPr>
        <w:t>-1</w:t>
      </w:r>
      <w:r>
        <w:rPr>
          <w:rFonts w:cs="Times New Roman"/>
        </w:rPr>
        <w:t xml:space="preserve">. Safeners were applied </w:t>
      </w:r>
      <w:r w:rsidRPr="00605DCD">
        <w:rPr>
          <w:rFonts w:cs="Times New Roman"/>
        </w:rPr>
        <w:t xml:space="preserve">at </w:t>
      </w:r>
      <w:r>
        <w:rPr>
          <w:rFonts w:cs="Times New Roman"/>
        </w:rPr>
        <w:t>450</w:t>
      </w:r>
      <w:r w:rsidRPr="00605DCD">
        <w:rPr>
          <w:rFonts w:cs="Times New Roman"/>
        </w:rPr>
        <w:t xml:space="preserve"> g ha</w:t>
      </w:r>
      <w:r w:rsidRPr="00605DCD">
        <w:rPr>
          <w:rFonts w:cs="Times New Roman"/>
          <w:vertAlign w:val="superscript"/>
        </w:rPr>
        <w:t>-1</w:t>
      </w:r>
      <w:r>
        <w:rPr>
          <w:rFonts w:cs="Times New Roman"/>
        </w:rPr>
        <w:t xml:space="preserve"> 30 min</w:t>
      </w:r>
      <w:r w:rsidRPr="00605DCD">
        <w:rPr>
          <w:rFonts w:cs="Times New Roman"/>
        </w:rPr>
        <w:t xml:space="preserve">s prior to </w:t>
      </w:r>
      <w:r>
        <w:rPr>
          <w:rFonts w:cs="Times New Roman"/>
        </w:rPr>
        <w:t>pinoxaden</w:t>
      </w:r>
      <w:r w:rsidRPr="00605DCD">
        <w:rPr>
          <w:rFonts w:cs="Times New Roman"/>
        </w:rPr>
        <w:t>.</w:t>
      </w:r>
      <w:r>
        <w:rPr>
          <w:rFonts w:cs="Times New Roman"/>
        </w:rPr>
        <w:t xml:space="preserve"> Creeping bentgrass visual injury was evaluated 2 WAT on a 0 (no injury) to 100% (complete control) scale. Clippings were collected 3 WAT, dried, weighed and transformed to a percentage of the non-treated control.</w:t>
      </w:r>
    </w:p>
    <w:tbl>
      <w:tblPr>
        <w:tblW w:w="5490" w:type="dxa"/>
        <w:jc w:val="center"/>
        <w:tblInd w:w="468" w:type="dxa"/>
        <w:tblLayout w:type="fixed"/>
        <w:tblLook w:val="04A0" w:firstRow="1" w:lastRow="0" w:firstColumn="1" w:lastColumn="0" w:noHBand="0" w:noVBand="1"/>
      </w:tblPr>
      <w:tblGrid>
        <w:gridCol w:w="2070"/>
        <w:gridCol w:w="1440"/>
        <w:gridCol w:w="1980"/>
      </w:tblGrid>
      <w:tr w:rsidR="001D3D0F" w:rsidRPr="00605DCD" w14:paraId="3956E463" w14:textId="77777777">
        <w:trPr>
          <w:jc w:val="center"/>
        </w:trPr>
        <w:tc>
          <w:tcPr>
            <w:tcW w:w="2070" w:type="dxa"/>
            <w:tcBorders>
              <w:top w:val="nil"/>
              <w:left w:val="nil"/>
              <w:bottom w:val="single" w:sz="4" w:space="0" w:color="auto"/>
              <w:right w:val="nil"/>
            </w:tcBorders>
            <w:vAlign w:val="bottom"/>
          </w:tcPr>
          <w:p w14:paraId="74FEBB80" w14:textId="77777777" w:rsidR="001D3D0F" w:rsidRPr="00605DCD" w:rsidRDefault="001D3D0F" w:rsidP="00D56C61">
            <w:pPr>
              <w:jc w:val="center"/>
              <w:rPr>
                <w:rFonts w:cs="Times New Roman"/>
                <w:sz w:val="20"/>
                <w:szCs w:val="20"/>
              </w:rPr>
            </w:pPr>
          </w:p>
        </w:tc>
        <w:tc>
          <w:tcPr>
            <w:tcW w:w="1440" w:type="dxa"/>
            <w:tcBorders>
              <w:top w:val="nil"/>
              <w:left w:val="nil"/>
              <w:bottom w:val="single" w:sz="4" w:space="0" w:color="auto"/>
              <w:right w:val="nil"/>
            </w:tcBorders>
          </w:tcPr>
          <w:p w14:paraId="6B6C06EC" w14:textId="77777777" w:rsidR="001D3D0F" w:rsidRPr="00605DCD" w:rsidRDefault="001D3D0F" w:rsidP="00D56C61">
            <w:pPr>
              <w:jc w:val="center"/>
              <w:rPr>
                <w:rFonts w:cs="Times New Roman"/>
                <w:sz w:val="20"/>
                <w:szCs w:val="20"/>
              </w:rPr>
            </w:pPr>
          </w:p>
        </w:tc>
        <w:tc>
          <w:tcPr>
            <w:tcW w:w="1980" w:type="dxa"/>
            <w:tcBorders>
              <w:top w:val="nil"/>
              <w:left w:val="nil"/>
              <w:bottom w:val="single" w:sz="4" w:space="0" w:color="auto"/>
              <w:right w:val="nil"/>
            </w:tcBorders>
          </w:tcPr>
          <w:p w14:paraId="2A527B74" w14:textId="77777777" w:rsidR="001D3D0F" w:rsidRPr="00605DCD" w:rsidRDefault="001D3D0F" w:rsidP="00D56C61">
            <w:pPr>
              <w:jc w:val="center"/>
              <w:rPr>
                <w:rFonts w:cs="Times New Roman"/>
                <w:sz w:val="20"/>
                <w:szCs w:val="20"/>
              </w:rPr>
            </w:pPr>
          </w:p>
        </w:tc>
      </w:tr>
      <w:tr w:rsidR="001D3D0F" w:rsidRPr="00605DCD" w14:paraId="066B1A26" w14:textId="77777777">
        <w:trPr>
          <w:jc w:val="center"/>
        </w:trPr>
        <w:tc>
          <w:tcPr>
            <w:tcW w:w="2070" w:type="dxa"/>
            <w:tcBorders>
              <w:top w:val="single" w:sz="4" w:space="0" w:color="auto"/>
              <w:left w:val="nil"/>
              <w:bottom w:val="single" w:sz="4" w:space="0" w:color="auto"/>
              <w:right w:val="nil"/>
            </w:tcBorders>
            <w:vAlign w:val="bottom"/>
          </w:tcPr>
          <w:p w14:paraId="55847C3C" w14:textId="77777777" w:rsidR="001D3D0F" w:rsidRPr="00605DCD" w:rsidRDefault="001D3D0F" w:rsidP="00D56C61">
            <w:pPr>
              <w:jc w:val="center"/>
              <w:rPr>
                <w:rFonts w:cs="Times New Roman"/>
                <w:sz w:val="20"/>
                <w:szCs w:val="20"/>
              </w:rPr>
            </w:pPr>
            <w:r>
              <w:rPr>
                <w:rFonts w:cs="Times New Roman"/>
                <w:sz w:val="20"/>
                <w:szCs w:val="20"/>
              </w:rPr>
              <w:t>Safener</w:t>
            </w:r>
          </w:p>
        </w:tc>
        <w:tc>
          <w:tcPr>
            <w:tcW w:w="1440" w:type="dxa"/>
            <w:tcBorders>
              <w:top w:val="single" w:sz="4" w:space="0" w:color="auto"/>
              <w:left w:val="nil"/>
              <w:bottom w:val="single" w:sz="4" w:space="0" w:color="auto"/>
              <w:right w:val="nil"/>
            </w:tcBorders>
            <w:vAlign w:val="bottom"/>
          </w:tcPr>
          <w:p w14:paraId="55E67BA5" w14:textId="77777777" w:rsidR="001D3D0F" w:rsidRDefault="001D3D0F" w:rsidP="00D56C61">
            <w:pPr>
              <w:jc w:val="center"/>
              <w:rPr>
                <w:rFonts w:cs="Times New Roman"/>
                <w:sz w:val="20"/>
                <w:szCs w:val="20"/>
              </w:rPr>
            </w:pPr>
            <w:r>
              <w:rPr>
                <w:rFonts w:cs="Times New Roman"/>
                <w:sz w:val="20"/>
                <w:szCs w:val="20"/>
              </w:rPr>
              <w:t>Injury</w:t>
            </w:r>
          </w:p>
          <w:p w14:paraId="569EF492" w14:textId="57362458" w:rsidR="00E97C52" w:rsidRPr="00605DCD" w:rsidRDefault="00E97C52" w:rsidP="00D56C61">
            <w:pPr>
              <w:jc w:val="center"/>
              <w:rPr>
                <w:rFonts w:cs="Times New Roman"/>
                <w:sz w:val="20"/>
                <w:szCs w:val="20"/>
              </w:rPr>
            </w:pPr>
            <w:r>
              <w:rPr>
                <w:rFonts w:cs="Times New Roman"/>
                <w:sz w:val="20"/>
                <w:szCs w:val="20"/>
              </w:rPr>
              <w:t>(2 WAT</w:t>
            </w:r>
            <w:r w:rsidRPr="00E97C52">
              <w:rPr>
                <w:rFonts w:cs="Times New Roman"/>
                <w:sz w:val="20"/>
                <w:szCs w:val="20"/>
                <w:vertAlign w:val="superscript"/>
              </w:rPr>
              <w:t>b</w:t>
            </w:r>
            <w:r>
              <w:rPr>
                <w:rFonts w:cs="Times New Roman"/>
                <w:sz w:val="20"/>
                <w:szCs w:val="20"/>
              </w:rPr>
              <w:t>)</w:t>
            </w:r>
          </w:p>
        </w:tc>
        <w:tc>
          <w:tcPr>
            <w:tcW w:w="1980" w:type="dxa"/>
            <w:tcBorders>
              <w:top w:val="single" w:sz="4" w:space="0" w:color="auto"/>
              <w:left w:val="nil"/>
              <w:bottom w:val="single" w:sz="4" w:space="0" w:color="auto"/>
              <w:right w:val="nil"/>
            </w:tcBorders>
            <w:vAlign w:val="bottom"/>
          </w:tcPr>
          <w:p w14:paraId="6CE43341" w14:textId="77777777" w:rsidR="001D3D0F" w:rsidRDefault="001D3D0F" w:rsidP="00D56C61">
            <w:pPr>
              <w:jc w:val="center"/>
              <w:rPr>
                <w:rFonts w:cs="Times New Roman"/>
                <w:sz w:val="20"/>
                <w:szCs w:val="20"/>
              </w:rPr>
            </w:pPr>
            <w:r>
              <w:rPr>
                <w:rFonts w:cs="Times New Roman"/>
                <w:sz w:val="20"/>
                <w:szCs w:val="20"/>
              </w:rPr>
              <w:t>Clipping yield</w:t>
            </w:r>
          </w:p>
          <w:p w14:paraId="2B1958A9" w14:textId="098F3D7A" w:rsidR="00E97C52" w:rsidRPr="00605DCD" w:rsidRDefault="00E97C52" w:rsidP="00D56C61">
            <w:pPr>
              <w:jc w:val="center"/>
              <w:rPr>
                <w:rFonts w:cs="Times New Roman"/>
                <w:sz w:val="20"/>
                <w:szCs w:val="20"/>
              </w:rPr>
            </w:pPr>
            <w:r>
              <w:rPr>
                <w:rFonts w:cs="Times New Roman"/>
                <w:sz w:val="20"/>
                <w:szCs w:val="20"/>
              </w:rPr>
              <w:t>(3 WAT)</w:t>
            </w:r>
          </w:p>
        </w:tc>
      </w:tr>
      <w:tr w:rsidR="001D3D0F" w:rsidRPr="00605DCD" w14:paraId="0A4C5613" w14:textId="77777777">
        <w:trPr>
          <w:jc w:val="center"/>
        </w:trPr>
        <w:tc>
          <w:tcPr>
            <w:tcW w:w="2070" w:type="dxa"/>
            <w:tcBorders>
              <w:top w:val="single" w:sz="4" w:space="0" w:color="auto"/>
              <w:left w:val="nil"/>
              <w:bottom w:val="nil"/>
              <w:right w:val="nil"/>
            </w:tcBorders>
            <w:vAlign w:val="bottom"/>
          </w:tcPr>
          <w:p w14:paraId="55D6D39C" w14:textId="77777777" w:rsidR="001D3D0F" w:rsidRPr="00605DCD" w:rsidRDefault="001D3D0F" w:rsidP="00D56C61">
            <w:pPr>
              <w:jc w:val="center"/>
              <w:rPr>
                <w:rFonts w:cs="Times New Roman"/>
                <w:sz w:val="20"/>
                <w:szCs w:val="20"/>
              </w:rPr>
            </w:pPr>
          </w:p>
        </w:tc>
        <w:tc>
          <w:tcPr>
            <w:tcW w:w="1440" w:type="dxa"/>
            <w:tcBorders>
              <w:top w:val="single" w:sz="4" w:space="0" w:color="auto"/>
              <w:left w:val="nil"/>
              <w:bottom w:val="nil"/>
              <w:right w:val="nil"/>
            </w:tcBorders>
          </w:tcPr>
          <w:p w14:paraId="2D80DD2B" w14:textId="77777777" w:rsidR="001D3D0F" w:rsidRPr="00605DCD" w:rsidRDefault="001D3D0F" w:rsidP="00D56C61">
            <w:pPr>
              <w:jc w:val="center"/>
              <w:rPr>
                <w:rFonts w:cs="Times New Roman"/>
                <w:sz w:val="20"/>
                <w:szCs w:val="20"/>
              </w:rPr>
            </w:pPr>
            <w:r>
              <w:rPr>
                <w:rFonts w:cs="Times New Roman"/>
                <w:sz w:val="20"/>
                <w:szCs w:val="20"/>
                <w:vertAlign w:val="superscript"/>
              </w:rPr>
              <w:t>_</w:t>
            </w:r>
            <w:r w:rsidRPr="008B621B">
              <w:rPr>
                <w:rFonts w:cs="Times New Roman"/>
                <w:sz w:val="20"/>
                <w:szCs w:val="20"/>
                <w:vertAlign w:val="superscript"/>
              </w:rPr>
              <w:t>_</w:t>
            </w:r>
            <w:r>
              <w:rPr>
                <w:rFonts w:cs="Times New Roman"/>
                <w:sz w:val="20"/>
                <w:szCs w:val="20"/>
              </w:rPr>
              <w:t>%</w:t>
            </w:r>
            <w:r w:rsidRPr="008B621B">
              <w:rPr>
                <w:rFonts w:cs="Times New Roman"/>
                <w:sz w:val="20"/>
                <w:szCs w:val="20"/>
                <w:vertAlign w:val="superscript"/>
              </w:rPr>
              <w:t>_</w:t>
            </w:r>
            <w:r>
              <w:rPr>
                <w:rFonts w:cs="Times New Roman"/>
                <w:sz w:val="20"/>
                <w:szCs w:val="20"/>
                <w:vertAlign w:val="superscript"/>
              </w:rPr>
              <w:t>_</w:t>
            </w:r>
          </w:p>
        </w:tc>
        <w:tc>
          <w:tcPr>
            <w:tcW w:w="1980" w:type="dxa"/>
            <w:tcBorders>
              <w:top w:val="single" w:sz="4" w:space="0" w:color="auto"/>
              <w:left w:val="nil"/>
              <w:bottom w:val="nil"/>
              <w:right w:val="nil"/>
            </w:tcBorders>
          </w:tcPr>
          <w:p w14:paraId="43B177C3" w14:textId="77777777" w:rsidR="001D3D0F" w:rsidRPr="00605DCD" w:rsidRDefault="001D3D0F" w:rsidP="00D56C61">
            <w:pPr>
              <w:jc w:val="center"/>
              <w:rPr>
                <w:rFonts w:cs="Times New Roman"/>
                <w:sz w:val="20"/>
                <w:szCs w:val="20"/>
              </w:rPr>
            </w:pPr>
            <w:r w:rsidRPr="008B621B">
              <w:rPr>
                <w:rFonts w:cs="Times New Roman"/>
                <w:sz w:val="20"/>
                <w:szCs w:val="20"/>
                <w:vertAlign w:val="superscript"/>
              </w:rPr>
              <w:t>__</w:t>
            </w:r>
            <w:r>
              <w:rPr>
                <w:rFonts w:cs="Times New Roman"/>
                <w:sz w:val="20"/>
                <w:szCs w:val="20"/>
              </w:rPr>
              <w:t xml:space="preserve">% </w:t>
            </w:r>
            <w:proofErr w:type="gramStart"/>
            <w:r>
              <w:rPr>
                <w:rFonts w:cs="Times New Roman"/>
                <w:sz w:val="20"/>
                <w:szCs w:val="20"/>
              </w:rPr>
              <w:t>of</w:t>
            </w:r>
            <w:proofErr w:type="gramEnd"/>
            <w:r>
              <w:rPr>
                <w:rFonts w:cs="Times New Roman"/>
                <w:sz w:val="20"/>
                <w:szCs w:val="20"/>
              </w:rPr>
              <w:t xml:space="preserve"> non-treated</w:t>
            </w:r>
            <w:r w:rsidRPr="008B621B">
              <w:rPr>
                <w:rFonts w:cs="Times New Roman"/>
                <w:sz w:val="20"/>
                <w:szCs w:val="20"/>
                <w:vertAlign w:val="superscript"/>
              </w:rPr>
              <w:t>__</w:t>
            </w:r>
          </w:p>
        </w:tc>
      </w:tr>
      <w:tr w:rsidR="001D3D0F" w:rsidRPr="00605DCD" w14:paraId="7EFEF514" w14:textId="77777777">
        <w:trPr>
          <w:jc w:val="center"/>
        </w:trPr>
        <w:tc>
          <w:tcPr>
            <w:tcW w:w="2070" w:type="dxa"/>
            <w:tcBorders>
              <w:top w:val="nil"/>
              <w:left w:val="nil"/>
              <w:bottom w:val="nil"/>
              <w:right w:val="nil"/>
            </w:tcBorders>
            <w:vAlign w:val="bottom"/>
          </w:tcPr>
          <w:p w14:paraId="2D8ECF66" w14:textId="77777777" w:rsidR="001D3D0F" w:rsidRPr="00605DCD" w:rsidRDefault="001D3D0F" w:rsidP="00D56C61">
            <w:pPr>
              <w:jc w:val="center"/>
              <w:rPr>
                <w:rFonts w:cs="Times New Roman"/>
                <w:sz w:val="20"/>
                <w:szCs w:val="20"/>
              </w:rPr>
            </w:pPr>
            <w:r w:rsidRPr="00605DCD">
              <w:rPr>
                <w:rFonts w:cs="Times New Roman"/>
                <w:sz w:val="20"/>
                <w:szCs w:val="20"/>
              </w:rPr>
              <w:t>Naphthalic anhydride</w:t>
            </w:r>
            <w:r w:rsidRPr="00605DCD">
              <w:rPr>
                <w:rFonts w:cs="Times New Roman"/>
                <w:sz w:val="20"/>
                <w:szCs w:val="20"/>
                <w:vertAlign w:val="superscript"/>
              </w:rPr>
              <w:t>a</w:t>
            </w:r>
          </w:p>
        </w:tc>
        <w:tc>
          <w:tcPr>
            <w:tcW w:w="1440" w:type="dxa"/>
            <w:tcBorders>
              <w:top w:val="nil"/>
              <w:left w:val="nil"/>
              <w:bottom w:val="nil"/>
              <w:right w:val="nil"/>
            </w:tcBorders>
          </w:tcPr>
          <w:p w14:paraId="5AB7543E" w14:textId="77777777" w:rsidR="001D3D0F" w:rsidRPr="00605DCD" w:rsidRDefault="001D3D0F" w:rsidP="00D56C61">
            <w:pPr>
              <w:jc w:val="center"/>
              <w:rPr>
                <w:rFonts w:cs="Times New Roman"/>
                <w:sz w:val="20"/>
                <w:szCs w:val="20"/>
              </w:rPr>
            </w:pPr>
            <w:r>
              <w:rPr>
                <w:rFonts w:cs="Times New Roman"/>
                <w:sz w:val="20"/>
                <w:szCs w:val="20"/>
              </w:rPr>
              <w:t>8</w:t>
            </w:r>
          </w:p>
        </w:tc>
        <w:tc>
          <w:tcPr>
            <w:tcW w:w="1980" w:type="dxa"/>
            <w:tcBorders>
              <w:top w:val="nil"/>
              <w:left w:val="nil"/>
              <w:bottom w:val="nil"/>
              <w:right w:val="nil"/>
            </w:tcBorders>
          </w:tcPr>
          <w:p w14:paraId="4627C6B5" w14:textId="77777777" w:rsidR="001D3D0F" w:rsidRPr="00605DCD" w:rsidRDefault="001D3D0F" w:rsidP="00D56C61">
            <w:pPr>
              <w:jc w:val="center"/>
              <w:rPr>
                <w:rFonts w:cs="Times New Roman"/>
                <w:sz w:val="20"/>
                <w:szCs w:val="20"/>
              </w:rPr>
            </w:pPr>
            <w:r>
              <w:rPr>
                <w:rFonts w:cs="Times New Roman"/>
                <w:sz w:val="20"/>
                <w:szCs w:val="20"/>
              </w:rPr>
              <w:t>95</w:t>
            </w:r>
          </w:p>
        </w:tc>
      </w:tr>
      <w:tr w:rsidR="001D3D0F" w:rsidRPr="00605DCD" w14:paraId="6241CBFE" w14:textId="77777777">
        <w:trPr>
          <w:jc w:val="center"/>
        </w:trPr>
        <w:tc>
          <w:tcPr>
            <w:tcW w:w="2070" w:type="dxa"/>
            <w:tcBorders>
              <w:top w:val="nil"/>
              <w:left w:val="nil"/>
              <w:bottom w:val="nil"/>
              <w:right w:val="nil"/>
            </w:tcBorders>
            <w:vAlign w:val="bottom"/>
          </w:tcPr>
          <w:p w14:paraId="160CEC9D" w14:textId="77777777" w:rsidR="001D3D0F" w:rsidRPr="00605DCD" w:rsidRDefault="001D3D0F" w:rsidP="00D56C61">
            <w:pPr>
              <w:jc w:val="center"/>
              <w:rPr>
                <w:rFonts w:cs="Times New Roman"/>
                <w:sz w:val="20"/>
                <w:szCs w:val="20"/>
              </w:rPr>
            </w:pPr>
            <w:r w:rsidRPr="00605DCD">
              <w:rPr>
                <w:rFonts w:cs="Times New Roman"/>
                <w:sz w:val="20"/>
                <w:szCs w:val="20"/>
              </w:rPr>
              <w:t>Isoxadifen-ethyl</w:t>
            </w:r>
          </w:p>
        </w:tc>
        <w:tc>
          <w:tcPr>
            <w:tcW w:w="1440" w:type="dxa"/>
            <w:tcBorders>
              <w:top w:val="nil"/>
              <w:left w:val="nil"/>
              <w:bottom w:val="nil"/>
              <w:right w:val="nil"/>
            </w:tcBorders>
          </w:tcPr>
          <w:p w14:paraId="08DE0FB1" w14:textId="77777777" w:rsidR="001D3D0F" w:rsidRPr="00605DCD" w:rsidRDefault="001D3D0F" w:rsidP="00D56C61">
            <w:pPr>
              <w:jc w:val="center"/>
              <w:rPr>
                <w:rFonts w:cs="Times New Roman"/>
                <w:sz w:val="20"/>
                <w:szCs w:val="20"/>
              </w:rPr>
            </w:pPr>
            <w:r>
              <w:rPr>
                <w:rFonts w:cs="Times New Roman"/>
                <w:sz w:val="20"/>
                <w:szCs w:val="20"/>
              </w:rPr>
              <w:t>7</w:t>
            </w:r>
          </w:p>
        </w:tc>
        <w:tc>
          <w:tcPr>
            <w:tcW w:w="1980" w:type="dxa"/>
            <w:tcBorders>
              <w:top w:val="nil"/>
              <w:left w:val="nil"/>
              <w:bottom w:val="nil"/>
              <w:right w:val="nil"/>
            </w:tcBorders>
          </w:tcPr>
          <w:p w14:paraId="4A0CA5CF" w14:textId="77777777" w:rsidR="001D3D0F" w:rsidRPr="00605DCD" w:rsidRDefault="001D3D0F" w:rsidP="00D56C61">
            <w:pPr>
              <w:jc w:val="center"/>
              <w:rPr>
                <w:rFonts w:cs="Times New Roman"/>
                <w:sz w:val="20"/>
                <w:szCs w:val="20"/>
              </w:rPr>
            </w:pPr>
            <w:r>
              <w:rPr>
                <w:rFonts w:cs="Times New Roman"/>
                <w:sz w:val="20"/>
                <w:szCs w:val="20"/>
              </w:rPr>
              <w:t>90</w:t>
            </w:r>
          </w:p>
        </w:tc>
      </w:tr>
      <w:tr w:rsidR="001D3D0F" w:rsidRPr="00605DCD" w14:paraId="6315BEEF" w14:textId="77777777">
        <w:trPr>
          <w:jc w:val="center"/>
        </w:trPr>
        <w:tc>
          <w:tcPr>
            <w:tcW w:w="2070" w:type="dxa"/>
            <w:tcBorders>
              <w:top w:val="nil"/>
              <w:left w:val="nil"/>
              <w:bottom w:val="nil"/>
              <w:right w:val="nil"/>
            </w:tcBorders>
            <w:vAlign w:val="bottom"/>
          </w:tcPr>
          <w:p w14:paraId="113BA84B" w14:textId="77777777" w:rsidR="001D3D0F" w:rsidRPr="00605DCD" w:rsidRDefault="001D3D0F" w:rsidP="00D56C61">
            <w:pPr>
              <w:jc w:val="center"/>
              <w:rPr>
                <w:rFonts w:cs="Times New Roman"/>
                <w:sz w:val="20"/>
                <w:szCs w:val="20"/>
              </w:rPr>
            </w:pPr>
            <w:r w:rsidRPr="00605DCD">
              <w:rPr>
                <w:rFonts w:cs="Times New Roman"/>
                <w:sz w:val="20"/>
                <w:szCs w:val="20"/>
              </w:rPr>
              <w:t>Benoxacor</w:t>
            </w:r>
          </w:p>
        </w:tc>
        <w:tc>
          <w:tcPr>
            <w:tcW w:w="1440" w:type="dxa"/>
            <w:tcBorders>
              <w:top w:val="nil"/>
              <w:left w:val="nil"/>
              <w:bottom w:val="nil"/>
              <w:right w:val="nil"/>
            </w:tcBorders>
          </w:tcPr>
          <w:p w14:paraId="38B3F0A1" w14:textId="77777777" w:rsidR="001D3D0F" w:rsidRPr="00605DCD" w:rsidRDefault="001D3D0F" w:rsidP="00D56C61">
            <w:pPr>
              <w:jc w:val="center"/>
              <w:rPr>
                <w:rFonts w:cs="Times New Roman"/>
                <w:sz w:val="20"/>
                <w:szCs w:val="20"/>
              </w:rPr>
            </w:pPr>
            <w:r>
              <w:rPr>
                <w:rFonts w:cs="Times New Roman"/>
                <w:sz w:val="20"/>
                <w:szCs w:val="20"/>
              </w:rPr>
              <w:t>8</w:t>
            </w:r>
          </w:p>
        </w:tc>
        <w:tc>
          <w:tcPr>
            <w:tcW w:w="1980" w:type="dxa"/>
            <w:tcBorders>
              <w:top w:val="nil"/>
              <w:left w:val="nil"/>
              <w:bottom w:val="nil"/>
              <w:right w:val="nil"/>
            </w:tcBorders>
          </w:tcPr>
          <w:p w14:paraId="6A2330D8" w14:textId="77777777" w:rsidR="001D3D0F" w:rsidRPr="00605DCD" w:rsidRDefault="001D3D0F" w:rsidP="00D56C61">
            <w:pPr>
              <w:jc w:val="center"/>
              <w:rPr>
                <w:rFonts w:cs="Times New Roman"/>
                <w:sz w:val="20"/>
                <w:szCs w:val="20"/>
              </w:rPr>
            </w:pPr>
            <w:r>
              <w:rPr>
                <w:rFonts w:cs="Times New Roman"/>
                <w:sz w:val="20"/>
                <w:szCs w:val="20"/>
              </w:rPr>
              <w:t>75</w:t>
            </w:r>
          </w:p>
        </w:tc>
      </w:tr>
      <w:tr w:rsidR="001D3D0F" w:rsidRPr="00605DCD" w14:paraId="26D891A2" w14:textId="77777777">
        <w:trPr>
          <w:jc w:val="center"/>
        </w:trPr>
        <w:tc>
          <w:tcPr>
            <w:tcW w:w="2070" w:type="dxa"/>
            <w:tcBorders>
              <w:top w:val="nil"/>
              <w:left w:val="nil"/>
              <w:bottom w:val="nil"/>
              <w:right w:val="nil"/>
            </w:tcBorders>
            <w:vAlign w:val="bottom"/>
          </w:tcPr>
          <w:p w14:paraId="544AC950" w14:textId="77777777" w:rsidR="001D3D0F" w:rsidRPr="00605DCD" w:rsidRDefault="001D3D0F" w:rsidP="00D56C61">
            <w:pPr>
              <w:jc w:val="center"/>
              <w:rPr>
                <w:rFonts w:cs="Times New Roman"/>
                <w:sz w:val="20"/>
                <w:szCs w:val="20"/>
              </w:rPr>
            </w:pPr>
            <w:r w:rsidRPr="00605DCD">
              <w:rPr>
                <w:rFonts w:cs="Times New Roman"/>
                <w:sz w:val="20"/>
                <w:szCs w:val="20"/>
              </w:rPr>
              <w:t>Cloquintocet-mexyl</w:t>
            </w:r>
          </w:p>
        </w:tc>
        <w:tc>
          <w:tcPr>
            <w:tcW w:w="1440" w:type="dxa"/>
            <w:tcBorders>
              <w:top w:val="nil"/>
              <w:left w:val="nil"/>
              <w:bottom w:val="nil"/>
              <w:right w:val="nil"/>
            </w:tcBorders>
          </w:tcPr>
          <w:p w14:paraId="5419F0E1" w14:textId="77777777" w:rsidR="001D3D0F" w:rsidRPr="00605DCD" w:rsidRDefault="001D3D0F" w:rsidP="00D56C61">
            <w:pPr>
              <w:jc w:val="center"/>
              <w:rPr>
                <w:rFonts w:cs="Times New Roman"/>
                <w:sz w:val="20"/>
                <w:szCs w:val="20"/>
              </w:rPr>
            </w:pPr>
            <w:r>
              <w:rPr>
                <w:rFonts w:cs="Times New Roman"/>
                <w:sz w:val="20"/>
                <w:szCs w:val="20"/>
              </w:rPr>
              <w:t>2</w:t>
            </w:r>
          </w:p>
        </w:tc>
        <w:tc>
          <w:tcPr>
            <w:tcW w:w="1980" w:type="dxa"/>
            <w:tcBorders>
              <w:top w:val="nil"/>
              <w:left w:val="nil"/>
              <w:bottom w:val="nil"/>
              <w:right w:val="nil"/>
            </w:tcBorders>
          </w:tcPr>
          <w:p w14:paraId="023ADA62" w14:textId="77777777" w:rsidR="001D3D0F" w:rsidRPr="00605DCD" w:rsidRDefault="001D3D0F" w:rsidP="00D56C61">
            <w:pPr>
              <w:jc w:val="center"/>
              <w:rPr>
                <w:rFonts w:cs="Times New Roman"/>
                <w:sz w:val="20"/>
                <w:szCs w:val="20"/>
              </w:rPr>
            </w:pPr>
            <w:r>
              <w:rPr>
                <w:rFonts w:cs="Times New Roman"/>
                <w:sz w:val="20"/>
                <w:szCs w:val="20"/>
              </w:rPr>
              <w:t>106</w:t>
            </w:r>
          </w:p>
        </w:tc>
      </w:tr>
      <w:tr w:rsidR="001D3D0F" w:rsidRPr="00605DCD" w14:paraId="152B597D" w14:textId="77777777">
        <w:trPr>
          <w:jc w:val="center"/>
        </w:trPr>
        <w:tc>
          <w:tcPr>
            <w:tcW w:w="2070" w:type="dxa"/>
            <w:tcBorders>
              <w:top w:val="nil"/>
              <w:left w:val="nil"/>
              <w:bottom w:val="nil"/>
              <w:right w:val="nil"/>
            </w:tcBorders>
            <w:vAlign w:val="bottom"/>
          </w:tcPr>
          <w:p w14:paraId="5D57B7E3" w14:textId="77777777" w:rsidR="001D3D0F" w:rsidRPr="00605DCD" w:rsidRDefault="001D3D0F" w:rsidP="00D56C61">
            <w:pPr>
              <w:jc w:val="center"/>
              <w:rPr>
                <w:rFonts w:cs="Times New Roman"/>
                <w:sz w:val="20"/>
                <w:szCs w:val="20"/>
              </w:rPr>
            </w:pPr>
            <w:r w:rsidRPr="00605DCD">
              <w:rPr>
                <w:rFonts w:cs="Times New Roman"/>
                <w:sz w:val="20"/>
                <w:szCs w:val="20"/>
              </w:rPr>
              <w:t>Fenchlorazole-ethyl</w:t>
            </w:r>
          </w:p>
        </w:tc>
        <w:tc>
          <w:tcPr>
            <w:tcW w:w="1440" w:type="dxa"/>
            <w:tcBorders>
              <w:top w:val="nil"/>
              <w:left w:val="nil"/>
              <w:bottom w:val="nil"/>
              <w:right w:val="nil"/>
            </w:tcBorders>
          </w:tcPr>
          <w:p w14:paraId="09366D9D" w14:textId="77777777" w:rsidR="001D3D0F" w:rsidRPr="00605DCD" w:rsidRDefault="001D3D0F" w:rsidP="00D56C61">
            <w:pPr>
              <w:jc w:val="center"/>
              <w:rPr>
                <w:rFonts w:cs="Times New Roman"/>
                <w:sz w:val="20"/>
                <w:szCs w:val="20"/>
              </w:rPr>
            </w:pPr>
            <w:r>
              <w:rPr>
                <w:rFonts w:cs="Times New Roman"/>
                <w:sz w:val="20"/>
                <w:szCs w:val="20"/>
              </w:rPr>
              <w:t>2</w:t>
            </w:r>
          </w:p>
        </w:tc>
        <w:tc>
          <w:tcPr>
            <w:tcW w:w="1980" w:type="dxa"/>
            <w:tcBorders>
              <w:top w:val="nil"/>
              <w:left w:val="nil"/>
              <w:bottom w:val="nil"/>
              <w:right w:val="nil"/>
            </w:tcBorders>
          </w:tcPr>
          <w:p w14:paraId="0817D3F7" w14:textId="77777777" w:rsidR="001D3D0F" w:rsidRPr="00605DCD" w:rsidRDefault="001D3D0F" w:rsidP="00D56C61">
            <w:pPr>
              <w:jc w:val="center"/>
              <w:rPr>
                <w:rFonts w:cs="Times New Roman"/>
                <w:sz w:val="20"/>
                <w:szCs w:val="20"/>
              </w:rPr>
            </w:pPr>
            <w:r>
              <w:rPr>
                <w:rFonts w:cs="Times New Roman"/>
                <w:sz w:val="20"/>
                <w:szCs w:val="20"/>
              </w:rPr>
              <w:t>120</w:t>
            </w:r>
          </w:p>
        </w:tc>
      </w:tr>
      <w:tr w:rsidR="001D3D0F" w:rsidRPr="00605DCD" w14:paraId="132E8AB9" w14:textId="77777777">
        <w:trPr>
          <w:jc w:val="center"/>
        </w:trPr>
        <w:tc>
          <w:tcPr>
            <w:tcW w:w="2070" w:type="dxa"/>
            <w:tcBorders>
              <w:top w:val="nil"/>
              <w:left w:val="nil"/>
              <w:bottom w:val="nil"/>
              <w:right w:val="nil"/>
            </w:tcBorders>
            <w:vAlign w:val="bottom"/>
          </w:tcPr>
          <w:p w14:paraId="3B14D113" w14:textId="77777777" w:rsidR="001D3D0F" w:rsidRPr="00605DCD" w:rsidRDefault="001D3D0F" w:rsidP="00D56C61">
            <w:pPr>
              <w:jc w:val="center"/>
              <w:rPr>
                <w:rFonts w:cs="Times New Roman"/>
                <w:sz w:val="20"/>
                <w:szCs w:val="20"/>
              </w:rPr>
            </w:pPr>
            <w:r>
              <w:rPr>
                <w:rFonts w:cs="Times New Roman"/>
                <w:sz w:val="20"/>
                <w:szCs w:val="20"/>
              </w:rPr>
              <w:t>Mefenpyr-diethyl</w:t>
            </w:r>
          </w:p>
        </w:tc>
        <w:tc>
          <w:tcPr>
            <w:tcW w:w="1440" w:type="dxa"/>
            <w:tcBorders>
              <w:top w:val="nil"/>
              <w:left w:val="nil"/>
              <w:bottom w:val="nil"/>
              <w:right w:val="nil"/>
            </w:tcBorders>
          </w:tcPr>
          <w:p w14:paraId="28A59661" w14:textId="77777777" w:rsidR="001D3D0F" w:rsidRPr="00605DCD" w:rsidRDefault="001D3D0F" w:rsidP="00D56C61">
            <w:pPr>
              <w:jc w:val="center"/>
              <w:rPr>
                <w:rFonts w:cs="Times New Roman"/>
                <w:sz w:val="20"/>
                <w:szCs w:val="20"/>
              </w:rPr>
            </w:pPr>
            <w:r>
              <w:rPr>
                <w:rFonts w:cs="Times New Roman"/>
                <w:sz w:val="20"/>
                <w:szCs w:val="20"/>
              </w:rPr>
              <w:t>3</w:t>
            </w:r>
          </w:p>
        </w:tc>
        <w:tc>
          <w:tcPr>
            <w:tcW w:w="1980" w:type="dxa"/>
            <w:tcBorders>
              <w:top w:val="nil"/>
              <w:left w:val="nil"/>
              <w:bottom w:val="nil"/>
              <w:right w:val="nil"/>
            </w:tcBorders>
          </w:tcPr>
          <w:p w14:paraId="7386BDDC" w14:textId="77777777" w:rsidR="001D3D0F" w:rsidRPr="00605DCD" w:rsidRDefault="001D3D0F" w:rsidP="00D56C61">
            <w:pPr>
              <w:jc w:val="center"/>
              <w:rPr>
                <w:rFonts w:cs="Times New Roman"/>
                <w:sz w:val="20"/>
                <w:szCs w:val="20"/>
              </w:rPr>
            </w:pPr>
            <w:r>
              <w:rPr>
                <w:rFonts w:cs="Times New Roman"/>
                <w:sz w:val="20"/>
                <w:szCs w:val="20"/>
              </w:rPr>
              <w:t>118</w:t>
            </w:r>
          </w:p>
        </w:tc>
      </w:tr>
      <w:tr w:rsidR="001D3D0F" w:rsidRPr="00605DCD" w14:paraId="0263EE3D" w14:textId="77777777">
        <w:trPr>
          <w:jc w:val="center"/>
        </w:trPr>
        <w:tc>
          <w:tcPr>
            <w:tcW w:w="2070" w:type="dxa"/>
            <w:tcBorders>
              <w:top w:val="nil"/>
              <w:left w:val="nil"/>
              <w:bottom w:val="nil"/>
              <w:right w:val="nil"/>
            </w:tcBorders>
            <w:vAlign w:val="bottom"/>
          </w:tcPr>
          <w:p w14:paraId="7B8CA0F6" w14:textId="77777777" w:rsidR="001D3D0F" w:rsidRPr="00605DCD" w:rsidRDefault="001D3D0F" w:rsidP="00D56C61">
            <w:pPr>
              <w:jc w:val="center"/>
              <w:rPr>
                <w:rFonts w:cs="Times New Roman"/>
                <w:sz w:val="20"/>
                <w:szCs w:val="20"/>
              </w:rPr>
            </w:pPr>
            <w:r>
              <w:rPr>
                <w:rFonts w:cs="Times New Roman"/>
                <w:sz w:val="20"/>
                <w:szCs w:val="20"/>
              </w:rPr>
              <w:t>None</w:t>
            </w:r>
          </w:p>
        </w:tc>
        <w:tc>
          <w:tcPr>
            <w:tcW w:w="1440" w:type="dxa"/>
            <w:tcBorders>
              <w:top w:val="nil"/>
              <w:left w:val="nil"/>
              <w:bottom w:val="nil"/>
              <w:right w:val="nil"/>
            </w:tcBorders>
          </w:tcPr>
          <w:p w14:paraId="5D0801B0" w14:textId="77777777" w:rsidR="001D3D0F" w:rsidRPr="00605DCD" w:rsidRDefault="001D3D0F" w:rsidP="00D56C61">
            <w:pPr>
              <w:jc w:val="center"/>
              <w:rPr>
                <w:rFonts w:cs="Times New Roman"/>
                <w:sz w:val="20"/>
                <w:szCs w:val="20"/>
              </w:rPr>
            </w:pPr>
            <w:r>
              <w:rPr>
                <w:rFonts w:cs="Times New Roman"/>
                <w:sz w:val="20"/>
                <w:szCs w:val="20"/>
              </w:rPr>
              <w:t>9</w:t>
            </w:r>
          </w:p>
        </w:tc>
        <w:tc>
          <w:tcPr>
            <w:tcW w:w="1980" w:type="dxa"/>
            <w:tcBorders>
              <w:top w:val="nil"/>
              <w:left w:val="nil"/>
              <w:bottom w:val="nil"/>
              <w:right w:val="nil"/>
            </w:tcBorders>
          </w:tcPr>
          <w:p w14:paraId="1735B4C0" w14:textId="77777777" w:rsidR="001D3D0F" w:rsidRPr="00605DCD" w:rsidRDefault="001D3D0F" w:rsidP="00D56C61">
            <w:pPr>
              <w:jc w:val="center"/>
              <w:rPr>
                <w:rFonts w:cs="Times New Roman"/>
                <w:sz w:val="20"/>
                <w:szCs w:val="20"/>
              </w:rPr>
            </w:pPr>
            <w:r>
              <w:rPr>
                <w:rFonts w:cs="Times New Roman"/>
                <w:sz w:val="20"/>
                <w:szCs w:val="20"/>
              </w:rPr>
              <w:t>70</w:t>
            </w:r>
          </w:p>
        </w:tc>
      </w:tr>
      <w:tr w:rsidR="001D3D0F" w:rsidRPr="00605DCD" w14:paraId="5A2FB21B" w14:textId="77777777">
        <w:trPr>
          <w:jc w:val="center"/>
        </w:trPr>
        <w:tc>
          <w:tcPr>
            <w:tcW w:w="2070" w:type="dxa"/>
            <w:tcBorders>
              <w:top w:val="nil"/>
              <w:left w:val="nil"/>
              <w:bottom w:val="single" w:sz="4" w:space="0" w:color="auto"/>
              <w:right w:val="nil"/>
            </w:tcBorders>
            <w:vAlign w:val="bottom"/>
          </w:tcPr>
          <w:p w14:paraId="4EB74E62" w14:textId="77777777" w:rsidR="001D3D0F" w:rsidRDefault="001D3D0F" w:rsidP="00D56C61">
            <w:pPr>
              <w:jc w:val="right"/>
              <w:rPr>
                <w:rFonts w:cs="Times New Roman"/>
                <w:sz w:val="20"/>
                <w:szCs w:val="20"/>
              </w:rPr>
            </w:pPr>
            <w:r>
              <w:rPr>
                <w:rFonts w:cs="Times New Roman"/>
                <w:sz w:val="20"/>
                <w:szCs w:val="20"/>
              </w:rPr>
              <w:t>LSD</w:t>
            </w:r>
            <w:r w:rsidRPr="000538BF">
              <w:rPr>
                <w:rFonts w:cs="Times New Roman"/>
                <w:sz w:val="20"/>
                <w:szCs w:val="20"/>
                <w:vertAlign w:val="subscript"/>
              </w:rPr>
              <w:t>0.05</w:t>
            </w:r>
          </w:p>
        </w:tc>
        <w:tc>
          <w:tcPr>
            <w:tcW w:w="1440" w:type="dxa"/>
            <w:tcBorders>
              <w:top w:val="nil"/>
              <w:left w:val="nil"/>
              <w:bottom w:val="single" w:sz="4" w:space="0" w:color="auto"/>
              <w:right w:val="nil"/>
            </w:tcBorders>
          </w:tcPr>
          <w:p w14:paraId="6946F698" w14:textId="77777777" w:rsidR="001D3D0F" w:rsidRPr="00605DCD" w:rsidRDefault="001D3D0F" w:rsidP="00D56C61">
            <w:pPr>
              <w:jc w:val="center"/>
              <w:rPr>
                <w:rFonts w:cs="Times New Roman"/>
                <w:sz w:val="20"/>
                <w:szCs w:val="20"/>
              </w:rPr>
            </w:pPr>
            <w:r>
              <w:rPr>
                <w:rFonts w:cs="Times New Roman"/>
                <w:sz w:val="20"/>
                <w:szCs w:val="20"/>
              </w:rPr>
              <w:t>5</w:t>
            </w:r>
          </w:p>
        </w:tc>
        <w:tc>
          <w:tcPr>
            <w:tcW w:w="1980" w:type="dxa"/>
            <w:tcBorders>
              <w:top w:val="nil"/>
              <w:left w:val="nil"/>
              <w:bottom w:val="single" w:sz="4" w:space="0" w:color="auto"/>
              <w:right w:val="nil"/>
            </w:tcBorders>
          </w:tcPr>
          <w:p w14:paraId="626F12C3" w14:textId="77777777" w:rsidR="001D3D0F" w:rsidRPr="00605DCD" w:rsidRDefault="001D3D0F" w:rsidP="00D56C61">
            <w:pPr>
              <w:jc w:val="center"/>
              <w:rPr>
                <w:rFonts w:cs="Times New Roman"/>
                <w:sz w:val="20"/>
                <w:szCs w:val="20"/>
              </w:rPr>
            </w:pPr>
            <w:r>
              <w:rPr>
                <w:rFonts w:cs="Times New Roman"/>
                <w:sz w:val="20"/>
                <w:szCs w:val="20"/>
              </w:rPr>
              <w:t>27</w:t>
            </w:r>
          </w:p>
        </w:tc>
      </w:tr>
    </w:tbl>
    <w:p w14:paraId="531D388E" w14:textId="14116109" w:rsidR="00E97C52" w:rsidRDefault="001D3D0F" w:rsidP="00E97C52">
      <w:pPr>
        <w:spacing w:line="240" w:lineRule="auto"/>
        <w:jc w:val="center"/>
        <w:rPr>
          <w:rFonts w:cs="Times New Roman"/>
          <w:sz w:val="20"/>
          <w:szCs w:val="20"/>
        </w:rPr>
      </w:pPr>
      <w:proofErr w:type="gramStart"/>
      <w:r w:rsidRPr="00605DCD">
        <w:rPr>
          <w:rFonts w:cs="Times New Roman"/>
          <w:sz w:val="20"/>
          <w:szCs w:val="20"/>
          <w:vertAlign w:val="superscript"/>
        </w:rPr>
        <w:t>a</w:t>
      </w:r>
      <w:r>
        <w:rPr>
          <w:rFonts w:cs="Times New Roman"/>
          <w:sz w:val="20"/>
          <w:szCs w:val="20"/>
        </w:rPr>
        <w:t>All</w:t>
      </w:r>
      <w:proofErr w:type="gramEnd"/>
      <w:r>
        <w:rPr>
          <w:rFonts w:cs="Times New Roman"/>
          <w:sz w:val="20"/>
          <w:szCs w:val="20"/>
        </w:rPr>
        <w:t xml:space="preserve"> treatments</w:t>
      </w:r>
      <w:r w:rsidRPr="00605DCD">
        <w:rPr>
          <w:rFonts w:cs="Times New Roman"/>
          <w:sz w:val="20"/>
          <w:szCs w:val="20"/>
        </w:rPr>
        <w:t xml:space="preserve"> were applied with non-ionic surfactant at 0.25% v/v.</w:t>
      </w:r>
    </w:p>
    <w:p w14:paraId="79C4446C" w14:textId="482CF485" w:rsidR="00E97C52" w:rsidRDefault="00E97C52" w:rsidP="00E97C52">
      <w:pPr>
        <w:spacing w:line="240" w:lineRule="auto"/>
        <w:ind w:left="1440" w:firstLine="540"/>
        <w:rPr>
          <w:rFonts w:cs="Times New Roman"/>
          <w:sz w:val="20"/>
          <w:szCs w:val="20"/>
        </w:rPr>
      </w:pPr>
      <w:proofErr w:type="gramStart"/>
      <w:r w:rsidRPr="00E97C52">
        <w:rPr>
          <w:rFonts w:cs="Times New Roman"/>
          <w:sz w:val="20"/>
          <w:szCs w:val="20"/>
          <w:vertAlign w:val="superscript"/>
        </w:rPr>
        <w:t>b</w:t>
      </w:r>
      <w:r>
        <w:rPr>
          <w:rFonts w:cs="Times New Roman"/>
          <w:sz w:val="20"/>
          <w:szCs w:val="20"/>
        </w:rPr>
        <w:t>Abbreviation</w:t>
      </w:r>
      <w:proofErr w:type="gramEnd"/>
      <w:r>
        <w:rPr>
          <w:rFonts w:cs="Times New Roman"/>
          <w:sz w:val="20"/>
          <w:szCs w:val="20"/>
        </w:rPr>
        <w:t>: WAT, weeks after treatment.</w:t>
      </w:r>
    </w:p>
    <w:p w14:paraId="4A5F5438" w14:textId="77777777" w:rsidR="001D3D0F" w:rsidRDefault="001D3D0F" w:rsidP="001D3D0F">
      <w:pPr>
        <w:rPr>
          <w:rFonts w:cs="Times New Roman"/>
          <w:sz w:val="20"/>
          <w:szCs w:val="20"/>
        </w:rPr>
      </w:pPr>
      <w:r>
        <w:rPr>
          <w:rFonts w:cs="Times New Roman"/>
          <w:sz w:val="20"/>
          <w:szCs w:val="20"/>
        </w:rPr>
        <w:br w:type="page"/>
      </w:r>
    </w:p>
    <w:p w14:paraId="462ED511" w14:textId="77777777" w:rsidR="001D3D0F" w:rsidRPr="00605DCD" w:rsidRDefault="001D3D0F" w:rsidP="000E693C">
      <w:pPr>
        <w:rPr>
          <w:rFonts w:cs="Times New Roman"/>
        </w:rPr>
      </w:pPr>
      <w:r w:rsidRPr="00051F58">
        <w:rPr>
          <w:rFonts w:cs="Times New Roman"/>
          <w:b/>
        </w:rPr>
        <w:lastRenderedPageBreak/>
        <w:t xml:space="preserve">Table </w:t>
      </w:r>
      <w:r w:rsidR="00823063" w:rsidRPr="00051F58">
        <w:rPr>
          <w:rFonts w:cs="Times New Roman"/>
          <w:b/>
        </w:rPr>
        <w:t>2.</w:t>
      </w:r>
      <w:r w:rsidRPr="00051F58">
        <w:rPr>
          <w:rFonts w:cs="Times New Roman"/>
          <w:b/>
        </w:rPr>
        <w:t>3.</w:t>
      </w:r>
      <w:r w:rsidRPr="00605DCD">
        <w:rPr>
          <w:rFonts w:cs="Times New Roman"/>
        </w:rPr>
        <w:t xml:space="preserve"> ‘Penncross’ creeping bentgrass</w:t>
      </w:r>
      <w:r>
        <w:rPr>
          <w:rFonts w:cs="Times New Roman"/>
        </w:rPr>
        <w:t xml:space="preserve"> injury and clipping yield after pinoxaden application</w:t>
      </w:r>
      <w:r w:rsidRPr="00605DCD">
        <w:rPr>
          <w:rFonts w:cs="Times New Roman"/>
        </w:rPr>
        <w:t xml:space="preserve"> in a glasshouse in Knoxville, TN in 2013</w:t>
      </w:r>
      <w:r>
        <w:rPr>
          <w:rFonts w:cs="Times New Roman"/>
        </w:rPr>
        <w:t>. The herbicide safeners cloquintocet-mexyl, fenchlorazole-ethyl and mefenpyr-diethyl were applied 30 min</w:t>
      </w:r>
      <w:r w:rsidRPr="00605DCD">
        <w:rPr>
          <w:rFonts w:cs="Times New Roman"/>
        </w:rPr>
        <w:t xml:space="preserve">s prior to </w:t>
      </w:r>
      <w:r>
        <w:rPr>
          <w:rFonts w:cs="Times New Roman"/>
        </w:rPr>
        <w:t>pinoxaden (90 g ha</w:t>
      </w:r>
      <w:r w:rsidRPr="006212E3">
        <w:rPr>
          <w:rFonts w:cs="Times New Roman"/>
          <w:vertAlign w:val="superscript"/>
        </w:rPr>
        <w:t>-1</w:t>
      </w:r>
      <w:r>
        <w:rPr>
          <w:rFonts w:cs="Times New Roman"/>
        </w:rPr>
        <w:t>) application</w:t>
      </w:r>
      <w:r w:rsidRPr="00605DCD">
        <w:rPr>
          <w:rFonts w:cs="Times New Roman"/>
        </w:rPr>
        <w:t xml:space="preserve"> at </w:t>
      </w:r>
      <w:r>
        <w:rPr>
          <w:rFonts w:cs="Times New Roman"/>
          <w:color w:val="000000"/>
        </w:rPr>
        <w:t>450</w:t>
      </w:r>
      <w:r w:rsidRPr="00256D36">
        <w:rPr>
          <w:rFonts w:cs="Times New Roman"/>
          <w:color w:val="000000"/>
        </w:rPr>
        <w:t xml:space="preserve">, </w:t>
      </w:r>
      <w:r>
        <w:rPr>
          <w:rFonts w:cs="Times New Roman"/>
          <w:color w:val="000000"/>
        </w:rPr>
        <w:t>225</w:t>
      </w:r>
      <w:r w:rsidRPr="00256D36">
        <w:rPr>
          <w:rFonts w:cs="Times New Roman"/>
          <w:color w:val="000000"/>
        </w:rPr>
        <w:t xml:space="preserve">, </w:t>
      </w:r>
      <w:r>
        <w:rPr>
          <w:rFonts w:cs="Times New Roman"/>
          <w:color w:val="000000"/>
        </w:rPr>
        <w:t>90</w:t>
      </w:r>
      <w:r w:rsidRPr="00256D36">
        <w:rPr>
          <w:rFonts w:cs="Times New Roman"/>
          <w:color w:val="000000"/>
        </w:rPr>
        <w:t xml:space="preserve">, </w:t>
      </w:r>
      <w:r>
        <w:rPr>
          <w:rFonts w:cs="Times New Roman"/>
          <w:color w:val="000000"/>
        </w:rPr>
        <w:t xml:space="preserve">68, 45 or 23 </w:t>
      </w:r>
      <w:r w:rsidRPr="00605DCD">
        <w:rPr>
          <w:rFonts w:cs="Times New Roman"/>
        </w:rPr>
        <w:t>g ha</w:t>
      </w:r>
      <w:r w:rsidRPr="00605DCD">
        <w:rPr>
          <w:rFonts w:cs="Times New Roman"/>
          <w:vertAlign w:val="superscript"/>
        </w:rPr>
        <w:t>-1</w:t>
      </w:r>
      <w:r w:rsidRPr="00605DCD">
        <w:rPr>
          <w:rFonts w:cs="Times New Roman"/>
        </w:rPr>
        <w:t>.</w:t>
      </w:r>
      <w:r>
        <w:rPr>
          <w:rFonts w:cs="Times New Roman"/>
        </w:rPr>
        <w:t xml:space="preserve"> Creeping bentgrass visual injury was evaluated at 2 WAT on a 0 (no injury) to 100% (complete control) scale. Clippings were collected 3 WAT, dried, weighed and transformed to a percentage of the non-treated control. Data are combined across safener rates.</w:t>
      </w:r>
    </w:p>
    <w:tbl>
      <w:tblPr>
        <w:tblW w:w="5839" w:type="dxa"/>
        <w:jc w:val="center"/>
        <w:tblInd w:w="468" w:type="dxa"/>
        <w:tblLayout w:type="fixed"/>
        <w:tblLook w:val="04A0" w:firstRow="1" w:lastRow="0" w:firstColumn="1" w:lastColumn="0" w:noHBand="0" w:noVBand="1"/>
      </w:tblPr>
      <w:tblGrid>
        <w:gridCol w:w="2070"/>
        <w:gridCol w:w="900"/>
        <w:gridCol w:w="889"/>
        <w:gridCol w:w="990"/>
        <w:gridCol w:w="990"/>
      </w:tblGrid>
      <w:tr w:rsidR="001D3D0F" w:rsidRPr="00605DCD" w14:paraId="0855C10F" w14:textId="77777777">
        <w:trPr>
          <w:jc w:val="center"/>
        </w:trPr>
        <w:tc>
          <w:tcPr>
            <w:tcW w:w="2070" w:type="dxa"/>
            <w:tcBorders>
              <w:top w:val="nil"/>
              <w:left w:val="nil"/>
              <w:bottom w:val="single" w:sz="4" w:space="0" w:color="auto"/>
              <w:right w:val="nil"/>
            </w:tcBorders>
            <w:vAlign w:val="bottom"/>
          </w:tcPr>
          <w:p w14:paraId="0DB0B629" w14:textId="77777777" w:rsidR="001D3D0F" w:rsidRPr="00605DCD" w:rsidRDefault="001D3D0F" w:rsidP="00D56C61">
            <w:pPr>
              <w:jc w:val="center"/>
              <w:rPr>
                <w:rFonts w:cs="Times New Roman"/>
                <w:sz w:val="20"/>
                <w:szCs w:val="20"/>
              </w:rPr>
            </w:pPr>
          </w:p>
        </w:tc>
        <w:tc>
          <w:tcPr>
            <w:tcW w:w="1789" w:type="dxa"/>
            <w:gridSpan w:val="2"/>
            <w:tcBorders>
              <w:top w:val="nil"/>
              <w:left w:val="nil"/>
              <w:bottom w:val="single" w:sz="4" w:space="0" w:color="auto"/>
              <w:right w:val="nil"/>
            </w:tcBorders>
          </w:tcPr>
          <w:p w14:paraId="4F48F339" w14:textId="77777777" w:rsidR="001D3D0F" w:rsidRPr="00605DCD" w:rsidRDefault="001D3D0F" w:rsidP="00D56C61">
            <w:pPr>
              <w:jc w:val="center"/>
              <w:rPr>
                <w:rFonts w:cs="Times New Roman"/>
                <w:sz w:val="20"/>
                <w:szCs w:val="20"/>
              </w:rPr>
            </w:pPr>
          </w:p>
        </w:tc>
        <w:tc>
          <w:tcPr>
            <w:tcW w:w="1980" w:type="dxa"/>
            <w:gridSpan w:val="2"/>
            <w:tcBorders>
              <w:top w:val="nil"/>
              <w:left w:val="nil"/>
              <w:bottom w:val="single" w:sz="4" w:space="0" w:color="auto"/>
              <w:right w:val="nil"/>
            </w:tcBorders>
          </w:tcPr>
          <w:p w14:paraId="3CA7B19E" w14:textId="77777777" w:rsidR="001D3D0F" w:rsidRPr="00605DCD" w:rsidRDefault="001D3D0F" w:rsidP="00D56C61">
            <w:pPr>
              <w:jc w:val="center"/>
              <w:rPr>
                <w:rFonts w:cs="Times New Roman"/>
                <w:sz w:val="20"/>
                <w:szCs w:val="20"/>
              </w:rPr>
            </w:pPr>
          </w:p>
        </w:tc>
      </w:tr>
      <w:tr w:rsidR="001D3D0F" w:rsidRPr="00605DCD" w14:paraId="3413C10A" w14:textId="77777777">
        <w:trPr>
          <w:jc w:val="center"/>
        </w:trPr>
        <w:tc>
          <w:tcPr>
            <w:tcW w:w="2070" w:type="dxa"/>
            <w:tcBorders>
              <w:top w:val="single" w:sz="4" w:space="0" w:color="auto"/>
              <w:left w:val="nil"/>
              <w:bottom w:val="nil"/>
              <w:right w:val="nil"/>
            </w:tcBorders>
            <w:vAlign w:val="bottom"/>
          </w:tcPr>
          <w:p w14:paraId="5CDC1AF0" w14:textId="77777777" w:rsidR="001D3D0F" w:rsidRPr="00605DCD" w:rsidRDefault="001D3D0F" w:rsidP="00D56C61">
            <w:pPr>
              <w:jc w:val="center"/>
              <w:rPr>
                <w:rFonts w:cs="Times New Roman"/>
                <w:sz w:val="20"/>
                <w:szCs w:val="20"/>
              </w:rPr>
            </w:pPr>
          </w:p>
        </w:tc>
        <w:tc>
          <w:tcPr>
            <w:tcW w:w="1789" w:type="dxa"/>
            <w:gridSpan w:val="2"/>
            <w:tcBorders>
              <w:top w:val="single" w:sz="4" w:space="0" w:color="auto"/>
              <w:left w:val="nil"/>
              <w:bottom w:val="nil"/>
              <w:right w:val="nil"/>
            </w:tcBorders>
            <w:vAlign w:val="bottom"/>
          </w:tcPr>
          <w:p w14:paraId="030255C3" w14:textId="77777777" w:rsidR="001D3D0F" w:rsidRPr="00605DCD" w:rsidRDefault="001D3D0F" w:rsidP="00D56C61">
            <w:pPr>
              <w:jc w:val="center"/>
              <w:rPr>
                <w:rFonts w:cs="Times New Roman"/>
                <w:sz w:val="20"/>
                <w:szCs w:val="20"/>
              </w:rPr>
            </w:pPr>
            <w:r>
              <w:rPr>
                <w:rFonts w:cs="Times New Roman"/>
                <w:sz w:val="20"/>
                <w:szCs w:val="20"/>
              </w:rPr>
              <w:t>Injury</w:t>
            </w:r>
          </w:p>
        </w:tc>
        <w:tc>
          <w:tcPr>
            <w:tcW w:w="1980" w:type="dxa"/>
            <w:gridSpan w:val="2"/>
            <w:tcBorders>
              <w:top w:val="single" w:sz="4" w:space="0" w:color="auto"/>
              <w:left w:val="nil"/>
              <w:bottom w:val="nil"/>
              <w:right w:val="nil"/>
            </w:tcBorders>
            <w:vAlign w:val="bottom"/>
          </w:tcPr>
          <w:p w14:paraId="0BA0D4E3" w14:textId="77777777" w:rsidR="001D3D0F" w:rsidRPr="00605DCD" w:rsidRDefault="001D3D0F" w:rsidP="00D56C61">
            <w:pPr>
              <w:jc w:val="center"/>
              <w:rPr>
                <w:rFonts w:cs="Times New Roman"/>
                <w:sz w:val="20"/>
                <w:szCs w:val="20"/>
              </w:rPr>
            </w:pPr>
            <w:r>
              <w:rPr>
                <w:rFonts w:cs="Times New Roman"/>
                <w:sz w:val="20"/>
                <w:szCs w:val="20"/>
              </w:rPr>
              <w:t>Clipping yield</w:t>
            </w:r>
          </w:p>
        </w:tc>
      </w:tr>
      <w:tr w:rsidR="001D3D0F" w:rsidRPr="00605DCD" w14:paraId="7B88446B" w14:textId="77777777">
        <w:trPr>
          <w:jc w:val="center"/>
        </w:trPr>
        <w:tc>
          <w:tcPr>
            <w:tcW w:w="2070" w:type="dxa"/>
            <w:tcBorders>
              <w:top w:val="nil"/>
              <w:left w:val="nil"/>
              <w:bottom w:val="single" w:sz="4" w:space="0" w:color="auto"/>
              <w:right w:val="nil"/>
            </w:tcBorders>
            <w:vAlign w:val="bottom"/>
          </w:tcPr>
          <w:p w14:paraId="74E16C6B" w14:textId="77777777" w:rsidR="001D3D0F" w:rsidRDefault="001D3D0F" w:rsidP="00D56C61">
            <w:pPr>
              <w:jc w:val="center"/>
              <w:rPr>
                <w:rFonts w:cs="Times New Roman"/>
                <w:sz w:val="20"/>
                <w:szCs w:val="20"/>
              </w:rPr>
            </w:pPr>
            <w:r>
              <w:rPr>
                <w:rFonts w:cs="Times New Roman"/>
                <w:sz w:val="20"/>
                <w:szCs w:val="20"/>
              </w:rPr>
              <w:t xml:space="preserve">Safener </w:t>
            </w:r>
          </w:p>
        </w:tc>
        <w:tc>
          <w:tcPr>
            <w:tcW w:w="900" w:type="dxa"/>
            <w:tcBorders>
              <w:top w:val="nil"/>
              <w:left w:val="nil"/>
              <w:bottom w:val="single" w:sz="4" w:space="0" w:color="auto"/>
              <w:right w:val="nil"/>
            </w:tcBorders>
            <w:vAlign w:val="bottom"/>
          </w:tcPr>
          <w:p w14:paraId="070946FD" w14:textId="77777777" w:rsidR="001D3D0F" w:rsidRDefault="001D3D0F" w:rsidP="00D56C61">
            <w:pPr>
              <w:jc w:val="center"/>
              <w:rPr>
                <w:rFonts w:cs="Times New Roman"/>
                <w:sz w:val="20"/>
                <w:szCs w:val="20"/>
              </w:rPr>
            </w:pPr>
            <w:r>
              <w:rPr>
                <w:rFonts w:cs="Times New Roman"/>
                <w:sz w:val="20"/>
                <w:szCs w:val="20"/>
              </w:rPr>
              <w:t>Run A</w:t>
            </w:r>
          </w:p>
        </w:tc>
        <w:tc>
          <w:tcPr>
            <w:tcW w:w="889" w:type="dxa"/>
            <w:tcBorders>
              <w:top w:val="nil"/>
              <w:left w:val="nil"/>
              <w:bottom w:val="single" w:sz="4" w:space="0" w:color="auto"/>
              <w:right w:val="nil"/>
            </w:tcBorders>
            <w:vAlign w:val="bottom"/>
          </w:tcPr>
          <w:p w14:paraId="09F50864" w14:textId="77777777" w:rsidR="001D3D0F" w:rsidRDefault="001D3D0F" w:rsidP="00D56C61">
            <w:pPr>
              <w:jc w:val="center"/>
              <w:rPr>
                <w:rFonts w:cs="Times New Roman"/>
                <w:sz w:val="20"/>
                <w:szCs w:val="20"/>
              </w:rPr>
            </w:pPr>
            <w:r>
              <w:rPr>
                <w:rFonts w:cs="Times New Roman"/>
                <w:sz w:val="20"/>
                <w:szCs w:val="20"/>
              </w:rPr>
              <w:t>Run B</w:t>
            </w:r>
          </w:p>
        </w:tc>
        <w:tc>
          <w:tcPr>
            <w:tcW w:w="990" w:type="dxa"/>
            <w:tcBorders>
              <w:top w:val="nil"/>
              <w:left w:val="nil"/>
              <w:bottom w:val="single" w:sz="4" w:space="0" w:color="auto"/>
              <w:right w:val="nil"/>
            </w:tcBorders>
            <w:vAlign w:val="bottom"/>
          </w:tcPr>
          <w:p w14:paraId="184FABD0" w14:textId="77777777" w:rsidR="001D3D0F" w:rsidRDefault="001D3D0F" w:rsidP="00D56C61">
            <w:pPr>
              <w:jc w:val="center"/>
              <w:rPr>
                <w:rFonts w:cs="Times New Roman"/>
                <w:sz w:val="20"/>
                <w:szCs w:val="20"/>
              </w:rPr>
            </w:pPr>
            <w:r>
              <w:rPr>
                <w:rFonts w:cs="Times New Roman"/>
                <w:sz w:val="20"/>
                <w:szCs w:val="20"/>
              </w:rPr>
              <w:t>Run A</w:t>
            </w:r>
          </w:p>
        </w:tc>
        <w:tc>
          <w:tcPr>
            <w:tcW w:w="990" w:type="dxa"/>
            <w:tcBorders>
              <w:top w:val="nil"/>
              <w:left w:val="nil"/>
              <w:bottom w:val="single" w:sz="4" w:space="0" w:color="auto"/>
              <w:right w:val="nil"/>
            </w:tcBorders>
            <w:vAlign w:val="bottom"/>
          </w:tcPr>
          <w:p w14:paraId="437F08FA" w14:textId="77777777" w:rsidR="001D3D0F" w:rsidRDefault="001D3D0F" w:rsidP="00D56C61">
            <w:pPr>
              <w:jc w:val="center"/>
              <w:rPr>
                <w:rFonts w:cs="Times New Roman"/>
                <w:sz w:val="20"/>
                <w:szCs w:val="20"/>
              </w:rPr>
            </w:pPr>
            <w:r>
              <w:rPr>
                <w:rFonts w:cs="Times New Roman"/>
                <w:sz w:val="20"/>
                <w:szCs w:val="20"/>
              </w:rPr>
              <w:t>Run B</w:t>
            </w:r>
          </w:p>
        </w:tc>
      </w:tr>
      <w:tr w:rsidR="001D3D0F" w:rsidRPr="00605DCD" w14:paraId="09E10E7F" w14:textId="77777777">
        <w:trPr>
          <w:jc w:val="center"/>
        </w:trPr>
        <w:tc>
          <w:tcPr>
            <w:tcW w:w="2070" w:type="dxa"/>
            <w:tcBorders>
              <w:top w:val="single" w:sz="4" w:space="0" w:color="auto"/>
              <w:left w:val="nil"/>
              <w:bottom w:val="nil"/>
              <w:right w:val="nil"/>
            </w:tcBorders>
            <w:vAlign w:val="bottom"/>
          </w:tcPr>
          <w:p w14:paraId="35B5C8C3" w14:textId="77777777" w:rsidR="001D3D0F" w:rsidRPr="00605DCD" w:rsidRDefault="001D3D0F" w:rsidP="00D56C61">
            <w:pPr>
              <w:jc w:val="center"/>
              <w:rPr>
                <w:rFonts w:cs="Times New Roman"/>
                <w:sz w:val="20"/>
                <w:szCs w:val="20"/>
              </w:rPr>
            </w:pPr>
          </w:p>
        </w:tc>
        <w:tc>
          <w:tcPr>
            <w:tcW w:w="1789" w:type="dxa"/>
            <w:gridSpan w:val="2"/>
            <w:tcBorders>
              <w:top w:val="single" w:sz="4" w:space="0" w:color="auto"/>
              <w:left w:val="nil"/>
              <w:bottom w:val="nil"/>
              <w:right w:val="nil"/>
            </w:tcBorders>
          </w:tcPr>
          <w:p w14:paraId="19E3BF7A" w14:textId="77777777" w:rsidR="001D3D0F" w:rsidRPr="00605DCD" w:rsidRDefault="001D3D0F" w:rsidP="00D56C61">
            <w:pPr>
              <w:jc w:val="center"/>
              <w:rPr>
                <w:rFonts w:cs="Times New Roman"/>
                <w:sz w:val="20"/>
                <w:szCs w:val="20"/>
              </w:rPr>
            </w:pPr>
            <w:r>
              <w:rPr>
                <w:rFonts w:cs="Times New Roman"/>
                <w:sz w:val="20"/>
                <w:szCs w:val="20"/>
                <w:vertAlign w:val="superscript"/>
              </w:rPr>
              <w:t>______</w:t>
            </w:r>
            <w:r w:rsidRPr="008B621B">
              <w:rPr>
                <w:rFonts w:cs="Times New Roman"/>
                <w:sz w:val="20"/>
                <w:szCs w:val="20"/>
                <w:vertAlign w:val="superscript"/>
              </w:rPr>
              <w:t>_</w:t>
            </w:r>
            <w:r>
              <w:rPr>
                <w:rFonts w:cs="Times New Roman"/>
                <w:sz w:val="20"/>
                <w:szCs w:val="20"/>
              </w:rPr>
              <w:t>%</w:t>
            </w:r>
            <w:r w:rsidRPr="008B621B">
              <w:rPr>
                <w:rFonts w:cs="Times New Roman"/>
                <w:sz w:val="20"/>
                <w:szCs w:val="20"/>
                <w:vertAlign w:val="superscript"/>
              </w:rPr>
              <w:t>_</w:t>
            </w:r>
            <w:r>
              <w:rPr>
                <w:rFonts w:cs="Times New Roman"/>
                <w:sz w:val="20"/>
                <w:szCs w:val="20"/>
                <w:vertAlign w:val="superscript"/>
              </w:rPr>
              <w:t>______</w:t>
            </w:r>
          </w:p>
        </w:tc>
        <w:tc>
          <w:tcPr>
            <w:tcW w:w="1980" w:type="dxa"/>
            <w:gridSpan w:val="2"/>
            <w:tcBorders>
              <w:top w:val="single" w:sz="4" w:space="0" w:color="auto"/>
              <w:left w:val="nil"/>
              <w:bottom w:val="nil"/>
              <w:right w:val="nil"/>
            </w:tcBorders>
          </w:tcPr>
          <w:p w14:paraId="51356E9B" w14:textId="77777777" w:rsidR="001D3D0F" w:rsidRPr="00605DCD" w:rsidRDefault="001D3D0F" w:rsidP="00D56C61">
            <w:pPr>
              <w:jc w:val="center"/>
              <w:rPr>
                <w:rFonts w:cs="Times New Roman"/>
                <w:sz w:val="20"/>
                <w:szCs w:val="20"/>
              </w:rPr>
            </w:pPr>
            <w:r w:rsidRPr="008B621B">
              <w:rPr>
                <w:rFonts w:cs="Times New Roman"/>
                <w:sz w:val="20"/>
                <w:szCs w:val="20"/>
                <w:vertAlign w:val="superscript"/>
              </w:rPr>
              <w:t>__</w:t>
            </w:r>
            <w:r>
              <w:rPr>
                <w:rFonts w:cs="Times New Roman"/>
                <w:sz w:val="20"/>
                <w:szCs w:val="20"/>
              </w:rPr>
              <w:t xml:space="preserve">% </w:t>
            </w:r>
            <w:proofErr w:type="gramStart"/>
            <w:r>
              <w:rPr>
                <w:rFonts w:cs="Times New Roman"/>
                <w:sz w:val="20"/>
                <w:szCs w:val="20"/>
              </w:rPr>
              <w:t>of</w:t>
            </w:r>
            <w:proofErr w:type="gramEnd"/>
            <w:r>
              <w:rPr>
                <w:rFonts w:cs="Times New Roman"/>
                <w:sz w:val="20"/>
                <w:szCs w:val="20"/>
              </w:rPr>
              <w:t xml:space="preserve"> non-treated</w:t>
            </w:r>
            <w:r w:rsidRPr="008B621B">
              <w:rPr>
                <w:rFonts w:cs="Times New Roman"/>
                <w:sz w:val="20"/>
                <w:szCs w:val="20"/>
                <w:vertAlign w:val="superscript"/>
              </w:rPr>
              <w:t>__</w:t>
            </w:r>
          </w:p>
        </w:tc>
      </w:tr>
      <w:tr w:rsidR="001D3D0F" w:rsidRPr="00605DCD" w14:paraId="6B7D6EEA" w14:textId="77777777">
        <w:trPr>
          <w:jc w:val="center"/>
        </w:trPr>
        <w:tc>
          <w:tcPr>
            <w:tcW w:w="2070" w:type="dxa"/>
            <w:tcBorders>
              <w:top w:val="nil"/>
              <w:left w:val="nil"/>
              <w:bottom w:val="nil"/>
              <w:right w:val="nil"/>
            </w:tcBorders>
            <w:vAlign w:val="bottom"/>
          </w:tcPr>
          <w:p w14:paraId="19F5DDFA" w14:textId="77777777" w:rsidR="001D3D0F" w:rsidRPr="00605DCD" w:rsidRDefault="001D3D0F" w:rsidP="00D56C61">
            <w:pPr>
              <w:jc w:val="center"/>
              <w:rPr>
                <w:rFonts w:cs="Times New Roman"/>
                <w:sz w:val="20"/>
                <w:szCs w:val="20"/>
              </w:rPr>
            </w:pPr>
            <w:proofErr w:type="gramStart"/>
            <w:r>
              <w:rPr>
                <w:rFonts w:cs="Times New Roman"/>
                <w:sz w:val="20"/>
                <w:szCs w:val="20"/>
              </w:rPr>
              <w:t>cloquintocet</w:t>
            </w:r>
            <w:proofErr w:type="gramEnd"/>
            <w:r>
              <w:rPr>
                <w:rFonts w:cs="Times New Roman"/>
                <w:sz w:val="20"/>
                <w:szCs w:val="20"/>
              </w:rPr>
              <w:t>-mexyl</w:t>
            </w:r>
            <w:r w:rsidRPr="00605DCD">
              <w:rPr>
                <w:rFonts w:cs="Times New Roman"/>
                <w:sz w:val="20"/>
                <w:szCs w:val="20"/>
                <w:vertAlign w:val="superscript"/>
              </w:rPr>
              <w:t>a</w:t>
            </w:r>
          </w:p>
        </w:tc>
        <w:tc>
          <w:tcPr>
            <w:tcW w:w="900" w:type="dxa"/>
            <w:tcBorders>
              <w:top w:val="nil"/>
              <w:left w:val="nil"/>
              <w:bottom w:val="nil"/>
              <w:right w:val="nil"/>
            </w:tcBorders>
          </w:tcPr>
          <w:p w14:paraId="0851905F" w14:textId="77777777" w:rsidR="001D3D0F" w:rsidRPr="00605DCD" w:rsidRDefault="001D3D0F" w:rsidP="00D56C61">
            <w:pPr>
              <w:jc w:val="center"/>
              <w:rPr>
                <w:rFonts w:cs="Times New Roman"/>
                <w:sz w:val="20"/>
                <w:szCs w:val="20"/>
              </w:rPr>
            </w:pPr>
            <w:r>
              <w:rPr>
                <w:rFonts w:cs="Times New Roman"/>
                <w:sz w:val="20"/>
                <w:szCs w:val="20"/>
              </w:rPr>
              <w:t>9</w:t>
            </w:r>
          </w:p>
        </w:tc>
        <w:tc>
          <w:tcPr>
            <w:tcW w:w="889" w:type="dxa"/>
            <w:tcBorders>
              <w:top w:val="nil"/>
              <w:left w:val="nil"/>
              <w:bottom w:val="nil"/>
              <w:right w:val="nil"/>
            </w:tcBorders>
          </w:tcPr>
          <w:p w14:paraId="3C1C4A1A" w14:textId="77777777" w:rsidR="001D3D0F" w:rsidRPr="00605DCD" w:rsidRDefault="001D3D0F" w:rsidP="00D56C61">
            <w:pPr>
              <w:jc w:val="center"/>
              <w:rPr>
                <w:rFonts w:cs="Times New Roman"/>
                <w:sz w:val="20"/>
                <w:szCs w:val="20"/>
              </w:rPr>
            </w:pPr>
            <w:r>
              <w:rPr>
                <w:rFonts w:cs="Times New Roman"/>
                <w:sz w:val="20"/>
                <w:szCs w:val="20"/>
              </w:rPr>
              <w:t>4</w:t>
            </w:r>
          </w:p>
        </w:tc>
        <w:tc>
          <w:tcPr>
            <w:tcW w:w="990" w:type="dxa"/>
            <w:tcBorders>
              <w:top w:val="nil"/>
              <w:left w:val="nil"/>
              <w:bottom w:val="nil"/>
              <w:right w:val="nil"/>
            </w:tcBorders>
          </w:tcPr>
          <w:p w14:paraId="2453AD20" w14:textId="77777777" w:rsidR="001D3D0F" w:rsidRPr="00605DCD" w:rsidRDefault="001D3D0F" w:rsidP="00D56C61">
            <w:pPr>
              <w:jc w:val="center"/>
              <w:rPr>
                <w:rFonts w:cs="Times New Roman"/>
                <w:sz w:val="20"/>
                <w:szCs w:val="20"/>
              </w:rPr>
            </w:pPr>
            <w:r>
              <w:rPr>
                <w:rFonts w:cs="Times New Roman"/>
                <w:sz w:val="20"/>
                <w:szCs w:val="20"/>
              </w:rPr>
              <w:t>47</w:t>
            </w:r>
          </w:p>
        </w:tc>
        <w:tc>
          <w:tcPr>
            <w:tcW w:w="990" w:type="dxa"/>
            <w:tcBorders>
              <w:top w:val="nil"/>
              <w:left w:val="nil"/>
              <w:bottom w:val="nil"/>
              <w:right w:val="nil"/>
            </w:tcBorders>
          </w:tcPr>
          <w:p w14:paraId="39256AC2" w14:textId="77777777" w:rsidR="001D3D0F" w:rsidRPr="00605DCD" w:rsidRDefault="001D3D0F" w:rsidP="00D56C61">
            <w:pPr>
              <w:jc w:val="center"/>
              <w:rPr>
                <w:rFonts w:cs="Times New Roman"/>
                <w:sz w:val="20"/>
                <w:szCs w:val="20"/>
              </w:rPr>
            </w:pPr>
            <w:r>
              <w:rPr>
                <w:rFonts w:cs="Times New Roman"/>
                <w:sz w:val="20"/>
                <w:szCs w:val="20"/>
              </w:rPr>
              <w:t>61</w:t>
            </w:r>
          </w:p>
        </w:tc>
      </w:tr>
      <w:tr w:rsidR="001D3D0F" w:rsidRPr="00605DCD" w14:paraId="56B14E21" w14:textId="77777777">
        <w:trPr>
          <w:jc w:val="center"/>
        </w:trPr>
        <w:tc>
          <w:tcPr>
            <w:tcW w:w="2070" w:type="dxa"/>
            <w:tcBorders>
              <w:top w:val="nil"/>
              <w:left w:val="nil"/>
              <w:bottom w:val="nil"/>
              <w:right w:val="nil"/>
            </w:tcBorders>
            <w:vAlign w:val="bottom"/>
          </w:tcPr>
          <w:p w14:paraId="4614EA10" w14:textId="77777777" w:rsidR="001D3D0F" w:rsidRPr="00605DCD" w:rsidRDefault="001D3D0F" w:rsidP="00D56C61">
            <w:pPr>
              <w:jc w:val="center"/>
              <w:rPr>
                <w:rFonts w:cs="Times New Roman"/>
                <w:sz w:val="20"/>
                <w:szCs w:val="20"/>
              </w:rPr>
            </w:pPr>
            <w:proofErr w:type="gramStart"/>
            <w:r>
              <w:rPr>
                <w:rFonts w:cs="Times New Roman"/>
                <w:sz w:val="20"/>
                <w:szCs w:val="20"/>
              </w:rPr>
              <w:t>fenchlorazole</w:t>
            </w:r>
            <w:proofErr w:type="gramEnd"/>
            <w:r>
              <w:rPr>
                <w:rFonts w:cs="Times New Roman"/>
                <w:sz w:val="20"/>
                <w:szCs w:val="20"/>
              </w:rPr>
              <w:t>-ethyl</w:t>
            </w:r>
          </w:p>
        </w:tc>
        <w:tc>
          <w:tcPr>
            <w:tcW w:w="900" w:type="dxa"/>
            <w:tcBorders>
              <w:top w:val="nil"/>
              <w:left w:val="nil"/>
              <w:bottom w:val="nil"/>
              <w:right w:val="nil"/>
            </w:tcBorders>
          </w:tcPr>
          <w:p w14:paraId="2B6446C0" w14:textId="77777777" w:rsidR="001D3D0F" w:rsidRPr="00605DCD" w:rsidRDefault="001D3D0F" w:rsidP="00D56C61">
            <w:pPr>
              <w:jc w:val="center"/>
              <w:rPr>
                <w:rFonts w:cs="Times New Roman"/>
                <w:sz w:val="20"/>
                <w:szCs w:val="20"/>
              </w:rPr>
            </w:pPr>
            <w:r>
              <w:rPr>
                <w:rFonts w:cs="Times New Roman"/>
                <w:sz w:val="20"/>
                <w:szCs w:val="20"/>
              </w:rPr>
              <w:t>8</w:t>
            </w:r>
          </w:p>
        </w:tc>
        <w:tc>
          <w:tcPr>
            <w:tcW w:w="889" w:type="dxa"/>
            <w:tcBorders>
              <w:top w:val="nil"/>
              <w:left w:val="nil"/>
              <w:bottom w:val="nil"/>
              <w:right w:val="nil"/>
            </w:tcBorders>
          </w:tcPr>
          <w:p w14:paraId="40FAEC8C" w14:textId="77777777" w:rsidR="001D3D0F" w:rsidRPr="00605DCD" w:rsidRDefault="001D3D0F" w:rsidP="00D56C61">
            <w:pPr>
              <w:jc w:val="center"/>
              <w:rPr>
                <w:rFonts w:cs="Times New Roman"/>
                <w:sz w:val="20"/>
                <w:szCs w:val="20"/>
              </w:rPr>
            </w:pPr>
            <w:r>
              <w:rPr>
                <w:rFonts w:cs="Times New Roman"/>
                <w:sz w:val="20"/>
                <w:szCs w:val="20"/>
              </w:rPr>
              <w:t>5</w:t>
            </w:r>
          </w:p>
        </w:tc>
        <w:tc>
          <w:tcPr>
            <w:tcW w:w="990" w:type="dxa"/>
            <w:tcBorders>
              <w:top w:val="nil"/>
              <w:left w:val="nil"/>
              <w:bottom w:val="nil"/>
              <w:right w:val="nil"/>
            </w:tcBorders>
          </w:tcPr>
          <w:p w14:paraId="7551848F" w14:textId="77777777" w:rsidR="001D3D0F" w:rsidRPr="00605DCD" w:rsidRDefault="001D3D0F" w:rsidP="00D56C61">
            <w:pPr>
              <w:jc w:val="center"/>
              <w:rPr>
                <w:rFonts w:cs="Times New Roman"/>
                <w:sz w:val="20"/>
                <w:szCs w:val="20"/>
              </w:rPr>
            </w:pPr>
            <w:r>
              <w:rPr>
                <w:rFonts w:cs="Times New Roman"/>
                <w:sz w:val="20"/>
                <w:szCs w:val="20"/>
              </w:rPr>
              <w:t>51</w:t>
            </w:r>
          </w:p>
        </w:tc>
        <w:tc>
          <w:tcPr>
            <w:tcW w:w="990" w:type="dxa"/>
            <w:tcBorders>
              <w:top w:val="nil"/>
              <w:left w:val="nil"/>
              <w:bottom w:val="nil"/>
              <w:right w:val="nil"/>
            </w:tcBorders>
          </w:tcPr>
          <w:p w14:paraId="535749A6" w14:textId="77777777" w:rsidR="001D3D0F" w:rsidRPr="00605DCD" w:rsidRDefault="001D3D0F" w:rsidP="00D56C61">
            <w:pPr>
              <w:jc w:val="center"/>
              <w:rPr>
                <w:rFonts w:cs="Times New Roman"/>
                <w:sz w:val="20"/>
                <w:szCs w:val="20"/>
              </w:rPr>
            </w:pPr>
            <w:r>
              <w:rPr>
                <w:rFonts w:cs="Times New Roman"/>
                <w:sz w:val="20"/>
                <w:szCs w:val="20"/>
              </w:rPr>
              <w:t>67</w:t>
            </w:r>
          </w:p>
        </w:tc>
      </w:tr>
      <w:tr w:rsidR="001D3D0F" w:rsidRPr="00605DCD" w14:paraId="1C2BB1F5" w14:textId="77777777">
        <w:trPr>
          <w:jc w:val="center"/>
        </w:trPr>
        <w:tc>
          <w:tcPr>
            <w:tcW w:w="2070" w:type="dxa"/>
            <w:tcBorders>
              <w:top w:val="nil"/>
              <w:left w:val="nil"/>
              <w:bottom w:val="nil"/>
              <w:right w:val="nil"/>
            </w:tcBorders>
            <w:vAlign w:val="bottom"/>
          </w:tcPr>
          <w:p w14:paraId="6B0F263F" w14:textId="77777777" w:rsidR="001D3D0F" w:rsidRPr="00605DCD" w:rsidRDefault="001D3D0F" w:rsidP="00D56C61">
            <w:pPr>
              <w:jc w:val="center"/>
              <w:rPr>
                <w:rFonts w:cs="Times New Roman"/>
                <w:sz w:val="20"/>
                <w:szCs w:val="20"/>
              </w:rPr>
            </w:pPr>
            <w:proofErr w:type="gramStart"/>
            <w:r>
              <w:rPr>
                <w:rFonts w:cs="Times New Roman"/>
                <w:sz w:val="20"/>
                <w:szCs w:val="20"/>
              </w:rPr>
              <w:t>mefenpyr</w:t>
            </w:r>
            <w:proofErr w:type="gramEnd"/>
            <w:r>
              <w:rPr>
                <w:rFonts w:cs="Times New Roman"/>
                <w:sz w:val="20"/>
                <w:szCs w:val="20"/>
              </w:rPr>
              <w:t>-diethyl</w:t>
            </w:r>
          </w:p>
        </w:tc>
        <w:tc>
          <w:tcPr>
            <w:tcW w:w="900" w:type="dxa"/>
            <w:tcBorders>
              <w:top w:val="nil"/>
              <w:left w:val="nil"/>
              <w:bottom w:val="nil"/>
              <w:right w:val="nil"/>
            </w:tcBorders>
          </w:tcPr>
          <w:p w14:paraId="3F3B2C0F" w14:textId="77777777" w:rsidR="001D3D0F" w:rsidRPr="00605DCD" w:rsidRDefault="001D3D0F" w:rsidP="00D56C61">
            <w:pPr>
              <w:jc w:val="center"/>
              <w:rPr>
                <w:rFonts w:cs="Times New Roman"/>
                <w:sz w:val="20"/>
                <w:szCs w:val="20"/>
              </w:rPr>
            </w:pPr>
            <w:r>
              <w:rPr>
                <w:rFonts w:cs="Times New Roman"/>
                <w:sz w:val="20"/>
                <w:szCs w:val="20"/>
              </w:rPr>
              <w:t>6</w:t>
            </w:r>
          </w:p>
        </w:tc>
        <w:tc>
          <w:tcPr>
            <w:tcW w:w="889" w:type="dxa"/>
            <w:tcBorders>
              <w:top w:val="nil"/>
              <w:left w:val="nil"/>
              <w:bottom w:val="nil"/>
              <w:right w:val="nil"/>
            </w:tcBorders>
          </w:tcPr>
          <w:p w14:paraId="5C1607F3" w14:textId="77777777" w:rsidR="001D3D0F" w:rsidRPr="00605DCD" w:rsidRDefault="001D3D0F" w:rsidP="00D56C61">
            <w:pPr>
              <w:jc w:val="center"/>
              <w:rPr>
                <w:rFonts w:cs="Times New Roman"/>
                <w:sz w:val="20"/>
                <w:szCs w:val="20"/>
              </w:rPr>
            </w:pPr>
            <w:r>
              <w:rPr>
                <w:rFonts w:cs="Times New Roman"/>
                <w:sz w:val="20"/>
                <w:szCs w:val="20"/>
              </w:rPr>
              <w:t>2</w:t>
            </w:r>
          </w:p>
        </w:tc>
        <w:tc>
          <w:tcPr>
            <w:tcW w:w="990" w:type="dxa"/>
            <w:tcBorders>
              <w:top w:val="nil"/>
              <w:left w:val="nil"/>
              <w:bottom w:val="nil"/>
              <w:right w:val="nil"/>
            </w:tcBorders>
          </w:tcPr>
          <w:p w14:paraId="543BE093" w14:textId="77777777" w:rsidR="001D3D0F" w:rsidRPr="00605DCD" w:rsidRDefault="001D3D0F" w:rsidP="00D56C61">
            <w:pPr>
              <w:jc w:val="center"/>
              <w:rPr>
                <w:rFonts w:cs="Times New Roman"/>
                <w:sz w:val="20"/>
                <w:szCs w:val="20"/>
              </w:rPr>
            </w:pPr>
            <w:r>
              <w:rPr>
                <w:rFonts w:cs="Times New Roman"/>
                <w:sz w:val="20"/>
                <w:szCs w:val="20"/>
              </w:rPr>
              <w:t>62</w:t>
            </w:r>
          </w:p>
        </w:tc>
        <w:tc>
          <w:tcPr>
            <w:tcW w:w="990" w:type="dxa"/>
            <w:tcBorders>
              <w:top w:val="nil"/>
              <w:left w:val="nil"/>
              <w:bottom w:val="nil"/>
              <w:right w:val="nil"/>
            </w:tcBorders>
          </w:tcPr>
          <w:p w14:paraId="18234571" w14:textId="77777777" w:rsidR="001D3D0F" w:rsidRPr="00605DCD" w:rsidRDefault="001D3D0F" w:rsidP="00D56C61">
            <w:pPr>
              <w:jc w:val="center"/>
              <w:rPr>
                <w:rFonts w:cs="Times New Roman"/>
                <w:sz w:val="20"/>
                <w:szCs w:val="20"/>
              </w:rPr>
            </w:pPr>
            <w:r>
              <w:rPr>
                <w:rFonts w:cs="Times New Roman"/>
                <w:sz w:val="20"/>
                <w:szCs w:val="20"/>
              </w:rPr>
              <w:t>78</w:t>
            </w:r>
          </w:p>
        </w:tc>
      </w:tr>
      <w:tr w:rsidR="001D3D0F" w:rsidRPr="00605DCD" w14:paraId="2E647D30" w14:textId="77777777">
        <w:trPr>
          <w:jc w:val="center"/>
        </w:trPr>
        <w:tc>
          <w:tcPr>
            <w:tcW w:w="2070" w:type="dxa"/>
            <w:tcBorders>
              <w:top w:val="nil"/>
              <w:left w:val="nil"/>
              <w:bottom w:val="nil"/>
              <w:right w:val="nil"/>
            </w:tcBorders>
            <w:vAlign w:val="bottom"/>
          </w:tcPr>
          <w:p w14:paraId="5356B66E" w14:textId="77777777" w:rsidR="001D3D0F" w:rsidRPr="00605DCD" w:rsidRDefault="001D3D0F" w:rsidP="00D56C61">
            <w:pPr>
              <w:jc w:val="center"/>
              <w:rPr>
                <w:rFonts w:cs="Times New Roman"/>
                <w:sz w:val="20"/>
                <w:szCs w:val="20"/>
              </w:rPr>
            </w:pPr>
            <w:r>
              <w:rPr>
                <w:rFonts w:cs="Times New Roman"/>
                <w:sz w:val="20"/>
                <w:szCs w:val="20"/>
              </w:rPr>
              <w:t>None</w:t>
            </w:r>
          </w:p>
        </w:tc>
        <w:tc>
          <w:tcPr>
            <w:tcW w:w="900" w:type="dxa"/>
            <w:tcBorders>
              <w:top w:val="nil"/>
              <w:left w:val="nil"/>
              <w:bottom w:val="nil"/>
              <w:right w:val="nil"/>
            </w:tcBorders>
          </w:tcPr>
          <w:p w14:paraId="40A17D2B" w14:textId="77777777" w:rsidR="001D3D0F" w:rsidRPr="00605DCD" w:rsidRDefault="001D3D0F" w:rsidP="00D56C61">
            <w:pPr>
              <w:jc w:val="center"/>
              <w:rPr>
                <w:rFonts w:cs="Times New Roman"/>
                <w:sz w:val="20"/>
                <w:szCs w:val="20"/>
              </w:rPr>
            </w:pPr>
            <w:r>
              <w:rPr>
                <w:rFonts w:cs="Times New Roman"/>
                <w:sz w:val="20"/>
                <w:szCs w:val="20"/>
              </w:rPr>
              <w:t>15</w:t>
            </w:r>
          </w:p>
        </w:tc>
        <w:tc>
          <w:tcPr>
            <w:tcW w:w="889" w:type="dxa"/>
            <w:tcBorders>
              <w:top w:val="nil"/>
              <w:left w:val="nil"/>
              <w:bottom w:val="nil"/>
              <w:right w:val="nil"/>
            </w:tcBorders>
          </w:tcPr>
          <w:p w14:paraId="0E4BA0FB" w14:textId="77777777" w:rsidR="001D3D0F" w:rsidRPr="00605DCD" w:rsidRDefault="001D3D0F" w:rsidP="00D56C61">
            <w:pPr>
              <w:jc w:val="center"/>
              <w:rPr>
                <w:rFonts w:cs="Times New Roman"/>
                <w:sz w:val="20"/>
                <w:szCs w:val="20"/>
              </w:rPr>
            </w:pPr>
            <w:r>
              <w:rPr>
                <w:rFonts w:cs="Times New Roman"/>
                <w:sz w:val="20"/>
                <w:szCs w:val="20"/>
              </w:rPr>
              <w:t>8</w:t>
            </w:r>
          </w:p>
        </w:tc>
        <w:tc>
          <w:tcPr>
            <w:tcW w:w="990" w:type="dxa"/>
            <w:tcBorders>
              <w:top w:val="nil"/>
              <w:left w:val="nil"/>
              <w:bottom w:val="nil"/>
              <w:right w:val="nil"/>
            </w:tcBorders>
          </w:tcPr>
          <w:p w14:paraId="066B862B" w14:textId="77777777" w:rsidR="001D3D0F" w:rsidRPr="00605DCD" w:rsidRDefault="001D3D0F" w:rsidP="00D56C61">
            <w:pPr>
              <w:jc w:val="center"/>
              <w:rPr>
                <w:rFonts w:cs="Times New Roman"/>
                <w:sz w:val="20"/>
                <w:szCs w:val="20"/>
              </w:rPr>
            </w:pPr>
            <w:r>
              <w:rPr>
                <w:rFonts w:cs="Times New Roman"/>
                <w:sz w:val="20"/>
                <w:szCs w:val="20"/>
              </w:rPr>
              <w:t>26</w:t>
            </w:r>
          </w:p>
        </w:tc>
        <w:tc>
          <w:tcPr>
            <w:tcW w:w="990" w:type="dxa"/>
            <w:tcBorders>
              <w:top w:val="nil"/>
              <w:left w:val="nil"/>
              <w:bottom w:val="nil"/>
              <w:right w:val="nil"/>
            </w:tcBorders>
          </w:tcPr>
          <w:p w14:paraId="6606CFF3" w14:textId="77777777" w:rsidR="001D3D0F" w:rsidRPr="00605DCD" w:rsidRDefault="001D3D0F" w:rsidP="00D56C61">
            <w:pPr>
              <w:jc w:val="center"/>
              <w:rPr>
                <w:rFonts w:cs="Times New Roman"/>
                <w:sz w:val="20"/>
                <w:szCs w:val="20"/>
              </w:rPr>
            </w:pPr>
            <w:r>
              <w:rPr>
                <w:rFonts w:cs="Times New Roman"/>
                <w:sz w:val="20"/>
                <w:szCs w:val="20"/>
              </w:rPr>
              <w:t>56</w:t>
            </w:r>
          </w:p>
        </w:tc>
      </w:tr>
      <w:tr w:rsidR="001D3D0F" w:rsidRPr="00605DCD" w14:paraId="1091D6B1" w14:textId="77777777">
        <w:trPr>
          <w:jc w:val="center"/>
        </w:trPr>
        <w:tc>
          <w:tcPr>
            <w:tcW w:w="2070" w:type="dxa"/>
            <w:tcBorders>
              <w:top w:val="nil"/>
              <w:left w:val="nil"/>
              <w:bottom w:val="single" w:sz="4" w:space="0" w:color="auto"/>
              <w:right w:val="nil"/>
            </w:tcBorders>
            <w:vAlign w:val="bottom"/>
          </w:tcPr>
          <w:p w14:paraId="60236118" w14:textId="77777777" w:rsidR="001D3D0F" w:rsidRDefault="001D3D0F" w:rsidP="00D56C61">
            <w:pPr>
              <w:jc w:val="right"/>
              <w:rPr>
                <w:rFonts w:cs="Times New Roman"/>
                <w:sz w:val="20"/>
                <w:szCs w:val="20"/>
              </w:rPr>
            </w:pPr>
            <w:r>
              <w:rPr>
                <w:rFonts w:cs="Times New Roman"/>
                <w:sz w:val="20"/>
                <w:szCs w:val="20"/>
              </w:rPr>
              <w:t>LSD</w:t>
            </w:r>
            <w:r w:rsidRPr="000538BF">
              <w:rPr>
                <w:rFonts w:cs="Times New Roman"/>
                <w:sz w:val="20"/>
                <w:szCs w:val="20"/>
                <w:vertAlign w:val="subscript"/>
              </w:rPr>
              <w:t>0.05</w:t>
            </w:r>
          </w:p>
        </w:tc>
        <w:tc>
          <w:tcPr>
            <w:tcW w:w="900" w:type="dxa"/>
            <w:tcBorders>
              <w:top w:val="nil"/>
              <w:left w:val="nil"/>
              <w:bottom w:val="single" w:sz="4" w:space="0" w:color="auto"/>
              <w:right w:val="nil"/>
            </w:tcBorders>
          </w:tcPr>
          <w:p w14:paraId="4850BA92" w14:textId="77777777" w:rsidR="001D3D0F" w:rsidRPr="00605DCD" w:rsidRDefault="001D3D0F" w:rsidP="00D56C61">
            <w:pPr>
              <w:jc w:val="center"/>
              <w:rPr>
                <w:rFonts w:cs="Times New Roman"/>
                <w:sz w:val="20"/>
                <w:szCs w:val="20"/>
              </w:rPr>
            </w:pPr>
            <w:r>
              <w:rPr>
                <w:rFonts w:cs="Times New Roman"/>
                <w:sz w:val="20"/>
                <w:szCs w:val="20"/>
              </w:rPr>
              <w:t>2</w:t>
            </w:r>
          </w:p>
        </w:tc>
        <w:tc>
          <w:tcPr>
            <w:tcW w:w="889" w:type="dxa"/>
            <w:tcBorders>
              <w:top w:val="nil"/>
              <w:left w:val="nil"/>
              <w:bottom w:val="single" w:sz="4" w:space="0" w:color="auto"/>
              <w:right w:val="nil"/>
            </w:tcBorders>
          </w:tcPr>
          <w:p w14:paraId="5C125F9C" w14:textId="77777777" w:rsidR="001D3D0F" w:rsidRPr="00605DCD" w:rsidRDefault="001D3D0F" w:rsidP="00D56C61">
            <w:pPr>
              <w:jc w:val="center"/>
              <w:rPr>
                <w:rFonts w:cs="Times New Roman"/>
                <w:sz w:val="20"/>
                <w:szCs w:val="20"/>
              </w:rPr>
            </w:pPr>
            <w:r>
              <w:rPr>
                <w:rFonts w:cs="Times New Roman"/>
                <w:sz w:val="20"/>
                <w:szCs w:val="20"/>
              </w:rPr>
              <w:t>2</w:t>
            </w:r>
          </w:p>
        </w:tc>
        <w:tc>
          <w:tcPr>
            <w:tcW w:w="990" w:type="dxa"/>
            <w:tcBorders>
              <w:top w:val="nil"/>
              <w:left w:val="nil"/>
              <w:bottom w:val="single" w:sz="4" w:space="0" w:color="auto"/>
              <w:right w:val="nil"/>
            </w:tcBorders>
          </w:tcPr>
          <w:p w14:paraId="47EAC514" w14:textId="77777777" w:rsidR="001D3D0F" w:rsidRPr="00605DCD" w:rsidRDefault="001D3D0F" w:rsidP="00D56C61">
            <w:pPr>
              <w:jc w:val="center"/>
              <w:rPr>
                <w:rFonts w:cs="Times New Roman"/>
                <w:sz w:val="20"/>
                <w:szCs w:val="20"/>
              </w:rPr>
            </w:pPr>
            <w:r>
              <w:rPr>
                <w:rFonts w:cs="Times New Roman"/>
                <w:sz w:val="20"/>
                <w:szCs w:val="20"/>
              </w:rPr>
              <w:t>6</w:t>
            </w:r>
          </w:p>
        </w:tc>
        <w:tc>
          <w:tcPr>
            <w:tcW w:w="990" w:type="dxa"/>
            <w:tcBorders>
              <w:top w:val="nil"/>
              <w:left w:val="nil"/>
              <w:bottom w:val="single" w:sz="4" w:space="0" w:color="auto"/>
              <w:right w:val="nil"/>
            </w:tcBorders>
          </w:tcPr>
          <w:p w14:paraId="14976F34" w14:textId="77777777" w:rsidR="001D3D0F" w:rsidRPr="00605DCD" w:rsidRDefault="001D3D0F" w:rsidP="00D56C61">
            <w:pPr>
              <w:jc w:val="center"/>
              <w:rPr>
                <w:rFonts w:cs="Times New Roman"/>
                <w:sz w:val="20"/>
                <w:szCs w:val="20"/>
              </w:rPr>
            </w:pPr>
            <w:r>
              <w:rPr>
                <w:rFonts w:cs="Times New Roman"/>
                <w:sz w:val="20"/>
                <w:szCs w:val="20"/>
              </w:rPr>
              <w:t>11</w:t>
            </w:r>
          </w:p>
        </w:tc>
      </w:tr>
    </w:tbl>
    <w:p w14:paraId="45E5EBA3" w14:textId="77777777" w:rsidR="001D3D0F" w:rsidRDefault="001D3D0F" w:rsidP="001D3D0F">
      <w:pPr>
        <w:jc w:val="center"/>
        <w:rPr>
          <w:rFonts w:cs="Times New Roman"/>
          <w:sz w:val="20"/>
          <w:szCs w:val="20"/>
        </w:rPr>
      </w:pPr>
      <w:proofErr w:type="gramStart"/>
      <w:r w:rsidRPr="00605DCD">
        <w:rPr>
          <w:rFonts w:cs="Times New Roman"/>
          <w:sz w:val="20"/>
          <w:szCs w:val="20"/>
          <w:vertAlign w:val="superscript"/>
        </w:rPr>
        <w:t>a</w:t>
      </w:r>
      <w:r>
        <w:rPr>
          <w:rFonts w:cs="Times New Roman"/>
          <w:sz w:val="20"/>
          <w:szCs w:val="20"/>
        </w:rPr>
        <w:t>All</w:t>
      </w:r>
      <w:proofErr w:type="gramEnd"/>
      <w:r>
        <w:rPr>
          <w:rFonts w:cs="Times New Roman"/>
          <w:sz w:val="20"/>
          <w:szCs w:val="20"/>
        </w:rPr>
        <w:t xml:space="preserve"> treatments</w:t>
      </w:r>
      <w:r w:rsidRPr="00605DCD">
        <w:rPr>
          <w:rFonts w:cs="Times New Roman"/>
          <w:sz w:val="20"/>
          <w:szCs w:val="20"/>
        </w:rPr>
        <w:t xml:space="preserve"> were applied with non-ionic surfactant at 0.25% v/v.</w:t>
      </w:r>
    </w:p>
    <w:p w14:paraId="208DB3EB" w14:textId="77777777" w:rsidR="001D3D0F" w:rsidRDefault="001D3D0F" w:rsidP="001D3D0F">
      <w:pPr>
        <w:rPr>
          <w:rFonts w:cs="Times New Roman"/>
          <w:sz w:val="20"/>
          <w:szCs w:val="20"/>
        </w:rPr>
      </w:pPr>
      <w:r>
        <w:rPr>
          <w:rFonts w:cs="Times New Roman"/>
          <w:sz w:val="20"/>
          <w:szCs w:val="20"/>
        </w:rPr>
        <w:br w:type="page"/>
      </w:r>
    </w:p>
    <w:p w14:paraId="773C00D4" w14:textId="77777777" w:rsidR="00DF3770" w:rsidRPr="00605DCD" w:rsidRDefault="001D3D0F" w:rsidP="00DF3770">
      <w:pPr>
        <w:rPr>
          <w:rFonts w:cs="Times New Roman"/>
        </w:rPr>
      </w:pPr>
      <w:r w:rsidRPr="00051F58">
        <w:rPr>
          <w:rFonts w:cs="Times New Roman"/>
          <w:b/>
        </w:rPr>
        <w:lastRenderedPageBreak/>
        <w:t xml:space="preserve">Table </w:t>
      </w:r>
      <w:r w:rsidR="00823063" w:rsidRPr="00051F58">
        <w:rPr>
          <w:rFonts w:cs="Times New Roman"/>
          <w:b/>
        </w:rPr>
        <w:t>2.</w:t>
      </w:r>
      <w:r w:rsidRPr="00051F58">
        <w:rPr>
          <w:rFonts w:cs="Times New Roman"/>
          <w:b/>
        </w:rPr>
        <w:t>4.</w:t>
      </w:r>
      <w:r w:rsidRPr="00605DCD">
        <w:rPr>
          <w:rFonts w:cs="Times New Roman"/>
        </w:rPr>
        <w:t xml:space="preserve"> </w:t>
      </w:r>
      <w:r w:rsidR="00DF3770" w:rsidRPr="00605DCD">
        <w:rPr>
          <w:rFonts w:cs="Times New Roman"/>
        </w:rPr>
        <w:t>‘Penncross’ creeping bentgrass</w:t>
      </w:r>
      <w:r w:rsidR="00DF3770">
        <w:rPr>
          <w:rFonts w:cs="Times New Roman"/>
        </w:rPr>
        <w:t xml:space="preserve"> injury and clipping yield after pinoxaden application</w:t>
      </w:r>
      <w:r w:rsidR="00DF3770" w:rsidRPr="00605DCD">
        <w:rPr>
          <w:rFonts w:cs="Times New Roman"/>
        </w:rPr>
        <w:t xml:space="preserve"> in a glasshouse in Knoxville, TN in 2013</w:t>
      </w:r>
      <w:r w:rsidR="00DF3770">
        <w:rPr>
          <w:rFonts w:cs="Times New Roman"/>
        </w:rPr>
        <w:t xml:space="preserve">. The herbicide safeners cloquintocet-mexyl, fenchlorazole-ethyl and mefenpyr-diethyl were applied </w:t>
      </w:r>
      <w:r w:rsidR="00DF3770" w:rsidRPr="00605DCD">
        <w:rPr>
          <w:rFonts w:cs="Times New Roman"/>
        </w:rPr>
        <w:t xml:space="preserve">at </w:t>
      </w:r>
      <w:r w:rsidR="00DF3770">
        <w:rPr>
          <w:rFonts w:cs="Times New Roman"/>
          <w:color w:val="000000"/>
        </w:rPr>
        <w:t>450</w:t>
      </w:r>
      <w:r w:rsidR="00DF3770" w:rsidRPr="00256D36">
        <w:rPr>
          <w:rFonts w:cs="Times New Roman"/>
          <w:color w:val="000000"/>
        </w:rPr>
        <w:t xml:space="preserve">, </w:t>
      </w:r>
      <w:r w:rsidR="00DF3770">
        <w:rPr>
          <w:rFonts w:cs="Times New Roman"/>
          <w:color w:val="000000"/>
        </w:rPr>
        <w:t>225</w:t>
      </w:r>
      <w:r w:rsidR="00DF3770" w:rsidRPr="00256D36">
        <w:rPr>
          <w:rFonts w:cs="Times New Roman"/>
          <w:color w:val="000000"/>
        </w:rPr>
        <w:t xml:space="preserve">, </w:t>
      </w:r>
      <w:r w:rsidR="00DF3770">
        <w:rPr>
          <w:rFonts w:cs="Times New Roman"/>
          <w:color w:val="000000"/>
        </w:rPr>
        <w:t>90</w:t>
      </w:r>
      <w:r w:rsidR="00DF3770" w:rsidRPr="00256D36">
        <w:rPr>
          <w:rFonts w:cs="Times New Roman"/>
          <w:color w:val="000000"/>
        </w:rPr>
        <w:t xml:space="preserve">, </w:t>
      </w:r>
      <w:r w:rsidR="00DF3770">
        <w:rPr>
          <w:rFonts w:cs="Times New Roman"/>
          <w:color w:val="000000"/>
        </w:rPr>
        <w:t>68, 45, 23 or</w:t>
      </w:r>
      <w:r w:rsidR="00DF3770" w:rsidRPr="00256D36">
        <w:rPr>
          <w:rFonts w:cs="Times New Roman"/>
          <w:color w:val="000000"/>
        </w:rPr>
        <w:t xml:space="preserve"> 0</w:t>
      </w:r>
      <w:r w:rsidR="00DF3770">
        <w:rPr>
          <w:rFonts w:cs="Times New Roman"/>
          <w:color w:val="000000"/>
        </w:rPr>
        <w:t xml:space="preserve"> </w:t>
      </w:r>
      <w:r w:rsidR="00DF3770" w:rsidRPr="00605DCD">
        <w:rPr>
          <w:rFonts w:cs="Times New Roman"/>
        </w:rPr>
        <w:t>g ha</w:t>
      </w:r>
      <w:r w:rsidR="00DF3770" w:rsidRPr="00605DCD">
        <w:rPr>
          <w:rFonts w:cs="Times New Roman"/>
          <w:vertAlign w:val="superscript"/>
        </w:rPr>
        <w:t>-1</w:t>
      </w:r>
      <w:r w:rsidR="00DF3770">
        <w:rPr>
          <w:rFonts w:cs="Times New Roman"/>
        </w:rPr>
        <w:t xml:space="preserve"> 30 min</w:t>
      </w:r>
      <w:r w:rsidR="00DF3770" w:rsidRPr="00605DCD">
        <w:rPr>
          <w:rFonts w:cs="Times New Roman"/>
        </w:rPr>
        <w:t xml:space="preserve">s prior to </w:t>
      </w:r>
      <w:r w:rsidR="00DF3770">
        <w:rPr>
          <w:rFonts w:cs="Times New Roman"/>
        </w:rPr>
        <w:t>pinoxaden (90 g ha</w:t>
      </w:r>
      <w:r w:rsidR="00DF3770" w:rsidRPr="006212E3">
        <w:rPr>
          <w:rFonts w:cs="Times New Roman"/>
          <w:vertAlign w:val="superscript"/>
        </w:rPr>
        <w:t>-1</w:t>
      </w:r>
      <w:r w:rsidR="00DF3770">
        <w:rPr>
          <w:rFonts w:cs="Times New Roman"/>
        </w:rPr>
        <w:t>) application</w:t>
      </w:r>
      <w:r w:rsidR="00DF3770" w:rsidRPr="00605DCD">
        <w:rPr>
          <w:rFonts w:cs="Times New Roman"/>
        </w:rPr>
        <w:t>.</w:t>
      </w:r>
      <w:r w:rsidR="00DF3770">
        <w:rPr>
          <w:rFonts w:cs="Times New Roman"/>
        </w:rPr>
        <w:t xml:space="preserve"> Creeping bentgrass visual injury was evaluated at 2 WAT on a 0 (no injury) to 100% (complete control) scale. Clippings were collected 3 WAT, dried, weighed and transformed to a percentage of the non-treated control. Data are combined across herbicide safeners.</w:t>
      </w:r>
    </w:p>
    <w:tbl>
      <w:tblPr>
        <w:tblStyle w:val="TableGrid"/>
        <w:tblW w:w="5839" w:type="dxa"/>
        <w:jc w:val="center"/>
        <w:tblInd w:w="468" w:type="dxa"/>
        <w:tblLayout w:type="fixed"/>
        <w:tblLook w:val="04A0" w:firstRow="1" w:lastRow="0" w:firstColumn="1" w:lastColumn="0" w:noHBand="0" w:noVBand="1"/>
      </w:tblPr>
      <w:tblGrid>
        <w:gridCol w:w="2070"/>
        <w:gridCol w:w="900"/>
        <w:gridCol w:w="889"/>
        <w:gridCol w:w="990"/>
        <w:gridCol w:w="990"/>
      </w:tblGrid>
      <w:tr w:rsidR="00DF3770" w:rsidRPr="00605DCD" w14:paraId="20682571" w14:textId="77777777">
        <w:trPr>
          <w:jc w:val="center"/>
        </w:trPr>
        <w:tc>
          <w:tcPr>
            <w:tcW w:w="2070" w:type="dxa"/>
            <w:tcBorders>
              <w:top w:val="nil"/>
              <w:left w:val="nil"/>
              <w:bottom w:val="single" w:sz="4" w:space="0" w:color="auto"/>
              <w:right w:val="nil"/>
            </w:tcBorders>
            <w:vAlign w:val="bottom"/>
          </w:tcPr>
          <w:p w14:paraId="53F8C9A3" w14:textId="77777777" w:rsidR="00DF3770" w:rsidRPr="00605DCD" w:rsidRDefault="00DF3770" w:rsidP="00DF3770">
            <w:pPr>
              <w:jc w:val="center"/>
              <w:rPr>
                <w:rFonts w:cs="Times New Roman"/>
                <w:sz w:val="20"/>
                <w:szCs w:val="20"/>
              </w:rPr>
            </w:pPr>
          </w:p>
        </w:tc>
        <w:tc>
          <w:tcPr>
            <w:tcW w:w="1789" w:type="dxa"/>
            <w:gridSpan w:val="2"/>
            <w:tcBorders>
              <w:top w:val="nil"/>
              <w:left w:val="nil"/>
              <w:bottom w:val="single" w:sz="4" w:space="0" w:color="auto"/>
              <w:right w:val="nil"/>
            </w:tcBorders>
          </w:tcPr>
          <w:p w14:paraId="0A5C5F8A" w14:textId="77777777" w:rsidR="00DF3770" w:rsidRPr="00605DCD" w:rsidRDefault="00DF3770" w:rsidP="00DF3770">
            <w:pPr>
              <w:jc w:val="center"/>
              <w:rPr>
                <w:rFonts w:cs="Times New Roman"/>
                <w:sz w:val="20"/>
                <w:szCs w:val="20"/>
              </w:rPr>
            </w:pPr>
          </w:p>
        </w:tc>
        <w:tc>
          <w:tcPr>
            <w:tcW w:w="1980" w:type="dxa"/>
            <w:gridSpan w:val="2"/>
            <w:tcBorders>
              <w:top w:val="nil"/>
              <w:left w:val="nil"/>
              <w:bottom w:val="single" w:sz="4" w:space="0" w:color="auto"/>
              <w:right w:val="nil"/>
            </w:tcBorders>
          </w:tcPr>
          <w:p w14:paraId="14C9E523" w14:textId="77777777" w:rsidR="00DF3770" w:rsidRPr="00605DCD" w:rsidRDefault="00DF3770" w:rsidP="00DF3770">
            <w:pPr>
              <w:jc w:val="center"/>
              <w:rPr>
                <w:rFonts w:cs="Times New Roman"/>
                <w:sz w:val="20"/>
                <w:szCs w:val="20"/>
              </w:rPr>
            </w:pPr>
          </w:p>
        </w:tc>
      </w:tr>
      <w:tr w:rsidR="00DF3770" w:rsidRPr="00605DCD" w14:paraId="58FAFDC5" w14:textId="77777777">
        <w:trPr>
          <w:jc w:val="center"/>
        </w:trPr>
        <w:tc>
          <w:tcPr>
            <w:tcW w:w="2070" w:type="dxa"/>
            <w:tcBorders>
              <w:top w:val="single" w:sz="4" w:space="0" w:color="auto"/>
              <w:left w:val="nil"/>
              <w:bottom w:val="nil"/>
              <w:right w:val="nil"/>
            </w:tcBorders>
            <w:vAlign w:val="bottom"/>
          </w:tcPr>
          <w:p w14:paraId="56711C98" w14:textId="77777777" w:rsidR="00DF3770" w:rsidRPr="00605DCD" w:rsidRDefault="00DF3770" w:rsidP="00DF3770">
            <w:pPr>
              <w:jc w:val="center"/>
              <w:rPr>
                <w:rFonts w:cs="Times New Roman"/>
                <w:sz w:val="20"/>
                <w:szCs w:val="20"/>
              </w:rPr>
            </w:pPr>
          </w:p>
        </w:tc>
        <w:tc>
          <w:tcPr>
            <w:tcW w:w="1789" w:type="dxa"/>
            <w:gridSpan w:val="2"/>
            <w:tcBorders>
              <w:top w:val="single" w:sz="4" w:space="0" w:color="auto"/>
              <w:left w:val="nil"/>
              <w:bottom w:val="nil"/>
              <w:right w:val="nil"/>
            </w:tcBorders>
            <w:vAlign w:val="bottom"/>
          </w:tcPr>
          <w:p w14:paraId="4C62C411" w14:textId="77777777" w:rsidR="00DF3770" w:rsidRPr="00605DCD" w:rsidRDefault="00DF3770" w:rsidP="00DF3770">
            <w:pPr>
              <w:jc w:val="center"/>
              <w:rPr>
                <w:rFonts w:cs="Times New Roman"/>
                <w:sz w:val="20"/>
                <w:szCs w:val="20"/>
              </w:rPr>
            </w:pPr>
            <w:r>
              <w:rPr>
                <w:rFonts w:cs="Times New Roman"/>
                <w:sz w:val="20"/>
                <w:szCs w:val="20"/>
              </w:rPr>
              <w:t>Injury</w:t>
            </w:r>
          </w:p>
        </w:tc>
        <w:tc>
          <w:tcPr>
            <w:tcW w:w="1980" w:type="dxa"/>
            <w:gridSpan w:val="2"/>
            <w:tcBorders>
              <w:top w:val="single" w:sz="4" w:space="0" w:color="auto"/>
              <w:left w:val="nil"/>
              <w:bottom w:val="nil"/>
              <w:right w:val="nil"/>
            </w:tcBorders>
            <w:vAlign w:val="bottom"/>
          </w:tcPr>
          <w:p w14:paraId="040899A5" w14:textId="77777777" w:rsidR="00DF3770" w:rsidRPr="00605DCD" w:rsidRDefault="00DF3770" w:rsidP="00DF3770">
            <w:pPr>
              <w:jc w:val="center"/>
              <w:rPr>
                <w:rFonts w:cs="Times New Roman"/>
                <w:sz w:val="20"/>
                <w:szCs w:val="20"/>
              </w:rPr>
            </w:pPr>
            <w:r>
              <w:rPr>
                <w:rFonts w:cs="Times New Roman"/>
                <w:sz w:val="20"/>
                <w:szCs w:val="20"/>
              </w:rPr>
              <w:t>Clipping yield</w:t>
            </w:r>
          </w:p>
        </w:tc>
      </w:tr>
      <w:tr w:rsidR="00DF3770" w:rsidRPr="00605DCD" w14:paraId="04DDAB1F" w14:textId="77777777">
        <w:trPr>
          <w:jc w:val="center"/>
        </w:trPr>
        <w:tc>
          <w:tcPr>
            <w:tcW w:w="2070" w:type="dxa"/>
            <w:tcBorders>
              <w:top w:val="nil"/>
              <w:left w:val="nil"/>
              <w:bottom w:val="single" w:sz="4" w:space="0" w:color="auto"/>
              <w:right w:val="nil"/>
            </w:tcBorders>
            <w:vAlign w:val="bottom"/>
          </w:tcPr>
          <w:p w14:paraId="2FE65C90" w14:textId="77777777" w:rsidR="00DF3770" w:rsidRDefault="00DF3770" w:rsidP="00DF3770">
            <w:pPr>
              <w:jc w:val="center"/>
              <w:rPr>
                <w:rFonts w:cs="Times New Roman"/>
                <w:sz w:val="20"/>
                <w:szCs w:val="20"/>
              </w:rPr>
            </w:pPr>
            <w:r>
              <w:rPr>
                <w:rFonts w:cs="Times New Roman"/>
                <w:sz w:val="20"/>
                <w:szCs w:val="20"/>
              </w:rPr>
              <w:t>Safener Rate</w:t>
            </w:r>
          </w:p>
        </w:tc>
        <w:tc>
          <w:tcPr>
            <w:tcW w:w="900" w:type="dxa"/>
            <w:tcBorders>
              <w:top w:val="nil"/>
              <w:left w:val="nil"/>
              <w:bottom w:val="single" w:sz="4" w:space="0" w:color="auto"/>
              <w:right w:val="nil"/>
            </w:tcBorders>
            <w:vAlign w:val="bottom"/>
          </w:tcPr>
          <w:p w14:paraId="3379CCAA" w14:textId="77777777" w:rsidR="00DF3770" w:rsidRDefault="00DF3770" w:rsidP="00DF3770">
            <w:pPr>
              <w:jc w:val="center"/>
              <w:rPr>
                <w:rFonts w:cs="Times New Roman"/>
                <w:sz w:val="20"/>
                <w:szCs w:val="20"/>
              </w:rPr>
            </w:pPr>
            <w:r>
              <w:rPr>
                <w:rFonts w:cs="Times New Roman"/>
                <w:sz w:val="20"/>
                <w:szCs w:val="20"/>
              </w:rPr>
              <w:t>Run A</w:t>
            </w:r>
          </w:p>
        </w:tc>
        <w:tc>
          <w:tcPr>
            <w:tcW w:w="889" w:type="dxa"/>
            <w:tcBorders>
              <w:top w:val="nil"/>
              <w:left w:val="nil"/>
              <w:bottom w:val="single" w:sz="4" w:space="0" w:color="auto"/>
              <w:right w:val="nil"/>
            </w:tcBorders>
            <w:vAlign w:val="bottom"/>
          </w:tcPr>
          <w:p w14:paraId="62AD731E" w14:textId="77777777" w:rsidR="00DF3770" w:rsidRDefault="00DF3770" w:rsidP="00DF3770">
            <w:pPr>
              <w:jc w:val="center"/>
              <w:rPr>
                <w:rFonts w:cs="Times New Roman"/>
                <w:sz w:val="20"/>
                <w:szCs w:val="20"/>
              </w:rPr>
            </w:pPr>
            <w:r>
              <w:rPr>
                <w:rFonts w:cs="Times New Roman"/>
                <w:sz w:val="20"/>
                <w:szCs w:val="20"/>
              </w:rPr>
              <w:t>Run B</w:t>
            </w:r>
          </w:p>
        </w:tc>
        <w:tc>
          <w:tcPr>
            <w:tcW w:w="990" w:type="dxa"/>
            <w:tcBorders>
              <w:top w:val="nil"/>
              <w:left w:val="nil"/>
              <w:bottom w:val="single" w:sz="4" w:space="0" w:color="auto"/>
              <w:right w:val="nil"/>
            </w:tcBorders>
            <w:vAlign w:val="bottom"/>
          </w:tcPr>
          <w:p w14:paraId="33262C2D" w14:textId="77777777" w:rsidR="00DF3770" w:rsidRDefault="00DF3770" w:rsidP="00DF3770">
            <w:pPr>
              <w:jc w:val="center"/>
              <w:rPr>
                <w:rFonts w:cs="Times New Roman"/>
                <w:sz w:val="20"/>
                <w:szCs w:val="20"/>
              </w:rPr>
            </w:pPr>
            <w:r>
              <w:rPr>
                <w:rFonts w:cs="Times New Roman"/>
                <w:sz w:val="20"/>
                <w:szCs w:val="20"/>
              </w:rPr>
              <w:t>Run A</w:t>
            </w:r>
          </w:p>
        </w:tc>
        <w:tc>
          <w:tcPr>
            <w:tcW w:w="990" w:type="dxa"/>
            <w:tcBorders>
              <w:top w:val="nil"/>
              <w:left w:val="nil"/>
              <w:bottom w:val="single" w:sz="4" w:space="0" w:color="auto"/>
              <w:right w:val="nil"/>
            </w:tcBorders>
            <w:vAlign w:val="bottom"/>
          </w:tcPr>
          <w:p w14:paraId="5A7991DD" w14:textId="77777777" w:rsidR="00DF3770" w:rsidRDefault="00DF3770" w:rsidP="00DF3770">
            <w:pPr>
              <w:jc w:val="center"/>
              <w:rPr>
                <w:rFonts w:cs="Times New Roman"/>
                <w:sz w:val="20"/>
                <w:szCs w:val="20"/>
              </w:rPr>
            </w:pPr>
            <w:r>
              <w:rPr>
                <w:rFonts w:cs="Times New Roman"/>
                <w:sz w:val="20"/>
                <w:szCs w:val="20"/>
              </w:rPr>
              <w:t>Run B</w:t>
            </w:r>
          </w:p>
        </w:tc>
      </w:tr>
      <w:tr w:rsidR="00DF3770" w:rsidRPr="00605DCD" w14:paraId="0CFB4B59" w14:textId="77777777">
        <w:trPr>
          <w:jc w:val="center"/>
        </w:trPr>
        <w:tc>
          <w:tcPr>
            <w:tcW w:w="2070" w:type="dxa"/>
            <w:tcBorders>
              <w:top w:val="single" w:sz="4" w:space="0" w:color="auto"/>
              <w:left w:val="nil"/>
              <w:bottom w:val="nil"/>
              <w:right w:val="nil"/>
            </w:tcBorders>
            <w:vAlign w:val="bottom"/>
          </w:tcPr>
          <w:p w14:paraId="46FA83F3" w14:textId="77777777" w:rsidR="00DF3770" w:rsidRPr="00605DCD" w:rsidRDefault="00DF3770" w:rsidP="00DF3770">
            <w:pPr>
              <w:jc w:val="center"/>
              <w:rPr>
                <w:rFonts w:cs="Times New Roman"/>
                <w:sz w:val="20"/>
                <w:szCs w:val="20"/>
              </w:rPr>
            </w:pPr>
            <w:r w:rsidRPr="00A310BF">
              <w:rPr>
                <w:rFonts w:cs="Times New Roman"/>
                <w:sz w:val="20"/>
                <w:szCs w:val="20"/>
                <w:vertAlign w:val="superscript"/>
              </w:rPr>
              <w:t>___</w:t>
            </w:r>
            <w:proofErr w:type="gramStart"/>
            <w:r>
              <w:rPr>
                <w:rFonts w:cs="Times New Roman"/>
                <w:sz w:val="20"/>
                <w:szCs w:val="20"/>
              </w:rPr>
              <w:t>g</w:t>
            </w:r>
            <w:proofErr w:type="gramEnd"/>
            <w:r>
              <w:rPr>
                <w:rFonts w:cs="Times New Roman"/>
                <w:sz w:val="20"/>
                <w:szCs w:val="20"/>
              </w:rPr>
              <w:t xml:space="preserve"> ha</w:t>
            </w:r>
            <w:r w:rsidRPr="00A310BF">
              <w:rPr>
                <w:rFonts w:cs="Times New Roman"/>
                <w:sz w:val="20"/>
                <w:szCs w:val="20"/>
                <w:vertAlign w:val="superscript"/>
              </w:rPr>
              <w:t>-1___</w:t>
            </w:r>
          </w:p>
        </w:tc>
        <w:tc>
          <w:tcPr>
            <w:tcW w:w="1789" w:type="dxa"/>
            <w:gridSpan w:val="2"/>
            <w:tcBorders>
              <w:top w:val="single" w:sz="4" w:space="0" w:color="auto"/>
              <w:left w:val="nil"/>
              <w:bottom w:val="nil"/>
              <w:right w:val="nil"/>
            </w:tcBorders>
          </w:tcPr>
          <w:p w14:paraId="13A4EA41" w14:textId="77777777" w:rsidR="00DF3770" w:rsidRPr="00605DCD" w:rsidRDefault="00DF3770" w:rsidP="00DF3770">
            <w:pPr>
              <w:jc w:val="center"/>
              <w:rPr>
                <w:rFonts w:cs="Times New Roman"/>
                <w:sz w:val="20"/>
                <w:szCs w:val="20"/>
              </w:rPr>
            </w:pPr>
            <w:r>
              <w:rPr>
                <w:rFonts w:cs="Times New Roman"/>
                <w:sz w:val="20"/>
                <w:szCs w:val="20"/>
                <w:vertAlign w:val="superscript"/>
              </w:rPr>
              <w:t>______</w:t>
            </w:r>
            <w:r w:rsidRPr="008B621B">
              <w:rPr>
                <w:rFonts w:cs="Times New Roman"/>
                <w:sz w:val="20"/>
                <w:szCs w:val="20"/>
                <w:vertAlign w:val="superscript"/>
              </w:rPr>
              <w:t>_</w:t>
            </w:r>
            <w:r>
              <w:rPr>
                <w:rFonts w:cs="Times New Roman"/>
                <w:sz w:val="20"/>
                <w:szCs w:val="20"/>
              </w:rPr>
              <w:t>%</w:t>
            </w:r>
            <w:r w:rsidRPr="008B621B">
              <w:rPr>
                <w:rFonts w:cs="Times New Roman"/>
                <w:sz w:val="20"/>
                <w:szCs w:val="20"/>
                <w:vertAlign w:val="superscript"/>
              </w:rPr>
              <w:t>_</w:t>
            </w:r>
            <w:r>
              <w:rPr>
                <w:rFonts w:cs="Times New Roman"/>
                <w:sz w:val="20"/>
                <w:szCs w:val="20"/>
                <w:vertAlign w:val="superscript"/>
              </w:rPr>
              <w:t>______</w:t>
            </w:r>
          </w:p>
        </w:tc>
        <w:tc>
          <w:tcPr>
            <w:tcW w:w="1980" w:type="dxa"/>
            <w:gridSpan w:val="2"/>
            <w:tcBorders>
              <w:top w:val="single" w:sz="4" w:space="0" w:color="auto"/>
              <w:left w:val="nil"/>
              <w:bottom w:val="nil"/>
              <w:right w:val="nil"/>
            </w:tcBorders>
          </w:tcPr>
          <w:p w14:paraId="38BB8572" w14:textId="77777777" w:rsidR="00DF3770" w:rsidRPr="00605DCD" w:rsidRDefault="00DF3770" w:rsidP="00DF3770">
            <w:pPr>
              <w:jc w:val="center"/>
              <w:rPr>
                <w:rFonts w:cs="Times New Roman"/>
                <w:sz w:val="20"/>
                <w:szCs w:val="20"/>
              </w:rPr>
            </w:pPr>
            <w:r w:rsidRPr="008B621B">
              <w:rPr>
                <w:rFonts w:cs="Times New Roman"/>
                <w:sz w:val="20"/>
                <w:szCs w:val="20"/>
                <w:vertAlign w:val="superscript"/>
              </w:rPr>
              <w:t>__</w:t>
            </w:r>
            <w:r>
              <w:rPr>
                <w:rFonts w:cs="Times New Roman"/>
                <w:sz w:val="20"/>
                <w:szCs w:val="20"/>
              </w:rPr>
              <w:t xml:space="preserve">% </w:t>
            </w:r>
            <w:proofErr w:type="gramStart"/>
            <w:r>
              <w:rPr>
                <w:rFonts w:cs="Times New Roman"/>
                <w:sz w:val="20"/>
                <w:szCs w:val="20"/>
              </w:rPr>
              <w:t>of</w:t>
            </w:r>
            <w:proofErr w:type="gramEnd"/>
            <w:r>
              <w:rPr>
                <w:rFonts w:cs="Times New Roman"/>
                <w:sz w:val="20"/>
                <w:szCs w:val="20"/>
              </w:rPr>
              <w:t xml:space="preserve"> non-treated</w:t>
            </w:r>
            <w:r w:rsidRPr="008B621B">
              <w:rPr>
                <w:rFonts w:cs="Times New Roman"/>
                <w:sz w:val="20"/>
                <w:szCs w:val="20"/>
                <w:vertAlign w:val="superscript"/>
              </w:rPr>
              <w:t>__</w:t>
            </w:r>
          </w:p>
        </w:tc>
      </w:tr>
      <w:tr w:rsidR="00DF3770" w:rsidRPr="00605DCD" w14:paraId="6A553573" w14:textId="77777777">
        <w:trPr>
          <w:jc w:val="center"/>
        </w:trPr>
        <w:tc>
          <w:tcPr>
            <w:tcW w:w="2070" w:type="dxa"/>
            <w:tcBorders>
              <w:top w:val="nil"/>
              <w:left w:val="nil"/>
              <w:bottom w:val="nil"/>
              <w:right w:val="nil"/>
            </w:tcBorders>
            <w:vAlign w:val="bottom"/>
          </w:tcPr>
          <w:p w14:paraId="1F863C26" w14:textId="77777777" w:rsidR="00DF3770" w:rsidRPr="00605DCD" w:rsidRDefault="00DF3770" w:rsidP="00DF3770">
            <w:pPr>
              <w:jc w:val="center"/>
              <w:rPr>
                <w:rFonts w:cs="Times New Roman"/>
                <w:sz w:val="20"/>
                <w:szCs w:val="20"/>
              </w:rPr>
            </w:pPr>
            <w:r>
              <w:rPr>
                <w:rFonts w:cs="Times New Roman"/>
                <w:sz w:val="20"/>
                <w:szCs w:val="20"/>
              </w:rPr>
              <w:t>450</w:t>
            </w:r>
            <w:r w:rsidRPr="00605DCD">
              <w:rPr>
                <w:rFonts w:cs="Times New Roman"/>
                <w:sz w:val="20"/>
                <w:szCs w:val="20"/>
                <w:vertAlign w:val="superscript"/>
              </w:rPr>
              <w:t>a</w:t>
            </w:r>
          </w:p>
        </w:tc>
        <w:tc>
          <w:tcPr>
            <w:tcW w:w="900" w:type="dxa"/>
            <w:tcBorders>
              <w:top w:val="nil"/>
              <w:left w:val="nil"/>
              <w:bottom w:val="nil"/>
              <w:right w:val="nil"/>
            </w:tcBorders>
          </w:tcPr>
          <w:p w14:paraId="7BBE34B9" w14:textId="77777777" w:rsidR="00DF3770" w:rsidRPr="00605DCD" w:rsidRDefault="00DF3770" w:rsidP="00DF3770">
            <w:pPr>
              <w:jc w:val="center"/>
              <w:rPr>
                <w:rFonts w:cs="Times New Roman"/>
                <w:sz w:val="20"/>
                <w:szCs w:val="20"/>
              </w:rPr>
            </w:pPr>
            <w:r>
              <w:rPr>
                <w:rFonts w:cs="Times New Roman"/>
                <w:sz w:val="20"/>
                <w:szCs w:val="20"/>
              </w:rPr>
              <w:t>2</w:t>
            </w:r>
          </w:p>
        </w:tc>
        <w:tc>
          <w:tcPr>
            <w:tcW w:w="889" w:type="dxa"/>
            <w:tcBorders>
              <w:top w:val="nil"/>
              <w:left w:val="nil"/>
              <w:bottom w:val="nil"/>
              <w:right w:val="nil"/>
            </w:tcBorders>
          </w:tcPr>
          <w:p w14:paraId="4AF9A2E1" w14:textId="77777777" w:rsidR="00DF3770" w:rsidRPr="00605DCD" w:rsidRDefault="00DF3770" w:rsidP="00DF3770">
            <w:pPr>
              <w:jc w:val="center"/>
              <w:rPr>
                <w:rFonts w:cs="Times New Roman"/>
                <w:sz w:val="20"/>
                <w:szCs w:val="20"/>
              </w:rPr>
            </w:pPr>
            <w:r>
              <w:rPr>
                <w:rFonts w:cs="Times New Roman"/>
                <w:sz w:val="20"/>
                <w:szCs w:val="20"/>
              </w:rPr>
              <w:t>1</w:t>
            </w:r>
          </w:p>
        </w:tc>
        <w:tc>
          <w:tcPr>
            <w:tcW w:w="990" w:type="dxa"/>
            <w:tcBorders>
              <w:top w:val="nil"/>
              <w:left w:val="nil"/>
              <w:bottom w:val="nil"/>
              <w:right w:val="nil"/>
            </w:tcBorders>
          </w:tcPr>
          <w:p w14:paraId="65EA6D60" w14:textId="77777777" w:rsidR="00DF3770" w:rsidRPr="00605DCD" w:rsidRDefault="00DF3770" w:rsidP="00DF3770">
            <w:pPr>
              <w:jc w:val="center"/>
              <w:rPr>
                <w:rFonts w:cs="Times New Roman"/>
                <w:sz w:val="20"/>
                <w:szCs w:val="20"/>
              </w:rPr>
            </w:pPr>
            <w:r>
              <w:rPr>
                <w:rFonts w:cs="Times New Roman"/>
                <w:sz w:val="20"/>
                <w:szCs w:val="20"/>
              </w:rPr>
              <w:t>70</w:t>
            </w:r>
          </w:p>
        </w:tc>
        <w:tc>
          <w:tcPr>
            <w:tcW w:w="990" w:type="dxa"/>
            <w:tcBorders>
              <w:top w:val="nil"/>
              <w:left w:val="nil"/>
              <w:bottom w:val="nil"/>
              <w:right w:val="nil"/>
            </w:tcBorders>
          </w:tcPr>
          <w:p w14:paraId="6D72DB55" w14:textId="77777777" w:rsidR="00DF3770" w:rsidRPr="00605DCD" w:rsidRDefault="00DF3770" w:rsidP="00DF3770">
            <w:pPr>
              <w:jc w:val="center"/>
              <w:rPr>
                <w:rFonts w:cs="Times New Roman"/>
                <w:sz w:val="20"/>
                <w:szCs w:val="20"/>
              </w:rPr>
            </w:pPr>
            <w:r>
              <w:rPr>
                <w:rFonts w:cs="Times New Roman"/>
                <w:sz w:val="20"/>
                <w:szCs w:val="20"/>
              </w:rPr>
              <w:t>77</w:t>
            </w:r>
          </w:p>
        </w:tc>
      </w:tr>
      <w:tr w:rsidR="00DF3770" w:rsidRPr="00605DCD" w14:paraId="34CD1AA2" w14:textId="77777777">
        <w:trPr>
          <w:jc w:val="center"/>
        </w:trPr>
        <w:tc>
          <w:tcPr>
            <w:tcW w:w="2070" w:type="dxa"/>
            <w:tcBorders>
              <w:top w:val="nil"/>
              <w:left w:val="nil"/>
              <w:bottom w:val="nil"/>
              <w:right w:val="nil"/>
            </w:tcBorders>
            <w:vAlign w:val="bottom"/>
          </w:tcPr>
          <w:p w14:paraId="61F07A6E" w14:textId="77777777" w:rsidR="00DF3770" w:rsidRPr="00605DCD" w:rsidRDefault="00DF3770" w:rsidP="00DF3770">
            <w:pPr>
              <w:jc w:val="center"/>
              <w:rPr>
                <w:rFonts w:cs="Times New Roman"/>
                <w:sz w:val="20"/>
                <w:szCs w:val="20"/>
              </w:rPr>
            </w:pPr>
            <w:r>
              <w:rPr>
                <w:rFonts w:cs="Times New Roman"/>
                <w:sz w:val="20"/>
                <w:szCs w:val="20"/>
              </w:rPr>
              <w:t>225</w:t>
            </w:r>
          </w:p>
        </w:tc>
        <w:tc>
          <w:tcPr>
            <w:tcW w:w="900" w:type="dxa"/>
            <w:tcBorders>
              <w:top w:val="nil"/>
              <w:left w:val="nil"/>
              <w:bottom w:val="nil"/>
              <w:right w:val="nil"/>
            </w:tcBorders>
          </w:tcPr>
          <w:p w14:paraId="6195BF40" w14:textId="77777777" w:rsidR="00DF3770" w:rsidRPr="00605DCD" w:rsidRDefault="00DF3770" w:rsidP="00DF3770">
            <w:pPr>
              <w:jc w:val="center"/>
              <w:rPr>
                <w:rFonts w:cs="Times New Roman"/>
                <w:sz w:val="20"/>
                <w:szCs w:val="20"/>
              </w:rPr>
            </w:pPr>
            <w:r>
              <w:rPr>
                <w:rFonts w:cs="Times New Roman"/>
                <w:sz w:val="20"/>
                <w:szCs w:val="20"/>
              </w:rPr>
              <w:t>6</w:t>
            </w:r>
          </w:p>
        </w:tc>
        <w:tc>
          <w:tcPr>
            <w:tcW w:w="889" w:type="dxa"/>
            <w:tcBorders>
              <w:top w:val="nil"/>
              <w:left w:val="nil"/>
              <w:bottom w:val="nil"/>
              <w:right w:val="nil"/>
            </w:tcBorders>
          </w:tcPr>
          <w:p w14:paraId="48D6ECAA" w14:textId="77777777" w:rsidR="00DF3770" w:rsidRPr="00605DCD" w:rsidRDefault="00DF3770" w:rsidP="00DF3770">
            <w:pPr>
              <w:jc w:val="center"/>
              <w:rPr>
                <w:rFonts w:cs="Times New Roman"/>
                <w:sz w:val="20"/>
                <w:szCs w:val="20"/>
              </w:rPr>
            </w:pPr>
            <w:r>
              <w:rPr>
                <w:rFonts w:cs="Times New Roman"/>
                <w:sz w:val="20"/>
                <w:szCs w:val="20"/>
              </w:rPr>
              <w:t>4</w:t>
            </w:r>
          </w:p>
        </w:tc>
        <w:tc>
          <w:tcPr>
            <w:tcW w:w="990" w:type="dxa"/>
            <w:tcBorders>
              <w:top w:val="nil"/>
              <w:left w:val="nil"/>
              <w:bottom w:val="nil"/>
              <w:right w:val="nil"/>
            </w:tcBorders>
          </w:tcPr>
          <w:p w14:paraId="78421D9B" w14:textId="77777777" w:rsidR="00DF3770" w:rsidRPr="00605DCD" w:rsidRDefault="00DF3770" w:rsidP="00DF3770">
            <w:pPr>
              <w:jc w:val="center"/>
              <w:rPr>
                <w:rFonts w:cs="Times New Roman"/>
                <w:sz w:val="20"/>
                <w:szCs w:val="20"/>
              </w:rPr>
            </w:pPr>
            <w:r>
              <w:rPr>
                <w:rFonts w:cs="Times New Roman"/>
                <w:sz w:val="20"/>
                <w:szCs w:val="20"/>
              </w:rPr>
              <w:t>57</w:t>
            </w:r>
          </w:p>
        </w:tc>
        <w:tc>
          <w:tcPr>
            <w:tcW w:w="990" w:type="dxa"/>
            <w:tcBorders>
              <w:top w:val="nil"/>
              <w:left w:val="nil"/>
              <w:bottom w:val="nil"/>
              <w:right w:val="nil"/>
            </w:tcBorders>
          </w:tcPr>
          <w:p w14:paraId="1B76BA13" w14:textId="77777777" w:rsidR="00DF3770" w:rsidRPr="00605DCD" w:rsidRDefault="00DF3770" w:rsidP="00DF3770">
            <w:pPr>
              <w:jc w:val="center"/>
              <w:rPr>
                <w:rFonts w:cs="Times New Roman"/>
                <w:sz w:val="20"/>
                <w:szCs w:val="20"/>
              </w:rPr>
            </w:pPr>
            <w:r>
              <w:rPr>
                <w:rFonts w:cs="Times New Roman"/>
                <w:sz w:val="20"/>
                <w:szCs w:val="20"/>
              </w:rPr>
              <w:t>68</w:t>
            </w:r>
          </w:p>
        </w:tc>
      </w:tr>
      <w:tr w:rsidR="00DF3770" w:rsidRPr="00605DCD" w14:paraId="06E14800" w14:textId="77777777">
        <w:trPr>
          <w:jc w:val="center"/>
        </w:trPr>
        <w:tc>
          <w:tcPr>
            <w:tcW w:w="2070" w:type="dxa"/>
            <w:tcBorders>
              <w:top w:val="nil"/>
              <w:left w:val="nil"/>
              <w:bottom w:val="nil"/>
              <w:right w:val="nil"/>
            </w:tcBorders>
            <w:vAlign w:val="bottom"/>
          </w:tcPr>
          <w:p w14:paraId="3B838761" w14:textId="77777777" w:rsidR="00DF3770" w:rsidRPr="00605DCD" w:rsidRDefault="00DF3770" w:rsidP="00DF3770">
            <w:pPr>
              <w:jc w:val="center"/>
              <w:rPr>
                <w:rFonts w:cs="Times New Roman"/>
                <w:sz w:val="20"/>
                <w:szCs w:val="20"/>
              </w:rPr>
            </w:pPr>
            <w:r>
              <w:rPr>
                <w:rFonts w:cs="Times New Roman"/>
                <w:sz w:val="20"/>
                <w:szCs w:val="20"/>
              </w:rPr>
              <w:t>90</w:t>
            </w:r>
          </w:p>
        </w:tc>
        <w:tc>
          <w:tcPr>
            <w:tcW w:w="900" w:type="dxa"/>
            <w:tcBorders>
              <w:top w:val="nil"/>
              <w:left w:val="nil"/>
              <w:bottom w:val="nil"/>
              <w:right w:val="nil"/>
            </w:tcBorders>
          </w:tcPr>
          <w:p w14:paraId="3FED5580" w14:textId="77777777" w:rsidR="00DF3770" w:rsidRPr="00605DCD" w:rsidRDefault="00DF3770" w:rsidP="00DF3770">
            <w:pPr>
              <w:jc w:val="center"/>
              <w:rPr>
                <w:rFonts w:cs="Times New Roman"/>
                <w:sz w:val="20"/>
                <w:szCs w:val="20"/>
              </w:rPr>
            </w:pPr>
            <w:r>
              <w:rPr>
                <w:rFonts w:cs="Times New Roman"/>
                <w:sz w:val="20"/>
                <w:szCs w:val="20"/>
              </w:rPr>
              <w:t>7</w:t>
            </w:r>
          </w:p>
        </w:tc>
        <w:tc>
          <w:tcPr>
            <w:tcW w:w="889" w:type="dxa"/>
            <w:tcBorders>
              <w:top w:val="nil"/>
              <w:left w:val="nil"/>
              <w:bottom w:val="nil"/>
              <w:right w:val="nil"/>
            </w:tcBorders>
          </w:tcPr>
          <w:p w14:paraId="0EF5F15C" w14:textId="77777777" w:rsidR="00DF3770" w:rsidRPr="00605DCD" w:rsidRDefault="00DF3770" w:rsidP="00DF3770">
            <w:pPr>
              <w:jc w:val="center"/>
              <w:rPr>
                <w:rFonts w:cs="Times New Roman"/>
                <w:sz w:val="20"/>
                <w:szCs w:val="20"/>
              </w:rPr>
            </w:pPr>
            <w:r>
              <w:rPr>
                <w:rFonts w:cs="Times New Roman"/>
                <w:sz w:val="20"/>
                <w:szCs w:val="20"/>
              </w:rPr>
              <w:t>4</w:t>
            </w:r>
          </w:p>
        </w:tc>
        <w:tc>
          <w:tcPr>
            <w:tcW w:w="990" w:type="dxa"/>
            <w:tcBorders>
              <w:top w:val="nil"/>
              <w:left w:val="nil"/>
              <w:bottom w:val="nil"/>
              <w:right w:val="nil"/>
            </w:tcBorders>
          </w:tcPr>
          <w:p w14:paraId="0C391271" w14:textId="77777777" w:rsidR="00DF3770" w:rsidRPr="00605DCD" w:rsidRDefault="00DF3770" w:rsidP="00DF3770">
            <w:pPr>
              <w:jc w:val="center"/>
              <w:rPr>
                <w:rFonts w:cs="Times New Roman"/>
                <w:sz w:val="20"/>
                <w:szCs w:val="20"/>
              </w:rPr>
            </w:pPr>
            <w:r>
              <w:rPr>
                <w:rFonts w:cs="Times New Roman"/>
                <w:sz w:val="20"/>
                <w:szCs w:val="20"/>
              </w:rPr>
              <w:t>59</w:t>
            </w:r>
          </w:p>
        </w:tc>
        <w:tc>
          <w:tcPr>
            <w:tcW w:w="990" w:type="dxa"/>
            <w:tcBorders>
              <w:top w:val="nil"/>
              <w:left w:val="nil"/>
              <w:bottom w:val="nil"/>
              <w:right w:val="nil"/>
            </w:tcBorders>
          </w:tcPr>
          <w:p w14:paraId="04853F7D" w14:textId="77777777" w:rsidR="00DF3770" w:rsidRPr="00605DCD" w:rsidRDefault="00DF3770" w:rsidP="00DF3770">
            <w:pPr>
              <w:jc w:val="center"/>
              <w:rPr>
                <w:rFonts w:cs="Times New Roman"/>
                <w:sz w:val="20"/>
                <w:szCs w:val="20"/>
              </w:rPr>
            </w:pPr>
            <w:r>
              <w:rPr>
                <w:rFonts w:cs="Times New Roman"/>
                <w:sz w:val="20"/>
                <w:szCs w:val="20"/>
              </w:rPr>
              <w:t>66</w:t>
            </w:r>
          </w:p>
        </w:tc>
      </w:tr>
      <w:tr w:rsidR="00DF3770" w:rsidRPr="00605DCD" w14:paraId="629B42F8" w14:textId="77777777">
        <w:trPr>
          <w:jc w:val="center"/>
        </w:trPr>
        <w:tc>
          <w:tcPr>
            <w:tcW w:w="2070" w:type="dxa"/>
            <w:tcBorders>
              <w:top w:val="nil"/>
              <w:left w:val="nil"/>
              <w:bottom w:val="nil"/>
              <w:right w:val="nil"/>
            </w:tcBorders>
            <w:vAlign w:val="bottom"/>
          </w:tcPr>
          <w:p w14:paraId="0B93D436" w14:textId="77777777" w:rsidR="00DF3770" w:rsidRPr="00605DCD" w:rsidRDefault="00DF3770" w:rsidP="00DF3770">
            <w:pPr>
              <w:jc w:val="center"/>
              <w:rPr>
                <w:rFonts w:cs="Times New Roman"/>
                <w:sz w:val="20"/>
                <w:szCs w:val="20"/>
              </w:rPr>
            </w:pPr>
            <w:r>
              <w:rPr>
                <w:rFonts w:cs="Times New Roman"/>
                <w:sz w:val="20"/>
                <w:szCs w:val="20"/>
              </w:rPr>
              <w:t>68</w:t>
            </w:r>
          </w:p>
        </w:tc>
        <w:tc>
          <w:tcPr>
            <w:tcW w:w="900" w:type="dxa"/>
            <w:tcBorders>
              <w:top w:val="nil"/>
              <w:left w:val="nil"/>
              <w:bottom w:val="nil"/>
              <w:right w:val="nil"/>
            </w:tcBorders>
          </w:tcPr>
          <w:p w14:paraId="4140D589" w14:textId="77777777" w:rsidR="00DF3770" w:rsidRPr="00605DCD" w:rsidRDefault="00DF3770" w:rsidP="00DF3770">
            <w:pPr>
              <w:jc w:val="center"/>
              <w:rPr>
                <w:rFonts w:cs="Times New Roman"/>
                <w:sz w:val="20"/>
                <w:szCs w:val="20"/>
              </w:rPr>
            </w:pPr>
            <w:r>
              <w:rPr>
                <w:rFonts w:cs="Times New Roman"/>
                <w:sz w:val="20"/>
                <w:szCs w:val="20"/>
              </w:rPr>
              <w:t>10</w:t>
            </w:r>
          </w:p>
        </w:tc>
        <w:tc>
          <w:tcPr>
            <w:tcW w:w="889" w:type="dxa"/>
            <w:tcBorders>
              <w:top w:val="nil"/>
              <w:left w:val="nil"/>
              <w:bottom w:val="nil"/>
              <w:right w:val="nil"/>
            </w:tcBorders>
          </w:tcPr>
          <w:p w14:paraId="6F4CD244" w14:textId="77777777" w:rsidR="00DF3770" w:rsidRPr="00605DCD" w:rsidRDefault="00DF3770" w:rsidP="00DF3770">
            <w:pPr>
              <w:jc w:val="center"/>
              <w:rPr>
                <w:rFonts w:cs="Times New Roman"/>
                <w:sz w:val="20"/>
                <w:szCs w:val="20"/>
              </w:rPr>
            </w:pPr>
            <w:r>
              <w:rPr>
                <w:rFonts w:cs="Times New Roman"/>
                <w:sz w:val="20"/>
                <w:szCs w:val="20"/>
              </w:rPr>
              <w:t>2</w:t>
            </w:r>
          </w:p>
        </w:tc>
        <w:tc>
          <w:tcPr>
            <w:tcW w:w="990" w:type="dxa"/>
            <w:tcBorders>
              <w:top w:val="nil"/>
              <w:left w:val="nil"/>
              <w:bottom w:val="nil"/>
              <w:right w:val="nil"/>
            </w:tcBorders>
          </w:tcPr>
          <w:p w14:paraId="712B7150" w14:textId="77777777" w:rsidR="00DF3770" w:rsidRPr="00605DCD" w:rsidRDefault="00DF3770" w:rsidP="00DF3770">
            <w:pPr>
              <w:jc w:val="center"/>
              <w:rPr>
                <w:rFonts w:cs="Times New Roman"/>
                <w:sz w:val="20"/>
                <w:szCs w:val="20"/>
              </w:rPr>
            </w:pPr>
            <w:r>
              <w:rPr>
                <w:rFonts w:cs="Times New Roman"/>
                <w:sz w:val="20"/>
                <w:szCs w:val="20"/>
              </w:rPr>
              <w:t>51</w:t>
            </w:r>
          </w:p>
        </w:tc>
        <w:tc>
          <w:tcPr>
            <w:tcW w:w="990" w:type="dxa"/>
            <w:tcBorders>
              <w:top w:val="nil"/>
              <w:left w:val="nil"/>
              <w:bottom w:val="nil"/>
              <w:right w:val="nil"/>
            </w:tcBorders>
          </w:tcPr>
          <w:p w14:paraId="2AA6F895" w14:textId="77777777" w:rsidR="00DF3770" w:rsidRPr="00605DCD" w:rsidRDefault="00DF3770" w:rsidP="00DF3770">
            <w:pPr>
              <w:jc w:val="center"/>
              <w:rPr>
                <w:rFonts w:cs="Times New Roman"/>
                <w:sz w:val="20"/>
                <w:szCs w:val="20"/>
              </w:rPr>
            </w:pPr>
            <w:r>
              <w:rPr>
                <w:rFonts w:cs="Times New Roman"/>
                <w:sz w:val="20"/>
                <w:szCs w:val="20"/>
              </w:rPr>
              <w:t>65</w:t>
            </w:r>
          </w:p>
        </w:tc>
      </w:tr>
      <w:tr w:rsidR="00DF3770" w:rsidRPr="00605DCD" w14:paraId="37BCA77D" w14:textId="77777777">
        <w:trPr>
          <w:jc w:val="center"/>
        </w:trPr>
        <w:tc>
          <w:tcPr>
            <w:tcW w:w="2070" w:type="dxa"/>
            <w:tcBorders>
              <w:top w:val="nil"/>
              <w:left w:val="nil"/>
              <w:bottom w:val="nil"/>
              <w:right w:val="nil"/>
            </w:tcBorders>
            <w:vAlign w:val="bottom"/>
          </w:tcPr>
          <w:p w14:paraId="796511EF" w14:textId="77777777" w:rsidR="00DF3770" w:rsidRPr="00605DCD" w:rsidRDefault="00DF3770" w:rsidP="00DF3770">
            <w:pPr>
              <w:jc w:val="center"/>
              <w:rPr>
                <w:rFonts w:cs="Times New Roman"/>
                <w:sz w:val="20"/>
                <w:szCs w:val="20"/>
              </w:rPr>
            </w:pPr>
            <w:r>
              <w:rPr>
                <w:rFonts w:cs="Times New Roman"/>
                <w:sz w:val="20"/>
                <w:szCs w:val="20"/>
              </w:rPr>
              <w:t>45</w:t>
            </w:r>
          </w:p>
        </w:tc>
        <w:tc>
          <w:tcPr>
            <w:tcW w:w="900" w:type="dxa"/>
            <w:tcBorders>
              <w:top w:val="nil"/>
              <w:left w:val="nil"/>
              <w:bottom w:val="nil"/>
              <w:right w:val="nil"/>
            </w:tcBorders>
          </w:tcPr>
          <w:p w14:paraId="356E08F8" w14:textId="77777777" w:rsidR="00DF3770" w:rsidRPr="00605DCD" w:rsidRDefault="00DF3770" w:rsidP="00DF3770">
            <w:pPr>
              <w:jc w:val="center"/>
              <w:rPr>
                <w:rFonts w:cs="Times New Roman"/>
                <w:sz w:val="20"/>
                <w:szCs w:val="20"/>
              </w:rPr>
            </w:pPr>
            <w:r>
              <w:rPr>
                <w:rFonts w:cs="Times New Roman"/>
                <w:sz w:val="20"/>
                <w:szCs w:val="20"/>
              </w:rPr>
              <w:t>9</w:t>
            </w:r>
          </w:p>
        </w:tc>
        <w:tc>
          <w:tcPr>
            <w:tcW w:w="889" w:type="dxa"/>
            <w:tcBorders>
              <w:top w:val="nil"/>
              <w:left w:val="nil"/>
              <w:bottom w:val="nil"/>
              <w:right w:val="nil"/>
            </w:tcBorders>
          </w:tcPr>
          <w:p w14:paraId="595AD168" w14:textId="77777777" w:rsidR="00DF3770" w:rsidRPr="00605DCD" w:rsidRDefault="00DF3770" w:rsidP="00DF3770">
            <w:pPr>
              <w:jc w:val="center"/>
              <w:rPr>
                <w:rFonts w:cs="Times New Roman"/>
                <w:sz w:val="20"/>
                <w:szCs w:val="20"/>
              </w:rPr>
            </w:pPr>
            <w:r>
              <w:rPr>
                <w:rFonts w:cs="Times New Roman"/>
                <w:sz w:val="20"/>
                <w:szCs w:val="20"/>
              </w:rPr>
              <w:t>5</w:t>
            </w:r>
          </w:p>
        </w:tc>
        <w:tc>
          <w:tcPr>
            <w:tcW w:w="990" w:type="dxa"/>
            <w:tcBorders>
              <w:top w:val="nil"/>
              <w:left w:val="nil"/>
              <w:bottom w:val="nil"/>
              <w:right w:val="nil"/>
            </w:tcBorders>
          </w:tcPr>
          <w:p w14:paraId="0C206F48" w14:textId="77777777" w:rsidR="00DF3770" w:rsidRPr="00605DCD" w:rsidRDefault="00DF3770" w:rsidP="00DF3770">
            <w:pPr>
              <w:jc w:val="center"/>
              <w:rPr>
                <w:rFonts w:cs="Times New Roman"/>
                <w:sz w:val="20"/>
                <w:szCs w:val="20"/>
              </w:rPr>
            </w:pPr>
            <w:r>
              <w:rPr>
                <w:rFonts w:cs="Times New Roman"/>
                <w:sz w:val="20"/>
                <w:szCs w:val="20"/>
              </w:rPr>
              <w:t>46</w:t>
            </w:r>
          </w:p>
        </w:tc>
        <w:tc>
          <w:tcPr>
            <w:tcW w:w="990" w:type="dxa"/>
            <w:tcBorders>
              <w:top w:val="nil"/>
              <w:left w:val="nil"/>
              <w:bottom w:val="nil"/>
              <w:right w:val="nil"/>
            </w:tcBorders>
          </w:tcPr>
          <w:p w14:paraId="5359D13B" w14:textId="77777777" w:rsidR="00DF3770" w:rsidRPr="00605DCD" w:rsidRDefault="00DF3770" w:rsidP="00DF3770">
            <w:pPr>
              <w:jc w:val="center"/>
              <w:rPr>
                <w:rFonts w:cs="Times New Roman"/>
                <w:sz w:val="20"/>
                <w:szCs w:val="20"/>
              </w:rPr>
            </w:pPr>
            <w:r>
              <w:rPr>
                <w:rFonts w:cs="Times New Roman"/>
                <w:sz w:val="20"/>
                <w:szCs w:val="20"/>
              </w:rPr>
              <w:t>70</w:t>
            </w:r>
          </w:p>
        </w:tc>
      </w:tr>
      <w:tr w:rsidR="00DF3770" w:rsidRPr="00605DCD" w14:paraId="032DB015" w14:textId="77777777">
        <w:trPr>
          <w:jc w:val="center"/>
        </w:trPr>
        <w:tc>
          <w:tcPr>
            <w:tcW w:w="2070" w:type="dxa"/>
            <w:tcBorders>
              <w:top w:val="nil"/>
              <w:left w:val="nil"/>
              <w:bottom w:val="nil"/>
              <w:right w:val="nil"/>
            </w:tcBorders>
            <w:vAlign w:val="bottom"/>
          </w:tcPr>
          <w:p w14:paraId="5B724531" w14:textId="77777777" w:rsidR="00DF3770" w:rsidRPr="00605DCD" w:rsidRDefault="00DF3770" w:rsidP="00DF3770">
            <w:pPr>
              <w:jc w:val="center"/>
              <w:rPr>
                <w:rFonts w:cs="Times New Roman"/>
                <w:sz w:val="20"/>
                <w:szCs w:val="20"/>
              </w:rPr>
            </w:pPr>
            <w:r>
              <w:rPr>
                <w:rFonts w:cs="Times New Roman"/>
                <w:sz w:val="20"/>
                <w:szCs w:val="20"/>
              </w:rPr>
              <w:t>23</w:t>
            </w:r>
          </w:p>
        </w:tc>
        <w:tc>
          <w:tcPr>
            <w:tcW w:w="900" w:type="dxa"/>
            <w:tcBorders>
              <w:top w:val="nil"/>
              <w:left w:val="nil"/>
              <w:bottom w:val="nil"/>
              <w:right w:val="nil"/>
            </w:tcBorders>
          </w:tcPr>
          <w:p w14:paraId="49D56063" w14:textId="77777777" w:rsidR="00DF3770" w:rsidRPr="00605DCD" w:rsidRDefault="00DF3770" w:rsidP="00DF3770">
            <w:pPr>
              <w:jc w:val="center"/>
              <w:rPr>
                <w:rFonts w:cs="Times New Roman"/>
                <w:sz w:val="20"/>
                <w:szCs w:val="20"/>
              </w:rPr>
            </w:pPr>
            <w:r>
              <w:rPr>
                <w:rFonts w:cs="Times New Roman"/>
                <w:sz w:val="20"/>
                <w:szCs w:val="20"/>
              </w:rPr>
              <w:t>11</w:t>
            </w:r>
          </w:p>
        </w:tc>
        <w:tc>
          <w:tcPr>
            <w:tcW w:w="889" w:type="dxa"/>
            <w:tcBorders>
              <w:top w:val="nil"/>
              <w:left w:val="nil"/>
              <w:bottom w:val="nil"/>
              <w:right w:val="nil"/>
            </w:tcBorders>
          </w:tcPr>
          <w:p w14:paraId="19DF8BE9" w14:textId="77777777" w:rsidR="00DF3770" w:rsidRPr="00605DCD" w:rsidRDefault="00DF3770" w:rsidP="00DF3770">
            <w:pPr>
              <w:jc w:val="center"/>
              <w:rPr>
                <w:rFonts w:cs="Times New Roman"/>
                <w:sz w:val="20"/>
                <w:szCs w:val="20"/>
              </w:rPr>
            </w:pPr>
            <w:r>
              <w:rPr>
                <w:rFonts w:cs="Times New Roman"/>
                <w:sz w:val="20"/>
                <w:szCs w:val="20"/>
              </w:rPr>
              <w:t>7</w:t>
            </w:r>
          </w:p>
        </w:tc>
        <w:tc>
          <w:tcPr>
            <w:tcW w:w="990" w:type="dxa"/>
            <w:tcBorders>
              <w:top w:val="nil"/>
              <w:left w:val="nil"/>
              <w:bottom w:val="nil"/>
              <w:right w:val="nil"/>
            </w:tcBorders>
          </w:tcPr>
          <w:p w14:paraId="30072A3C" w14:textId="77777777" w:rsidR="00DF3770" w:rsidRPr="00605DCD" w:rsidRDefault="00DF3770" w:rsidP="00DF3770">
            <w:pPr>
              <w:jc w:val="center"/>
              <w:rPr>
                <w:rFonts w:cs="Times New Roman"/>
                <w:sz w:val="20"/>
                <w:szCs w:val="20"/>
              </w:rPr>
            </w:pPr>
            <w:r>
              <w:rPr>
                <w:rFonts w:cs="Times New Roman"/>
                <w:sz w:val="20"/>
                <w:szCs w:val="20"/>
              </w:rPr>
              <w:t>40</w:t>
            </w:r>
          </w:p>
        </w:tc>
        <w:tc>
          <w:tcPr>
            <w:tcW w:w="990" w:type="dxa"/>
            <w:tcBorders>
              <w:top w:val="nil"/>
              <w:left w:val="nil"/>
              <w:bottom w:val="nil"/>
              <w:right w:val="nil"/>
            </w:tcBorders>
          </w:tcPr>
          <w:p w14:paraId="1DEC094E" w14:textId="77777777" w:rsidR="00DF3770" w:rsidRPr="00605DCD" w:rsidRDefault="00DF3770" w:rsidP="00DF3770">
            <w:pPr>
              <w:jc w:val="center"/>
              <w:rPr>
                <w:rFonts w:cs="Times New Roman"/>
                <w:sz w:val="20"/>
                <w:szCs w:val="20"/>
              </w:rPr>
            </w:pPr>
            <w:r>
              <w:rPr>
                <w:rFonts w:cs="Times New Roman"/>
                <w:sz w:val="20"/>
                <w:szCs w:val="20"/>
              </w:rPr>
              <w:t>66</w:t>
            </w:r>
          </w:p>
        </w:tc>
      </w:tr>
      <w:tr w:rsidR="00DF3770" w:rsidRPr="00605DCD" w14:paraId="261E900F" w14:textId="77777777">
        <w:trPr>
          <w:jc w:val="center"/>
        </w:trPr>
        <w:tc>
          <w:tcPr>
            <w:tcW w:w="2070" w:type="dxa"/>
            <w:tcBorders>
              <w:top w:val="nil"/>
              <w:left w:val="nil"/>
              <w:bottom w:val="nil"/>
              <w:right w:val="nil"/>
            </w:tcBorders>
            <w:vAlign w:val="bottom"/>
          </w:tcPr>
          <w:p w14:paraId="0AC8D8B1" w14:textId="77777777" w:rsidR="00DF3770" w:rsidRPr="00605DCD" w:rsidRDefault="00DF3770" w:rsidP="00DF3770">
            <w:pPr>
              <w:jc w:val="center"/>
              <w:rPr>
                <w:rFonts w:cs="Times New Roman"/>
                <w:sz w:val="20"/>
                <w:szCs w:val="20"/>
              </w:rPr>
            </w:pPr>
            <w:r>
              <w:rPr>
                <w:rFonts w:cs="Times New Roman"/>
                <w:sz w:val="20"/>
                <w:szCs w:val="20"/>
              </w:rPr>
              <w:t>0</w:t>
            </w:r>
          </w:p>
        </w:tc>
        <w:tc>
          <w:tcPr>
            <w:tcW w:w="900" w:type="dxa"/>
            <w:tcBorders>
              <w:top w:val="nil"/>
              <w:left w:val="nil"/>
              <w:bottom w:val="nil"/>
              <w:right w:val="nil"/>
            </w:tcBorders>
          </w:tcPr>
          <w:p w14:paraId="562DC795" w14:textId="77777777" w:rsidR="00DF3770" w:rsidRPr="00605DCD" w:rsidRDefault="00DF3770" w:rsidP="00DF3770">
            <w:pPr>
              <w:jc w:val="center"/>
              <w:rPr>
                <w:rFonts w:cs="Times New Roman"/>
                <w:sz w:val="20"/>
                <w:szCs w:val="20"/>
              </w:rPr>
            </w:pPr>
            <w:r>
              <w:rPr>
                <w:rFonts w:cs="Times New Roman"/>
                <w:sz w:val="20"/>
                <w:szCs w:val="20"/>
              </w:rPr>
              <w:t>15</w:t>
            </w:r>
          </w:p>
        </w:tc>
        <w:tc>
          <w:tcPr>
            <w:tcW w:w="889" w:type="dxa"/>
            <w:tcBorders>
              <w:top w:val="nil"/>
              <w:left w:val="nil"/>
              <w:bottom w:val="nil"/>
              <w:right w:val="nil"/>
            </w:tcBorders>
          </w:tcPr>
          <w:p w14:paraId="354E8253" w14:textId="77777777" w:rsidR="00DF3770" w:rsidRPr="00605DCD" w:rsidRDefault="00DF3770" w:rsidP="00DF3770">
            <w:pPr>
              <w:jc w:val="center"/>
              <w:rPr>
                <w:rFonts w:cs="Times New Roman"/>
                <w:sz w:val="20"/>
                <w:szCs w:val="20"/>
              </w:rPr>
            </w:pPr>
            <w:r>
              <w:rPr>
                <w:rFonts w:cs="Times New Roman"/>
                <w:sz w:val="20"/>
                <w:szCs w:val="20"/>
              </w:rPr>
              <w:t>8</w:t>
            </w:r>
          </w:p>
        </w:tc>
        <w:tc>
          <w:tcPr>
            <w:tcW w:w="990" w:type="dxa"/>
            <w:tcBorders>
              <w:top w:val="nil"/>
              <w:left w:val="nil"/>
              <w:bottom w:val="nil"/>
              <w:right w:val="nil"/>
            </w:tcBorders>
          </w:tcPr>
          <w:p w14:paraId="1FEA8797" w14:textId="77777777" w:rsidR="00DF3770" w:rsidRPr="00605DCD" w:rsidRDefault="00DF3770" w:rsidP="00DF3770">
            <w:pPr>
              <w:jc w:val="center"/>
              <w:rPr>
                <w:rFonts w:cs="Times New Roman"/>
                <w:sz w:val="20"/>
                <w:szCs w:val="20"/>
              </w:rPr>
            </w:pPr>
            <w:r>
              <w:rPr>
                <w:rFonts w:cs="Times New Roman"/>
                <w:sz w:val="20"/>
                <w:szCs w:val="20"/>
              </w:rPr>
              <w:t>26</w:t>
            </w:r>
          </w:p>
        </w:tc>
        <w:tc>
          <w:tcPr>
            <w:tcW w:w="990" w:type="dxa"/>
            <w:tcBorders>
              <w:top w:val="nil"/>
              <w:left w:val="nil"/>
              <w:bottom w:val="nil"/>
              <w:right w:val="nil"/>
            </w:tcBorders>
          </w:tcPr>
          <w:p w14:paraId="036072BE" w14:textId="77777777" w:rsidR="00DF3770" w:rsidRPr="00605DCD" w:rsidRDefault="00DF3770" w:rsidP="00DF3770">
            <w:pPr>
              <w:jc w:val="center"/>
              <w:rPr>
                <w:rFonts w:cs="Times New Roman"/>
                <w:sz w:val="20"/>
                <w:szCs w:val="20"/>
              </w:rPr>
            </w:pPr>
            <w:r>
              <w:rPr>
                <w:rFonts w:cs="Times New Roman"/>
                <w:sz w:val="20"/>
                <w:szCs w:val="20"/>
              </w:rPr>
              <w:t>56</w:t>
            </w:r>
          </w:p>
        </w:tc>
      </w:tr>
      <w:tr w:rsidR="00DF3770" w:rsidRPr="00605DCD" w14:paraId="19EB7DAB" w14:textId="77777777">
        <w:trPr>
          <w:jc w:val="center"/>
        </w:trPr>
        <w:tc>
          <w:tcPr>
            <w:tcW w:w="2070" w:type="dxa"/>
            <w:tcBorders>
              <w:top w:val="nil"/>
              <w:left w:val="nil"/>
              <w:bottom w:val="single" w:sz="4" w:space="0" w:color="auto"/>
              <w:right w:val="nil"/>
            </w:tcBorders>
            <w:vAlign w:val="bottom"/>
          </w:tcPr>
          <w:p w14:paraId="7D89494A" w14:textId="77777777" w:rsidR="00DF3770" w:rsidRDefault="00DF3770" w:rsidP="00DF3770">
            <w:pPr>
              <w:jc w:val="right"/>
              <w:rPr>
                <w:rFonts w:cs="Times New Roman"/>
                <w:sz w:val="20"/>
                <w:szCs w:val="20"/>
              </w:rPr>
            </w:pPr>
            <w:r>
              <w:rPr>
                <w:rFonts w:cs="Times New Roman"/>
                <w:sz w:val="20"/>
                <w:szCs w:val="20"/>
              </w:rPr>
              <w:t>LSD</w:t>
            </w:r>
            <w:r w:rsidRPr="000538BF">
              <w:rPr>
                <w:rFonts w:cs="Times New Roman"/>
                <w:sz w:val="20"/>
                <w:szCs w:val="20"/>
                <w:vertAlign w:val="subscript"/>
              </w:rPr>
              <w:t>0.05</w:t>
            </w:r>
          </w:p>
        </w:tc>
        <w:tc>
          <w:tcPr>
            <w:tcW w:w="900" w:type="dxa"/>
            <w:tcBorders>
              <w:top w:val="nil"/>
              <w:left w:val="nil"/>
              <w:bottom w:val="single" w:sz="4" w:space="0" w:color="auto"/>
              <w:right w:val="nil"/>
            </w:tcBorders>
          </w:tcPr>
          <w:p w14:paraId="16CDA4C8" w14:textId="77777777" w:rsidR="00DF3770" w:rsidRPr="00605DCD" w:rsidRDefault="00DF3770" w:rsidP="00DF3770">
            <w:pPr>
              <w:jc w:val="center"/>
              <w:rPr>
                <w:rFonts w:cs="Times New Roman"/>
                <w:sz w:val="20"/>
                <w:szCs w:val="20"/>
              </w:rPr>
            </w:pPr>
            <w:r>
              <w:rPr>
                <w:rFonts w:cs="Times New Roman"/>
                <w:sz w:val="20"/>
                <w:szCs w:val="20"/>
              </w:rPr>
              <w:t>3</w:t>
            </w:r>
          </w:p>
        </w:tc>
        <w:tc>
          <w:tcPr>
            <w:tcW w:w="889" w:type="dxa"/>
            <w:tcBorders>
              <w:top w:val="nil"/>
              <w:left w:val="nil"/>
              <w:bottom w:val="single" w:sz="4" w:space="0" w:color="auto"/>
              <w:right w:val="nil"/>
            </w:tcBorders>
          </w:tcPr>
          <w:p w14:paraId="6A373ABC" w14:textId="77777777" w:rsidR="00DF3770" w:rsidRPr="00605DCD" w:rsidRDefault="00DF3770" w:rsidP="00DF3770">
            <w:pPr>
              <w:jc w:val="center"/>
              <w:rPr>
                <w:rFonts w:cs="Times New Roman"/>
                <w:sz w:val="20"/>
                <w:szCs w:val="20"/>
              </w:rPr>
            </w:pPr>
            <w:r>
              <w:rPr>
                <w:rFonts w:cs="Times New Roman"/>
                <w:sz w:val="20"/>
                <w:szCs w:val="20"/>
              </w:rPr>
              <w:t>3</w:t>
            </w:r>
          </w:p>
        </w:tc>
        <w:tc>
          <w:tcPr>
            <w:tcW w:w="990" w:type="dxa"/>
            <w:tcBorders>
              <w:top w:val="nil"/>
              <w:left w:val="nil"/>
              <w:bottom w:val="single" w:sz="4" w:space="0" w:color="auto"/>
              <w:right w:val="nil"/>
            </w:tcBorders>
          </w:tcPr>
          <w:p w14:paraId="63D53355" w14:textId="77777777" w:rsidR="00DF3770" w:rsidRPr="00605DCD" w:rsidRDefault="00DF3770" w:rsidP="00DF3770">
            <w:pPr>
              <w:jc w:val="center"/>
              <w:rPr>
                <w:rFonts w:cs="Times New Roman"/>
                <w:sz w:val="20"/>
                <w:szCs w:val="20"/>
              </w:rPr>
            </w:pPr>
            <w:r>
              <w:rPr>
                <w:rFonts w:cs="Times New Roman"/>
                <w:sz w:val="20"/>
                <w:szCs w:val="20"/>
              </w:rPr>
              <w:t>9</w:t>
            </w:r>
          </w:p>
        </w:tc>
        <w:tc>
          <w:tcPr>
            <w:tcW w:w="990" w:type="dxa"/>
            <w:tcBorders>
              <w:top w:val="nil"/>
              <w:left w:val="nil"/>
              <w:bottom w:val="single" w:sz="4" w:space="0" w:color="auto"/>
              <w:right w:val="nil"/>
            </w:tcBorders>
          </w:tcPr>
          <w:p w14:paraId="051F3972" w14:textId="77777777" w:rsidR="00DF3770" w:rsidRPr="00605DCD" w:rsidRDefault="00DF3770" w:rsidP="00DF3770">
            <w:pPr>
              <w:jc w:val="center"/>
              <w:rPr>
                <w:rFonts w:cs="Times New Roman"/>
                <w:sz w:val="20"/>
                <w:szCs w:val="20"/>
              </w:rPr>
            </w:pPr>
            <w:r>
              <w:rPr>
                <w:rFonts w:cs="Times New Roman"/>
                <w:sz w:val="20"/>
                <w:szCs w:val="20"/>
              </w:rPr>
              <w:t>17</w:t>
            </w:r>
          </w:p>
        </w:tc>
      </w:tr>
    </w:tbl>
    <w:p w14:paraId="7A40C5E2" w14:textId="77777777" w:rsidR="00110EA5" w:rsidRDefault="00DF3770" w:rsidP="00DF3770">
      <w:pPr>
        <w:jc w:val="center"/>
        <w:rPr>
          <w:rFonts w:cs="Times New Roman"/>
          <w:sz w:val="20"/>
          <w:szCs w:val="20"/>
        </w:rPr>
        <w:sectPr w:rsidR="00110EA5">
          <w:pgSz w:w="12240" w:h="15840"/>
          <w:pgMar w:top="1440" w:right="1440" w:bottom="1440" w:left="1440" w:header="720" w:footer="720" w:gutter="0"/>
          <w:cols w:space="720"/>
          <w:docGrid w:linePitch="360"/>
        </w:sectPr>
      </w:pPr>
      <w:proofErr w:type="gramStart"/>
      <w:r w:rsidRPr="00605DCD">
        <w:rPr>
          <w:rFonts w:cs="Times New Roman"/>
          <w:sz w:val="20"/>
          <w:szCs w:val="20"/>
          <w:vertAlign w:val="superscript"/>
        </w:rPr>
        <w:t>a</w:t>
      </w:r>
      <w:r>
        <w:rPr>
          <w:rFonts w:cs="Times New Roman"/>
          <w:sz w:val="20"/>
          <w:szCs w:val="20"/>
        </w:rPr>
        <w:t>All</w:t>
      </w:r>
      <w:proofErr w:type="gramEnd"/>
      <w:r>
        <w:rPr>
          <w:rFonts w:cs="Times New Roman"/>
          <w:sz w:val="20"/>
          <w:szCs w:val="20"/>
        </w:rPr>
        <w:t xml:space="preserve"> treatments</w:t>
      </w:r>
      <w:r w:rsidRPr="00605DCD">
        <w:rPr>
          <w:rFonts w:cs="Times New Roman"/>
          <w:sz w:val="20"/>
          <w:szCs w:val="20"/>
        </w:rPr>
        <w:t xml:space="preserve"> were applied with non-ionic surfactant at 0.25% v/v.</w:t>
      </w:r>
    </w:p>
    <w:p w14:paraId="21F47B38" w14:textId="5706ECA5" w:rsidR="00DF3770" w:rsidRPr="00FB57D4" w:rsidRDefault="001D3D0F" w:rsidP="00DF3770">
      <w:pPr>
        <w:rPr>
          <w:rFonts w:cs="Times New Roman"/>
          <w:sz w:val="20"/>
          <w:szCs w:val="20"/>
        </w:rPr>
      </w:pPr>
      <w:r w:rsidRPr="00051F58">
        <w:rPr>
          <w:rFonts w:cs="Times New Roman"/>
          <w:b/>
        </w:rPr>
        <w:lastRenderedPageBreak/>
        <w:t xml:space="preserve">Table </w:t>
      </w:r>
      <w:r w:rsidR="00823063" w:rsidRPr="00051F58">
        <w:rPr>
          <w:rFonts w:cs="Times New Roman"/>
          <w:b/>
        </w:rPr>
        <w:t>2.</w:t>
      </w:r>
      <w:r w:rsidRPr="00051F58">
        <w:rPr>
          <w:rFonts w:cs="Times New Roman"/>
          <w:b/>
        </w:rPr>
        <w:t>5.</w:t>
      </w:r>
      <w:r w:rsidRPr="00605DCD">
        <w:rPr>
          <w:rFonts w:cs="Times New Roman"/>
        </w:rPr>
        <w:t xml:space="preserve"> </w:t>
      </w:r>
      <w:r w:rsidR="00DF3770" w:rsidRPr="00605DCD">
        <w:rPr>
          <w:rFonts w:cs="Times New Roman"/>
        </w:rPr>
        <w:t>‘Penncross’ creeping bentgrass</w:t>
      </w:r>
      <w:r w:rsidR="00DF3770">
        <w:rPr>
          <w:rFonts w:cs="Times New Roman"/>
        </w:rPr>
        <w:t xml:space="preserve"> and perennial ryegrass clipping yield after pinoxaden application</w:t>
      </w:r>
      <w:r w:rsidR="00DF3770" w:rsidRPr="00605DCD">
        <w:rPr>
          <w:rFonts w:cs="Times New Roman"/>
        </w:rPr>
        <w:t xml:space="preserve"> in a glasshouse in Knoxville, TN in 201</w:t>
      </w:r>
      <w:r w:rsidR="00DF3770">
        <w:rPr>
          <w:rFonts w:cs="Times New Roman"/>
        </w:rPr>
        <w:t xml:space="preserve">4. The herbicide safeners cloquintocet-mexyl, fenchlorazole-ethyl and mefenpyr-diethyl were applied </w:t>
      </w:r>
      <w:r w:rsidR="00DF3770" w:rsidRPr="00605DCD">
        <w:rPr>
          <w:rFonts w:cs="Times New Roman"/>
        </w:rPr>
        <w:t xml:space="preserve">at </w:t>
      </w:r>
      <w:r w:rsidR="00DF3770">
        <w:rPr>
          <w:rFonts w:cs="Times New Roman"/>
          <w:color w:val="000000"/>
        </w:rPr>
        <w:t xml:space="preserve">High or Low rates (225 or 68 </w:t>
      </w:r>
      <w:r w:rsidR="00DF3770" w:rsidRPr="00605DCD">
        <w:rPr>
          <w:rFonts w:cs="Times New Roman"/>
        </w:rPr>
        <w:t>g ha</w:t>
      </w:r>
      <w:r w:rsidR="00DF3770" w:rsidRPr="00605DCD">
        <w:rPr>
          <w:rFonts w:cs="Times New Roman"/>
          <w:vertAlign w:val="superscript"/>
        </w:rPr>
        <w:t>-1</w:t>
      </w:r>
      <w:r w:rsidR="00DF3770">
        <w:rPr>
          <w:rFonts w:cs="Times New Roman"/>
        </w:rPr>
        <w:t>, respectively) 30 min</w:t>
      </w:r>
      <w:r w:rsidR="00DF3770" w:rsidRPr="00605DCD">
        <w:rPr>
          <w:rFonts w:cs="Times New Roman"/>
        </w:rPr>
        <w:t xml:space="preserve">s prior to </w:t>
      </w:r>
      <w:r w:rsidR="00DF3770">
        <w:rPr>
          <w:rFonts w:cs="Times New Roman"/>
        </w:rPr>
        <w:t>pinoxaden (90 g ha</w:t>
      </w:r>
      <w:r w:rsidR="00DF3770" w:rsidRPr="006212E3">
        <w:rPr>
          <w:rFonts w:cs="Times New Roman"/>
          <w:vertAlign w:val="superscript"/>
        </w:rPr>
        <w:t>-1</w:t>
      </w:r>
      <w:r w:rsidR="00DF3770">
        <w:rPr>
          <w:rFonts w:cs="Times New Roman"/>
        </w:rPr>
        <w:t>) application</w:t>
      </w:r>
      <w:r w:rsidR="00DF3770" w:rsidRPr="00605DCD">
        <w:rPr>
          <w:rFonts w:cs="Times New Roman"/>
        </w:rPr>
        <w:t>.</w:t>
      </w:r>
      <w:r w:rsidR="00DF3770">
        <w:rPr>
          <w:rFonts w:cs="Times New Roman"/>
        </w:rPr>
        <w:t xml:space="preserve"> Clippings were collected 2 and 4 weeks after treatment, dried, weighed and transformed to a percentage of the non-treated control. Data are combined across two experimental runs.</w:t>
      </w:r>
    </w:p>
    <w:tbl>
      <w:tblPr>
        <w:tblStyle w:val="TableGrid"/>
        <w:tblW w:w="12420" w:type="dxa"/>
        <w:tblInd w:w="1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825"/>
        <w:gridCol w:w="435"/>
        <w:gridCol w:w="1170"/>
        <w:gridCol w:w="870"/>
        <w:gridCol w:w="390"/>
        <w:gridCol w:w="1260"/>
        <w:gridCol w:w="270"/>
        <w:gridCol w:w="885"/>
        <w:gridCol w:w="375"/>
        <w:gridCol w:w="1440"/>
        <w:gridCol w:w="840"/>
        <w:gridCol w:w="510"/>
        <w:gridCol w:w="1260"/>
      </w:tblGrid>
      <w:tr w:rsidR="00DF3770" w14:paraId="482D8514" w14:textId="77777777">
        <w:tc>
          <w:tcPr>
            <w:tcW w:w="1890" w:type="dxa"/>
            <w:tcBorders>
              <w:top w:val="single" w:sz="4" w:space="0" w:color="auto"/>
              <w:bottom w:val="nil"/>
            </w:tcBorders>
            <w:vAlign w:val="bottom"/>
          </w:tcPr>
          <w:p w14:paraId="3B27E098" w14:textId="77777777" w:rsidR="00DF3770" w:rsidRPr="00722E79" w:rsidRDefault="00DF3770" w:rsidP="00DF3770">
            <w:pPr>
              <w:jc w:val="center"/>
              <w:rPr>
                <w:rFonts w:cs="Times New Roman"/>
                <w:sz w:val="20"/>
                <w:szCs w:val="20"/>
              </w:rPr>
            </w:pPr>
          </w:p>
        </w:tc>
        <w:tc>
          <w:tcPr>
            <w:tcW w:w="4950" w:type="dxa"/>
            <w:gridSpan w:val="6"/>
            <w:tcBorders>
              <w:top w:val="single" w:sz="4" w:space="0" w:color="auto"/>
              <w:bottom w:val="single" w:sz="4" w:space="0" w:color="auto"/>
            </w:tcBorders>
            <w:vAlign w:val="bottom"/>
          </w:tcPr>
          <w:p w14:paraId="03E00B7A" w14:textId="77777777" w:rsidR="00DF3770" w:rsidRPr="00722E79" w:rsidRDefault="00DF3770" w:rsidP="00DF3770">
            <w:pPr>
              <w:jc w:val="center"/>
              <w:rPr>
                <w:rFonts w:cs="Times New Roman"/>
                <w:sz w:val="20"/>
                <w:szCs w:val="20"/>
              </w:rPr>
            </w:pPr>
            <w:r w:rsidRPr="00722E79">
              <w:rPr>
                <w:rFonts w:cs="Times New Roman"/>
                <w:sz w:val="20"/>
                <w:szCs w:val="20"/>
              </w:rPr>
              <w:t>Creeping Bentgrass</w:t>
            </w:r>
          </w:p>
        </w:tc>
        <w:tc>
          <w:tcPr>
            <w:tcW w:w="270" w:type="dxa"/>
            <w:tcBorders>
              <w:top w:val="single" w:sz="4" w:space="0" w:color="auto"/>
              <w:bottom w:val="nil"/>
            </w:tcBorders>
          </w:tcPr>
          <w:p w14:paraId="4524FC25" w14:textId="77777777" w:rsidR="00DF3770" w:rsidRPr="00722E79" w:rsidRDefault="00DF3770" w:rsidP="00DF3770">
            <w:pPr>
              <w:jc w:val="center"/>
              <w:rPr>
                <w:rFonts w:cs="Times New Roman"/>
                <w:sz w:val="20"/>
                <w:szCs w:val="20"/>
              </w:rPr>
            </w:pPr>
          </w:p>
        </w:tc>
        <w:tc>
          <w:tcPr>
            <w:tcW w:w="5310" w:type="dxa"/>
            <w:gridSpan w:val="6"/>
            <w:tcBorders>
              <w:top w:val="single" w:sz="4" w:space="0" w:color="auto"/>
              <w:bottom w:val="single" w:sz="4" w:space="0" w:color="auto"/>
            </w:tcBorders>
          </w:tcPr>
          <w:p w14:paraId="36E9F374" w14:textId="77777777" w:rsidR="00DF3770" w:rsidRPr="00722E79" w:rsidRDefault="00DF3770" w:rsidP="00DF3770">
            <w:pPr>
              <w:jc w:val="center"/>
              <w:rPr>
                <w:rFonts w:cs="Times New Roman"/>
                <w:sz w:val="20"/>
                <w:szCs w:val="20"/>
              </w:rPr>
            </w:pPr>
            <w:r w:rsidRPr="00722E79">
              <w:rPr>
                <w:rFonts w:cs="Times New Roman"/>
                <w:sz w:val="20"/>
                <w:szCs w:val="20"/>
              </w:rPr>
              <w:t>Perennial Ryegrass</w:t>
            </w:r>
          </w:p>
        </w:tc>
      </w:tr>
      <w:tr w:rsidR="00DF3770" w14:paraId="37540A96" w14:textId="77777777">
        <w:tc>
          <w:tcPr>
            <w:tcW w:w="1890" w:type="dxa"/>
            <w:tcBorders>
              <w:bottom w:val="single" w:sz="4" w:space="0" w:color="auto"/>
            </w:tcBorders>
            <w:vAlign w:val="bottom"/>
          </w:tcPr>
          <w:p w14:paraId="1557253D" w14:textId="77777777" w:rsidR="00DF3770" w:rsidRPr="00722E79" w:rsidRDefault="00DF3770" w:rsidP="00DF3770">
            <w:pPr>
              <w:jc w:val="center"/>
              <w:rPr>
                <w:rFonts w:cs="Times New Roman"/>
                <w:sz w:val="20"/>
                <w:szCs w:val="20"/>
              </w:rPr>
            </w:pPr>
            <w:r w:rsidRPr="00722E79">
              <w:rPr>
                <w:rFonts w:cs="Times New Roman"/>
                <w:sz w:val="20"/>
                <w:szCs w:val="20"/>
              </w:rPr>
              <w:t>Safener</w:t>
            </w:r>
          </w:p>
        </w:tc>
        <w:tc>
          <w:tcPr>
            <w:tcW w:w="2430" w:type="dxa"/>
            <w:gridSpan w:val="3"/>
            <w:tcBorders>
              <w:top w:val="single" w:sz="4" w:space="0" w:color="auto"/>
              <w:bottom w:val="single" w:sz="4" w:space="0" w:color="auto"/>
            </w:tcBorders>
            <w:vAlign w:val="bottom"/>
          </w:tcPr>
          <w:p w14:paraId="4B3C47E3" w14:textId="77777777" w:rsidR="00DF3770" w:rsidRPr="009E0902" w:rsidRDefault="00DF3770" w:rsidP="00DF3770">
            <w:pPr>
              <w:jc w:val="center"/>
              <w:rPr>
                <w:rFonts w:cs="Times New Roman"/>
                <w:sz w:val="20"/>
                <w:szCs w:val="20"/>
                <w:vertAlign w:val="superscript"/>
              </w:rPr>
            </w:pPr>
            <w:r w:rsidRPr="00722E79">
              <w:rPr>
                <w:rFonts w:cs="Times New Roman"/>
                <w:sz w:val="20"/>
                <w:szCs w:val="20"/>
              </w:rPr>
              <w:t>2 WAT</w:t>
            </w:r>
            <w:r>
              <w:rPr>
                <w:rFonts w:cs="Times New Roman"/>
                <w:sz w:val="20"/>
                <w:szCs w:val="20"/>
                <w:vertAlign w:val="superscript"/>
              </w:rPr>
              <w:t>a</w:t>
            </w:r>
          </w:p>
        </w:tc>
        <w:tc>
          <w:tcPr>
            <w:tcW w:w="2520" w:type="dxa"/>
            <w:gridSpan w:val="3"/>
            <w:tcBorders>
              <w:top w:val="single" w:sz="4" w:space="0" w:color="auto"/>
              <w:bottom w:val="single" w:sz="4" w:space="0" w:color="auto"/>
            </w:tcBorders>
            <w:vAlign w:val="bottom"/>
          </w:tcPr>
          <w:p w14:paraId="629EA82E" w14:textId="77777777" w:rsidR="00DF3770" w:rsidRPr="00722E79" w:rsidRDefault="00DF3770" w:rsidP="00DF3770">
            <w:pPr>
              <w:jc w:val="center"/>
              <w:rPr>
                <w:rFonts w:cs="Times New Roman"/>
                <w:sz w:val="20"/>
                <w:szCs w:val="20"/>
              </w:rPr>
            </w:pPr>
            <w:r w:rsidRPr="00722E79">
              <w:rPr>
                <w:rFonts w:cs="Times New Roman"/>
                <w:sz w:val="20"/>
                <w:szCs w:val="20"/>
              </w:rPr>
              <w:t>4 WAT</w:t>
            </w:r>
          </w:p>
        </w:tc>
        <w:tc>
          <w:tcPr>
            <w:tcW w:w="270" w:type="dxa"/>
            <w:tcBorders>
              <w:bottom w:val="single" w:sz="4" w:space="0" w:color="auto"/>
            </w:tcBorders>
            <w:vAlign w:val="bottom"/>
          </w:tcPr>
          <w:p w14:paraId="7BA6C8F2" w14:textId="77777777" w:rsidR="00DF3770" w:rsidRPr="00722E79" w:rsidRDefault="00DF3770" w:rsidP="00DF3770">
            <w:pPr>
              <w:jc w:val="center"/>
              <w:rPr>
                <w:rFonts w:cs="Times New Roman"/>
                <w:sz w:val="20"/>
                <w:szCs w:val="20"/>
              </w:rPr>
            </w:pPr>
          </w:p>
        </w:tc>
        <w:tc>
          <w:tcPr>
            <w:tcW w:w="2700" w:type="dxa"/>
            <w:gridSpan w:val="3"/>
            <w:tcBorders>
              <w:top w:val="single" w:sz="4" w:space="0" w:color="auto"/>
              <w:bottom w:val="single" w:sz="4" w:space="0" w:color="auto"/>
            </w:tcBorders>
            <w:vAlign w:val="bottom"/>
          </w:tcPr>
          <w:p w14:paraId="4877DCC2" w14:textId="77777777" w:rsidR="00DF3770" w:rsidRPr="00722E79" w:rsidRDefault="00DF3770" w:rsidP="00DF3770">
            <w:pPr>
              <w:jc w:val="center"/>
              <w:rPr>
                <w:rFonts w:cs="Times New Roman"/>
                <w:sz w:val="20"/>
                <w:szCs w:val="20"/>
              </w:rPr>
            </w:pPr>
            <w:r w:rsidRPr="00722E79">
              <w:rPr>
                <w:rFonts w:cs="Times New Roman"/>
                <w:sz w:val="20"/>
                <w:szCs w:val="20"/>
              </w:rPr>
              <w:t>2 WAT</w:t>
            </w:r>
          </w:p>
        </w:tc>
        <w:tc>
          <w:tcPr>
            <w:tcW w:w="2610" w:type="dxa"/>
            <w:gridSpan w:val="3"/>
            <w:tcBorders>
              <w:top w:val="single" w:sz="4" w:space="0" w:color="auto"/>
              <w:bottom w:val="single" w:sz="4" w:space="0" w:color="auto"/>
            </w:tcBorders>
            <w:vAlign w:val="bottom"/>
          </w:tcPr>
          <w:p w14:paraId="395CC73C" w14:textId="77777777" w:rsidR="00DF3770" w:rsidRPr="00722E79" w:rsidRDefault="00DF3770" w:rsidP="00DF3770">
            <w:pPr>
              <w:jc w:val="center"/>
              <w:rPr>
                <w:rFonts w:cs="Times New Roman"/>
                <w:sz w:val="20"/>
                <w:szCs w:val="20"/>
              </w:rPr>
            </w:pPr>
            <w:r w:rsidRPr="00722E79">
              <w:rPr>
                <w:rFonts w:cs="Times New Roman"/>
                <w:sz w:val="20"/>
                <w:szCs w:val="20"/>
              </w:rPr>
              <w:t>4 WAT</w:t>
            </w:r>
          </w:p>
        </w:tc>
      </w:tr>
      <w:tr w:rsidR="00DF3770" w:rsidRPr="00605DCD" w14:paraId="13E09717" w14:textId="77777777">
        <w:trPr>
          <w:trHeight w:val="512"/>
        </w:trPr>
        <w:tc>
          <w:tcPr>
            <w:tcW w:w="1890" w:type="dxa"/>
            <w:tcBorders>
              <w:top w:val="single" w:sz="4" w:space="0" w:color="auto"/>
            </w:tcBorders>
            <w:vAlign w:val="bottom"/>
          </w:tcPr>
          <w:p w14:paraId="2E26E267" w14:textId="77777777" w:rsidR="00DF3770" w:rsidRPr="00722E79" w:rsidRDefault="00DF3770" w:rsidP="00DF3770">
            <w:pPr>
              <w:jc w:val="center"/>
              <w:rPr>
                <w:rFonts w:cs="Times New Roman"/>
                <w:sz w:val="20"/>
                <w:szCs w:val="20"/>
              </w:rPr>
            </w:pPr>
          </w:p>
        </w:tc>
        <w:tc>
          <w:tcPr>
            <w:tcW w:w="1260" w:type="dxa"/>
            <w:gridSpan w:val="2"/>
            <w:tcBorders>
              <w:top w:val="single" w:sz="4" w:space="0" w:color="auto"/>
            </w:tcBorders>
            <w:vAlign w:val="center"/>
          </w:tcPr>
          <w:p w14:paraId="24C84EF4" w14:textId="77777777" w:rsidR="00DF3770" w:rsidRPr="00722E79" w:rsidRDefault="00DF3770" w:rsidP="00DF3770">
            <w:pPr>
              <w:jc w:val="center"/>
              <w:rPr>
                <w:rFonts w:cs="Times New Roman"/>
                <w:sz w:val="20"/>
                <w:szCs w:val="20"/>
              </w:rPr>
            </w:pPr>
            <w:r w:rsidRPr="00722E79">
              <w:rPr>
                <w:rFonts w:cs="Times New Roman"/>
                <w:sz w:val="20"/>
                <w:szCs w:val="20"/>
              </w:rPr>
              <w:t xml:space="preserve">% </w:t>
            </w:r>
            <w:proofErr w:type="gramStart"/>
            <w:r w:rsidRPr="00722E79">
              <w:rPr>
                <w:rFonts w:cs="Times New Roman"/>
                <w:sz w:val="20"/>
                <w:szCs w:val="20"/>
              </w:rPr>
              <w:t>of</w:t>
            </w:r>
            <w:proofErr w:type="gramEnd"/>
            <w:r w:rsidRPr="00722E79">
              <w:rPr>
                <w:rFonts w:cs="Times New Roman"/>
                <w:sz w:val="20"/>
                <w:szCs w:val="20"/>
              </w:rPr>
              <w:t xml:space="preserve"> control</w:t>
            </w:r>
          </w:p>
        </w:tc>
        <w:tc>
          <w:tcPr>
            <w:tcW w:w="1170" w:type="dxa"/>
            <w:tcBorders>
              <w:top w:val="single" w:sz="4" w:space="0" w:color="auto"/>
            </w:tcBorders>
            <w:vAlign w:val="center"/>
          </w:tcPr>
          <w:p w14:paraId="3389AFB2" w14:textId="77777777" w:rsidR="00DF3770" w:rsidRPr="00722E79" w:rsidRDefault="00DF3770" w:rsidP="00DF3770">
            <w:pPr>
              <w:jc w:val="center"/>
              <w:rPr>
                <w:rFonts w:cs="Times New Roman"/>
                <w:sz w:val="20"/>
                <w:szCs w:val="20"/>
              </w:rPr>
            </w:pPr>
            <w:r w:rsidRPr="00722E79">
              <w:rPr>
                <w:rFonts w:cs="Times New Roman"/>
                <w:sz w:val="20"/>
                <w:szCs w:val="20"/>
              </w:rPr>
              <w:t>Contrast</w:t>
            </w:r>
          </w:p>
        </w:tc>
        <w:tc>
          <w:tcPr>
            <w:tcW w:w="1260" w:type="dxa"/>
            <w:gridSpan w:val="2"/>
            <w:tcBorders>
              <w:top w:val="single" w:sz="4" w:space="0" w:color="auto"/>
            </w:tcBorders>
            <w:vAlign w:val="center"/>
          </w:tcPr>
          <w:p w14:paraId="44261D53" w14:textId="77777777" w:rsidR="00DF3770" w:rsidRPr="00722E79" w:rsidRDefault="00DF3770" w:rsidP="00DF3770">
            <w:pPr>
              <w:jc w:val="center"/>
              <w:rPr>
                <w:rFonts w:cs="Times New Roman"/>
                <w:sz w:val="20"/>
                <w:szCs w:val="20"/>
              </w:rPr>
            </w:pPr>
            <w:r w:rsidRPr="00722E79">
              <w:rPr>
                <w:rFonts w:cs="Times New Roman"/>
                <w:sz w:val="20"/>
                <w:szCs w:val="20"/>
              </w:rPr>
              <w:t xml:space="preserve">% </w:t>
            </w:r>
            <w:proofErr w:type="gramStart"/>
            <w:r w:rsidRPr="00722E79">
              <w:rPr>
                <w:rFonts w:cs="Times New Roman"/>
                <w:sz w:val="20"/>
                <w:szCs w:val="20"/>
              </w:rPr>
              <w:t>of</w:t>
            </w:r>
            <w:proofErr w:type="gramEnd"/>
            <w:r w:rsidRPr="00722E79">
              <w:rPr>
                <w:rFonts w:cs="Times New Roman"/>
                <w:sz w:val="20"/>
                <w:szCs w:val="20"/>
              </w:rPr>
              <w:t xml:space="preserve"> control</w:t>
            </w:r>
          </w:p>
        </w:tc>
        <w:tc>
          <w:tcPr>
            <w:tcW w:w="1260" w:type="dxa"/>
            <w:tcBorders>
              <w:top w:val="single" w:sz="4" w:space="0" w:color="auto"/>
            </w:tcBorders>
            <w:vAlign w:val="center"/>
          </w:tcPr>
          <w:p w14:paraId="053FD4F2" w14:textId="77777777" w:rsidR="00DF3770" w:rsidRPr="00722E79" w:rsidRDefault="00DF3770" w:rsidP="00DF3770">
            <w:pPr>
              <w:jc w:val="center"/>
              <w:rPr>
                <w:rFonts w:cs="Times New Roman"/>
                <w:sz w:val="20"/>
                <w:szCs w:val="20"/>
              </w:rPr>
            </w:pPr>
            <w:r w:rsidRPr="00722E79">
              <w:rPr>
                <w:rFonts w:cs="Times New Roman"/>
                <w:sz w:val="20"/>
                <w:szCs w:val="20"/>
              </w:rPr>
              <w:t>Contrast</w:t>
            </w:r>
          </w:p>
        </w:tc>
        <w:tc>
          <w:tcPr>
            <w:tcW w:w="270" w:type="dxa"/>
            <w:tcBorders>
              <w:top w:val="single" w:sz="4" w:space="0" w:color="auto"/>
            </w:tcBorders>
          </w:tcPr>
          <w:p w14:paraId="7CD8E894" w14:textId="77777777" w:rsidR="00DF3770" w:rsidRPr="00722E79" w:rsidRDefault="00DF3770" w:rsidP="00DF3770">
            <w:pPr>
              <w:jc w:val="center"/>
              <w:rPr>
                <w:rFonts w:cs="Times New Roman"/>
                <w:sz w:val="20"/>
                <w:szCs w:val="20"/>
              </w:rPr>
            </w:pPr>
          </w:p>
        </w:tc>
        <w:tc>
          <w:tcPr>
            <w:tcW w:w="1260" w:type="dxa"/>
            <w:gridSpan w:val="2"/>
            <w:tcBorders>
              <w:top w:val="single" w:sz="4" w:space="0" w:color="auto"/>
            </w:tcBorders>
            <w:vAlign w:val="center"/>
          </w:tcPr>
          <w:p w14:paraId="285F7D76" w14:textId="77777777" w:rsidR="00DF3770" w:rsidRPr="00722E79" w:rsidRDefault="00DF3770" w:rsidP="00DF3770">
            <w:pPr>
              <w:jc w:val="center"/>
              <w:rPr>
                <w:rFonts w:cs="Times New Roman"/>
                <w:sz w:val="20"/>
                <w:szCs w:val="20"/>
              </w:rPr>
            </w:pPr>
            <w:r w:rsidRPr="00722E79">
              <w:rPr>
                <w:rFonts w:cs="Times New Roman"/>
                <w:sz w:val="20"/>
                <w:szCs w:val="20"/>
              </w:rPr>
              <w:t xml:space="preserve">% </w:t>
            </w:r>
            <w:proofErr w:type="gramStart"/>
            <w:r w:rsidRPr="00722E79">
              <w:rPr>
                <w:rFonts w:cs="Times New Roman"/>
                <w:sz w:val="20"/>
                <w:szCs w:val="20"/>
              </w:rPr>
              <w:t>of</w:t>
            </w:r>
            <w:proofErr w:type="gramEnd"/>
            <w:r w:rsidRPr="00722E79">
              <w:rPr>
                <w:rFonts w:cs="Times New Roman"/>
                <w:sz w:val="20"/>
                <w:szCs w:val="20"/>
              </w:rPr>
              <w:t xml:space="preserve"> control</w:t>
            </w:r>
          </w:p>
        </w:tc>
        <w:tc>
          <w:tcPr>
            <w:tcW w:w="1440" w:type="dxa"/>
            <w:tcBorders>
              <w:top w:val="single" w:sz="4" w:space="0" w:color="auto"/>
            </w:tcBorders>
            <w:vAlign w:val="center"/>
          </w:tcPr>
          <w:p w14:paraId="725CEFE8" w14:textId="77777777" w:rsidR="00DF3770" w:rsidRPr="00722E79" w:rsidRDefault="00DF3770" w:rsidP="00DF3770">
            <w:pPr>
              <w:jc w:val="center"/>
              <w:rPr>
                <w:rFonts w:cs="Times New Roman"/>
                <w:sz w:val="20"/>
                <w:szCs w:val="20"/>
              </w:rPr>
            </w:pPr>
            <w:r w:rsidRPr="00722E79">
              <w:rPr>
                <w:rFonts w:cs="Times New Roman"/>
                <w:sz w:val="20"/>
                <w:szCs w:val="20"/>
              </w:rPr>
              <w:t>Contrast</w:t>
            </w:r>
          </w:p>
        </w:tc>
        <w:tc>
          <w:tcPr>
            <w:tcW w:w="1350" w:type="dxa"/>
            <w:gridSpan w:val="2"/>
            <w:tcBorders>
              <w:top w:val="single" w:sz="4" w:space="0" w:color="auto"/>
            </w:tcBorders>
            <w:vAlign w:val="center"/>
          </w:tcPr>
          <w:p w14:paraId="726C8187" w14:textId="77777777" w:rsidR="00DF3770" w:rsidRPr="00722E79" w:rsidRDefault="00DF3770" w:rsidP="00DF3770">
            <w:pPr>
              <w:ind w:right="-108"/>
              <w:jc w:val="center"/>
              <w:rPr>
                <w:rFonts w:cs="Times New Roman"/>
                <w:sz w:val="20"/>
                <w:szCs w:val="20"/>
              </w:rPr>
            </w:pPr>
            <w:r w:rsidRPr="00722E79">
              <w:rPr>
                <w:rFonts w:cs="Times New Roman"/>
                <w:sz w:val="20"/>
                <w:szCs w:val="20"/>
              </w:rPr>
              <w:t xml:space="preserve">% </w:t>
            </w:r>
            <w:proofErr w:type="gramStart"/>
            <w:r w:rsidRPr="00722E79">
              <w:rPr>
                <w:rFonts w:cs="Times New Roman"/>
                <w:sz w:val="20"/>
                <w:szCs w:val="20"/>
              </w:rPr>
              <w:t>of</w:t>
            </w:r>
            <w:proofErr w:type="gramEnd"/>
            <w:r w:rsidRPr="00722E79">
              <w:rPr>
                <w:rFonts w:cs="Times New Roman"/>
                <w:sz w:val="20"/>
                <w:szCs w:val="20"/>
              </w:rPr>
              <w:t xml:space="preserve"> control</w:t>
            </w:r>
          </w:p>
        </w:tc>
        <w:tc>
          <w:tcPr>
            <w:tcW w:w="1260" w:type="dxa"/>
            <w:tcBorders>
              <w:top w:val="single" w:sz="4" w:space="0" w:color="auto"/>
            </w:tcBorders>
            <w:vAlign w:val="center"/>
          </w:tcPr>
          <w:p w14:paraId="47B207C3" w14:textId="77777777" w:rsidR="00DF3770" w:rsidRPr="00722E79" w:rsidRDefault="00DF3770" w:rsidP="00DF3770">
            <w:pPr>
              <w:jc w:val="center"/>
              <w:rPr>
                <w:rFonts w:cs="Times New Roman"/>
                <w:sz w:val="20"/>
                <w:szCs w:val="20"/>
              </w:rPr>
            </w:pPr>
            <w:r w:rsidRPr="00722E79">
              <w:rPr>
                <w:rFonts w:cs="Times New Roman"/>
                <w:sz w:val="20"/>
                <w:szCs w:val="20"/>
              </w:rPr>
              <w:t>Contrast</w:t>
            </w:r>
          </w:p>
        </w:tc>
      </w:tr>
      <w:tr w:rsidR="00DF3770" w:rsidRPr="00605DCD" w14:paraId="0DF686F1" w14:textId="77777777">
        <w:tc>
          <w:tcPr>
            <w:tcW w:w="1890" w:type="dxa"/>
            <w:vAlign w:val="bottom"/>
          </w:tcPr>
          <w:p w14:paraId="2A10F944" w14:textId="77777777" w:rsidR="00DF3770" w:rsidRPr="00722E79" w:rsidRDefault="00DF3770" w:rsidP="00DF3770">
            <w:pPr>
              <w:jc w:val="center"/>
              <w:rPr>
                <w:rFonts w:cs="Times New Roman"/>
                <w:sz w:val="20"/>
                <w:szCs w:val="20"/>
              </w:rPr>
            </w:pPr>
            <w:r w:rsidRPr="00722E79">
              <w:rPr>
                <w:rFonts w:cs="Times New Roman"/>
                <w:sz w:val="20"/>
                <w:szCs w:val="20"/>
              </w:rPr>
              <w:t>Cloquintocet-mexyl</w:t>
            </w:r>
            <w:r>
              <w:rPr>
                <w:rFonts w:cs="Times New Roman"/>
                <w:sz w:val="20"/>
                <w:szCs w:val="20"/>
                <w:vertAlign w:val="superscript"/>
              </w:rPr>
              <w:t>b</w:t>
            </w:r>
          </w:p>
        </w:tc>
        <w:tc>
          <w:tcPr>
            <w:tcW w:w="825" w:type="dxa"/>
          </w:tcPr>
          <w:p w14:paraId="68376A1C" w14:textId="77777777" w:rsidR="00DF3770" w:rsidRPr="00722E79" w:rsidRDefault="00DF3770" w:rsidP="00DF3770">
            <w:pPr>
              <w:jc w:val="center"/>
              <w:rPr>
                <w:rFonts w:cs="Times New Roman"/>
                <w:sz w:val="20"/>
                <w:szCs w:val="20"/>
              </w:rPr>
            </w:pPr>
            <w:r w:rsidRPr="00722E79">
              <w:rPr>
                <w:rFonts w:cs="Times New Roman"/>
                <w:sz w:val="20"/>
                <w:szCs w:val="20"/>
              </w:rPr>
              <w:t>69</w:t>
            </w:r>
          </w:p>
        </w:tc>
        <w:tc>
          <w:tcPr>
            <w:tcW w:w="435" w:type="dxa"/>
          </w:tcPr>
          <w:p w14:paraId="30EEAE28" w14:textId="77777777" w:rsidR="00DF3770" w:rsidRPr="00722E79" w:rsidRDefault="00DF3770" w:rsidP="00DF3770">
            <w:pPr>
              <w:jc w:val="center"/>
              <w:rPr>
                <w:rFonts w:cs="Times New Roman"/>
                <w:sz w:val="20"/>
                <w:szCs w:val="20"/>
                <w:vertAlign w:val="superscript"/>
              </w:rPr>
            </w:pPr>
            <w:proofErr w:type="gramStart"/>
            <w:r w:rsidRPr="00722E79">
              <w:rPr>
                <w:rFonts w:cs="Times New Roman"/>
                <w:sz w:val="20"/>
                <w:szCs w:val="20"/>
              </w:rPr>
              <w:t>a</w:t>
            </w:r>
            <w:r>
              <w:rPr>
                <w:rFonts w:cs="Times New Roman"/>
                <w:sz w:val="20"/>
                <w:szCs w:val="20"/>
                <w:vertAlign w:val="superscript"/>
              </w:rPr>
              <w:t>c</w:t>
            </w:r>
            <w:proofErr w:type="gramEnd"/>
          </w:p>
        </w:tc>
        <w:tc>
          <w:tcPr>
            <w:tcW w:w="1170" w:type="dxa"/>
          </w:tcPr>
          <w:p w14:paraId="4F9C0348" w14:textId="77777777" w:rsidR="00DF3770" w:rsidRPr="00722E79" w:rsidRDefault="00DF3770" w:rsidP="00DF3770">
            <w:pPr>
              <w:jc w:val="center"/>
              <w:rPr>
                <w:rFonts w:cs="Times New Roman"/>
                <w:sz w:val="20"/>
                <w:szCs w:val="20"/>
              </w:rPr>
            </w:pPr>
            <w:r w:rsidRPr="00722E79">
              <w:rPr>
                <w:rFonts w:cs="Times New Roman"/>
                <w:sz w:val="20"/>
                <w:szCs w:val="20"/>
              </w:rPr>
              <w:t>***</w:t>
            </w:r>
            <w:proofErr w:type="gramStart"/>
            <w:r>
              <w:rPr>
                <w:rFonts w:cs="Times New Roman"/>
                <w:sz w:val="20"/>
                <w:szCs w:val="20"/>
                <w:vertAlign w:val="superscript"/>
              </w:rPr>
              <w:t>d</w:t>
            </w:r>
            <w:proofErr w:type="gramEnd"/>
          </w:p>
        </w:tc>
        <w:tc>
          <w:tcPr>
            <w:tcW w:w="870" w:type="dxa"/>
          </w:tcPr>
          <w:p w14:paraId="2F36B753" w14:textId="77777777" w:rsidR="00DF3770" w:rsidRPr="00722E79" w:rsidRDefault="00DF3770" w:rsidP="00DF3770">
            <w:pPr>
              <w:jc w:val="center"/>
              <w:rPr>
                <w:rFonts w:cs="Times New Roman"/>
                <w:sz w:val="20"/>
                <w:szCs w:val="20"/>
              </w:rPr>
            </w:pPr>
            <w:r w:rsidRPr="00722E79">
              <w:rPr>
                <w:rFonts w:cs="Times New Roman"/>
                <w:sz w:val="20"/>
                <w:szCs w:val="20"/>
              </w:rPr>
              <w:t>123</w:t>
            </w:r>
          </w:p>
        </w:tc>
        <w:tc>
          <w:tcPr>
            <w:tcW w:w="390" w:type="dxa"/>
          </w:tcPr>
          <w:p w14:paraId="6123C0A5"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260" w:type="dxa"/>
          </w:tcPr>
          <w:p w14:paraId="33A25D72" w14:textId="77777777" w:rsidR="00DF3770" w:rsidRPr="00722E79" w:rsidRDefault="00DF3770" w:rsidP="00DF3770">
            <w:pPr>
              <w:jc w:val="center"/>
              <w:rPr>
                <w:rFonts w:cs="Times New Roman"/>
                <w:sz w:val="20"/>
                <w:szCs w:val="20"/>
              </w:rPr>
            </w:pPr>
            <w:r w:rsidRPr="00722E79">
              <w:rPr>
                <w:rFonts w:cs="Times New Roman"/>
                <w:sz w:val="20"/>
                <w:szCs w:val="20"/>
              </w:rPr>
              <w:t>NS</w:t>
            </w:r>
          </w:p>
        </w:tc>
        <w:tc>
          <w:tcPr>
            <w:tcW w:w="270" w:type="dxa"/>
          </w:tcPr>
          <w:p w14:paraId="76E7C0A4" w14:textId="77777777" w:rsidR="00DF3770" w:rsidRPr="00722E79" w:rsidRDefault="00DF3770" w:rsidP="00DF3770">
            <w:pPr>
              <w:jc w:val="center"/>
              <w:rPr>
                <w:rFonts w:cs="Times New Roman"/>
                <w:sz w:val="20"/>
                <w:szCs w:val="20"/>
              </w:rPr>
            </w:pPr>
          </w:p>
        </w:tc>
        <w:tc>
          <w:tcPr>
            <w:tcW w:w="885" w:type="dxa"/>
          </w:tcPr>
          <w:p w14:paraId="33D658CD" w14:textId="77777777" w:rsidR="00DF3770" w:rsidRPr="00722E79" w:rsidRDefault="00DF3770" w:rsidP="00DF3770">
            <w:pPr>
              <w:jc w:val="center"/>
              <w:rPr>
                <w:rFonts w:cs="Times New Roman"/>
                <w:sz w:val="20"/>
                <w:szCs w:val="20"/>
              </w:rPr>
            </w:pPr>
            <w:r w:rsidRPr="00722E79">
              <w:rPr>
                <w:rFonts w:cs="Times New Roman"/>
                <w:sz w:val="20"/>
                <w:szCs w:val="20"/>
              </w:rPr>
              <w:t>27</w:t>
            </w:r>
          </w:p>
        </w:tc>
        <w:tc>
          <w:tcPr>
            <w:tcW w:w="375" w:type="dxa"/>
          </w:tcPr>
          <w:p w14:paraId="411988D0"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440" w:type="dxa"/>
          </w:tcPr>
          <w:p w14:paraId="0BA27353" w14:textId="77777777" w:rsidR="00DF3770" w:rsidRPr="00722E79" w:rsidRDefault="00DF3770" w:rsidP="00DF3770">
            <w:pPr>
              <w:jc w:val="center"/>
              <w:rPr>
                <w:rFonts w:cs="Times New Roman"/>
                <w:sz w:val="20"/>
                <w:szCs w:val="20"/>
              </w:rPr>
            </w:pPr>
            <w:r w:rsidRPr="00722E79">
              <w:rPr>
                <w:rFonts w:cs="Times New Roman"/>
                <w:sz w:val="20"/>
                <w:szCs w:val="20"/>
              </w:rPr>
              <w:t>NS</w:t>
            </w:r>
          </w:p>
        </w:tc>
        <w:tc>
          <w:tcPr>
            <w:tcW w:w="840" w:type="dxa"/>
          </w:tcPr>
          <w:p w14:paraId="722EEFDF" w14:textId="77777777" w:rsidR="00DF3770" w:rsidRPr="00722E79" w:rsidRDefault="00DF3770" w:rsidP="00DF3770">
            <w:pPr>
              <w:jc w:val="center"/>
              <w:rPr>
                <w:rFonts w:cs="Times New Roman"/>
                <w:sz w:val="20"/>
                <w:szCs w:val="20"/>
              </w:rPr>
            </w:pPr>
            <w:r w:rsidRPr="00722E79">
              <w:rPr>
                <w:rFonts w:cs="Times New Roman"/>
                <w:sz w:val="20"/>
                <w:szCs w:val="20"/>
              </w:rPr>
              <w:t>12</w:t>
            </w:r>
          </w:p>
        </w:tc>
        <w:tc>
          <w:tcPr>
            <w:tcW w:w="510" w:type="dxa"/>
          </w:tcPr>
          <w:p w14:paraId="0DB52B1C"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260" w:type="dxa"/>
          </w:tcPr>
          <w:p w14:paraId="7A4396A1" w14:textId="77777777" w:rsidR="00DF3770" w:rsidRPr="00722E79" w:rsidRDefault="00DF3770" w:rsidP="00DF3770">
            <w:pPr>
              <w:ind w:left="269" w:hanging="269"/>
              <w:jc w:val="center"/>
              <w:rPr>
                <w:rFonts w:cs="Times New Roman"/>
                <w:sz w:val="20"/>
                <w:szCs w:val="20"/>
              </w:rPr>
            </w:pPr>
            <w:r w:rsidRPr="00722E79">
              <w:rPr>
                <w:rFonts w:cs="Times New Roman"/>
                <w:sz w:val="20"/>
                <w:szCs w:val="20"/>
              </w:rPr>
              <w:t>NS</w:t>
            </w:r>
          </w:p>
        </w:tc>
      </w:tr>
      <w:tr w:rsidR="00DF3770" w:rsidRPr="00605DCD" w14:paraId="625AEB6E" w14:textId="77777777">
        <w:tc>
          <w:tcPr>
            <w:tcW w:w="1890" w:type="dxa"/>
            <w:vAlign w:val="bottom"/>
          </w:tcPr>
          <w:p w14:paraId="45A3871E" w14:textId="77777777" w:rsidR="00DF3770" w:rsidRPr="00722E79" w:rsidRDefault="00DF3770" w:rsidP="00DF3770">
            <w:pPr>
              <w:jc w:val="center"/>
              <w:rPr>
                <w:rFonts w:cs="Times New Roman"/>
                <w:sz w:val="20"/>
                <w:szCs w:val="20"/>
              </w:rPr>
            </w:pPr>
            <w:r w:rsidRPr="00722E79">
              <w:rPr>
                <w:rFonts w:cs="Times New Roman"/>
                <w:sz w:val="20"/>
                <w:szCs w:val="20"/>
              </w:rPr>
              <w:t>Fenchlorazole-ethyl</w:t>
            </w:r>
          </w:p>
        </w:tc>
        <w:tc>
          <w:tcPr>
            <w:tcW w:w="825" w:type="dxa"/>
          </w:tcPr>
          <w:p w14:paraId="2D837340" w14:textId="77777777" w:rsidR="00DF3770" w:rsidRPr="00722E79" w:rsidRDefault="00DF3770" w:rsidP="00DF3770">
            <w:pPr>
              <w:jc w:val="center"/>
              <w:rPr>
                <w:rFonts w:cs="Times New Roman"/>
                <w:sz w:val="20"/>
                <w:szCs w:val="20"/>
              </w:rPr>
            </w:pPr>
            <w:r w:rsidRPr="00722E79">
              <w:rPr>
                <w:rFonts w:cs="Times New Roman"/>
                <w:sz w:val="20"/>
                <w:szCs w:val="20"/>
              </w:rPr>
              <w:t>56</w:t>
            </w:r>
          </w:p>
        </w:tc>
        <w:tc>
          <w:tcPr>
            <w:tcW w:w="435" w:type="dxa"/>
          </w:tcPr>
          <w:p w14:paraId="26E92090"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b</w:t>
            </w:r>
            <w:proofErr w:type="gramEnd"/>
          </w:p>
        </w:tc>
        <w:tc>
          <w:tcPr>
            <w:tcW w:w="1170" w:type="dxa"/>
          </w:tcPr>
          <w:p w14:paraId="589304A2" w14:textId="77777777" w:rsidR="00DF3770" w:rsidRPr="00722E79" w:rsidRDefault="00DF3770" w:rsidP="00DF3770">
            <w:pPr>
              <w:jc w:val="center"/>
              <w:rPr>
                <w:rFonts w:cs="Times New Roman"/>
                <w:sz w:val="20"/>
                <w:szCs w:val="20"/>
              </w:rPr>
            </w:pPr>
            <w:r w:rsidRPr="00722E79">
              <w:rPr>
                <w:rFonts w:cs="Times New Roman"/>
                <w:sz w:val="20"/>
                <w:szCs w:val="20"/>
              </w:rPr>
              <w:t>**</w:t>
            </w:r>
          </w:p>
        </w:tc>
        <w:tc>
          <w:tcPr>
            <w:tcW w:w="870" w:type="dxa"/>
          </w:tcPr>
          <w:p w14:paraId="1B25B044" w14:textId="77777777" w:rsidR="00DF3770" w:rsidRPr="00722E79" w:rsidRDefault="00DF3770" w:rsidP="00DF3770">
            <w:pPr>
              <w:jc w:val="center"/>
              <w:rPr>
                <w:rFonts w:cs="Times New Roman"/>
                <w:sz w:val="20"/>
                <w:szCs w:val="20"/>
              </w:rPr>
            </w:pPr>
            <w:r w:rsidRPr="00722E79">
              <w:rPr>
                <w:rFonts w:cs="Times New Roman"/>
                <w:sz w:val="20"/>
                <w:szCs w:val="20"/>
              </w:rPr>
              <w:t>138</w:t>
            </w:r>
          </w:p>
        </w:tc>
        <w:tc>
          <w:tcPr>
            <w:tcW w:w="390" w:type="dxa"/>
          </w:tcPr>
          <w:p w14:paraId="0FE7EC62"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260" w:type="dxa"/>
          </w:tcPr>
          <w:p w14:paraId="4F64309C" w14:textId="77777777" w:rsidR="00DF3770" w:rsidRPr="00722E79" w:rsidRDefault="00DF3770" w:rsidP="00DF3770">
            <w:pPr>
              <w:jc w:val="center"/>
              <w:rPr>
                <w:rFonts w:cs="Times New Roman"/>
                <w:sz w:val="20"/>
                <w:szCs w:val="20"/>
              </w:rPr>
            </w:pPr>
            <w:r w:rsidRPr="00722E79">
              <w:rPr>
                <w:rFonts w:cs="Times New Roman"/>
                <w:sz w:val="20"/>
                <w:szCs w:val="20"/>
              </w:rPr>
              <w:t>NS</w:t>
            </w:r>
          </w:p>
        </w:tc>
        <w:tc>
          <w:tcPr>
            <w:tcW w:w="270" w:type="dxa"/>
          </w:tcPr>
          <w:p w14:paraId="51A9B5AD" w14:textId="77777777" w:rsidR="00DF3770" w:rsidRPr="00722E79" w:rsidRDefault="00DF3770" w:rsidP="00DF3770">
            <w:pPr>
              <w:jc w:val="center"/>
              <w:rPr>
                <w:rFonts w:cs="Times New Roman"/>
                <w:sz w:val="20"/>
                <w:szCs w:val="20"/>
              </w:rPr>
            </w:pPr>
          </w:p>
        </w:tc>
        <w:tc>
          <w:tcPr>
            <w:tcW w:w="885" w:type="dxa"/>
          </w:tcPr>
          <w:p w14:paraId="76AB81FD" w14:textId="77777777" w:rsidR="00DF3770" w:rsidRPr="00722E79" w:rsidRDefault="00DF3770" w:rsidP="00DF3770">
            <w:pPr>
              <w:jc w:val="center"/>
              <w:rPr>
                <w:rFonts w:cs="Times New Roman"/>
                <w:sz w:val="20"/>
                <w:szCs w:val="20"/>
              </w:rPr>
            </w:pPr>
            <w:r w:rsidRPr="00722E79">
              <w:rPr>
                <w:rFonts w:cs="Times New Roman"/>
                <w:sz w:val="20"/>
                <w:szCs w:val="20"/>
              </w:rPr>
              <w:t>30</w:t>
            </w:r>
          </w:p>
        </w:tc>
        <w:tc>
          <w:tcPr>
            <w:tcW w:w="375" w:type="dxa"/>
          </w:tcPr>
          <w:p w14:paraId="2CA6C671"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440" w:type="dxa"/>
          </w:tcPr>
          <w:p w14:paraId="15179686" w14:textId="77777777" w:rsidR="00DF3770" w:rsidRPr="00722E79" w:rsidRDefault="00DF3770" w:rsidP="00DF3770">
            <w:pPr>
              <w:jc w:val="center"/>
              <w:rPr>
                <w:rFonts w:cs="Times New Roman"/>
                <w:sz w:val="20"/>
                <w:szCs w:val="20"/>
              </w:rPr>
            </w:pPr>
            <w:r w:rsidRPr="00722E79">
              <w:rPr>
                <w:rFonts w:cs="Times New Roman"/>
                <w:sz w:val="20"/>
                <w:szCs w:val="20"/>
              </w:rPr>
              <w:t>NS</w:t>
            </w:r>
          </w:p>
        </w:tc>
        <w:tc>
          <w:tcPr>
            <w:tcW w:w="840" w:type="dxa"/>
          </w:tcPr>
          <w:p w14:paraId="44F6525E" w14:textId="77777777" w:rsidR="00DF3770" w:rsidRPr="00722E79" w:rsidRDefault="00DF3770" w:rsidP="00DF3770">
            <w:pPr>
              <w:jc w:val="center"/>
              <w:rPr>
                <w:rFonts w:cs="Times New Roman"/>
                <w:sz w:val="20"/>
                <w:szCs w:val="20"/>
              </w:rPr>
            </w:pPr>
            <w:r w:rsidRPr="00722E79">
              <w:rPr>
                <w:rFonts w:cs="Times New Roman"/>
                <w:sz w:val="20"/>
                <w:szCs w:val="20"/>
              </w:rPr>
              <w:t>5</w:t>
            </w:r>
          </w:p>
        </w:tc>
        <w:tc>
          <w:tcPr>
            <w:tcW w:w="510" w:type="dxa"/>
          </w:tcPr>
          <w:p w14:paraId="38C2C920"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ab</w:t>
            </w:r>
            <w:proofErr w:type="gramEnd"/>
          </w:p>
        </w:tc>
        <w:tc>
          <w:tcPr>
            <w:tcW w:w="1260" w:type="dxa"/>
          </w:tcPr>
          <w:p w14:paraId="23AA9676" w14:textId="77777777" w:rsidR="00DF3770" w:rsidRPr="00722E79" w:rsidRDefault="00DF3770" w:rsidP="00DF3770">
            <w:pPr>
              <w:jc w:val="center"/>
              <w:rPr>
                <w:rFonts w:cs="Times New Roman"/>
                <w:sz w:val="20"/>
                <w:szCs w:val="20"/>
              </w:rPr>
            </w:pPr>
            <w:r w:rsidRPr="00722E79">
              <w:rPr>
                <w:rFonts w:cs="Times New Roman"/>
                <w:sz w:val="20"/>
                <w:szCs w:val="20"/>
              </w:rPr>
              <w:t>NS</w:t>
            </w:r>
          </w:p>
        </w:tc>
      </w:tr>
      <w:tr w:rsidR="00DF3770" w:rsidRPr="00605DCD" w14:paraId="1296F140" w14:textId="77777777">
        <w:tc>
          <w:tcPr>
            <w:tcW w:w="1890" w:type="dxa"/>
            <w:vAlign w:val="bottom"/>
          </w:tcPr>
          <w:p w14:paraId="5506CE80" w14:textId="77777777" w:rsidR="00DF3770" w:rsidRPr="00722E79" w:rsidRDefault="00DF3770" w:rsidP="00DF3770">
            <w:pPr>
              <w:jc w:val="center"/>
              <w:rPr>
                <w:rFonts w:cs="Times New Roman"/>
                <w:sz w:val="20"/>
                <w:szCs w:val="20"/>
              </w:rPr>
            </w:pPr>
            <w:r w:rsidRPr="00722E79">
              <w:rPr>
                <w:rFonts w:cs="Times New Roman"/>
                <w:sz w:val="20"/>
                <w:szCs w:val="20"/>
              </w:rPr>
              <w:t>Mefenpyr-diethyl</w:t>
            </w:r>
          </w:p>
        </w:tc>
        <w:tc>
          <w:tcPr>
            <w:tcW w:w="825" w:type="dxa"/>
          </w:tcPr>
          <w:p w14:paraId="012CE1CA" w14:textId="77777777" w:rsidR="00DF3770" w:rsidRPr="00722E79" w:rsidRDefault="00DF3770" w:rsidP="00DF3770">
            <w:pPr>
              <w:jc w:val="center"/>
              <w:rPr>
                <w:rFonts w:cs="Times New Roman"/>
                <w:sz w:val="20"/>
                <w:szCs w:val="20"/>
              </w:rPr>
            </w:pPr>
            <w:r w:rsidRPr="00722E79">
              <w:rPr>
                <w:rFonts w:cs="Times New Roman"/>
                <w:sz w:val="20"/>
                <w:szCs w:val="20"/>
              </w:rPr>
              <w:t>75</w:t>
            </w:r>
          </w:p>
        </w:tc>
        <w:tc>
          <w:tcPr>
            <w:tcW w:w="435" w:type="dxa"/>
          </w:tcPr>
          <w:p w14:paraId="31DEBB54"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170" w:type="dxa"/>
          </w:tcPr>
          <w:p w14:paraId="48C56127" w14:textId="77777777" w:rsidR="00DF3770" w:rsidRPr="00722E79" w:rsidRDefault="00DF3770" w:rsidP="00DF3770">
            <w:pPr>
              <w:jc w:val="center"/>
              <w:rPr>
                <w:rFonts w:cs="Times New Roman"/>
                <w:sz w:val="20"/>
                <w:szCs w:val="20"/>
              </w:rPr>
            </w:pPr>
            <w:r w:rsidRPr="00722E79">
              <w:rPr>
                <w:rFonts w:cs="Times New Roman"/>
                <w:sz w:val="20"/>
                <w:szCs w:val="20"/>
              </w:rPr>
              <w:t>***</w:t>
            </w:r>
          </w:p>
        </w:tc>
        <w:tc>
          <w:tcPr>
            <w:tcW w:w="870" w:type="dxa"/>
          </w:tcPr>
          <w:p w14:paraId="572D0021" w14:textId="77777777" w:rsidR="00DF3770" w:rsidRPr="00722E79" w:rsidRDefault="00DF3770" w:rsidP="00DF3770">
            <w:pPr>
              <w:jc w:val="center"/>
              <w:rPr>
                <w:rFonts w:cs="Times New Roman"/>
                <w:sz w:val="20"/>
                <w:szCs w:val="20"/>
              </w:rPr>
            </w:pPr>
            <w:r w:rsidRPr="00722E79">
              <w:rPr>
                <w:rFonts w:cs="Times New Roman"/>
                <w:sz w:val="20"/>
                <w:szCs w:val="20"/>
              </w:rPr>
              <w:t>129</w:t>
            </w:r>
          </w:p>
        </w:tc>
        <w:tc>
          <w:tcPr>
            <w:tcW w:w="390" w:type="dxa"/>
          </w:tcPr>
          <w:p w14:paraId="746AC3CF"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260" w:type="dxa"/>
          </w:tcPr>
          <w:p w14:paraId="3EE6C387" w14:textId="77777777" w:rsidR="00DF3770" w:rsidRPr="00722E79" w:rsidRDefault="00DF3770" w:rsidP="00DF3770">
            <w:pPr>
              <w:jc w:val="center"/>
              <w:rPr>
                <w:rFonts w:cs="Times New Roman"/>
                <w:sz w:val="20"/>
                <w:szCs w:val="20"/>
              </w:rPr>
            </w:pPr>
            <w:r w:rsidRPr="00722E79">
              <w:rPr>
                <w:rFonts w:cs="Times New Roman"/>
                <w:sz w:val="20"/>
                <w:szCs w:val="20"/>
              </w:rPr>
              <w:t>NS</w:t>
            </w:r>
          </w:p>
        </w:tc>
        <w:tc>
          <w:tcPr>
            <w:tcW w:w="270" w:type="dxa"/>
          </w:tcPr>
          <w:p w14:paraId="35E7D81A" w14:textId="77777777" w:rsidR="00DF3770" w:rsidRPr="00722E79" w:rsidRDefault="00DF3770" w:rsidP="00DF3770">
            <w:pPr>
              <w:jc w:val="center"/>
              <w:rPr>
                <w:rFonts w:cs="Times New Roman"/>
                <w:sz w:val="20"/>
                <w:szCs w:val="20"/>
              </w:rPr>
            </w:pPr>
          </w:p>
        </w:tc>
        <w:tc>
          <w:tcPr>
            <w:tcW w:w="885" w:type="dxa"/>
          </w:tcPr>
          <w:p w14:paraId="1A5A30EB" w14:textId="77777777" w:rsidR="00DF3770" w:rsidRPr="00722E79" w:rsidRDefault="00DF3770" w:rsidP="00DF3770">
            <w:pPr>
              <w:jc w:val="center"/>
              <w:rPr>
                <w:rFonts w:cs="Times New Roman"/>
                <w:sz w:val="20"/>
                <w:szCs w:val="20"/>
              </w:rPr>
            </w:pPr>
            <w:r w:rsidRPr="00722E79">
              <w:rPr>
                <w:rFonts w:cs="Times New Roman"/>
                <w:sz w:val="20"/>
                <w:szCs w:val="20"/>
              </w:rPr>
              <w:t>30</w:t>
            </w:r>
          </w:p>
        </w:tc>
        <w:tc>
          <w:tcPr>
            <w:tcW w:w="375" w:type="dxa"/>
          </w:tcPr>
          <w:p w14:paraId="11136830"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440" w:type="dxa"/>
          </w:tcPr>
          <w:p w14:paraId="3090B17C" w14:textId="77777777" w:rsidR="00DF3770" w:rsidRPr="00722E79" w:rsidRDefault="00DF3770" w:rsidP="00DF3770">
            <w:pPr>
              <w:jc w:val="center"/>
              <w:rPr>
                <w:rFonts w:cs="Times New Roman"/>
                <w:sz w:val="20"/>
                <w:szCs w:val="20"/>
              </w:rPr>
            </w:pPr>
            <w:r w:rsidRPr="00722E79">
              <w:rPr>
                <w:rFonts w:cs="Times New Roman"/>
                <w:sz w:val="20"/>
                <w:szCs w:val="20"/>
              </w:rPr>
              <w:t>NS</w:t>
            </w:r>
          </w:p>
        </w:tc>
        <w:tc>
          <w:tcPr>
            <w:tcW w:w="840" w:type="dxa"/>
          </w:tcPr>
          <w:p w14:paraId="39F5B6CB" w14:textId="77777777" w:rsidR="00DF3770" w:rsidRPr="00722E79" w:rsidRDefault="00DF3770" w:rsidP="00DF3770">
            <w:pPr>
              <w:jc w:val="center"/>
              <w:rPr>
                <w:rFonts w:cs="Times New Roman"/>
                <w:sz w:val="20"/>
                <w:szCs w:val="20"/>
              </w:rPr>
            </w:pPr>
            <w:r w:rsidRPr="00722E79">
              <w:rPr>
                <w:rFonts w:cs="Times New Roman"/>
                <w:sz w:val="20"/>
                <w:szCs w:val="20"/>
              </w:rPr>
              <w:t>3</w:t>
            </w:r>
          </w:p>
        </w:tc>
        <w:tc>
          <w:tcPr>
            <w:tcW w:w="510" w:type="dxa"/>
          </w:tcPr>
          <w:p w14:paraId="22724DEF"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b</w:t>
            </w:r>
            <w:proofErr w:type="gramEnd"/>
          </w:p>
        </w:tc>
        <w:tc>
          <w:tcPr>
            <w:tcW w:w="1260" w:type="dxa"/>
          </w:tcPr>
          <w:p w14:paraId="1624888B" w14:textId="77777777" w:rsidR="00DF3770" w:rsidRPr="00722E79" w:rsidRDefault="00DF3770" w:rsidP="00DF3770">
            <w:pPr>
              <w:jc w:val="center"/>
              <w:rPr>
                <w:rFonts w:cs="Times New Roman"/>
                <w:sz w:val="20"/>
                <w:szCs w:val="20"/>
              </w:rPr>
            </w:pPr>
            <w:r w:rsidRPr="00722E79">
              <w:rPr>
                <w:rFonts w:cs="Times New Roman"/>
                <w:sz w:val="20"/>
                <w:szCs w:val="20"/>
              </w:rPr>
              <w:t>NS</w:t>
            </w:r>
          </w:p>
        </w:tc>
      </w:tr>
      <w:tr w:rsidR="00DF3770" w:rsidRPr="00605DCD" w14:paraId="4358C2C0" w14:textId="77777777">
        <w:tc>
          <w:tcPr>
            <w:tcW w:w="1890" w:type="dxa"/>
            <w:vAlign w:val="bottom"/>
          </w:tcPr>
          <w:p w14:paraId="43B1D2EE" w14:textId="77777777" w:rsidR="00DF3770" w:rsidRPr="00722E79" w:rsidRDefault="00DF3770" w:rsidP="00DF3770">
            <w:pPr>
              <w:jc w:val="center"/>
              <w:rPr>
                <w:rFonts w:cs="Times New Roman"/>
                <w:sz w:val="20"/>
                <w:szCs w:val="20"/>
              </w:rPr>
            </w:pPr>
            <w:r w:rsidRPr="00722E79">
              <w:rPr>
                <w:rFonts w:cs="Times New Roman"/>
                <w:sz w:val="20"/>
                <w:szCs w:val="20"/>
              </w:rPr>
              <w:t>None</w:t>
            </w:r>
          </w:p>
        </w:tc>
        <w:tc>
          <w:tcPr>
            <w:tcW w:w="825" w:type="dxa"/>
          </w:tcPr>
          <w:p w14:paraId="17F5D486" w14:textId="77777777" w:rsidR="00DF3770" w:rsidRPr="00722E79" w:rsidRDefault="00DF3770" w:rsidP="00DF3770">
            <w:pPr>
              <w:jc w:val="center"/>
              <w:rPr>
                <w:rFonts w:cs="Times New Roman"/>
                <w:sz w:val="20"/>
                <w:szCs w:val="20"/>
              </w:rPr>
            </w:pPr>
            <w:r w:rsidRPr="00722E79">
              <w:rPr>
                <w:rFonts w:cs="Times New Roman"/>
                <w:sz w:val="20"/>
                <w:szCs w:val="20"/>
              </w:rPr>
              <w:t>32</w:t>
            </w:r>
          </w:p>
        </w:tc>
        <w:tc>
          <w:tcPr>
            <w:tcW w:w="435" w:type="dxa"/>
          </w:tcPr>
          <w:p w14:paraId="4CE6C6E9" w14:textId="77777777" w:rsidR="00DF3770" w:rsidRPr="00722E79" w:rsidRDefault="00DF3770" w:rsidP="00DF3770">
            <w:pPr>
              <w:jc w:val="center"/>
              <w:rPr>
                <w:rFonts w:cs="Times New Roman"/>
                <w:sz w:val="20"/>
                <w:szCs w:val="20"/>
              </w:rPr>
            </w:pPr>
            <w:r w:rsidRPr="00722E79">
              <w:rPr>
                <w:rFonts w:cs="Times New Roman"/>
                <w:sz w:val="20"/>
                <w:szCs w:val="20"/>
              </w:rPr>
              <w:t>-</w:t>
            </w:r>
          </w:p>
        </w:tc>
        <w:tc>
          <w:tcPr>
            <w:tcW w:w="1170" w:type="dxa"/>
          </w:tcPr>
          <w:p w14:paraId="4C69B541" w14:textId="77777777" w:rsidR="00DF3770" w:rsidRPr="00722E79" w:rsidRDefault="00DF3770" w:rsidP="00DF3770">
            <w:pPr>
              <w:jc w:val="center"/>
              <w:rPr>
                <w:rFonts w:cs="Times New Roman"/>
                <w:sz w:val="20"/>
                <w:szCs w:val="20"/>
              </w:rPr>
            </w:pPr>
            <w:r w:rsidRPr="00722E79">
              <w:rPr>
                <w:rFonts w:cs="Times New Roman"/>
                <w:sz w:val="20"/>
                <w:szCs w:val="20"/>
              </w:rPr>
              <w:t>-</w:t>
            </w:r>
          </w:p>
        </w:tc>
        <w:tc>
          <w:tcPr>
            <w:tcW w:w="870" w:type="dxa"/>
          </w:tcPr>
          <w:p w14:paraId="0E5B6BF0" w14:textId="77777777" w:rsidR="00DF3770" w:rsidRPr="00722E79" w:rsidRDefault="00DF3770" w:rsidP="00DF3770">
            <w:pPr>
              <w:jc w:val="center"/>
              <w:rPr>
                <w:rFonts w:cs="Times New Roman"/>
                <w:sz w:val="20"/>
                <w:szCs w:val="20"/>
              </w:rPr>
            </w:pPr>
            <w:r w:rsidRPr="00722E79">
              <w:rPr>
                <w:rFonts w:cs="Times New Roman"/>
                <w:sz w:val="20"/>
                <w:szCs w:val="20"/>
              </w:rPr>
              <w:t>133</w:t>
            </w:r>
          </w:p>
        </w:tc>
        <w:tc>
          <w:tcPr>
            <w:tcW w:w="390" w:type="dxa"/>
          </w:tcPr>
          <w:p w14:paraId="64488A30" w14:textId="77777777" w:rsidR="00DF3770" w:rsidRPr="00722E79" w:rsidRDefault="00DF3770" w:rsidP="00DF3770">
            <w:pPr>
              <w:jc w:val="center"/>
              <w:rPr>
                <w:rFonts w:cs="Times New Roman"/>
                <w:sz w:val="20"/>
                <w:szCs w:val="20"/>
              </w:rPr>
            </w:pPr>
            <w:r w:rsidRPr="00722E79">
              <w:rPr>
                <w:rFonts w:cs="Times New Roman"/>
                <w:sz w:val="20"/>
                <w:szCs w:val="20"/>
              </w:rPr>
              <w:t>-</w:t>
            </w:r>
          </w:p>
        </w:tc>
        <w:tc>
          <w:tcPr>
            <w:tcW w:w="1260" w:type="dxa"/>
          </w:tcPr>
          <w:p w14:paraId="4DEA2F86" w14:textId="77777777" w:rsidR="00DF3770" w:rsidRPr="00722E79" w:rsidRDefault="00DF3770" w:rsidP="00DF3770">
            <w:pPr>
              <w:jc w:val="center"/>
              <w:rPr>
                <w:rFonts w:cs="Times New Roman"/>
                <w:sz w:val="20"/>
                <w:szCs w:val="20"/>
              </w:rPr>
            </w:pPr>
            <w:r w:rsidRPr="00722E79">
              <w:rPr>
                <w:rFonts w:cs="Times New Roman"/>
                <w:sz w:val="20"/>
                <w:szCs w:val="20"/>
              </w:rPr>
              <w:t>-</w:t>
            </w:r>
          </w:p>
        </w:tc>
        <w:tc>
          <w:tcPr>
            <w:tcW w:w="270" w:type="dxa"/>
          </w:tcPr>
          <w:p w14:paraId="2C2E0A96" w14:textId="77777777" w:rsidR="00DF3770" w:rsidRPr="00722E79" w:rsidRDefault="00DF3770" w:rsidP="00DF3770">
            <w:pPr>
              <w:jc w:val="center"/>
              <w:rPr>
                <w:rFonts w:cs="Times New Roman"/>
                <w:sz w:val="20"/>
                <w:szCs w:val="20"/>
              </w:rPr>
            </w:pPr>
          </w:p>
        </w:tc>
        <w:tc>
          <w:tcPr>
            <w:tcW w:w="885" w:type="dxa"/>
          </w:tcPr>
          <w:p w14:paraId="7D58ED56" w14:textId="77777777" w:rsidR="00DF3770" w:rsidRPr="00722E79" w:rsidRDefault="00DF3770" w:rsidP="00DF3770">
            <w:pPr>
              <w:jc w:val="center"/>
              <w:rPr>
                <w:rFonts w:cs="Times New Roman"/>
                <w:sz w:val="20"/>
                <w:szCs w:val="20"/>
              </w:rPr>
            </w:pPr>
            <w:r w:rsidRPr="00722E79">
              <w:rPr>
                <w:rFonts w:cs="Times New Roman"/>
                <w:sz w:val="20"/>
                <w:szCs w:val="20"/>
              </w:rPr>
              <w:t>31</w:t>
            </w:r>
          </w:p>
        </w:tc>
        <w:tc>
          <w:tcPr>
            <w:tcW w:w="375" w:type="dxa"/>
          </w:tcPr>
          <w:p w14:paraId="5795FC12" w14:textId="77777777" w:rsidR="00DF3770" w:rsidRPr="00722E79" w:rsidRDefault="00DF3770" w:rsidP="00DF3770">
            <w:pPr>
              <w:jc w:val="center"/>
              <w:rPr>
                <w:rFonts w:cs="Times New Roman"/>
                <w:sz w:val="20"/>
                <w:szCs w:val="20"/>
              </w:rPr>
            </w:pPr>
            <w:r w:rsidRPr="00722E79">
              <w:rPr>
                <w:rFonts w:cs="Times New Roman"/>
                <w:sz w:val="20"/>
                <w:szCs w:val="20"/>
              </w:rPr>
              <w:t>-</w:t>
            </w:r>
          </w:p>
        </w:tc>
        <w:tc>
          <w:tcPr>
            <w:tcW w:w="1440" w:type="dxa"/>
          </w:tcPr>
          <w:p w14:paraId="2FF413E2" w14:textId="77777777" w:rsidR="00DF3770" w:rsidRPr="00722E79" w:rsidRDefault="00DF3770" w:rsidP="00DF3770">
            <w:pPr>
              <w:jc w:val="center"/>
              <w:rPr>
                <w:rFonts w:cs="Times New Roman"/>
                <w:sz w:val="20"/>
                <w:szCs w:val="20"/>
              </w:rPr>
            </w:pPr>
            <w:r w:rsidRPr="00722E79">
              <w:rPr>
                <w:rFonts w:cs="Times New Roman"/>
                <w:sz w:val="20"/>
                <w:szCs w:val="20"/>
              </w:rPr>
              <w:t>-</w:t>
            </w:r>
          </w:p>
        </w:tc>
        <w:tc>
          <w:tcPr>
            <w:tcW w:w="840" w:type="dxa"/>
          </w:tcPr>
          <w:p w14:paraId="41AB9AAB" w14:textId="77777777" w:rsidR="00DF3770" w:rsidRPr="00722E79" w:rsidRDefault="00DF3770" w:rsidP="00DF3770">
            <w:pPr>
              <w:jc w:val="center"/>
              <w:rPr>
                <w:rFonts w:cs="Times New Roman"/>
                <w:sz w:val="20"/>
                <w:szCs w:val="20"/>
              </w:rPr>
            </w:pPr>
            <w:r w:rsidRPr="00722E79">
              <w:rPr>
                <w:rFonts w:cs="Times New Roman"/>
                <w:sz w:val="20"/>
                <w:szCs w:val="20"/>
              </w:rPr>
              <w:t>6</w:t>
            </w:r>
          </w:p>
        </w:tc>
        <w:tc>
          <w:tcPr>
            <w:tcW w:w="510" w:type="dxa"/>
          </w:tcPr>
          <w:p w14:paraId="6F597C97" w14:textId="77777777" w:rsidR="00DF3770" w:rsidRPr="00722E79" w:rsidRDefault="00DF3770" w:rsidP="00DF3770">
            <w:pPr>
              <w:jc w:val="center"/>
              <w:rPr>
                <w:rFonts w:cs="Times New Roman"/>
                <w:sz w:val="20"/>
                <w:szCs w:val="20"/>
              </w:rPr>
            </w:pPr>
            <w:r w:rsidRPr="00722E79">
              <w:rPr>
                <w:rFonts w:cs="Times New Roman"/>
                <w:sz w:val="20"/>
                <w:szCs w:val="20"/>
              </w:rPr>
              <w:t>-</w:t>
            </w:r>
          </w:p>
        </w:tc>
        <w:tc>
          <w:tcPr>
            <w:tcW w:w="1260" w:type="dxa"/>
          </w:tcPr>
          <w:p w14:paraId="570DB154" w14:textId="77777777" w:rsidR="00DF3770" w:rsidRPr="00722E79" w:rsidRDefault="00DF3770" w:rsidP="00DF3770">
            <w:pPr>
              <w:jc w:val="center"/>
              <w:rPr>
                <w:rFonts w:cs="Times New Roman"/>
                <w:sz w:val="20"/>
                <w:szCs w:val="20"/>
              </w:rPr>
            </w:pPr>
            <w:r w:rsidRPr="00722E79">
              <w:rPr>
                <w:rFonts w:cs="Times New Roman"/>
                <w:sz w:val="20"/>
                <w:szCs w:val="20"/>
              </w:rPr>
              <w:t>-</w:t>
            </w:r>
          </w:p>
        </w:tc>
      </w:tr>
      <w:tr w:rsidR="00DF3770" w:rsidRPr="00605DCD" w14:paraId="3E4F94FA" w14:textId="77777777">
        <w:tc>
          <w:tcPr>
            <w:tcW w:w="1890" w:type="dxa"/>
            <w:vAlign w:val="bottom"/>
          </w:tcPr>
          <w:p w14:paraId="3F34146B" w14:textId="77777777" w:rsidR="00DF3770" w:rsidRPr="00722E79" w:rsidRDefault="00DF3770" w:rsidP="00DF3770">
            <w:pPr>
              <w:jc w:val="center"/>
              <w:rPr>
                <w:rFonts w:cs="Times New Roman"/>
                <w:sz w:val="20"/>
                <w:szCs w:val="20"/>
              </w:rPr>
            </w:pPr>
            <w:r w:rsidRPr="00722E79">
              <w:rPr>
                <w:rFonts w:cs="Times New Roman"/>
                <w:sz w:val="20"/>
                <w:szCs w:val="20"/>
              </w:rPr>
              <w:t>Safener Rate</w:t>
            </w:r>
          </w:p>
        </w:tc>
        <w:tc>
          <w:tcPr>
            <w:tcW w:w="10530" w:type="dxa"/>
            <w:gridSpan w:val="13"/>
          </w:tcPr>
          <w:p w14:paraId="4C003073" w14:textId="77777777" w:rsidR="00DF3770" w:rsidRPr="00722E79" w:rsidRDefault="00DF3770" w:rsidP="00DF3770">
            <w:pPr>
              <w:jc w:val="center"/>
              <w:rPr>
                <w:rFonts w:cs="Times New Roman"/>
                <w:sz w:val="20"/>
                <w:szCs w:val="20"/>
              </w:rPr>
            </w:pPr>
          </w:p>
        </w:tc>
      </w:tr>
      <w:tr w:rsidR="00DF3770" w:rsidRPr="00605DCD" w14:paraId="780316F9" w14:textId="77777777">
        <w:tc>
          <w:tcPr>
            <w:tcW w:w="1890" w:type="dxa"/>
            <w:vAlign w:val="bottom"/>
          </w:tcPr>
          <w:p w14:paraId="0E131590" w14:textId="77777777" w:rsidR="00DF3770" w:rsidRPr="00722E79" w:rsidRDefault="00DF3770" w:rsidP="00DF3770">
            <w:pPr>
              <w:jc w:val="center"/>
              <w:rPr>
                <w:rFonts w:cs="Times New Roman"/>
                <w:sz w:val="20"/>
                <w:szCs w:val="20"/>
              </w:rPr>
            </w:pPr>
            <w:r w:rsidRPr="00722E79">
              <w:rPr>
                <w:rFonts w:cs="Times New Roman"/>
                <w:sz w:val="20"/>
                <w:szCs w:val="20"/>
              </w:rPr>
              <w:t>High</w:t>
            </w:r>
          </w:p>
        </w:tc>
        <w:tc>
          <w:tcPr>
            <w:tcW w:w="825" w:type="dxa"/>
          </w:tcPr>
          <w:p w14:paraId="0D2EE785" w14:textId="77777777" w:rsidR="00DF3770" w:rsidRPr="00722E79" w:rsidRDefault="00DF3770" w:rsidP="00DF3770">
            <w:pPr>
              <w:jc w:val="center"/>
              <w:rPr>
                <w:rFonts w:cs="Times New Roman"/>
                <w:sz w:val="20"/>
                <w:szCs w:val="20"/>
              </w:rPr>
            </w:pPr>
            <w:r w:rsidRPr="00722E79">
              <w:rPr>
                <w:rFonts w:cs="Times New Roman"/>
                <w:sz w:val="20"/>
                <w:szCs w:val="20"/>
              </w:rPr>
              <w:t>76</w:t>
            </w:r>
          </w:p>
        </w:tc>
        <w:tc>
          <w:tcPr>
            <w:tcW w:w="435" w:type="dxa"/>
          </w:tcPr>
          <w:p w14:paraId="5B748140"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170" w:type="dxa"/>
          </w:tcPr>
          <w:p w14:paraId="1F8F6D56" w14:textId="77777777" w:rsidR="00DF3770" w:rsidRPr="00722E79" w:rsidRDefault="00DF3770" w:rsidP="00DF3770">
            <w:pPr>
              <w:jc w:val="center"/>
              <w:rPr>
                <w:rFonts w:cs="Times New Roman"/>
                <w:sz w:val="20"/>
                <w:szCs w:val="20"/>
              </w:rPr>
            </w:pPr>
            <w:r w:rsidRPr="00722E79">
              <w:rPr>
                <w:rFonts w:cs="Times New Roman"/>
                <w:sz w:val="20"/>
                <w:szCs w:val="20"/>
              </w:rPr>
              <w:t>***</w:t>
            </w:r>
          </w:p>
        </w:tc>
        <w:tc>
          <w:tcPr>
            <w:tcW w:w="870" w:type="dxa"/>
          </w:tcPr>
          <w:p w14:paraId="5C624419" w14:textId="77777777" w:rsidR="00DF3770" w:rsidRPr="00722E79" w:rsidRDefault="00DF3770" w:rsidP="00DF3770">
            <w:pPr>
              <w:jc w:val="center"/>
              <w:rPr>
                <w:rFonts w:cs="Times New Roman"/>
                <w:sz w:val="20"/>
                <w:szCs w:val="20"/>
              </w:rPr>
            </w:pPr>
            <w:r w:rsidRPr="00722E79">
              <w:rPr>
                <w:rFonts w:cs="Times New Roman"/>
                <w:sz w:val="20"/>
                <w:szCs w:val="20"/>
              </w:rPr>
              <w:t>126</w:t>
            </w:r>
          </w:p>
        </w:tc>
        <w:tc>
          <w:tcPr>
            <w:tcW w:w="390" w:type="dxa"/>
          </w:tcPr>
          <w:p w14:paraId="40DB5457"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260" w:type="dxa"/>
          </w:tcPr>
          <w:p w14:paraId="393F5E9B" w14:textId="77777777" w:rsidR="00DF3770" w:rsidRPr="00722E79" w:rsidRDefault="00DF3770" w:rsidP="00DF3770">
            <w:pPr>
              <w:jc w:val="center"/>
              <w:rPr>
                <w:rFonts w:cs="Times New Roman"/>
                <w:sz w:val="20"/>
                <w:szCs w:val="20"/>
              </w:rPr>
            </w:pPr>
            <w:r w:rsidRPr="00722E79">
              <w:rPr>
                <w:rFonts w:cs="Times New Roman"/>
                <w:sz w:val="20"/>
                <w:szCs w:val="20"/>
              </w:rPr>
              <w:t>NS</w:t>
            </w:r>
          </w:p>
        </w:tc>
        <w:tc>
          <w:tcPr>
            <w:tcW w:w="270" w:type="dxa"/>
          </w:tcPr>
          <w:p w14:paraId="4F1D2159" w14:textId="77777777" w:rsidR="00DF3770" w:rsidRPr="00722E79" w:rsidRDefault="00DF3770" w:rsidP="00DF3770">
            <w:pPr>
              <w:jc w:val="center"/>
              <w:rPr>
                <w:rFonts w:cs="Times New Roman"/>
                <w:sz w:val="20"/>
                <w:szCs w:val="20"/>
              </w:rPr>
            </w:pPr>
          </w:p>
        </w:tc>
        <w:tc>
          <w:tcPr>
            <w:tcW w:w="885" w:type="dxa"/>
          </w:tcPr>
          <w:p w14:paraId="2B952049" w14:textId="77777777" w:rsidR="00DF3770" w:rsidRPr="00722E79" w:rsidRDefault="00DF3770" w:rsidP="00DF3770">
            <w:pPr>
              <w:jc w:val="center"/>
              <w:rPr>
                <w:rFonts w:cs="Times New Roman"/>
                <w:sz w:val="20"/>
                <w:szCs w:val="20"/>
              </w:rPr>
            </w:pPr>
            <w:r w:rsidRPr="00722E79">
              <w:rPr>
                <w:rFonts w:cs="Times New Roman"/>
                <w:sz w:val="20"/>
                <w:szCs w:val="20"/>
              </w:rPr>
              <w:t>26</w:t>
            </w:r>
          </w:p>
        </w:tc>
        <w:tc>
          <w:tcPr>
            <w:tcW w:w="375" w:type="dxa"/>
          </w:tcPr>
          <w:p w14:paraId="130458E7"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440" w:type="dxa"/>
          </w:tcPr>
          <w:p w14:paraId="28D35B3A" w14:textId="77777777" w:rsidR="00DF3770" w:rsidRPr="00722E79" w:rsidRDefault="00DF3770" w:rsidP="00DF3770">
            <w:pPr>
              <w:jc w:val="center"/>
              <w:rPr>
                <w:rFonts w:cs="Times New Roman"/>
                <w:sz w:val="20"/>
                <w:szCs w:val="20"/>
              </w:rPr>
            </w:pPr>
            <w:r w:rsidRPr="00722E79">
              <w:rPr>
                <w:rFonts w:cs="Times New Roman"/>
                <w:sz w:val="20"/>
                <w:szCs w:val="20"/>
              </w:rPr>
              <w:t>NS</w:t>
            </w:r>
          </w:p>
        </w:tc>
        <w:tc>
          <w:tcPr>
            <w:tcW w:w="840" w:type="dxa"/>
          </w:tcPr>
          <w:p w14:paraId="4F5F9A95" w14:textId="77777777" w:rsidR="00DF3770" w:rsidRPr="00722E79" w:rsidRDefault="00DF3770" w:rsidP="00DF3770">
            <w:pPr>
              <w:jc w:val="center"/>
              <w:rPr>
                <w:rFonts w:cs="Times New Roman"/>
                <w:sz w:val="20"/>
                <w:szCs w:val="20"/>
              </w:rPr>
            </w:pPr>
            <w:r w:rsidRPr="00722E79">
              <w:rPr>
                <w:rFonts w:cs="Times New Roman"/>
                <w:sz w:val="20"/>
                <w:szCs w:val="20"/>
              </w:rPr>
              <w:t>6</w:t>
            </w:r>
          </w:p>
        </w:tc>
        <w:tc>
          <w:tcPr>
            <w:tcW w:w="510" w:type="dxa"/>
          </w:tcPr>
          <w:p w14:paraId="21BA3028"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260" w:type="dxa"/>
          </w:tcPr>
          <w:p w14:paraId="7ED622D4" w14:textId="77777777" w:rsidR="00DF3770" w:rsidRPr="00722E79" w:rsidRDefault="00DF3770" w:rsidP="00DF3770">
            <w:pPr>
              <w:jc w:val="center"/>
              <w:rPr>
                <w:rFonts w:cs="Times New Roman"/>
                <w:sz w:val="20"/>
                <w:szCs w:val="20"/>
              </w:rPr>
            </w:pPr>
            <w:r w:rsidRPr="00722E79">
              <w:rPr>
                <w:rFonts w:cs="Times New Roman"/>
                <w:sz w:val="20"/>
                <w:szCs w:val="20"/>
              </w:rPr>
              <w:t>NS</w:t>
            </w:r>
          </w:p>
        </w:tc>
      </w:tr>
      <w:tr w:rsidR="00DF3770" w14:paraId="23C7B2E8" w14:textId="77777777">
        <w:tc>
          <w:tcPr>
            <w:tcW w:w="1890" w:type="dxa"/>
            <w:vAlign w:val="bottom"/>
          </w:tcPr>
          <w:p w14:paraId="29954751" w14:textId="77777777" w:rsidR="00DF3770" w:rsidRPr="00722E79" w:rsidRDefault="00DF3770" w:rsidP="00DF3770">
            <w:pPr>
              <w:jc w:val="center"/>
              <w:rPr>
                <w:rFonts w:cs="Times New Roman"/>
                <w:sz w:val="20"/>
                <w:szCs w:val="20"/>
              </w:rPr>
            </w:pPr>
            <w:r w:rsidRPr="00722E79">
              <w:rPr>
                <w:rFonts w:cs="Times New Roman"/>
                <w:sz w:val="20"/>
                <w:szCs w:val="20"/>
              </w:rPr>
              <w:t>Low</w:t>
            </w:r>
          </w:p>
        </w:tc>
        <w:tc>
          <w:tcPr>
            <w:tcW w:w="825" w:type="dxa"/>
          </w:tcPr>
          <w:p w14:paraId="5EDDC7D0" w14:textId="77777777" w:rsidR="00DF3770" w:rsidRPr="00722E79" w:rsidRDefault="00DF3770" w:rsidP="00DF3770">
            <w:pPr>
              <w:jc w:val="center"/>
              <w:rPr>
                <w:rFonts w:cs="Times New Roman"/>
                <w:sz w:val="20"/>
                <w:szCs w:val="20"/>
              </w:rPr>
            </w:pPr>
            <w:r w:rsidRPr="00722E79">
              <w:rPr>
                <w:rFonts w:cs="Times New Roman"/>
                <w:sz w:val="20"/>
                <w:szCs w:val="20"/>
              </w:rPr>
              <w:t>57</w:t>
            </w:r>
          </w:p>
        </w:tc>
        <w:tc>
          <w:tcPr>
            <w:tcW w:w="435" w:type="dxa"/>
          </w:tcPr>
          <w:p w14:paraId="7D476B26"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b</w:t>
            </w:r>
            <w:proofErr w:type="gramEnd"/>
          </w:p>
        </w:tc>
        <w:tc>
          <w:tcPr>
            <w:tcW w:w="1170" w:type="dxa"/>
          </w:tcPr>
          <w:p w14:paraId="37E682EC" w14:textId="77777777" w:rsidR="00DF3770" w:rsidRPr="00722E79" w:rsidRDefault="00DF3770" w:rsidP="00DF3770">
            <w:pPr>
              <w:jc w:val="center"/>
              <w:rPr>
                <w:rFonts w:cs="Times New Roman"/>
                <w:sz w:val="20"/>
                <w:szCs w:val="20"/>
              </w:rPr>
            </w:pPr>
            <w:r w:rsidRPr="00722E79">
              <w:rPr>
                <w:rFonts w:cs="Times New Roman"/>
                <w:sz w:val="20"/>
                <w:szCs w:val="20"/>
              </w:rPr>
              <w:t>**</w:t>
            </w:r>
          </w:p>
        </w:tc>
        <w:tc>
          <w:tcPr>
            <w:tcW w:w="870" w:type="dxa"/>
          </w:tcPr>
          <w:p w14:paraId="213963CA" w14:textId="77777777" w:rsidR="00DF3770" w:rsidRPr="00722E79" w:rsidRDefault="00DF3770" w:rsidP="00DF3770">
            <w:pPr>
              <w:jc w:val="center"/>
              <w:rPr>
                <w:rFonts w:cs="Times New Roman"/>
                <w:sz w:val="20"/>
                <w:szCs w:val="20"/>
              </w:rPr>
            </w:pPr>
            <w:r w:rsidRPr="00722E79">
              <w:rPr>
                <w:rFonts w:cs="Times New Roman"/>
                <w:sz w:val="20"/>
                <w:szCs w:val="20"/>
              </w:rPr>
              <w:t>134</w:t>
            </w:r>
          </w:p>
        </w:tc>
        <w:tc>
          <w:tcPr>
            <w:tcW w:w="390" w:type="dxa"/>
          </w:tcPr>
          <w:p w14:paraId="31B5FDDF"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260" w:type="dxa"/>
          </w:tcPr>
          <w:p w14:paraId="2DD92469" w14:textId="77777777" w:rsidR="00DF3770" w:rsidRPr="00722E79" w:rsidRDefault="00DF3770" w:rsidP="00DF3770">
            <w:pPr>
              <w:jc w:val="center"/>
              <w:rPr>
                <w:rFonts w:cs="Times New Roman"/>
                <w:sz w:val="20"/>
                <w:szCs w:val="20"/>
              </w:rPr>
            </w:pPr>
            <w:r w:rsidRPr="00722E79">
              <w:rPr>
                <w:rFonts w:cs="Times New Roman"/>
                <w:sz w:val="20"/>
                <w:szCs w:val="20"/>
              </w:rPr>
              <w:t>NS</w:t>
            </w:r>
          </w:p>
        </w:tc>
        <w:tc>
          <w:tcPr>
            <w:tcW w:w="270" w:type="dxa"/>
          </w:tcPr>
          <w:p w14:paraId="7E56A629" w14:textId="77777777" w:rsidR="00DF3770" w:rsidRPr="00722E79" w:rsidRDefault="00DF3770" w:rsidP="00DF3770">
            <w:pPr>
              <w:jc w:val="center"/>
              <w:rPr>
                <w:rFonts w:cs="Times New Roman"/>
                <w:sz w:val="20"/>
                <w:szCs w:val="20"/>
              </w:rPr>
            </w:pPr>
          </w:p>
        </w:tc>
        <w:tc>
          <w:tcPr>
            <w:tcW w:w="885" w:type="dxa"/>
          </w:tcPr>
          <w:p w14:paraId="5D3160D0" w14:textId="77777777" w:rsidR="00DF3770" w:rsidRPr="00722E79" w:rsidRDefault="00DF3770" w:rsidP="00DF3770">
            <w:pPr>
              <w:jc w:val="center"/>
              <w:rPr>
                <w:rFonts w:cs="Times New Roman"/>
                <w:sz w:val="20"/>
                <w:szCs w:val="20"/>
              </w:rPr>
            </w:pPr>
            <w:r w:rsidRPr="00722E79">
              <w:rPr>
                <w:rFonts w:cs="Times New Roman"/>
                <w:sz w:val="20"/>
                <w:szCs w:val="20"/>
              </w:rPr>
              <w:t>32</w:t>
            </w:r>
          </w:p>
        </w:tc>
        <w:tc>
          <w:tcPr>
            <w:tcW w:w="375" w:type="dxa"/>
          </w:tcPr>
          <w:p w14:paraId="4A5BF762"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440" w:type="dxa"/>
          </w:tcPr>
          <w:p w14:paraId="452E530D" w14:textId="77777777" w:rsidR="00DF3770" w:rsidRPr="00722E79" w:rsidRDefault="00DF3770" w:rsidP="00DF3770">
            <w:pPr>
              <w:jc w:val="center"/>
              <w:rPr>
                <w:rFonts w:cs="Times New Roman"/>
                <w:sz w:val="20"/>
                <w:szCs w:val="20"/>
              </w:rPr>
            </w:pPr>
            <w:r w:rsidRPr="00722E79">
              <w:rPr>
                <w:rFonts w:cs="Times New Roman"/>
                <w:sz w:val="20"/>
                <w:szCs w:val="20"/>
              </w:rPr>
              <w:t>NS</w:t>
            </w:r>
          </w:p>
        </w:tc>
        <w:tc>
          <w:tcPr>
            <w:tcW w:w="840" w:type="dxa"/>
          </w:tcPr>
          <w:p w14:paraId="1D34FB82" w14:textId="77777777" w:rsidR="00DF3770" w:rsidRPr="00722E79" w:rsidRDefault="00DF3770" w:rsidP="00DF3770">
            <w:pPr>
              <w:jc w:val="center"/>
              <w:rPr>
                <w:rFonts w:cs="Times New Roman"/>
                <w:sz w:val="20"/>
                <w:szCs w:val="20"/>
              </w:rPr>
            </w:pPr>
            <w:r w:rsidRPr="00722E79">
              <w:rPr>
                <w:rFonts w:cs="Times New Roman"/>
                <w:sz w:val="20"/>
                <w:szCs w:val="20"/>
              </w:rPr>
              <w:t>8</w:t>
            </w:r>
          </w:p>
        </w:tc>
        <w:tc>
          <w:tcPr>
            <w:tcW w:w="510" w:type="dxa"/>
          </w:tcPr>
          <w:p w14:paraId="14A15F47" w14:textId="77777777" w:rsidR="00DF3770" w:rsidRPr="00722E79" w:rsidRDefault="00DF3770" w:rsidP="00DF3770">
            <w:pPr>
              <w:jc w:val="center"/>
              <w:rPr>
                <w:rFonts w:cs="Times New Roman"/>
                <w:sz w:val="20"/>
                <w:szCs w:val="20"/>
              </w:rPr>
            </w:pPr>
            <w:proofErr w:type="gramStart"/>
            <w:r w:rsidRPr="00722E79">
              <w:rPr>
                <w:rFonts w:cs="Times New Roman"/>
                <w:sz w:val="20"/>
                <w:szCs w:val="20"/>
              </w:rPr>
              <w:t>a</w:t>
            </w:r>
            <w:proofErr w:type="gramEnd"/>
          </w:p>
        </w:tc>
        <w:tc>
          <w:tcPr>
            <w:tcW w:w="1260" w:type="dxa"/>
          </w:tcPr>
          <w:p w14:paraId="0DD0F15A" w14:textId="77777777" w:rsidR="00DF3770" w:rsidRPr="00722E79" w:rsidRDefault="00DF3770" w:rsidP="00DF3770">
            <w:pPr>
              <w:jc w:val="center"/>
              <w:rPr>
                <w:rFonts w:cs="Times New Roman"/>
                <w:sz w:val="20"/>
                <w:szCs w:val="20"/>
              </w:rPr>
            </w:pPr>
            <w:r w:rsidRPr="00722E79">
              <w:rPr>
                <w:rFonts w:cs="Times New Roman"/>
                <w:sz w:val="20"/>
                <w:szCs w:val="20"/>
              </w:rPr>
              <w:t>NS</w:t>
            </w:r>
          </w:p>
        </w:tc>
      </w:tr>
    </w:tbl>
    <w:p w14:paraId="3F274460" w14:textId="77777777" w:rsidR="00DF3770" w:rsidRPr="009E0902" w:rsidRDefault="00DF3770" w:rsidP="00110EA5">
      <w:pPr>
        <w:spacing w:line="240" w:lineRule="auto"/>
        <w:rPr>
          <w:rFonts w:cs="Times New Roman"/>
          <w:sz w:val="20"/>
          <w:szCs w:val="20"/>
        </w:rPr>
      </w:pPr>
      <w:proofErr w:type="gramStart"/>
      <w:r w:rsidRPr="00605DCD">
        <w:rPr>
          <w:rFonts w:cs="Times New Roman"/>
          <w:sz w:val="20"/>
          <w:szCs w:val="20"/>
          <w:vertAlign w:val="superscript"/>
        </w:rPr>
        <w:t>a</w:t>
      </w:r>
      <w:proofErr w:type="gramEnd"/>
      <w:r w:rsidRPr="009E0902">
        <w:rPr>
          <w:rFonts w:cs="Times New Roman"/>
          <w:sz w:val="20"/>
          <w:szCs w:val="20"/>
          <w:vertAlign w:val="superscript"/>
        </w:rPr>
        <w:t xml:space="preserve"> </w:t>
      </w:r>
      <w:r>
        <w:rPr>
          <w:rFonts w:cs="Times New Roman"/>
          <w:sz w:val="20"/>
          <w:szCs w:val="20"/>
        </w:rPr>
        <w:t>Abbreviations: WAT, weeks after treatment.</w:t>
      </w:r>
    </w:p>
    <w:p w14:paraId="6076E566" w14:textId="77777777" w:rsidR="00DF3770" w:rsidRDefault="00DF3770" w:rsidP="00110EA5">
      <w:pPr>
        <w:spacing w:line="240" w:lineRule="auto"/>
        <w:rPr>
          <w:rFonts w:cs="Times New Roman"/>
          <w:sz w:val="20"/>
          <w:szCs w:val="20"/>
        </w:rPr>
      </w:pPr>
      <w:proofErr w:type="gramStart"/>
      <w:r>
        <w:rPr>
          <w:rFonts w:cs="Times New Roman"/>
          <w:sz w:val="20"/>
          <w:szCs w:val="20"/>
          <w:vertAlign w:val="superscript"/>
        </w:rPr>
        <w:t>b</w:t>
      </w:r>
      <w:r>
        <w:rPr>
          <w:rFonts w:cs="Times New Roman"/>
          <w:sz w:val="20"/>
          <w:szCs w:val="20"/>
        </w:rPr>
        <w:t>All</w:t>
      </w:r>
      <w:proofErr w:type="gramEnd"/>
      <w:r>
        <w:rPr>
          <w:rFonts w:cs="Times New Roman"/>
          <w:sz w:val="20"/>
          <w:szCs w:val="20"/>
        </w:rPr>
        <w:t xml:space="preserve"> treatments</w:t>
      </w:r>
      <w:r w:rsidRPr="00605DCD">
        <w:rPr>
          <w:rFonts w:cs="Times New Roman"/>
          <w:sz w:val="20"/>
          <w:szCs w:val="20"/>
        </w:rPr>
        <w:t xml:space="preserve"> were applied with non-ionic surfactant at 0.25% v/v.</w:t>
      </w:r>
    </w:p>
    <w:p w14:paraId="4C4B61AE" w14:textId="77777777" w:rsidR="00DF3770" w:rsidRDefault="00DF3770" w:rsidP="00110EA5">
      <w:pPr>
        <w:spacing w:line="240" w:lineRule="auto"/>
        <w:rPr>
          <w:rFonts w:eastAsia="ＭＳ ゴシック" w:cs="Times New Roman"/>
          <w:color w:val="000000"/>
          <w:sz w:val="20"/>
          <w:szCs w:val="20"/>
        </w:rPr>
      </w:pPr>
      <w:proofErr w:type="gramStart"/>
      <w:r>
        <w:rPr>
          <w:rFonts w:cs="Times New Roman"/>
          <w:sz w:val="20"/>
          <w:szCs w:val="20"/>
          <w:vertAlign w:val="superscript"/>
        </w:rPr>
        <w:t>c</w:t>
      </w:r>
      <w:r>
        <w:rPr>
          <w:rFonts w:cs="Times New Roman"/>
          <w:sz w:val="20"/>
          <w:szCs w:val="20"/>
        </w:rPr>
        <w:t>Means</w:t>
      </w:r>
      <w:proofErr w:type="gramEnd"/>
      <w:r>
        <w:rPr>
          <w:rFonts w:cs="Times New Roman"/>
          <w:sz w:val="20"/>
          <w:szCs w:val="20"/>
        </w:rPr>
        <w:t xml:space="preserve"> followed by the same letter are not statistically different (P </w:t>
      </w:r>
      <w:r w:rsidRPr="009A3413">
        <w:rPr>
          <w:rFonts w:eastAsia="ＭＳ ゴシック" w:cs="Times New Roman"/>
          <w:color w:val="000000"/>
          <w:sz w:val="20"/>
          <w:szCs w:val="20"/>
        </w:rPr>
        <w:t>≤</w:t>
      </w:r>
      <w:r>
        <w:rPr>
          <w:rFonts w:eastAsia="ＭＳ ゴシック" w:cs="Times New Roman"/>
          <w:color w:val="000000"/>
          <w:sz w:val="20"/>
          <w:szCs w:val="20"/>
        </w:rPr>
        <w:t xml:space="preserve"> 0.05)</w:t>
      </w:r>
    </w:p>
    <w:p w14:paraId="02EF3212" w14:textId="155E2039" w:rsidR="00110EA5" w:rsidRDefault="00DF3770" w:rsidP="00110EA5">
      <w:pPr>
        <w:spacing w:line="240" w:lineRule="auto"/>
        <w:rPr>
          <w:rFonts w:cs="Times New Roman"/>
          <w:sz w:val="20"/>
          <w:szCs w:val="20"/>
        </w:rPr>
        <w:sectPr w:rsidR="00110EA5">
          <w:pgSz w:w="15840" w:h="12240" w:orient="landscape"/>
          <w:pgMar w:top="1440" w:right="1440" w:bottom="1440" w:left="1440" w:header="720" w:footer="720" w:gutter="0"/>
          <w:cols w:space="720"/>
          <w:docGrid w:linePitch="360"/>
        </w:sectPr>
      </w:pPr>
      <w:proofErr w:type="gramStart"/>
      <w:r>
        <w:rPr>
          <w:rFonts w:cs="Times New Roman"/>
          <w:sz w:val="20"/>
          <w:szCs w:val="20"/>
          <w:vertAlign w:val="superscript"/>
        </w:rPr>
        <w:t>d</w:t>
      </w:r>
      <w:proofErr w:type="gramEnd"/>
      <w:r w:rsidR="008C01C7" w:rsidRPr="008C01C7">
        <w:rPr>
          <w:rFonts w:cs="Times New Roman"/>
          <w:color w:val="000000"/>
        </w:rPr>
        <w:t xml:space="preserve"> </w:t>
      </w:r>
      <w:r w:rsidR="008C01C7" w:rsidRPr="008C01C7">
        <w:rPr>
          <w:rFonts w:cs="Times New Roman"/>
          <w:color w:val="000000"/>
          <w:sz w:val="20"/>
          <w:szCs w:val="20"/>
        </w:rPr>
        <w:t xml:space="preserve">Contrasts were used to determine if responses of safener-treated plants differed </w:t>
      </w:r>
      <w:r w:rsidR="008C01C7" w:rsidRPr="008C01C7">
        <w:rPr>
          <w:rFonts w:cs="Times New Roman"/>
          <w:sz w:val="20"/>
          <w:szCs w:val="20"/>
        </w:rPr>
        <w:t>(</w:t>
      </w:r>
      <w:r w:rsidR="008C01C7" w:rsidRPr="008C01C7">
        <w:rPr>
          <w:rFonts w:cs="Times New Roman"/>
          <w:color w:val="000000"/>
          <w:sz w:val="20"/>
          <w:szCs w:val="20"/>
        </w:rPr>
        <w:t>α</w:t>
      </w:r>
      <w:r w:rsidR="008C01C7" w:rsidRPr="008C01C7">
        <w:rPr>
          <w:rFonts w:cs="Times New Roman"/>
          <w:sz w:val="20"/>
          <w:szCs w:val="20"/>
        </w:rPr>
        <w:t xml:space="preserve"> </w:t>
      </w:r>
      <w:r w:rsidR="008C01C7" w:rsidRPr="008C01C7">
        <w:rPr>
          <w:rFonts w:eastAsia="MS Gothic" w:cs="Times New Roman"/>
          <w:color w:val="000000"/>
          <w:sz w:val="20"/>
          <w:szCs w:val="20"/>
        </w:rPr>
        <w:t xml:space="preserve">≤ 0.05) from plants treated with only pinoxaden. </w:t>
      </w:r>
      <w:proofErr w:type="gramStart"/>
      <w:r w:rsidRPr="008C01C7">
        <w:rPr>
          <w:rFonts w:cs="Times New Roman"/>
          <w:sz w:val="20"/>
          <w:szCs w:val="20"/>
        </w:rPr>
        <w:t>NS</w:t>
      </w:r>
      <w:r>
        <w:rPr>
          <w:rFonts w:cs="Times New Roman"/>
          <w:sz w:val="20"/>
          <w:szCs w:val="20"/>
        </w:rPr>
        <w:t>, non-significant;</w:t>
      </w:r>
      <w:r w:rsidRPr="002F574C">
        <w:rPr>
          <w:rFonts w:cs="Times New Roman"/>
          <w:sz w:val="20"/>
          <w:szCs w:val="20"/>
        </w:rPr>
        <w:t xml:space="preserve"> **, ***, significant when </w:t>
      </w:r>
      <w:r w:rsidRPr="002F574C">
        <w:rPr>
          <w:rFonts w:cs="Times New Roman"/>
          <w:color w:val="000000"/>
          <w:sz w:val="20"/>
          <w:szCs w:val="20"/>
        </w:rPr>
        <w:t xml:space="preserve">α </w:t>
      </w:r>
      <w:r w:rsidRPr="002F574C">
        <w:rPr>
          <w:rFonts w:eastAsia="MS Gothic" w:cs="Times New Roman"/>
          <w:color w:val="000000"/>
        </w:rPr>
        <w:t xml:space="preserve">≤ </w:t>
      </w:r>
      <w:r w:rsidR="00110EA5">
        <w:rPr>
          <w:rFonts w:cs="Times New Roman"/>
          <w:sz w:val="20"/>
          <w:szCs w:val="20"/>
        </w:rPr>
        <w:t>0.01 and 0.001, respectively.</w:t>
      </w:r>
      <w:proofErr w:type="gramEnd"/>
    </w:p>
    <w:p w14:paraId="2D60988F" w14:textId="38EC657A" w:rsidR="00DF3770" w:rsidRPr="00605DCD" w:rsidRDefault="001D3D0F" w:rsidP="00DF3770">
      <w:pPr>
        <w:rPr>
          <w:rFonts w:cs="Times New Roman"/>
        </w:rPr>
      </w:pPr>
      <w:r w:rsidRPr="00051F58">
        <w:rPr>
          <w:rFonts w:cs="Times New Roman"/>
          <w:b/>
        </w:rPr>
        <w:lastRenderedPageBreak/>
        <w:t xml:space="preserve">Table </w:t>
      </w:r>
      <w:r w:rsidR="00823063" w:rsidRPr="00051F58">
        <w:rPr>
          <w:rFonts w:cs="Times New Roman"/>
          <w:b/>
        </w:rPr>
        <w:t>2.</w:t>
      </w:r>
      <w:r w:rsidRPr="00051F58">
        <w:rPr>
          <w:rFonts w:cs="Times New Roman"/>
          <w:b/>
        </w:rPr>
        <w:t>6.</w:t>
      </w:r>
      <w:r>
        <w:rPr>
          <w:rFonts w:cs="Times New Roman"/>
        </w:rPr>
        <w:t xml:space="preserve"> </w:t>
      </w:r>
      <w:proofErr w:type="gramStart"/>
      <w:r w:rsidR="00DF3770">
        <w:rPr>
          <w:rFonts w:cs="Times New Roman"/>
        </w:rPr>
        <w:t>Creeping bentgrass injury and perennial ryegrass control after pinoxaden application</w:t>
      </w:r>
      <w:r w:rsidR="00DF3770" w:rsidRPr="00605DCD">
        <w:rPr>
          <w:rFonts w:cs="Times New Roman"/>
        </w:rPr>
        <w:t xml:space="preserve"> in a glasshouse in Knoxville, TN in 201</w:t>
      </w:r>
      <w:r w:rsidR="00DF3770">
        <w:rPr>
          <w:rFonts w:cs="Times New Roman"/>
        </w:rPr>
        <w:t>4.</w:t>
      </w:r>
      <w:proofErr w:type="gramEnd"/>
      <w:r w:rsidR="00DF3770">
        <w:rPr>
          <w:rFonts w:cs="Times New Roman"/>
        </w:rPr>
        <w:t xml:space="preserve"> The herbicide safeners cloquintocet-mexyl, fenchlorazole-ethyl and mefenpyr-diethyl were applied </w:t>
      </w:r>
      <w:r w:rsidR="00DF3770" w:rsidRPr="00605DCD">
        <w:rPr>
          <w:rFonts w:cs="Times New Roman"/>
        </w:rPr>
        <w:t xml:space="preserve">at </w:t>
      </w:r>
      <w:r w:rsidR="00DF3770">
        <w:rPr>
          <w:rFonts w:cs="Times New Roman"/>
          <w:color w:val="000000"/>
        </w:rPr>
        <w:t xml:space="preserve">high or low rates (225 or 68 </w:t>
      </w:r>
      <w:r w:rsidR="00DF3770" w:rsidRPr="00605DCD">
        <w:rPr>
          <w:rFonts w:cs="Times New Roman"/>
        </w:rPr>
        <w:t>g ha</w:t>
      </w:r>
      <w:r w:rsidR="00DF3770" w:rsidRPr="00605DCD">
        <w:rPr>
          <w:rFonts w:cs="Times New Roman"/>
          <w:vertAlign w:val="superscript"/>
        </w:rPr>
        <w:t>-1</w:t>
      </w:r>
      <w:r w:rsidR="00DF3770">
        <w:rPr>
          <w:rFonts w:cs="Times New Roman"/>
        </w:rPr>
        <w:t>, respectively) 30 min</w:t>
      </w:r>
      <w:r w:rsidR="00DF3770" w:rsidRPr="00605DCD">
        <w:rPr>
          <w:rFonts w:cs="Times New Roman"/>
        </w:rPr>
        <w:t xml:space="preserve">s prior to </w:t>
      </w:r>
      <w:r w:rsidR="00DF3770">
        <w:rPr>
          <w:rFonts w:cs="Times New Roman"/>
        </w:rPr>
        <w:t>pinoxaden (90 g ha</w:t>
      </w:r>
      <w:r w:rsidR="00DF3770" w:rsidRPr="006212E3">
        <w:rPr>
          <w:rFonts w:cs="Times New Roman"/>
          <w:vertAlign w:val="superscript"/>
        </w:rPr>
        <w:t>-1</w:t>
      </w:r>
      <w:r w:rsidR="00DF3770">
        <w:rPr>
          <w:rFonts w:cs="Times New Roman"/>
        </w:rPr>
        <w:t>) application</w:t>
      </w:r>
      <w:r w:rsidR="00DF3770" w:rsidRPr="00605DCD">
        <w:rPr>
          <w:rFonts w:cs="Times New Roman"/>
        </w:rPr>
        <w:t>.</w:t>
      </w:r>
      <w:r w:rsidR="00DF3770">
        <w:rPr>
          <w:rFonts w:cs="Times New Roman"/>
        </w:rPr>
        <w:t xml:space="preserve"> Control was evaluated visually on a 0 (no injury or control) to 100% (complete control) scale 2 and 4 weeks after treatment. Data were combined across experimental runs. </w:t>
      </w:r>
    </w:p>
    <w:tbl>
      <w:tblPr>
        <w:tblStyle w:val="TableGrid"/>
        <w:tblW w:w="12510" w:type="dxa"/>
        <w:tblInd w:w="46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810"/>
        <w:gridCol w:w="900"/>
        <w:gridCol w:w="900"/>
        <w:gridCol w:w="810"/>
        <w:gridCol w:w="42"/>
        <w:gridCol w:w="768"/>
        <w:gridCol w:w="900"/>
        <w:gridCol w:w="270"/>
        <w:gridCol w:w="855"/>
        <w:gridCol w:w="855"/>
        <w:gridCol w:w="900"/>
        <w:gridCol w:w="810"/>
        <w:gridCol w:w="810"/>
        <w:gridCol w:w="900"/>
      </w:tblGrid>
      <w:tr w:rsidR="00DF3770" w14:paraId="3ED70613" w14:textId="77777777">
        <w:tc>
          <w:tcPr>
            <w:tcW w:w="1980" w:type="dxa"/>
            <w:tcBorders>
              <w:top w:val="single" w:sz="4" w:space="0" w:color="auto"/>
              <w:bottom w:val="nil"/>
            </w:tcBorders>
            <w:vAlign w:val="bottom"/>
          </w:tcPr>
          <w:p w14:paraId="6DC96C62" w14:textId="77777777" w:rsidR="00DF3770" w:rsidRDefault="00DF3770" w:rsidP="00DF3770">
            <w:pPr>
              <w:jc w:val="center"/>
              <w:rPr>
                <w:rFonts w:cs="Times New Roman"/>
                <w:sz w:val="20"/>
                <w:szCs w:val="20"/>
              </w:rPr>
            </w:pPr>
          </w:p>
        </w:tc>
        <w:tc>
          <w:tcPr>
            <w:tcW w:w="5130" w:type="dxa"/>
            <w:gridSpan w:val="7"/>
            <w:tcBorders>
              <w:top w:val="single" w:sz="4" w:space="0" w:color="auto"/>
              <w:bottom w:val="single" w:sz="4" w:space="0" w:color="auto"/>
            </w:tcBorders>
            <w:vAlign w:val="bottom"/>
          </w:tcPr>
          <w:p w14:paraId="634FD28D" w14:textId="77777777" w:rsidR="00DF3770" w:rsidRDefault="00DF3770" w:rsidP="00DF3770">
            <w:pPr>
              <w:jc w:val="center"/>
              <w:rPr>
                <w:rFonts w:cs="Times New Roman"/>
                <w:sz w:val="20"/>
                <w:szCs w:val="20"/>
              </w:rPr>
            </w:pPr>
            <w:r>
              <w:rPr>
                <w:rFonts w:cs="Times New Roman"/>
                <w:sz w:val="20"/>
                <w:szCs w:val="20"/>
              </w:rPr>
              <w:t>Creeping Bentgrass</w:t>
            </w:r>
          </w:p>
        </w:tc>
        <w:tc>
          <w:tcPr>
            <w:tcW w:w="270" w:type="dxa"/>
            <w:tcBorders>
              <w:top w:val="single" w:sz="4" w:space="0" w:color="auto"/>
              <w:bottom w:val="nil"/>
            </w:tcBorders>
          </w:tcPr>
          <w:p w14:paraId="084D5B3F" w14:textId="77777777" w:rsidR="00DF3770" w:rsidRDefault="00DF3770" w:rsidP="00DF3770">
            <w:pPr>
              <w:jc w:val="center"/>
              <w:rPr>
                <w:rFonts w:cs="Times New Roman"/>
                <w:sz w:val="20"/>
                <w:szCs w:val="20"/>
              </w:rPr>
            </w:pPr>
          </w:p>
        </w:tc>
        <w:tc>
          <w:tcPr>
            <w:tcW w:w="5130" w:type="dxa"/>
            <w:gridSpan w:val="6"/>
            <w:tcBorders>
              <w:top w:val="single" w:sz="4" w:space="0" w:color="auto"/>
              <w:bottom w:val="single" w:sz="4" w:space="0" w:color="auto"/>
            </w:tcBorders>
          </w:tcPr>
          <w:p w14:paraId="1AB22235" w14:textId="77777777" w:rsidR="00DF3770" w:rsidRDefault="00DF3770" w:rsidP="00DF3770">
            <w:pPr>
              <w:jc w:val="center"/>
              <w:rPr>
                <w:rFonts w:cs="Times New Roman"/>
                <w:sz w:val="20"/>
                <w:szCs w:val="20"/>
              </w:rPr>
            </w:pPr>
            <w:r>
              <w:rPr>
                <w:rFonts w:cs="Times New Roman"/>
                <w:sz w:val="20"/>
                <w:szCs w:val="20"/>
              </w:rPr>
              <w:t>Perennial Ryegrass</w:t>
            </w:r>
          </w:p>
        </w:tc>
      </w:tr>
      <w:tr w:rsidR="00DF3770" w14:paraId="6A217281" w14:textId="77777777">
        <w:tc>
          <w:tcPr>
            <w:tcW w:w="1980" w:type="dxa"/>
            <w:tcBorders>
              <w:top w:val="nil"/>
              <w:bottom w:val="single" w:sz="4" w:space="0" w:color="auto"/>
            </w:tcBorders>
            <w:vAlign w:val="bottom"/>
          </w:tcPr>
          <w:p w14:paraId="5A10D0EE" w14:textId="77777777" w:rsidR="00DF3770" w:rsidRDefault="00DF3770" w:rsidP="00DF3770">
            <w:pPr>
              <w:jc w:val="center"/>
              <w:rPr>
                <w:rFonts w:cs="Times New Roman"/>
                <w:sz w:val="20"/>
                <w:szCs w:val="20"/>
              </w:rPr>
            </w:pPr>
            <w:r>
              <w:rPr>
                <w:rFonts w:cs="Times New Roman"/>
                <w:sz w:val="20"/>
                <w:szCs w:val="20"/>
              </w:rPr>
              <w:t>Safener</w:t>
            </w:r>
          </w:p>
        </w:tc>
        <w:tc>
          <w:tcPr>
            <w:tcW w:w="2610" w:type="dxa"/>
            <w:gridSpan w:val="3"/>
            <w:tcBorders>
              <w:bottom w:val="single" w:sz="4" w:space="0" w:color="auto"/>
            </w:tcBorders>
            <w:vAlign w:val="bottom"/>
          </w:tcPr>
          <w:p w14:paraId="522C25FB" w14:textId="77777777" w:rsidR="00DF3770" w:rsidRPr="00CC28BE" w:rsidRDefault="00DF3770" w:rsidP="00DF3770">
            <w:pPr>
              <w:jc w:val="center"/>
              <w:rPr>
                <w:rFonts w:cs="Times New Roman"/>
                <w:sz w:val="20"/>
                <w:szCs w:val="20"/>
                <w:vertAlign w:val="superscript"/>
              </w:rPr>
            </w:pPr>
            <w:r>
              <w:rPr>
                <w:rFonts w:cs="Times New Roman"/>
                <w:sz w:val="20"/>
                <w:szCs w:val="20"/>
              </w:rPr>
              <w:t>2 WAT</w:t>
            </w:r>
            <w:r>
              <w:rPr>
                <w:rFonts w:cs="Times New Roman"/>
                <w:sz w:val="20"/>
                <w:szCs w:val="20"/>
                <w:vertAlign w:val="superscript"/>
              </w:rPr>
              <w:t>a</w:t>
            </w:r>
          </w:p>
        </w:tc>
        <w:tc>
          <w:tcPr>
            <w:tcW w:w="2520" w:type="dxa"/>
            <w:gridSpan w:val="4"/>
            <w:tcBorders>
              <w:bottom w:val="single" w:sz="4" w:space="0" w:color="auto"/>
            </w:tcBorders>
            <w:vAlign w:val="bottom"/>
          </w:tcPr>
          <w:p w14:paraId="02BA0121" w14:textId="77777777" w:rsidR="00DF3770" w:rsidRDefault="00DF3770" w:rsidP="00DF3770">
            <w:pPr>
              <w:jc w:val="center"/>
              <w:rPr>
                <w:rFonts w:cs="Times New Roman"/>
                <w:sz w:val="20"/>
                <w:szCs w:val="20"/>
              </w:rPr>
            </w:pPr>
            <w:r>
              <w:rPr>
                <w:rFonts w:cs="Times New Roman"/>
                <w:sz w:val="20"/>
                <w:szCs w:val="20"/>
              </w:rPr>
              <w:t>4 WAT</w:t>
            </w:r>
          </w:p>
        </w:tc>
        <w:tc>
          <w:tcPr>
            <w:tcW w:w="270" w:type="dxa"/>
            <w:tcBorders>
              <w:top w:val="nil"/>
              <w:bottom w:val="single" w:sz="4" w:space="0" w:color="auto"/>
            </w:tcBorders>
          </w:tcPr>
          <w:p w14:paraId="34C9F487" w14:textId="77777777" w:rsidR="00DF3770" w:rsidRDefault="00DF3770" w:rsidP="00DF3770">
            <w:pPr>
              <w:jc w:val="center"/>
              <w:rPr>
                <w:rFonts w:cs="Times New Roman"/>
                <w:sz w:val="20"/>
                <w:szCs w:val="20"/>
              </w:rPr>
            </w:pPr>
          </w:p>
        </w:tc>
        <w:tc>
          <w:tcPr>
            <w:tcW w:w="2610" w:type="dxa"/>
            <w:gridSpan w:val="3"/>
            <w:tcBorders>
              <w:bottom w:val="single" w:sz="4" w:space="0" w:color="auto"/>
            </w:tcBorders>
          </w:tcPr>
          <w:p w14:paraId="42B6B8F6" w14:textId="77777777" w:rsidR="00DF3770" w:rsidRDefault="00DF3770" w:rsidP="00DF3770">
            <w:pPr>
              <w:jc w:val="center"/>
              <w:rPr>
                <w:rFonts w:cs="Times New Roman"/>
                <w:sz w:val="20"/>
                <w:szCs w:val="20"/>
              </w:rPr>
            </w:pPr>
            <w:r>
              <w:rPr>
                <w:rFonts w:cs="Times New Roman"/>
                <w:sz w:val="20"/>
                <w:szCs w:val="20"/>
              </w:rPr>
              <w:t>2 WAT</w:t>
            </w:r>
          </w:p>
        </w:tc>
        <w:tc>
          <w:tcPr>
            <w:tcW w:w="2520" w:type="dxa"/>
            <w:gridSpan w:val="3"/>
            <w:tcBorders>
              <w:bottom w:val="single" w:sz="4" w:space="0" w:color="auto"/>
            </w:tcBorders>
          </w:tcPr>
          <w:p w14:paraId="76E27EA5" w14:textId="77777777" w:rsidR="00DF3770" w:rsidRDefault="00DF3770" w:rsidP="00DF3770">
            <w:pPr>
              <w:jc w:val="center"/>
              <w:rPr>
                <w:rFonts w:cs="Times New Roman"/>
                <w:sz w:val="20"/>
                <w:szCs w:val="20"/>
              </w:rPr>
            </w:pPr>
            <w:r>
              <w:rPr>
                <w:rFonts w:cs="Times New Roman"/>
                <w:sz w:val="20"/>
                <w:szCs w:val="20"/>
              </w:rPr>
              <w:t>4 WAT</w:t>
            </w:r>
          </w:p>
        </w:tc>
      </w:tr>
      <w:tr w:rsidR="00DF3770" w:rsidRPr="00605DCD" w14:paraId="37AD4942" w14:textId="77777777">
        <w:trPr>
          <w:trHeight w:val="512"/>
        </w:trPr>
        <w:tc>
          <w:tcPr>
            <w:tcW w:w="1980" w:type="dxa"/>
            <w:tcBorders>
              <w:top w:val="single" w:sz="4" w:space="0" w:color="auto"/>
              <w:bottom w:val="nil"/>
              <w:right w:val="nil"/>
            </w:tcBorders>
            <w:vAlign w:val="bottom"/>
          </w:tcPr>
          <w:p w14:paraId="2032B4BA" w14:textId="77777777" w:rsidR="00DF3770" w:rsidRPr="00605DCD" w:rsidRDefault="00DF3770" w:rsidP="00DF3770">
            <w:pPr>
              <w:jc w:val="center"/>
              <w:rPr>
                <w:rFonts w:cs="Times New Roman"/>
                <w:sz w:val="20"/>
                <w:szCs w:val="20"/>
              </w:rPr>
            </w:pPr>
          </w:p>
        </w:tc>
        <w:tc>
          <w:tcPr>
            <w:tcW w:w="1710" w:type="dxa"/>
            <w:gridSpan w:val="2"/>
            <w:tcBorders>
              <w:top w:val="single" w:sz="4" w:space="0" w:color="auto"/>
              <w:left w:val="nil"/>
              <w:bottom w:val="nil"/>
              <w:right w:val="nil"/>
            </w:tcBorders>
            <w:vAlign w:val="center"/>
          </w:tcPr>
          <w:p w14:paraId="544C12B2" w14:textId="77777777" w:rsidR="00DF3770" w:rsidRPr="00605DCD" w:rsidRDefault="00DF3770" w:rsidP="00DF3770">
            <w:pPr>
              <w:jc w:val="center"/>
              <w:rPr>
                <w:rFonts w:cs="Times New Roman"/>
                <w:sz w:val="20"/>
                <w:szCs w:val="20"/>
              </w:rPr>
            </w:pPr>
            <w:r>
              <w:rPr>
                <w:rFonts w:cs="Times New Roman"/>
                <w:sz w:val="20"/>
                <w:szCs w:val="20"/>
                <w:vertAlign w:val="superscript"/>
              </w:rPr>
              <w:t>___</w:t>
            </w:r>
            <w:r w:rsidRPr="008B621B">
              <w:rPr>
                <w:rFonts w:cs="Times New Roman"/>
                <w:sz w:val="20"/>
                <w:szCs w:val="20"/>
                <w:vertAlign w:val="superscript"/>
              </w:rPr>
              <w:t>_</w:t>
            </w:r>
            <w:r>
              <w:rPr>
                <w:rFonts w:cs="Times New Roman"/>
                <w:sz w:val="20"/>
                <w:szCs w:val="20"/>
              </w:rPr>
              <w:t xml:space="preserve">% </w:t>
            </w:r>
            <w:proofErr w:type="gramStart"/>
            <w:r>
              <w:rPr>
                <w:rFonts w:cs="Times New Roman"/>
                <w:sz w:val="20"/>
                <w:szCs w:val="20"/>
              </w:rPr>
              <w:t>injury</w:t>
            </w:r>
            <w:proofErr w:type="gramEnd"/>
            <w:r>
              <w:rPr>
                <w:rFonts w:cs="Times New Roman"/>
                <w:sz w:val="20"/>
                <w:szCs w:val="20"/>
                <w:vertAlign w:val="superscript"/>
              </w:rPr>
              <w:t>___</w:t>
            </w:r>
            <w:r w:rsidRPr="008B621B">
              <w:rPr>
                <w:rFonts w:cs="Times New Roman"/>
                <w:sz w:val="20"/>
                <w:szCs w:val="20"/>
                <w:vertAlign w:val="superscript"/>
              </w:rPr>
              <w:t>_</w:t>
            </w:r>
          </w:p>
        </w:tc>
        <w:tc>
          <w:tcPr>
            <w:tcW w:w="900" w:type="dxa"/>
            <w:tcBorders>
              <w:top w:val="single" w:sz="4" w:space="0" w:color="auto"/>
              <w:left w:val="nil"/>
              <w:bottom w:val="nil"/>
              <w:right w:val="nil"/>
            </w:tcBorders>
            <w:vAlign w:val="center"/>
          </w:tcPr>
          <w:p w14:paraId="05760950" w14:textId="77777777" w:rsidR="00DF3770" w:rsidRPr="00605DCD" w:rsidRDefault="00DF3770" w:rsidP="00DF3770">
            <w:pPr>
              <w:jc w:val="center"/>
              <w:rPr>
                <w:rFonts w:cs="Times New Roman"/>
                <w:sz w:val="20"/>
                <w:szCs w:val="20"/>
              </w:rPr>
            </w:pPr>
            <w:r>
              <w:rPr>
                <w:rFonts w:cs="Times New Roman"/>
                <w:sz w:val="20"/>
                <w:szCs w:val="20"/>
              </w:rPr>
              <w:t>Contrast</w:t>
            </w:r>
          </w:p>
        </w:tc>
        <w:tc>
          <w:tcPr>
            <w:tcW w:w="1620" w:type="dxa"/>
            <w:gridSpan w:val="3"/>
            <w:tcBorders>
              <w:top w:val="single" w:sz="4" w:space="0" w:color="auto"/>
              <w:left w:val="nil"/>
              <w:bottom w:val="nil"/>
              <w:right w:val="nil"/>
            </w:tcBorders>
            <w:vAlign w:val="center"/>
          </w:tcPr>
          <w:p w14:paraId="1C5002F4" w14:textId="77777777" w:rsidR="00DF3770" w:rsidRPr="00605DCD" w:rsidRDefault="00DF3770" w:rsidP="00DF3770">
            <w:pPr>
              <w:jc w:val="center"/>
              <w:rPr>
                <w:rFonts w:cs="Times New Roman"/>
                <w:sz w:val="20"/>
                <w:szCs w:val="20"/>
              </w:rPr>
            </w:pPr>
            <w:r>
              <w:rPr>
                <w:rFonts w:cs="Times New Roman"/>
                <w:sz w:val="20"/>
                <w:szCs w:val="20"/>
                <w:vertAlign w:val="superscript"/>
              </w:rPr>
              <w:t>___</w:t>
            </w:r>
            <w:r w:rsidRPr="008B621B">
              <w:rPr>
                <w:rFonts w:cs="Times New Roman"/>
                <w:sz w:val="20"/>
                <w:szCs w:val="20"/>
                <w:vertAlign w:val="superscript"/>
              </w:rPr>
              <w:t>_</w:t>
            </w:r>
            <w:r>
              <w:rPr>
                <w:rFonts w:cs="Times New Roman"/>
                <w:sz w:val="20"/>
                <w:szCs w:val="20"/>
              </w:rPr>
              <w:t xml:space="preserve">% </w:t>
            </w:r>
            <w:proofErr w:type="gramStart"/>
            <w:r>
              <w:rPr>
                <w:rFonts w:cs="Times New Roman"/>
                <w:sz w:val="20"/>
                <w:szCs w:val="20"/>
              </w:rPr>
              <w:t>injury</w:t>
            </w:r>
            <w:proofErr w:type="gramEnd"/>
            <w:r>
              <w:rPr>
                <w:rFonts w:cs="Times New Roman"/>
                <w:sz w:val="20"/>
                <w:szCs w:val="20"/>
                <w:vertAlign w:val="superscript"/>
              </w:rPr>
              <w:t>___</w:t>
            </w:r>
            <w:r w:rsidRPr="008B621B">
              <w:rPr>
                <w:rFonts w:cs="Times New Roman"/>
                <w:sz w:val="20"/>
                <w:szCs w:val="20"/>
                <w:vertAlign w:val="superscript"/>
              </w:rPr>
              <w:t>_</w:t>
            </w:r>
          </w:p>
        </w:tc>
        <w:tc>
          <w:tcPr>
            <w:tcW w:w="900" w:type="dxa"/>
            <w:tcBorders>
              <w:top w:val="single" w:sz="4" w:space="0" w:color="auto"/>
              <w:left w:val="nil"/>
              <w:bottom w:val="nil"/>
              <w:right w:val="nil"/>
            </w:tcBorders>
            <w:vAlign w:val="center"/>
          </w:tcPr>
          <w:p w14:paraId="448E09A8" w14:textId="77777777" w:rsidR="00DF3770" w:rsidRPr="00605DCD" w:rsidRDefault="00DF3770" w:rsidP="00DF3770">
            <w:pPr>
              <w:jc w:val="center"/>
              <w:rPr>
                <w:rFonts w:cs="Times New Roman"/>
                <w:sz w:val="20"/>
                <w:szCs w:val="20"/>
              </w:rPr>
            </w:pPr>
            <w:r>
              <w:rPr>
                <w:rFonts w:cs="Times New Roman"/>
                <w:sz w:val="20"/>
                <w:szCs w:val="20"/>
              </w:rPr>
              <w:t>Contrast</w:t>
            </w:r>
          </w:p>
        </w:tc>
        <w:tc>
          <w:tcPr>
            <w:tcW w:w="270" w:type="dxa"/>
            <w:tcBorders>
              <w:top w:val="single" w:sz="4" w:space="0" w:color="auto"/>
              <w:left w:val="nil"/>
              <w:bottom w:val="nil"/>
              <w:right w:val="nil"/>
            </w:tcBorders>
          </w:tcPr>
          <w:p w14:paraId="181542A8" w14:textId="77777777" w:rsidR="00DF3770" w:rsidRDefault="00DF3770" w:rsidP="00DF3770">
            <w:pPr>
              <w:jc w:val="center"/>
              <w:rPr>
                <w:rFonts w:cs="Times New Roman"/>
                <w:sz w:val="20"/>
                <w:szCs w:val="20"/>
                <w:vertAlign w:val="superscript"/>
              </w:rPr>
            </w:pPr>
          </w:p>
        </w:tc>
        <w:tc>
          <w:tcPr>
            <w:tcW w:w="1710" w:type="dxa"/>
            <w:gridSpan w:val="2"/>
            <w:tcBorders>
              <w:top w:val="single" w:sz="4" w:space="0" w:color="auto"/>
              <w:left w:val="nil"/>
              <w:bottom w:val="nil"/>
              <w:right w:val="nil"/>
            </w:tcBorders>
            <w:vAlign w:val="center"/>
          </w:tcPr>
          <w:p w14:paraId="02AAEB98" w14:textId="77777777" w:rsidR="00DF3770" w:rsidRDefault="00DF3770" w:rsidP="00DF3770">
            <w:pPr>
              <w:jc w:val="center"/>
              <w:rPr>
                <w:rFonts w:cs="Times New Roman"/>
                <w:sz w:val="20"/>
                <w:szCs w:val="20"/>
              </w:rPr>
            </w:pPr>
            <w:r>
              <w:rPr>
                <w:rFonts w:cs="Times New Roman"/>
                <w:sz w:val="20"/>
                <w:szCs w:val="20"/>
                <w:vertAlign w:val="superscript"/>
              </w:rPr>
              <w:t>___</w:t>
            </w:r>
            <w:r w:rsidRPr="008B621B">
              <w:rPr>
                <w:rFonts w:cs="Times New Roman"/>
                <w:sz w:val="20"/>
                <w:szCs w:val="20"/>
                <w:vertAlign w:val="superscript"/>
              </w:rPr>
              <w:t>_</w:t>
            </w:r>
            <w:r>
              <w:rPr>
                <w:rFonts w:cs="Times New Roman"/>
                <w:sz w:val="20"/>
                <w:szCs w:val="20"/>
              </w:rPr>
              <w:t>% Control</w:t>
            </w:r>
            <w:r>
              <w:rPr>
                <w:rFonts w:cs="Times New Roman"/>
                <w:sz w:val="20"/>
                <w:szCs w:val="20"/>
                <w:vertAlign w:val="superscript"/>
              </w:rPr>
              <w:t>___</w:t>
            </w:r>
            <w:r w:rsidRPr="008B621B">
              <w:rPr>
                <w:rFonts w:cs="Times New Roman"/>
                <w:sz w:val="20"/>
                <w:szCs w:val="20"/>
                <w:vertAlign w:val="superscript"/>
              </w:rPr>
              <w:t>_</w:t>
            </w:r>
          </w:p>
        </w:tc>
        <w:tc>
          <w:tcPr>
            <w:tcW w:w="900" w:type="dxa"/>
            <w:tcBorders>
              <w:top w:val="single" w:sz="4" w:space="0" w:color="auto"/>
              <w:left w:val="nil"/>
              <w:bottom w:val="nil"/>
              <w:right w:val="nil"/>
            </w:tcBorders>
            <w:vAlign w:val="center"/>
          </w:tcPr>
          <w:p w14:paraId="721CE169" w14:textId="77777777" w:rsidR="00DF3770" w:rsidRDefault="00DF3770" w:rsidP="00DF3770">
            <w:pPr>
              <w:jc w:val="center"/>
              <w:rPr>
                <w:rFonts w:cs="Times New Roman"/>
                <w:sz w:val="20"/>
                <w:szCs w:val="20"/>
              </w:rPr>
            </w:pPr>
            <w:r>
              <w:rPr>
                <w:rFonts w:cs="Times New Roman"/>
                <w:sz w:val="20"/>
                <w:szCs w:val="20"/>
              </w:rPr>
              <w:t>Contrast</w:t>
            </w:r>
          </w:p>
        </w:tc>
        <w:tc>
          <w:tcPr>
            <w:tcW w:w="1620" w:type="dxa"/>
            <w:gridSpan w:val="2"/>
            <w:tcBorders>
              <w:top w:val="single" w:sz="4" w:space="0" w:color="auto"/>
              <w:left w:val="nil"/>
              <w:bottom w:val="nil"/>
              <w:right w:val="nil"/>
            </w:tcBorders>
            <w:vAlign w:val="center"/>
          </w:tcPr>
          <w:p w14:paraId="59006604" w14:textId="77777777" w:rsidR="00DF3770" w:rsidRDefault="00DF3770" w:rsidP="00DF3770">
            <w:pPr>
              <w:jc w:val="center"/>
              <w:rPr>
                <w:rFonts w:cs="Times New Roman"/>
                <w:sz w:val="20"/>
                <w:szCs w:val="20"/>
              </w:rPr>
            </w:pPr>
            <w:r>
              <w:rPr>
                <w:rFonts w:cs="Times New Roman"/>
                <w:sz w:val="20"/>
                <w:szCs w:val="20"/>
                <w:vertAlign w:val="superscript"/>
              </w:rPr>
              <w:t>___</w:t>
            </w:r>
            <w:r w:rsidRPr="008B621B">
              <w:rPr>
                <w:rFonts w:cs="Times New Roman"/>
                <w:sz w:val="20"/>
                <w:szCs w:val="20"/>
                <w:vertAlign w:val="superscript"/>
              </w:rPr>
              <w:t>_</w:t>
            </w:r>
            <w:r>
              <w:rPr>
                <w:rFonts w:cs="Times New Roman"/>
                <w:sz w:val="20"/>
                <w:szCs w:val="20"/>
              </w:rPr>
              <w:t>% Control</w:t>
            </w:r>
            <w:r>
              <w:rPr>
                <w:rFonts w:cs="Times New Roman"/>
                <w:sz w:val="20"/>
                <w:szCs w:val="20"/>
                <w:vertAlign w:val="superscript"/>
              </w:rPr>
              <w:t>___</w:t>
            </w:r>
            <w:r w:rsidRPr="008B621B">
              <w:rPr>
                <w:rFonts w:cs="Times New Roman"/>
                <w:sz w:val="20"/>
                <w:szCs w:val="20"/>
                <w:vertAlign w:val="superscript"/>
              </w:rPr>
              <w:t>_</w:t>
            </w:r>
          </w:p>
        </w:tc>
        <w:tc>
          <w:tcPr>
            <w:tcW w:w="900" w:type="dxa"/>
            <w:tcBorders>
              <w:top w:val="single" w:sz="4" w:space="0" w:color="auto"/>
              <w:left w:val="nil"/>
              <w:bottom w:val="nil"/>
              <w:right w:val="nil"/>
            </w:tcBorders>
            <w:vAlign w:val="center"/>
          </w:tcPr>
          <w:p w14:paraId="7F56955F" w14:textId="77777777" w:rsidR="00DF3770" w:rsidRDefault="00DF3770" w:rsidP="00DF3770">
            <w:pPr>
              <w:jc w:val="center"/>
              <w:rPr>
                <w:rFonts w:cs="Times New Roman"/>
                <w:sz w:val="20"/>
                <w:szCs w:val="20"/>
              </w:rPr>
            </w:pPr>
            <w:r>
              <w:rPr>
                <w:rFonts w:cs="Times New Roman"/>
                <w:sz w:val="20"/>
                <w:szCs w:val="20"/>
              </w:rPr>
              <w:t>Contrast</w:t>
            </w:r>
          </w:p>
        </w:tc>
      </w:tr>
      <w:tr w:rsidR="00DF3770" w:rsidRPr="00605DCD" w14:paraId="59A3DC3A" w14:textId="77777777">
        <w:tc>
          <w:tcPr>
            <w:tcW w:w="1980" w:type="dxa"/>
            <w:tcBorders>
              <w:top w:val="nil"/>
              <w:bottom w:val="nil"/>
              <w:right w:val="nil"/>
            </w:tcBorders>
            <w:vAlign w:val="bottom"/>
          </w:tcPr>
          <w:p w14:paraId="0DE04A9D" w14:textId="77777777" w:rsidR="00DF3770" w:rsidRPr="00605DCD" w:rsidRDefault="00DF3770" w:rsidP="00DF3770">
            <w:pPr>
              <w:jc w:val="center"/>
              <w:rPr>
                <w:rFonts w:cs="Times New Roman"/>
                <w:sz w:val="20"/>
                <w:szCs w:val="20"/>
              </w:rPr>
            </w:pPr>
            <w:r>
              <w:rPr>
                <w:rFonts w:cs="Times New Roman"/>
                <w:sz w:val="20"/>
                <w:szCs w:val="20"/>
              </w:rPr>
              <w:t>Cloquintocet-mexyl</w:t>
            </w:r>
            <w:r>
              <w:rPr>
                <w:rFonts w:cs="Times New Roman"/>
                <w:sz w:val="20"/>
                <w:szCs w:val="20"/>
                <w:vertAlign w:val="superscript"/>
              </w:rPr>
              <w:t>b</w:t>
            </w:r>
          </w:p>
        </w:tc>
        <w:tc>
          <w:tcPr>
            <w:tcW w:w="810" w:type="dxa"/>
            <w:tcBorders>
              <w:top w:val="nil"/>
              <w:left w:val="nil"/>
              <w:bottom w:val="nil"/>
              <w:right w:val="nil"/>
            </w:tcBorders>
          </w:tcPr>
          <w:p w14:paraId="709B1025" w14:textId="77777777" w:rsidR="00DF3770" w:rsidRPr="00605DCD" w:rsidRDefault="00DF3770" w:rsidP="00DF3770">
            <w:pPr>
              <w:jc w:val="center"/>
              <w:rPr>
                <w:rFonts w:cs="Times New Roman"/>
                <w:sz w:val="20"/>
                <w:szCs w:val="20"/>
              </w:rPr>
            </w:pPr>
            <w:r>
              <w:rPr>
                <w:rFonts w:cs="Times New Roman"/>
                <w:sz w:val="20"/>
                <w:szCs w:val="20"/>
              </w:rPr>
              <w:t>5</w:t>
            </w:r>
          </w:p>
        </w:tc>
        <w:tc>
          <w:tcPr>
            <w:tcW w:w="900" w:type="dxa"/>
            <w:tcBorders>
              <w:top w:val="nil"/>
              <w:left w:val="nil"/>
              <w:bottom w:val="nil"/>
              <w:right w:val="nil"/>
            </w:tcBorders>
          </w:tcPr>
          <w:p w14:paraId="07C7549B" w14:textId="77777777" w:rsidR="00DF3770" w:rsidRPr="009C2D0C" w:rsidRDefault="00DF3770" w:rsidP="00DF3770">
            <w:pPr>
              <w:jc w:val="center"/>
              <w:rPr>
                <w:rFonts w:cs="Times New Roman"/>
                <w:sz w:val="20"/>
                <w:szCs w:val="20"/>
                <w:vertAlign w:val="superscript"/>
              </w:rPr>
            </w:pPr>
            <w:proofErr w:type="gramStart"/>
            <w:r>
              <w:rPr>
                <w:rFonts w:cs="Times New Roman"/>
                <w:sz w:val="20"/>
                <w:szCs w:val="20"/>
              </w:rPr>
              <w:t>b</w:t>
            </w:r>
            <w:r>
              <w:rPr>
                <w:rFonts w:cs="Times New Roman"/>
                <w:sz w:val="20"/>
                <w:szCs w:val="20"/>
                <w:vertAlign w:val="superscript"/>
              </w:rPr>
              <w:t>c</w:t>
            </w:r>
            <w:proofErr w:type="gramEnd"/>
          </w:p>
        </w:tc>
        <w:tc>
          <w:tcPr>
            <w:tcW w:w="900" w:type="dxa"/>
            <w:tcBorders>
              <w:top w:val="nil"/>
              <w:left w:val="nil"/>
              <w:bottom w:val="nil"/>
              <w:right w:val="nil"/>
            </w:tcBorders>
          </w:tcPr>
          <w:p w14:paraId="050566D9" w14:textId="77777777" w:rsidR="00DF3770" w:rsidRDefault="00DF3770" w:rsidP="00DF3770">
            <w:pPr>
              <w:jc w:val="center"/>
              <w:rPr>
                <w:rFonts w:cs="Times New Roman"/>
                <w:sz w:val="20"/>
                <w:szCs w:val="20"/>
              </w:rPr>
            </w:pPr>
            <w:r>
              <w:rPr>
                <w:rFonts w:cs="Times New Roman"/>
                <w:sz w:val="20"/>
                <w:szCs w:val="20"/>
              </w:rPr>
              <w:t>***</w:t>
            </w:r>
            <w:proofErr w:type="gramStart"/>
            <w:r>
              <w:rPr>
                <w:rFonts w:cs="Times New Roman"/>
                <w:sz w:val="20"/>
                <w:szCs w:val="20"/>
                <w:vertAlign w:val="superscript"/>
              </w:rPr>
              <w:t>d</w:t>
            </w:r>
            <w:proofErr w:type="gramEnd"/>
          </w:p>
        </w:tc>
        <w:tc>
          <w:tcPr>
            <w:tcW w:w="852" w:type="dxa"/>
            <w:gridSpan w:val="2"/>
            <w:tcBorders>
              <w:top w:val="nil"/>
              <w:left w:val="nil"/>
              <w:bottom w:val="nil"/>
              <w:right w:val="nil"/>
            </w:tcBorders>
          </w:tcPr>
          <w:p w14:paraId="3B475093" w14:textId="77777777" w:rsidR="00DF3770" w:rsidRPr="00605DCD" w:rsidRDefault="00DF3770" w:rsidP="00DF3770">
            <w:pPr>
              <w:jc w:val="center"/>
              <w:rPr>
                <w:rFonts w:cs="Times New Roman"/>
                <w:sz w:val="20"/>
                <w:szCs w:val="20"/>
              </w:rPr>
            </w:pPr>
            <w:r>
              <w:rPr>
                <w:rFonts w:cs="Times New Roman"/>
                <w:sz w:val="20"/>
                <w:szCs w:val="20"/>
              </w:rPr>
              <w:t>2</w:t>
            </w:r>
          </w:p>
        </w:tc>
        <w:tc>
          <w:tcPr>
            <w:tcW w:w="768" w:type="dxa"/>
            <w:tcBorders>
              <w:top w:val="nil"/>
              <w:left w:val="nil"/>
              <w:bottom w:val="nil"/>
              <w:right w:val="nil"/>
            </w:tcBorders>
          </w:tcPr>
          <w:p w14:paraId="39EAE4A7" w14:textId="77777777" w:rsidR="00DF3770" w:rsidRPr="00605DCD"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0352BEED" w14:textId="77777777" w:rsidR="00DF3770" w:rsidRPr="00605DCD" w:rsidRDefault="00DF3770" w:rsidP="00DF3770">
            <w:pPr>
              <w:jc w:val="center"/>
              <w:rPr>
                <w:rFonts w:cs="Times New Roman"/>
                <w:sz w:val="20"/>
                <w:szCs w:val="20"/>
              </w:rPr>
            </w:pPr>
            <w:r>
              <w:rPr>
                <w:rFonts w:cs="Times New Roman"/>
                <w:sz w:val="20"/>
                <w:szCs w:val="20"/>
              </w:rPr>
              <w:t>NS</w:t>
            </w:r>
          </w:p>
        </w:tc>
        <w:tc>
          <w:tcPr>
            <w:tcW w:w="270" w:type="dxa"/>
            <w:tcBorders>
              <w:top w:val="nil"/>
              <w:left w:val="nil"/>
              <w:bottom w:val="nil"/>
              <w:right w:val="nil"/>
            </w:tcBorders>
          </w:tcPr>
          <w:p w14:paraId="18733EED" w14:textId="77777777" w:rsidR="00DF3770" w:rsidRDefault="00DF3770" w:rsidP="00DF3770">
            <w:pPr>
              <w:jc w:val="center"/>
              <w:rPr>
                <w:rFonts w:cs="Times New Roman"/>
                <w:sz w:val="20"/>
                <w:szCs w:val="20"/>
              </w:rPr>
            </w:pPr>
          </w:p>
        </w:tc>
        <w:tc>
          <w:tcPr>
            <w:tcW w:w="855" w:type="dxa"/>
            <w:tcBorders>
              <w:top w:val="nil"/>
              <w:left w:val="nil"/>
              <w:bottom w:val="nil"/>
              <w:right w:val="nil"/>
            </w:tcBorders>
          </w:tcPr>
          <w:p w14:paraId="1841BFC0" w14:textId="77777777" w:rsidR="00DF3770" w:rsidRDefault="00DF3770" w:rsidP="00DF3770">
            <w:pPr>
              <w:jc w:val="center"/>
              <w:rPr>
                <w:rFonts w:cs="Times New Roman"/>
                <w:sz w:val="20"/>
                <w:szCs w:val="20"/>
              </w:rPr>
            </w:pPr>
            <w:r>
              <w:rPr>
                <w:rFonts w:cs="Times New Roman"/>
                <w:sz w:val="20"/>
                <w:szCs w:val="20"/>
              </w:rPr>
              <w:t>60</w:t>
            </w:r>
          </w:p>
        </w:tc>
        <w:tc>
          <w:tcPr>
            <w:tcW w:w="855" w:type="dxa"/>
            <w:tcBorders>
              <w:top w:val="nil"/>
              <w:left w:val="nil"/>
              <w:bottom w:val="nil"/>
              <w:right w:val="nil"/>
            </w:tcBorders>
          </w:tcPr>
          <w:p w14:paraId="2D65F554"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3B81636B" w14:textId="77777777" w:rsidR="00DF3770" w:rsidRDefault="00DF3770" w:rsidP="00DF3770">
            <w:pPr>
              <w:jc w:val="center"/>
              <w:rPr>
                <w:rFonts w:cs="Times New Roman"/>
                <w:sz w:val="20"/>
                <w:szCs w:val="20"/>
              </w:rPr>
            </w:pPr>
            <w:r>
              <w:rPr>
                <w:rFonts w:cs="Times New Roman"/>
                <w:sz w:val="20"/>
                <w:szCs w:val="20"/>
              </w:rPr>
              <w:t>NS</w:t>
            </w:r>
          </w:p>
        </w:tc>
        <w:tc>
          <w:tcPr>
            <w:tcW w:w="810" w:type="dxa"/>
            <w:tcBorders>
              <w:top w:val="nil"/>
              <w:left w:val="nil"/>
              <w:bottom w:val="nil"/>
              <w:right w:val="nil"/>
            </w:tcBorders>
          </w:tcPr>
          <w:p w14:paraId="6DCFD9C8" w14:textId="77777777" w:rsidR="00DF3770" w:rsidRDefault="00DF3770" w:rsidP="00DF3770">
            <w:pPr>
              <w:jc w:val="center"/>
              <w:rPr>
                <w:rFonts w:cs="Times New Roman"/>
                <w:sz w:val="20"/>
                <w:szCs w:val="20"/>
              </w:rPr>
            </w:pPr>
            <w:r>
              <w:rPr>
                <w:rFonts w:cs="Times New Roman"/>
                <w:sz w:val="20"/>
                <w:szCs w:val="20"/>
              </w:rPr>
              <w:t>83</w:t>
            </w:r>
          </w:p>
        </w:tc>
        <w:tc>
          <w:tcPr>
            <w:tcW w:w="810" w:type="dxa"/>
            <w:tcBorders>
              <w:top w:val="nil"/>
              <w:left w:val="nil"/>
              <w:bottom w:val="nil"/>
              <w:right w:val="nil"/>
            </w:tcBorders>
          </w:tcPr>
          <w:p w14:paraId="59E2CCA9" w14:textId="77777777" w:rsidR="00DF3770" w:rsidRDefault="00DF3770" w:rsidP="00DF3770">
            <w:pPr>
              <w:jc w:val="center"/>
              <w:rPr>
                <w:rFonts w:cs="Times New Roman"/>
                <w:sz w:val="20"/>
                <w:szCs w:val="20"/>
              </w:rPr>
            </w:pPr>
            <w:proofErr w:type="gramStart"/>
            <w:r>
              <w:rPr>
                <w:rFonts w:cs="Times New Roman"/>
                <w:sz w:val="20"/>
                <w:szCs w:val="20"/>
              </w:rPr>
              <w:t>b</w:t>
            </w:r>
            <w:proofErr w:type="gramEnd"/>
          </w:p>
        </w:tc>
        <w:tc>
          <w:tcPr>
            <w:tcW w:w="900" w:type="dxa"/>
            <w:tcBorders>
              <w:top w:val="nil"/>
              <w:left w:val="nil"/>
              <w:bottom w:val="nil"/>
              <w:right w:val="nil"/>
            </w:tcBorders>
          </w:tcPr>
          <w:p w14:paraId="6CD244BC" w14:textId="77777777" w:rsidR="00DF3770" w:rsidRDefault="00DF3770" w:rsidP="00DF3770">
            <w:pPr>
              <w:jc w:val="center"/>
              <w:rPr>
                <w:rFonts w:cs="Times New Roman"/>
                <w:sz w:val="20"/>
                <w:szCs w:val="20"/>
              </w:rPr>
            </w:pPr>
            <w:r>
              <w:rPr>
                <w:rFonts w:cs="Times New Roman"/>
                <w:sz w:val="20"/>
                <w:szCs w:val="20"/>
              </w:rPr>
              <w:t>NS</w:t>
            </w:r>
          </w:p>
        </w:tc>
      </w:tr>
      <w:tr w:rsidR="00DF3770" w:rsidRPr="00605DCD" w14:paraId="3AFCE921" w14:textId="77777777">
        <w:tc>
          <w:tcPr>
            <w:tcW w:w="1980" w:type="dxa"/>
            <w:tcBorders>
              <w:top w:val="nil"/>
              <w:bottom w:val="nil"/>
              <w:right w:val="nil"/>
            </w:tcBorders>
            <w:vAlign w:val="bottom"/>
          </w:tcPr>
          <w:p w14:paraId="7E4487B1" w14:textId="77777777" w:rsidR="00DF3770" w:rsidRPr="00605DCD" w:rsidRDefault="00DF3770" w:rsidP="00DF3770">
            <w:pPr>
              <w:jc w:val="center"/>
              <w:rPr>
                <w:rFonts w:cs="Times New Roman"/>
                <w:sz w:val="20"/>
                <w:szCs w:val="20"/>
              </w:rPr>
            </w:pPr>
            <w:r>
              <w:rPr>
                <w:rFonts w:cs="Times New Roman"/>
                <w:sz w:val="20"/>
                <w:szCs w:val="20"/>
              </w:rPr>
              <w:t>Fenchlorazole-ethyl</w:t>
            </w:r>
          </w:p>
        </w:tc>
        <w:tc>
          <w:tcPr>
            <w:tcW w:w="810" w:type="dxa"/>
            <w:tcBorders>
              <w:top w:val="nil"/>
              <w:left w:val="nil"/>
              <w:bottom w:val="nil"/>
              <w:right w:val="nil"/>
            </w:tcBorders>
          </w:tcPr>
          <w:p w14:paraId="26167D59" w14:textId="77777777" w:rsidR="00DF3770" w:rsidRPr="00605DCD" w:rsidRDefault="00DF3770" w:rsidP="00DF3770">
            <w:pPr>
              <w:jc w:val="center"/>
              <w:rPr>
                <w:rFonts w:cs="Times New Roman"/>
                <w:sz w:val="20"/>
                <w:szCs w:val="20"/>
              </w:rPr>
            </w:pPr>
            <w:r>
              <w:rPr>
                <w:rFonts w:cs="Times New Roman"/>
                <w:sz w:val="20"/>
                <w:szCs w:val="20"/>
              </w:rPr>
              <w:t>11</w:t>
            </w:r>
          </w:p>
        </w:tc>
        <w:tc>
          <w:tcPr>
            <w:tcW w:w="900" w:type="dxa"/>
            <w:tcBorders>
              <w:top w:val="nil"/>
              <w:left w:val="nil"/>
              <w:bottom w:val="nil"/>
              <w:right w:val="nil"/>
            </w:tcBorders>
          </w:tcPr>
          <w:p w14:paraId="47D39679" w14:textId="77777777" w:rsidR="00DF3770" w:rsidRPr="00605DCD"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1B408351" w14:textId="77777777" w:rsidR="00DF3770" w:rsidRDefault="00DF3770" w:rsidP="00DF3770">
            <w:pPr>
              <w:jc w:val="center"/>
              <w:rPr>
                <w:rFonts w:cs="Times New Roman"/>
                <w:sz w:val="20"/>
                <w:szCs w:val="20"/>
              </w:rPr>
            </w:pPr>
            <w:r>
              <w:rPr>
                <w:rFonts w:cs="Times New Roman"/>
                <w:sz w:val="20"/>
                <w:szCs w:val="20"/>
              </w:rPr>
              <w:t>***</w:t>
            </w:r>
          </w:p>
        </w:tc>
        <w:tc>
          <w:tcPr>
            <w:tcW w:w="852" w:type="dxa"/>
            <w:gridSpan w:val="2"/>
            <w:tcBorders>
              <w:top w:val="nil"/>
              <w:left w:val="nil"/>
              <w:bottom w:val="nil"/>
              <w:right w:val="nil"/>
            </w:tcBorders>
          </w:tcPr>
          <w:p w14:paraId="14FA685C" w14:textId="77777777" w:rsidR="00DF3770" w:rsidRPr="00605DCD" w:rsidRDefault="00DF3770" w:rsidP="00DF3770">
            <w:pPr>
              <w:jc w:val="center"/>
              <w:rPr>
                <w:rFonts w:cs="Times New Roman"/>
                <w:sz w:val="20"/>
                <w:szCs w:val="20"/>
              </w:rPr>
            </w:pPr>
            <w:r>
              <w:rPr>
                <w:rFonts w:cs="Times New Roman"/>
                <w:sz w:val="20"/>
                <w:szCs w:val="20"/>
              </w:rPr>
              <w:t>2</w:t>
            </w:r>
          </w:p>
        </w:tc>
        <w:tc>
          <w:tcPr>
            <w:tcW w:w="768" w:type="dxa"/>
            <w:tcBorders>
              <w:top w:val="nil"/>
              <w:left w:val="nil"/>
              <w:bottom w:val="nil"/>
              <w:right w:val="nil"/>
            </w:tcBorders>
          </w:tcPr>
          <w:p w14:paraId="65825228" w14:textId="77777777" w:rsidR="00DF3770" w:rsidRPr="00605DCD"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5396C656" w14:textId="77777777" w:rsidR="00DF3770" w:rsidRPr="00605DCD" w:rsidRDefault="00DF3770" w:rsidP="00DF3770">
            <w:pPr>
              <w:jc w:val="center"/>
              <w:rPr>
                <w:rFonts w:cs="Times New Roman"/>
                <w:sz w:val="20"/>
                <w:szCs w:val="20"/>
              </w:rPr>
            </w:pPr>
            <w:r>
              <w:rPr>
                <w:rFonts w:cs="Times New Roman"/>
                <w:sz w:val="20"/>
                <w:szCs w:val="20"/>
              </w:rPr>
              <w:t>NS</w:t>
            </w:r>
          </w:p>
        </w:tc>
        <w:tc>
          <w:tcPr>
            <w:tcW w:w="270" w:type="dxa"/>
            <w:tcBorders>
              <w:top w:val="nil"/>
              <w:left w:val="nil"/>
              <w:bottom w:val="nil"/>
              <w:right w:val="nil"/>
            </w:tcBorders>
          </w:tcPr>
          <w:p w14:paraId="5A43AA1B" w14:textId="77777777" w:rsidR="00DF3770" w:rsidRDefault="00DF3770" w:rsidP="00DF3770">
            <w:pPr>
              <w:jc w:val="center"/>
              <w:rPr>
                <w:rFonts w:cs="Times New Roman"/>
                <w:sz w:val="20"/>
                <w:szCs w:val="20"/>
              </w:rPr>
            </w:pPr>
          </w:p>
        </w:tc>
        <w:tc>
          <w:tcPr>
            <w:tcW w:w="855" w:type="dxa"/>
            <w:tcBorders>
              <w:top w:val="nil"/>
              <w:left w:val="nil"/>
              <w:bottom w:val="nil"/>
              <w:right w:val="nil"/>
            </w:tcBorders>
          </w:tcPr>
          <w:p w14:paraId="70E1B7FB" w14:textId="77777777" w:rsidR="00DF3770" w:rsidRDefault="00DF3770" w:rsidP="00DF3770">
            <w:pPr>
              <w:jc w:val="center"/>
              <w:rPr>
                <w:rFonts w:cs="Times New Roman"/>
                <w:sz w:val="20"/>
                <w:szCs w:val="20"/>
              </w:rPr>
            </w:pPr>
            <w:r>
              <w:rPr>
                <w:rFonts w:cs="Times New Roman"/>
                <w:sz w:val="20"/>
                <w:szCs w:val="20"/>
              </w:rPr>
              <w:t>59</w:t>
            </w:r>
          </w:p>
        </w:tc>
        <w:tc>
          <w:tcPr>
            <w:tcW w:w="855" w:type="dxa"/>
            <w:tcBorders>
              <w:top w:val="nil"/>
              <w:left w:val="nil"/>
              <w:bottom w:val="nil"/>
              <w:right w:val="nil"/>
            </w:tcBorders>
          </w:tcPr>
          <w:p w14:paraId="1E5C00C9"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4A96E860" w14:textId="77777777" w:rsidR="00DF3770" w:rsidRDefault="00DF3770" w:rsidP="00DF3770">
            <w:pPr>
              <w:jc w:val="center"/>
              <w:rPr>
                <w:rFonts w:cs="Times New Roman"/>
                <w:sz w:val="20"/>
                <w:szCs w:val="20"/>
              </w:rPr>
            </w:pPr>
            <w:r>
              <w:rPr>
                <w:rFonts w:cs="Times New Roman"/>
                <w:sz w:val="20"/>
                <w:szCs w:val="20"/>
              </w:rPr>
              <w:t>NS</w:t>
            </w:r>
          </w:p>
        </w:tc>
        <w:tc>
          <w:tcPr>
            <w:tcW w:w="810" w:type="dxa"/>
            <w:tcBorders>
              <w:top w:val="nil"/>
              <w:left w:val="nil"/>
              <w:bottom w:val="nil"/>
              <w:right w:val="nil"/>
            </w:tcBorders>
          </w:tcPr>
          <w:p w14:paraId="1A5D7E0C" w14:textId="77777777" w:rsidR="00DF3770" w:rsidRDefault="00DF3770" w:rsidP="00DF3770">
            <w:pPr>
              <w:jc w:val="center"/>
              <w:rPr>
                <w:rFonts w:cs="Times New Roman"/>
                <w:sz w:val="20"/>
                <w:szCs w:val="20"/>
              </w:rPr>
            </w:pPr>
            <w:r>
              <w:rPr>
                <w:rFonts w:cs="Times New Roman"/>
                <w:sz w:val="20"/>
                <w:szCs w:val="20"/>
              </w:rPr>
              <w:t>92</w:t>
            </w:r>
          </w:p>
        </w:tc>
        <w:tc>
          <w:tcPr>
            <w:tcW w:w="810" w:type="dxa"/>
            <w:tcBorders>
              <w:top w:val="nil"/>
              <w:left w:val="nil"/>
              <w:bottom w:val="nil"/>
              <w:right w:val="nil"/>
            </w:tcBorders>
          </w:tcPr>
          <w:p w14:paraId="0FB95DAA"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554B0B4A" w14:textId="77777777" w:rsidR="00DF3770" w:rsidRDefault="00DF3770" w:rsidP="00DF3770">
            <w:pPr>
              <w:jc w:val="center"/>
              <w:rPr>
                <w:rFonts w:cs="Times New Roman"/>
                <w:sz w:val="20"/>
                <w:szCs w:val="20"/>
              </w:rPr>
            </w:pPr>
            <w:r>
              <w:rPr>
                <w:rFonts w:cs="Times New Roman"/>
                <w:sz w:val="20"/>
                <w:szCs w:val="20"/>
              </w:rPr>
              <w:t>NS</w:t>
            </w:r>
          </w:p>
        </w:tc>
      </w:tr>
      <w:tr w:rsidR="00DF3770" w:rsidRPr="00605DCD" w14:paraId="59752670" w14:textId="77777777">
        <w:tc>
          <w:tcPr>
            <w:tcW w:w="1980" w:type="dxa"/>
            <w:tcBorders>
              <w:top w:val="nil"/>
              <w:bottom w:val="nil"/>
              <w:right w:val="nil"/>
            </w:tcBorders>
            <w:vAlign w:val="bottom"/>
          </w:tcPr>
          <w:p w14:paraId="13886943" w14:textId="77777777" w:rsidR="00DF3770" w:rsidRPr="00605DCD" w:rsidRDefault="00DF3770" w:rsidP="00DF3770">
            <w:pPr>
              <w:jc w:val="center"/>
              <w:rPr>
                <w:rFonts w:cs="Times New Roman"/>
                <w:sz w:val="20"/>
                <w:szCs w:val="20"/>
              </w:rPr>
            </w:pPr>
            <w:r>
              <w:rPr>
                <w:rFonts w:cs="Times New Roman"/>
                <w:sz w:val="20"/>
                <w:szCs w:val="20"/>
              </w:rPr>
              <w:t>Mefenpyr-diethyl</w:t>
            </w:r>
          </w:p>
        </w:tc>
        <w:tc>
          <w:tcPr>
            <w:tcW w:w="810" w:type="dxa"/>
            <w:tcBorders>
              <w:top w:val="nil"/>
              <w:left w:val="nil"/>
              <w:bottom w:val="nil"/>
              <w:right w:val="nil"/>
            </w:tcBorders>
          </w:tcPr>
          <w:p w14:paraId="733AF3BF" w14:textId="77777777" w:rsidR="00DF3770" w:rsidRPr="00605DCD" w:rsidRDefault="00DF3770" w:rsidP="00DF3770">
            <w:pPr>
              <w:jc w:val="center"/>
              <w:rPr>
                <w:rFonts w:cs="Times New Roman"/>
                <w:sz w:val="20"/>
                <w:szCs w:val="20"/>
              </w:rPr>
            </w:pPr>
            <w:r>
              <w:rPr>
                <w:rFonts w:cs="Times New Roman"/>
                <w:sz w:val="20"/>
                <w:szCs w:val="20"/>
              </w:rPr>
              <w:t>3</w:t>
            </w:r>
          </w:p>
        </w:tc>
        <w:tc>
          <w:tcPr>
            <w:tcW w:w="900" w:type="dxa"/>
            <w:tcBorders>
              <w:top w:val="nil"/>
              <w:left w:val="nil"/>
              <w:bottom w:val="nil"/>
              <w:right w:val="nil"/>
            </w:tcBorders>
          </w:tcPr>
          <w:p w14:paraId="37A5E05F" w14:textId="77777777" w:rsidR="00DF3770" w:rsidRPr="00605DCD" w:rsidRDefault="00DF3770" w:rsidP="00DF3770">
            <w:pPr>
              <w:jc w:val="center"/>
              <w:rPr>
                <w:rFonts w:cs="Times New Roman"/>
                <w:sz w:val="20"/>
                <w:szCs w:val="20"/>
              </w:rPr>
            </w:pPr>
            <w:proofErr w:type="gramStart"/>
            <w:r>
              <w:rPr>
                <w:rFonts w:cs="Times New Roman"/>
                <w:sz w:val="20"/>
                <w:szCs w:val="20"/>
              </w:rPr>
              <w:t>b</w:t>
            </w:r>
            <w:proofErr w:type="gramEnd"/>
          </w:p>
        </w:tc>
        <w:tc>
          <w:tcPr>
            <w:tcW w:w="900" w:type="dxa"/>
            <w:tcBorders>
              <w:top w:val="nil"/>
              <w:left w:val="nil"/>
              <w:bottom w:val="nil"/>
              <w:right w:val="nil"/>
            </w:tcBorders>
          </w:tcPr>
          <w:p w14:paraId="719D6B42" w14:textId="77777777" w:rsidR="00DF3770" w:rsidRDefault="00DF3770" w:rsidP="00DF3770">
            <w:pPr>
              <w:jc w:val="center"/>
              <w:rPr>
                <w:rFonts w:cs="Times New Roman"/>
                <w:sz w:val="20"/>
                <w:szCs w:val="20"/>
              </w:rPr>
            </w:pPr>
            <w:r>
              <w:rPr>
                <w:rFonts w:cs="Times New Roman"/>
                <w:sz w:val="20"/>
                <w:szCs w:val="20"/>
              </w:rPr>
              <w:t>***</w:t>
            </w:r>
          </w:p>
        </w:tc>
        <w:tc>
          <w:tcPr>
            <w:tcW w:w="852" w:type="dxa"/>
            <w:gridSpan w:val="2"/>
            <w:tcBorders>
              <w:top w:val="nil"/>
              <w:left w:val="nil"/>
              <w:bottom w:val="nil"/>
              <w:right w:val="nil"/>
            </w:tcBorders>
          </w:tcPr>
          <w:p w14:paraId="3F28BF82" w14:textId="77777777" w:rsidR="00DF3770" w:rsidRPr="00605DCD" w:rsidRDefault="00DF3770" w:rsidP="00DF3770">
            <w:pPr>
              <w:jc w:val="center"/>
              <w:rPr>
                <w:rFonts w:cs="Times New Roman"/>
                <w:sz w:val="20"/>
                <w:szCs w:val="20"/>
              </w:rPr>
            </w:pPr>
            <w:r>
              <w:rPr>
                <w:rFonts w:cs="Times New Roman"/>
                <w:sz w:val="20"/>
                <w:szCs w:val="20"/>
              </w:rPr>
              <w:t>0</w:t>
            </w:r>
          </w:p>
        </w:tc>
        <w:tc>
          <w:tcPr>
            <w:tcW w:w="768" w:type="dxa"/>
            <w:tcBorders>
              <w:top w:val="nil"/>
              <w:left w:val="nil"/>
              <w:bottom w:val="nil"/>
              <w:right w:val="nil"/>
            </w:tcBorders>
          </w:tcPr>
          <w:p w14:paraId="1947B3DF" w14:textId="77777777" w:rsidR="00DF3770" w:rsidRPr="00605DCD"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6ECC3D16" w14:textId="77777777" w:rsidR="00DF3770" w:rsidRPr="00605DCD" w:rsidRDefault="00DF3770" w:rsidP="00DF3770">
            <w:pPr>
              <w:jc w:val="center"/>
              <w:rPr>
                <w:rFonts w:cs="Times New Roman"/>
                <w:sz w:val="20"/>
                <w:szCs w:val="20"/>
              </w:rPr>
            </w:pPr>
            <w:r>
              <w:rPr>
                <w:rFonts w:cs="Times New Roman"/>
                <w:sz w:val="20"/>
                <w:szCs w:val="20"/>
              </w:rPr>
              <w:t>**</w:t>
            </w:r>
          </w:p>
        </w:tc>
        <w:tc>
          <w:tcPr>
            <w:tcW w:w="270" w:type="dxa"/>
            <w:tcBorders>
              <w:top w:val="nil"/>
              <w:left w:val="nil"/>
              <w:bottom w:val="nil"/>
              <w:right w:val="nil"/>
            </w:tcBorders>
          </w:tcPr>
          <w:p w14:paraId="2C507559" w14:textId="77777777" w:rsidR="00DF3770" w:rsidRDefault="00DF3770" w:rsidP="00DF3770">
            <w:pPr>
              <w:jc w:val="center"/>
              <w:rPr>
                <w:rFonts w:cs="Times New Roman"/>
                <w:sz w:val="20"/>
                <w:szCs w:val="20"/>
              </w:rPr>
            </w:pPr>
          </w:p>
        </w:tc>
        <w:tc>
          <w:tcPr>
            <w:tcW w:w="855" w:type="dxa"/>
            <w:tcBorders>
              <w:top w:val="nil"/>
              <w:left w:val="nil"/>
              <w:bottom w:val="nil"/>
              <w:right w:val="nil"/>
            </w:tcBorders>
          </w:tcPr>
          <w:p w14:paraId="25B290A7" w14:textId="77777777" w:rsidR="00DF3770" w:rsidRDefault="00DF3770" w:rsidP="00DF3770">
            <w:pPr>
              <w:jc w:val="center"/>
              <w:rPr>
                <w:rFonts w:cs="Times New Roman"/>
                <w:sz w:val="20"/>
                <w:szCs w:val="20"/>
              </w:rPr>
            </w:pPr>
            <w:r>
              <w:rPr>
                <w:rFonts w:cs="Times New Roman"/>
                <w:sz w:val="20"/>
                <w:szCs w:val="20"/>
              </w:rPr>
              <w:t>64</w:t>
            </w:r>
          </w:p>
        </w:tc>
        <w:tc>
          <w:tcPr>
            <w:tcW w:w="855" w:type="dxa"/>
            <w:tcBorders>
              <w:top w:val="nil"/>
              <w:left w:val="nil"/>
              <w:bottom w:val="nil"/>
              <w:right w:val="nil"/>
            </w:tcBorders>
          </w:tcPr>
          <w:p w14:paraId="4E642EC8"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74639FDF" w14:textId="77777777" w:rsidR="00DF3770" w:rsidRDefault="00DF3770" w:rsidP="00DF3770">
            <w:pPr>
              <w:jc w:val="center"/>
              <w:rPr>
                <w:rFonts w:cs="Times New Roman"/>
                <w:sz w:val="20"/>
                <w:szCs w:val="20"/>
              </w:rPr>
            </w:pPr>
            <w:r>
              <w:rPr>
                <w:rFonts w:cs="Times New Roman"/>
                <w:sz w:val="20"/>
                <w:szCs w:val="20"/>
              </w:rPr>
              <w:t>*</w:t>
            </w:r>
          </w:p>
        </w:tc>
        <w:tc>
          <w:tcPr>
            <w:tcW w:w="810" w:type="dxa"/>
            <w:tcBorders>
              <w:top w:val="nil"/>
              <w:left w:val="nil"/>
              <w:bottom w:val="nil"/>
              <w:right w:val="nil"/>
            </w:tcBorders>
          </w:tcPr>
          <w:p w14:paraId="2CF91976" w14:textId="77777777" w:rsidR="00DF3770" w:rsidRDefault="00DF3770" w:rsidP="00DF3770">
            <w:pPr>
              <w:jc w:val="center"/>
              <w:rPr>
                <w:rFonts w:cs="Times New Roman"/>
                <w:sz w:val="20"/>
                <w:szCs w:val="20"/>
              </w:rPr>
            </w:pPr>
            <w:r>
              <w:rPr>
                <w:rFonts w:cs="Times New Roman"/>
                <w:sz w:val="20"/>
                <w:szCs w:val="20"/>
              </w:rPr>
              <w:t>95</w:t>
            </w:r>
          </w:p>
        </w:tc>
        <w:tc>
          <w:tcPr>
            <w:tcW w:w="810" w:type="dxa"/>
            <w:tcBorders>
              <w:top w:val="nil"/>
              <w:left w:val="nil"/>
              <w:bottom w:val="nil"/>
              <w:right w:val="nil"/>
            </w:tcBorders>
          </w:tcPr>
          <w:p w14:paraId="6B5289A0"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58769D15" w14:textId="77777777" w:rsidR="00DF3770" w:rsidRDefault="00DF3770" w:rsidP="00DF3770">
            <w:pPr>
              <w:jc w:val="center"/>
              <w:rPr>
                <w:rFonts w:cs="Times New Roman"/>
                <w:sz w:val="20"/>
                <w:szCs w:val="20"/>
              </w:rPr>
            </w:pPr>
            <w:r>
              <w:rPr>
                <w:rFonts w:cs="Times New Roman"/>
                <w:sz w:val="20"/>
                <w:szCs w:val="20"/>
              </w:rPr>
              <w:t>NS</w:t>
            </w:r>
          </w:p>
        </w:tc>
      </w:tr>
      <w:tr w:rsidR="00DF3770" w:rsidRPr="00605DCD" w14:paraId="578715B5" w14:textId="77777777">
        <w:tc>
          <w:tcPr>
            <w:tcW w:w="1980" w:type="dxa"/>
            <w:tcBorders>
              <w:top w:val="nil"/>
              <w:bottom w:val="nil"/>
              <w:right w:val="nil"/>
            </w:tcBorders>
            <w:vAlign w:val="bottom"/>
          </w:tcPr>
          <w:p w14:paraId="7E508188" w14:textId="77777777" w:rsidR="00DF3770" w:rsidRPr="00605DCD" w:rsidRDefault="00DF3770" w:rsidP="00DF3770">
            <w:pPr>
              <w:jc w:val="center"/>
              <w:rPr>
                <w:rFonts w:cs="Times New Roman"/>
                <w:sz w:val="20"/>
                <w:szCs w:val="20"/>
              </w:rPr>
            </w:pPr>
            <w:r>
              <w:rPr>
                <w:rFonts w:cs="Times New Roman"/>
                <w:sz w:val="20"/>
                <w:szCs w:val="20"/>
              </w:rPr>
              <w:t>None</w:t>
            </w:r>
          </w:p>
        </w:tc>
        <w:tc>
          <w:tcPr>
            <w:tcW w:w="810" w:type="dxa"/>
            <w:tcBorders>
              <w:top w:val="nil"/>
              <w:left w:val="nil"/>
              <w:bottom w:val="nil"/>
              <w:right w:val="nil"/>
            </w:tcBorders>
          </w:tcPr>
          <w:p w14:paraId="71863F5B" w14:textId="77777777" w:rsidR="00DF3770" w:rsidRPr="00605DCD" w:rsidRDefault="00DF3770" w:rsidP="00DF3770">
            <w:pPr>
              <w:jc w:val="center"/>
              <w:rPr>
                <w:rFonts w:cs="Times New Roman"/>
                <w:sz w:val="20"/>
                <w:szCs w:val="20"/>
              </w:rPr>
            </w:pPr>
            <w:r>
              <w:rPr>
                <w:rFonts w:cs="Times New Roman"/>
                <w:sz w:val="20"/>
                <w:szCs w:val="20"/>
              </w:rPr>
              <w:t>25</w:t>
            </w:r>
          </w:p>
        </w:tc>
        <w:tc>
          <w:tcPr>
            <w:tcW w:w="900" w:type="dxa"/>
            <w:tcBorders>
              <w:top w:val="nil"/>
              <w:left w:val="nil"/>
              <w:bottom w:val="nil"/>
              <w:right w:val="nil"/>
            </w:tcBorders>
          </w:tcPr>
          <w:p w14:paraId="46397720" w14:textId="77777777" w:rsidR="00DF3770" w:rsidRPr="00605DCD" w:rsidRDefault="00DF3770" w:rsidP="00DF3770">
            <w:pPr>
              <w:jc w:val="center"/>
              <w:rPr>
                <w:rFonts w:cs="Times New Roman"/>
                <w:sz w:val="20"/>
                <w:szCs w:val="20"/>
              </w:rPr>
            </w:pPr>
            <w:r>
              <w:rPr>
                <w:rFonts w:cs="Times New Roman"/>
                <w:sz w:val="20"/>
                <w:szCs w:val="20"/>
              </w:rPr>
              <w:t>-</w:t>
            </w:r>
          </w:p>
        </w:tc>
        <w:tc>
          <w:tcPr>
            <w:tcW w:w="900" w:type="dxa"/>
            <w:tcBorders>
              <w:top w:val="nil"/>
              <w:left w:val="nil"/>
              <w:bottom w:val="nil"/>
              <w:right w:val="nil"/>
            </w:tcBorders>
          </w:tcPr>
          <w:p w14:paraId="259BE436" w14:textId="77777777" w:rsidR="00DF3770" w:rsidRDefault="00DF3770" w:rsidP="00DF3770">
            <w:pPr>
              <w:jc w:val="center"/>
              <w:rPr>
                <w:rFonts w:cs="Times New Roman"/>
                <w:sz w:val="20"/>
                <w:szCs w:val="20"/>
              </w:rPr>
            </w:pPr>
            <w:r>
              <w:rPr>
                <w:rFonts w:cs="Times New Roman"/>
                <w:sz w:val="20"/>
                <w:szCs w:val="20"/>
              </w:rPr>
              <w:t>-</w:t>
            </w:r>
          </w:p>
        </w:tc>
        <w:tc>
          <w:tcPr>
            <w:tcW w:w="852" w:type="dxa"/>
            <w:gridSpan w:val="2"/>
            <w:tcBorders>
              <w:top w:val="nil"/>
              <w:left w:val="nil"/>
              <w:bottom w:val="nil"/>
              <w:right w:val="nil"/>
            </w:tcBorders>
          </w:tcPr>
          <w:p w14:paraId="688EC06F" w14:textId="77777777" w:rsidR="00DF3770" w:rsidRPr="00605DCD" w:rsidRDefault="00DF3770" w:rsidP="00DF3770">
            <w:pPr>
              <w:jc w:val="center"/>
              <w:rPr>
                <w:rFonts w:cs="Times New Roman"/>
                <w:sz w:val="20"/>
                <w:szCs w:val="20"/>
              </w:rPr>
            </w:pPr>
            <w:r>
              <w:rPr>
                <w:rFonts w:cs="Times New Roman"/>
                <w:sz w:val="20"/>
                <w:szCs w:val="20"/>
              </w:rPr>
              <w:t>4</w:t>
            </w:r>
          </w:p>
        </w:tc>
        <w:tc>
          <w:tcPr>
            <w:tcW w:w="768" w:type="dxa"/>
            <w:tcBorders>
              <w:top w:val="nil"/>
              <w:left w:val="nil"/>
              <w:bottom w:val="nil"/>
              <w:right w:val="nil"/>
            </w:tcBorders>
          </w:tcPr>
          <w:p w14:paraId="477953D7" w14:textId="77777777" w:rsidR="00DF3770" w:rsidRPr="00605DCD" w:rsidRDefault="00DF3770" w:rsidP="00DF3770">
            <w:pPr>
              <w:jc w:val="center"/>
              <w:rPr>
                <w:rFonts w:cs="Times New Roman"/>
                <w:sz w:val="20"/>
                <w:szCs w:val="20"/>
              </w:rPr>
            </w:pPr>
            <w:r>
              <w:rPr>
                <w:rFonts w:cs="Times New Roman"/>
                <w:sz w:val="20"/>
                <w:szCs w:val="20"/>
              </w:rPr>
              <w:t>-</w:t>
            </w:r>
          </w:p>
        </w:tc>
        <w:tc>
          <w:tcPr>
            <w:tcW w:w="900" w:type="dxa"/>
            <w:tcBorders>
              <w:top w:val="nil"/>
              <w:left w:val="nil"/>
              <w:bottom w:val="nil"/>
              <w:right w:val="nil"/>
            </w:tcBorders>
          </w:tcPr>
          <w:p w14:paraId="14924011" w14:textId="77777777" w:rsidR="00DF3770" w:rsidRPr="00605DCD" w:rsidRDefault="00DF3770" w:rsidP="00DF3770">
            <w:pPr>
              <w:jc w:val="center"/>
              <w:rPr>
                <w:rFonts w:cs="Times New Roman"/>
                <w:sz w:val="20"/>
                <w:szCs w:val="20"/>
              </w:rPr>
            </w:pPr>
            <w:r>
              <w:rPr>
                <w:rFonts w:cs="Times New Roman"/>
                <w:sz w:val="20"/>
                <w:szCs w:val="20"/>
              </w:rPr>
              <w:t>-</w:t>
            </w:r>
          </w:p>
        </w:tc>
        <w:tc>
          <w:tcPr>
            <w:tcW w:w="270" w:type="dxa"/>
            <w:tcBorders>
              <w:top w:val="nil"/>
              <w:left w:val="nil"/>
              <w:bottom w:val="nil"/>
              <w:right w:val="nil"/>
            </w:tcBorders>
          </w:tcPr>
          <w:p w14:paraId="49B0814D" w14:textId="77777777" w:rsidR="00DF3770" w:rsidRDefault="00DF3770" w:rsidP="00DF3770">
            <w:pPr>
              <w:jc w:val="center"/>
              <w:rPr>
                <w:rFonts w:cs="Times New Roman"/>
                <w:sz w:val="20"/>
                <w:szCs w:val="20"/>
              </w:rPr>
            </w:pPr>
          </w:p>
        </w:tc>
        <w:tc>
          <w:tcPr>
            <w:tcW w:w="855" w:type="dxa"/>
            <w:tcBorders>
              <w:top w:val="nil"/>
              <w:left w:val="nil"/>
              <w:bottom w:val="nil"/>
              <w:right w:val="nil"/>
            </w:tcBorders>
          </w:tcPr>
          <w:p w14:paraId="135D387F" w14:textId="77777777" w:rsidR="00DF3770" w:rsidRDefault="00DF3770" w:rsidP="00DF3770">
            <w:pPr>
              <w:jc w:val="center"/>
              <w:rPr>
                <w:rFonts w:cs="Times New Roman"/>
                <w:sz w:val="20"/>
                <w:szCs w:val="20"/>
              </w:rPr>
            </w:pPr>
            <w:r>
              <w:rPr>
                <w:rFonts w:cs="Times New Roman"/>
                <w:sz w:val="20"/>
                <w:szCs w:val="20"/>
              </w:rPr>
              <w:t>55</w:t>
            </w:r>
          </w:p>
        </w:tc>
        <w:tc>
          <w:tcPr>
            <w:tcW w:w="855" w:type="dxa"/>
            <w:tcBorders>
              <w:top w:val="nil"/>
              <w:left w:val="nil"/>
              <w:bottom w:val="nil"/>
              <w:right w:val="nil"/>
            </w:tcBorders>
          </w:tcPr>
          <w:p w14:paraId="7A4D2B96" w14:textId="77777777" w:rsidR="00DF3770" w:rsidRDefault="00DF3770" w:rsidP="00DF3770">
            <w:pPr>
              <w:jc w:val="center"/>
              <w:rPr>
                <w:rFonts w:cs="Times New Roman"/>
                <w:sz w:val="20"/>
                <w:szCs w:val="20"/>
              </w:rPr>
            </w:pPr>
            <w:r>
              <w:rPr>
                <w:rFonts w:cs="Times New Roman"/>
                <w:sz w:val="20"/>
                <w:szCs w:val="20"/>
              </w:rPr>
              <w:t>-</w:t>
            </w:r>
          </w:p>
        </w:tc>
        <w:tc>
          <w:tcPr>
            <w:tcW w:w="900" w:type="dxa"/>
            <w:tcBorders>
              <w:top w:val="nil"/>
              <w:left w:val="nil"/>
              <w:bottom w:val="nil"/>
              <w:right w:val="nil"/>
            </w:tcBorders>
          </w:tcPr>
          <w:p w14:paraId="7D8E1652" w14:textId="77777777" w:rsidR="00DF3770" w:rsidRDefault="00DF3770" w:rsidP="00DF3770">
            <w:pPr>
              <w:jc w:val="center"/>
              <w:rPr>
                <w:rFonts w:cs="Times New Roman"/>
                <w:sz w:val="20"/>
                <w:szCs w:val="20"/>
              </w:rPr>
            </w:pPr>
            <w:r>
              <w:rPr>
                <w:rFonts w:cs="Times New Roman"/>
                <w:sz w:val="20"/>
                <w:szCs w:val="20"/>
              </w:rPr>
              <w:t>-</w:t>
            </w:r>
          </w:p>
        </w:tc>
        <w:tc>
          <w:tcPr>
            <w:tcW w:w="810" w:type="dxa"/>
            <w:tcBorders>
              <w:top w:val="nil"/>
              <w:left w:val="nil"/>
              <w:bottom w:val="nil"/>
              <w:right w:val="nil"/>
            </w:tcBorders>
          </w:tcPr>
          <w:p w14:paraId="4EFB394E" w14:textId="77777777" w:rsidR="00DF3770" w:rsidRDefault="00DF3770" w:rsidP="00DF3770">
            <w:pPr>
              <w:jc w:val="center"/>
              <w:rPr>
                <w:rFonts w:cs="Times New Roman"/>
                <w:sz w:val="20"/>
                <w:szCs w:val="20"/>
              </w:rPr>
            </w:pPr>
            <w:r>
              <w:rPr>
                <w:rFonts w:cs="Times New Roman"/>
                <w:sz w:val="20"/>
                <w:szCs w:val="20"/>
              </w:rPr>
              <w:t>89</w:t>
            </w:r>
          </w:p>
        </w:tc>
        <w:tc>
          <w:tcPr>
            <w:tcW w:w="810" w:type="dxa"/>
            <w:tcBorders>
              <w:top w:val="nil"/>
              <w:left w:val="nil"/>
              <w:bottom w:val="nil"/>
              <w:right w:val="nil"/>
            </w:tcBorders>
          </w:tcPr>
          <w:p w14:paraId="16D2465F" w14:textId="77777777" w:rsidR="00DF3770" w:rsidRDefault="00DF3770" w:rsidP="00DF3770">
            <w:pPr>
              <w:jc w:val="center"/>
              <w:rPr>
                <w:rFonts w:cs="Times New Roman"/>
                <w:sz w:val="20"/>
                <w:szCs w:val="20"/>
              </w:rPr>
            </w:pPr>
            <w:r>
              <w:rPr>
                <w:rFonts w:cs="Times New Roman"/>
                <w:sz w:val="20"/>
                <w:szCs w:val="20"/>
              </w:rPr>
              <w:t>-</w:t>
            </w:r>
          </w:p>
        </w:tc>
        <w:tc>
          <w:tcPr>
            <w:tcW w:w="900" w:type="dxa"/>
            <w:tcBorders>
              <w:top w:val="nil"/>
              <w:left w:val="nil"/>
              <w:bottom w:val="nil"/>
              <w:right w:val="nil"/>
            </w:tcBorders>
          </w:tcPr>
          <w:p w14:paraId="1BE2669B" w14:textId="77777777" w:rsidR="00DF3770" w:rsidRDefault="00DF3770" w:rsidP="00DF3770">
            <w:pPr>
              <w:jc w:val="center"/>
              <w:rPr>
                <w:rFonts w:cs="Times New Roman"/>
                <w:sz w:val="20"/>
                <w:szCs w:val="20"/>
              </w:rPr>
            </w:pPr>
          </w:p>
        </w:tc>
      </w:tr>
      <w:tr w:rsidR="00DF3770" w:rsidRPr="00605DCD" w14:paraId="700FCF27" w14:textId="77777777">
        <w:tc>
          <w:tcPr>
            <w:tcW w:w="1980" w:type="dxa"/>
            <w:tcBorders>
              <w:top w:val="nil"/>
              <w:bottom w:val="nil"/>
              <w:right w:val="nil"/>
            </w:tcBorders>
            <w:vAlign w:val="bottom"/>
          </w:tcPr>
          <w:p w14:paraId="7458B2F1" w14:textId="77777777" w:rsidR="00DF3770" w:rsidRPr="00605DCD" w:rsidRDefault="00DF3770" w:rsidP="00DF3770">
            <w:pPr>
              <w:jc w:val="center"/>
              <w:rPr>
                <w:rFonts w:cs="Times New Roman"/>
                <w:sz w:val="20"/>
                <w:szCs w:val="20"/>
              </w:rPr>
            </w:pPr>
            <w:r>
              <w:rPr>
                <w:rFonts w:cs="Times New Roman"/>
                <w:sz w:val="20"/>
                <w:szCs w:val="20"/>
              </w:rPr>
              <w:t>Safener Rate</w:t>
            </w:r>
          </w:p>
        </w:tc>
        <w:tc>
          <w:tcPr>
            <w:tcW w:w="1710" w:type="dxa"/>
            <w:gridSpan w:val="2"/>
            <w:tcBorders>
              <w:top w:val="nil"/>
              <w:left w:val="nil"/>
              <w:bottom w:val="nil"/>
              <w:right w:val="nil"/>
            </w:tcBorders>
          </w:tcPr>
          <w:p w14:paraId="09D5C0DD" w14:textId="77777777" w:rsidR="00DF3770" w:rsidRDefault="00DF3770" w:rsidP="00DF3770">
            <w:pPr>
              <w:jc w:val="center"/>
              <w:rPr>
                <w:rFonts w:cs="Times New Roman"/>
                <w:sz w:val="20"/>
                <w:szCs w:val="20"/>
                <w:vertAlign w:val="superscript"/>
              </w:rPr>
            </w:pPr>
          </w:p>
        </w:tc>
        <w:tc>
          <w:tcPr>
            <w:tcW w:w="900" w:type="dxa"/>
            <w:tcBorders>
              <w:top w:val="nil"/>
              <w:left w:val="nil"/>
              <w:bottom w:val="nil"/>
              <w:right w:val="nil"/>
            </w:tcBorders>
          </w:tcPr>
          <w:p w14:paraId="685494C2" w14:textId="77777777" w:rsidR="00DF3770" w:rsidRPr="00605DCD" w:rsidRDefault="00DF3770" w:rsidP="00DF3770">
            <w:pPr>
              <w:jc w:val="center"/>
              <w:rPr>
                <w:rFonts w:cs="Times New Roman"/>
                <w:sz w:val="20"/>
                <w:szCs w:val="20"/>
              </w:rPr>
            </w:pPr>
          </w:p>
        </w:tc>
        <w:tc>
          <w:tcPr>
            <w:tcW w:w="1620" w:type="dxa"/>
            <w:gridSpan w:val="3"/>
            <w:tcBorders>
              <w:top w:val="nil"/>
              <w:left w:val="nil"/>
              <w:bottom w:val="nil"/>
              <w:right w:val="nil"/>
            </w:tcBorders>
          </w:tcPr>
          <w:p w14:paraId="0FDBB258" w14:textId="77777777" w:rsidR="00DF3770" w:rsidRPr="00605DCD" w:rsidRDefault="00DF3770" w:rsidP="00DF3770">
            <w:pPr>
              <w:jc w:val="center"/>
              <w:rPr>
                <w:rFonts w:cs="Times New Roman"/>
                <w:sz w:val="20"/>
                <w:szCs w:val="20"/>
              </w:rPr>
            </w:pPr>
          </w:p>
        </w:tc>
        <w:tc>
          <w:tcPr>
            <w:tcW w:w="900" w:type="dxa"/>
            <w:tcBorders>
              <w:top w:val="nil"/>
              <w:left w:val="nil"/>
              <w:bottom w:val="nil"/>
              <w:right w:val="nil"/>
            </w:tcBorders>
          </w:tcPr>
          <w:p w14:paraId="7A55819A" w14:textId="77777777" w:rsidR="00DF3770" w:rsidRPr="00605DCD" w:rsidRDefault="00DF3770" w:rsidP="00DF3770">
            <w:pPr>
              <w:jc w:val="center"/>
              <w:rPr>
                <w:rFonts w:cs="Times New Roman"/>
                <w:sz w:val="20"/>
                <w:szCs w:val="20"/>
              </w:rPr>
            </w:pPr>
          </w:p>
        </w:tc>
        <w:tc>
          <w:tcPr>
            <w:tcW w:w="270" w:type="dxa"/>
            <w:tcBorders>
              <w:top w:val="nil"/>
              <w:left w:val="nil"/>
              <w:bottom w:val="nil"/>
              <w:right w:val="nil"/>
            </w:tcBorders>
          </w:tcPr>
          <w:p w14:paraId="3D59F485" w14:textId="77777777" w:rsidR="00DF3770" w:rsidRPr="00605DCD" w:rsidRDefault="00DF3770" w:rsidP="00DF3770">
            <w:pPr>
              <w:jc w:val="center"/>
              <w:rPr>
                <w:rFonts w:cs="Times New Roman"/>
                <w:sz w:val="20"/>
                <w:szCs w:val="20"/>
              </w:rPr>
            </w:pPr>
          </w:p>
        </w:tc>
        <w:tc>
          <w:tcPr>
            <w:tcW w:w="855" w:type="dxa"/>
            <w:tcBorders>
              <w:top w:val="nil"/>
              <w:left w:val="nil"/>
              <w:bottom w:val="nil"/>
              <w:right w:val="nil"/>
            </w:tcBorders>
          </w:tcPr>
          <w:p w14:paraId="3F066AA8" w14:textId="77777777" w:rsidR="00DF3770" w:rsidRPr="00605DCD" w:rsidRDefault="00DF3770" w:rsidP="00DF3770">
            <w:pPr>
              <w:jc w:val="center"/>
              <w:rPr>
                <w:rFonts w:cs="Times New Roman"/>
                <w:sz w:val="20"/>
                <w:szCs w:val="20"/>
              </w:rPr>
            </w:pPr>
          </w:p>
        </w:tc>
        <w:tc>
          <w:tcPr>
            <w:tcW w:w="855" w:type="dxa"/>
            <w:tcBorders>
              <w:top w:val="nil"/>
              <w:left w:val="nil"/>
              <w:bottom w:val="nil"/>
              <w:right w:val="nil"/>
            </w:tcBorders>
          </w:tcPr>
          <w:p w14:paraId="74368EC9" w14:textId="77777777" w:rsidR="00DF3770" w:rsidRPr="00605DCD" w:rsidRDefault="00DF3770" w:rsidP="00DF3770">
            <w:pPr>
              <w:jc w:val="center"/>
              <w:rPr>
                <w:rFonts w:cs="Times New Roman"/>
                <w:sz w:val="20"/>
                <w:szCs w:val="20"/>
              </w:rPr>
            </w:pPr>
          </w:p>
        </w:tc>
        <w:tc>
          <w:tcPr>
            <w:tcW w:w="900" w:type="dxa"/>
            <w:tcBorders>
              <w:top w:val="nil"/>
              <w:left w:val="nil"/>
              <w:bottom w:val="nil"/>
              <w:right w:val="nil"/>
            </w:tcBorders>
          </w:tcPr>
          <w:p w14:paraId="6C10BA77" w14:textId="77777777" w:rsidR="00DF3770" w:rsidRPr="00605DCD" w:rsidRDefault="00DF3770" w:rsidP="00DF3770">
            <w:pPr>
              <w:jc w:val="center"/>
              <w:rPr>
                <w:rFonts w:cs="Times New Roman"/>
                <w:sz w:val="20"/>
                <w:szCs w:val="20"/>
              </w:rPr>
            </w:pPr>
          </w:p>
        </w:tc>
        <w:tc>
          <w:tcPr>
            <w:tcW w:w="810" w:type="dxa"/>
            <w:tcBorders>
              <w:top w:val="nil"/>
              <w:left w:val="nil"/>
              <w:bottom w:val="nil"/>
              <w:right w:val="nil"/>
            </w:tcBorders>
          </w:tcPr>
          <w:p w14:paraId="58CE5466" w14:textId="77777777" w:rsidR="00DF3770" w:rsidRPr="00605DCD" w:rsidRDefault="00DF3770" w:rsidP="00DF3770">
            <w:pPr>
              <w:jc w:val="center"/>
              <w:rPr>
                <w:rFonts w:cs="Times New Roman"/>
                <w:sz w:val="20"/>
                <w:szCs w:val="20"/>
              </w:rPr>
            </w:pPr>
          </w:p>
        </w:tc>
        <w:tc>
          <w:tcPr>
            <w:tcW w:w="810" w:type="dxa"/>
            <w:tcBorders>
              <w:top w:val="nil"/>
              <w:left w:val="nil"/>
              <w:bottom w:val="nil"/>
              <w:right w:val="nil"/>
            </w:tcBorders>
          </w:tcPr>
          <w:p w14:paraId="7E88BFEB" w14:textId="77777777" w:rsidR="00DF3770" w:rsidRPr="00605DCD" w:rsidRDefault="00DF3770" w:rsidP="00DF3770">
            <w:pPr>
              <w:jc w:val="center"/>
              <w:rPr>
                <w:rFonts w:cs="Times New Roman"/>
                <w:sz w:val="20"/>
                <w:szCs w:val="20"/>
              </w:rPr>
            </w:pPr>
          </w:p>
        </w:tc>
        <w:tc>
          <w:tcPr>
            <w:tcW w:w="900" w:type="dxa"/>
            <w:tcBorders>
              <w:top w:val="nil"/>
              <w:left w:val="nil"/>
              <w:bottom w:val="nil"/>
              <w:right w:val="nil"/>
            </w:tcBorders>
          </w:tcPr>
          <w:p w14:paraId="5F3785AB" w14:textId="77777777" w:rsidR="00DF3770" w:rsidRPr="00605DCD" w:rsidRDefault="00DF3770" w:rsidP="00DF3770">
            <w:pPr>
              <w:jc w:val="center"/>
              <w:rPr>
                <w:rFonts w:cs="Times New Roman"/>
                <w:sz w:val="20"/>
                <w:szCs w:val="20"/>
              </w:rPr>
            </w:pPr>
          </w:p>
        </w:tc>
      </w:tr>
      <w:tr w:rsidR="00DF3770" w:rsidRPr="00605DCD" w14:paraId="32BE3B0E" w14:textId="77777777">
        <w:tc>
          <w:tcPr>
            <w:tcW w:w="1980" w:type="dxa"/>
            <w:tcBorders>
              <w:top w:val="nil"/>
              <w:bottom w:val="nil"/>
              <w:right w:val="nil"/>
            </w:tcBorders>
            <w:vAlign w:val="bottom"/>
          </w:tcPr>
          <w:p w14:paraId="298B09CC" w14:textId="77777777" w:rsidR="00DF3770" w:rsidRPr="00605DCD" w:rsidRDefault="00DF3770" w:rsidP="00DF3770">
            <w:pPr>
              <w:jc w:val="center"/>
              <w:rPr>
                <w:rFonts w:cs="Times New Roman"/>
                <w:sz w:val="20"/>
                <w:szCs w:val="20"/>
              </w:rPr>
            </w:pPr>
            <w:r>
              <w:rPr>
                <w:rFonts w:cs="Times New Roman"/>
                <w:sz w:val="20"/>
                <w:szCs w:val="20"/>
              </w:rPr>
              <w:t>High</w:t>
            </w:r>
          </w:p>
        </w:tc>
        <w:tc>
          <w:tcPr>
            <w:tcW w:w="810" w:type="dxa"/>
            <w:tcBorders>
              <w:top w:val="nil"/>
              <w:left w:val="nil"/>
              <w:bottom w:val="nil"/>
              <w:right w:val="nil"/>
            </w:tcBorders>
          </w:tcPr>
          <w:p w14:paraId="5603B00C" w14:textId="77777777" w:rsidR="00DF3770" w:rsidRPr="00605DCD" w:rsidRDefault="00DF3770" w:rsidP="00DF3770">
            <w:pPr>
              <w:jc w:val="center"/>
              <w:rPr>
                <w:rFonts w:cs="Times New Roman"/>
                <w:sz w:val="20"/>
                <w:szCs w:val="20"/>
              </w:rPr>
            </w:pPr>
            <w:r>
              <w:rPr>
                <w:rFonts w:cs="Times New Roman"/>
                <w:sz w:val="20"/>
                <w:szCs w:val="20"/>
              </w:rPr>
              <w:t>4</w:t>
            </w:r>
          </w:p>
        </w:tc>
        <w:tc>
          <w:tcPr>
            <w:tcW w:w="900" w:type="dxa"/>
            <w:tcBorders>
              <w:top w:val="nil"/>
              <w:left w:val="nil"/>
              <w:bottom w:val="nil"/>
              <w:right w:val="nil"/>
            </w:tcBorders>
          </w:tcPr>
          <w:p w14:paraId="6685AD80" w14:textId="77777777" w:rsidR="00DF3770" w:rsidRPr="00605DCD" w:rsidRDefault="00DF3770" w:rsidP="00DF3770">
            <w:pPr>
              <w:jc w:val="center"/>
              <w:rPr>
                <w:rFonts w:cs="Times New Roman"/>
                <w:sz w:val="20"/>
                <w:szCs w:val="20"/>
              </w:rPr>
            </w:pPr>
            <w:proofErr w:type="gramStart"/>
            <w:r>
              <w:rPr>
                <w:rFonts w:cs="Times New Roman"/>
                <w:sz w:val="20"/>
                <w:szCs w:val="20"/>
              </w:rPr>
              <w:t>b</w:t>
            </w:r>
            <w:proofErr w:type="gramEnd"/>
          </w:p>
        </w:tc>
        <w:tc>
          <w:tcPr>
            <w:tcW w:w="900" w:type="dxa"/>
            <w:tcBorders>
              <w:top w:val="nil"/>
              <w:left w:val="nil"/>
              <w:bottom w:val="nil"/>
              <w:right w:val="nil"/>
            </w:tcBorders>
          </w:tcPr>
          <w:p w14:paraId="315DEBFB" w14:textId="77777777" w:rsidR="00DF3770" w:rsidRDefault="00DF3770" w:rsidP="00DF3770">
            <w:pPr>
              <w:jc w:val="center"/>
              <w:rPr>
                <w:rFonts w:cs="Times New Roman"/>
                <w:sz w:val="20"/>
                <w:szCs w:val="20"/>
              </w:rPr>
            </w:pPr>
            <w:r>
              <w:rPr>
                <w:rFonts w:cs="Times New Roman"/>
                <w:sz w:val="20"/>
                <w:szCs w:val="20"/>
              </w:rPr>
              <w:t>***</w:t>
            </w:r>
          </w:p>
        </w:tc>
        <w:tc>
          <w:tcPr>
            <w:tcW w:w="810" w:type="dxa"/>
            <w:tcBorders>
              <w:top w:val="nil"/>
              <w:left w:val="nil"/>
              <w:bottom w:val="nil"/>
              <w:right w:val="nil"/>
            </w:tcBorders>
          </w:tcPr>
          <w:p w14:paraId="7B32C5E9" w14:textId="77777777" w:rsidR="00DF3770" w:rsidRPr="00605DCD" w:rsidRDefault="00DF3770" w:rsidP="00DF3770">
            <w:pPr>
              <w:jc w:val="center"/>
              <w:rPr>
                <w:rFonts w:cs="Times New Roman"/>
                <w:sz w:val="20"/>
                <w:szCs w:val="20"/>
              </w:rPr>
            </w:pPr>
            <w:r>
              <w:rPr>
                <w:rFonts w:cs="Times New Roman"/>
                <w:sz w:val="20"/>
                <w:szCs w:val="20"/>
              </w:rPr>
              <w:t>1</w:t>
            </w:r>
          </w:p>
        </w:tc>
        <w:tc>
          <w:tcPr>
            <w:tcW w:w="810" w:type="dxa"/>
            <w:gridSpan w:val="2"/>
            <w:tcBorders>
              <w:top w:val="nil"/>
              <w:left w:val="nil"/>
              <w:bottom w:val="nil"/>
              <w:right w:val="nil"/>
            </w:tcBorders>
          </w:tcPr>
          <w:p w14:paraId="65DF71A8" w14:textId="77777777" w:rsidR="00DF3770" w:rsidRPr="00605DCD"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4818172B" w14:textId="77777777" w:rsidR="00DF3770" w:rsidRPr="00605DCD" w:rsidRDefault="00DF3770" w:rsidP="00DF3770">
            <w:pPr>
              <w:jc w:val="center"/>
              <w:rPr>
                <w:rFonts w:cs="Times New Roman"/>
                <w:sz w:val="20"/>
                <w:szCs w:val="20"/>
              </w:rPr>
            </w:pPr>
            <w:r>
              <w:rPr>
                <w:rFonts w:cs="Times New Roman"/>
                <w:sz w:val="20"/>
                <w:szCs w:val="20"/>
              </w:rPr>
              <w:t>*</w:t>
            </w:r>
          </w:p>
        </w:tc>
        <w:tc>
          <w:tcPr>
            <w:tcW w:w="270" w:type="dxa"/>
            <w:tcBorders>
              <w:top w:val="nil"/>
              <w:left w:val="nil"/>
              <w:bottom w:val="nil"/>
              <w:right w:val="nil"/>
            </w:tcBorders>
          </w:tcPr>
          <w:p w14:paraId="5F3D9DFE" w14:textId="77777777" w:rsidR="00DF3770" w:rsidRDefault="00DF3770" w:rsidP="00DF3770">
            <w:pPr>
              <w:jc w:val="center"/>
              <w:rPr>
                <w:rFonts w:cs="Times New Roman"/>
                <w:sz w:val="20"/>
                <w:szCs w:val="20"/>
              </w:rPr>
            </w:pPr>
          </w:p>
        </w:tc>
        <w:tc>
          <w:tcPr>
            <w:tcW w:w="855" w:type="dxa"/>
            <w:tcBorders>
              <w:top w:val="nil"/>
              <w:left w:val="nil"/>
              <w:bottom w:val="nil"/>
              <w:right w:val="nil"/>
            </w:tcBorders>
          </w:tcPr>
          <w:p w14:paraId="59E2FD27" w14:textId="77777777" w:rsidR="00DF3770" w:rsidRDefault="00DF3770" w:rsidP="00DF3770">
            <w:pPr>
              <w:jc w:val="center"/>
              <w:rPr>
                <w:rFonts w:cs="Times New Roman"/>
                <w:sz w:val="20"/>
                <w:szCs w:val="20"/>
              </w:rPr>
            </w:pPr>
            <w:r>
              <w:rPr>
                <w:rFonts w:cs="Times New Roman"/>
                <w:sz w:val="20"/>
                <w:szCs w:val="20"/>
              </w:rPr>
              <w:t>61</w:t>
            </w:r>
          </w:p>
        </w:tc>
        <w:tc>
          <w:tcPr>
            <w:tcW w:w="855" w:type="dxa"/>
            <w:tcBorders>
              <w:top w:val="nil"/>
              <w:left w:val="nil"/>
              <w:bottom w:val="nil"/>
              <w:right w:val="nil"/>
            </w:tcBorders>
          </w:tcPr>
          <w:p w14:paraId="74169FE0"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230044FF" w14:textId="77777777" w:rsidR="00DF3770" w:rsidRDefault="00DF3770" w:rsidP="00DF3770">
            <w:pPr>
              <w:jc w:val="center"/>
              <w:rPr>
                <w:rFonts w:cs="Times New Roman"/>
                <w:sz w:val="20"/>
                <w:szCs w:val="20"/>
              </w:rPr>
            </w:pPr>
            <w:r>
              <w:rPr>
                <w:rFonts w:cs="Times New Roman"/>
                <w:sz w:val="20"/>
                <w:szCs w:val="20"/>
              </w:rPr>
              <w:t>NS</w:t>
            </w:r>
          </w:p>
        </w:tc>
        <w:tc>
          <w:tcPr>
            <w:tcW w:w="810" w:type="dxa"/>
            <w:tcBorders>
              <w:top w:val="nil"/>
              <w:left w:val="nil"/>
              <w:bottom w:val="nil"/>
              <w:right w:val="nil"/>
            </w:tcBorders>
          </w:tcPr>
          <w:p w14:paraId="5C639E69" w14:textId="77777777" w:rsidR="00DF3770" w:rsidRDefault="00DF3770" w:rsidP="00DF3770">
            <w:pPr>
              <w:jc w:val="center"/>
              <w:rPr>
                <w:rFonts w:cs="Times New Roman"/>
                <w:sz w:val="20"/>
                <w:szCs w:val="20"/>
              </w:rPr>
            </w:pPr>
            <w:r>
              <w:rPr>
                <w:rFonts w:cs="Times New Roman"/>
                <w:sz w:val="20"/>
                <w:szCs w:val="20"/>
              </w:rPr>
              <w:t>89</w:t>
            </w:r>
          </w:p>
        </w:tc>
        <w:tc>
          <w:tcPr>
            <w:tcW w:w="810" w:type="dxa"/>
            <w:tcBorders>
              <w:top w:val="nil"/>
              <w:left w:val="nil"/>
              <w:bottom w:val="nil"/>
              <w:right w:val="nil"/>
            </w:tcBorders>
          </w:tcPr>
          <w:p w14:paraId="74C10FB0"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nil"/>
              <w:right w:val="nil"/>
            </w:tcBorders>
          </w:tcPr>
          <w:p w14:paraId="2D83C235" w14:textId="77777777" w:rsidR="00DF3770" w:rsidRDefault="00DF3770" w:rsidP="00DF3770">
            <w:pPr>
              <w:jc w:val="center"/>
              <w:rPr>
                <w:rFonts w:cs="Times New Roman"/>
                <w:sz w:val="20"/>
                <w:szCs w:val="20"/>
              </w:rPr>
            </w:pPr>
            <w:r>
              <w:rPr>
                <w:rFonts w:cs="Times New Roman"/>
                <w:sz w:val="20"/>
                <w:szCs w:val="20"/>
              </w:rPr>
              <w:t>NS</w:t>
            </w:r>
          </w:p>
        </w:tc>
      </w:tr>
      <w:tr w:rsidR="00DF3770" w14:paraId="4C2BE4CC" w14:textId="77777777">
        <w:trPr>
          <w:trHeight w:val="431"/>
        </w:trPr>
        <w:tc>
          <w:tcPr>
            <w:tcW w:w="1980" w:type="dxa"/>
            <w:tcBorders>
              <w:top w:val="nil"/>
              <w:bottom w:val="single" w:sz="4" w:space="0" w:color="auto"/>
              <w:right w:val="nil"/>
            </w:tcBorders>
            <w:vAlign w:val="bottom"/>
          </w:tcPr>
          <w:p w14:paraId="46EC4CB8" w14:textId="77777777" w:rsidR="00DF3770" w:rsidRDefault="00DF3770" w:rsidP="00DF3770">
            <w:pPr>
              <w:jc w:val="center"/>
              <w:rPr>
                <w:rFonts w:cs="Times New Roman"/>
                <w:sz w:val="20"/>
                <w:szCs w:val="20"/>
              </w:rPr>
            </w:pPr>
            <w:r>
              <w:rPr>
                <w:rFonts w:cs="Times New Roman"/>
                <w:sz w:val="20"/>
                <w:szCs w:val="20"/>
              </w:rPr>
              <w:t>Low</w:t>
            </w:r>
          </w:p>
        </w:tc>
        <w:tc>
          <w:tcPr>
            <w:tcW w:w="810" w:type="dxa"/>
            <w:tcBorders>
              <w:top w:val="nil"/>
              <w:left w:val="nil"/>
              <w:bottom w:val="single" w:sz="4" w:space="0" w:color="auto"/>
              <w:right w:val="nil"/>
            </w:tcBorders>
          </w:tcPr>
          <w:p w14:paraId="7248175E" w14:textId="77777777" w:rsidR="00DF3770" w:rsidRDefault="00DF3770" w:rsidP="00DF3770">
            <w:pPr>
              <w:jc w:val="center"/>
              <w:rPr>
                <w:rFonts w:cs="Times New Roman"/>
                <w:sz w:val="20"/>
                <w:szCs w:val="20"/>
              </w:rPr>
            </w:pPr>
            <w:r>
              <w:rPr>
                <w:rFonts w:cs="Times New Roman"/>
                <w:sz w:val="20"/>
                <w:szCs w:val="20"/>
              </w:rPr>
              <w:t>8</w:t>
            </w:r>
          </w:p>
        </w:tc>
        <w:tc>
          <w:tcPr>
            <w:tcW w:w="900" w:type="dxa"/>
            <w:tcBorders>
              <w:top w:val="nil"/>
              <w:left w:val="nil"/>
              <w:bottom w:val="single" w:sz="4" w:space="0" w:color="auto"/>
              <w:right w:val="nil"/>
            </w:tcBorders>
          </w:tcPr>
          <w:p w14:paraId="52B559E6"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single" w:sz="4" w:space="0" w:color="auto"/>
              <w:right w:val="nil"/>
            </w:tcBorders>
          </w:tcPr>
          <w:p w14:paraId="1246A400" w14:textId="77777777" w:rsidR="00DF3770" w:rsidRDefault="00DF3770" w:rsidP="00DF3770">
            <w:pPr>
              <w:jc w:val="center"/>
              <w:rPr>
                <w:rFonts w:cs="Times New Roman"/>
                <w:sz w:val="20"/>
                <w:szCs w:val="20"/>
              </w:rPr>
            </w:pPr>
            <w:r>
              <w:rPr>
                <w:rFonts w:cs="Times New Roman"/>
                <w:sz w:val="20"/>
                <w:szCs w:val="20"/>
              </w:rPr>
              <w:t>***</w:t>
            </w:r>
          </w:p>
        </w:tc>
        <w:tc>
          <w:tcPr>
            <w:tcW w:w="810" w:type="dxa"/>
            <w:tcBorders>
              <w:top w:val="nil"/>
              <w:left w:val="nil"/>
              <w:bottom w:val="single" w:sz="4" w:space="0" w:color="auto"/>
              <w:right w:val="nil"/>
            </w:tcBorders>
          </w:tcPr>
          <w:p w14:paraId="3B0E4681" w14:textId="77777777" w:rsidR="00DF3770" w:rsidRDefault="00DF3770" w:rsidP="00DF3770">
            <w:pPr>
              <w:jc w:val="center"/>
              <w:rPr>
                <w:rFonts w:cs="Times New Roman"/>
                <w:sz w:val="20"/>
                <w:szCs w:val="20"/>
              </w:rPr>
            </w:pPr>
            <w:r>
              <w:rPr>
                <w:rFonts w:cs="Times New Roman"/>
                <w:sz w:val="20"/>
                <w:szCs w:val="20"/>
              </w:rPr>
              <w:t>2</w:t>
            </w:r>
          </w:p>
        </w:tc>
        <w:tc>
          <w:tcPr>
            <w:tcW w:w="810" w:type="dxa"/>
            <w:gridSpan w:val="2"/>
            <w:tcBorders>
              <w:top w:val="nil"/>
              <w:left w:val="nil"/>
              <w:bottom w:val="single" w:sz="4" w:space="0" w:color="auto"/>
              <w:right w:val="nil"/>
            </w:tcBorders>
          </w:tcPr>
          <w:p w14:paraId="2DB386AD"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single" w:sz="4" w:space="0" w:color="auto"/>
              <w:right w:val="nil"/>
            </w:tcBorders>
          </w:tcPr>
          <w:p w14:paraId="5B425D15" w14:textId="77777777" w:rsidR="00DF3770" w:rsidRDefault="00DF3770" w:rsidP="00DF3770">
            <w:pPr>
              <w:jc w:val="center"/>
              <w:rPr>
                <w:rFonts w:cs="Times New Roman"/>
                <w:sz w:val="20"/>
                <w:szCs w:val="20"/>
              </w:rPr>
            </w:pPr>
            <w:r>
              <w:rPr>
                <w:rFonts w:cs="Times New Roman"/>
                <w:sz w:val="20"/>
                <w:szCs w:val="20"/>
              </w:rPr>
              <w:t>NS</w:t>
            </w:r>
          </w:p>
        </w:tc>
        <w:tc>
          <w:tcPr>
            <w:tcW w:w="270" w:type="dxa"/>
            <w:tcBorders>
              <w:top w:val="nil"/>
              <w:left w:val="nil"/>
              <w:bottom w:val="single" w:sz="4" w:space="0" w:color="auto"/>
              <w:right w:val="nil"/>
            </w:tcBorders>
          </w:tcPr>
          <w:p w14:paraId="1BF9DE59" w14:textId="77777777" w:rsidR="00DF3770" w:rsidRDefault="00DF3770" w:rsidP="00DF3770">
            <w:pPr>
              <w:jc w:val="center"/>
              <w:rPr>
                <w:rFonts w:cs="Times New Roman"/>
                <w:sz w:val="20"/>
                <w:szCs w:val="20"/>
              </w:rPr>
            </w:pPr>
          </w:p>
        </w:tc>
        <w:tc>
          <w:tcPr>
            <w:tcW w:w="855" w:type="dxa"/>
            <w:tcBorders>
              <w:top w:val="nil"/>
              <w:left w:val="nil"/>
              <w:bottom w:val="single" w:sz="4" w:space="0" w:color="auto"/>
              <w:right w:val="nil"/>
            </w:tcBorders>
          </w:tcPr>
          <w:p w14:paraId="5BD3CF80" w14:textId="77777777" w:rsidR="00DF3770" w:rsidRDefault="00DF3770" w:rsidP="00DF3770">
            <w:pPr>
              <w:jc w:val="center"/>
              <w:rPr>
                <w:rFonts w:cs="Times New Roman"/>
                <w:sz w:val="20"/>
                <w:szCs w:val="20"/>
              </w:rPr>
            </w:pPr>
            <w:r>
              <w:rPr>
                <w:rFonts w:cs="Times New Roman"/>
                <w:sz w:val="20"/>
                <w:szCs w:val="20"/>
              </w:rPr>
              <w:t>61</w:t>
            </w:r>
          </w:p>
        </w:tc>
        <w:tc>
          <w:tcPr>
            <w:tcW w:w="855" w:type="dxa"/>
            <w:tcBorders>
              <w:top w:val="nil"/>
              <w:left w:val="nil"/>
              <w:bottom w:val="single" w:sz="4" w:space="0" w:color="auto"/>
              <w:right w:val="nil"/>
            </w:tcBorders>
          </w:tcPr>
          <w:p w14:paraId="67CC532A"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single" w:sz="4" w:space="0" w:color="auto"/>
              <w:right w:val="nil"/>
            </w:tcBorders>
          </w:tcPr>
          <w:p w14:paraId="249F6127" w14:textId="77777777" w:rsidR="00DF3770" w:rsidRDefault="00DF3770" w:rsidP="00DF3770">
            <w:pPr>
              <w:jc w:val="center"/>
              <w:rPr>
                <w:rFonts w:cs="Times New Roman"/>
                <w:sz w:val="20"/>
                <w:szCs w:val="20"/>
              </w:rPr>
            </w:pPr>
            <w:r>
              <w:rPr>
                <w:rFonts w:cs="Times New Roman"/>
                <w:sz w:val="20"/>
                <w:szCs w:val="20"/>
              </w:rPr>
              <w:t>NS</w:t>
            </w:r>
          </w:p>
        </w:tc>
        <w:tc>
          <w:tcPr>
            <w:tcW w:w="810" w:type="dxa"/>
            <w:tcBorders>
              <w:top w:val="nil"/>
              <w:left w:val="nil"/>
              <w:bottom w:val="single" w:sz="4" w:space="0" w:color="auto"/>
              <w:right w:val="nil"/>
            </w:tcBorders>
          </w:tcPr>
          <w:p w14:paraId="115EE86B" w14:textId="77777777" w:rsidR="00DF3770" w:rsidRDefault="00DF3770" w:rsidP="00DF3770">
            <w:pPr>
              <w:jc w:val="center"/>
              <w:rPr>
                <w:rFonts w:cs="Times New Roman"/>
                <w:sz w:val="20"/>
                <w:szCs w:val="20"/>
              </w:rPr>
            </w:pPr>
            <w:r>
              <w:rPr>
                <w:rFonts w:cs="Times New Roman"/>
                <w:sz w:val="20"/>
                <w:szCs w:val="20"/>
              </w:rPr>
              <w:t>90</w:t>
            </w:r>
          </w:p>
        </w:tc>
        <w:tc>
          <w:tcPr>
            <w:tcW w:w="810" w:type="dxa"/>
            <w:tcBorders>
              <w:top w:val="nil"/>
              <w:left w:val="nil"/>
              <w:bottom w:val="single" w:sz="4" w:space="0" w:color="auto"/>
              <w:right w:val="nil"/>
            </w:tcBorders>
          </w:tcPr>
          <w:p w14:paraId="0106FCC9"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Borders>
              <w:top w:val="nil"/>
              <w:left w:val="nil"/>
              <w:bottom w:val="single" w:sz="4" w:space="0" w:color="auto"/>
              <w:right w:val="nil"/>
            </w:tcBorders>
          </w:tcPr>
          <w:p w14:paraId="041C4912" w14:textId="77777777" w:rsidR="00DF3770" w:rsidRDefault="00DF3770" w:rsidP="00DF3770">
            <w:pPr>
              <w:jc w:val="center"/>
              <w:rPr>
                <w:rFonts w:cs="Times New Roman"/>
                <w:sz w:val="20"/>
                <w:szCs w:val="20"/>
              </w:rPr>
            </w:pPr>
            <w:r>
              <w:rPr>
                <w:rFonts w:cs="Times New Roman"/>
                <w:sz w:val="20"/>
                <w:szCs w:val="20"/>
              </w:rPr>
              <w:t>NS</w:t>
            </w:r>
          </w:p>
        </w:tc>
      </w:tr>
    </w:tbl>
    <w:p w14:paraId="4AF5405B" w14:textId="77777777" w:rsidR="00DF3770" w:rsidRPr="00CC28BE" w:rsidRDefault="00DF3770" w:rsidP="00110EA5">
      <w:pPr>
        <w:spacing w:line="240" w:lineRule="auto"/>
        <w:rPr>
          <w:rFonts w:cs="Times New Roman"/>
          <w:sz w:val="20"/>
          <w:szCs w:val="20"/>
        </w:rPr>
      </w:pPr>
      <w:proofErr w:type="gramStart"/>
      <w:r w:rsidRPr="00605DCD">
        <w:rPr>
          <w:rFonts w:cs="Times New Roman"/>
          <w:sz w:val="20"/>
          <w:szCs w:val="20"/>
          <w:vertAlign w:val="superscript"/>
        </w:rPr>
        <w:t>a</w:t>
      </w:r>
      <w:r>
        <w:rPr>
          <w:rFonts w:cs="Times New Roman"/>
          <w:sz w:val="20"/>
          <w:szCs w:val="20"/>
        </w:rPr>
        <w:t>Abbreviations</w:t>
      </w:r>
      <w:proofErr w:type="gramEnd"/>
      <w:r>
        <w:rPr>
          <w:rFonts w:cs="Times New Roman"/>
          <w:sz w:val="20"/>
          <w:szCs w:val="20"/>
        </w:rPr>
        <w:t>: WAT, weeks after treatment.</w:t>
      </w:r>
    </w:p>
    <w:p w14:paraId="3DB2C045" w14:textId="77777777" w:rsidR="00DF3770" w:rsidRDefault="00DF3770" w:rsidP="00110EA5">
      <w:pPr>
        <w:spacing w:line="240" w:lineRule="auto"/>
        <w:rPr>
          <w:rFonts w:cs="Times New Roman"/>
          <w:sz w:val="20"/>
          <w:szCs w:val="20"/>
        </w:rPr>
      </w:pPr>
      <w:proofErr w:type="gramStart"/>
      <w:r>
        <w:rPr>
          <w:rFonts w:cs="Times New Roman"/>
          <w:sz w:val="20"/>
          <w:szCs w:val="20"/>
          <w:vertAlign w:val="superscript"/>
        </w:rPr>
        <w:t>b</w:t>
      </w:r>
      <w:r>
        <w:rPr>
          <w:rFonts w:cs="Times New Roman"/>
          <w:sz w:val="20"/>
          <w:szCs w:val="20"/>
        </w:rPr>
        <w:t>All</w:t>
      </w:r>
      <w:proofErr w:type="gramEnd"/>
      <w:r>
        <w:rPr>
          <w:rFonts w:cs="Times New Roman"/>
          <w:sz w:val="20"/>
          <w:szCs w:val="20"/>
        </w:rPr>
        <w:t xml:space="preserve"> treatments</w:t>
      </w:r>
      <w:r w:rsidRPr="00605DCD">
        <w:rPr>
          <w:rFonts w:cs="Times New Roman"/>
          <w:sz w:val="20"/>
          <w:szCs w:val="20"/>
        </w:rPr>
        <w:t xml:space="preserve"> were applied with non-ionic surfactant at 0.25% v/v.</w:t>
      </w:r>
    </w:p>
    <w:p w14:paraId="0D86EF69" w14:textId="77777777" w:rsidR="00DF3770" w:rsidRDefault="00DF3770" w:rsidP="00110EA5">
      <w:pPr>
        <w:spacing w:line="240" w:lineRule="auto"/>
        <w:rPr>
          <w:rFonts w:eastAsia="ＭＳ ゴシック" w:cs="Times New Roman"/>
          <w:color w:val="000000"/>
          <w:sz w:val="20"/>
          <w:szCs w:val="20"/>
        </w:rPr>
      </w:pPr>
      <w:proofErr w:type="gramStart"/>
      <w:r>
        <w:rPr>
          <w:rFonts w:cs="Times New Roman"/>
          <w:sz w:val="20"/>
          <w:szCs w:val="20"/>
          <w:vertAlign w:val="superscript"/>
        </w:rPr>
        <w:t>c</w:t>
      </w:r>
      <w:r>
        <w:rPr>
          <w:rFonts w:cs="Times New Roman"/>
          <w:sz w:val="20"/>
          <w:szCs w:val="20"/>
        </w:rPr>
        <w:t>Means</w:t>
      </w:r>
      <w:proofErr w:type="gramEnd"/>
      <w:r>
        <w:rPr>
          <w:rFonts w:cs="Times New Roman"/>
          <w:sz w:val="20"/>
          <w:szCs w:val="20"/>
        </w:rPr>
        <w:t xml:space="preserve"> followed by the same letter are not statistically different (P </w:t>
      </w:r>
      <w:r w:rsidRPr="009A3413">
        <w:rPr>
          <w:rFonts w:eastAsia="ＭＳ ゴシック" w:cs="Times New Roman"/>
          <w:color w:val="000000"/>
          <w:sz w:val="20"/>
          <w:szCs w:val="20"/>
        </w:rPr>
        <w:t>≤</w:t>
      </w:r>
      <w:r>
        <w:rPr>
          <w:rFonts w:eastAsia="ＭＳ ゴシック" w:cs="Times New Roman"/>
          <w:color w:val="000000"/>
          <w:sz w:val="20"/>
          <w:szCs w:val="20"/>
        </w:rPr>
        <w:t xml:space="preserve"> 0.05)</w:t>
      </w:r>
    </w:p>
    <w:p w14:paraId="0C9B488B" w14:textId="4D11A4CF" w:rsidR="00DF3770" w:rsidRPr="009A3413" w:rsidRDefault="00DF3770" w:rsidP="00110EA5">
      <w:pPr>
        <w:spacing w:line="240" w:lineRule="auto"/>
        <w:rPr>
          <w:rFonts w:cs="Times New Roman"/>
          <w:sz w:val="20"/>
          <w:szCs w:val="20"/>
        </w:rPr>
      </w:pPr>
      <w:proofErr w:type="gramStart"/>
      <w:r>
        <w:rPr>
          <w:rFonts w:cs="Times New Roman"/>
          <w:sz w:val="20"/>
          <w:szCs w:val="20"/>
          <w:vertAlign w:val="superscript"/>
        </w:rPr>
        <w:t>d</w:t>
      </w:r>
      <w:proofErr w:type="gramEnd"/>
      <w:r w:rsidR="008048D1" w:rsidRPr="008048D1">
        <w:rPr>
          <w:rFonts w:cs="Times New Roman"/>
          <w:color w:val="000000"/>
          <w:sz w:val="20"/>
          <w:szCs w:val="20"/>
        </w:rPr>
        <w:t xml:space="preserve"> </w:t>
      </w:r>
      <w:r w:rsidR="008048D1" w:rsidRPr="008C01C7">
        <w:rPr>
          <w:rFonts w:cs="Times New Roman"/>
          <w:color w:val="000000"/>
          <w:sz w:val="20"/>
          <w:szCs w:val="20"/>
        </w:rPr>
        <w:t xml:space="preserve">Contrasts were used to determine if responses of safener-treated plants differed </w:t>
      </w:r>
      <w:r w:rsidR="008048D1" w:rsidRPr="008C01C7">
        <w:rPr>
          <w:rFonts w:cs="Times New Roman"/>
          <w:sz w:val="20"/>
          <w:szCs w:val="20"/>
        </w:rPr>
        <w:t>(</w:t>
      </w:r>
      <w:r w:rsidR="008048D1" w:rsidRPr="008C01C7">
        <w:rPr>
          <w:rFonts w:cs="Times New Roman"/>
          <w:color w:val="000000"/>
          <w:sz w:val="20"/>
          <w:szCs w:val="20"/>
        </w:rPr>
        <w:t>α</w:t>
      </w:r>
      <w:r w:rsidR="008048D1" w:rsidRPr="008C01C7">
        <w:rPr>
          <w:rFonts w:cs="Times New Roman"/>
          <w:sz w:val="20"/>
          <w:szCs w:val="20"/>
        </w:rPr>
        <w:t xml:space="preserve"> </w:t>
      </w:r>
      <w:r w:rsidR="008048D1" w:rsidRPr="008C01C7">
        <w:rPr>
          <w:rFonts w:eastAsia="MS Gothic" w:cs="Times New Roman"/>
          <w:color w:val="000000"/>
          <w:sz w:val="20"/>
          <w:szCs w:val="20"/>
        </w:rPr>
        <w:t xml:space="preserve">≤ 0.05) from plants treated with only pinoxaden. </w:t>
      </w:r>
      <w:proofErr w:type="gramStart"/>
      <w:r>
        <w:rPr>
          <w:rFonts w:cs="Times New Roman"/>
          <w:sz w:val="20"/>
          <w:szCs w:val="20"/>
        </w:rPr>
        <w:t xml:space="preserve">NS, non-significant; *, **, </w:t>
      </w:r>
      <w:r w:rsidRPr="002F574C">
        <w:rPr>
          <w:rFonts w:cs="Times New Roman"/>
          <w:sz w:val="20"/>
          <w:szCs w:val="20"/>
        </w:rPr>
        <w:t xml:space="preserve">***, significant when </w:t>
      </w:r>
      <w:r w:rsidRPr="002F574C">
        <w:rPr>
          <w:rFonts w:cs="Times New Roman"/>
          <w:color w:val="000000"/>
          <w:sz w:val="20"/>
          <w:szCs w:val="20"/>
        </w:rPr>
        <w:t xml:space="preserve">α </w:t>
      </w:r>
      <w:r w:rsidRPr="002F574C">
        <w:rPr>
          <w:rFonts w:eastAsia="MS Gothic" w:cs="Times New Roman"/>
          <w:color w:val="000000"/>
        </w:rPr>
        <w:t xml:space="preserve">≤ </w:t>
      </w:r>
      <w:r>
        <w:rPr>
          <w:rFonts w:cs="Times New Roman"/>
          <w:sz w:val="20"/>
          <w:szCs w:val="20"/>
        </w:rPr>
        <w:t>0.05, 0.01</w:t>
      </w:r>
      <w:r w:rsidRPr="002F574C">
        <w:rPr>
          <w:rFonts w:cs="Times New Roman"/>
          <w:sz w:val="20"/>
          <w:szCs w:val="20"/>
        </w:rPr>
        <w:t xml:space="preserve"> and 0.001, respectively.</w:t>
      </w:r>
      <w:proofErr w:type="gramEnd"/>
    </w:p>
    <w:p w14:paraId="3C3AB538" w14:textId="77777777" w:rsidR="001D3D0F" w:rsidRPr="009A3413" w:rsidRDefault="001D3D0F" w:rsidP="00DF3770">
      <w:pPr>
        <w:rPr>
          <w:rFonts w:cs="Times New Roman"/>
          <w:sz w:val="20"/>
          <w:szCs w:val="20"/>
        </w:rPr>
      </w:pPr>
    </w:p>
    <w:p w14:paraId="3346EC14" w14:textId="77777777" w:rsidR="001D3D0F" w:rsidRDefault="001D3D0F" w:rsidP="001D3D0F">
      <w:pPr>
        <w:rPr>
          <w:rFonts w:cs="Times New Roman"/>
          <w:b/>
        </w:rPr>
      </w:pPr>
      <w:r>
        <w:rPr>
          <w:rFonts w:cs="Times New Roman"/>
          <w:b/>
        </w:rPr>
        <w:br w:type="page"/>
      </w:r>
    </w:p>
    <w:p w14:paraId="42DB80B9" w14:textId="3F3C7F32" w:rsidR="00DF3770" w:rsidRPr="00605DCD" w:rsidRDefault="001D3D0F" w:rsidP="00DF3770">
      <w:pPr>
        <w:rPr>
          <w:rFonts w:cs="Times New Roman"/>
        </w:rPr>
      </w:pPr>
      <w:r w:rsidRPr="00051F58">
        <w:rPr>
          <w:rFonts w:cs="Times New Roman"/>
          <w:b/>
        </w:rPr>
        <w:lastRenderedPageBreak/>
        <w:t xml:space="preserve">Table </w:t>
      </w:r>
      <w:r w:rsidR="00823063" w:rsidRPr="00051F58">
        <w:rPr>
          <w:rFonts w:cs="Times New Roman"/>
          <w:b/>
        </w:rPr>
        <w:t>2.</w:t>
      </w:r>
      <w:r w:rsidRPr="00051F58">
        <w:rPr>
          <w:rFonts w:cs="Times New Roman"/>
          <w:b/>
        </w:rPr>
        <w:t>7.</w:t>
      </w:r>
      <w:r>
        <w:rPr>
          <w:rFonts w:cs="Times New Roman"/>
        </w:rPr>
        <w:t xml:space="preserve"> </w:t>
      </w:r>
      <w:proofErr w:type="gramStart"/>
      <w:r w:rsidR="00DF3770">
        <w:rPr>
          <w:rFonts w:cs="Times New Roman"/>
        </w:rPr>
        <w:t>Roughstalk bluegrass control after pinoxaden application</w:t>
      </w:r>
      <w:r w:rsidR="00DF3770" w:rsidRPr="00605DCD">
        <w:rPr>
          <w:rFonts w:cs="Times New Roman"/>
        </w:rPr>
        <w:t xml:space="preserve"> in a glasshouse in Knoxville, TN in 201</w:t>
      </w:r>
      <w:r w:rsidR="00DF3770">
        <w:rPr>
          <w:rFonts w:cs="Times New Roman"/>
        </w:rPr>
        <w:t>4.</w:t>
      </w:r>
      <w:proofErr w:type="gramEnd"/>
      <w:r w:rsidR="00DF3770">
        <w:rPr>
          <w:rFonts w:cs="Times New Roman"/>
        </w:rPr>
        <w:t xml:space="preserve"> The herbicide safeners cloquintocet-mexyl, fenchlorazole-ethyl and mefenpyr-diethyl were applied </w:t>
      </w:r>
      <w:r w:rsidR="00DF3770" w:rsidRPr="00605DCD">
        <w:rPr>
          <w:rFonts w:cs="Times New Roman"/>
        </w:rPr>
        <w:t xml:space="preserve">at </w:t>
      </w:r>
      <w:r w:rsidR="00DF3770">
        <w:rPr>
          <w:rFonts w:cs="Times New Roman"/>
          <w:color w:val="000000"/>
        </w:rPr>
        <w:t xml:space="preserve">high or low rates (225 or 68 </w:t>
      </w:r>
      <w:r w:rsidR="00DF3770" w:rsidRPr="00605DCD">
        <w:rPr>
          <w:rFonts w:cs="Times New Roman"/>
        </w:rPr>
        <w:t>g ha</w:t>
      </w:r>
      <w:r w:rsidR="00DF3770" w:rsidRPr="00605DCD">
        <w:rPr>
          <w:rFonts w:cs="Times New Roman"/>
          <w:vertAlign w:val="superscript"/>
        </w:rPr>
        <w:t>-1</w:t>
      </w:r>
      <w:r w:rsidR="00DF3770">
        <w:rPr>
          <w:rFonts w:cs="Times New Roman"/>
        </w:rPr>
        <w:t>, respectively) 30 min</w:t>
      </w:r>
      <w:r w:rsidR="00DF3770" w:rsidRPr="00605DCD">
        <w:rPr>
          <w:rFonts w:cs="Times New Roman"/>
        </w:rPr>
        <w:t xml:space="preserve">s prior to </w:t>
      </w:r>
      <w:r w:rsidR="00DF3770">
        <w:rPr>
          <w:rFonts w:cs="Times New Roman"/>
        </w:rPr>
        <w:t>pinoxaden (90 g ha</w:t>
      </w:r>
      <w:r w:rsidR="00DF3770" w:rsidRPr="006212E3">
        <w:rPr>
          <w:rFonts w:cs="Times New Roman"/>
          <w:vertAlign w:val="superscript"/>
        </w:rPr>
        <w:t>-1</w:t>
      </w:r>
      <w:r w:rsidR="00DF3770">
        <w:rPr>
          <w:rFonts w:cs="Times New Roman"/>
        </w:rPr>
        <w:t>) application</w:t>
      </w:r>
      <w:r w:rsidR="00DF3770" w:rsidRPr="00605DCD">
        <w:rPr>
          <w:rFonts w:cs="Times New Roman"/>
        </w:rPr>
        <w:t>.</w:t>
      </w:r>
      <w:r w:rsidR="00DF3770">
        <w:rPr>
          <w:rFonts w:cs="Times New Roman"/>
        </w:rPr>
        <w:t xml:space="preserve"> Control was evaluated visually on a 0 (no control) to 100% (complete control) scale 2 weeks after treatment. Data from two experimental runs are presented separately. </w:t>
      </w:r>
    </w:p>
    <w:tbl>
      <w:tblPr>
        <w:tblStyle w:val="TableGrid"/>
        <w:tblW w:w="12300" w:type="dxa"/>
        <w:tblInd w:w="46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750"/>
        <w:gridCol w:w="750"/>
        <w:gridCol w:w="660"/>
        <w:gridCol w:w="900"/>
        <w:gridCol w:w="810"/>
        <w:gridCol w:w="630"/>
        <w:gridCol w:w="900"/>
        <w:gridCol w:w="270"/>
        <w:gridCol w:w="810"/>
        <w:gridCol w:w="540"/>
        <w:gridCol w:w="975"/>
        <w:gridCol w:w="915"/>
        <w:gridCol w:w="450"/>
        <w:gridCol w:w="960"/>
      </w:tblGrid>
      <w:tr w:rsidR="00DF3770" w14:paraId="54B1AE12" w14:textId="77777777">
        <w:tc>
          <w:tcPr>
            <w:tcW w:w="1980" w:type="dxa"/>
            <w:tcBorders>
              <w:top w:val="single" w:sz="4" w:space="0" w:color="auto"/>
              <w:bottom w:val="nil"/>
            </w:tcBorders>
            <w:vAlign w:val="bottom"/>
          </w:tcPr>
          <w:p w14:paraId="79E621A7" w14:textId="77777777" w:rsidR="00DF3770" w:rsidRDefault="00DF3770" w:rsidP="00DF3770">
            <w:pPr>
              <w:jc w:val="center"/>
              <w:rPr>
                <w:rFonts w:cs="Times New Roman"/>
                <w:sz w:val="20"/>
                <w:szCs w:val="20"/>
              </w:rPr>
            </w:pPr>
          </w:p>
        </w:tc>
        <w:tc>
          <w:tcPr>
            <w:tcW w:w="750" w:type="dxa"/>
            <w:tcBorders>
              <w:top w:val="single" w:sz="4" w:space="0" w:color="auto"/>
              <w:bottom w:val="nil"/>
            </w:tcBorders>
          </w:tcPr>
          <w:p w14:paraId="0CA60BD1" w14:textId="77777777" w:rsidR="00DF3770" w:rsidRDefault="00DF3770" w:rsidP="00DF3770">
            <w:pPr>
              <w:jc w:val="center"/>
              <w:rPr>
                <w:rFonts w:cs="Times New Roman"/>
                <w:sz w:val="20"/>
                <w:szCs w:val="20"/>
              </w:rPr>
            </w:pPr>
          </w:p>
        </w:tc>
        <w:tc>
          <w:tcPr>
            <w:tcW w:w="4650" w:type="dxa"/>
            <w:gridSpan w:val="6"/>
            <w:tcBorders>
              <w:top w:val="single" w:sz="4" w:space="0" w:color="auto"/>
              <w:bottom w:val="single" w:sz="4" w:space="0" w:color="auto"/>
            </w:tcBorders>
            <w:vAlign w:val="bottom"/>
          </w:tcPr>
          <w:p w14:paraId="5920060C" w14:textId="77777777" w:rsidR="00DF3770" w:rsidRDefault="00DF3770" w:rsidP="00DF3770">
            <w:pPr>
              <w:jc w:val="center"/>
              <w:rPr>
                <w:rFonts w:cs="Times New Roman"/>
                <w:sz w:val="20"/>
                <w:szCs w:val="20"/>
              </w:rPr>
            </w:pPr>
            <w:r>
              <w:rPr>
                <w:rFonts w:cs="Times New Roman"/>
                <w:sz w:val="20"/>
                <w:szCs w:val="20"/>
              </w:rPr>
              <w:t>2 Weeks After Treatment</w:t>
            </w:r>
          </w:p>
        </w:tc>
        <w:tc>
          <w:tcPr>
            <w:tcW w:w="270" w:type="dxa"/>
            <w:tcBorders>
              <w:top w:val="single" w:sz="4" w:space="0" w:color="auto"/>
              <w:bottom w:val="nil"/>
            </w:tcBorders>
          </w:tcPr>
          <w:p w14:paraId="3C94F23F" w14:textId="77777777" w:rsidR="00DF3770" w:rsidRDefault="00DF3770" w:rsidP="00DF3770">
            <w:pPr>
              <w:jc w:val="center"/>
              <w:rPr>
                <w:rFonts w:cs="Times New Roman"/>
                <w:sz w:val="20"/>
                <w:szCs w:val="20"/>
              </w:rPr>
            </w:pPr>
          </w:p>
        </w:tc>
        <w:tc>
          <w:tcPr>
            <w:tcW w:w="4650" w:type="dxa"/>
            <w:gridSpan w:val="6"/>
            <w:tcBorders>
              <w:top w:val="single" w:sz="4" w:space="0" w:color="auto"/>
              <w:bottom w:val="single" w:sz="4" w:space="0" w:color="auto"/>
            </w:tcBorders>
          </w:tcPr>
          <w:p w14:paraId="391E2657" w14:textId="77777777" w:rsidR="00DF3770" w:rsidRDefault="00DF3770" w:rsidP="00DF3770">
            <w:pPr>
              <w:jc w:val="center"/>
              <w:rPr>
                <w:rFonts w:cs="Times New Roman"/>
                <w:sz w:val="20"/>
                <w:szCs w:val="20"/>
              </w:rPr>
            </w:pPr>
            <w:r>
              <w:rPr>
                <w:rFonts w:cs="Times New Roman"/>
                <w:sz w:val="20"/>
                <w:szCs w:val="20"/>
              </w:rPr>
              <w:t>4 Weeks After Treatment</w:t>
            </w:r>
          </w:p>
        </w:tc>
      </w:tr>
      <w:tr w:rsidR="00DF3770" w14:paraId="55D12837" w14:textId="77777777">
        <w:tc>
          <w:tcPr>
            <w:tcW w:w="1980" w:type="dxa"/>
            <w:tcBorders>
              <w:bottom w:val="single" w:sz="4" w:space="0" w:color="auto"/>
            </w:tcBorders>
            <w:vAlign w:val="bottom"/>
          </w:tcPr>
          <w:p w14:paraId="3F6FD9E8" w14:textId="77777777" w:rsidR="00DF3770" w:rsidRDefault="00DF3770" w:rsidP="00DF3770">
            <w:pPr>
              <w:jc w:val="center"/>
              <w:rPr>
                <w:rFonts w:cs="Times New Roman"/>
                <w:sz w:val="20"/>
                <w:szCs w:val="20"/>
              </w:rPr>
            </w:pPr>
            <w:r>
              <w:rPr>
                <w:rFonts w:cs="Times New Roman"/>
                <w:sz w:val="20"/>
                <w:szCs w:val="20"/>
              </w:rPr>
              <w:t xml:space="preserve">Safener </w:t>
            </w:r>
          </w:p>
        </w:tc>
        <w:tc>
          <w:tcPr>
            <w:tcW w:w="750" w:type="dxa"/>
            <w:tcBorders>
              <w:bottom w:val="single" w:sz="4" w:space="0" w:color="auto"/>
            </w:tcBorders>
          </w:tcPr>
          <w:p w14:paraId="41076C4D" w14:textId="77777777" w:rsidR="00DF3770" w:rsidRDefault="00DF3770" w:rsidP="00DF3770">
            <w:pPr>
              <w:jc w:val="center"/>
              <w:rPr>
                <w:rFonts w:cs="Times New Roman"/>
                <w:sz w:val="20"/>
                <w:szCs w:val="20"/>
              </w:rPr>
            </w:pPr>
            <w:r>
              <w:rPr>
                <w:rFonts w:cs="Times New Roman"/>
                <w:sz w:val="20"/>
                <w:szCs w:val="20"/>
              </w:rPr>
              <w:t>Rate</w:t>
            </w:r>
          </w:p>
        </w:tc>
        <w:tc>
          <w:tcPr>
            <w:tcW w:w="2310" w:type="dxa"/>
            <w:gridSpan w:val="3"/>
            <w:tcBorders>
              <w:top w:val="single" w:sz="4" w:space="0" w:color="auto"/>
              <w:bottom w:val="single" w:sz="4" w:space="0" w:color="auto"/>
            </w:tcBorders>
            <w:vAlign w:val="bottom"/>
          </w:tcPr>
          <w:p w14:paraId="54D2A9B4" w14:textId="77777777" w:rsidR="00DF3770" w:rsidRDefault="00DF3770" w:rsidP="00DF3770">
            <w:pPr>
              <w:jc w:val="center"/>
              <w:rPr>
                <w:rFonts w:cs="Times New Roman"/>
                <w:sz w:val="20"/>
                <w:szCs w:val="20"/>
              </w:rPr>
            </w:pPr>
            <w:r>
              <w:rPr>
                <w:rFonts w:cs="Times New Roman"/>
                <w:sz w:val="20"/>
                <w:szCs w:val="20"/>
              </w:rPr>
              <w:t>Run A</w:t>
            </w:r>
          </w:p>
        </w:tc>
        <w:tc>
          <w:tcPr>
            <w:tcW w:w="2340" w:type="dxa"/>
            <w:gridSpan w:val="3"/>
            <w:tcBorders>
              <w:top w:val="single" w:sz="4" w:space="0" w:color="auto"/>
              <w:bottom w:val="single" w:sz="4" w:space="0" w:color="auto"/>
            </w:tcBorders>
            <w:vAlign w:val="bottom"/>
          </w:tcPr>
          <w:p w14:paraId="30C52F2A" w14:textId="77777777" w:rsidR="00DF3770" w:rsidRDefault="00DF3770" w:rsidP="00DF3770">
            <w:pPr>
              <w:jc w:val="center"/>
              <w:rPr>
                <w:rFonts w:cs="Times New Roman"/>
                <w:sz w:val="20"/>
                <w:szCs w:val="20"/>
              </w:rPr>
            </w:pPr>
            <w:r>
              <w:rPr>
                <w:rFonts w:cs="Times New Roman"/>
                <w:sz w:val="20"/>
                <w:szCs w:val="20"/>
              </w:rPr>
              <w:t>Run B</w:t>
            </w:r>
          </w:p>
        </w:tc>
        <w:tc>
          <w:tcPr>
            <w:tcW w:w="270" w:type="dxa"/>
            <w:tcBorders>
              <w:top w:val="nil"/>
              <w:bottom w:val="single" w:sz="4" w:space="0" w:color="auto"/>
            </w:tcBorders>
          </w:tcPr>
          <w:p w14:paraId="17AF30C2" w14:textId="77777777" w:rsidR="00DF3770" w:rsidRDefault="00DF3770" w:rsidP="00DF3770">
            <w:pPr>
              <w:jc w:val="center"/>
              <w:rPr>
                <w:rFonts w:cs="Times New Roman"/>
                <w:sz w:val="20"/>
                <w:szCs w:val="20"/>
              </w:rPr>
            </w:pPr>
          </w:p>
        </w:tc>
        <w:tc>
          <w:tcPr>
            <w:tcW w:w="2325" w:type="dxa"/>
            <w:gridSpan w:val="3"/>
            <w:tcBorders>
              <w:top w:val="single" w:sz="4" w:space="0" w:color="auto"/>
              <w:bottom w:val="single" w:sz="4" w:space="0" w:color="auto"/>
            </w:tcBorders>
          </w:tcPr>
          <w:p w14:paraId="36EE356E" w14:textId="77777777" w:rsidR="00DF3770" w:rsidRDefault="00DF3770" w:rsidP="00DF3770">
            <w:pPr>
              <w:jc w:val="center"/>
              <w:rPr>
                <w:rFonts w:cs="Times New Roman"/>
                <w:sz w:val="20"/>
                <w:szCs w:val="20"/>
              </w:rPr>
            </w:pPr>
            <w:r>
              <w:rPr>
                <w:rFonts w:cs="Times New Roman"/>
                <w:sz w:val="20"/>
                <w:szCs w:val="20"/>
              </w:rPr>
              <w:t>Run A</w:t>
            </w:r>
          </w:p>
        </w:tc>
        <w:tc>
          <w:tcPr>
            <w:tcW w:w="2325" w:type="dxa"/>
            <w:gridSpan w:val="3"/>
            <w:tcBorders>
              <w:top w:val="single" w:sz="4" w:space="0" w:color="auto"/>
              <w:bottom w:val="single" w:sz="4" w:space="0" w:color="auto"/>
            </w:tcBorders>
          </w:tcPr>
          <w:p w14:paraId="6B848437" w14:textId="77777777" w:rsidR="00DF3770" w:rsidRDefault="00DF3770" w:rsidP="00DF3770">
            <w:pPr>
              <w:jc w:val="center"/>
              <w:rPr>
                <w:rFonts w:cs="Times New Roman"/>
                <w:sz w:val="20"/>
                <w:szCs w:val="20"/>
              </w:rPr>
            </w:pPr>
            <w:r>
              <w:rPr>
                <w:rFonts w:cs="Times New Roman"/>
                <w:sz w:val="20"/>
                <w:szCs w:val="20"/>
              </w:rPr>
              <w:t>Run B</w:t>
            </w:r>
          </w:p>
        </w:tc>
      </w:tr>
      <w:tr w:rsidR="00DF3770" w:rsidRPr="00605DCD" w14:paraId="78F71D25" w14:textId="77777777">
        <w:trPr>
          <w:trHeight w:val="512"/>
        </w:trPr>
        <w:tc>
          <w:tcPr>
            <w:tcW w:w="1980" w:type="dxa"/>
            <w:tcBorders>
              <w:top w:val="single" w:sz="4" w:space="0" w:color="auto"/>
            </w:tcBorders>
            <w:vAlign w:val="bottom"/>
          </w:tcPr>
          <w:p w14:paraId="5400B818" w14:textId="77777777" w:rsidR="00DF3770" w:rsidRPr="00605DCD" w:rsidRDefault="00DF3770" w:rsidP="00DF3770">
            <w:pPr>
              <w:jc w:val="center"/>
              <w:rPr>
                <w:rFonts w:cs="Times New Roman"/>
                <w:sz w:val="20"/>
                <w:szCs w:val="20"/>
              </w:rPr>
            </w:pPr>
          </w:p>
        </w:tc>
        <w:tc>
          <w:tcPr>
            <w:tcW w:w="750" w:type="dxa"/>
            <w:tcBorders>
              <w:top w:val="single" w:sz="4" w:space="0" w:color="auto"/>
            </w:tcBorders>
            <w:vAlign w:val="bottom"/>
          </w:tcPr>
          <w:p w14:paraId="3AA3630F" w14:textId="77777777" w:rsidR="00DF3770" w:rsidRDefault="00DF3770" w:rsidP="00DF3770">
            <w:pPr>
              <w:jc w:val="center"/>
              <w:rPr>
                <w:rFonts w:cs="Times New Roman"/>
                <w:sz w:val="20"/>
                <w:szCs w:val="20"/>
                <w:vertAlign w:val="superscript"/>
              </w:rPr>
            </w:pPr>
          </w:p>
        </w:tc>
        <w:tc>
          <w:tcPr>
            <w:tcW w:w="1410" w:type="dxa"/>
            <w:gridSpan w:val="2"/>
            <w:tcBorders>
              <w:top w:val="single" w:sz="4" w:space="0" w:color="auto"/>
            </w:tcBorders>
            <w:vAlign w:val="bottom"/>
          </w:tcPr>
          <w:p w14:paraId="291C1755" w14:textId="77777777" w:rsidR="00DF3770" w:rsidRPr="00605DCD" w:rsidRDefault="00DF3770" w:rsidP="00DF3770">
            <w:pPr>
              <w:jc w:val="center"/>
              <w:rPr>
                <w:rFonts w:cs="Times New Roman"/>
                <w:sz w:val="20"/>
                <w:szCs w:val="20"/>
              </w:rPr>
            </w:pPr>
            <w:r>
              <w:rPr>
                <w:rFonts w:cs="Times New Roman"/>
                <w:sz w:val="20"/>
                <w:szCs w:val="20"/>
                <w:vertAlign w:val="superscript"/>
              </w:rPr>
              <w:t>_</w:t>
            </w:r>
            <w:r w:rsidRPr="008B621B">
              <w:rPr>
                <w:rFonts w:cs="Times New Roman"/>
                <w:sz w:val="20"/>
                <w:szCs w:val="20"/>
                <w:vertAlign w:val="superscript"/>
              </w:rPr>
              <w:t>_</w:t>
            </w:r>
            <w:r>
              <w:rPr>
                <w:rFonts w:cs="Times New Roman"/>
                <w:sz w:val="20"/>
                <w:szCs w:val="20"/>
              </w:rPr>
              <w:t>% Control</w:t>
            </w:r>
            <w:r>
              <w:rPr>
                <w:rFonts w:cs="Times New Roman"/>
                <w:sz w:val="20"/>
                <w:szCs w:val="20"/>
                <w:vertAlign w:val="superscript"/>
              </w:rPr>
              <w:t>_</w:t>
            </w:r>
            <w:r w:rsidRPr="008B621B">
              <w:rPr>
                <w:rFonts w:cs="Times New Roman"/>
                <w:sz w:val="20"/>
                <w:szCs w:val="20"/>
                <w:vertAlign w:val="superscript"/>
              </w:rPr>
              <w:t>_</w:t>
            </w:r>
          </w:p>
        </w:tc>
        <w:tc>
          <w:tcPr>
            <w:tcW w:w="900" w:type="dxa"/>
            <w:tcBorders>
              <w:top w:val="single" w:sz="4" w:space="0" w:color="auto"/>
            </w:tcBorders>
            <w:vAlign w:val="bottom"/>
          </w:tcPr>
          <w:p w14:paraId="35B7EC66" w14:textId="77777777" w:rsidR="00DF3770" w:rsidRPr="00605DCD" w:rsidRDefault="00DF3770" w:rsidP="00DF3770">
            <w:pPr>
              <w:jc w:val="center"/>
              <w:rPr>
                <w:rFonts w:cs="Times New Roman"/>
                <w:sz w:val="20"/>
                <w:szCs w:val="20"/>
              </w:rPr>
            </w:pPr>
            <w:r>
              <w:rPr>
                <w:rFonts w:cs="Times New Roman"/>
                <w:sz w:val="20"/>
                <w:szCs w:val="20"/>
              </w:rPr>
              <w:t>T-test</w:t>
            </w:r>
          </w:p>
        </w:tc>
        <w:tc>
          <w:tcPr>
            <w:tcW w:w="1440" w:type="dxa"/>
            <w:gridSpan w:val="2"/>
            <w:tcBorders>
              <w:top w:val="single" w:sz="4" w:space="0" w:color="auto"/>
            </w:tcBorders>
            <w:vAlign w:val="bottom"/>
          </w:tcPr>
          <w:p w14:paraId="6BF4DAB2" w14:textId="77777777" w:rsidR="00DF3770" w:rsidRPr="00605DCD" w:rsidRDefault="00DF3770" w:rsidP="00DF3770">
            <w:pPr>
              <w:jc w:val="center"/>
              <w:rPr>
                <w:rFonts w:cs="Times New Roman"/>
                <w:sz w:val="20"/>
                <w:szCs w:val="20"/>
              </w:rPr>
            </w:pPr>
            <w:r>
              <w:rPr>
                <w:rFonts w:cs="Times New Roman"/>
                <w:sz w:val="20"/>
                <w:szCs w:val="20"/>
                <w:vertAlign w:val="superscript"/>
              </w:rPr>
              <w:t>_</w:t>
            </w:r>
            <w:r w:rsidRPr="008B621B">
              <w:rPr>
                <w:rFonts w:cs="Times New Roman"/>
                <w:sz w:val="20"/>
                <w:szCs w:val="20"/>
                <w:vertAlign w:val="superscript"/>
              </w:rPr>
              <w:t>_</w:t>
            </w:r>
            <w:r>
              <w:rPr>
                <w:rFonts w:cs="Times New Roman"/>
                <w:sz w:val="20"/>
                <w:szCs w:val="20"/>
              </w:rPr>
              <w:t>% Control</w:t>
            </w:r>
            <w:r>
              <w:rPr>
                <w:rFonts w:cs="Times New Roman"/>
                <w:sz w:val="20"/>
                <w:szCs w:val="20"/>
                <w:vertAlign w:val="superscript"/>
              </w:rPr>
              <w:t>_</w:t>
            </w:r>
            <w:r w:rsidRPr="008B621B">
              <w:rPr>
                <w:rFonts w:cs="Times New Roman"/>
                <w:sz w:val="20"/>
                <w:szCs w:val="20"/>
                <w:vertAlign w:val="superscript"/>
              </w:rPr>
              <w:t>_</w:t>
            </w:r>
          </w:p>
        </w:tc>
        <w:tc>
          <w:tcPr>
            <w:tcW w:w="900" w:type="dxa"/>
            <w:tcBorders>
              <w:top w:val="single" w:sz="4" w:space="0" w:color="auto"/>
            </w:tcBorders>
            <w:vAlign w:val="bottom"/>
          </w:tcPr>
          <w:p w14:paraId="2B76D01B" w14:textId="77777777" w:rsidR="00DF3770" w:rsidRPr="00605DCD" w:rsidRDefault="00DF3770" w:rsidP="00DF3770">
            <w:pPr>
              <w:jc w:val="center"/>
              <w:rPr>
                <w:rFonts w:cs="Times New Roman"/>
                <w:sz w:val="20"/>
                <w:szCs w:val="20"/>
              </w:rPr>
            </w:pPr>
            <w:r>
              <w:rPr>
                <w:rFonts w:cs="Times New Roman"/>
                <w:sz w:val="20"/>
                <w:szCs w:val="20"/>
              </w:rPr>
              <w:t>T-test</w:t>
            </w:r>
          </w:p>
        </w:tc>
        <w:tc>
          <w:tcPr>
            <w:tcW w:w="270" w:type="dxa"/>
            <w:tcBorders>
              <w:top w:val="single" w:sz="4" w:space="0" w:color="auto"/>
            </w:tcBorders>
          </w:tcPr>
          <w:p w14:paraId="081A75F3" w14:textId="77777777" w:rsidR="00DF3770" w:rsidRDefault="00DF3770" w:rsidP="00DF3770">
            <w:pPr>
              <w:jc w:val="center"/>
              <w:rPr>
                <w:rFonts w:cs="Times New Roman"/>
                <w:sz w:val="20"/>
                <w:szCs w:val="20"/>
                <w:vertAlign w:val="superscript"/>
              </w:rPr>
            </w:pPr>
          </w:p>
        </w:tc>
        <w:tc>
          <w:tcPr>
            <w:tcW w:w="1350" w:type="dxa"/>
            <w:gridSpan w:val="2"/>
            <w:tcBorders>
              <w:top w:val="single" w:sz="4" w:space="0" w:color="auto"/>
            </w:tcBorders>
            <w:vAlign w:val="bottom"/>
          </w:tcPr>
          <w:p w14:paraId="7A2BB275" w14:textId="77777777" w:rsidR="00DF3770" w:rsidRDefault="00DF3770" w:rsidP="00DF3770">
            <w:pPr>
              <w:jc w:val="center"/>
              <w:rPr>
                <w:rFonts w:cs="Times New Roman"/>
                <w:sz w:val="20"/>
                <w:szCs w:val="20"/>
              </w:rPr>
            </w:pPr>
            <w:r>
              <w:rPr>
                <w:rFonts w:cs="Times New Roman"/>
                <w:sz w:val="20"/>
                <w:szCs w:val="20"/>
                <w:vertAlign w:val="superscript"/>
              </w:rPr>
              <w:t>_</w:t>
            </w:r>
            <w:r w:rsidRPr="008B621B">
              <w:rPr>
                <w:rFonts w:cs="Times New Roman"/>
                <w:sz w:val="20"/>
                <w:szCs w:val="20"/>
                <w:vertAlign w:val="superscript"/>
              </w:rPr>
              <w:t>_</w:t>
            </w:r>
            <w:r>
              <w:rPr>
                <w:rFonts w:cs="Times New Roman"/>
                <w:sz w:val="20"/>
                <w:szCs w:val="20"/>
              </w:rPr>
              <w:t>% Control</w:t>
            </w:r>
            <w:r>
              <w:rPr>
                <w:rFonts w:cs="Times New Roman"/>
                <w:sz w:val="20"/>
                <w:szCs w:val="20"/>
                <w:vertAlign w:val="superscript"/>
              </w:rPr>
              <w:t>_</w:t>
            </w:r>
            <w:r w:rsidRPr="008B621B">
              <w:rPr>
                <w:rFonts w:cs="Times New Roman"/>
                <w:sz w:val="20"/>
                <w:szCs w:val="20"/>
                <w:vertAlign w:val="superscript"/>
              </w:rPr>
              <w:t>_</w:t>
            </w:r>
          </w:p>
        </w:tc>
        <w:tc>
          <w:tcPr>
            <w:tcW w:w="975" w:type="dxa"/>
            <w:tcBorders>
              <w:top w:val="single" w:sz="4" w:space="0" w:color="auto"/>
            </w:tcBorders>
            <w:vAlign w:val="bottom"/>
          </w:tcPr>
          <w:p w14:paraId="796A21C5" w14:textId="77777777" w:rsidR="00DF3770" w:rsidRDefault="00DF3770" w:rsidP="00DF3770">
            <w:pPr>
              <w:jc w:val="center"/>
              <w:rPr>
                <w:rFonts w:cs="Times New Roman"/>
                <w:sz w:val="20"/>
                <w:szCs w:val="20"/>
              </w:rPr>
            </w:pPr>
            <w:r>
              <w:rPr>
                <w:rFonts w:cs="Times New Roman"/>
                <w:sz w:val="20"/>
                <w:szCs w:val="20"/>
              </w:rPr>
              <w:t>T-test</w:t>
            </w:r>
          </w:p>
        </w:tc>
        <w:tc>
          <w:tcPr>
            <w:tcW w:w="1365" w:type="dxa"/>
            <w:gridSpan w:val="2"/>
            <w:tcBorders>
              <w:top w:val="single" w:sz="4" w:space="0" w:color="auto"/>
            </w:tcBorders>
            <w:vAlign w:val="bottom"/>
          </w:tcPr>
          <w:p w14:paraId="779E78BA" w14:textId="77777777" w:rsidR="00DF3770" w:rsidRDefault="00DF3770" w:rsidP="00DF3770">
            <w:pPr>
              <w:jc w:val="center"/>
              <w:rPr>
                <w:rFonts w:cs="Times New Roman"/>
                <w:sz w:val="20"/>
                <w:szCs w:val="20"/>
              </w:rPr>
            </w:pPr>
            <w:r>
              <w:rPr>
                <w:rFonts w:cs="Times New Roman"/>
                <w:sz w:val="20"/>
                <w:szCs w:val="20"/>
                <w:vertAlign w:val="superscript"/>
              </w:rPr>
              <w:t>_</w:t>
            </w:r>
            <w:r w:rsidRPr="008B621B">
              <w:rPr>
                <w:rFonts w:cs="Times New Roman"/>
                <w:sz w:val="20"/>
                <w:szCs w:val="20"/>
                <w:vertAlign w:val="superscript"/>
              </w:rPr>
              <w:t>_</w:t>
            </w:r>
            <w:r>
              <w:rPr>
                <w:rFonts w:cs="Times New Roman"/>
                <w:sz w:val="20"/>
                <w:szCs w:val="20"/>
              </w:rPr>
              <w:t>% Control</w:t>
            </w:r>
            <w:r>
              <w:rPr>
                <w:rFonts w:cs="Times New Roman"/>
                <w:sz w:val="20"/>
                <w:szCs w:val="20"/>
                <w:vertAlign w:val="superscript"/>
              </w:rPr>
              <w:t>_</w:t>
            </w:r>
            <w:r w:rsidRPr="008B621B">
              <w:rPr>
                <w:rFonts w:cs="Times New Roman"/>
                <w:sz w:val="20"/>
                <w:szCs w:val="20"/>
                <w:vertAlign w:val="superscript"/>
              </w:rPr>
              <w:t>_</w:t>
            </w:r>
          </w:p>
        </w:tc>
        <w:tc>
          <w:tcPr>
            <w:tcW w:w="960" w:type="dxa"/>
            <w:tcBorders>
              <w:top w:val="single" w:sz="4" w:space="0" w:color="auto"/>
            </w:tcBorders>
            <w:vAlign w:val="bottom"/>
          </w:tcPr>
          <w:p w14:paraId="158A62A5" w14:textId="77777777" w:rsidR="00DF3770" w:rsidRDefault="00DF3770" w:rsidP="00DF3770">
            <w:pPr>
              <w:jc w:val="center"/>
              <w:rPr>
                <w:rFonts w:cs="Times New Roman"/>
                <w:sz w:val="20"/>
                <w:szCs w:val="20"/>
              </w:rPr>
            </w:pPr>
            <w:r>
              <w:rPr>
                <w:rFonts w:cs="Times New Roman"/>
                <w:sz w:val="20"/>
                <w:szCs w:val="20"/>
              </w:rPr>
              <w:t>T-test</w:t>
            </w:r>
          </w:p>
        </w:tc>
      </w:tr>
      <w:tr w:rsidR="00DF3770" w:rsidRPr="00605DCD" w14:paraId="1D33B7FA" w14:textId="77777777">
        <w:tc>
          <w:tcPr>
            <w:tcW w:w="1980" w:type="dxa"/>
            <w:vAlign w:val="bottom"/>
          </w:tcPr>
          <w:p w14:paraId="3B26000A" w14:textId="77777777" w:rsidR="00DF3770" w:rsidRPr="00605DCD" w:rsidRDefault="00DF3770" w:rsidP="00DF3770">
            <w:pPr>
              <w:jc w:val="center"/>
              <w:rPr>
                <w:rFonts w:cs="Times New Roman"/>
                <w:sz w:val="20"/>
                <w:szCs w:val="20"/>
              </w:rPr>
            </w:pPr>
            <w:r>
              <w:rPr>
                <w:rFonts w:cs="Times New Roman"/>
                <w:sz w:val="20"/>
                <w:szCs w:val="20"/>
              </w:rPr>
              <w:t>Cloquintocet-mexyl</w:t>
            </w:r>
            <w:r w:rsidRPr="00605DCD">
              <w:rPr>
                <w:rFonts w:cs="Times New Roman"/>
                <w:sz w:val="20"/>
                <w:szCs w:val="20"/>
                <w:vertAlign w:val="superscript"/>
              </w:rPr>
              <w:t>a</w:t>
            </w:r>
          </w:p>
        </w:tc>
        <w:tc>
          <w:tcPr>
            <w:tcW w:w="750" w:type="dxa"/>
          </w:tcPr>
          <w:p w14:paraId="3BDC532E" w14:textId="77777777" w:rsidR="00DF3770" w:rsidRDefault="00DF3770" w:rsidP="00DF3770">
            <w:pPr>
              <w:jc w:val="center"/>
              <w:rPr>
                <w:rFonts w:cs="Times New Roman"/>
                <w:sz w:val="20"/>
                <w:szCs w:val="20"/>
              </w:rPr>
            </w:pPr>
            <w:r>
              <w:rPr>
                <w:rFonts w:cs="Times New Roman"/>
                <w:sz w:val="20"/>
                <w:szCs w:val="20"/>
              </w:rPr>
              <w:t>High</w:t>
            </w:r>
          </w:p>
        </w:tc>
        <w:tc>
          <w:tcPr>
            <w:tcW w:w="750" w:type="dxa"/>
          </w:tcPr>
          <w:p w14:paraId="0E6FD37F" w14:textId="77777777" w:rsidR="00DF3770" w:rsidRPr="00605DCD" w:rsidRDefault="00DF3770" w:rsidP="00DF3770">
            <w:pPr>
              <w:jc w:val="center"/>
              <w:rPr>
                <w:rFonts w:cs="Times New Roman"/>
                <w:sz w:val="20"/>
                <w:szCs w:val="20"/>
              </w:rPr>
            </w:pPr>
            <w:r>
              <w:rPr>
                <w:rFonts w:cs="Times New Roman"/>
                <w:sz w:val="20"/>
                <w:szCs w:val="20"/>
              </w:rPr>
              <w:t>14</w:t>
            </w:r>
          </w:p>
        </w:tc>
        <w:tc>
          <w:tcPr>
            <w:tcW w:w="660" w:type="dxa"/>
          </w:tcPr>
          <w:p w14:paraId="7311630F" w14:textId="77777777" w:rsidR="00DF3770" w:rsidRPr="002F574C" w:rsidRDefault="00DF3770" w:rsidP="00DF3770">
            <w:pPr>
              <w:jc w:val="center"/>
              <w:rPr>
                <w:rFonts w:cs="Times New Roman"/>
                <w:sz w:val="20"/>
                <w:szCs w:val="20"/>
                <w:vertAlign w:val="superscript"/>
              </w:rPr>
            </w:pPr>
            <w:proofErr w:type="gramStart"/>
            <w:r>
              <w:rPr>
                <w:rFonts w:cs="Times New Roman"/>
                <w:sz w:val="20"/>
                <w:szCs w:val="20"/>
              </w:rPr>
              <w:t>b</w:t>
            </w:r>
            <w:r w:rsidRPr="002F574C">
              <w:rPr>
                <w:rFonts w:cs="Times New Roman"/>
                <w:sz w:val="20"/>
                <w:szCs w:val="20"/>
                <w:vertAlign w:val="superscript"/>
              </w:rPr>
              <w:t>b</w:t>
            </w:r>
            <w:proofErr w:type="gramEnd"/>
          </w:p>
        </w:tc>
        <w:tc>
          <w:tcPr>
            <w:tcW w:w="900" w:type="dxa"/>
          </w:tcPr>
          <w:p w14:paraId="7D1231ED" w14:textId="77777777" w:rsidR="00DF3770" w:rsidRPr="002F574C" w:rsidRDefault="00DF3770" w:rsidP="00DF3770">
            <w:pPr>
              <w:jc w:val="center"/>
              <w:rPr>
                <w:rFonts w:cs="Times New Roman"/>
                <w:sz w:val="20"/>
                <w:szCs w:val="20"/>
                <w:vertAlign w:val="superscript"/>
              </w:rPr>
            </w:pPr>
            <w:r>
              <w:rPr>
                <w:rFonts w:cs="Times New Roman"/>
                <w:sz w:val="20"/>
                <w:szCs w:val="20"/>
              </w:rPr>
              <w:t>**</w:t>
            </w:r>
            <w:proofErr w:type="gramStart"/>
            <w:r>
              <w:rPr>
                <w:rFonts w:cs="Times New Roman"/>
                <w:sz w:val="20"/>
                <w:szCs w:val="20"/>
                <w:vertAlign w:val="superscript"/>
              </w:rPr>
              <w:t>c</w:t>
            </w:r>
            <w:proofErr w:type="gramEnd"/>
          </w:p>
        </w:tc>
        <w:tc>
          <w:tcPr>
            <w:tcW w:w="810" w:type="dxa"/>
          </w:tcPr>
          <w:p w14:paraId="3E125E7D" w14:textId="77777777" w:rsidR="00DF3770" w:rsidRPr="00605DCD" w:rsidRDefault="00DF3770" w:rsidP="00DF3770">
            <w:pPr>
              <w:jc w:val="center"/>
              <w:rPr>
                <w:rFonts w:cs="Times New Roman"/>
                <w:sz w:val="20"/>
                <w:szCs w:val="20"/>
              </w:rPr>
            </w:pPr>
            <w:r>
              <w:rPr>
                <w:rFonts w:cs="Times New Roman"/>
                <w:sz w:val="20"/>
                <w:szCs w:val="20"/>
              </w:rPr>
              <w:t>33</w:t>
            </w:r>
          </w:p>
        </w:tc>
        <w:tc>
          <w:tcPr>
            <w:tcW w:w="630" w:type="dxa"/>
          </w:tcPr>
          <w:p w14:paraId="61BFB1F5" w14:textId="77777777" w:rsidR="00DF3770" w:rsidRPr="00605DCD" w:rsidRDefault="00DF3770" w:rsidP="00DF3770">
            <w:pPr>
              <w:jc w:val="center"/>
              <w:rPr>
                <w:rFonts w:cs="Times New Roman"/>
                <w:sz w:val="20"/>
                <w:szCs w:val="20"/>
              </w:rPr>
            </w:pPr>
            <w:proofErr w:type="gramStart"/>
            <w:r>
              <w:rPr>
                <w:rFonts w:cs="Times New Roman"/>
                <w:sz w:val="20"/>
                <w:szCs w:val="20"/>
              </w:rPr>
              <w:t>b</w:t>
            </w:r>
            <w:proofErr w:type="gramEnd"/>
          </w:p>
        </w:tc>
        <w:tc>
          <w:tcPr>
            <w:tcW w:w="900" w:type="dxa"/>
          </w:tcPr>
          <w:p w14:paraId="121AE7F6" w14:textId="77777777" w:rsidR="00DF3770" w:rsidRPr="00605DCD" w:rsidRDefault="00DF3770" w:rsidP="00DF3770">
            <w:pPr>
              <w:jc w:val="center"/>
              <w:rPr>
                <w:rFonts w:cs="Times New Roman"/>
                <w:sz w:val="20"/>
                <w:szCs w:val="20"/>
              </w:rPr>
            </w:pPr>
            <w:r>
              <w:rPr>
                <w:rFonts w:cs="Times New Roman"/>
                <w:sz w:val="20"/>
                <w:szCs w:val="20"/>
              </w:rPr>
              <w:t>**</w:t>
            </w:r>
          </w:p>
        </w:tc>
        <w:tc>
          <w:tcPr>
            <w:tcW w:w="270" w:type="dxa"/>
          </w:tcPr>
          <w:p w14:paraId="2D4187AF" w14:textId="77777777" w:rsidR="00DF3770" w:rsidRDefault="00DF3770" w:rsidP="00DF3770">
            <w:pPr>
              <w:jc w:val="center"/>
              <w:rPr>
                <w:rFonts w:cs="Times New Roman"/>
                <w:sz w:val="20"/>
                <w:szCs w:val="20"/>
              </w:rPr>
            </w:pPr>
          </w:p>
        </w:tc>
        <w:tc>
          <w:tcPr>
            <w:tcW w:w="810" w:type="dxa"/>
          </w:tcPr>
          <w:p w14:paraId="45FF0AB5" w14:textId="77777777" w:rsidR="00DF3770" w:rsidRDefault="00DF3770" w:rsidP="00DF3770">
            <w:pPr>
              <w:jc w:val="center"/>
              <w:rPr>
                <w:rFonts w:cs="Times New Roman"/>
                <w:sz w:val="20"/>
                <w:szCs w:val="20"/>
              </w:rPr>
            </w:pPr>
            <w:r>
              <w:rPr>
                <w:rFonts w:cs="Times New Roman"/>
                <w:sz w:val="20"/>
                <w:szCs w:val="20"/>
              </w:rPr>
              <w:t>5</w:t>
            </w:r>
          </w:p>
        </w:tc>
        <w:tc>
          <w:tcPr>
            <w:tcW w:w="540" w:type="dxa"/>
          </w:tcPr>
          <w:p w14:paraId="644A9C31" w14:textId="77777777" w:rsidR="00DF3770" w:rsidRDefault="00DF3770" w:rsidP="00DF3770">
            <w:pPr>
              <w:jc w:val="center"/>
              <w:rPr>
                <w:rFonts w:cs="Times New Roman"/>
                <w:sz w:val="20"/>
                <w:szCs w:val="20"/>
              </w:rPr>
            </w:pPr>
            <w:proofErr w:type="gramStart"/>
            <w:r>
              <w:rPr>
                <w:rFonts w:cs="Times New Roman"/>
                <w:sz w:val="20"/>
                <w:szCs w:val="20"/>
              </w:rPr>
              <w:t>ab</w:t>
            </w:r>
            <w:proofErr w:type="gramEnd"/>
          </w:p>
        </w:tc>
        <w:tc>
          <w:tcPr>
            <w:tcW w:w="975" w:type="dxa"/>
          </w:tcPr>
          <w:p w14:paraId="1D56E6DC" w14:textId="77777777" w:rsidR="00DF3770" w:rsidRDefault="00DF3770" w:rsidP="00DF3770">
            <w:pPr>
              <w:jc w:val="center"/>
              <w:rPr>
                <w:rFonts w:cs="Times New Roman"/>
                <w:sz w:val="20"/>
                <w:szCs w:val="20"/>
              </w:rPr>
            </w:pPr>
            <w:r>
              <w:rPr>
                <w:rFonts w:cs="Times New Roman"/>
                <w:sz w:val="20"/>
                <w:szCs w:val="20"/>
              </w:rPr>
              <w:t>**</w:t>
            </w:r>
          </w:p>
        </w:tc>
        <w:tc>
          <w:tcPr>
            <w:tcW w:w="915" w:type="dxa"/>
          </w:tcPr>
          <w:p w14:paraId="29E33E58" w14:textId="77777777" w:rsidR="00DF3770" w:rsidRDefault="00DF3770" w:rsidP="00DF3770">
            <w:pPr>
              <w:jc w:val="center"/>
              <w:rPr>
                <w:rFonts w:cs="Times New Roman"/>
                <w:sz w:val="20"/>
                <w:szCs w:val="20"/>
              </w:rPr>
            </w:pPr>
            <w:r>
              <w:rPr>
                <w:rFonts w:cs="Times New Roman"/>
                <w:sz w:val="20"/>
                <w:szCs w:val="20"/>
              </w:rPr>
              <w:t>15</w:t>
            </w:r>
          </w:p>
        </w:tc>
        <w:tc>
          <w:tcPr>
            <w:tcW w:w="450" w:type="dxa"/>
          </w:tcPr>
          <w:p w14:paraId="0DDB8732" w14:textId="77777777" w:rsidR="00DF3770" w:rsidRDefault="00DF3770" w:rsidP="00DF3770">
            <w:pPr>
              <w:jc w:val="center"/>
              <w:rPr>
                <w:rFonts w:cs="Times New Roman"/>
                <w:sz w:val="20"/>
                <w:szCs w:val="20"/>
              </w:rPr>
            </w:pPr>
            <w:proofErr w:type="gramStart"/>
            <w:r>
              <w:rPr>
                <w:rFonts w:cs="Times New Roman"/>
                <w:sz w:val="20"/>
                <w:szCs w:val="20"/>
              </w:rPr>
              <w:t>b</w:t>
            </w:r>
            <w:proofErr w:type="gramEnd"/>
          </w:p>
        </w:tc>
        <w:tc>
          <w:tcPr>
            <w:tcW w:w="960" w:type="dxa"/>
          </w:tcPr>
          <w:p w14:paraId="39DE38BF" w14:textId="77777777" w:rsidR="00DF3770" w:rsidRDefault="00DF3770" w:rsidP="00DF3770">
            <w:pPr>
              <w:jc w:val="center"/>
              <w:rPr>
                <w:rFonts w:cs="Times New Roman"/>
                <w:sz w:val="20"/>
                <w:szCs w:val="20"/>
              </w:rPr>
            </w:pPr>
            <w:r>
              <w:rPr>
                <w:rFonts w:cs="Times New Roman"/>
                <w:sz w:val="20"/>
                <w:szCs w:val="20"/>
              </w:rPr>
              <w:t>**</w:t>
            </w:r>
          </w:p>
        </w:tc>
      </w:tr>
      <w:tr w:rsidR="00DF3770" w:rsidRPr="00605DCD" w14:paraId="07147AB3" w14:textId="77777777">
        <w:tc>
          <w:tcPr>
            <w:tcW w:w="1980" w:type="dxa"/>
            <w:vAlign w:val="bottom"/>
          </w:tcPr>
          <w:p w14:paraId="6425BB53" w14:textId="77777777" w:rsidR="00DF3770" w:rsidRPr="00605DCD" w:rsidRDefault="00DF3770" w:rsidP="00DF3770">
            <w:pPr>
              <w:jc w:val="center"/>
              <w:rPr>
                <w:rFonts w:cs="Times New Roman"/>
                <w:sz w:val="20"/>
                <w:szCs w:val="20"/>
              </w:rPr>
            </w:pPr>
          </w:p>
        </w:tc>
        <w:tc>
          <w:tcPr>
            <w:tcW w:w="750" w:type="dxa"/>
          </w:tcPr>
          <w:p w14:paraId="16904043" w14:textId="77777777" w:rsidR="00DF3770" w:rsidRDefault="00DF3770" w:rsidP="00DF3770">
            <w:pPr>
              <w:jc w:val="center"/>
              <w:rPr>
                <w:rFonts w:cs="Times New Roman"/>
                <w:sz w:val="20"/>
                <w:szCs w:val="20"/>
              </w:rPr>
            </w:pPr>
            <w:r>
              <w:rPr>
                <w:rFonts w:cs="Times New Roman"/>
                <w:sz w:val="20"/>
                <w:szCs w:val="20"/>
              </w:rPr>
              <w:t>Low</w:t>
            </w:r>
          </w:p>
        </w:tc>
        <w:tc>
          <w:tcPr>
            <w:tcW w:w="750" w:type="dxa"/>
          </w:tcPr>
          <w:p w14:paraId="36FE0D67" w14:textId="77777777" w:rsidR="00DF3770" w:rsidRPr="00605DCD" w:rsidRDefault="00DF3770" w:rsidP="00DF3770">
            <w:pPr>
              <w:jc w:val="center"/>
              <w:rPr>
                <w:rFonts w:cs="Times New Roman"/>
                <w:sz w:val="20"/>
                <w:szCs w:val="20"/>
              </w:rPr>
            </w:pPr>
            <w:r>
              <w:rPr>
                <w:rFonts w:cs="Times New Roman"/>
                <w:sz w:val="20"/>
                <w:szCs w:val="20"/>
              </w:rPr>
              <w:t>25</w:t>
            </w:r>
          </w:p>
        </w:tc>
        <w:tc>
          <w:tcPr>
            <w:tcW w:w="660" w:type="dxa"/>
          </w:tcPr>
          <w:p w14:paraId="4B54F1B3" w14:textId="77777777" w:rsidR="00DF3770" w:rsidRPr="00605DCD" w:rsidRDefault="00DF3770" w:rsidP="00DF3770">
            <w:pPr>
              <w:jc w:val="center"/>
              <w:rPr>
                <w:rFonts w:cs="Times New Roman"/>
                <w:sz w:val="20"/>
                <w:szCs w:val="20"/>
              </w:rPr>
            </w:pPr>
            <w:proofErr w:type="gramStart"/>
            <w:r>
              <w:rPr>
                <w:rFonts w:cs="Times New Roman"/>
                <w:sz w:val="20"/>
                <w:szCs w:val="20"/>
              </w:rPr>
              <w:t>ab</w:t>
            </w:r>
            <w:proofErr w:type="gramEnd"/>
          </w:p>
        </w:tc>
        <w:tc>
          <w:tcPr>
            <w:tcW w:w="900" w:type="dxa"/>
          </w:tcPr>
          <w:p w14:paraId="14C92C3B" w14:textId="77777777" w:rsidR="00DF3770" w:rsidRDefault="00DF3770" w:rsidP="00DF3770">
            <w:pPr>
              <w:jc w:val="center"/>
              <w:rPr>
                <w:rFonts w:cs="Times New Roman"/>
                <w:sz w:val="20"/>
                <w:szCs w:val="20"/>
              </w:rPr>
            </w:pPr>
            <w:r>
              <w:rPr>
                <w:rFonts w:cs="Times New Roman"/>
                <w:sz w:val="20"/>
                <w:szCs w:val="20"/>
              </w:rPr>
              <w:t>**</w:t>
            </w:r>
          </w:p>
        </w:tc>
        <w:tc>
          <w:tcPr>
            <w:tcW w:w="810" w:type="dxa"/>
          </w:tcPr>
          <w:p w14:paraId="04B2A2DD" w14:textId="77777777" w:rsidR="00DF3770" w:rsidRPr="00605DCD" w:rsidRDefault="00DF3770" w:rsidP="00DF3770">
            <w:pPr>
              <w:jc w:val="center"/>
              <w:rPr>
                <w:rFonts w:cs="Times New Roman"/>
                <w:sz w:val="20"/>
                <w:szCs w:val="20"/>
              </w:rPr>
            </w:pPr>
            <w:r>
              <w:rPr>
                <w:rFonts w:cs="Times New Roman"/>
                <w:sz w:val="20"/>
                <w:szCs w:val="20"/>
              </w:rPr>
              <w:t>69</w:t>
            </w:r>
          </w:p>
        </w:tc>
        <w:tc>
          <w:tcPr>
            <w:tcW w:w="630" w:type="dxa"/>
          </w:tcPr>
          <w:p w14:paraId="541E9A14" w14:textId="77777777" w:rsidR="00DF3770" w:rsidRPr="00605DCD"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Pr>
          <w:p w14:paraId="3509C809" w14:textId="77777777" w:rsidR="00DF3770" w:rsidRPr="00605DCD" w:rsidRDefault="00DF3770" w:rsidP="00DF3770">
            <w:pPr>
              <w:jc w:val="center"/>
              <w:rPr>
                <w:rFonts w:cs="Times New Roman"/>
                <w:sz w:val="20"/>
                <w:szCs w:val="20"/>
              </w:rPr>
            </w:pPr>
            <w:r>
              <w:rPr>
                <w:rFonts w:cs="Times New Roman"/>
                <w:sz w:val="20"/>
                <w:szCs w:val="20"/>
              </w:rPr>
              <w:t>NS</w:t>
            </w:r>
          </w:p>
        </w:tc>
        <w:tc>
          <w:tcPr>
            <w:tcW w:w="270" w:type="dxa"/>
          </w:tcPr>
          <w:p w14:paraId="534BC1C8" w14:textId="77777777" w:rsidR="00DF3770" w:rsidRDefault="00DF3770" w:rsidP="00DF3770">
            <w:pPr>
              <w:jc w:val="center"/>
              <w:rPr>
                <w:rFonts w:cs="Times New Roman"/>
                <w:sz w:val="20"/>
                <w:szCs w:val="20"/>
              </w:rPr>
            </w:pPr>
          </w:p>
        </w:tc>
        <w:tc>
          <w:tcPr>
            <w:tcW w:w="810" w:type="dxa"/>
          </w:tcPr>
          <w:p w14:paraId="1C55FE8F" w14:textId="77777777" w:rsidR="00DF3770" w:rsidRDefault="00DF3770" w:rsidP="00DF3770">
            <w:pPr>
              <w:jc w:val="center"/>
              <w:rPr>
                <w:rFonts w:cs="Times New Roman"/>
                <w:sz w:val="20"/>
                <w:szCs w:val="20"/>
              </w:rPr>
            </w:pPr>
            <w:r>
              <w:rPr>
                <w:rFonts w:cs="Times New Roman"/>
                <w:sz w:val="20"/>
                <w:szCs w:val="20"/>
              </w:rPr>
              <w:t>4</w:t>
            </w:r>
          </w:p>
        </w:tc>
        <w:tc>
          <w:tcPr>
            <w:tcW w:w="540" w:type="dxa"/>
          </w:tcPr>
          <w:p w14:paraId="2A1372D1" w14:textId="77777777" w:rsidR="00DF3770" w:rsidRDefault="00DF3770" w:rsidP="00DF3770">
            <w:pPr>
              <w:jc w:val="center"/>
              <w:rPr>
                <w:rFonts w:cs="Times New Roman"/>
                <w:sz w:val="20"/>
                <w:szCs w:val="20"/>
              </w:rPr>
            </w:pPr>
            <w:proofErr w:type="gramStart"/>
            <w:r>
              <w:rPr>
                <w:rFonts w:cs="Times New Roman"/>
                <w:sz w:val="20"/>
                <w:szCs w:val="20"/>
              </w:rPr>
              <w:t>ab</w:t>
            </w:r>
            <w:proofErr w:type="gramEnd"/>
          </w:p>
        </w:tc>
        <w:tc>
          <w:tcPr>
            <w:tcW w:w="975" w:type="dxa"/>
          </w:tcPr>
          <w:p w14:paraId="47287E9D" w14:textId="77777777" w:rsidR="00DF3770" w:rsidRDefault="00DF3770" w:rsidP="00DF3770">
            <w:pPr>
              <w:jc w:val="center"/>
              <w:rPr>
                <w:rFonts w:cs="Times New Roman"/>
                <w:sz w:val="20"/>
                <w:szCs w:val="20"/>
              </w:rPr>
            </w:pPr>
            <w:r>
              <w:rPr>
                <w:rFonts w:cs="Times New Roman"/>
                <w:sz w:val="20"/>
                <w:szCs w:val="20"/>
              </w:rPr>
              <w:t>**</w:t>
            </w:r>
          </w:p>
        </w:tc>
        <w:tc>
          <w:tcPr>
            <w:tcW w:w="915" w:type="dxa"/>
          </w:tcPr>
          <w:p w14:paraId="778E19D5" w14:textId="77777777" w:rsidR="00DF3770" w:rsidRDefault="00DF3770" w:rsidP="00DF3770">
            <w:pPr>
              <w:jc w:val="center"/>
              <w:rPr>
                <w:rFonts w:cs="Times New Roman"/>
                <w:sz w:val="20"/>
                <w:szCs w:val="20"/>
              </w:rPr>
            </w:pPr>
            <w:r>
              <w:rPr>
                <w:rFonts w:cs="Times New Roman"/>
                <w:sz w:val="20"/>
                <w:szCs w:val="20"/>
              </w:rPr>
              <w:t>62</w:t>
            </w:r>
          </w:p>
        </w:tc>
        <w:tc>
          <w:tcPr>
            <w:tcW w:w="450" w:type="dxa"/>
          </w:tcPr>
          <w:p w14:paraId="2182078D"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60" w:type="dxa"/>
          </w:tcPr>
          <w:p w14:paraId="146879C7" w14:textId="77777777" w:rsidR="00DF3770" w:rsidRDefault="00DF3770" w:rsidP="00DF3770">
            <w:pPr>
              <w:jc w:val="center"/>
              <w:rPr>
                <w:rFonts w:cs="Times New Roman"/>
                <w:sz w:val="20"/>
                <w:szCs w:val="20"/>
              </w:rPr>
            </w:pPr>
            <w:r>
              <w:rPr>
                <w:rFonts w:cs="Times New Roman"/>
                <w:sz w:val="20"/>
                <w:szCs w:val="20"/>
              </w:rPr>
              <w:t>NS</w:t>
            </w:r>
          </w:p>
        </w:tc>
      </w:tr>
      <w:tr w:rsidR="00DF3770" w:rsidRPr="00605DCD" w14:paraId="7F391426" w14:textId="77777777">
        <w:tc>
          <w:tcPr>
            <w:tcW w:w="1980" w:type="dxa"/>
            <w:vAlign w:val="bottom"/>
          </w:tcPr>
          <w:p w14:paraId="37B3C95E" w14:textId="77777777" w:rsidR="00DF3770" w:rsidRPr="00605DCD" w:rsidRDefault="00DF3770" w:rsidP="00DF3770">
            <w:pPr>
              <w:jc w:val="center"/>
              <w:rPr>
                <w:rFonts w:cs="Times New Roman"/>
                <w:sz w:val="20"/>
                <w:szCs w:val="20"/>
              </w:rPr>
            </w:pPr>
            <w:r>
              <w:rPr>
                <w:rFonts w:cs="Times New Roman"/>
                <w:sz w:val="20"/>
                <w:szCs w:val="20"/>
              </w:rPr>
              <w:t>Fenchlorazole-ethyl</w:t>
            </w:r>
          </w:p>
        </w:tc>
        <w:tc>
          <w:tcPr>
            <w:tcW w:w="750" w:type="dxa"/>
          </w:tcPr>
          <w:p w14:paraId="0740F8AA" w14:textId="77777777" w:rsidR="00DF3770" w:rsidRDefault="00DF3770" w:rsidP="00DF3770">
            <w:pPr>
              <w:jc w:val="center"/>
              <w:rPr>
                <w:rFonts w:cs="Times New Roman"/>
                <w:sz w:val="20"/>
                <w:szCs w:val="20"/>
              </w:rPr>
            </w:pPr>
            <w:r>
              <w:rPr>
                <w:rFonts w:cs="Times New Roman"/>
                <w:sz w:val="20"/>
                <w:szCs w:val="20"/>
              </w:rPr>
              <w:t>High</w:t>
            </w:r>
          </w:p>
        </w:tc>
        <w:tc>
          <w:tcPr>
            <w:tcW w:w="750" w:type="dxa"/>
          </w:tcPr>
          <w:p w14:paraId="6290393E" w14:textId="77777777" w:rsidR="00DF3770" w:rsidRPr="00605DCD" w:rsidRDefault="00DF3770" w:rsidP="00DF3770">
            <w:pPr>
              <w:jc w:val="center"/>
              <w:rPr>
                <w:rFonts w:cs="Times New Roman"/>
                <w:sz w:val="20"/>
                <w:szCs w:val="20"/>
              </w:rPr>
            </w:pPr>
            <w:r>
              <w:rPr>
                <w:rFonts w:cs="Times New Roman"/>
                <w:sz w:val="20"/>
                <w:szCs w:val="20"/>
              </w:rPr>
              <w:t>34</w:t>
            </w:r>
          </w:p>
        </w:tc>
        <w:tc>
          <w:tcPr>
            <w:tcW w:w="660" w:type="dxa"/>
          </w:tcPr>
          <w:p w14:paraId="51F0F529" w14:textId="77777777" w:rsidR="00DF3770" w:rsidRPr="00605DCD"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Pr>
          <w:p w14:paraId="23FA067B" w14:textId="77777777" w:rsidR="00DF3770" w:rsidRDefault="00DF3770" w:rsidP="00DF3770">
            <w:pPr>
              <w:jc w:val="center"/>
              <w:rPr>
                <w:rFonts w:cs="Times New Roman"/>
                <w:sz w:val="20"/>
                <w:szCs w:val="20"/>
              </w:rPr>
            </w:pPr>
            <w:r>
              <w:rPr>
                <w:rFonts w:cs="Times New Roman"/>
                <w:sz w:val="20"/>
                <w:szCs w:val="20"/>
              </w:rPr>
              <w:t>NS</w:t>
            </w:r>
          </w:p>
        </w:tc>
        <w:tc>
          <w:tcPr>
            <w:tcW w:w="810" w:type="dxa"/>
          </w:tcPr>
          <w:p w14:paraId="49D75554" w14:textId="77777777" w:rsidR="00DF3770" w:rsidRPr="00605DCD" w:rsidRDefault="00DF3770" w:rsidP="00DF3770">
            <w:pPr>
              <w:jc w:val="center"/>
              <w:rPr>
                <w:rFonts w:cs="Times New Roman"/>
                <w:sz w:val="20"/>
                <w:szCs w:val="20"/>
              </w:rPr>
            </w:pPr>
            <w:r>
              <w:rPr>
                <w:rFonts w:cs="Times New Roman"/>
                <w:sz w:val="20"/>
                <w:szCs w:val="20"/>
              </w:rPr>
              <w:t>62</w:t>
            </w:r>
          </w:p>
        </w:tc>
        <w:tc>
          <w:tcPr>
            <w:tcW w:w="630" w:type="dxa"/>
          </w:tcPr>
          <w:p w14:paraId="64F15DA4" w14:textId="77777777" w:rsidR="00DF3770" w:rsidRPr="00605DCD"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Pr>
          <w:p w14:paraId="1AA24C86" w14:textId="77777777" w:rsidR="00DF3770" w:rsidRPr="00605DCD" w:rsidRDefault="00DF3770" w:rsidP="00DF3770">
            <w:pPr>
              <w:jc w:val="center"/>
              <w:rPr>
                <w:rFonts w:cs="Times New Roman"/>
                <w:sz w:val="20"/>
                <w:szCs w:val="20"/>
              </w:rPr>
            </w:pPr>
            <w:r>
              <w:rPr>
                <w:rFonts w:cs="Times New Roman"/>
                <w:sz w:val="20"/>
                <w:szCs w:val="20"/>
              </w:rPr>
              <w:t>NS</w:t>
            </w:r>
          </w:p>
        </w:tc>
        <w:tc>
          <w:tcPr>
            <w:tcW w:w="270" w:type="dxa"/>
          </w:tcPr>
          <w:p w14:paraId="5F5E7264" w14:textId="77777777" w:rsidR="00DF3770" w:rsidRDefault="00DF3770" w:rsidP="00DF3770">
            <w:pPr>
              <w:jc w:val="center"/>
              <w:rPr>
                <w:rFonts w:cs="Times New Roman"/>
                <w:sz w:val="20"/>
                <w:szCs w:val="20"/>
              </w:rPr>
            </w:pPr>
          </w:p>
        </w:tc>
        <w:tc>
          <w:tcPr>
            <w:tcW w:w="810" w:type="dxa"/>
          </w:tcPr>
          <w:p w14:paraId="45574BA2" w14:textId="77777777" w:rsidR="00DF3770" w:rsidRDefault="00DF3770" w:rsidP="00DF3770">
            <w:pPr>
              <w:jc w:val="center"/>
              <w:rPr>
                <w:rFonts w:cs="Times New Roman"/>
                <w:sz w:val="20"/>
                <w:szCs w:val="20"/>
              </w:rPr>
            </w:pPr>
            <w:r>
              <w:rPr>
                <w:rFonts w:cs="Times New Roman"/>
                <w:sz w:val="20"/>
                <w:szCs w:val="20"/>
              </w:rPr>
              <w:t>25</w:t>
            </w:r>
          </w:p>
        </w:tc>
        <w:tc>
          <w:tcPr>
            <w:tcW w:w="540" w:type="dxa"/>
          </w:tcPr>
          <w:p w14:paraId="40FD4F82"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75" w:type="dxa"/>
          </w:tcPr>
          <w:p w14:paraId="50DFF6E8" w14:textId="77777777" w:rsidR="00DF3770" w:rsidRDefault="00DF3770" w:rsidP="00DF3770">
            <w:pPr>
              <w:jc w:val="center"/>
              <w:rPr>
                <w:rFonts w:cs="Times New Roman"/>
                <w:sz w:val="20"/>
                <w:szCs w:val="20"/>
              </w:rPr>
            </w:pPr>
            <w:r>
              <w:rPr>
                <w:rFonts w:cs="Times New Roman"/>
                <w:sz w:val="20"/>
                <w:szCs w:val="20"/>
              </w:rPr>
              <w:t>NS</w:t>
            </w:r>
          </w:p>
        </w:tc>
        <w:tc>
          <w:tcPr>
            <w:tcW w:w="915" w:type="dxa"/>
          </w:tcPr>
          <w:p w14:paraId="3B100377" w14:textId="77777777" w:rsidR="00DF3770" w:rsidRDefault="00DF3770" w:rsidP="00DF3770">
            <w:pPr>
              <w:jc w:val="center"/>
              <w:rPr>
                <w:rFonts w:cs="Times New Roman"/>
                <w:sz w:val="20"/>
                <w:szCs w:val="20"/>
              </w:rPr>
            </w:pPr>
            <w:r>
              <w:rPr>
                <w:rFonts w:cs="Times New Roman"/>
                <w:sz w:val="20"/>
                <w:szCs w:val="20"/>
              </w:rPr>
              <w:t>52</w:t>
            </w:r>
          </w:p>
        </w:tc>
        <w:tc>
          <w:tcPr>
            <w:tcW w:w="450" w:type="dxa"/>
          </w:tcPr>
          <w:p w14:paraId="7061B642"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60" w:type="dxa"/>
          </w:tcPr>
          <w:p w14:paraId="6F99ED7F" w14:textId="77777777" w:rsidR="00DF3770" w:rsidRDefault="00DF3770" w:rsidP="00DF3770">
            <w:pPr>
              <w:jc w:val="center"/>
              <w:rPr>
                <w:rFonts w:cs="Times New Roman"/>
                <w:sz w:val="20"/>
                <w:szCs w:val="20"/>
              </w:rPr>
            </w:pPr>
            <w:r>
              <w:rPr>
                <w:rFonts w:cs="Times New Roman"/>
                <w:sz w:val="20"/>
                <w:szCs w:val="20"/>
              </w:rPr>
              <w:t>*</w:t>
            </w:r>
          </w:p>
        </w:tc>
      </w:tr>
      <w:tr w:rsidR="00DF3770" w:rsidRPr="00605DCD" w14:paraId="624B9272" w14:textId="77777777">
        <w:tc>
          <w:tcPr>
            <w:tcW w:w="1980" w:type="dxa"/>
            <w:vAlign w:val="bottom"/>
          </w:tcPr>
          <w:p w14:paraId="4BC6EF1D" w14:textId="77777777" w:rsidR="00DF3770" w:rsidRPr="00605DCD" w:rsidRDefault="00DF3770" w:rsidP="00DF3770">
            <w:pPr>
              <w:jc w:val="center"/>
              <w:rPr>
                <w:rFonts w:cs="Times New Roman"/>
                <w:sz w:val="20"/>
                <w:szCs w:val="20"/>
              </w:rPr>
            </w:pPr>
          </w:p>
        </w:tc>
        <w:tc>
          <w:tcPr>
            <w:tcW w:w="750" w:type="dxa"/>
          </w:tcPr>
          <w:p w14:paraId="29D0085F" w14:textId="77777777" w:rsidR="00DF3770" w:rsidRDefault="00DF3770" w:rsidP="00DF3770">
            <w:pPr>
              <w:jc w:val="center"/>
              <w:rPr>
                <w:rFonts w:cs="Times New Roman"/>
                <w:sz w:val="20"/>
                <w:szCs w:val="20"/>
              </w:rPr>
            </w:pPr>
            <w:r>
              <w:rPr>
                <w:rFonts w:cs="Times New Roman"/>
                <w:sz w:val="20"/>
                <w:szCs w:val="20"/>
              </w:rPr>
              <w:t>Low</w:t>
            </w:r>
          </w:p>
        </w:tc>
        <w:tc>
          <w:tcPr>
            <w:tcW w:w="750" w:type="dxa"/>
          </w:tcPr>
          <w:p w14:paraId="2CDE0060" w14:textId="77777777" w:rsidR="00DF3770" w:rsidRPr="00605DCD" w:rsidRDefault="00DF3770" w:rsidP="00DF3770">
            <w:pPr>
              <w:jc w:val="center"/>
              <w:rPr>
                <w:rFonts w:cs="Times New Roman"/>
                <w:sz w:val="20"/>
                <w:szCs w:val="20"/>
              </w:rPr>
            </w:pPr>
            <w:r>
              <w:rPr>
                <w:rFonts w:cs="Times New Roman"/>
                <w:sz w:val="20"/>
                <w:szCs w:val="20"/>
              </w:rPr>
              <w:t>28</w:t>
            </w:r>
          </w:p>
        </w:tc>
        <w:tc>
          <w:tcPr>
            <w:tcW w:w="660" w:type="dxa"/>
          </w:tcPr>
          <w:p w14:paraId="5BC130E0" w14:textId="77777777" w:rsidR="00DF3770" w:rsidRPr="00605DCD" w:rsidRDefault="00DF3770" w:rsidP="00DF3770">
            <w:pPr>
              <w:jc w:val="center"/>
              <w:rPr>
                <w:rFonts w:cs="Times New Roman"/>
                <w:sz w:val="20"/>
                <w:szCs w:val="20"/>
              </w:rPr>
            </w:pPr>
            <w:proofErr w:type="gramStart"/>
            <w:r>
              <w:rPr>
                <w:rFonts w:cs="Times New Roman"/>
                <w:sz w:val="20"/>
                <w:szCs w:val="20"/>
              </w:rPr>
              <w:t>ab</w:t>
            </w:r>
            <w:proofErr w:type="gramEnd"/>
          </w:p>
        </w:tc>
        <w:tc>
          <w:tcPr>
            <w:tcW w:w="900" w:type="dxa"/>
          </w:tcPr>
          <w:p w14:paraId="1D7CDE97" w14:textId="77777777" w:rsidR="00DF3770" w:rsidRDefault="00DF3770" w:rsidP="00DF3770">
            <w:pPr>
              <w:jc w:val="center"/>
              <w:rPr>
                <w:rFonts w:cs="Times New Roman"/>
                <w:sz w:val="20"/>
                <w:szCs w:val="20"/>
              </w:rPr>
            </w:pPr>
            <w:r>
              <w:rPr>
                <w:rFonts w:cs="Times New Roman"/>
                <w:sz w:val="20"/>
                <w:szCs w:val="20"/>
              </w:rPr>
              <w:t>**</w:t>
            </w:r>
          </w:p>
        </w:tc>
        <w:tc>
          <w:tcPr>
            <w:tcW w:w="810" w:type="dxa"/>
          </w:tcPr>
          <w:p w14:paraId="5A73F8D5" w14:textId="77777777" w:rsidR="00DF3770" w:rsidRPr="00605DCD" w:rsidRDefault="00DF3770" w:rsidP="00DF3770">
            <w:pPr>
              <w:jc w:val="center"/>
              <w:rPr>
                <w:rFonts w:cs="Times New Roman"/>
                <w:sz w:val="20"/>
                <w:szCs w:val="20"/>
              </w:rPr>
            </w:pPr>
            <w:r>
              <w:rPr>
                <w:rFonts w:cs="Times New Roman"/>
                <w:sz w:val="20"/>
                <w:szCs w:val="20"/>
              </w:rPr>
              <w:t>68</w:t>
            </w:r>
          </w:p>
        </w:tc>
        <w:tc>
          <w:tcPr>
            <w:tcW w:w="630" w:type="dxa"/>
          </w:tcPr>
          <w:p w14:paraId="2E1DE324" w14:textId="77777777" w:rsidR="00DF3770" w:rsidRPr="00605DCD"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Pr>
          <w:p w14:paraId="4B9F94CC" w14:textId="77777777" w:rsidR="00DF3770" w:rsidRPr="00605DCD" w:rsidRDefault="00DF3770" w:rsidP="00DF3770">
            <w:pPr>
              <w:jc w:val="center"/>
              <w:rPr>
                <w:rFonts w:cs="Times New Roman"/>
                <w:sz w:val="20"/>
                <w:szCs w:val="20"/>
              </w:rPr>
            </w:pPr>
            <w:r>
              <w:rPr>
                <w:rFonts w:cs="Times New Roman"/>
                <w:sz w:val="20"/>
                <w:szCs w:val="20"/>
              </w:rPr>
              <w:t>NS</w:t>
            </w:r>
          </w:p>
        </w:tc>
        <w:tc>
          <w:tcPr>
            <w:tcW w:w="270" w:type="dxa"/>
          </w:tcPr>
          <w:p w14:paraId="441C4334" w14:textId="77777777" w:rsidR="00DF3770" w:rsidRDefault="00DF3770" w:rsidP="00DF3770">
            <w:pPr>
              <w:jc w:val="center"/>
              <w:rPr>
                <w:rFonts w:cs="Times New Roman"/>
                <w:sz w:val="20"/>
                <w:szCs w:val="20"/>
              </w:rPr>
            </w:pPr>
          </w:p>
        </w:tc>
        <w:tc>
          <w:tcPr>
            <w:tcW w:w="810" w:type="dxa"/>
          </w:tcPr>
          <w:p w14:paraId="0B4B0DB7" w14:textId="77777777" w:rsidR="00DF3770" w:rsidRDefault="00DF3770" w:rsidP="00DF3770">
            <w:pPr>
              <w:jc w:val="center"/>
              <w:rPr>
                <w:rFonts w:cs="Times New Roman"/>
                <w:sz w:val="20"/>
                <w:szCs w:val="20"/>
              </w:rPr>
            </w:pPr>
            <w:r>
              <w:rPr>
                <w:rFonts w:cs="Times New Roman"/>
                <w:sz w:val="20"/>
                <w:szCs w:val="20"/>
              </w:rPr>
              <w:t>18</w:t>
            </w:r>
          </w:p>
        </w:tc>
        <w:tc>
          <w:tcPr>
            <w:tcW w:w="540" w:type="dxa"/>
          </w:tcPr>
          <w:p w14:paraId="5959E791" w14:textId="77777777" w:rsidR="00DF3770" w:rsidRDefault="00DF3770" w:rsidP="00DF3770">
            <w:pPr>
              <w:jc w:val="center"/>
              <w:rPr>
                <w:rFonts w:cs="Times New Roman"/>
                <w:sz w:val="20"/>
                <w:szCs w:val="20"/>
              </w:rPr>
            </w:pPr>
            <w:proofErr w:type="gramStart"/>
            <w:r>
              <w:rPr>
                <w:rFonts w:cs="Times New Roman"/>
                <w:sz w:val="20"/>
                <w:szCs w:val="20"/>
              </w:rPr>
              <w:t>ab</w:t>
            </w:r>
            <w:proofErr w:type="gramEnd"/>
          </w:p>
        </w:tc>
        <w:tc>
          <w:tcPr>
            <w:tcW w:w="975" w:type="dxa"/>
          </w:tcPr>
          <w:p w14:paraId="69158774" w14:textId="77777777" w:rsidR="00DF3770" w:rsidRDefault="00DF3770" w:rsidP="00DF3770">
            <w:pPr>
              <w:jc w:val="center"/>
              <w:rPr>
                <w:rFonts w:cs="Times New Roman"/>
                <w:sz w:val="20"/>
                <w:szCs w:val="20"/>
              </w:rPr>
            </w:pPr>
            <w:r>
              <w:rPr>
                <w:rFonts w:cs="Times New Roman"/>
                <w:sz w:val="20"/>
                <w:szCs w:val="20"/>
              </w:rPr>
              <w:t>NS</w:t>
            </w:r>
          </w:p>
        </w:tc>
        <w:tc>
          <w:tcPr>
            <w:tcW w:w="915" w:type="dxa"/>
          </w:tcPr>
          <w:p w14:paraId="79FA6EEA" w14:textId="77777777" w:rsidR="00DF3770" w:rsidRDefault="00DF3770" w:rsidP="00DF3770">
            <w:pPr>
              <w:jc w:val="center"/>
              <w:rPr>
                <w:rFonts w:cs="Times New Roman"/>
                <w:sz w:val="20"/>
                <w:szCs w:val="20"/>
              </w:rPr>
            </w:pPr>
            <w:r>
              <w:rPr>
                <w:rFonts w:cs="Times New Roman"/>
                <w:sz w:val="20"/>
                <w:szCs w:val="20"/>
              </w:rPr>
              <w:t>76</w:t>
            </w:r>
          </w:p>
        </w:tc>
        <w:tc>
          <w:tcPr>
            <w:tcW w:w="450" w:type="dxa"/>
          </w:tcPr>
          <w:p w14:paraId="177DF7ED"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60" w:type="dxa"/>
          </w:tcPr>
          <w:p w14:paraId="569D0EBF" w14:textId="77777777" w:rsidR="00DF3770" w:rsidRDefault="00DF3770" w:rsidP="00DF3770">
            <w:pPr>
              <w:jc w:val="center"/>
              <w:rPr>
                <w:rFonts w:cs="Times New Roman"/>
                <w:sz w:val="20"/>
                <w:szCs w:val="20"/>
              </w:rPr>
            </w:pPr>
            <w:r>
              <w:rPr>
                <w:rFonts w:cs="Times New Roman"/>
                <w:sz w:val="20"/>
                <w:szCs w:val="20"/>
              </w:rPr>
              <w:t>NS</w:t>
            </w:r>
          </w:p>
        </w:tc>
      </w:tr>
      <w:tr w:rsidR="00DF3770" w:rsidRPr="00605DCD" w14:paraId="239D52B7" w14:textId="77777777">
        <w:tc>
          <w:tcPr>
            <w:tcW w:w="1980" w:type="dxa"/>
            <w:vAlign w:val="bottom"/>
          </w:tcPr>
          <w:p w14:paraId="083E102F" w14:textId="77777777" w:rsidR="00DF3770" w:rsidRPr="00605DCD" w:rsidRDefault="00DF3770" w:rsidP="00DF3770">
            <w:pPr>
              <w:jc w:val="center"/>
              <w:rPr>
                <w:rFonts w:cs="Times New Roman"/>
                <w:sz w:val="20"/>
                <w:szCs w:val="20"/>
              </w:rPr>
            </w:pPr>
            <w:r>
              <w:rPr>
                <w:rFonts w:cs="Times New Roman"/>
                <w:sz w:val="20"/>
                <w:szCs w:val="20"/>
              </w:rPr>
              <w:t>Mefenpyr-diethyl</w:t>
            </w:r>
          </w:p>
        </w:tc>
        <w:tc>
          <w:tcPr>
            <w:tcW w:w="750" w:type="dxa"/>
          </w:tcPr>
          <w:p w14:paraId="4FFF9CB6" w14:textId="77777777" w:rsidR="00DF3770" w:rsidRPr="00605DCD" w:rsidRDefault="00DF3770" w:rsidP="00DF3770">
            <w:pPr>
              <w:jc w:val="center"/>
              <w:rPr>
                <w:rFonts w:cs="Times New Roman"/>
                <w:sz w:val="20"/>
                <w:szCs w:val="20"/>
              </w:rPr>
            </w:pPr>
            <w:r>
              <w:rPr>
                <w:rFonts w:cs="Times New Roman"/>
                <w:sz w:val="20"/>
                <w:szCs w:val="20"/>
              </w:rPr>
              <w:t>High</w:t>
            </w:r>
          </w:p>
        </w:tc>
        <w:tc>
          <w:tcPr>
            <w:tcW w:w="750" w:type="dxa"/>
          </w:tcPr>
          <w:p w14:paraId="1C2BD074" w14:textId="77777777" w:rsidR="00DF3770" w:rsidRPr="00605DCD" w:rsidRDefault="00DF3770" w:rsidP="00DF3770">
            <w:pPr>
              <w:jc w:val="center"/>
              <w:rPr>
                <w:rFonts w:cs="Times New Roman"/>
                <w:sz w:val="20"/>
                <w:szCs w:val="20"/>
              </w:rPr>
            </w:pPr>
            <w:r>
              <w:rPr>
                <w:rFonts w:cs="Times New Roman"/>
                <w:sz w:val="20"/>
                <w:szCs w:val="20"/>
              </w:rPr>
              <w:t>14</w:t>
            </w:r>
          </w:p>
        </w:tc>
        <w:tc>
          <w:tcPr>
            <w:tcW w:w="660" w:type="dxa"/>
          </w:tcPr>
          <w:p w14:paraId="57E8BFEA" w14:textId="77777777" w:rsidR="00DF3770" w:rsidRPr="00605DCD" w:rsidRDefault="00DF3770" w:rsidP="00DF3770">
            <w:pPr>
              <w:jc w:val="center"/>
              <w:rPr>
                <w:rFonts w:cs="Times New Roman"/>
                <w:sz w:val="20"/>
                <w:szCs w:val="20"/>
              </w:rPr>
            </w:pPr>
            <w:proofErr w:type="gramStart"/>
            <w:r>
              <w:rPr>
                <w:rFonts w:cs="Times New Roman"/>
                <w:sz w:val="20"/>
                <w:szCs w:val="20"/>
              </w:rPr>
              <w:t>b</w:t>
            </w:r>
            <w:proofErr w:type="gramEnd"/>
          </w:p>
        </w:tc>
        <w:tc>
          <w:tcPr>
            <w:tcW w:w="900" w:type="dxa"/>
          </w:tcPr>
          <w:p w14:paraId="171762AE" w14:textId="77777777" w:rsidR="00DF3770" w:rsidRDefault="00DF3770" w:rsidP="00DF3770">
            <w:pPr>
              <w:jc w:val="center"/>
              <w:rPr>
                <w:rFonts w:cs="Times New Roman"/>
                <w:sz w:val="20"/>
                <w:szCs w:val="20"/>
              </w:rPr>
            </w:pPr>
            <w:r>
              <w:rPr>
                <w:rFonts w:cs="Times New Roman"/>
                <w:sz w:val="20"/>
                <w:szCs w:val="20"/>
              </w:rPr>
              <w:t>**</w:t>
            </w:r>
          </w:p>
        </w:tc>
        <w:tc>
          <w:tcPr>
            <w:tcW w:w="810" w:type="dxa"/>
          </w:tcPr>
          <w:p w14:paraId="77316B8C" w14:textId="77777777" w:rsidR="00DF3770" w:rsidRPr="00605DCD" w:rsidRDefault="00DF3770" w:rsidP="00DF3770">
            <w:pPr>
              <w:jc w:val="center"/>
              <w:rPr>
                <w:rFonts w:cs="Times New Roman"/>
                <w:sz w:val="20"/>
                <w:szCs w:val="20"/>
              </w:rPr>
            </w:pPr>
            <w:r>
              <w:rPr>
                <w:rFonts w:cs="Times New Roman"/>
                <w:sz w:val="20"/>
                <w:szCs w:val="20"/>
              </w:rPr>
              <w:t>25</w:t>
            </w:r>
          </w:p>
        </w:tc>
        <w:tc>
          <w:tcPr>
            <w:tcW w:w="630" w:type="dxa"/>
          </w:tcPr>
          <w:p w14:paraId="3DF7DEDC" w14:textId="77777777" w:rsidR="00DF3770" w:rsidRPr="00605DCD" w:rsidRDefault="00DF3770" w:rsidP="00DF3770">
            <w:pPr>
              <w:jc w:val="center"/>
              <w:rPr>
                <w:rFonts w:cs="Times New Roman"/>
                <w:sz w:val="20"/>
                <w:szCs w:val="20"/>
              </w:rPr>
            </w:pPr>
            <w:proofErr w:type="gramStart"/>
            <w:r>
              <w:rPr>
                <w:rFonts w:cs="Times New Roman"/>
                <w:sz w:val="20"/>
                <w:szCs w:val="20"/>
              </w:rPr>
              <w:t>b</w:t>
            </w:r>
            <w:proofErr w:type="gramEnd"/>
          </w:p>
        </w:tc>
        <w:tc>
          <w:tcPr>
            <w:tcW w:w="900" w:type="dxa"/>
          </w:tcPr>
          <w:p w14:paraId="692D6148" w14:textId="77777777" w:rsidR="00DF3770" w:rsidRPr="00605DCD" w:rsidRDefault="00DF3770" w:rsidP="00DF3770">
            <w:pPr>
              <w:jc w:val="center"/>
              <w:rPr>
                <w:rFonts w:cs="Times New Roman"/>
                <w:sz w:val="20"/>
                <w:szCs w:val="20"/>
              </w:rPr>
            </w:pPr>
            <w:r>
              <w:rPr>
                <w:rFonts w:cs="Times New Roman"/>
                <w:sz w:val="20"/>
                <w:szCs w:val="20"/>
              </w:rPr>
              <w:t>***</w:t>
            </w:r>
          </w:p>
        </w:tc>
        <w:tc>
          <w:tcPr>
            <w:tcW w:w="270" w:type="dxa"/>
          </w:tcPr>
          <w:p w14:paraId="0CF9EC50" w14:textId="77777777" w:rsidR="00DF3770" w:rsidRDefault="00DF3770" w:rsidP="00DF3770">
            <w:pPr>
              <w:jc w:val="center"/>
              <w:rPr>
                <w:rFonts w:cs="Times New Roman"/>
                <w:sz w:val="20"/>
                <w:szCs w:val="20"/>
              </w:rPr>
            </w:pPr>
          </w:p>
        </w:tc>
        <w:tc>
          <w:tcPr>
            <w:tcW w:w="810" w:type="dxa"/>
          </w:tcPr>
          <w:p w14:paraId="6AEB74C7" w14:textId="77777777" w:rsidR="00DF3770" w:rsidRDefault="00DF3770" w:rsidP="00DF3770">
            <w:pPr>
              <w:jc w:val="center"/>
              <w:rPr>
                <w:rFonts w:cs="Times New Roman"/>
                <w:sz w:val="20"/>
                <w:szCs w:val="20"/>
              </w:rPr>
            </w:pPr>
            <w:r>
              <w:rPr>
                <w:rFonts w:cs="Times New Roman"/>
                <w:sz w:val="20"/>
                <w:szCs w:val="20"/>
              </w:rPr>
              <w:t>0</w:t>
            </w:r>
          </w:p>
        </w:tc>
        <w:tc>
          <w:tcPr>
            <w:tcW w:w="540" w:type="dxa"/>
          </w:tcPr>
          <w:p w14:paraId="65EBED94" w14:textId="77777777" w:rsidR="00DF3770" w:rsidRDefault="00DF3770" w:rsidP="00DF3770">
            <w:pPr>
              <w:jc w:val="center"/>
              <w:rPr>
                <w:rFonts w:cs="Times New Roman"/>
                <w:sz w:val="20"/>
                <w:szCs w:val="20"/>
              </w:rPr>
            </w:pPr>
            <w:proofErr w:type="gramStart"/>
            <w:r>
              <w:rPr>
                <w:rFonts w:cs="Times New Roman"/>
                <w:sz w:val="20"/>
                <w:szCs w:val="20"/>
              </w:rPr>
              <w:t>b</w:t>
            </w:r>
            <w:proofErr w:type="gramEnd"/>
          </w:p>
        </w:tc>
        <w:tc>
          <w:tcPr>
            <w:tcW w:w="975" w:type="dxa"/>
          </w:tcPr>
          <w:p w14:paraId="27062733" w14:textId="77777777" w:rsidR="00DF3770" w:rsidRDefault="00DF3770" w:rsidP="00DF3770">
            <w:pPr>
              <w:jc w:val="center"/>
              <w:rPr>
                <w:rFonts w:cs="Times New Roman"/>
                <w:sz w:val="20"/>
                <w:szCs w:val="20"/>
              </w:rPr>
            </w:pPr>
            <w:r>
              <w:rPr>
                <w:rFonts w:cs="Times New Roman"/>
                <w:sz w:val="20"/>
                <w:szCs w:val="20"/>
              </w:rPr>
              <w:t>***</w:t>
            </w:r>
          </w:p>
        </w:tc>
        <w:tc>
          <w:tcPr>
            <w:tcW w:w="915" w:type="dxa"/>
          </w:tcPr>
          <w:p w14:paraId="321AA09A" w14:textId="77777777" w:rsidR="00DF3770" w:rsidRDefault="00DF3770" w:rsidP="00DF3770">
            <w:pPr>
              <w:jc w:val="center"/>
              <w:rPr>
                <w:rFonts w:cs="Times New Roman"/>
                <w:sz w:val="20"/>
                <w:szCs w:val="20"/>
              </w:rPr>
            </w:pPr>
            <w:r>
              <w:rPr>
                <w:rFonts w:cs="Times New Roman"/>
                <w:sz w:val="20"/>
                <w:szCs w:val="20"/>
              </w:rPr>
              <w:t>11</w:t>
            </w:r>
          </w:p>
        </w:tc>
        <w:tc>
          <w:tcPr>
            <w:tcW w:w="450" w:type="dxa"/>
          </w:tcPr>
          <w:p w14:paraId="428FFBF4" w14:textId="77777777" w:rsidR="00DF3770" w:rsidRDefault="00DF3770" w:rsidP="00DF3770">
            <w:pPr>
              <w:jc w:val="center"/>
              <w:rPr>
                <w:rFonts w:cs="Times New Roman"/>
                <w:sz w:val="20"/>
                <w:szCs w:val="20"/>
              </w:rPr>
            </w:pPr>
            <w:proofErr w:type="gramStart"/>
            <w:r>
              <w:rPr>
                <w:rFonts w:cs="Times New Roman"/>
                <w:sz w:val="20"/>
                <w:szCs w:val="20"/>
              </w:rPr>
              <w:t>b</w:t>
            </w:r>
            <w:proofErr w:type="gramEnd"/>
          </w:p>
        </w:tc>
        <w:tc>
          <w:tcPr>
            <w:tcW w:w="960" w:type="dxa"/>
          </w:tcPr>
          <w:p w14:paraId="28C18879" w14:textId="77777777" w:rsidR="00DF3770" w:rsidRDefault="00DF3770" w:rsidP="00DF3770">
            <w:pPr>
              <w:jc w:val="center"/>
              <w:rPr>
                <w:rFonts w:cs="Times New Roman"/>
                <w:sz w:val="20"/>
                <w:szCs w:val="20"/>
              </w:rPr>
            </w:pPr>
            <w:r>
              <w:rPr>
                <w:rFonts w:cs="Times New Roman"/>
                <w:sz w:val="20"/>
                <w:szCs w:val="20"/>
              </w:rPr>
              <w:t>***</w:t>
            </w:r>
          </w:p>
        </w:tc>
      </w:tr>
      <w:tr w:rsidR="00DF3770" w:rsidRPr="00605DCD" w14:paraId="02F5CA9D" w14:textId="77777777">
        <w:tc>
          <w:tcPr>
            <w:tcW w:w="1980" w:type="dxa"/>
            <w:vAlign w:val="bottom"/>
          </w:tcPr>
          <w:p w14:paraId="657AF844" w14:textId="77777777" w:rsidR="00DF3770" w:rsidRPr="00605DCD" w:rsidRDefault="00DF3770" w:rsidP="00DF3770">
            <w:pPr>
              <w:jc w:val="center"/>
              <w:rPr>
                <w:rFonts w:cs="Times New Roman"/>
                <w:sz w:val="20"/>
                <w:szCs w:val="20"/>
              </w:rPr>
            </w:pPr>
          </w:p>
        </w:tc>
        <w:tc>
          <w:tcPr>
            <w:tcW w:w="750" w:type="dxa"/>
          </w:tcPr>
          <w:p w14:paraId="399334FA" w14:textId="77777777" w:rsidR="00DF3770" w:rsidRDefault="00DF3770" w:rsidP="00DF3770">
            <w:pPr>
              <w:jc w:val="center"/>
              <w:rPr>
                <w:rFonts w:cs="Times New Roman"/>
                <w:sz w:val="20"/>
                <w:szCs w:val="20"/>
              </w:rPr>
            </w:pPr>
            <w:r>
              <w:rPr>
                <w:rFonts w:cs="Times New Roman"/>
                <w:sz w:val="20"/>
                <w:szCs w:val="20"/>
              </w:rPr>
              <w:t>Low</w:t>
            </w:r>
          </w:p>
        </w:tc>
        <w:tc>
          <w:tcPr>
            <w:tcW w:w="750" w:type="dxa"/>
          </w:tcPr>
          <w:p w14:paraId="5F64205A" w14:textId="77777777" w:rsidR="00DF3770" w:rsidRPr="00605DCD" w:rsidRDefault="00DF3770" w:rsidP="00DF3770">
            <w:pPr>
              <w:jc w:val="center"/>
              <w:rPr>
                <w:rFonts w:cs="Times New Roman"/>
                <w:sz w:val="20"/>
                <w:szCs w:val="20"/>
              </w:rPr>
            </w:pPr>
            <w:r>
              <w:rPr>
                <w:rFonts w:cs="Times New Roman"/>
                <w:sz w:val="20"/>
                <w:szCs w:val="20"/>
              </w:rPr>
              <w:t>32</w:t>
            </w:r>
          </w:p>
        </w:tc>
        <w:tc>
          <w:tcPr>
            <w:tcW w:w="660" w:type="dxa"/>
          </w:tcPr>
          <w:p w14:paraId="1F3A0C1E" w14:textId="77777777" w:rsidR="00DF3770" w:rsidRPr="00605DCD"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Pr>
          <w:p w14:paraId="10EF9233" w14:textId="77777777" w:rsidR="00DF3770" w:rsidRDefault="00DF3770" w:rsidP="00DF3770">
            <w:pPr>
              <w:jc w:val="center"/>
              <w:rPr>
                <w:rFonts w:cs="Times New Roman"/>
                <w:sz w:val="20"/>
                <w:szCs w:val="20"/>
              </w:rPr>
            </w:pPr>
            <w:r>
              <w:rPr>
                <w:rFonts w:cs="Times New Roman"/>
                <w:sz w:val="20"/>
                <w:szCs w:val="20"/>
              </w:rPr>
              <w:t>*</w:t>
            </w:r>
          </w:p>
        </w:tc>
        <w:tc>
          <w:tcPr>
            <w:tcW w:w="810" w:type="dxa"/>
          </w:tcPr>
          <w:p w14:paraId="51C863F3" w14:textId="77777777" w:rsidR="00DF3770" w:rsidRPr="00605DCD" w:rsidRDefault="00DF3770" w:rsidP="00DF3770">
            <w:pPr>
              <w:jc w:val="center"/>
              <w:rPr>
                <w:rFonts w:cs="Times New Roman"/>
                <w:sz w:val="20"/>
                <w:szCs w:val="20"/>
              </w:rPr>
            </w:pPr>
            <w:r>
              <w:rPr>
                <w:rFonts w:cs="Times New Roman"/>
                <w:sz w:val="20"/>
                <w:szCs w:val="20"/>
              </w:rPr>
              <w:t>59</w:t>
            </w:r>
          </w:p>
        </w:tc>
        <w:tc>
          <w:tcPr>
            <w:tcW w:w="630" w:type="dxa"/>
          </w:tcPr>
          <w:p w14:paraId="0FAF4EAD" w14:textId="77777777" w:rsidR="00DF3770" w:rsidRPr="00605DCD" w:rsidRDefault="00DF3770" w:rsidP="00DF3770">
            <w:pPr>
              <w:jc w:val="center"/>
              <w:rPr>
                <w:rFonts w:cs="Times New Roman"/>
                <w:sz w:val="20"/>
                <w:szCs w:val="20"/>
              </w:rPr>
            </w:pPr>
            <w:proofErr w:type="gramStart"/>
            <w:r>
              <w:rPr>
                <w:rFonts w:cs="Times New Roman"/>
                <w:sz w:val="20"/>
                <w:szCs w:val="20"/>
              </w:rPr>
              <w:t>a</w:t>
            </w:r>
            <w:proofErr w:type="gramEnd"/>
          </w:p>
        </w:tc>
        <w:tc>
          <w:tcPr>
            <w:tcW w:w="900" w:type="dxa"/>
          </w:tcPr>
          <w:p w14:paraId="5369FDD1" w14:textId="77777777" w:rsidR="00DF3770" w:rsidRPr="00605DCD" w:rsidRDefault="00DF3770" w:rsidP="00DF3770">
            <w:pPr>
              <w:jc w:val="center"/>
              <w:rPr>
                <w:rFonts w:cs="Times New Roman"/>
                <w:sz w:val="20"/>
                <w:szCs w:val="20"/>
              </w:rPr>
            </w:pPr>
            <w:r>
              <w:rPr>
                <w:rFonts w:cs="Times New Roman"/>
                <w:sz w:val="20"/>
                <w:szCs w:val="20"/>
              </w:rPr>
              <w:t>NS</w:t>
            </w:r>
          </w:p>
        </w:tc>
        <w:tc>
          <w:tcPr>
            <w:tcW w:w="270" w:type="dxa"/>
          </w:tcPr>
          <w:p w14:paraId="243B12E5" w14:textId="77777777" w:rsidR="00DF3770" w:rsidRDefault="00DF3770" w:rsidP="00DF3770">
            <w:pPr>
              <w:jc w:val="center"/>
              <w:rPr>
                <w:rFonts w:cs="Times New Roman"/>
                <w:sz w:val="20"/>
                <w:szCs w:val="20"/>
              </w:rPr>
            </w:pPr>
          </w:p>
        </w:tc>
        <w:tc>
          <w:tcPr>
            <w:tcW w:w="810" w:type="dxa"/>
          </w:tcPr>
          <w:p w14:paraId="0950981D" w14:textId="77777777" w:rsidR="00DF3770" w:rsidRDefault="00DF3770" w:rsidP="00DF3770">
            <w:pPr>
              <w:jc w:val="center"/>
              <w:rPr>
                <w:rFonts w:cs="Times New Roman"/>
                <w:sz w:val="20"/>
                <w:szCs w:val="20"/>
              </w:rPr>
            </w:pPr>
            <w:r>
              <w:rPr>
                <w:rFonts w:cs="Times New Roman"/>
                <w:sz w:val="20"/>
                <w:szCs w:val="20"/>
              </w:rPr>
              <w:t>4</w:t>
            </w:r>
          </w:p>
        </w:tc>
        <w:tc>
          <w:tcPr>
            <w:tcW w:w="540" w:type="dxa"/>
          </w:tcPr>
          <w:p w14:paraId="73E8377F" w14:textId="77777777" w:rsidR="00DF3770" w:rsidRDefault="00DF3770" w:rsidP="00DF3770">
            <w:pPr>
              <w:jc w:val="center"/>
              <w:rPr>
                <w:rFonts w:cs="Times New Roman"/>
                <w:sz w:val="20"/>
                <w:szCs w:val="20"/>
              </w:rPr>
            </w:pPr>
            <w:proofErr w:type="gramStart"/>
            <w:r>
              <w:rPr>
                <w:rFonts w:cs="Times New Roman"/>
                <w:sz w:val="20"/>
                <w:szCs w:val="20"/>
              </w:rPr>
              <w:t>ab</w:t>
            </w:r>
            <w:proofErr w:type="gramEnd"/>
          </w:p>
        </w:tc>
        <w:tc>
          <w:tcPr>
            <w:tcW w:w="975" w:type="dxa"/>
          </w:tcPr>
          <w:p w14:paraId="2EA5EE5C" w14:textId="77777777" w:rsidR="00DF3770" w:rsidRDefault="00DF3770" w:rsidP="00DF3770">
            <w:pPr>
              <w:jc w:val="center"/>
              <w:rPr>
                <w:rFonts w:cs="Times New Roman"/>
                <w:sz w:val="20"/>
                <w:szCs w:val="20"/>
              </w:rPr>
            </w:pPr>
            <w:r>
              <w:rPr>
                <w:rFonts w:cs="Times New Roman"/>
                <w:sz w:val="20"/>
                <w:szCs w:val="20"/>
              </w:rPr>
              <w:t>**</w:t>
            </w:r>
          </w:p>
        </w:tc>
        <w:tc>
          <w:tcPr>
            <w:tcW w:w="915" w:type="dxa"/>
          </w:tcPr>
          <w:p w14:paraId="2EB61691" w14:textId="77777777" w:rsidR="00DF3770" w:rsidRDefault="00DF3770" w:rsidP="00DF3770">
            <w:pPr>
              <w:jc w:val="center"/>
              <w:rPr>
                <w:rFonts w:cs="Times New Roman"/>
                <w:sz w:val="20"/>
                <w:szCs w:val="20"/>
              </w:rPr>
            </w:pPr>
            <w:r>
              <w:rPr>
                <w:rFonts w:cs="Times New Roman"/>
                <w:sz w:val="20"/>
                <w:szCs w:val="20"/>
              </w:rPr>
              <w:t>50</w:t>
            </w:r>
          </w:p>
        </w:tc>
        <w:tc>
          <w:tcPr>
            <w:tcW w:w="450" w:type="dxa"/>
          </w:tcPr>
          <w:p w14:paraId="1A8C75AC" w14:textId="77777777" w:rsidR="00DF3770" w:rsidRDefault="00DF3770" w:rsidP="00DF3770">
            <w:pPr>
              <w:jc w:val="center"/>
              <w:rPr>
                <w:rFonts w:cs="Times New Roman"/>
                <w:sz w:val="20"/>
                <w:szCs w:val="20"/>
              </w:rPr>
            </w:pPr>
            <w:proofErr w:type="gramStart"/>
            <w:r>
              <w:rPr>
                <w:rFonts w:cs="Times New Roman"/>
                <w:sz w:val="20"/>
                <w:szCs w:val="20"/>
              </w:rPr>
              <w:t>a</w:t>
            </w:r>
            <w:proofErr w:type="gramEnd"/>
          </w:p>
        </w:tc>
        <w:tc>
          <w:tcPr>
            <w:tcW w:w="960" w:type="dxa"/>
          </w:tcPr>
          <w:p w14:paraId="198AF56B" w14:textId="77777777" w:rsidR="00DF3770" w:rsidRDefault="00DF3770" w:rsidP="00DF3770">
            <w:pPr>
              <w:jc w:val="center"/>
              <w:rPr>
                <w:rFonts w:cs="Times New Roman"/>
                <w:sz w:val="20"/>
                <w:szCs w:val="20"/>
              </w:rPr>
            </w:pPr>
            <w:r>
              <w:rPr>
                <w:rFonts w:cs="Times New Roman"/>
                <w:sz w:val="20"/>
                <w:szCs w:val="20"/>
              </w:rPr>
              <w:t>NS</w:t>
            </w:r>
          </w:p>
        </w:tc>
      </w:tr>
      <w:tr w:rsidR="00DF3770" w14:paraId="09201885" w14:textId="77777777">
        <w:tc>
          <w:tcPr>
            <w:tcW w:w="1980" w:type="dxa"/>
            <w:vAlign w:val="bottom"/>
          </w:tcPr>
          <w:p w14:paraId="2A6A9A1D" w14:textId="77777777" w:rsidR="00DF3770" w:rsidRDefault="00DF3770" w:rsidP="00DF3770">
            <w:pPr>
              <w:jc w:val="center"/>
              <w:rPr>
                <w:rFonts w:cs="Times New Roman"/>
                <w:sz w:val="20"/>
                <w:szCs w:val="20"/>
              </w:rPr>
            </w:pPr>
            <w:r>
              <w:rPr>
                <w:rFonts w:cs="Times New Roman"/>
                <w:sz w:val="20"/>
                <w:szCs w:val="20"/>
              </w:rPr>
              <w:t>None</w:t>
            </w:r>
          </w:p>
        </w:tc>
        <w:tc>
          <w:tcPr>
            <w:tcW w:w="750" w:type="dxa"/>
          </w:tcPr>
          <w:p w14:paraId="56A72367" w14:textId="77777777" w:rsidR="00DF3770" w:rsidRDefault="00DF3770" w:rsidP="00DF3770">
            <w:pPr>
              <w:jc w:val="center"/>
              <w:rPr>
                <w:rFonts w:cs="Times New Roman"/>
                <w:sz w:val="20"/>
                <w:szCs w:val="20"/>
              </w:rPr>
            </w:pPr>
            <w:r>
              <w:rPr>
                <w:rFonts w:cs="Times New Roman"/>
                <w:sz w:val="20"/>
                <w:szCs w:val="20"/>
              </w:rPr>
              <w:t>-</w:t>
            </w:r>
          </w:p>
        </w:tc>
        <w:tc>
          <w:tcPr>
            <w:tcW w:w="750" w:type="dxa"/>
          </w:tcPr>
          <w:p w14:paraId="6506013B" w14:textId="77777777" w:rsidR="00DF3770" w:rsidRDefault="00DF3770" w:rsidP="00DF3770">
            <w:pPr>
              <w:jc w:val="center"/>
              <w:rPr>
                <w:rFonts w:cs="Times New Roman"/>
                <w:sz w:val="20"/>
                <w:szCs w:val="20"/>
              </w:rPr>
            </w:pPr>
            <w:r>
              <w:rPr>
                <w:rFonts w:cs="Times New Roman"/>
                <w:sz w:val="20"/>
                <w:szCs w:val="20"/>
              </w:rPr>
              <w:t>49</w:t>
            </w:r>
          </w:p>
        </w:tc>
        <w:tc>
          <w:tcPr>
            <w:tcW w:w="660" w:type="dxa"/>
          </w:tcPr>
          <w:p w14:paraId="326A13F8" w14:textId="77777777" w:rsidR="00DF3770" w:rsidRDefault="00DF3770" w:rsidP="00DF3770">
            <w:pPr>
              <w:jc w:val="center"/>
              <w:rPr>
                <w:rFonts w:cs="Times New Roman"/>
                <w:sz w:val="20"/>
                <w:szCs w:val="20"/>
              </w:rPr>
            </w:pPr>
            <w:r>
              <w:rPr>
                <w:rFonts w:cs="Times New Roman"/>
                <w:sz w:val="20"/>
                <w:szCs w:val="20"/>
              </w:rPr>
              <w:t>-</w:t>
            </w:r>
          </w:p>
        </w:tc>
        <w:tc>
          <w:tcPr>
            <w:tcW w:w="900" w:type="dxa"/>
          </w:tcPr>
          <w:p w14:paraId="2A8CDB46" w14:textId="77777777" w:rsidR="00DF3770" w:rsidRDefault="00DF3770" w:rsidP="00DF3770">
            <w:pPr>
              <w:jc w:val="center"/>
              <w:rPr>
                <w:rFonts w:cs="Times New Roman"/>
                <w:sz w:val="20"/>
                <w:szCs w:val="20"/>
              </w:rPr>
            </w:pPr>
            <w:r>
              <w:rPr>
                <w:rFonts w:cs="Times New Roman"/>
                <w:sz w:val="20"/>
                <w:szCs w:val="20"/>
              </w:rPr>
              <w:t>-</w:t>
            </w:r>
          </w:p>
        </w:tc>
        <w:tc>
          <w:tcPr>
            <w:tcW w:w="810" w:type="dxa"/>
          </w:tcPr>
          <w:p w14:paraId="78C4DF86" w14:textId="77777777" w:rsidR="00DF3770" w:rsidRDefault="00DF3770" w:rsidP="00DF3770">
            <w:pPr>
              <w:jc w:val="center"/>
              <w:rPr>
                <w:rFonts w:cs="Times New Roman"/>
                <w:sz w:val="20"/>
                <w:szCs w:val="20"/>
              </w:rPr>
            </w:pPr>
            <w:r>
              <w:rPr>
                <w:rFonts w:cs="Times New Roman"/>
                <w:sz w:val="20"/>
                <w:szCs w:val="20"/>
              </w:rPr>
              <w:t>68</w:t>
            </w:r>
          </w:p>
        </w:tc>
        <w:tc>
          <w:tcPr>
            <w:tcW w:w="630" w:type="dxa"/>
          </w:tcPr>
          <w:p w14:paraId="33C00261" w14:textId="77777777" w:rsidR="00DF3770" w:rsidRDefault="00DF3770" w:rsidP="00DF3770">
            <w:pPr>
              <w:jc w:val="center"/>
              <w:rPr>
                <w:rFonts w:cs="Times New Roman"/>
                <w:sz w:val="20"/>
                <w:szCs w:val="20"/>
              </w:rPr>
            </w:pPr>
            <w:r>
              <w:rPr>
                <w:rFonts w:cs="Times New Roman"/>
                <w:sz w:val="20"/>
                <w:szCs w:val="20"/>
              </w:rPr>
              <w:t>-</w:t>
            </w:r>
          </w:p>
        </w:tc>
        <w:tc>
          <w:tcPr>
            <w:tcW w:w="900" w:type="dxa"/>
          </w:tcPr>
          <w:p w14:paraId="68280FE3" w14:textId="77777777" w:rsidR="00DF3770" w:rsidRDefault="00DF3770" w:rsidP="00DF3770">
            <w:pPr>
              <w:jc w:val="center"/>
              <w:rPr>
                <w:rFonts w:cs="Times New Roman"/>
                <w:sz w:val="20"/>
                <w:szCs w:val="20"/>
              </w:rPr>
            </w:pPr>
            <w:r>
              <w:rPr>
                <w:rFonts w:cs="Times New Roman"/>
                <w:sz w:val="20"/>
                <w:szCs w:val="20"/>
              </w:rPr>
              <w:t>-</w:t>
            </w:r>
          </w:p>
        </w:tc>
        <w:tc>
          <w:tcPr>
            <w:tcW w:w="270" w:type="dxa"/>
          </w:tcPr>
          <w:p w14:paraId="63F670B2" w14:textId="77777777" w:rsidR="00DF3770" w:rsidRDefault="00DF3770" w:rsidP="00DF3770">
            <w:pPr>
              <w:jc w:val="center"/>
              <w:rPr>
                <w:rFonts w:cs="Times New Roman"/>
                <w:sz w:val="20"/>
                <w:szCs w:val="20"/>
              </w:rPr>
            </w:pPr>
          </w:p>
        </w:tc>
        <w:tc>
          <w:tcPr>
            <w:tcW w:w="810" w:type="dxa"/>
          </w:tcPr>
          <w:p w14:paraId="004E58D3" w14:textId="77777777" w:rsidR="00DF3770" w:rsidRDefault="00DF3770" w:rsidP="00DF3770">
            <w:pPr>
              <w:jc w:val="center"/>
              <w:rPr>
                <w:rFonts w:cs="Times New Roman"/>
                <w:sz w:val="20"/>
                <w:szCs w:val="20"/>
              </w:rPr>
            </w:pPr>
            <w:r>
              <w:rPr>
                <w:rFonts w:cs="Times New Roman"/>
                <w:sz w:val="20"/>
                <w:szCs w:val="20"/>
              </w:rPr>
              <w:t>41</w:t>
            </w:r>
          </w:p>
        </w:tc>
        <w:tc>
          <w:tcPr>
            <w:tcW w:w="540" w:type="dxa"/>
          </w:tcPr>
          <w:p w14:paraId="58B2494D" w14:textId="77777777" w:rsidR="00DF3770" w:rsidRDefault="00DF3770" w:rsidP="00DF3770">
            <w:pPr>
              <w:jc w:val="center"/>
              <w:rPr>
                <w:rFonts w:cs="Times New Roman"/>
                <w:sz w:val="20"/>
                <w:szCs w:val="20"/>
              </w:rPr>
            </w:pPr>
            <w:r>
              <w:rPr>
                <w:rFonts w:cs="Times New Roman"/>
                <w:sz w:val="20"/>
                <w:szCs w:val="20"/>
              </w:rPr>
              <w:t>-</w:t>
            </w:r>
          </w:p>
        </w:tc>
        <w:tc>
          <w:tcPr>
            <w:tcW w:w="975" w:type="dxa"/>
          </w:tcPr>
          <w:p w14:paraId="4AB30715" w14:textId="77777777" w:rsidR="00DF3770" w:rsidRDefault="00DF3770" w:rsidP="00DF3770">
            <w:pPr>
              <w:jc w:val="center"/>
              <w:rPr>
                <w:rFonts w:cs="Times New Roman"/>
                <w:sz w:val="20"/>
                <w:szCs w:val="20"/>
              </w:rPr>
            </w:pPr>
            <w:r>
              <w:rPr>
                <w:rFonts w:cs="Times New Roman"/>
                <w:sz w:val="20"/>
                <w:szCs w:val="20"/>
              </w:rPr>
              <w:t>-</w:t>
            </w:r>
          </w:p>
        </w:tc>
        <w:tc>
          <w:tcPr>
            <w:tcW w:w="915" w:type="dxa"/>
          </w:tcPr>
          <w:p w14:paraId="51239F5F" w14:textId="77777777" w:rsidR="00DF3770" w:rsidRDefault="00DF3770" w:rsidP="00DF3770">
            <w:pPr>
              <w:jc w:val="center"/>
              <w:rPr>
                <w:rFonts w:cs="Times New Roman"/>
                <w:sz w:val="20"/>
                <w:szCs w:val="20"/>
              </w:rPr>
            </w:pPr>
            <w:r>
              <w:rPr>
                <w:rFonts w:cs="Times New Roman"/>
                <w:sz w:val="20"/>
                <w:szCs w:val="20"/>
              </w:rPr>
              <w:t>80</w:t>
            </w:r>
          </w:p>
        </w:tc>
        <w:tc>
          <w:tcPr>
            <w:tcW w:w="450" w:type="dxa"/>
          </w:tcPr>
          <w:p w14:paraId="5EA5EB2F" w14:textId="77777777" w:rsidR="00DF3770" w:rsidRDefault="00DF3770" w:rsidP="00DF3770">
            <w:pPr>
              <w:jc w:val="center"/>
              <w:rPr>
                <w:rFonts w:cs="Times New Roman"/>
                <w:sz w:val="20"/>
                <w:szCs w:val="20"/>
              </w:rPr>
            </w:pPr>
            <w:r>
              <w:rPr>
                <w:rFonts w:cs="Times New Roman"/>
                <w:sz w:val="20"/>
                <w:szCs w:val="20"/>
              </w:rPr>
              <w:t>-</w:t>
            </w:r>
          </w:p>
        </w:tc>
        <w:tc>
          <w:tcPr>
            <w:tcW w:w="960" w:type="dxa"/>
          </w:tcPr>
          <w:p w14:paraId="1E3C4497" w14:textId="77777777" w:rsidR="00DF3770" w:rsidRDefault="00DF3770" w:rsidP="00DF3770">
            <w:pPr>
              <w:jc w:val="center"/>
              <w:rPr>
                <w:rFonts w:cs="Times New Roman"/>
                <w:sz w:val="20"/>
                <w:szCs w:val="20"/>
              </w:rPr>
            </w:pPr>
            <w:r>
              <w:rPr>
                <w:rFonts w:cs="Times New Roman"/>
                <w:sz w:val="20"/>
                <w:szCs w:val="20"/>
              </w:rPr>
              <w:t>-</w:t>
            </w:r>
          </w:p>
        </w:tc>
      </w:tr>
    </w:tbl>
    <w:p w14:paraId="2F595A9E" w14:textId="77777777" w:rsidR="00DF3770" w:rsidRDefault="00DF3770" w:rsidP="00110EA5">
      <w:pPr>
        <w:spacing w:line="240" w:lineRule="auto"/>
        <w:rPr>
          <w:rFonts w:cs="Times New Roman"/>
          <w:sz w:val="20"/>
          <w:szCs w:val="20"/>
        </w:rPr>
      </w:pPr>
      <w:proofErr w:type="gramStart"/>
      <w:r w:rsidRPr="00605DCD">
        <w:rPr>
          <w:rFonts w:cs="Times New Roman"/>
          <w:sz w:val="20"/>
          <w:szCs w:val="20"/>
          <w:vertAlign w:val="superscript"/>
        </w:rPr>
        <w:t>a</w:t>
      </w:r>
      <w:r>
        <w:rPr>
          <w:rFonts w:cs="Times New Roman"/>
          <w:sz w:val="20"/>
          <w:szCs w:val="20"/>
        </w:rPr>
        <w:t>All</w:t>
      </w:r>
      <w:proofErr w:type="gramEnd"/>
      <w:r>
        <w:rPr>
          <w:rFonts w:cs="Times New Roman"/>
          <w:sz w:val="20"/>
          <w:szCs w:val="20"/>
        </w:rPr>
        <w:t xml:space="preserve"> treatments</w:t>
      </w:r>
      <w:r w:rsidRPr="00605DCD">
        <w:rPr>
          <w:rFonts w:cs="Times New Roman"/>
          <w:sz w:val="20"/>
          <w:szCs w:val="20"/>
        </w:rPr>
        <w:t xml:space="preserve"> were applied with non-ionic surfactant at 0.25% v/v.</w:t>
      </w:r>
    </w:p>
    <w:p w14:paraId="11F63100" w14:textId="77777777" w:rsidR="00DF3770" w:rsidRDefault="00DF3770" w:rsidP="00110EA5">
      <w:pPr>
        <w:spacing w:line="240" w:lineRule="auto"/>
        <w:rPr>
          <w:rFonts w:eastAsia="ＭＳ ゴシック" w:cs="Times New Roman"/>
          <w:color w:val="000000"/>
          <w:sz w:val="20"/>
          <w:szCs w:val="20"/>
        </w:rPr>
      </w:pPr>
      <w:proofErr w:type="gramStart"/>
      <w:r w:rsidRPr="009A3413">
        <w:rPr>
          <w:rFonts w:cs="Times New Roman"/>
          <w:sz w:val="20"/>
          <w:szCs w:val="20"/>
          <w:vertAlign w:val="superscript"/>
        </w:rPr>
        <w:t>b</w:t>
      </w:r>
      <w:r>
        <w:rPr>
          <w:rFonts w:cs="Times New Roman"/>
          <w:sz w:val="20"/>
          <w:szCs w:val="20"/>
        </w:rPr>
        <w:t>Means</w:t>
      </w:r>
      <w:proofErr w:type="gramEnd"/>
      <w:r>
        <w:rPr>
          <w:rFonts w:cs="Times New Roman"/>
          <w:sz w:val="20"/>
          <w:szCs w:val="20"/>
        </w:rPr>
        <w:t xml:space="preserve"> followed by the same letter are not statistically different (P </w:t>
      </w:r>
      <w:r w:rsidRPr="009A3413">
        <w:rPr>
          <w:rFonts w:eastAsia="ＭＳ ゴシック" w:cs="Times New Roman"/>
          <w:color w:val="000000"/>
          <w:sz w:val="20"/>
          <w:szCs w:val="20"/>
        </w:rPr>
        <w:t>≤</w:t>
      </w:r>
      <w:r>
        <w:rPr>
          <w:rFonts w:eastAsia="ＭＳ ゴシック" w:cs="Times New Roman"/>
          <w:color w:val="000000"/>
          <w:sz w:val="20"/>
          <w:szCs w:val="20"/>
        </w:rPr>
        <w:t xml:space="preserve"> 0.05)</w:t>
      </w:r>
    </w:p>
    <w:p w14:paraId="2CC2790F" w14:textId="622EFA12" w:rsidR="00DF3770" w:rsidRDefault="00DF3770" w:rsidP="00110EA5">
      <w:pPr>
        <w:spacing w:line="240" w:lineRule="auto"/>
        <w:rPr>
          <w:rFonts w:cs="Times New Roman"/>
          <w:sz w:val="20"/>
          <w:szCs w:val="20"/>
        </w:rPr>
      </w:pPr>
      <w:proofErr w:type="gramStart"/>
      <w:r w:rsidRPr="002F574C">
        <w:rPr>
          <w:rFonts w:cs="Times New Roman"/>
          <w:sz w:val="20"/>
          <w:szCs w:val="20"/>
          <w:vertAlign w:val="superscript"/>
        </w:rPr>
        <w:t>c</w:t>
      </w:r>
      <w:proofErr w:type="gramEnd"/>
      <w:r w:rsidR="008048D1" w:rsidRPr="008048D1">
        <w:rPr>
          <w:rFonts w:cs="Times New Roman"/>
          <w:color w:val="000000"/>
          <w:sz w:val="20"/>
          <w:szCs w:val="20"/>
        </w:rPr>
        <w:t xml:space="preserve"> </w:t>
      </w:r>
      <w:r w:rsidR="008048D1">
        <w:rPr>
          <w:rFonts w:cs="Times New Roman"/>
          <w:color w:val="000000"/>
          <w:sz w:val="20"/>
          <w:szCs w:val="20"/>
        </w:rPr>
        <w:t>T-tests</w:t>
      </w:r>
      <w:r w:rsidR="008048D1" w:rsidRPr="008C01C7">
        <w:rPr>
          <w:rFonts w:cs="Times New Roman"/>
          <w:color w:val="000000"/>
          <w:sz w:val="20"/>
          <w:szCs w:val="20"/>
        </w:rPr>
        <w:t xml:space="preserve"> were used to determine if responses of safener-treated plants differed </w:t>
      </w:r>
      <w:r w:rsidR="008048D1" w:rsidRPr="008C01C7">
        <w:rPr>
          <w:rFonts w:cs="Times New Roman"/>
          <w:sz w:val="20"/>
          <w:szCs w:val="20"/>
        </w:rPr>
        <w:t>(</w:t>
      </w:r>
      <w:r w:rsidR="008048D1" w:rsidRPr="008C01C7">
        <w:rPr>
          <w:rFonts w:cs="Times New Roman"/>
          <w:color w:val="000000"/>
          <w:sz w:val="20"/>
          <w:szCs w:val="20"/>
        </w:rPr>
        <w:t>α</w:t>
      </w:r>
      <w:r w:rsidR="008048D1" w:rsidRPr="008C01C7">
        <w:rPr>
          <w:rFonts w:cs="Times New Roman"/>
          <w:sz w:val="20"/>
          <w:szCs w:val="20"/>
        </w:rPr>
        <w:t xml:space="preserve"> </w:t>
      </w:r>
      <w:r w:rsidR="008048D1" w:rsidRPr="008C01C7">
        <w:rPr>
          <w:rFonts w:eastAsia="MS Gothic" w:cs="Times New Roman"/>
          <w:color w:val="000000"/>
          <w:sz w:val="20"/>
          <w:szCs w:val="20"/>
        </w:rPr>
        <w:t xml:space="preserve">≤ 0.05) from plants treated with only pinoxaden. </w:t>
      </w:r>
      <w:proofErr w:type="gramStart"/>
      <w:r w:rsidRPr="002F574C">
        <w:rPr>
          <w:rFonts w:cs="Times New Roman"/>
          <w:sz w:val="20"/>
          <w:szCs w:val="20"/>
        </w:rPr>
        <w:t xml:space="preserve">NS, non-significant; *, **, ***, significant when </w:t>
      </w:r>
      <w:r w:rsidRPr="002F574C">
        <w:rPr>
          <w:rFonts w:cs="Times New Roman"/>
          <w:color w:val="000000"/>
          <w:sz w:val="20"/>
          <w:szCs w:val="20"/>
        </w:rPr>
        <w:t xml:space="preserve">α </w:t>
      </w:r>
      <w:r w:rsidRPr="002F574C">
        <w:rPr>
          <w:rFonts w:eastAsia="MS Gothic" w:cs="Times New Roman"/>
          <w:color w:val="000000"/>
        </w:rPr>
        <w:t xml:space="preserve">≤ </w:t>
      </w:r>
      <w:r w:rsidRPr="002F574C">
        <w:rPr>
          <w:rFonts w:cs="Times New Roman"/>
          <w:sz w:val="20"/>
          <w:szCs w:val="20"/>
        </w:rPr>
        <w:t>0.05, 0.01 and 0.001, respectively.</w:t>
      </w:r>
      <w:proofErr w:type="gramEnd"/>
    </w:p>
    <w:p w14:paraId="3BAB06CC" w14:textId="77777777" w:rsidR="00110EA5" w:rsidRDefault="00110EA5">
      <w:pPr>
        <w:spacing w:line="240" w:lineRule="auto"/>
        <w:rPr>
          <w:rFonts w:eastAsia="ＭＳ ゴシック" w:cs="Times New Roman"/>
          <w:color w:val="000000"/>
          <w:sz w:val="20"/>
          <w:szCs w:val="20"/>
        </w:rPr>
      </w:pPr>
      <w:r>
        <w:rPr>
          <w:rFonts w:eastAsia="ＭＳ ゴシック" w:cs="Times New Roman"/>
          <w:color w:val="000000"/>
          <w:sz w:val="20"/>
          <w:szCs w:val="20"/>
        </w:rPr>
        <w:br w:type="page"/>
      </w:r>
    </w:p>
    <w:p w14:paraId="2B308B7D" w14:textId="0EE88845" w:rsidR="00110EA5" w:rsidRPr="00605DCD" w:rsidRDefault="00110EA5" w:rsidP="00110EA5">
      <w:pPr>
        <w:rPr>
          <w:rFonts w:cs="Times New Roman"/>
        </w:rPr>
      </w:pPr>
      <w:r w:rsidRPr="00110EA5">
        <w:rPr>
          <w:rFonts w:cs="Times New Roman"/>
          <w:b/>
        </w:rPr>
        <w:lastRenderedPageBreak/>
        <w:t>Table 2.8.</w:t>
      </w:r>
      <w:r>
        <w:rPr>
          <w:rFonts w:cs="Times New Roman"/>
        </w:rPr>
        <w:t xml:space="preserve"> </w:t>
      </w:r>
      <w:proofErr w:type="gramStart"/>
      <w:r>
        <w:rPr>
          <w:rFonts w:cs="Times New Roman"/>
        </w:rPr>
        <w:t>Roughstalk bluegrass clipping yield after pinoxaden application</w:t>
      </w:r>
      <w:r w:rsidRPr="00605DCD">
        <w:rPr>
          <w:rFonts w:cs="Times New Roman"/>
        </w:rPr>
        <w:t xml:space="preserve"> in a glasshouse in Knoxville, TN in 201</w:t>
      </w:r>
      <w:r>
        <w:rPr>
          <w:rFonts w:cs="Times New Roman"/>
        </w:rPr>
        <w:t>4.</w:t>
      </w:r>
      <w:proofErr w:type="gramEnd"/>
      <w:r>
        <w:rPr>
          <w:rFonts w:cs="Times New Roman"/>
        </w:rPr>
        <w:t xml:space="preserve"> The herbicide safeners cloquintocet-mexyl, fenchlorazole-ethyl and mefenpyr-diethyl were applied </w:t>
      </w:r>
      <w:r w:rsidRPr="00605DCD">
        <w:rPr>
          <w:rFonts w:cs="Times New Roman"/>
        </w:rPr>
        <w:t xml:space="preserve">at </w:t>
      </w:r>
      <w:r>
        <w:rPr>
          <w:rFonts w:cs="Times New Roman"/>
          <w:color w:val="000000"/>
        </w:rPr>
        <w:t xml:space="preserve">high or low rates (225 or 68 </w:t>
      </w:r>
      <w:r w:rsidRPr="00605DCD">
        <w:rPr>
          <w:rFonts w:cs="Times New Roman"/>
        </w:rPr>
        <w:t>g ha</w:t>
      </w:r>
      <w:r w:rsidRPr="00605DCD">
        <w:rPr>
          <w:rFonts w:cs="Times New Roman"/>
          <w:vertAlign w:val="superscript"/>
        </w:rPr>
        <w:t>-1</w:t>
      </w:r>
      <w:r>
        <w:rPr>
          <w:rFonts w:cs="Times New Roman"/>
        </w:rPr>
        <w:t>, respectively) 30 min</w:t>
      </w:r>
      <w:r w:rsidRPr="00605DCD">
        <w:rPr>
          <w:rFonts w:cs="Times New Roman"/>
        </w:rPr>
        <w:t xml:space="preserve">s prior to </w:t>
      </w:r>
      <w:r>
        <w:rPr>
          <w:rFonts w:cs="Times New Roman"/>
        </w:rPr>
        <w:t>pinoxaden (90 g ha</w:t>
      </w:r>
      <w:r w:rsidRPr="006212E3">
        <w:rPr>
          <w:rFonts w:cs="Times New Roman"/>
          <w:vertAlign w:val="superscript"/>
        </w:rPr>
        <w:t>-1</w:t>
      </w:r>
      <w:r>
        <w:rPr>
          <w:rFonts w:cs="Times New Roman"/>
        </w:rPr>
        <w:t>) application</w:t>
      </w:r>
      <w:r w:rsidRPr="00605DCD">
        <w:rPr>
          <w:rFonts w:cs="Times New Roman"/>
        </w:rPr>
        <w:t>.</w:t>
      </w:r>
      <w:r>
        <w:rPr>
          <w:rFonts w:cs="Times New Roman"/>
        </w:rPr>
        <w:t xml:space="preserve"> Clippings were collected 2 and 4 weeks after treatment, dried, weighed and transformed to a percentage of the non-treated control. Data from two experimental runs are presented separately. </w:t>
      </w:r>
    </w:p>
    <w:tbl>
      <w:tblPr>
        <w:tblStyle w:val="TableGrid"/>
        <w:tblW w:w="12120" w:type="dxa"/>
        <w:tblInd w:w="46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720"/>
        <w:gridCol w:w="810"/>
        <w:gridCol w:w="900"/>
        <w:gridCol w:w="810"/>
        <w:gridCol w:w="720"/>
        <w:gridCol w:w="930"/>
        <w:gridCol w:w="270"/>
        <w:gridCol w:w="780"/>
        <w:gridCol w:w="720"/>
        <w:gridCol w:w="975"/>
        <w:gridCol w:w="915"/>
        <w:gridCol w:w="630"/>
        <w:gridCol w:w="960"/>
      </w:tblGrid>
      <w:tr w:rsidR="00110EA5" w14:paraId="4DA1AD52" w14:textId="77777777">
        <w:tc>
          <w:tcPr>
            <w:tcW w:w="1980" w:type="dxa"/>
            <w:tcBorders>
              <w:top w:val="single" w:sz="4" w:space="0" w:color="auto"/>
              <w:bottom w:val="nil"/>
            </w:tcBorders>
            <w:vAlign w:val="bottom"/>
          </w:tcPr>
          <w:p w14:paraId="006409EA" w14:textId="77777777" w:rsidR="00110EA5" w:rsidRDefault="00110EA5" w:rsidP="007139E2">
            <w:pPr>
              <w:jc w:val="center"/>
              <w:rPr>
                <w:rFonts w:cs="Times New Roman"/>
                <w:sz w:val="20"/>
                <w:szCs w:val="20"/>
              </w:rPr>
            </w:pPr>
          </w:p>
        </w:tc>
        <w:tc>
          <w:tcPr>
            <w:tcW w:w="4890" w:type="dxa"/>
            <w:gridSpan w:val="6"/>
            <w:tcBorders>
              <w:top w:val="single" w:sz="4" w:space="0" w:color="auto"/>
              <w:bottom w:val="single" w:sz="4" w:space="0" w:color="auto"/>
            </w:tcBorders>
            <w:vAlign w:val="bottom"/>
          </w:tcPr>
          <w:p w14:paraId="18DCFEC6" w14:textId="77777777" w:rsidR="00110EA5" w:rsidRDefault="00110EA5" w:rsidP="007139E2">
            <w:pPr>
              <w:jc w:val="center"/>
              <w:rPr>
                <w:rFonts w:cs="Times New Roman"/>
                <w:sz w:val="20"/>
                <w:szCs w:val="20"/>
              </w:rPr>
            </w:pPr>
            <w:r>
              <w:rPr>
                <w:rFonts w:cs="Times New Roman"/>
                <w:sz w:val="20"/>
                <w:szCs w:val="20"/>
              </w:rPr>
              <w:t>2 Weeks After Treatment</w:t>
            </w:r>
          </w:p>
        </w:tc>
        <w:tc>
          <w:tcPr>
            <w:tcW w:w="270" w:type="dxa"/>
            <w:tcBorders>
              <w:top w:val="single" w:sz="4" w:space="0" w:color="auto"/>
              <w:bottom w:val="nil"/>
            </w:tcBorders>
          </w:tcPr>
          <w:p w14:paraId="71269E36" w14:textId="77777777" w:rsidR="00110EA5" w:rsidRDefault="00110EA5" w:rsidP="007139E2">
            <w:pPr>
              <w:jc w:val="center"/>
              <w:rPr>
                <w:rFonts w:cs="Times New Roman"/>
                <w:sz w:val="20"/>
                <w:szCs w:val="20"/>
              </w:rPr>
            </w:pPr>
          </w:p>
        </w:tc>
        <w:tc>
          <w:tcPr>
            <w:tcW w:w="4980" w:type="dxa"/>
            <w:gridSpan w:val="6"/>
            <w:tcBorders>
              <w:top w:val="single" w:sz="4" w:space="0" w:color="auto"/>
              <w:bottom w:val="single" w:sz="4" w:space="0" w:color="auto"/>
            </w:tcBorders>
          </w:tcPr>
          <w:p w14:paraId="7190733C" w14:textId="77777777" w:rsidR="00110EA5" w:rsidRDefault="00110EA5" w:rsidP="007139E2">
            <w:pPr>
              <w:jc w:val="center"/>
              <w:rPr>
                <w:rFonts w:cs="Times New Roman"/>
                <w:sz w:val="20"/>
                <w:szCs w:val="20"/>
              </w:rPr>
            </w:pPr>
            <w:r>
              <w:rPr>
                <w:rFonts w:cs="Times New Roman"/>
                <w:sz w:val="20"/>
                <w:szCs w:val="20"/>
              </w:rPr>
              <w:t>4 Weeks After Treatment</w:t>
            </w:r>
          </w:p>
        </w:tc>
      </w:tr>
      <w:tr w:rsidR="00110EA5" w14:paraId="77BBA2DB" w14:textId="77777777">
        <w:tc>
          <w:tcPr>
            <w:tcW w:w="1980" w:type="dxa"/>
            <w:tcBorders>
              <w:top w:val="nil"/>
              <w:bottom w:val="single" w:sz="4" w:space="0" w:color="auto"/>
            </w:tcBorders>
            <w:vAlign w:val="bottom"/>
          </w:tcPr>
          <w:p w14:paraId="4E830B9D" w14:textId="77777777" w:rsidR="00110EA5" w:rsidRDefault="00110EA5" w:rsidP="007139E2">
            <w:pPr>
              <w:jc w:val="center"/>
              <w:rPr>
                <w:rFonts w:cs="Times New Roman"/>
                <w:sz w:val="20"/>
                <w:szCs w:val="20"/>
              </w:rPr>
            </w:pPr>
            <w:r>
              <w:rPr>
                <w:rFonts w:cs="Times New Roman"/>
                <w:sz w:val="20"/>
                <w:szCs w:val="20"/>
              </w:rPr>
              <w:t xml:space="preserve">Safener </w:t>
            </w:r>
          </w:p>
        </w:tc>
        <w:tc>
          <w:tcPr>
            <w:tcW w:w="2430" w:type="dxa"/>
            <w:gridSpan w:val="3"/>
            <w:tcBorders>
              <w:top w:val="single" w:sz="4" w:space="0" w:color="auto"/>
              <w:bottom w:val="single" w:sz="4" w:space="0" w:color="auto"/>
            </w:tcBorders>
            <w:vAlign w:val="bottom"/>
          </w:tcPr>
          <w:p w14:paraId="1461644C" w14:textId="77777777" w:rsidR="00110EA5" w:rsidRDefault="00110EA5" w:rsidP="007139E2">
            <w:pPr>
              <w:jc w:val="center"/>
              <w:rPr>
                <w:rFonts w:cs="Times New Roman"/>
                <w:sz w:val="20"/>
                <w:szCs w:val="20"/>
              </w:rPr>
            </w:pPr>
            <w:r>
              <w:rPr>
                <w:rFonts w:cs="Times New Roman"/>
                <w:sz w:val="20"/>
                <w:szCs w:val="20"/>
              </w:rPr>
              <w:t>Run A</w:t>
            </w:r>
          </w:p>
        </w:tc>
        <w:tc>
          <w:tcPr>
            <w:tcW w:w="2460" w:type="dxa"/>
            <w:gridSpan w:val="3"/>
            <w:tcBorders>
              <w:top w:val="single" w:sz="4" w:space="0" w:color="auto"/>
              <w:bottom w:val="single" w:sz="4" w:space="0" w:color="auto"/>
            </w:tcBorders>
            <w:vAlign w:val="bottom"/>
          </w:tcPr>
          <w:p w14:paraId="77517E6A" w14:textId="77777777" w:rsidR="00110EA5" w:rsidRDefault="00110EA5" w:rsidP="007139E2">
            <w:pPr>
              <w:jc w:val="center"/>
              <w:rPr>
                <w:rFonts w:cs="Times New Roman"/>
                <w:sz w:val="20"/>
                <w:szCs w:val="20"/>
              </w:rPr>
            </w:pPr>
            <w:r>
              <w:rPr>
                <w:rFonts w:cs="Times New Roman"/>
                <w:sz w:val="20"/>
                <w:szCs w:val="20"/>
              </w:rPr>
              <w:t>Run B</w:t>
            </w:r>
          </w:p>
        </w:tc>
        <w:tc>
          <w:tcPr>
            <w:tcW w:w="270" w:type="dxa"/>
            <w:tcBorders>
              <w:top w:val="nil"/>
              <w:bottom w:val="single" w:sz="4" w:space="0" w:color="auto"/>
            </w:tcBorders>
          </w:tcPr>
          <w:p w14:paraId="0C6B9B4D" w14:textId="77777777" w:rsidR="00110EA5" w:rsidRDefault="00110EA5" w:rsidP="007139E2">
            <w:pPr>
              <w:jc w:val="center"/>
              <w:rPr>
                <w:rFonts w:cs="Times New Roman"/>
                <w:sz w:val="20"/>
                <w:szCs w:val="20"/>
              </w:rPr>
            </w:pPr>
          </w:p>
        </w:tc>
        <w:tc>
          <w:tcPr>
            <w:tcW w:w="2475" w:type="dxa"/>
            <w:gridSpan w:val="3"/>
            <w:tcBorders>
              <w:top w:val="single" w:sz="4" w:space="0" w:color="auto"/>
              <w:bottom w:val="single" w:sz="4" w:space="0" w:color="auto"/>
            </w:tcBorders>
          </w:tcPr>
          <w:p w14:paraId="173196F1" w14:textId="77777777" w:rsidR="00110EA5" w:rsidRDefault="00110EA5" w:rsidP="007139E2">
            <w:pPr>
              <w:jc w:val="center"/>
              <w:rPr>
                <w:rFonts w:cs="Times New Roman"/>
                <w:sz w:val="20"/>
                <w:szCs w:val="20"/>
              </w:rPr>
            </w:pPr>
            <w:r>
              <w:rPr>
                <w:rFonts w:cs="Times New Roman"/>
                <w:sz w:val="20"/>
                <w:szCs w:val="20"/>
              </w:rPr>
              <w:t>Run A</w:t>
            </w:r>
          </w:p>
        </w:tc>
        <w:tc>
          <w:tcPr>
            <w:tcW w:w="2505" w:type="dxa"/>
            <w:gridSpan w:val="3"/>
            <w:tcBorders>
              <w:top w:val="single" w:sz="4" w:space="0" w:color="auto"/>
              <w:bottom w:val="single" w:sz="4" w:space="0" w:color="auto"/>
            </w:tcBorders>
          </w:tcPr>
          <w:p w14:paraId="64785757" w14:textId="77777777" w:rsidR="00110EA5" w:rsidRDefault="00110EA5" w:rsidP="007139E2">
            <w:pPr>
              <w:jc w:val="center"/>
              <w:rPr>
                <w:rFonts w:cs="Times New Roman"/>
                <w:sz w:val="20"/>
                <w:szCs w:val="20"/>
              </w:rPr>
            </w:pPr>
            <w:r>
              <w:rPr>
                <w:rFonts w:cs="Times New Roman"/>
                <w:sz w:val="20"/>
                <w:szCs w:val="20"/>
              </w:rPr>
              <w:t>Run B</w:t>
            </w:r>
          </w:p>
        </w:tc>
      </w:tr>
      <w:tr w:rsidR="00110EA5" w:rsidRPr="00605DCD" w14:paraId="327BB621" w14:textId="77777777">
        <w:trPr>
          <w:trHeight w:val="512"/>
        </w:trPr>
        <w:tc>
          <w:tcPr>
            <w:tcW w:w="1980" w:type="dxa"/>
            <w:tcBorders>
              <w:top w:val="single" w:sz="4" w:space="0" w:color="auto"/>
            </w:tcBorders>
            <w:vAlign w:val="bottom"/>
          </w:tcPr>
          <w:p w14:paraId="7463AE3B" w14:textId="77777777" w:rsidR="00110EA5" w:rsidRPr="00605DCD" w:rsidRDefault="00110EA5" w:rsidP="007139E2">
            <w:pPr>
              <w:jc w:val="center"/>
              <w:rPr>
                <w:rFonts w:cs="Times New Roman"/>
                <w:sz w:val="20"/>
                <w:szCs w:val="20"/>
              </w:rPr>
            </w:pPr>
          </w:p>
        </w:tc>
        <w:tc>
          <w:tcPr>
            <w:tcW w:w="1530" w:type="dxa"/>
            <w:gridSpan w:val="2"/>
            <w:tcBorders>
              <w:top w:val="single" w:sz="4" w:space="0" w:color="auto"/>
            </w:tcBorders>
            <w:vAlign w:val="bottom"/>
          </w:tcPr>
          <w:p w14:paraId="2F20053F" w14:textId="77777777" w:rsidR="00110EA5" w:rsidRPr="00605DCD" w:rsidRDefault="00110EA5" w:rsidP="007139E2">
            <w:pPr>
              <w:jc w:val="center"/>
              <w:rPr>
                <w:rFonts w:cs="Times New Roman"/>
                <w:sz w:val="20"/>
                <w:szCs w:val="20"/>
              </w:rPr>
            </w:pPr>
            <w:r>
              <w:rPr>
                <w:rFonts w:cs="Times New Roman"/>
                <w:sz w:val="20"/>
                <w:szCs w:val="20"/>
                <w:vertAlign w:val="superscript"/>
              </w:rPr>
              <w:t>_</w:t>
            </w:r>
            <w:r w:rsidRPr="008B621B">
              <w:rPr>
                <w:rFonts w:cs="Times New Roman"/>
                <w:sz w:val="20"/>
                <w:szCs w:val="20"/>
                <w:vertAlign w:val="superscript"/>
              </w:rPr>
              <w:t>_</w:t>
            </w:r>
            <w:r>
              <w:rPr>
                <w:rFonts w:cs="Times New Roman"/>
                <w:sz w:val="20"/>
                <w:szCs w:val="20"/>
              </w:rPr>
              <w:t xml:space="preserve">% </w:t>
            </w:r>
            <w:proofErr w:type="gramStart"/>
            <w:r>
              <w:rPr>
                <w:rFonts w:cs="Times New Roman"/>
                <w:sz w:val="20"/>
                <w:szCs w:val="20"/>
              </w:rPr>
              <w:t>of</w:t>
            </w:r>
            <w:proofErr w:type="gramEnd"/>
            <w:r>
              <w:rPr>
                <w:rFonts w:cs="Times New Roman"/>
                <w:sz w:val="20"/>
                <w:szCs w:val="20"/>
              </w:rPr>
              <w:t xml:space="preserve"> control</w:t>
            </w:r>
            <w:r>
              <w:rPr>
                <w:rFonts w:cs="Times New Roman"/>
                <w:sz w:val="20"/>
                <w:szCs w:val="20"/>
                <w:vertAlign w:val="superscript"/>
              </w:rPr>
              <w:t>_</w:t>
            </w:r>
            <w:r w:rsidRPr="008B621B">
              <w:rPr>
                <w:rFonts w:cs="Times New Roman"/>
                <w:sz w:val="20"/>
                <w:szCs w:val="20"/>
                <w:vertAlign w:val="superscript"/>
              </w:rPr>
              <w:t>_</w:t>
            </w:r>
          </w:p>
        </w:tc>
        <w:tc>
          <w:tcPr>
            <w:tcW w:w="900" w:type="dxa"/>
            <w:tcBorders>
              <w:top w:val="single" w:sz="4" w:space="0" w:color="auto"/>
            </w:tcBorders>
            <w:vAlign w:val="bottom"/>
          </w:tcPr>
          <w:p w14:paraId="7A760671" w14:textId="77777777" w:rsidR="00110EA5" w:rsidRPr="00605DCD" w:rsidRDefault="00110EA5" w:rsidP="007139E2">
            <w:pPr>
              <w:jc w:val="center"/>
              <w:rPr>
                <w:rFonts w:cs="Times New Roman"/>
                <w:sz w:val="20"/>
                <w:szCs w:val="20"/>
              </w:rPr>
            </w:pPr>
            <w:r>
              <w:rPr>
                <w:rFonts w:cs="Times New Roman"/>
                <w:sz w:val="20"/>
                <w:szCs w:val="20"/>
              </w:rPr>
              <w:t>T-test</w:t>
            </w:r>
          </w:p>
        </w:tc>
        <w:tc>
          <w:tcPr>
            <w:tcW w:w="1530" w:type="dxa"/>
            <w:gridSpan w:val="2"/>
            <w:tcBorders>
              <w:top w:val="single" w:sz="4" w:space="0" w:color="auto"/>
            </w:tcBorders>
            <w:vAlign w:val="bottom"/>
          </w:tcPr>
          <w:p w14:paraId="1CE224F9" w14:textId="77777777" w:rsidR="00110EA5" w:rsidRPr="00605DCD" w:rsidRDefault="00110EA5" w:rsidP="007139E2">
            <w:pPr>
              <w:jc w:val="center"/>
              <w:rPr>
                <w:rFonts w:cs="Times New Roman"/>
                <w:sz w:val="20"/>
                <w:szCs w:val="20"/>
              </w:rPr>
            </w:pPr>
            <w:r>
              <w:rPr>
                <w:rFonts w:cs="Times New Roman"/>
                <w:sz w:val="20"/>
                <w:szCs w:val="20"/>
                <w:vertAlign w:val="superscript"/>
              </w:rPr>
              <w:t>_</w:t>
            </w:r>
            <w:r w:rsidRPr="008B621B">
              <w:rPr>
                <w:rFonts w:cs="Times New Roman"/>
                <w:sz w:val="20"/>
                <w:szCs w:val="20"/>
                <w:vertAlign w:val="superscript"/>
              </w:rPr>
              <w:t>_</w:t>
            </w:r>
            <w:r>
              <w:rPr>
                <w:rFonts w:cs="Times New Roman"/>
                <w:sz w:val="20"/>
                <w:szCs w:val="20"/>
              </w:rPr>
              <w:t xml:space="preserve">% </w:t>
            </w:r>
            <w:proofErr w:type="gramStart"/>
            <w:r>
              <w:rPr>
                <w:rFonts w:cs="Times New Roman"/>
                <w:sz w:val="20"/>
                <w:szCs w:val="20"/>
              </w:rPr>
              <w:t>of</w:t>
            </w:r>
            <w:proofErr w:type="gramEnd"/>
            <w:r>
              <w:rPr>
                <w:rFonts w:cs="Times New Roman"/>
                <w:sz w:val="20"/>
                <w:szCs w:val="20"/>
              </w:rPr>
              <w:t xml:space="preserve"> control</w:t>
            </w:r>
            <w:r>
              <w:rPr>
                <w:rFonts w:cs="Times New Roman"/>
                <w:sz w:val="20"/>
                <w:szCs w:val="20"/>
                <w:vertAlign w:val="superscript"/>
              </w:rPr>
              <w:t>_</w:t>
            </w:r>
            <w:r w:rsidRPr="008B621B">
              <w:rPr>
                <w:rFonts w:cs="Times New Roman"/>
                <w:sz w:val="20"/>
                <w:szCs w:val="20"/>
                <w:vertAlign w:val="superscript"/>
              </w:rPr>
              <w:t>_</w:t>
            </w:r>
          </w:p>
        </w:tc>
        <w:tc>
          <w:tcPr>
            <w:tcW w:w="930" w:type="dxa"/>
            <w:tcBorders>
              <w:top w:val="single" w:sz="4" w:space="0" w:color="auto"/>
            </w:tcBorders>
            <w:vAlign w:val="bottom"/>
          </w:tcPr>
          <w:p w14:paraId="2AB12B1E" w14:textId="77777777" w:rsidR="00110EA5" w:rsidRPr="00605DCD" w:rsidRDefault="00110EA5" w:rsidP="007139E2">
            <w:pPr>
              <w:jc w:val="center"/>
              <w:rPr>
                <w:rFonts w:cs="Times New Roman"/>
                <w:sz w:val="20"/>
                <w:szCs w:val="20"/>
              </w:rPr>
            </w:pPr>
            <w:r>
              <w:rPr>
                <w:rFonts w:cs="Times New Roman"/>
                <w:sz w:val="20"/>
                <w:szCs w:val="20"/>
              </w:rPr>
              <w:t>T-test</w:t>
            </w:r>
          </w:p>
        </w:tc>
        <w:tc>
          <w:tcPr>
            <w:tcW w:w="270" w:type="dxa"/>
            <w:tcBorders>
              <w:top w:val="single" w:sz="4" w:space="0" w:color="auto"/>
            </w:tcBorders>
          </w:tcPr>
          <w:p w14:paraId="69CFDC63" w14:textId="77777777" w:rsidR="00110EA5" w:rsidRDefault="00110EA5" w:rsidP="007139E2">
            <w:pPr>
              <w:jc w:val="center"/>
              <w:rPr>
                <w:rFonts w:cs="Times New Roman"/>
                <w:sz w:val="20"/>
                <w:szCs w:val="20"/>
                <w:vertAlign w:val="superscript"/>
              </w:rPr>
            </w:pPr>
          </w:p>
        </w:tc>
        <w:tc>
          <w:tcPr>
            <w:tcW w:w="1500" w:type="dxa"/>
            <w:gridSpan w:val="2"/>
            <w:tcBorders>
              <w:top w:val="single" w:sz="4" w:space="0" w:color="auto"/>
            </w:tcBorders>
            <w:vAlign w:val="bottom"/>
          </w:tcPr>
          <w:p w14:paraId="6646AE89" w14:textId="77777777" w:rsidR="00110EA5" w:rsidRDefault="00110EA5" w:rsidP="007139E2">
            <w:pPr>
              <w:jc w:val="center"/>
              <w:rPr>
                <w:rFonts w:cs="Times New Roman"/>
                <w:sz w:val="20"/>
                <w:szCs w:val="20"/>
              </w:rPr>
            </w:pPr>
            <w:r>
              <w:rPr>
                <w:rFonts w:cs="Times New Roman"/>
                <w:sz w:val="20"/>
                <w:szCs w:val="20"/>
                <w:vertAlign w:val="superscript"/>
              </w:rPr>
              <w:t>_</w:t>
            </w:r>
            <w:r w:rsidRPr="008B621B">
              <w:rPr>
                <w:rFonts w:cs="Times New Roman"/>
                <w:sz w:val="20"/>
                <w:szCs w:val="20"/>
                <w:vertAlign w:val="superscript"/>
              </w:rPr>
              <w:t>_</w:t>
            </w:r>
            <w:r>
              <w:rPr>
                <w:rFonts w:cs="Times New Roman"/>
                <w:sz w:val="20"/>
                <w:szCs w:val="20"/>
              </w:rPr>
              <w:t xml:space="preserve">% </w:t>
            </w:r>
            <w:proofErr w:type="gramStart"/>
            <w:r>
              <w:rPr>
                <w:rFonts w:cs="Times New Roman"/>
                <w:sz w:val="20"/>
                <w:szCs w:val="20"/>
              </w:rPr>
              <w:t>of</w:t>
            </w:r>
            <w:proofErr w:type="gramEnd"/>
            <w:r>
              <w:rPr>
                <w:rFonts w:cs="Times New Roman"/>
                <w:sz w:val="20"/>
                <w:szCs w:val="20"/>
              </w:rPr>
              <w:t xml:space="preserve"> control</w:t>
            </w:r>
            <w:r>
              <w:rPr>
                <w:rFonts w:cs="Times New Roman"/>
                <w:sz w:val="20"/>
                <w:szCs w:val="20"/>
                <w:vertAlign w:val="superscript"/>
              </w:rPr>
              <w:t>_</w:t>
            </w:r>
            <w:r w:rsidRPr="008B621B">
              <w:rPr>
                <w:rFonts w:cs="Times New Roman"/>
                <w:sz w:val="20"/>
                <w:szCs w:val="20"/>
                <w:vertAlign w:val="superscript"/>
              </w:rPr>
              <w:t>_</w:t>
            </w:r>
          </w:p>
        </w:tc>
        <w:tc>
          <w:tcPr>
            <w:tcW w:w="975" w:type="dxa"/>
            <w:tcBorders>
              <w:top w:val="single" w:sz="4" w:space="0" w:color="auto"/>
            </w:tcBorders>
            <w:vAlign w:val="bottom"/>
          </w:tcPr>
          <w:p w14:paraId="40A29F2D" w14:textId="77777777" w:rsidR="00110EA5" w:rsidRDefault="00110EA5" w:rsidP="007139E2">
            <w:pPr>
              <w:jc w:val="center"/>
              <w:rPr>
                <w:rFonts w:cs="Times New Roman"/>
                <w:sz w:val="20"/>
                <w:szCs w:val="20"/>
              </w:rPr>
            </w:pPr>
            <w:r>
              <w:rPr>
                <w:rFonts w:cs="Times New Roman"/>
                <w:sz w:val="20"/>
                <w:szCs w:val="20"/>
              </w:rPr>
              <w:t>T-test</w:t>
            </w:r>
          </w:p>
        </w:tc>
        <w:tc>
          <w:tcPr>
            <w:tcW w:w="1545" w:type="dxa"/>
            <w:gridSpan w:val="2"/>
            <w:tcBorders>
              <w:top w:val="single" w:sz="4" w:space="0" w:color="auto"/>
            </w:tcBorders>
            <w:vAlign w:val="bottom"/>
          </w:tcPr>
          <w:p w14:paraId="39C16048" w14:textId="77777777" w:rsidR="00110EA5" w:rsidRDefault="00110EA5" w:rsidP="007139E2">
            <w:pPr>
              <w:jc w:val="center"/>
              <w:rPr>
                <w:rFonts w:cs="Times New Roman"/>
                <w:sz w:val="20"/>
                <w:szCs w:val="20"/>
              </w:rPr>
            </w:pPr>
            <w:r>
              <w:rPr>
                <w:rFonts w:cs="Times New Roman"/>
                <w:sz w:val="20"/>
                <w:szCs w:val="20"/>
                <w:vertAlign w:val="superscript"/>
              </w:rPr>
              <w:t>_</w:t>
            </w:r>
            <w:r w:rsidRPr="008B621B">
              <w:rPr>
                <w:rFonts w:cs="Times New Roman"/>
                <w:sz w:val="20"/>
                <w:szCs w:val="20"/>
                <w:vertAlign w:val="superscript"/>
              </w:rPr>
              <w:t>_</w:t>
            </w:r>
            <w:r>
              <w:rPr>
                <w:rFonts w:cs="Times New Roman"/>
                <w:sz w:val="20"/>
                <w:szCs w:val="20"/>
              </w:rPr>
              <w:t xml:space="preserve">% </w:t>
            </w:r>
            <w:proofErr w:type="gramStart"/>
            <w:r>
              <w:rPr>
                <w:rFonts w:cs="Times New Roman"/>
                <w:sz w:val="20"/>
                <w:szCs w:val="20"/>
              </w:rPr>
              <w:t>of</w:t>
            </w:r>
            <w:proofErr w:type="gramEnd"/>
            <w:r>
              <w:rPr>
                <w:rFonts w:cs="Times New Roman"/>
                <w:sz w:val="20"/>
                <w:szCs w:val="20"/>
              </w:rPr>
              <w:t xml:space="preserve"> control</w:t>
            </w:r>
            <w:r>
              <w:rPr>
                <w:rFonts w:cs="Times New Roman"/>
                <w:sz w:val="20"/>
                <w:szCs w:val="20"/>
                <w:vertAlign w:val="superscript"/>
              </w:rPr>
              <w:t>_</w:t>
            </w:r>
            <w:r w:rsidRPr="008B621B">
              <w:rPr>
                <w:rFonts w:cs="Times New Roman"/>
                <w:sz w:val="20"/>
                <w:szCs w:val="20"/>
                <w:vertAlign w:val="superscript"/>
              </w:rPr>
              <w:t>_</w:t>
            </w:r>
          </w:p>
        </w:tc>
        <w:tc>
          <w:tcPr>
            <w:tcW w:w="960" w:type="dxa"/>
            <w:tcBorders>
              <w:top w:val="single" w:sz="4" w:space="0" w:color="auto"/>
            </w:tcBorders>
            <w:vAlign w:val="bottom"/>
          </w:tcPr>
          <w:p w14:paraId="4A978951" w14:textId="77777777" w:rsidR="00110EA5" w:rsidRDefault="00110EA5" w:rsidP="007139E2">
            <w:pPr>
              <w:jc w:val="center"/>
              <w:rPr>
                <w:rFonts w:cs="Times New Roman"/>
                <w:sz w:val="20"/>
                <w:szCs w:val="20"/>
              </w:rPr>
            </w:pPr>
            <w:r>
              <w:rPr>
                <w:rFonts w:cs="Times New Roman"/>
                <w:sz w:val="20"/>
                <w:szCs w:val="20"/>
              </w:rPr>
              <w:t>T-test</w:t>
            </w:r>
          </w:p>
        </w:tc>
      </w:tr>
      <w:tr w:rsidR="00110EA5" w:rsidRPr="00605DCD" w14:paraId="371D27D0" w14:textId="77777777">
        <w:tc>
          <w:tcPr>
            <w:tcW w:w="1980" w:type="dxa"/>
            <w:vAlign w:val="bottom"/>
          </w:tcPr>
          <w:p w14:paraId="4F06D153" w14:textId="77777777" w:rsidR="00110EA5" w:rsidRPr="00605DCD" w:rsidRDefault="00110EA5" w:rsidP="007139E2">
            <w:pPr>
              <w:jc w:val="center"/>
              <w:rPr>
                <w:rFonts w:cs="Times New Roman"/>
                <w:sz w:val="20"/>
                <w:szCs w:val="20"/>
              </w:rPr>
            </w:pPr>
            <w:r>
              <w:rPr>
                <w:rFonts w:cs="Times New Roman"/>
                <w:sz w:val="20"/>
                <w:szCs w:val="20"/>
              </w:rPr>
              <w:t>Cloquintocet-mexyl</w:t>
            </w:r>
            <w:r w:rsidRPr="00605DCD">
              <w:rPr>
                <w:rFonts w:cs="Times New Roman"/>
                <w:sz w:val="20"/>
                <w:szCs w:val="20"/>
                <w:vertAlign w:val="superscript"/>
              </w:rPr>
              <w:t>a</w:t>
            </w:r>
          </w:p>
        </w:tc>
        <w:tc>
          <w:tcPr>
            <w:tcW w:w="720" w:type="dxa"/>
          </w:tcPr>
          <w:p w14:paraId="539945FA" w14:textId="77777777" w:rsidR="00110EA5" w:rsidRPr="00605DCD" w:rsidRDefault="00110EA5" w:rsidP="007139E2">
            <w:pPr>
              <w:jc w:val="center"/>
              <w:rPr>
                <w:rFonts w:cs="Times New Roman"/>
                <w:sz w:val="20"/>
                <w:szCs w:val="20"/>
              </w:rPr>
            </w:pPr>
            <w:r>
              <w:rPr>
                <w:rFonts w:cs="Times New Roman"/>
                <w:sz w:val="20"/>
                <w:szCs w:val="20"/>
              </w:rPr>
              <w:t>49</w:t>
            </w:r>
          </w:p>
        </w:tc>
        <w:tc>
          <w:tcPr>
            <w:tcW w:w="810" w:type="dxa"/>
          </w:tcPr>
          <w:p w14:paraId="3A1E6615" w14:textId="77777777" w:rsidR="00110EA5" w:rsidRPr="00A25559" w:rsidRDefault="00110EA5" w:rsidP="007139E2">
            <w:pPr>
              <w:jc w:val="center"/>
              <w:rPr>
                <w:rFonts w:cs="Times New Roman"/>
                <w:sz w:val="20"/>
                <w:szCs w:val="20"/>
                <w:vertAlign w:val="superscript"/>
              </w:rPr>
            </w:pPr>
            <w:proofErr w:type="gramStart"/>
            <w:r>
              <w:rPr>
                <w:rFonts w:cs="Times New Roman"/>
                <w:sz w:val="20"/>
                <w:szCs w:val="20"/>
              </w:rPr>
              <w:t>a</w:t>
            </w:r>
            <w:r>
              <w:rPr>
                <w:rFonts w:cs="Times New Roman"/>
                <w:sz w:val="20"/>
                <w:szCs w:val="20"/>
                <w:vertAlign w:val="superscript"/>
              </w:rPr>
              <w:t>b</w:t>
            </w:r>
            <w:proofErr w:type="gramEnd"/>
          </w:p>
        </w:tc>
        <w:tc>
          <w:tcPr>
            <w:tcW w:w="900" w:type="dxa"/>
          </w:tcPr>
          <w:p w14:paraId="3B3EFA70" w14:textId="77777777" w:rsidR="00110EA5" w:rsidRPr="002A6DD8" w:rsidRDefault="00110EA5" w:rsidP="007139E2">
            <w:pPr>
              <w:jc w:val="center"/>
              <w:rPr>
                <w:rFonts w:cs="Times New Roman"/>
                <w:sz w:val="20"/>
                <w:szCs w:val="20"/>
                <w:vertAlign w:val="superscript"/>
              </w:rPr>
            </w:pPr>
            <w:r w:rsidRPr="00CD04F3">
              <w:rPr>
                <w:rFonts w:cs="Times New Roman"/>
                <w:sz w:val="20"/>
                <w:szCs w:val="20"/>
              </w:rPr>
              <w:t>**</w:t>
            </w:r>
            <w:proofErr w:type="gramStart"/>
            <w:r>
              <w:rPr>
                <w:rFonts w:cs="Times New Roman"/>
                <w:sz w:val="20"/>
                <w:szCs w:val="20"/>
                <w:vertAlign w:val="superscript"/>
              </w:rPr>
              <w:t>c</w:t>
            </w:r>
            <w:proofErr w:type="gramEnd"/>
          </w:p>
        </w:tc>
        <w:tc>
          <w:tcPr>
            <w:tcW w:w="810" w:type="dxa"/>
          </w:tcPr>
          <w:p w14:paraId="7A1A671C" w14:textId="77777777" w:rsidR="00110EA5" w:rsidRPr="00605DCD" w:rsidRDefault="00110EA5" w:rsidP="007139E2">
            <w:pPr>
              <w:jc w:val="center"/>
              <w:rPr>
                <w:rFonts w:cs="Times New Roman"/>
                <w:sz w:val="20"/>
                <w:szCs w:val="20"/>
              </w:rPr>
            </w:pPr>
            <w:r>
              <w:rPr>
                <w:rFonts w:cs="Times New Roman"/>
                <w:sz w:val="20"/>
                <w:szCs w:val="20"/>
              </w:rPr>
              <w:t>32</w:t>
            </w:r>
          </w:p>
        </w:tc>
        <w:tc>
          <w:tcPr>
            <w:tcW w:w="720" w:type="dxa"/>
          </w:tcPr>
          <w:p w14:paraId="61F2A7DD" w14:textId="77777777" w:rsidR="00110EA5" w:rsidRPr="00605DCD" w:rsidRDefault="00110EA5" w:rsidP="007139E2">
            <w:pPr>
              <w:jc w:val="center"/>
              <w:rPr>
                <w:rFonts w:cs="Times New Roman"/>
                <w:sz w:val="20"/>
                <w:szCs w:val="20"/>
              </w:rPr>
            </w:pPr>
            <w:proofErr w:type="gramStart"/>
            <w:r>
              <w:rPr>
                <w:rFonts w:cs="Times New Roman"/>
                <w:sz w:val="20"/>
                <w:szCs w:val="20"/>
              </w:rPr>
              <w:t>a</w:t>
            </w:r>
            <w:proofErr w:type="gramEnd"/>
          </w:p>
        </w:tc>
        <w:tc>
          <w:tcPr>
            <w:tcW w:w="930" w:type="dxa"/>
          </w:tcPr>
          <w:p w14:paraId="351EAB84" w14:textId="77777777" w:rsidR="00110EA5" w:rsidRPr="00605DCD" w:rsidRDefault="00110EA5" w:rsidP="007139E2">
            <w:pPr>
              <w:jc w:val="center"/>
              <w:rPr>
                <w:rFonts w:cs="Times New Roman"/>
                <w:sz w:val="20"/>
                <w:szCs w:val="20"/>
              </w:rPr>
            </w:pPr>
            <w:r>
              <w:rPr>
                <w:rFonts w:cs="Times New Roman"/>
                <w:sz w:val="20"/>
                <w:szCs w:val="20"/>
              </w:rPr>
              <w:t>*</w:t>
            </w:r>
          </w:p>
        </w:tc>
        <w:tc>
          <w:tcPr>
            <w:tcW w:w="270" w:type="dxa"/>
          </w:tcPr>
          <w:p w14:paraId="74A6C5CF" w14:textId="77777777" w:rsidR="00110EA5" w:rsidRDefault="00110EA5" w:rsidP="007139E2">
            <w:pPr>
              <w:jc w:val="center"/>
              <w:rPr>
                <w:rFonts w:cs="Times New Roman"/>
                <w:sz w:val="20"/>
                <w:szCs w:val="20"/>
              </w:rPr>
            </w:pPr>
          </w:p>
        </w:tc>
        <w:tc>
          <w:tcPr>
            <w:tcW w:w="780" w:type="dxa"/>
          </w:tcPr>
          <w:p w14:paraId="3CFF94C1" w14:textId="77777777" w:rsidR="00110EA5" w:rsidRDefault="00110EA5" w:rsidP="007139E2">
            <w:pPr>
              <w:jc w:val="center"/>
              <w:rPr>
                <w:rFonts w:cs="Times New Roman"/>
                <w:sz w:val="20"/>
                <w:szCs w:val="20"/>
              </w:rPr>
            </w:pPr>
            <w:r>
              <w:rPr>
                <w:rFonts w:cs="Times New Roman"/>
                <w:sz w:val="20"/>
                <w:szCs w:val="20"/>
              </w:rPr>
              <w:t>107</w:t>
            </w:r>
          </w:p>
        </w:tc>
        <w:tc>
          <w:tcPr>
            <w:tcW w:w="720" w:type="dxa"/>
          </w:tcPr>
          <w:p w14:paraId="33FA8203" w14:textId="77777777" w:rsidR="00110EA5" w:rsidRDefault="00110EA5" w:rsidP="007139E2">
            <w:pPr>
              <w:jc w:val="center"/>
              <w:rPr>
                <w:rFonts w:cs="Times New Roman"/>
                <w:sz w:val="20"/>
                <w:szCs w:val="20"/>
              </w:rPr>
            </w:pPr>
            <w:proofErr w:type="gramStart"/>
            <w:r>
              <w:rPr>
                <w:rFonts w:cs="Times New Roman"/>
                <w:sz w:val="20"/>
                <w:szCs w:val="20"/>
              </w:rPr>
              <w:t>a</w:t>
            </w:r>
            <w:proofErr w:type="gramEnd"/>
          </w:p>
        </w:tc>
        <w:tc>
          <w:tcPr>
            <w:tcW w:w="975" w:type="dxa"/>
          </w:tcPr>
          <w:p w14:paraId="2C5A7506" w14:textId="77777777" w:rsidR="00110EA5" w:rsidRDefault="00110EA5" w:rsidP="007139E2">
            <w:pPr>
              <w:jc w:val="center"/>
              <w:rPr>
                <w:rFonts w:cs="Times New Roman"/>
                <w:sz w:val="20"/>
                <w:szCs w:val="20"/>
              </w:rPr>
            </w:pPr>
            <w:r>
              <w:rPr>
                <w:rFonts w:cs="Times New Roman"/>
                <w:sz w:val="20"/>
                <w:szCs w:val="20"/>
              </w:rPr>
              <w:t>**</w:t>
            </w:r>
          </w:p>
        </w:tc>
        <w:tc>
          <w:tcPr>
            <w:tcW w:w="915" w:type="dxa"/>
            <w:vAlign w:val="center"/>
          </w:tcPr>
          <w:p w14:paraId="2548290B" w14:textId="77777777" w:rsidR="00110EA5" w:rsidRDefault="00110EA5" w:rsidP="007139E2">
            <w:pPr>
              <w:jc w:val="center"/>
              <w:rPr>
                <w:rFonts w:cs="Times New Roman"/>
                <w:sz w:val="20"/>
                <w:szCs w:val="20"/>
              </w:rPr>
            </w:pPr>
            <w:r>
              <w:rPr>
                <w:rFonts w:cs="Times New Roman"/>
                <w:sz w:val="20"/>
                <w:szCs w:val="20"/>
              </w:rPr>
              <w:t>80</w:t>
            </w:r>
          </w:p>
        </w:tc>
        <w:tc>
          <w:tcPr>
            <w:tcW w:w="630" w:type="dxa"/>
            <w:vAlign w:val="center"/>
          </w:tcPr>
          <w:p w14:paraId="5C5B57DF" w14:textId="77777777" w:rsidR="00110EA5" w:rsidRDefault="00110EA5" w:rsidP="007139E2">
            <w:pPr>
              <w:jc w:val="center"/>
              <w:rPr>
                <w:rFonts w:cs="Times New Roman"/>
                <w:sz w:val="20"/>
                <w:szCs w:val="20"/>
              </w:rPr>
            </w:pPr>
            <w:proofErr w:type="gramStart"/>
            <w:r>
              <w:rPr>
                <w:rFonts w:cs="Times New Roman"/>
                <w:sz w:val="20"/>
                <w:szCs w:val="20"/>
              </w:rPr>
              <w:t>a</w:t>
            </w:r>
            <w:proofErr w:type="gramEnd"/>
          </w:p>
        </w:tc>
        <w:tc>
          <w:tcPr>
            <w:tcW w:w="960" w:type="dxa"/>
            <w:vAlign w:val="center"/>
          </w:tcPr>
          <w:p w14:paraId="3746EDCA" w14:textId="77777777" w:rsidR="00110EA5" w:rsidRDefault="00110EA5" w:rsidP="007139E2">
            <w:pPr>
              <w:jc w:val="center"/>
              <w:rPr>
                <w:rFonts w:cs="Times New Roman"/>
                <w:sz w:val="20"/>
                <w:szCs w:val="20"/>
              </w:rPr>
            </w:pPr>
            <w:r>
              <w:rPr>
                <w:rFonts w:cs="Times New Roman"/>
                <w:sz w:val="20"/>
                <w:szCs w:val="20"/>
              </w:rPr>
              <w:t>**</w:t>
            </w:r>
          </w:p>
        </w:tc>
      </w:tr>
      <w:tr w:rsidR="00110EA5" w:rsidRPr="00605DCD" w14:paraId="5AFB1144" w14:textId="77777777">
        <w:tc>
          <w:tcPr>
            <w:tcW w:w="1980" w:type="dxa"/>
            <w:vAlign w:val="bottom"/>
          </w:tcPr>
          <w:p w14:paraId="748D30B3" w14:textId="77777777" w:rsidR="00110EA5" w:rsidRPr="00605DCD" w:rsidRDefault="00110EA5" w:rsidP="007139E2">
            <w:pPr>
              <w:jc w:val="center"/>
              <w:rPr>
                <w:rFonts w:cs="Times New Roman"/>
                <w:sz w:val="20"/>
                <w:szCs w:val="20"/>
              </w:rPr>
            </w:pPr>
            <w:r>
              <w:rPr>
                <w:rFonts w:cs="Times New Roman"/>
                <w:sz w:val="20"/>
                <w:szCs w:val="20"/>
              </w:rPr>
              <w:t>Fenchlorazole-ethyl</w:t>
            </w:r>
          </w:p>
        </w:tc>
        <w:tc>
          <w:tcPr>
            <w:tcW w:w="720" w:type="dxa"/>
          </w:tcPr>
          <w:p w14:paraId="67923092" w14:textId="77777777" w:rsidR="00110EA5" w:rsidRPr="00605DCD" w:rsidRDefault="00110EA5" w:rsidP="007139E2">
            <w:pPr>
              <w:jc w:val="center"/>
              <w:rPr>
                <w:rFonts w:cs="Times New Roman"/>
                <w:sz w:val="20"/>
                <w:szCs w:val="20"/>
              </w:rPr>
            </w:pPr>
            <w:r>
              <w:rPr>
                <w:rFonts w:cs="Times New Roman"/>
                <w:sz w:val="20"/>
                <w:szCs w:val="20"/>
              </w:rPr>
              <w:t>31</w:t>
            </w:r>
          </w:p>
        </w:tc>
        <w:tc>
          <w:tcPr>
            <w:tcW w:w="810" w:type="dxa"/>
          </w:tcPr>
          <w:p w14:paraId="6E5E4074" w14:textId="77777777" w:rsidR="00110EA5" w:rsidRPr="00605DCD" w:rsidRDefault="00110EA5" w:rsidP="007139E2">
            <w:pPr>
              <w:jc w:val="center"/>
              <w:rPr>
                <w:rFonts w:cs="Times New Roman"/>
                <w:sz w:val="20"/>
                <w:szCs w:val="20"/>
              </w:rPr>
            </w:pPr>
            <w:proofErr w:type="gramStart"/>
            <w:r>
              <w:rPr>
                <w:rFonts w:cs="Times New Roman"/>
                <w:sz w:val="20"/>
                <w:szCs w:val="20"/>
              </w:rPr>
              <w:t>b</w:t>
            </w:r>
            <w:proofErr w:type="gramEnd"/>
          </w:p>
        </w:tc>
        <w:tc>
          <w:tcPr>
            <w:tcW w:w="900" w:type="dxa"/>
          </w:tcPr>
          <w:p w14:paraId="30DBA62A" w14:textId="77777777" w:rsidR="00110EA5" w:rsidRDefault="00110EA5" w:rsidP="007139E2">
            <w:pPr>
              <w:jc w:val="center"/>
              <w:rPr>
                <w:rFonts w:cs="Times New Roman"/>
                <w:sz w:val="20"/>
                <w:szCs w:val="20"/>
              </w:rPr>
            </w:pPr>
            <w:r>
              <w:rPr>
                <w:rFonts w:cs="Times New Roman"/>
                <w:sz w:val="20"/>
                <w:szCs w:val="20"/>
              </w:rPr>
              <w:t>NS</w:t>
            </w:r>
          </w:p>
        </w:tc>
        <w:tc>
          <w:tcPr>
            <w:tcW w:w="810" w:type="dxa"/>
          </w:tcPr>
          <w:p w14:paraId="75827531" w14:textId="77777777" w:rsidR="00110EA5" w:rsidRPr="00605DCD" w:rsidRDefault="00110EA5" w:rsidP="007139E2">
            <w:pPr>
              <w:jc w:val="center"/>
              <w:rPr>
                <w:rFonts w:cs="Times New Roman"/>
                <w:sz w:val="20"/>
                <w:szCs w:val="20"/>
              </w:rPr>
            </w:pPr>
            <w:r>
              <w:rPr>
                <w:rFonts w:cs="Times New Roman"/>
                <w:sz w:val="20"/>
                <w:szCs w:val="20"/>
              </w:rPr>
              <w:t>22</w:t>
            </w:r>
          </w:p>
        </w:tc>
        <w:tc>
          <w:tcPr>
            <w:tcW w:w="720" w:type="dxa"/>
          </w:tcPr>
          <w:p w14:paraId="28D6D422" w14:textId="77777777" w:rsidR="00110EA5" w:rsidRPr="00605DCD" w:rsidRDefault="00110EA5" w:rsidP="007139E2">
            <w:pPr>
              <w:jc w:val="center"/>
              <w:rPr>
                <w:rFonts w:cs="Times New Roman"/>
                <w:sz w:val="20"/>
                <w:szCs w:val="20"/>
              </w:rPr>
            </w:pPr>
            <w:proofErr w:type="gramStart"/>
            <w:r>
              <w:rPr>
                <w:rFonts w:cs="Times New Roman"/>
                <w:sz w:val="20"/>
                <w:szCs w:val="20"/>
              </w:rPr>
              <w:t>a</w:t>
            </w:r>
            <w:proofErr w:type="gramEnd"/>
          </w:p>
        </w:tc>
        <w:tc>
          <w:tcPr>
            <w:tcW w:w="930" w:type="dxa"/>
          </w:tcPr>
          <w:p w14:paraId="5494F597" w14:textId="77777777" w:rsidR="00110EA5" w:rsidRPr="00605DCD" w:rsidRDefault="00110EA5" w:rsidP="007139E2">
            <w:pPr>
              <w:jc w:val="center"/>
              <w:rPr>
                <w:rFonts w:cs="Times New Roman"/>
                <w:sz w:val="20"/>
                <w:szCs w:val="20"/>
              </w:rPr>
            </w:pPr>
            <w:r>
              <w:rPr>
                <w:rFonts w:cs="Times New Roman"/>
                <w:sz w:val="20"/>
                <w:szCs w:val="20"/>
              </w:rPr>
              <w:t>NS</w:t>
            </w:r>
          </w:p>
        </w:tc>
        <w:tc>
          <w:tcPr>
            <w:tcW w:w="270" w:type="dxa"/>
          </w:tcPr>
          <w:p w14:paraId="719E8881" w14:textId="77777777" w:rsidR="00110EA5" w:rsidRDefault="00110EA5" w:rsidP="007139E2">
            <w:pPr>
              <w:jc w:val="center"/>
              <w:rPr>
                <w:rFonts w:cs="Times New Roman"/>
                <w:sz w:val="20"/>
                <w:szCs w:val="20"/>
              </w:rPr>
            </w:pPr>
          </w:p>
        </w:tc>
        <w:tc>
          <w:tcPr>
            <w:tcW w:w="780" w:type="dxa"/>
          </w:tcPr>
          <w:p w14:paraId="69E7B738" w14:textId="77777777" w:rsidR="00110EA5" w:rsidRDefault="00110EA5" w:rsidP="007139E2">
            <w:pPr>
              <w:jc w:val="center"/>
              <w:rPr>
                <w:rFonts w:cs="Times New Roman"/>
                <w:sz w:val="20"/>
                <w:szCs w:val="20"/>
              </w:rPr>
            </w:pPr>
            <w:r>
              <w:rPr>
                <w:rFonts w:cs="Times New Roman"/>
                <w:sz w:val="20"/>
                <w:szCs w:val="20"/>
              </w:rPr>
              <w:t>88</w:t>
            </w:r>
          </w:p>
        </w:tc>
        <w:tc>
          <w:tcPr>
            <w:tcW w:w="720" w:type="dxa"/>
          </w:tcPr>
          <w:p w14:paraId="796CD102" w14:textId="77777777" w:rsidR="00110EA5" w:rsidRDefault="00110EA5" w:rsidP="007139E2">
            <w:pPr>
              <w:jc w:val="center"/>
              <w:rPr>
                <w:rFonts w:cs="Times New Roman"/>
                <w:sz w:val="20"/>
                <w:szCs w:val="20"/>
              </w:rPr>
            </w:pPr>
            <w:proofErr w:type="gramStart"/>
            <w:r>
              <w:rPr>
                <w:rFonts w:cs="Times New Roman"/>
                <w:sz w:val="20"/>
                <w:szCs w:val="20"/>
              </w:rPr>
              <w:t>a</w:t>
            </w:r>
            <w:proofErr w:type="gramEnd"/>
          </w:p>
        </w:tc>
        <w:tc>
          <w:tcPr>
            <w:tcW w:w="975" w:type="dxa"/>
          </w:tcPr>
          <w:p w14:paraId="5E9B289E" w14:textId="77777777" w:rsidR="00110EA5" w:rsidRDefault="00110EA5" w:rsidP="007139E2">
            <w:pPr>
              <w:jc w:val="center"/>
              <w:rPr>
                <w:rFonts w:cs="Times New Roman"/>
                <w:sz w:val="20"/>
                <w:szCs w:val="20"/>
              </w:rPr>
            </w:pPr>
            <w:r>
              <w:rPr>
                <w:rFonts w:cs="Times New Roman"/>
                <w:sz w:val="20"/>
                <w:szCs w:val="20"/>
              </w:rPr>
              <w:t>NS</w:t>
            </w:r>
          </w:p>
        </w:tc>
        <w:tc>
          <w:tcPr>
            <w:tcW w:w="915" w:type="dxa"/>
            <w:vAlign w:val="center"/>
          </w:tcPr>
          <w:p w14:paraId="01722F03" w14:textId="77777777" w:rsidR="00110EA5" w:rsidRDefault="00110EA5" w:rsidP="007139E2">
            <w:pPr>
              <w:jc w:val="center"/>
              <w:rPr>
                <w:rFonts w:cs="Times New Roman"/>
                <w:sz w:val="20"/>
                <w:szCs w:val="20"/>
              </w:rPr>
            </w:pPr>
            <w:r>
              <w:rPr>
                <w:rFonts w:cs="Times New Roman"/>
                <w:sz w:val="20"/>
                <w:szCs w:val="20"/>
              </w:rPr>
              <w:t>42</w:t>
            </w:r>
          </w:p>
        </w:tc>
        <w:tc>
          <w:tcPr>
            <w:tcW w:w="630" w:type="dxa"/>
            <w:vAlign w:val="center"/>
          </w:tcPr>
          <w:p w14:paraId="14823200" w14:textId="77777777" w:rsidR="00110EA5" w:rsidRDefault="00110EA5" w:rsidP="007139E2">
            <w:pPr>
              <w:jc w:val="center"/>
              <w:rPr>
                <w:rFonts w:cs="Times New Roman"/>
                <w:sz w:val="20"/>
                <w:szCs w:val="20"/>
              </w:rPr>
            </w:pPr>
            <w:proofErr w:type="gramStart"/>
            <w:r>
              <w:rPr>
                <w:rFonts w:cs="Times New Roman"/>
                <w:sz w:val="20"/>
                <w:szCs w:val="20"/>
              </w:rPr>
              <w:t>b</w:t>
            </w:r>
            <w:proofErr w:type="gramEnd"/>
          </w:p>
        </w:tc>
        <w:tc>
          <w:tcPr>
            <w:tcW w:w="960" w:type="dxa"/>
            <w:vAlign w:val="center"/>
          </w:tcPr>
          <w:p w14:paraId="61C4EE69" w14:textId="77777777" w:rsidR="00110EA5" w:rsidRDefault="00110EA5" w:rsidP="007139E2">
            <w:pPr>
              <w:jc w:val="center"/>
              <w:rPr>
                <w:rFonts w:cs="Times New Roman"/>
                <w:sz w:val="20"/>
                <w:szCs w:val="20"/>
              </w:rPr>
            </w:pPr>
            <w:r>
              <w:rPr>
                <w:rFonts w:cs="Times New Roman"/>
                <w:sz w:val="20"/>
                <w:szCs w:val="20"/>
              </w:rPr>
              <w:t>NS</w:t>
            </w:r>
          </w:p>
        </w:tc>
      </w:tr>
      <w:tr w:rsidR="00110EA5" w:rsidRPr="00605DCD" w14:paraId="0445FA9A" w14:textId="77777777">
        <w:tc>
          <w:tcPr>
            <w:tcW w:w="1980" w:type="dxa"/>
            <w:vAlign w:val="bottom"/>
          </w:tcPr>
          <w:p w14:paraId="6CD23B10" w14:textId="77777777" w:rsidR="00110EA5" w:rsidRPr="00605DCD" w:rsidRDefault="00110EA5" w:rsidP="007139E2">
            <w:pPr>
              <w:jc w:val="center"/>
              <w:rPr>
                <w:rFonts w:cs="Times New Roman"/>
                <w:sz w:val="20"/>
                <w:szCs w:val="20"/>
              </w:rPr>
            </w:pPr>
            <w:r>
              <w:rPr>
                <w:rFonts w:cs="Times New Roman"/>
                <w:sz w:val="20"/>
                <w:szCs w:val="20"/>
              </w:rPr>
              <w:t>Mefenpyr-diethyl</w:t>
            </w:r>
          </w:p>
        </w:tc>
        <w:tc>
          <w:tcPr>
            <w:tcW w:w="720" w:type="dxa"/>
          </w:tcPr>
          <w:p w14:paraId="5830BB17" w14:textId="77777777" w:rsidR="00110EA5" w:rsidRPr="00605DCD" w:rsidRDefault="00110EA5" w:rsidP="007139E2">
            <w:pPr>
              <w:jc w:val="center"/>
              <w:rPr>
                <w:rFonts w:cs="Times New Roman"/>
                <w:sz w:val="20"/>
                <w:szCs w:val="20"/>
              </w:rPr>
            </w:pPr>
            <w:r>
              <w:rPr>
                <w:rFonts w:cs="Times New Roman"/>
                <w:sz w:val="20"/>
                <w:szCs w:val="20"/>
              </w:rPr>
              <w:t>43</w:t>
            </w:r>
          </w:p>
        </w:tc>
        <w:tc>
          <w:tcPr>
            <w:tcW w:w="810" w:type="dxa"/>
          </w:tcPr>
          <w:p w14:paraId="608638F2" w14:textId="77777777" w:rsidR="00110EA5" w:rsidRPr="00605DCD" w:rsidRDefault="00110EA5" w:rsidP="007139E2">
            <w:pPr>
              <w:jc w:val="center"/>
              <w:rPr>
                <w:rFonts w:cs="Times New Roman"/>
                <w:sz w:val="20"/>
                <w:szCs w:val="20"/>
              </w:rPr>
            </w:pPr>
            <w:proofErr w:type="gramStart"/>
            <w:r>
              <w:rPr>
                <w:rFonts w:cs="Times New Roman"/>
                <w:sz w:val="20"/>
                <w:szCs w:val="20"/>
              </w:rPr>
              <w:t>ab</w:t>
            </w:r>
            <w:proofErr w:type="gramEnd"/>
          </w:p>
        </w:tc>
        <w:tc>
          <w:tcPr>
            <w:tcW w:w="900" w:type="dxa"/>
          </w:tcPr>
          <w:p w14:paraId="184382B8" w14:textId="77777777" w:rsidR="00110EA5" w:rsidRDefault="00110EA5" w:rsidP="007139E2">
            <w:pPr>
              <w:jc w:val="center"/>
              <w:rPr>
                <w:rFonts w:cs="Times New Roman"/>
                <w:sz w:val="20"/>
                <w:szCs w:val="20"/>
              </w:rPr>
            </w:pPr>
            <w:r>
              <w:rPr>
                <w:rFonts w:cs="Times New Roman"/>
                <w:sz w:val="20"/>
                <w:szCs w:val="20"/>
              </w:rPr>
              <w:t>*</w:t>
            </w:r>
          </w:p>
        </w:tc>
        <w:tc>
          <w:tcPr>
            <w:tcW w:w="810" w:type="dxa"/>
          </w:tcPr>
          <w:p w14:paraId="70FA8869" w14:textId="77777777" w:rsidR="00110EA5" w:rsidRPr="00605DCD" w:rsidRDefault="00110EA5" w:rsidP="007139E2">
            <w:pPr>
              <w:jc w:val="center"/>
              <w:rPr>
                <w:rFonts w:cs="Times New Roman"/>
                <w:sz w:val="20"/>
                <w:szCs w:val="20"/>
              </w:rPr>
            </w:pPr>
            <w:r>
              <w:rPr>
                <w:rFonts w:cs="Times New Roman"/>
                <w:sz w:val="20"/>
                <w:szCs w:val="20"/>
              </w:rPr>
              <w:t>27</w:t>
            </w:r>
          </w:p>
        </w:tc>
        <w:tc>
          <w:tcPr>
            <w:tcW w:w="720" w:type="dxa"/>
          </w:tcPr>
          <w:p w14:paraId="56500D7E" w14:textId="77777777" w:rsidR="00110EA5" w:rsidRPr="00605DCD" w:rsidRDefault="00110EA5" w:rsidP="007139E2">
            <w:pPr>
              <w:jc w:val="center"/>
              <w:rPr>
                <w:rFonts w:cs="Times New Roman"/>
                <w:sz w:val="20"/>
                <w:szCs w:val="20"/>
              </w:rPr>
            </w:pPr>
            <w:proofErr w:type="gramStart"/>
            <w:r>
              <w:rPr>
                <w:rFonts w:cs="Times New Roman"/>
                <w:sz w:val="20"/>
                <w:szCs w:val="20"/>
              </w:rPr>
              <w:t>a</w:t>
            </w:r>
            <w:proofErr w:type="gramEnd"/>
          </w:p>
        </w:tc>
        <w:tc>
          <w:tcPr>
            <w:tcW w:w="930" w:type="dxa"/>
          </w:tcPr>
          <w:p w14:paraId="58228399" w14:textId="77777777" w:rsidR="00110EA5" w:rsidRPr="00605DCD" w:rsidRDefault="00110EA5" w:rsidP="007139E2">
            <w:pPr>
              <w:jc w:val="center"/>
              <w:rPr>
                <w:rFonts w:cs="Times New Roman"/>
                <w:sz w:val="20"/>
                <w:szCs w:val="20"/>
              </w:rPr>
            </w:pPr>
            <w:r>
              <w:rPr>
                <w:rFonts w:cs="Times New Roman"/>
                <w:sz w:val="20"/>
                <w:szCs w:val="20"/>
              </w:rPr>
              <w:t>NS</w:t>
            </w:r>
          </w:p>
        </w:tc>
        <w:tc>
          <w:tcPr>
            <w:tcW w:w="270" w:type="dxa"/>
          </w:tcPr>
          <w:p w14:paraId="3F1F62D8" w14:textId="77777777" w:rsidR="00110EA5" w:rsidRDefault="00110EA5" w:rsidP="007139E2">
            <w:pPr>
              <w:jc w:val="center"/>
              <w:rPr>
                <w:rFonts w:cs="Times New Roman"/>
                <w:sz w:val="20"/>
                <w:szCs w:val="20"/>
              </w:rPr>
            </w:pPr>
          </w:p>
        </w:tc>
        <w:tc>
          <w:tcPr>
            <w:tcW w:w="780" w:type="dxa"/>
          </w:tcPr>
          <w:p w14:paraId="321FBF47" w14:textId="77777777" w:rsidR="00110EA5" w:rsidRDefault="00110EA5" w:rsidP="007139E2">
            <w:pPr>
              <w:jc w:val="center"/>
              <w:rPr>
                <w:rFonts w:cs="Times New Roman"/>
                <w:sz w:val="20"/>
                <w:szCs w:val="20"/>
              </w:rPr>
            </w:pPr>
            <w:r>
              <w:rPr>
                <w:rFonts w:cs="Times New Roman"/>
                <w:sz w:val="20"/>
                <w:szCs w:val="20"/>
              </w:rPr>
              <w:t>113</w:t>
            </w:r>
          </w:p>
        </w:tc>
        <w:tc>
          <w:tcPr>
            <w:tcW w:w="720" w:type="dxa"/>
          </w:tcPr>
          <w:p w14:paraId="06F9D339" w14:textId="77777777" w:rsidR="00110EA5" w:rsidRDefault="00110EA5" w:rsidP="007139E2">
            <w:pPr>
              <w:jc w:val="center"/>
              <w:rPr>
                <w:rFonts w:cs="Times New Roman"/>
                <w:sz w:val="20"/>
                <w:szCs w:val="20"/>
              </w:rPr>
            </w:pPr>
            <w:proofErr w:type="gramStart"/>
            <w:r>
              <w:rPr>
                <w:rFonts w:cs="Times New Roman"/>
                <w:sz w:val="20"/>
                <w:szCs w:val="20"/>
              </w:rPr>
              <w:t>a</w:t>
            </w:r>
            <w:proofErr w:type="gramEnd"/>
          </w:p>
        </w:tc>
        <w:tc>
          <w:tcPr>
            <w:tcW w:w="975" w:type="dxa"/>
          </w:tcPr>
          <w:p w14:paraId="3928EFAC" w14:textId="77777777" w:rsidR="00110EA5" w:rsidRDefault="00110EA5" w:rsidP="007139E2">
            <w:pPr>
              <w:jc w:val="center"/>
              <w:rPr>
                <w:rFonts w:cs="Times New Roman"/>
                <w:sz w:val="20"/>
                <w:szCs w:val="20"/>
              </w:rPr>
            </w:pPr>
            <w:r>
              <w:rPr>
                <w:rFonts w:cs="Times New Roman"/>
                <w:sz w:val="20"/>
                <w:szCs w:val="20"/>
              </w:rPr>
              <w:t>**</w:t>
            </w:r>
          </w:p>
        </w:tc>
        <w:tc>
          <w:tcPr>
            <w:tcW w:w="915" w:type="dxa"/>
            <w:vAlign w:val="center"/>
          </w:tcPr>
          <w:p w14:paraId="727F7BA3" w14:textId="77777777" w:rsidR="00110EA5" w:rsidRDefault="00110EA5" w:rsidP="007139E2">
            <w:pPr>
              <w:jc w:val="center"/>
              <w:rPr>
                <w:rFonts w:cs="Times New Roman"/>
                <w:sz w:val="20"/>
                <w:szCs w:val="20"/>
              </w:rPr>
            </w:pPr>
            <w:r>
              <w:rPr>
                <w:rFonts w:cs="Times New Roman"/>
                <w:sz w:val="20"/>
                <w:szCs w:val="20"/>
              </w:rPr>
              <w:t>70</w:t>
            </w:r>
          </w:p>
        </w:tc>
        <w:tc>
          <w:tcPr>
            <w:tcW w:w="630" w:type="dxa"/>
            <w:vAlign w:val="center"/>
          </w:tcPr>
          <w:p w14:paraId="1FB71A79" w14:textId="77777777" w:rsidR="00110EA5" w:rsidRDefault="00110EA5" w:rsidP="007139E2">
            <w:pPr>
              <w:jc w:val="center"/>
              <w:rPr>
                <w:rFonts w:cs="Times New Roman"/>
                <w:sz w:val="20"/>
                <w:szCs w:val="20"/>
              </w:rPr>
            </w:pPr>
            <w:proofErr w:type="gramStart"/>
            <w:r>
              <w:rPr>
                <w:rFonts w:cs="Times New Roman"/>
                <w:sz w:val="20"/>
                <w:szCs w:val="20"/>
              </w:rPr>
              <w:t>a</w:t>
            </w:r>
            <w:proofErr w:type="gramEnd"/>
          </w:p>
        </w:tc>
        <w:tc>
          <w:tcPr>
            <w:tcW w:w="960" w:type="dxa"/>
            <w:vAlign w:val="center"/>
          </w:tcPr>
          <w:p w14:paraId="4E7F49FB" w14:textId="77777777" w:rsidR="00110EA5" w:rsidRDefault="00110EA5" w:rsidP="007139E2">
            <w:pPr>
              <w:jc w:val="center"/>
              <w:rPr>
                <w:rFonts w:cs="Times New Roman"/>
                <w:sz w:val="20"/>
                <w:szCs w:val="20"/>
              </w:rPr>
            </w:pPr>
            <w:r>
              <w:rPr>
                <w:rFonts w:cs="Times New Roman"/>
                <w:sz w:val="20"/>
                <w:szCs w:val="20"/>
              </w:rPr>
              <w:t>***</w:t>
            </w:r>
          </w:p>
        </w:tc>
      </w:tr>
      <w:tr w:rsidR="00110EA5" w:rsidRPr="00605DCD" w14:paraId="4F23D135" w14:textId="77777777">
        <w:tc>
          <w:tcPr>
            <w:tcW w:w="1980" w:type="dxa"/>
            <w:vAlign w:val="bottom"/>
          </w:tcPr>
          <w:p w14:paraId="0BABA650" w14:textId="77777777" w:rsidR="00110EA5" w:rsidRPr="00605DCD" w:rsidRDefault="00110EA5" w:rsidP="007139E2">
            <w:pPr>
              <w:jc w:val="center"/>
              <w:rPr>
                <w:rFonts w:cs="Times New Roman"/>
                <w:sz w:val="20"/>
                <w:szCs w:val="20"/>
              </w:rPr>
            </w:pPr>
            <w:r>
              <w:rPr>
                <w:rFonts w:cs="Times New Roman"/>
                <w:sz w:val="20"/>
                <w:szCs w:val="20"/>
              </w:rPr>
              <w:t>None</w:t>
            </w:r>
          </w:p>
        </w:tc>
        <w:tc>
          <w:tcPr>
            <w:tcW w:w="720" w:type="dxa"/>
          </w:tcPr>
          <w:p w14:paraId="5317FFA9" w14:textId="77777777" w:rsidR="00110EA5" w:rsidRPr="00605DCD" w:rsidRDefault="00110EA5" w:rsidP="007139E2">
            <w:pPr>
              <w:jc w:val="center"/>
              <w:rPr>
                <w:rFonts w:cs="Times New Roman"/>
                <w:sz w:val="20"/>
                <w:szCs w:val="20"/>
              </w:rPr>
            </w:pPr>
            <w:r>
              <w:rPr>
                <w:rFonts w:cs="Times New Roman"/>
                <w:sz w:val="20"/>
                <w:szCs w:val="20"/>
              </w:rPr>
              <w:t>21</w:t>
            </w:r>
          </w:p>
        </w:tc>
        <w:tc>
          <w:tcPr>
            <w:tcW w:w="810" w:type="dxa"/>
          </w:tcPr>
          <w:p w14:paraId="5AB7E3DD" w14:textId="77777777" w:rsidR="00110EA5" w:rsidRPr="00605DCD" w:rsidRDefault="00110EA5" w:rsidP="007139E2">
            <w:pPr>
              <w:jc w:val="center"/>
              <w:rPr>
                <w:rFonts w:cs="Times New Roman"/>
                <w:sz w:val="20"/>
                <w:szCs w:val="20"/>
              </w:rPr>
            </w:pPr>
            <w:r>
              <w:rPr>
                <w:rFonts w:cs="Times New Roman"/>
                <w:sz w:val="20"/>
                <w:szCs w:val="20"/>
              </w:rPr>
              <w:t>-</w:t>
            </w:r>
          </w:p>
        </w:tc>
        <w:tc>
          <w:tcPr>
            <w:tcW w:w="900" w:type="dxa"/>
          </w:tcPr>
          <w:p w14:paraId="5BAD7D95" w14:textId="77777777" w:rsidR="00110EA5" w:rsidRDefault="00110EA5" w:rsidP="007139E2">
            <w:pPr>
              <w:jc w:val="center"/>
              <w:rPr>
                <w:rFonts w:cs="Times New Roman"/>
                <w:sz w:val="20"/>
                <w:szCs w:val="20"/>
              </w:rPr>
            </w:pPr>
            <w:r>
              <w:rPr>
                <w:rFonts w:cs="Times New Roman"/>
                <w:sz w:val="20"/>
                <w:szCs w:val="20"/>
              </w:rPr>
              <w:t>-</w:t>
            </w:r>
          </w:p>
        </w:tc>
        <w:tc>
          <w:tcPr>
            <w:tcW w:w="810" w:type="dxa"/>
          </w:tcPr>
          <w:p w14:paraId="29B7B757" w14:textId="77777777" w:rsidR="00110EA5" w:rsidRPr="00605DCD" w:rsidRDefault="00110EA5" w:rsidP="007139E2">
            <w:pPr>
              <w:jc w:val="center"/>
              <w:rPr>
                <w:rFonts w:cs="Times New Roman"/>
                <w:sz w:val="20"/>
                <w:szCs w:val="20"/>
              </w:rPr>
            </w:pPr>
            <w:r>
              <w:rPr>
                <w:rFonts w:cs="Times New Roman"/>
                <w:sz w:val="20"/>
                <w:szCs w:val="20"/>
              </w:rPr>
              <w:t>19</w:t>
            </w:r>
          </w:p>
        </w:tc>
        <w:tc>
          <w:tcPr>
            <w:tcW w:w="720" w:type="dxa"/>
          </w:tcPr>
          <w:p w14:paraId="080141E7" w14:textId="77777777" w:rsidR="00110EA5" w:rsidRPr="00605DCD" w:rsidRDefault="00110EA5" w:rsidP="007139E2">
            <w:pPr>
              <w:jc w:val="center"/>
              <w:rPr>
                <w:rFonts w:cs="Times New Roman"/>
                <w:sz w:val="20"/>
                <w:szCs w:val="20"/>
              </w:rPr>
            </w:pPr>
            <w:r>
              <w:rPr>
                <w:rFonts w:cs="Times New Roman"/>
                <w:sz w:val="20"/>
                <w:szCs w:val="20"/>
              </w:rPr>
              <w:t>-</w:t>
            </w:r>
          </w:p>
        </w:tc>
        <w:tc>
          <w:tcPr>
            <w:tcW w:w="930" w:type="dxa"/>
          </w:tcPr>
          <w:p w14:paraId="3349DE5C" w14:textId="77777777" w:rsidR="00110EA5" w:rsidRPr="00605DCD" w:rsidRDefault="00110EA5" w:rsidP="007139E2">
            <w:pPr>
              <w:jc w:val="center"/>
              <w:rPr>
                <w:rFonts w:cs="Times New Roman"/>
                <w:sz w:val="20"/>
                <w:szCs w:val="20"/>
              </w:rPr>
            </w:pPr>
            <w:r>
              <w:rPr>
                <w:rFonts w:cs="Times New Roman"/>
                <w:sz w:val="20"/>
                <w:szCs w:val="20"/>
              </w:rPr>
              <w:t>-</w:t>
            </w:r>
          </w:p>
        </w:tc>
        <w:tc>
          <w:tcPr>
            <w:tcW w:w="270" w:type="dxa"/>
          </w:tcPr>
          <w:p w14:paraId="33E4460A" w14:textId="77777777" w:rsidR="00110EA5" w:rsidRDefault="00110EA5" w:rsidP="007139E2">
            <w:pPr>
              <w:jc w:val="center"/>
              <w:rPr>
                <w:rFonts w:cs="Times New Roman"/>
                <w:sz w:val="20"/>
                <w:szCs w:val="20"/>
              </w:rPr>
            </w:pPr>
          </w:p>
        </w:tc>
        <w:tc>
          <w:tcPr>
            <w:tcW w:w="780" w:type="dxa"/>
          </w:tcPr>
          <w:p w14:paraId="575FC692" w14:textId="77777777" w:rsidR="00110EA5" w:rsidRDefault="00110EA5" w:rsidP="007139E2">
            <w:pPr>
              <w:jc w:val="center"/>
              <w:rPr>
                <w:rFonts w:cs="Times New Roman"/>
                <w:sz w:val="20"/>
                <w:szCs w:val="20"/>
              </w:rPr>
            </w:pPr>
            <w:r>
              <w:rPr>
                <w:rFonts w:cs="Times New Roman"/>
                <w:sz w:val="20"/>
                <w:szCs w:val="20"/>
              </w:rPr>
              <w:t>69</w:t>
            </w:r>
          </w:p>
        </w:tc>
        <w:tc>
          <w:tcPr>
            <w:tcW w:w="720" w:type="dxa"/>
          </w:tcPr>
          <w:p w14:paraId="1051C02F" w14:textId="77777777" w:rsidR="00110EA5" w:rsidRDefault="00110EA5" w:rsidP="007139E2">
            <w:pPr>
              <w:jc w:val="center"/>
              <w:rPr>
                <w:rFonts w:cs="Times New Roman"/>
                <w:sz w:val="20"/>
                <w:szCs w:val="20"/>
              </w:rPr>
            </w:pPr>
            <w:r>
              <w:rPr>
                <w:rFonts w:cs="Times New Roman"/>
                <w:sz w:val="20"/>
                <w:szCs w:val="20"/>
              </w:rPr>
              <w:t>-</w:t>
            </w:r>
          </w:p>
        </w:tc>
        <w:tc>
          <w:tcPr>
            <w:tcW w:w="975" w:type="dxa"/>
          </w:tcPr>
          <w:p w14:paraId="2B468931" w14:textId="77777777" w:rsidR="00110EA5" w:rsidRDefault="00110EA5" w:rsidP="007139E2">
            <w:pPr>
              <w:jc w:val="center"/>
              <w:rPr>
                <w:rFonts w:cs="Times New Roman"/>
                <w:sz w:val="20"/>
                <w:szCs w:val="20"/>
              </w:rPr>
            </w:pPr>
            <w:r>
              <w:rPr>
                <w:rFonts w:cs="Times New Roman"/>
                <w:sz w:val="20"/>
                <w:szCs w:val="20"/>
              </w:rPr>
              <w:t>-</w:t>
            </w:r>
          </w:p>
        </w:tc>
        <w:tc>
          <w:tcPr>
            <w:tcW w:w="915" w:type="dxa"/>
            <w:vAlign w:val="center"/>
          </w:tcPr>
          <w:p w14:paraId="4C09E688" w14:textId="77777777" w:rsidR="00110EA5" w:rsidRDefault="00110EA5" w:rsidP="007139E2">
            <w:pPr>
              <w:jc w:val="center"/>
              <w:rPr>
                <w:rFonts w:cs="Times New Roman"/>
                <w:sz w:val="20"/>
                <w:szCs w:val="20"/>
              </w:rPr>
            </w:pPr>
            <w:r>
              <w:rPr>
                <w:rFonts w:cs="Times New Roman"/>
                <w:sz w:val="20"/>
                <w:szCs w:val="20"/>
              </w:rPr>
              <w:t>24</w:t>
            </w:r>
          </w:p>
        </w:tc>
        <w:tc>
          <w:tcPr>
            <w:tcW w:w="630" w:type="dxa"/>
            <w:vAlign w:val="center"/>
          </w:tcPr>
          <w:p w14:paraId="32DDBF0E" w14:textId="77777777" w:rsidR="00110EA5" w:rsidRDefault="00110EA5" w:rsidP="007139E2">
            <w:pPr>
              <w:jc w:val="center"/>
              <w:rPr>
                <w:rFonts w:cs="Times New Roman"/>
                <w:sz w:val="20"/>
                <w:szCs w:val="20"/>
              </w:rPr>
            </w:pPr>
            <w:r>
              <w:rPr>
                <w:rFonts w:cs="Times New Roman"/>
                <w:sz w:val="20"/>
                <w:szCs w:val="20"/>
              </w:rPr>
              <w:t>-</w:t>
            </w:r>
          </w:p>
        </w:tc>
        <w:tc>
          <w:tcPr>
            <w:tcW w:w="960" w:type="dxa"/>
            <w:vAlign w:val="center"/>
          </w:tcPr>
          <w:p w14:paraId="7FF75925" w14:textId="77777777" w:rsidR="00110EA5" w:rsidRDefault="00110EA5" w:rsidP="007139E2">
            <w:pPr>
              <w:jc w:val="center"/>
              <w:rPr>
                <w:rFonts w:cs="Times New Roman"/>
                <w:sz w:val="20"/>
                <w:szCs w:val="20"/>
              </w:rPr>
            </w:pPr>
            <w:r>
              <w:rPr>
                <w:rFonts w:cs="Times New Roman"/>
                <w:sz w:val="20"/>
                <w:szCs w:val="20"/>
              </w:rPr>
              <w:t>-</w:t>
            </w:r>
          </w:p>
        </w:tc>
      </w:tr>
      <w:tr w:rsidR="00110EA5" w:rsidRPr="00605DCD" w14:paraId="48131897" w14:textId="77777777">
        <w:tc>
          <w:tcPr>
            <w:tcW w:w="1980" w:type="dxa"/>
            <w:vAlign w:val="bottom"/>
          </w:tcPr>
          <w:p w14:paraId="2C1DC655" w14:textId="77777777" w:rsidR="00110EA5" w:rsidRPr="00605DCD" w:rsidRDefault="00110EA5" w:rsidP="007139E2">
            <w:pPr>
              <w:jc w:val="center"/>
              <w:rPr>
                <w:rFonts w:cs="Times New Roman"/>
                <w:sz w:val="20"/>
                <w:szCs w:val="20"/>
              </w:rPr>
            </w:pPr>
            <w:r>
              <w:rPr>
                <w:rFonts w:cs="Times New Roman"/>
                <w:sz w:val="20"/>
                <w:szCs w:val="20"/>
              </w:rPr>
              <w:t>Safener Rate</w:t>
            </w:r>
          </w:p>
        </w:tc>
        <w:tc>
          <w:tcPr>
            <w:tcW w:w="720" w:type="dxa"/>
          </w:tcPr>
          <w:p w14:paraId="0D4E69D2" w14:textId="77777777" w:rsidR="00110EA5" w:rsidRPr="00605DCD" w:rsidRDefault="00110EA5" w:rsidP="007139E2">
            <w:pPr>
              <w:jc w:val="center"/>
              <w:rPr>
                <w:rFonts w:cs="Times New Roman"/>
                <w:sz w:val="20"/>
                <w:szCs w:val="20"/>
              </w:rPr>
            </w:pPr>
          </w:p>
        </w:tc>
        <w:tc>
          <w:tcPr>
            <w:tcW w:w="810" w:type="dxa"/>
          </w:tcPr>
          <w:p w14:paraId="143E66F2" w14:textId="77777777" w:rsidR="00110EA5" w:rsidRPr="00605DCD" w:rsidRDefault="00110EA5" w:rsidP="007139E2">
            <w:pPr>
              <w:jc w:val="center"/>
              <w:rPr>
                <w:rFonts w:cs="Times New Roman"/>
                <w:sz w:val="20"/>
                <w:szCs w:val="20"/>
              </w:rPr>
            </w:pPr>
          </w:p>
        </w:tc>
        <w:tc>
          <w:tcPr>
            <w:tcW w:w="900" w:type="dxa"/>
          </w:tcPr>
          <w:p w14:paraId="39001A98" w14:textId="77777777" w:rsidR="00110EA5" w:rsidRDefault="00110EA5" w:rsidP="007139E2">
            <w:pPr>
              <w:jc w:val="center"/>
              <w:rPr>
                <w:rFonts w:cs="Times New Roman"/>
                <w:sz w:val="20"/>
                <w:szCs w:val="20"/>
              </w:rPr>
            </w:pPr>
          </w:p>
        </w:tc>
        <w:tc>
          <w:tcPr>
            <w:tcW w:w="810" w:type="dxa"/>
          </w:tcPr>
          <w:p w14:paraId="54091A66" w14:textId="77777777" w:rsidR="00110EA5" w:rsidRPr="00605DCD" w:rsidRDefault="00110EA5" w:rsidP="007139E2">
            <w:pPr>
              <w:jc w:val="center"/>
              <w:rPr>
                <w:rFonts w:cs="Times New Roman"/>
                <w:sz w:val="20"/>
                <w:szCs w:val="20"/>
              </w:rPr>
            </w:pPr>
          </w:p>
        </w:tc>
        <w:tc>
          <w:tcPr>
            <w:tcW w:w="720" w:type="dxa"/>
          </w:tcPr>
          <w:p w14:paraId="7C46AB72" w14:textId="77777777" w:rsidR="00110EA5" w:rsidRPr="00605DCD" w:rsidRDefault="00110EA5" w:rsidP="007139E2">
            <w:pPr>
              <w:jc w:val="center"/>
              <w:rPr>
                <w:rFonts w:cs="Times New Roman"/>
                <w:sz w:val="20"/>
                <w:szCs w:val="20"/>
              </w:rPr>
            </w:pPr>
          </w:p>
        </w:tc>
        <w:tc>
          <w:tcPr>
            <w:tcW w:w="930" w:type="dxa"/>
          </w:tcPr>
          <w:p w14:paraId="3E2C1FF0" w14:textId="77777777" w:rsidR="00110EA5" w:rsidRPr="00605DCD" w:rsidRDefault="00110EA5" w:rsidP="007139E2">
            <w:pPr>
              <w:jc w:val="center"/>
              <w:rPr>
                <w:rFonts w:cs="Times New Roman"/>
                <w:sz w:val="20"/>
                <w:szCs w:val="20"/>
              </w:rPr>
            </w:pPr>
          </w:p>
        </w:tc>
        <w:tc>
          <w:tcPr>
            <w:tcW w:w="270" w:type="dxa"/>
          </w:tcPr>
          <w:p w14:paraId="3DD206D7" w14:textId="77777777" w:rsidR="00110EA5" w:rsidRDefault="00110EA5" w:rsidP="007139E2">
            <w:pPr>
              <w:jc w:val="center"/>
              <w:rPr>
                <w:rFonts w:cs="Times New Roman"/>
                <w:sz w:val="20"/>
                <w:szCs w:val="20"/>
              </w:rPr>
            </w:pPr>
          </w:p>
        </w:tc>
        <w:tc>
          <w:tcPr>
            <w:tcW w:w="780" w:type="dxa"/>
          </w:tcPr>
          <w:p w14:paraId="3D5D38FA" w14:textId="77777777" w:rsidR="00110EA5" w:rsidRDefault="00110EA5" w:rsidP="007139E2">
            <w:pPr>
              <w:jc w:val="center"/>
              <w:rPr>
                <w:rFonts w:cs="Times New Roman"/>
                <w:sz w:val="20"/>
                <w:szCs w:val="20"/>
              </w:rPr>
            </w:pPr>
          </w:p>
        </w:tc>
        <w:tc>
          <w:tcPr>
            <w:tcW w:w="720" w:type="dxa"/>
          </w:tcPr>
          <w:p w14:paraId="3C5FA49D" w14:textId="77777777" w:rsidR="00110EA5" w:rsidRDefault="00110EA5" w:rsidP="007139E2">
            <w:pPr>
              <w:jc w:val="center"/>
              <w:rPr>
                <w:rFonts w:cs="Times New Roman"/>
                <w:sz w:val="20"/>
                <w:szCs w:val="20"/>
              </w:rPr>
            </w:pPr>
          </w:p>
        </w:tc>
        <w:tc>
          <w:tcPr>
            <w:tcW w:w="975" w:type="dxa"/>
          </w:tcPr>
          <w:p w14:paraId="3C3AF40D" w14:textId="77777777" w:rsidR="00110EA5" w:rsidRDefault="00110EA5" w:rsidP="007139E2">
            <w:pPr>
              <w:jc w:val="center"/>
              <w:rPr>
                <w:rFonts w:cs="Times New Roman"/>
                <w:sz w:val="20"/>
                <w:szCs w:val="20"/>
              </w:rPr>
            </w:pPr>
          </w:p>
        </w:tc>
        <w:tc>
          <w:tcPr>
            <w:tcW w:w="915" w:type="dxa"/>
            <w:vAlign w:val="center"/>
          </w:tcPr>
          <w:p w14:paraId="3CB16878" w14:textId="77777777" w:rsidR="00110EA5" w:rsidRDefault="00110EA5" w:rsidP="007139E2">
            <w:pPr>
              <w:jc w:val="center"/>
              <w:rPr>
                <w:rFonts w:cs="Times New Roman"/>
                <w:sz w:val="20"/>
                <w:szCs w:val="20"/>
              </w:rPr>
            </w:pPr>
          </w:p>
        </w:tc>
        <w:tc>
          <w:tcPr>
            <w:tcW w:w="630" w:type="dxa"/>
            <w:vAlign w:val="center"/>
          </w:tcPr>
          <w:p w14:paraId="7D01A3F3" w14:textId="77777777" w:rsidR="00110EA5" w:rsidRDefault="00110EA5" w:rsidP="007139E2">
            <w:pPr>
              <w:jc w:val="center"/>
              <w:rPr>
                <w:rFonts w:cs="Times New Roman"/>
                <w:sz w:val="20"/>
                <w:szCs w:val="20"/>
              </w:rPr>
            </w:pPr>
          </w:p>
        </w:tc>
        <w:tc>
          <w:tcPr>
            <w:tcW w:w="960" w:type="dxa"/>
            <w:vAlign w:val="center"/>
          </w:tcPr>
          <w:p w14:paraId="42FB91BF" w14:textId="77777777" w:rsidR="00110EA5" w:rsidRDefault="00110EA5" w:rsidP="007139E2">
            <w:pPr>
              <w:jc w:val="center"/>
              <w:rPr>
                <w:rFonts w:cs="Times New Roman"/>
                <w:sz w:val="20"/>
                <w:szCs w:val="20"/>
              </w:rPr>
            </w:pPr>
          </w:p>
        </w:tc>
      </w:tr>
      <w:tr w:rsidR="00110EA5" w:rsidRPr="00605DCD" w14:paraId="24196B94" w14:textId="77777777">
        <w:tc>
          <w:tcPr>
            <w:tcW w:w="1980" w:type="dxa"/>
            <w:vAlign w:val="bottom"/>
          </w:tcPr>
          <w:p w14:paraId="1FA32848" w14:textId="77777777" w:rsidR="00110EA5" w:rsidRPr="00605DCD" w:rsidRDefault="00110EA5" w:rsidP="007139E2">
            <w:pPr>
              <w:jc w:val="center"/>
              <w:rPr>
                <w:rFonts w:cs="Times New Roman"/>
                <w:sz w:val="20"/>
                <w:szCs w:val="20"/>
              </w:rPr>
            </w:pPr>
            <w:r>
              <w:rPr>
                <w:rFonts w:cs="Times New Roman"/>
                <w:sz w:val="20"/>
                <w:szCs w:val="20"/>
              </w:rPr>
              <w:t>High</w:t>
            </w:r>
          </w:p>
        </w:tc>
        <w:tc>
          <w:tcPr>
            <w:tcW w:w="720" w:type="dxa"/>
          </w:tcPr>
          <w:p w14:paraId="514D1A50" w14:textId="77777777" w:rsidR="00110EA5" w:rsidRPr="00605DCD" w:rsidRDefault="00110EA5" w:rsidP="007139E2">
            <w:pPr>
              <w:jc w:val="center"/>
              <w:rPr>
                <w:rFonts w:cs="Times New Roman"/>
                <w:sz w:val="20"/>
                <w:szCs w:val="20"/>
              </w:rPr>
            </w:pPr>
            <w:r>
              <w:rPr>
                <w:rFonts w:cs="Times New Roman"/>
                <w:sz w:val="20"/>
                <w:szCs w:val="20"/>
              </w:rPr>
              <w:t>46</w:t>
            </w:r>
          </w:p>
        </w:tc>
        <w:tc>
          <w:tcPr>
            <w:tcW w:w="810" w:type="dxa"/>
          </w:tcPr>
          <w:p w14:paraId="15F745D5" w14:textId="77777777" w:rsidR="00110EA5" w:rsidRPr="00605DCD" w:rsidRDefault="00110EA5" w:rsidP="007139E2">
            <w:pPr>
              <w:jc w:val="center"/>
              <w:rPr>
                <w:rFonts w:cs="Times New Roman"/>
                <w:sz w:val="20"/>
                <w:szCs w:val="20"/>
              </w:rPr>
            </w:pPr>
            <w:proofErr w:type="gramStart"/>
            <w:r>
              <w:rPr>
                <w:rFonts w:cs="Times New Roman"/>
                <w:sz w:val="20"/>
                <w:szCs w:val="20"/>
              </w:rPr>
              <w:t>a</w:t>
            </w:r>
            <w:proofErr w:type="gramEnd"/>
          </w:p>
        </w:tc>
        <w:tc>
          <w:tcPr>
            <w:tcW w:w="900" w:type="dxa"/>
          </w:tcPr>
          <w:p w14:paraId="4A3EBCE4" w14:textId="77777777" w:rsidR="00110EA5" w:rsidRDefault="00110EA5" w:rsidP="007139E2">
            <w:pPr>
              <w:jc w:val="center"/>
              <w:rPr>
                <w:rFonts w:cs="Times New Roman"/>
                <w:sz w:val="20"/>
                <w:szCs w:val="20"/>
              </w:rPr>
            </w:pPr>
            <w:r>
              <w:rPr>
                <w:rFonts w:cs="Times New Roman"/>
                <w:sz w:val="20"/>
                <w:szCs w:val="20"/>
              </w:rPr>
              <w:t>**</w:t>
            </w:r>
          </w:p>
        </w:tc>
        <w:tc>
          <w:tcPr>
            <w:tcW w:w="810" w:type="dxa"/>
          </w:tcPr>
          <w:p w14:paraId="63E15FBA" w14:textId="77777777" w:rsidR="00110EA5" w:rsidRPr="00605DCD" w:rsidRDefault="00110EA5" w:rsidP="007139E2">
            <w:pPr>
              <w:jc w:val="center"/>
              <w:rPr>
                <w:rFonts w:cs="Times New Roman"/>
                <w:sz w:val="20"/>
                <w:szCs w:val="20"/>
              </w:rPr>
            </w:pPr>
            <w:r>
              <w:rPr>
                <w:rFonts w:cs="Times New Roman"/>
                <w:sz w:val="20"/>
                <w:szCs w:val="20"/>
              </w:rPr>
              <w:t>32</w:t>
            </w:r>
          </w:p>
        </w:tc>
        <w:tc>
          <w:tcPr>
            <w:tcW w:w="720" w:type="dxa"/>
          </w:tcPr>
          <w:p w14:paraId="582247CC" w14:textId="77777777" w:rsidR="00110EA5" w:rsidRPr="00605DCD" w:rsidRDefault="00110EA5" w:rsidP="007139E2">
            <w:pPr>
              <w:jc w:val="center"/>
              <w:rPr>
                <w:rFonts w:cs="Times New Roman"/>
                <w:sz w:val="20"/>
                <w:szCs w:val="20"/>
              </w:rPr>
            </w:pPr>
            <w:proofErr w:type="gramStart"/>
            <w:r>
              <w:rPr>
                <w:rFonts w:cs="Times New Roman"/>
                <w:sz w:val="20"/>
                <w:szCs w:val="20"/>
              </w:rPr>
              <w:t>a</w:t>
            </w:r>
            <w:proofErr w:type="gramEnd"/>
          </w:p>
        </w:tc>
        <w:tc>
          <w:tcPr>
            <w:tcW w:w="930" w:type="dxa"/>
          </w:tcPr>
          <w:p w14:paraId="36294629" w14:textId="77777777" w:rsidR="00110EA5" w:rsidRPr="00605DCD" w:rsidRDefault="00110EA5" w:rsidP="007139E2">
            <w:pPr>
              <w:jc w:val="center"/>
              <w:rPr>
                <w:rFonts w:cs="Times New Roman"/>
                <w:sz w:val="20"/>
                <w:szCs w:val="20"/>
              </w:rPr>
            </w:pPr>
            <w:r>
              <w:rPr>
                <w:rFonts w:cs="Times New Roman"/>
                <w:sz w:val="20"/>
                <w:szCs w:val="20"/>
              </w:rPr>
              <w:t>*</w:t>
            </w:r>
          </w:p>
        </w:tc>
        <w:tc>
          <w:tcPr>
            <w:tcW w:w="270" w:type="dxa"/>
          </w:tcPr>
          <w:p w14:paraId="68755FB2" w14:textId="77777777" w:rsidR="00110EA5" w:rsidRDefault="00110EA5" w:rsidP="007139E2">
            <w:pPr>
              <w:jc w:val="center"/>
              <w:rPr>
                <w:rFonts w:cs="Times New Roman"/>
                <w:sz w:val="20"/>
                <w:szCs w:val="20"/>
              </w:rPr>
            </w:pPr>
          </w:p>
        </w:tc>
        <w:tc>
          <w:tcPr>
            <w:tcW w:w="780" w:type="dxa"/>
          </w:tcPr>
          <w:p w14:paraId="79E51078" w14:textId="77777777" w:rsidR="00110EA5" w:rsidRDefault="00110EA5" w:rsidP="007139E2">
            <w:pPr>
              <w:jc w:val="center"/>
              <w:rPr>
                <w:rFonts w:cs="Times New Roman"/>
                <w:sz w:val="20"/>
                <w:szCs w:val="20"/>
              </w:rPr>
            </w:pPr>
            <w:r>
              <w:rPr>
                <w:rFonts w:cs="Times New Roman"/>
                <w:sz w:val="20"/>
                <w:szCs w:val="20"/>
              </w:rPr>
              <w:t>100</w:t>
            </w:r>
          </w:p>
        </w:tc>
        <w:tc>
          <w:tcPr>
            <w:tcW w:w="720" w:type="dxa"/>
          </w:tcPr>
          <w:p w14:paraId="63B5BF82" w14:textId="77777777" w:rsidR="00110EA5" w:rsidRDefault="00110EA5" w:rsidP="007139E2">
            <w:pPr>
              <w:jc w:val="center"/>
              <w:rPr>
                <w:rFonts w:cs="Times New Roman"/>
                <w:sz w:val="20"/>
                <w:szCs w:val="20"/>
              </w:rPr>
            </w:pPr>
            <w:proofErr w:type="gramStart"/>
            <w:r>
              <w:rPr>
                <w:rFonts w:cs="Times New Roman"/>
                <w:sz w:val="20"/>
                <w:szCs w:val="20"/>
              </w:rPr>
              <w:t>a</w:t>
            </w:r>
            <w:proofErr w:type="gramEnd"/>
          </w:p>
        </w:tc>
        <w:tc>
          <w:tcPr>
            <w:tcW w:w="975" w:type="dxa"/>
          </w:tcPr>
          <w:p w14:paraId="4E80B811" w14:textId="77777777" w:rsidR="00110EA5" w:rsidRDefault="00110EA5" w:rsidP="007139E2">
            <w:pPr>
              <w:jc w:val="center"/>
              <w:rPr>
                <w:rFonts w:cs="Times New Roman"/>
                <w:sz w:val="20"/>
                <w:szCs w:val="20"/>
              </w:rPr>
            </w:pPr>
            <w:r>
              <w:rPr>
                <w:rFonts w:cs="Times New Roman"/>
                <w:sz w:val="20"/>
                <w:szCs w:val="20"/>
              </w:rPr>
              <w:t>**</w:t>
            </w:r>
          </w:p>
        </w:tc>
        <w:tc>
          <w:tcPr>
            <w:tcW w:w="915" w:type="dxa"/>
            <w:vAlign w:val="center"/>
          </w:tcPr>
          <w:p w14:paraId="3B2235D9" w14:textId="77777777" w:rsidR="00110EA5" w:rsidRDefault="00110EA5" w:rsidP="007139E2">
            <w:pPr>
              <w:jc w:val="center"/>
              <w:rPr>
                <w:rFonts w:cs="Times New Roman"/>
                <w:sz w:val="20"/>
                <w:szCs w:val="20"/>
              </w:rPr>
            </w:pPr>
            <w:r>
              <w:rPr>
                <w:rFonts w:cs="Times New Roman"/>
                <w:sz w:val="20"/>
                <w:szCs w:val="20"/>
              </w:rPr>
              <w:t>85</w:t>
            </w:r>
          </w:p>
        </w:tc>
        <w:tc>
          <w:tcPr>
            <w:tcW w:w="630" w:type="dxa"/>
            <w:vAlign w:val="center"/>
          </w:tcPr>
          <w:p w14:paraId="2A789F39" w14:textId="77777777" w:rsidR="00110EA5" w:rsidRDefault="00110EA5" w:rsidP="007139E2">
            <w:pPr>
              <w:jc w:val="center"/>
              <w:rPr>
                <w:rFonts w:cs="Times New Roman"/>
                <w:sz w:val="20"/>
                <w:szCs w:val="20"/>
              </w:rPr>
            </w:pPr>
            <w:proofErr w:type="gramStart"/>
            <w:r>
              <w:rPr>
                <w:rFonts w:cs="Times New Roman"/>
                <w:sz w:val="20"/>
                <w:szCs w:val="20"/>
              </w:rPr>
              <w:t>a</w:t>
            </w:r>
            <w:proofErr w:type="gramEnd"/>
          </w:p>
        </w:tc>
        <w:tc>
          <w:tcPr>
            <w:tcW w:w="960" w:type="dxa"/>
            <w:vAlign w:val="center"/>
          </w:tcPr>
          <w:p w14:paraId="70811BEE" w14:textId="77777777" w:rsidR="00110EA5" w:rsidRDefault="00110EA5" w:rsidP="007139E2">
            <w:pPr>
              <w:jc w:val="center"/>
              <w:rPr>
                <w:rFonts w:cs="Times New Roman"/>
                <w:sz w:val="20"/>
                <w:szCs w:val="20"/>
              </w:rPr>
            </w:pPr>
            <w:r>
              <w:rPr>
                <w:rFonts w:cs="Times New Roman"/>
                <w:sz w:val="20"/>
                <w:szCs w:val="20"/>
              </w:rPr>
              <w:t>***</w:t>
            </w:r>
          </w:p>
        </w:tc>
      </w:tr>
      <w:tr w:rsidR="00110EA5" w14:paraId="42660601" w14:textId="77777777">
        <w:tc>
          <w:tcPr>
            <w:tcW w:w="1980" w:type="dxa"/>
            <w:vAlign w:val="bottom"/>
          </w:tcPr>
          <w:p w14:paraId="7E40D8D0" w14:textId="77777777" w:rsidR="00110EA5" w:rsidRDefault="00110EA5" w:rsidP="007139E2">
            <w:pPr>
              <w:jc w:val="center"/>
              <w:rPr>
                <w:rFonts w:cs="Times New Roman"/>
                <w:sz w:val="20"/>
                <w:szCs w:val="20"/>
              </w:rPr>
            </w:pPr>
            <w:r>
              <w:rPr>
                <w:rFonts w:cs="Times New Roman"/>
                <w:sz w:val="20"/>
                <w:szCs w:val="20"/>
              </w:rPr>
              <w:t>Low</w:t>
            </w:r>
          </w:p>
        </w:tc>
        <w:tc>
          <w:tcPr>
            <w:tcW w:w="720" w:type="dxa"/>
          </w:tcPr>
          <w:p w14:paraId="18CAB1C7" w14:textId="77777777" w:rsidR="00110EA5" w:rsidRDefault="00110EA5" w:rsidP="007139E2">
            <w:pPr>
              <w:jc w:val="center"/>
              <w:rPr>
                <w:rFonts w:cs="Times New Roman"/>
                <w:sz w:val="20"/>
                <w:szCs w:val="20"/>
              </w:rPr>
            </w:pPr>
            <w:r>
              <w:rPr>
                <w:rFonts w:cs="Times New Roman"/>
                <w:sz w:val="20"/>
                <w:szCs w:val="20"/>
              </w:rPr>
              <w:t>36</w:t>
            </w:r>
          </w:p>
        </w:tc>
        <w:tc>
          <w:tcPr>
            <w:tcW w:w="810" w:type="dxa"/>
          </w:tcPr>
          <w:p w14:paraId="3312EFD8" w14:textId="77777777" w:rsidR="00110EA5" w:rsidRDefault="00110EA5" w:rsidP="007139E2">
            <w:pPr>
              <w:jc w:val="center"/>
              <w:rPr>
                <w:rFonts w:cs="Times New Roman"/>
                <w:sz w:val="20"/>
                <w:szCs w:val="20"/>
              </w:rPr>
            </w:pPr>
            <w:proofErr w:type="gramStart"/>
            <w:r>
              <w:rPr>
                <w:rFonts w:cs="Times New Roman"/>
                <w:sz w:val="20"/>
                <w:szCs w:val="20"/>
              </w:rPr>
              <w:t>a</w:t>
            </w:r>
            <w:proofErr w:type="gramEnd"/>
          </w:p>
        </w:tc>
        <w:tc>
          <w:tcPr>
            <w:tcW w:w="900" w:type="dxa"/>
          </w:tcPr>
          <w:p w14:paraId="7887EF0F" w14:textId="77777777" w:rsidR="00110EA5" w:rsidRDefault="00110EA5" w:rsidP="007139E2">
            <w:pPr>
              <w:jc w:val="center"/>
              <w:rPr>
                <w:rFonts w:cs="Times New Roman"/>
                <w:sz w:val="20"/>
                <w:szCs w:val="20"/>
              </w:rPr>
            </w:pPr>
            <w:r>
              <w:rPr>
                <w:rFonts w:cs="Times New Roman"/>
                <w:sz w:val="20"/>
                <w:szCs w:val="20"/>
              </w:rPr>
              <w:t>NS</w:t>
            </w:r>
          </w:p>
        </w:tc>
        <w:tc>
          <w:tcPr>
            <w:tcW w:w="810" w:type="dxa"/>
          </w:tcPr>
          <w:p w14:paraId="11EAF821" w14:textId="77777777" w:rsidR="00110EA5" w:rsidRDefault="00110EA5" w:rsidP="007139E2">
            <w:pPr>
              <w:jc w:val="center"/>
              <w:rPr>
                <w:rFonts w:cs="Times New Roman"/>
                <w:sz w:val="20"/>
                <w:szCs w:val="20"/>
              </w:rPr>
            </w:pPr>
            <w:r>
              <w:rPr>
                <w:rFonts w:cs="Times New Roman"/>
                <w:sz w:val="20"/>
                <w:szCs w:val="20"/>
              </w:rPr>
              <w:t>21</w:t>
            </w:r>
          </w:p>
        </w:tc>
        <w:tc>
          <w:tcPr>
            <w:tcW w:w="720" w:type="dxa"/>
          </w:tcPr>
          <w:p w14:paraId="7E3DD031" w14:textId="77777777" w:rsidR="00110EA5" w:rsidRDefault="00110EA5" w:rsidP="007139E2">
            <w:pPr>
              <w:jc w:val="center"/>
              <w:rPr>
                <w:rFonts w:cs="Times New Roman"/>
                <w:sz w:val="20"/>
                <w:szCs w:val="20"/>
              </w:rPr>
            </w:pPr>
            <w:proofErr w:type="gramStart"/>
            <w:r>
              <w:rPr>
                <w:rFonts w:cs="Times New Roman"/>
                <w:sz w:val="20"/>
                <w:szCs w:val="20"/>
              </w:rPr>
              <w:t>b</w:t>
            </w:r>
            <w:proofErr w:type="gramEnd"/>
          </w:p>
        </w:tc>
        <w:tc>
          <w:tcPr>
            <w:tcW w:w="930" w:type="dxa"/>
          </w:tcPr>
          <w:p w14:paraId="2468EF93" w14:textId="77777777" w:rsidR="00110EA5" w:rsidRDefault="00110EA5" w:rsidP="007139E2">
            <w:pPr>
              <w:jc w:val="center"/>
              <w:rPr>
                <w:rFonts w:cs="Times New Roman"/>
                <w:sz w:val="20"/>
                <w:szCs w:val="20"/>
              </w:rPr>
            </w:pPr>
            <w:r>
              <w:rPr>
                <w:rFonts w:cs="Times New Roman"/>
                <w:sz w:val="20"/>
                <w:szCs w:val="20"/>
              </w:rPr>
              <w:t>NS</w:t>
            </w:r>
          </w:p>
        </w:tc>
        <w:tc>
          <w:tcPr>
            <w:tcW w:w="270" w:type="dxa"/>
          </w:tcPr>
          <w:p w14:paraId="68BB92F9" w14:textId="77777777" w:rsidR="00110EA5" w:rsidRDefault="00110EA5" w:rsidP="007139E2">
            <w:pPr>
              <w:jc w:val="center"/>
              <w:rPr>
                <w:rFonts w:cs="Times New Roman"/>
                <w:sz w:val="20"/>
                <w:szCs w:val="20"/>
              </w:rPr>
            </w:pPr>
          </w:p>
        </w:tc>
        <w:tc>
          <w:tcPr>
            <w:tcW w:w="780" w:type="dxa"/>
          </w:tcPr>
          <w:p w14:paraId="7F02399D" w14:textId="77777777" w:rsidR="00110EA5" w:rsidRDefault="00110EA5" w:rsidP="007139E2">
            <w:pPr>
              <w:jc w:val="center"/>
              <w:rPr>
                <w:rFonts w:cs="Times New Roman"/>
                <w:sz w:val="20"/>
                <w:szCs w:val="20"/>
              </w:rPr>
            </w:pPr>
            <w:r>
              <w:rPr>
                <w:rFonts w:cs="Times New Roman"/>
                <w:sz w:val="20"/>
                <w:szCs w:val="20"/>
              </w:rPr>
              <w:t>104</w:t>
            </w:r>
          </w:p>
        </w:tc>
        <w:tc>
          <w:tcPr>
            <w:tcW w:w="720" w:type="dxa"/>
          </w:tcPr>
          <w:p w14:paraId="1369301A" w14:textId="77777777" w:rsidR="00110EA5" w:rsidRDefault="00110EA5" w:rsidP="007139E2">
            <w:pPr>
              <w:jc w:val="center"/>
              <w:rPr>
                <w:rFonts w:cs="Times New Roman"/>
                <w:sz w:val="20"/>
                <w:szCs w:val="20"/>
              </w:rPr>
            </w:pPr>
            <w:proofErr w:type="gramStart"/>
            <w:r>
              <w:rPr>
                <w:rFonts w:cs="Times New Roman"/>
                <w:sz w:val="20"/>
                <w:szCs w:val="20"/>
              </w:rPr>
              <w:t>a</w:t>
            </w:r>
            <w:proofErr w:type="gramEnd"/>
          </w:p>
        </w:tc>
        <w:tc>
          <w:tcPr>
            <w:tcW w:w="975" w:type="dxa"/>
          </w:tcPr>
          <w:p w14:paraId="456716DC" w14:textId="77777777" w:rsidR="00110EA5" w:rsidRDefault="00110EA5" w:rsidP="007139E2">
            <w:pPr>
              <w:jc w:val="center"/>
              <w:rPr>
                <w:rFonts w:cs="Times New Roman"/>
                <w:sz w:val="20"/>
                <w:szCs w:val="20"/>
              </w:rPr>
            </w:pPr>
            <w:r>
              <w:rPr>
                <w:rFonts w:cs="Times New Roman"/>
                <w:sz w:val="20"/>
                <w:szCs w:val="20"/>
              </w:rPr>
              <w:t>**</w:t>
            </w:r>
          </w:p>
        </w:tc>
        <w:tc>
          <w:tcPr>
            <w:tcW w:w="915" w:type="dxa"/>
          </w:tcPr>
          <w:p w14:paraId="1EE4BF5B" w14:textId="77777777" w:rsidR="00110EA5" w:rsidRDefault="00110EA5" w:rsidP="007139E2">
            <w:pPr>
              <w:jc w:val="center"/>
              <w:rPr>
                <w:rFonts w:cs="Times New Roman"/>
                <w:sz w:val="20"/>
                <w:szCs w:val="20"/>
              </w:rPr>
            </w:pPr>
            <w:r>
              <w:rPr>
                <w:rFonts w:cs="Times New Roman"/>
                <w:sz w:val="20"/>
                <w:szCs w:val="20"/>
              </w:rPr>
              <w:t>43</w:t>
            </w:r>
          </w:p>
        </w:tc>
        <w:tc>
          <w:tcPr>
            <w:tcW w:w="630" w:type="dxa"/>
          </w:tcPr>
          <w:p w14:paraId="488DB9D5" w14:textId="77777777" w:rsidR="00110EA5" w:rsidRDefault="00110EA5" w:rsidP="007139E2">
            <w:pPr>
              <w:jc w:val="center"/>
              <w:rPr>
                <w:rFonts w:cs="Times New Roman"/>
                <w:sz w:val="20"/>
                <w:szCs w:val="20"/>
              </w:rPr>
            </w:pPr>
            <w:proofErr w:type="gramStart"/>
            <w:r>
              <w:rPr>
                <w:rFonts w:cs="Times New Roman"/>
                <w:sz w:val="20"/>
                <w:szCs w:val="20"/>
              </w:rPr>
              <w:t>b</w:t>
            </w:r>
            <w:proofErr w:type="gramEnd"/>
          </w:p>
        </w:tc>
        <w:tc>
          <w:tcPr>
            <w:tcW w:w="960" w:type="dxa"/>
          </w:tcPr>
          <w:p w14:paraId="001F0DEE" w14:textId="77777777" w:rsidR="00110EA5" w:rsidRDefault="00110EA5" w:rsidP="007139E2">
            <w:pPr>
              <w:jc w:val="center"/>
              <w:rPr>
                <w:rFonts w:cs="Times New Roman"/>
                <w:sz w:val="20"/>
                <w:szCs w:val="20"/>
              </w:rPr>
            </w:pPr>
            <w:r>
              <w:rPr>
                <w:rFonts w:cs="Times New Roman"/>
                <w:sz w:val="20"/>
                <w:szCs w:val="20"/>
              </w:rPr>
              <w:t>NS</w:t>
            </w:r>
          </w:p>
        </w:tc>
      </w:tr>
    </w:tbl>
    <w:p w14:paraId="5F012416" w14:textId="77777777" w:rsidR="00110EA5" w:rsidRDefault="00110EA5" w:rsidP="00110EA5">
      <w:pPr>
        <w:spacing w:line="240" w:lineRule="auto"/>
        <w:rPr>
          <w:rFonts w:cs="Times New Roman"/>
          <w:sz w:val="20"/>
          <w:szCs w:val="20"/>
        </w:rPr>
      </w:pPr>
      <w:proofErr w:type="gramStart"/>
      <w:r w:rsidRPr="00605DCD">
        <w:rPr>
          <w:rFonts w:cs="Times New Roman"/>
          <w:sz w:val="20"/>
          <w:szCs w:val="20"/>
          <w:vertAlign w:val="superscript"/>
        </w:rPr>
        <w:t>a</w:t>
      </w:r>
      <w:r>
        <w:rPr>
          <w:rFonts w:cs="Times New Roman"/>
          <w:sz w:val="20"/>
          <w:szCs w:val="20"/>
        </w:rPr>
        <w:t>All</w:t>
      </w:r>
      <w:proofErr w:type="gramEnd"/>
      <w:r>
        <w:rPr>
          <w:rFonts w:cs="Times New Roman"/>
          <w:sz w:val="20"/>
          <w:szCs w:val="20"/>
        </w:rPr>
        <w:t xml:space="preserve"> treatments</w:t>
      </w:r>
      <w:r w:rsidRPr="00605DCD">
        <w:rPr>
          <w:rFonts w:cs="Times New Roman"/>
          <w:sz w:val="20"/>
          <w:szCs w:val="20"/>
        </w:rPr>
        <w:t xml:space="preserve"> were applied with non-ionic surfactant at 0.25% v/v.</w:t>
      </w:r>
    </w:p>
    <w:p w14:paraId="49D25268" w14:textId="77777777" w:rsidR="00110EA5" w:rsidRDefault="00110EA5" w:rsidP="00110EA5">
      <w:pPr>
        <w:spacing w:line="240" w:lineRule="auto"/>
        <w:rPr>
          <w:rFonts w:eastAsia="ＭＳ ゴシック" w:cs="Times New Roman"/>
          <w:color w:val="000000"/>
          <w:sz w:val="20"/>
          <w:szCs w:val="20"/>
        </w:rPr>
      </w:pPr>
      <w:proofErr w:type="gramStart"/>
      <w:r w:rsidRPr="009A3413">
        <w:rPr>
          <w:rFonts w:cs="Times New Roman"/>
          <w:sz w:val="20"/>
          <w:szCs w:val="20"/>
          <w:vertAlign w:val="superscript"/>
        </w:rPr>
        <w:t>b</w:t>
      </w:r>
      <w:r>
        <w:rPr>
          <w:rFonts w:cs="Times New Roman"/>
          <w:sz w:val="20"/>
          <w:szCs w:val="20"/>
        </w:rPr>
        <w:t>Means</w:t>
      </w:r>
      <w:proofErr w:type="gramEnd"/>
      <w:r>
        <w:rPr>
          <w:rFonts w:cs="Times New Roman"/>
          <w:sz w:val="20"/>
          <w:szCs w:val="20"/>
        </w:rPr>
        <w:t xml:space="preserve"> followed by the same letter are not statistically different (P </w:t>
      </w:r>
      <w:r w:rsidRPr="009A3413">
        <w:rPr>
          <w:rFonts w:eastAsia="ＭＳ ゴシック" w:cs="Times New Roman"/>
          <w:color w:val="000000"/>
          <w:sz w:val="20"/>
          <w:szCs w:val="20"/>
        </w:rPr>
        <w:t>≤</w:t>
      </w:r>
      <w:r>
        <w:rPr>
          <w:rFonts w:eastAsia="ＭＳ ゴシック" w:cs="Times New Roman"/>
          <w:color w:val="000000"/>
          <w:sz w:val="20"/>
          <w:szCs w:val="20"/>
        </w:rPr>
        <w:t xml:space="preserve"> 0.05)</w:t>
      </w:r>
    </w:p>
    <w:p w14:paraId="24B047A2" w14:textId="604E22E0" w:rsidR="00110EA5" w:rsidRDefault="00110EA5" w:rsidP="00110EA5">
      <w:pPr>
        <w:spacing w:line="240" w:lineRule="auto"/>
        <w:rPr>
          <w:rFonts w:cs="Times New Roman"/>
          <w:sz w:val="20"/>
          <w:szCs w:val="20"/>
        </w:rPr>
        <w:sectPr w:rsidR="00110EA5">
          <w:pgSz w:w="15840" w:h="12240" w:orient="landscape"/>
          <w:pgMar w:top="1440" w:right="1440" w:bottom="1440" w:left="1440" w:header="720" w:footer="720" w:gutter="0"/>
          <w:cols w:space="720"/>
          <w:docGrid w:linePitch="360"/>
        </w:sectPr>
      </w:pPr>
      <w:proofErr w:type="gramStart"/>
      <w:r w:rsidRPr="002F574C">
        <w:rPr>
          <w:rFonts w:cs="Times New Roman"/>
          <w:sz w:val="20"/>
          <w:szCs w:val="20"/>
          <w:vertAlign w:val="superscript"/>
        </w:rPr>
        <w:t>c</w:t>
      </w:r>
      <w:r w:rsidR="008048D1" w:rsidRPr="008C01C7">
        <w:rPr>
          <w:rFonts w:cs="Times New Roman"/>
          <w:color w:val="000000"/>
          <w:sz w:val="20"/>
          <w:szCs w:val="20"/>
        </w:rPr>
        <w:t>Contrasts</w:t>
      </w:r>
      <w:proofErr w:type="gramEnd"/>
      <w:r w:rsidR="008048D1" w:rsidRPr="008C01C7">
        <w:rPr>
          <w:rFonts w:cs="Times New Roman"/>
          <w:color w:val="000000"/>
          <w:sz w:val="20"/>
          <w:szCs w:val="20"/>
        </w:rPr>
        <w:t xml:space="preserve"> were used to determine if responses of safener-treated plants differed </w:t>
      </w:r>
      <w:r w:rsidR="008048D1" w:rsidRPr="008C01C7">
        <w:rPr>
          <w:rFonts w:cs="Times New Roman"/>
          <w:sz w:val="20"/>
          <w:szCs w:val="20"/>
        </w:rPr>
        <w:t>(</w:t>
      </w:r>
      <w:r w:rsidR="008048D1" w:rsidRPr="008C01C7">
        <w:rPr>
          <w:rFonts w:cs="Times New Roman"/>
          <w:color w:val="000000"/>
          <w:sz w:val="20"/>
          <w:szCs w:val="20"/>
        </w:rPr>
        <w:t>α</w:t>
      </w:r>
      <w:r w:rsidR="008048D1" w:rsidRPr="008C01C7">
        <w:rPr>
          <w:rFonts w:cs="Times New Roman"/>
          <w:sz w:val="20"/>
          <w:szCs w:val="20"/>
        </w:rPr>
        <w:t xml:space="preserve"> </w:t>
      </w:r>
      <w:r w:rsidR="008048D1" w:rsidRPr="008C01C7">
        <w:rPr>
          <w:rFonts w:eastAsia="MS Gothic" w:cs="Times New Roman"/>
          <w:color w:val="000000"/>
          <w:sz w:val="20"/>
          <w:szCs w:val="20"/>
        </w:rPr>
        <w:t xml:space="preserve">≤ 0.05) from plants treated with only pinoxaden. </w:t>
      </w:r>
      <w:proofErr w:type="gramStart"/>
      <w:r w:rsidRPr="002F574C">
        <w:rPr>
          <w:rFonts w:cs="Times New Roman"/>
          <w:sz w:val="20"/>
          <w:szCs w:val="20"/>
        </w:rPr>
        <w:t xml:space="preserve">NS, non-significant; *, **, ***, significant when </w:t>
      </w:r>
      <w:r w:rsidRPr="002F574C">
        <w:rPr>
          <w:rFonts w:cs="Times New Roman"/>
          <w:color w:val="000000"/>
          <w:sz w:val="20"/>
          <w:szCs w:val="20"/>
        </w:rPr>
        <w:t xml:space="preserve">α </w:t>
      </w:r>
      <w:r w:rsidRPr="002F574C">
        <w:rPr>
          <w:rFonts w:eastAsia="MS Gothic" w:cs="Times New Roman"/>
          <w:color w:val="000000"/>
        </w:rPr>
        <w:t xml:space="preserve">≤ </w:t>
      </w:r>
      <w:r w:rsidRPr="002F574C">
        <w:rPr>
          <w:rFonts w:cs="Times New Roman"/>
          <w:sz w:val="20"/>
          <w:szCs w:val="20"/>
        </w:rPr>
        <w:t>0.05, 0.01 and 0.001, respectively.</w:t>
      </w:r>
      <w:proofErr w:type="gramEnd"/>
    </w:p>
    <w:p w14:paraId="19B8E241" w14:textId="77777777" w:rsidR="00110EA5" w:rsidRDefault="00110EA5" w:rsidP="00110EA5">
      <w:pPr>
        <w:rPr>
          <w:rFonts w:cs="Times New Roman"/>
          <w:sz w:val="20"/>
          <w:szCs w:val="20"/>
        </w:rPr>
      </w:pPr>
    </w:p>
    <w:p w14:paraId="64CC8744" w14:textId="77777777" w:rsidR="00051F58" w:rsidRDefault="00051F58">
      <w:pPr>
        <w:rPr>
          <w:rFonts w:cs="Times New Roman"/>
          <w:b/>
          <w:bCs/>
          <w:caps/>
        </w:rPr>
      </w:pPr>
    </w:p>
    <w:p w14:paraId="156E29A0" w14:textId="77777777" w:rsidR="00051F58" w:rsidRDefault="00051F58" w:rsidP="00051F58">
      <w:pPr>
        <w:pStyle w:val="Title"/>
      </w:pPr>
    </w:p>
    <w:p w14:paraId="3E3FA482" w14:textId="77777777" w:rsidR="00051F58" w:rsidRDefault="00051F58" w:rsidP="00051F58">
      <w:pPr>
        <w:pStyle w:val="Title"/>
      </w:pPr>
    </w:p>
    <w:p w14:paraId="2A96F0B6" w14:textId="77777777" w:rsidR="00051F58" w:rsidRDefault="00051F58" w:rsidP="00051F58">
      <w:pPr>
        <w:pStyle w:val="Title"/>
      </w:pPr>
    </w:p>
    <w:p w14:paraId="7B9D35A7" w14:textId="77777777" w:rsidR="009D10FC" w:rsidRDefault="009D10FC" w:rsidP="00051F58">
      <w:pPr>
        <w:pStyle w:val="Title"/>
      </w:pPr>
    </w:p>
    <w:p w14:paraId="59204911" w14:textId="77777777" w:rsidR="009D10FC" w:rsidRDefault="009D10FC" w:rsidP="00051F58">
      <w:pPr>
        <w:pStyle w:val="Title"/>
      </w:pPr>
    </w:p>
    <w:p w14:paraId="46A005B0" w14:textId="77777777" w:rsidR="009D10FC" w:rsidRDefault="009D10FC" w:rsidP="00051F58">
      <w:pPr>
        <w:pStyle w:val="Title"/>
      </w:pPr>
    </w:p>
    <w:p w14:paraId="04071C17" w14:textId="77777777" w:rsidR="009D10FC" w:rsidRDefault="009D10FC" w:rsidP="00051F58">
      <w:pPr>
        <w:pStyle w:val="Title"/>
      </w:pPr>
    </w:p>
    <w:p w14:paraId="1FCD4818" w14:textId="77777777" w:rsidR="009D10FC" w:rsidRDefault="009D10FC" w:rsidP="00051F58">
      <w:pPr>
        <w:pStyle w:val="Title"/>
      </w:pPr>
    </w:p>
    <w:p w14:paraId="21537ADE" w14:textId="77777777" w:rsidR="00051F58" w:rsidRPr="00ED54C2" w:rsidRDefault="00051F58" w:rsidP="003A1DC6">
      <w:pPr>
        <w:pStyle w:val="Heading1"/>
      </w:pPr>
      <w:bookmarkStart w:id="92" w:name="_Toc264713572"/>
      <w:bookmarkStart w:id="93" w:name="_Toc264713618"/>
      <w:bookmarkStart w:id="94" w:name="_Toc264967195"/>
      <w:r>
        <w:t>CHAPTER 3: CYTOCHROME P450 INHIBITORS AFFECT CREEPING BENTGRASS TOLERANCE TO TOPRAMEZONE</w:t>
      </w:r>
      <w:bookmarkEnd w:id="92"/>
      <w:bookmarkEnd w:id="93"/>
      <w:bookmarkEnd w:id="94"/>
    </w:p>
    <w:p w14:paraId="1A9D4854" w14:textId="77777777" w:rsidR="00051F58" w:rsidRDefault="00051F58">
      <w:pPr>
        <w:rPr>
          <w:rFonts w:cs="Times New Roman"/>
          <w:b/>
          <w:bCs/>
          <w:caps/>
        </w:rPr>
      </w:pPr>
      <w:r>
        <w:br w:type="page"/>
      </w:r>
    </w:p>
    <w:p w14:paraId="1EEC8267" w14:textId="77777777" w:rsidR="00051F58" w:rsidRPr="00945F16" w:rsidRDefault="00051F58" w:rsidP="00051F58">
      <w:pPr>
        <w:rPr>
          <w:rFonts w:cs="Times New Roman"/>
        </w:rPr>
      </w:pPr>
      <w:r w:rsidRPr="00945F16">
        <w:rPr>
          <w:rFonts w:cs="Times New Roman"/>
        </w:rPr>
        <w:lastRenderedPageBreak/>
        <w:t>This chapter is based on a paper that will be submitted for publication by Matthew Elmore, James Brosnan, Gregory Armel, Dean Kopsell, Michael Best, Thomas Mueller and John Sorochan:</w:t>
      </w:r>
    </w:p>
    <w:p w14:paraId="7253729F" w14:textId="77777777" w:rsidR="00051F58" w:rsidRPr="00945F16" w:rsidRDefault="00051F58" w:rsidP="00051F58">
      <w:pPr>
        <w:pStyle w:val="BodyText"/>
        <w:widowControl/>
        <w:jc w:val="left"/>
        <w:rPr>
          <w:sz w:val="24"/>
          <w:szCs w:val="24"/>
        </w:rPr>
      </w:pPr>
    </w:p>
    <w:p w14:paraId="0661295D" w14:textId="77777777" w:rsidR="00051F58" w:rsidRPr="00945F16" w:rsidRDefault="00051F58" w:rsidP="00051F58">
      <w:pPr>
        <w:rPr>
          <w:rFonts w:cs="Times New Roman"/>
        </w:rPr>
      </w:pPr>
      <w:r w:rsidRPr="00945F16">
        <w:rPr>
          <w:rFonts w:cs="Times New Roman"/>
        </w:rPr>
        <w:t>Elmore, M.T., J.T. Brosnan, G.R. Armel, D.A. Kopsell, M.D. Best, T.C. Mueller and J.C. Sorochan. 2014. Cytochrome P450 Inhibitors Reduce Creeping Bentgrass (</w:t>
      </w:r>
      <w:r w:rsidRPr="00945F16">
        <w:rPr>
          <w:rFonts w:cs="Times New Roman"/>
          <w:i/>
        </w:rPr>
        <w:t>Agrostis stolonifera</w:t>
      </w:r>
      <w:r w:rsidRPr="00945F16">
        <w:rPr>
          <w:rFonts w:cs="Times New Roman"/>
        </w:rPr>
        <w:t>) Tolerance to Topramezone. Pesticide Biochemistry and Physiology.</w:t>
      </w:r>
    </w:p>
    <w:p w14:paraId="587C81F7" w14:textId="77777777" w:rsidR="00051F58" w:rsidRPr="00945F16" w:rsidRDefault="00051F58" w:rsidP="00051F58">
      <w:pPr>
        <w:pStyle w:val="BodyText"/>
        <w:widowControl/>
        <w:jc w:val="left"/>
        <w:rPr>
          <w:sz w:val="24"/>
          <w:szCs w:val="24"/>
        </w:rPr>
      </w:pPr>
    </w:p>
    <w:p w14:paraId="3B92CEE0" w14:textId="77777777" w:rsidR="00051F58" w:rsidRPr="00945F16" w:rsidRDefault="00051F58" w:rsidP="00051F58">
      <w:pPr>
        <w:pStyle w:val="BodyText"/>
        <w:widowControl/>
        <w:jc w:val="left"/>
        <w:rPr>
          <w:sz w:val="24"/>
          <w:szCs w:val="24"/>
        </w:rPr>
      </w:pPr>
      <w:bookmarkStart w:id="95" w:name="_Toc264713619"/>
      <w:r w:rsidRPr="00945F16">
        <w:rPr>
          <w:sz w:val="24"/>
          <w:szCs w:val="24"/>
        </w:rPr>
        <w:t xml:space="preserve">My primary contributions to this paper include (i) Discovering the concept (ii) Design and conducting the experiments, (iii) processing, analyzing and interpreting data, </w:t>
      </w:r>
      <w:proofErr w:type="gramStart"/>
      <w:r w:rsidRPr="00945F16">
        <w:rPr>
          <w:sz w:val="24"/>
          <w:szCs w:val="24"/>
        </w:rPr>
        <w:t>(iv) reading</w:t>
      </w:r>
      <w:proofErr w:type="gramEnd"/>
      <w:r w:rsidRPr="00945F16">
        <w:rPr>
          <w:sz w:val="24"/>
          <w:szCs w:val="24"/>
        </w:rPr>
        <w:t xml:space="preserve"> literature, (v) writing the manuscript</w:t>
      </w:r>
      <w:bookmarkEnd w:id="95"/>
    </w:p>
    <w:p w14:paraId="0A1741AB" w14:textId="77777777" w:rsidR="00825933" w:rsidRPr="00945F16" w:rsidRDefault="00825933" w:rsidP="00945F16">
      <w:pPr>
        <w:pStyle w:val="BodyText"/>
        <w:widowControl/>
        <w:jc w:val="left"/>
        <w:rPr>
          <w:sz w:val="24"/>
          <w:szCs w:val="24"/>
        </w:rPr>
      </w:pPr>
    </w:p>
    <w:p w14:paraId="393EEBE1" w14:textId="77777777" w:rsidR="00945F16" w:rsidRPr="007C372C" w:rsidRDefault="00945F16" w:rsidP="003A1DC6">
      <w:pPr>
        <w:pStyle w:val="Heading2"/>
      </w:pPr>
      <w:bookmarkStart w:id="96" w:name="_Toc264713573"/>
      <w:bookmarkStart w:id="97" w:name="_Toc264713620"/>
      <w:bookmarkStart w:id="98" w:name="_Toc264967196"/>
      <w:r w:rsidRPr="007C372C">
        <w:t>ABSTRACT</w:t>
      </w:r>
      <w:bookmarkEnd w:id="96"/>
      <w:bookmarkEnd w:id="97"/>
      <w:bookmarkEnd w:id="98"/>
    </w:p>
    <w:p w14:paraId="3DEBD767" w14:textId="75EFC42A" w:rsidR="00723CA4" w:rsidRDefault="00723CA4" w:rsidP="00723CA4">
      <w:pPr>
        <w:ind w:firstLine="720"/>
        <w:rPr>
          <w:rFonts w:cs="Times New Roman"/>
        </w:rPr>
      </w:pPr>
      <w:r>
        <w:rPr>
          <w:rFonts w:cs="Times New Roman"/>
        </w:rPr>
        <w:t>Creeping bentgrass (</w:t>
      </w:r>
      <w:r w:rsidRPr="00D1558C">
        <w:rPr>
          <w:rFonts w:cs="Times New Roman"/>
          <w:i/>
        </w:rPr>
        <w:t>Agrostis stolonifer</w:t>
      </w:r>
      <w:r>
        <w:rPr>
          <w:rFonts w:cs="Times New Roman"/>
          <w:i/>
        </w:rPr>
        <w:t xml:space="preserve">a </w:t>
      </w:r>
      <w:r w:rsidRPr="004414CD">
        <w:rPr>
          <w:rFonts w:cs="Times New Roman"/>
        </w:rPr>
        <w:t>L.</w:t>
      </w:r>
      <w:r>
        <w:rPr>
          <w:rFonts w:cs="Times New Roman"/>
          <w:i/>
        </w:rPr>
        <w:t xml:space="preserve">) </w:t>
      </w:r>
      <w:r>
        <w:rPr>
          <w:rFonts w:cs="Times New Roman"/>
        </w:rPr>
        <w:t xml:space="preserve">is moderately tolerant to the </w:t>
      </w:r>
      <w:r w:rsidRPr="00D1558C">
        <w:rPr>
          <w:rFonts w:cs="Times New Roman"/>
          <w:i/>
        </w:rPr>
        <w:t>p</w:t>
      </w:r>
      <w:r>
        <w:rPr>
          <w:rFonts w:cs="Times New Roman"/>
        </w:rPr>
        <w:t>-hydroxyphenylpyruvate dioxygenase-inhibiting herbicide topramezone. However, the contribution of topramezone metabolism to this tolerance is unknown. Experiments were conducted to determi</w:t>
      </w:r>
      <w:r w:rsidR="0086365A">
        <w:rPr>
          <w:rFonts w:cs="Times New Roman"/>
        </w:rPr>
        <w:t>ne if known cytochrome P450 monoo</w:t>
      </w:r>
      <w:r>
        <w:rPr>
          <w:rFonts w:cs="Times New Roman"/>
        </w:rPr>
        <w:t xml:space="preserve">xygenase inhibitors 1-aminobenzotriazole (ABT) and </w:t>
      </w:r>
      <w:proofErr w:type="gramStart"/>
      <w:r>
        <w:rPr>
          <w:rFonts w:cs="Times New Roman"/>
        </w:rPr>
        <w:t>malathion</w:t>
      </w:r>
      <w:proofErr w:type="gramEnd"/>
      <w:r>
        <w:rPr>
          <w:rFonts w:cs="Times New Roman"/>
        </w:rPr>
        <w:t xml:space="preserve"> influence creeping bentgrass tolerance to topramezone. Creeping bentgrass in hydroponic culture was treated with ABT (70 </w:t>
      </w:r>
      <w:r w:rsidRPr="007A0729">
        <w:rPr>
          <w:rFonts w:cs="Times New Roman"/>
          <w:color w:val="000000"/>
        </w:rPr>
        <w:t>μ</w:t>
      </w:r>
      <w:r>
        <w:rPr>
          <w:rFonts w:cs="Times New Roman"/>
        </w:rPr>
        <w:t xml:space="preserve">m) or </w:t>
      </w:r>
      <w:proofErr w:type="gramStart"/>
      <w:r>
        <w:rPr>
          <w:rFonts w:cs="Times New Roman"/>
        </w:rPr>
        <w:t>malathion</w:t>
      </w:r>
      <w:proofErr w:type="gramEnd"/>
      <w:r>
        <w:rPr>
          <w:rFonts w:cs="Times New Roman"/>
        </w:rPr>
        <w:t xml:space="preserve"> (70 </w:t>
      </w:r>
      <w:r w:rsidRPr="007A0729">
        <w:rPr>
          <w:rFonts w:cs="Times New Roman"/>
          <w:color w:val="000000"/>
        </w:rPr>
        <w:t>μ</w:t>
      </w:r>
      <w:r>
        <w:rPr>
          <w:rFonts w:cs="Times New Roman"/>
        </w:rPr>
        <w:t>m and 1000 g ha</w:t>
      </w:r>
      <w:r w:rsidRPr="007A0729">
        <w:rPr>
          <w:rFonts w:cs="Times New Roman"/>
          <w:vertAlign w:val="superscript"/>
        </w:rPr>
        <w:t>-1</w:t>
      </w:r>
      <w:r>
        <w:rPr>
          <w:rFonts w:cs="Times New Roman"/>
        </w:rPr>
        <w:t>) prior to topramezone (8</w:t>
      </w:r>
      <w:r w:rsidR="002612A5">
        <w:rPr>
          <w:rFonts w:cs="Times New Roman"/>
        </w:rPr>
        <w:t xml:space="preserve"> </w:t>
      </w:r>
      <w:r>
        <w:rPr>
          <w:rFonts w:cs="Times New Roman"/>
        </w:rPr>
        <w:t>g ha</w:t>
      </w:r>
      <w:r w:rsidRPr="007A0729">
        <w:rPr>
          <w:rFonts w:cs="Times New Roman"/>
          <w:vertAlign w:val="superscript"/>
        </w:rPr>
        <w:t>-1</w:t>
      </w:r>
      <w:r>
        <w:rPr>
          <w:rFonts w:cs="Times New Roman"/>
        </w:rPr>
        <w:t xml:space="preserve">) application to foliage. Topramezone injury to creeping bentgrass increased from 22% when applied alone to 79 and 41% when applied with </w:t>
      </w:r>
      <w:proofErr w:type="gramStart"/>
      <w:r>
        <w:rPr>
          <w:rFonts w:cs="Times New Roman"/>
        </w:rPr>
        <w:t>malathion</w:t>
      </w:r>
      <w:proofErr w:type="gramEnd"/>
      <w:r>
        <w:rPr>
          <w:rFonts w:cs="Times New Roman"/>
        </w:rPr>
        <w:t xml:space="preserve"> or ABT, respectively. Cloquintocet (70 </w:t>
      </w:r>
      <w:r w:rsidRPr="007A0729">
        <w:rPr>
          <w:rFonts w:cs="Times New Roman"/>
          <w:color w:val="000000"/>
        </w:rPr>
        <w:t>μ</w:t>
      </w:r>
      <w:r>
        <w:rPr>
          <w:rFonts w:cs="Times New Roman"/>
        </w:rPr>
        <w:t>m and 1000 g ha</w:t>
      </w:r>
      <w:r w:rsidRPr="007A0729">
        <w:rPr>
          <w:rFonts w:cs="Times New Roman"/>
          <w:vertAlign w:val="superscript"/>
        </w:rPr>
        <w:t>-1</w:t>
      </w:r>
      <w:r>
        <w:rPr>
          <w:rFonts w:cs="Times New Roman"/>
        </w:rPr>
        <w:t xml:space="preserve">) reduced topramezone injury to 1%. Cloquintocet mitigated the synergistic effects of ABT more </w:t>
      </w:r>
      <w:r>
        <w:rPr>
          <w:rFonts w:cs="Times New Roman"/>
        </w:rPr>
        <w:lastRenderedPageBreak/>
        <w:t xml:space="preserve">than those of </w:t>
      </w:r>
      <w:proofErr w:type="gramStart"/>
      <w:r>
        <w:rPr>
          <w:rFonts w:cs="Times New Roman"/>
        </w:rPr>
        <w:t>malathion</w:t>
      </w:r>
      <w:proofErr w:type="gramEnd"/>
      <w:r>
        <w:rPr>
          <w:rFonts w:cs="Times New Roman"/>
        </w:rPr>
        <w:t xml:space="preserve">. Visible responses were supported by chlorophyll fluorescence yield and creeping bentgrass biomass responses. Responses to ABT and </w:t>
      </w:r>
      <w:proofErr w:type="gramStart"/>
      <w:r>
        <w:rPr>
          <w:rFonts w:cs="Times New Roman"/>
        </w:rPr>
        <w:t>malathion</w:t>
      </w:r>
      <w:proofErr w:type="gramEnd"/>
      <w:r>
        <w:rPr>
          <w:rFonts w:cs="Times New Roman"/>
        </w:rPr>
        <w:t xml:space="preserve"> suggest that creeping bentgrass tolerance to topramezone is influenced by cytochrome P450-catalyzed metabolism. Future research should determine the contributions of cytochrome P450 </w:t>
      </w:r>
      <w:r w:rsidR="00904173">
        <w:rPr>
          <w:rFonts w:cs="Times New Roman"/>
        </w:rPr>
        <w:t>monooxygenase</w:t>
      </w:r>
      <w:r>
        <w:rPr>
          <w:rFonts w:cs="Times New Roman"/>
        </w:rPr>
        <w:t>s and glutathione-</w:t>
      </w:r>
      <w:r>
        <w:rPr>
          <w:rFonts w:cs="Times New Roman"/>
          <w:i/>
        </w:rPr>
        <w:t>s</w:t>
      </w:r>
      <w:r>
        <w:rPr>
          <w:rFonts w:cs="Times New Roman"/>
        </w:rPr>
        <w:t>-transferases to topramezone metabolism in creeping bentgrass.</w:t>
      </w:r>
    </w:p>
    <w:p w14:paraId="1BB35AE5" w14:textId="77777777" w:rsidR="00945F16" w:rsidRPr="00945F16" w:rsidRDefault="00945F16" w:rsidP="00945F16">
      <w:pPr>
        <w:rPr>
          <w:rFonts w:cs="Times New Roman"/>
        </w:rPr>
      </w:pPr>
      <w:r w:rsidRPr="00945F16">
        <w:rPr>
          <w:rFonts w:cs="Times New Roman"/>
        </w:rPr>
        <w:t>.</w:t>
      </w:r>
    </w:p>
    <w:p w14:paraId="4AB2B9D0" w14:textId="77777777" w:rsidR="00945F16" w:rsidRPr="00945F16" w:rsidRDefault="00945F16">
      <w:pPr>
        <w:rPr>
          <w:rFonts w:eastAsia="?????? Pro W3" w:cs="Times New Roman"/>
          <w:color w:val="000000"/>
        </w:rPr>
      </w:pPr>
      <w:r w:rsidRPr="00945F16">
        <w:rPr>
          <w:rFonts w:cs="Times New Roman"/>
        </w:rPr>
        <w:br w:type="page"/>
      </w:r>
    </w:p>
    <w:p w14:paraId="458F4A5C" w14:textId="77777777" w:rsidR="00945F16" w:rsidRPr="003A1DC6" w:rsidRDefault="00945F16" w:rsidP="003A1DC6">
      <w:pPr>
        <w:pStyle w:val="Heading2"/>
      </w:pPr>
      <w:bookmarkStart w:id="99" w:name="_Toc264713574"/>
      <w:bookmarkStart w:id="100" w:name="_Toc264713621"/>
      <w:bookmarkStart w:id="101" w:name="_Toc264967197"/>
      <w:r w:rsidRPr="003A1DC6">
        <w:lastRenderedPageBreak/>
        <w:t>INTRODUCTION</w:t>
      </w:r>
      <w:bookmarkEnd w:id="99"/>
      <w:bookmarkEnd w:id="100"/>
      <w:bookmarkEnd w:id="101"/>
    </w:p>
    <w:p w14:paraId="2524978C" w14:textId="77777777" w:rsidR="00723CA4" w:rsidRPr="00ED63ED" w:rsidRDefault="00723CA4" w:rsidP="00723CA4">
      <w:pPr>
        <w:ind w:firstLine="720"/>
        <w:rPr>
          <w:rFonts w:cs="Times New Roman"/>
        </w:rPr>
      </w:pPr>
      <w:r w:rsidRPr="00ED63ED">
        <w:rPr>
          <w:rFonts w:cs="Times New Roman"/>
        </w:rPr>
        <w:t xml:space="preserve">Creeping bentgrass </w:t>
      </w:r>
      <w:r>
        <w:rPr>
          <w:rFonts w:cs="Times New Roman"/>
        </w:rPr>
        <w:t>(</w:t>
      </w:r>
      <w:r w:rsidRPr="00ED63ED">
        <w:rPr>
          <w:rFonts w:cs="Times New Roman"/>
          <w:i/>
        </w:rPr>
        <w:t>Agrostis stolonifera</w:t>
      </w:r>
      <w:r>
        <w:rPr>
          <w:rFonts w:cs="Times New Roman"/>
        </w:rPr>
        <w:t xml:space="preserve"> L.)</w:t>
      </w:r>
      <w:r w:rsidRPr="00ED63ED">
        <w:rPr>
          <w:rFonts w:cs="Times New Roman"/>
        </w:rPr>
        <w:t xml:space="preserve"> is the most widely used cool-season turfgrass on golf course fairways and tees in the United States </w:t>
      </w:r>
      <w:r>
        <w:rPr>
          <w:rFonts w:cs="Times New Roman"/>
        </w:rPr>
        <w:t>[1]</w:t>
      </w:r>
      <w:r w:rsidRPr="00ED63ED">
        <w:rPr>
          <w:rFonts w:cs="Times New Roman"/>
        </w:rPr>
        <w:t xml:space="preserve">. </w:t>
      </w:r>
      <w:r>
        <w:rPr>
          <w:rFonts w:cs="Times New Roman"/>
        </w:rPr>
        <w:t>C</w:t>
      </w:r>
      <w:r w:rsidRPr="00ED63ED">
        <w:rPr>
          <w:rFonts w:cs="Times New Roman"/>
        </w:rPr>
        <w:t>rabgrass (</w:t>
      </w:r>
      <w:r w:rsidRPr="00ED63ED">
        <w:rPr>
          <w:rFonts w:cs="Times New Roman"/>
          <w:i/>
        </w:rPr>
        <w:t>Digitaria</w:t>
      </w:r>
      <w:r w:rsidRPr="00ED63ED">
        <w:rPr>
          <w:rFonts w:cs="Times New Roman"/>
        </w:rPr>
        <w:t xml:space="preserve"> spp.), goosegrass</w:t>
      </w:r>
      <w:r>
        <w:rPr>
          <w:rFonts w:cs="Times New Roman"/>
        </w:rPr>
        <w:t xml:space="preserve"> (</w:t>
      </w:r>
      <w:r w:rsidRPr="007568D2">
        <w:rPr>
          <w:rFonts w:cs="Times New Roman"/>
          <w:i/>
        </w:rPr>
        <w:t xml:space="preserve">Eleusine indica </w:t>
      </w:r>
      <w:r>
        <w:rPr>
          <w:rFonts w:cs="Times New Roman"/>
        </w:rPr>
        <w:t>L. Gaertn.)</w:t>
      </w:r>
      <w:r w:rsidRPr="00ED63ED">
        <w:rPr>
          <w:rFonts w:cs="Times New Roman"/>
        </w:rPr>
        <w:t xml:space="preserve"> and bermudagrass (</w:t>
      </w:r>
      <w:r w:rsidRPr="00ED63ED">
        <w:rPr>
          <w:rFonts w:cs="Times New Roman"/>
          <w:i/>
        </w:rPr>
        <w:t>Cynodon</w:t>
      </w:r>
      <w:r w:rsidRPr="00ED63ED">
        <w:rPr>
          <w:rFonts w:cs="Times New Roman"/>
        </w:rPr>
        <w:t xml:space="preserve"> spp.) </w:t>
      </w:r>
      <w:r>
        <w:rPr>
          <w:rFonts w:cs="Times New Roman"/>
        </w:rPr>
        <w:t>are difficult to control weeds that disrupt the functional and aesthetic quality of creeping bentgrass turf [2]. Herbicide options for weed control in creeping bentgrass are limited. H</w:t>
      </w:r>
      <w:r w:rsidRPr="00ED63ED">
        <w:rPr>
          <w:rFonts w:cs="Times New Roman"/>
        </w:rPr>
        <w:t>erbicide</w:t>
      </w:r>
      <w:r>
        <w:rPr>
          <w:rFonts w:cs="Times New Roman"/>
        </w:rPr>
        <w:t>s such as fenoxaprop-</w:t>
      </w:r>
      <w:r w:rsidRPr="00C97ED5">
        <w:rPr>
          <w:rFonts w:cs="Times New Roman"/>
          <w:i/>
        </w:rPr>
        <w:t>p</w:t>
      </w:r>
      <w:r>
        <w:rPr>
          <w:rFonts w:cs="Times New Roman"/>
        </w:rPr>
        <w:t>-ethyl and quinclorac</w:t>
      </w:r>
      <w:r w:rsidRPr="00ED63ED">
        <w:rPr>
          <w:rFonts w:cs="Times New Roman"/>
        </w:rPr>
        <w:t xml:space="preserve"> </w:t>
      </w:r>
      <w:r>
        <w:rPr>
          <w:rFonts w:cs="Times New Roman"/>
        </w:rPr>
        <w:t>often cannot be applied at rates that</w:t>
      </w:r>
      <w:r w:rsidRPr="00ED63ED">
        <w:rPr>
          <w:rFonts w:cs="Times New Roman"/>
        </w:rPr>
        <w:t xml:space="preserve"> provide acceptable weed control </w:t>
      </w:r>
      <w:proofErr w:type="gramStart"/>
      <w:r>
        <w:rPr>
          <w:rFonts w:cs="Times New Roman"/>
        </w:rPr>
        <w:t>as they are</w:t>
      </w:r>
      <w:r w:rsidRPr="00ED63ED">
        <w:rPr>
          <w:rFonts w:cs="Times New Roman"/>
        </w:rPr>
        <w:t xml:space="preserve"> too injurious to </w:t>
      </w:r>
      <w:r>
        <w:rPr>
          <w:rFonts w:cs="Times New Roman"/>
        </w:rPr>
        <w:t>creeping bentgras</w:t>
      </w:r>
      <w:r w:rsidRPr="00710595">
        <w:rPr>
          <w:rFonts w:cs="Times New Roman"/>
        </w:rPr>
        <w:t>s</w:t>
      </w:r>
      <w:proofErr w:type="gramEnd"/>
      <w:r w:rsidRPr="00710595">
        <w:rPr>
          <w:rFonts w:cs="Times New Roman"/>
        </w:rPr>
        <w:t xml:space="preserve"> [</w:t>
      </w:r>
      <w:r>
        <w:rPr>
          <w:rFonts w:cs="Times New Roman"/>
          <w:color w:val="000000"/>
        </w:rPr>
        <w:t>3-8</w:t>
      </w:r>
      <w:r w:rsidRPr="00710595">
        <w:rPr>
          <w:rFonts w:cs="Times New Roman"/>
        </w:rPr>
        <w:t xml:space="preserve">]. </w:t>
      </w:r>
    </w:p>
    <w:p w14:paraId="07D68D76" w14:textId="36DA9FEB" w:rsidR="00723CA4" w:rsidRDefault="00723CA4" w:rsidP="00723CA4">
      <w:pPr>
        <w:ind w:firstLine="720"/>
        <w:rPr>
          <w:rFonts w:eastAsia="MS Gothic" w:cs="Times New Roman"/>
          <w:color w:val="000000"/>
        </w:rPr>
      </w:pPr>
      <w:r w:rsidRPr="00ED63ED">
        <w:rPr>
          <w:rFonts w:eastAsia="MS Gothic" w:cs="Times New Roman"/>
          <w:color w:val="000000"/>
        </w:rPr>
        <w:t>Topramezone is a</w:t>
      </w:r>
      <w:r>
        <w:rPr>
          <w:rFonts w:eastAsia="MS Gothic" w:cs="Times New Roman"/>
          <w:color w:val="000000"/>
        </w:rPr>
        <w:t xml:space="preserve"> pyrazolone</w:t>
      </w:r>
      <w:r w:rsidRPr="00ED63ED">
        <w:rPr>
          <w:rFonts w:eastAsia="MS Gothic" w:cs="Times New Roman"/>
          <w:color w:val="000000"/>
        </w:rPr>
        <w:t xml:space="preserve"> </w:t>
      </w:r>
      <w:r w:rsidRPr="00ED63ED">
        <w:rPr>
          <w:rFonts w:eastAsia="MS Gothic" w:cs="Times New Roman"/>
          <w:i/>
          <w:color w:val="000000"/>
        </w:rPr>
        <w:t>p</w:t>
      </w:r>
      <w:r w:rsidRPr="00ED63ED">
        <w:rPr>
          <w:rFonts w:eastAsia="MS Gothic" w:cs="Times New Roman"/>
          <w:color w:val="000000"/>
        </w:rPr>
        <w:t>-hydroxyphenylpyruvate dioxygenase (HPPD; EC 1.13.11.27)</w:t>
      </w:r>
      <w:r>
        <w:rPr>
          <w:rFonts w:eastAsia="MS Gothic" w:cs="Times New Roman"/>
          <w:color w:val="000000"/>
        </w:rPr>
        <w:t>-inhibiting herbicide registered for use in corn (</w:t>
      </w:r>
      <w:r w:rsidRPr="00E41884">
        <w:rPr>
          <w:rFonts w:eastAsia="MS Gothic" w:cs="Times New Roman"/>
          <w:i/>
          <w:color w:val="000000"/>
        </w:rPr>
        <w:t>Zea mays</w:t>
      </w:r>
      <w:r>
        <w:rPr>
          <w:rFonts w:eastAsia="MS Gothic" w:cs="Times New Roman"/>
          <w:color w:val="000000"/>
        </w:rPr>
        <w:t xml:space="preserve"> L.) and turfgrass [9,10]. </w:t>
      </w:r>
      <w:r w:rsidRPr="00ED63ED">
        <w:rPr>
          <w:rFonts w:eastAsia="MS Gothic" w:cs="Times New Roman"/>
          <w:color w:val="000000"/>
        </w:rPr>
        <w:t>When applied between 12 and 37 g ha</w:t>
      </w:r>
      <w:r w:rsidRPr="00ED63ED">
        <w:rPr>
          <w:rFonts w:eastAsia="MS Gothic" w:cs="Times New Roman"/>
          <w:color w:val="000000"/>
          <w:vertAlign w:val="superscript"/>
        </w:rPr>
        <w:t>-1</w:t>
      </w:r>
      <w:r w:rsidRPr="00ED63ED">
        <w:rPr>
          <w:rFonts w:eastAsia="MS Gothic" w:cs="Times New Roman"/>
          <w:color w:val="000000"/>
        </w:rPr>
        <w:t>, topramezone can control multi-tiller crabgrass and goosegrass, while sequential applications can suppress b</w:t>
      </w:r>
      <w:r>
        <w:rPr>
          <w:rFonts w:eastAsia="MS Gothic" w:cs="Times New Roman"/>
          <w:color w:val="000000"/>
        </w:rPr>
        <w:t>ermudagrass [11-13]</w:t>
      </w:r>
      <w:r w:rsidRPr="00ED63ED">
        <w:rPr>
          <w:rFonts w:eastAsia="MS Gothic" w:cs="Times New Roman"/>
          <w:color w:val="000000"/>
        </w:rPr>
        <w:t>.</w:t>
      </w:r>
      <w:r>
        <w:rPr>
          <w:rFonts w:eastAsia="MS Gothic" w:cs="Times New Roman"/>
          <w:color w:val="000000"/>
        </w:rPr>
        <w:t xml:space="preserve"> Topramezone is registered for application to most</w:t>
      </w:r>
      <w:r w:rsidRPr="00ED63ED">
        <w:rPr>
          <w:rFonts w:eastAsia="MS Gothic" w:cs="Times New Roman"/>
          <w:color w:val="000000"/>
        </w:rPr>
        <w:t xml:space="preserve"> </w:t>
      </w:r>
      <w:r>
        <w:rPr>
          <w:rFonts w:eastAsia="MS Gothic" w:cs="Times New Roman"/>
          <w:color w:val="000000"/>
        </w:rPr>
        <w:t>C</w:t>
      </w:r>
      <w:r w:rsidRPr="00AD5E47">
        <w:rPr>
          <w:rFonts w:eastAsia="MS Gothic" w:cs="Times New Roman"/>
          <w:color w:val="000000"/>
          <w:vertAlign w:val="subscript"/>
        </w:rPr>
        <w:t>3</w:t>
      </w:r>
      <w:r>
        <w:rPr>
          <w:rFonts w:eastAsia="MS Gothic" w:cs="Times New Roman"/>
          <w:color w:val="000000"/>
        </w:rPr>
        <w:t xml:space="preserve"> turfgrass species at </w:t>
      </w:r>
      <w:r w:rsidRPr="00ED63ED">
        <w:rPr>
          <w:rFonts w:eastAsia="MS Gothic" w:cs="Times New Roman"/>
          <w:color w:val="000000"/>
        </w:rPr>
        <w:t>≤ 37 g ha</w:t>
      </w:r>
      <w:r w:rsidRPr="00ED63ED">
        <w:rPr>
          <w:rFonts w:eastAsia="MS Gothic" w:cs="Times New Roman"/>
          <w:color w:val="000000"/>
          <w:vertAlign w:val="superscript"/>
        </w:rPr>
        <w:t>-1</w:t>
      </w:r>
      <w:r>
        <w:rPr>
          <w:rFonts w:eastAsia="MS Gothic" w:cs="Times New Roman"/>
          <w:color w:val="000000"/>
        </w:rPr>
        <w:t xml:space="preserve">, but application to creeping bentgrass </w:t>
      </w:r>
      <w:r w:rsidR="00AB5492">
        <w:rPr>
          <w:rFonts w:eastAsia="MS Gothic" w:cs="Times New Roman"/>
          <w:color w:val="000000"/>
        </w:rPr>
        <w:t>can cause injury</w:t>
      </w:r>
      <w:r>
        <w:rPr>
          <w:rFonts w:eastAsia="MS Gothic" w:cs="Times New Roman"/>
          <w:color w:val="000000"/>
        </w:rPr>
        <w:t xml:space="preserve"> </w:t>
      </w:r>
      <w:r w:rsidRPr="00ED63ED">
        <w:rPr>
          <w:rFonts w:eastAsia="MS Gothic" w:cs="Times New Roman"/>
          <w:color w:val="000000"/>
        </w:rPr>
        <w:t>at 6 to 37 g ha</w:t>
      </w:r>
      <w:r w:rsidRPr="00ED63ED">
        <w:rPr>
          <w:rFonts w:eastAsia="MS Gothic" w:cs="Times New Roman"/>
          <w:color w:val="000000"/>
          <w:vertAlign w:val="superscript"/>
        </w:rPr>
        <w:t>-1</w:t>
      </w:r>
      <w:r>
        <w:rPr>
          <w:rFonts w:eastAsia="MS Gothic" w:cs="Times New Roman"/>
          <w:color w:val="000000"/>
        </w:rPr>
        <w:t xml:space="preserve"> [10,11,13,14]</w:t>
      </w:r>
      <w:r w:rsidRPr="00ED63ED">
        <w:rPr>
          <w:rFonts w:eastAsia="MS Gothic" w:cs="Times New Roman"/>
          <w:color w:val="000000"/>
        </w:rPr>
        <w:t xml:space="preserve">. </w:t>
      </w:r>
      <w:r>
        <w:rPr>
          <w:rFonts w:eastAsia="MS Gothic" w:cs="Times New Roman"/>
          <w:color w:val="000000"/>
        </w:rPr>
        <w:t xml:space="preserve">However, if creeping bentgrass injury from topramezone could be reduced without sacrificing weed control, it would be an excellent tool for weed management. </w:t>
      </w:r>
    </w:p>
    <w:p w14:paraId="4CFD92CD" w14:textId="267CCC19" w:rsidR="00723CA4" w:rsidRPr="00FA7AF9" w:rsidRDefault="00723CA4" w:rsidP="00723CA4">
      <w:pPr>
        <w:ind w:firstLine="720"/>
        <w:rPr>
          <w:rFonts w:eastAsia="MS Gothic" w:cs="Times New Roman"/>
          <w:color w:val="000000"/>
        </w:rPr>
      </w:pPr>
      <w:r>
        <w:rPr>
          <w:rFonts w:eastAsia="MS Gothic" w:cs="Times New Roman"/>
          <w:color w:val="000000"/>
        </w:rPr>
        <w:t xml:space="preserve">Our previous research demonstrated that creeping bentgrass is more tolerant to topramezone than large crabgrass or goosegrass; the herbicide safener cloquintocet-mexyl further increases this tolerance and does not reduce topramezone efficacy against large crabgrass and goosegrass [15]. </w:t>
      </w:r>
      <w:r w:rsidRPr="00FA7AF9">
        <w:rPr>
          <w:rFonts w:eastAsia="MS Gothic" w:cs="Times New Roman"/>
          <w:color w:val="000000"/>
        </w:rPr>
        <w:t>Desirable herbicide safeners protect graminaceous crop plants from herbicide injury more than target weeds, increasing the margin of selectivity</w:t>
      </w:r>
      <w:r>
        <w:rPr>
          <w:rFonts w:eastAsia="MS Gothic" w:cs="Times New Roman"/>
          <w:color w:val="000000"/>
        </w:rPr>
        <w:t xml:space="preserve"> [16]</w:t>
      </w:r>
      <w:r w:rsidRPr="00FA7AF9">
        <w:rPr>
          <w:rFonts w:eastAsia="MS Gothic" w:cs="Times New Roman"/>
          <w:color w:val="000000"/>
        </w:rPr>
        <w:t>. Safeners function predominately by increasing activity of c</w:t>
      </w:r>
      <w:r>
        <w:rPr>
          <w:rFonts w:eastAsia="MS Gothic" w:cs="Times New Roman"/>
          <w:color w:val="000000"/>
        </w:rPr>
        <w:t xml:space="preserve">ytochrome </w:t>
      </w:r>
      <w:r w:rsidRPr="00FA7AF9">
        <w:rPr>
          <w:rFonts w:eastAsia="MS Gothic" w:cs="Times New Roman"/>
          <w:color w:val="000000"/>
        </w:rPr>
        <w:t xml:space="preserve">P450 </w:t>
      </w:r>
      <w:r w:rsidR="00904173">
        <w:rPr>
          <w:rFonts w:eastAsia="MS Gothic" w:cs="Times New Roman"/>
          <w:color w:val="000000"/>
        </w:rPr>
        <w:t>monooxygenase</w:t>
      </w:r>
      <w:r>
        <w:rPr>
          <w:rFonts w:eastAsia="MS Gothic" w:cs="Times New Roman"/>
          <w:color w:val="000000"/>
        </w:rPr>
        <w:t>s and transferases</w:t>
      </w:r>
      <w:r w:rsidRPr="00FA7AF9">
        <w:rPr>
          <w:rFonts w:eastAsia="MS Gothic" w:cs="Times New Roman"/>
          <w:color w:val="000000"/>
        </w:rPr>
        <w:t xml:space="preserve"> that catalyze </w:t>
      </w:r>
      <w:proofErr w:type="gramStart"/>
      <w:r w:rsidRPr="00FA7AF9">
        <w:rPr>
          <w:rFonts w:eastAsia="MS Gothic" w:cs="Times New Roman"/>
          <w:color w:val="000000"/>
        </w:rPr>
        <w:t>Phase</w:t>
      </w:r>
      <w:proofErr w:type="gramEnd"/>
      <w:r w:rsidRPr="00FA7AF9">
        <w:rPr>
          <w:rFonts w:eastAsia="MS Gothic" w:cs="Times New Roman"/>
          <w:color w:val="000000"/>
        </w:rPr>
        <w:t xml:space="preserve"> I or II reactions in</w:t>
      </w:r>
      <w:r>
        <w:rPr>
          <w:rFonts w:eastAsia="MS Gothic" w:cs="Times New Roman"/>
          <w:color w:val="000000"/>
        </w:rPr>
        <w:t>volved in herbicide metabolism [16-19]</w:t>
      </w:r>
      <w:r w:rsidRPr="00FA7AF9">
        <w:rPr>
          <w:rFonts w:eastAsia="MS Gothic" w:cs="Times New Roman"/>
          <w:color w:val="000000"/>
        </w:rPr>
        <w:t>.</w:t>
      </w:r>
      <w:r>
        <w:rPr>
          <w:rFonts w:eastAsia="MS Gothic" w:cs="Times New Roman"/>
          <w:color w:val="000000"/>
        </w:rPr>
        <w:t xml:space="preserve"> Cloquintocet-mexyl is </w:t>
      </w:r>
      <w:r>
        <w:rPr>
          <w:rFonts w:eastAsia="MS Gothic" w:cs="Times New Roman"/>
          <w:color w:val="000000"/>
        </w:rPr>
        <w:lastRenderedPageBreak/>
        <w:t xml:space="preserve">used commercially in cereal crops to increase selectivity of acetyl-CoA carboxylase </w:t>
      </w:r>
      <w:r w:rsidRPr="00ED63ED">
        <w:rPr>
          <w:rFonts w:eastAsia="MS Gothic" w:cs="Times New Roman"/>
          <w:color w:val="000000"/>
        </w:rPr>
        <w:t xml:space="preserve">(EC </w:t>
      </w:r>
      <w:r>
        <w:rPr>
          <w:rFonts w:eastAsia="MS Gothic" w:cs="Times New Roman"/>
          <w:color w:val="000000"/>
        </w:rPr>
        <w:t>6.4.1.2</w:t>
      </w:r>
      <w:r w:rsidRPr="00ED63ED">
        <w:rPr>
          <w:rFonts w:eastAsia="MS Gothic" w:cs="Times New Roman"/>
          <w:color w:val="000000"/>
        </w:rPr>
        <w:t>)</w:t>
      </w:r>
      <w:r>
        <w:rPr>
          <w:rFonts w:eastAsia="MS Gothic" w:cs="Times New Roman"/>
          <w:color w:val="000000"/>
        </w:rPr>
        <w:t xml:space="preserve"> and acetolactate synthase (EC 2.2.1.6) inhibiting herbicides.</w:t>
      </w:r>
    </w:p>
    <w:p w14:paraId="36F59F62" w14:textId="3DD3DD58" w:rsidR="00723CA4" w:rsidRDefault="00723CA4" w:rsidP="00723CA4">
      <w:pPr>
        <w:ind w:firstLine="720"/>
        <w:rPr>
          <w:rStyle w:val="sm"/>
        </w:rPr>
      </w:pPr>
      <w:r w:rsidRPr="00FA7AF9">
        <w:rPr>
          <w:rFonts w:eastAsia="MS Gothic" w:cs="Times New Roman"/>
          <w:color w:val="000000"/>
        </w:rPr>
        <w:t>Rapid N-demethylation</w:t>
      </w:r>
      <w:r>
        <w:rPr>
          <w:rFonts w:eastAsia="MS Gothic" w:cs="Times New Roman"/>
          <w:color w:val="000000"/>
        </w:rPr>
        <w:t xml:space="preserve"> </w:t>
      </w:r>
      <w:r w:rsidRPr="00FA7AF9">
        <w:rPr>
          <w:rFonts w:eastAsia="MS Gothic" w:cs="Times New Roman"/>
          <w:color w:val="000000"/>
        </w:rPr>
        <w:t xml:space="preserve">of topramezone to an inactive metabolite has been attributed to excellent corn tolerance </w:t>
      </w:r>
      <w:r>
        <w:rPr>
          <w:rFonts w:eastAsia="MS Gothic" w:cs="Times New Roman"/>
          <w:color w:val="000000"/>
        </w:rPr>
        <w:t xml:space="preserve">(Figure </w:t>
      </w:r>
      <w:r w:rsidR="00443E7E">
        <w:rPr>
          <w:rFonts w:eastAsia="MS Gothic" w:cs="Times New Roman"/>
          <w:color w:val="000000"/>
        </w:rPr>
        <w:t>3.</w:t>
      </w:r>
      <w:r>
        <w:rPr>
          <w:rFonts w:eastAsia="MS Gothic" w:cs="Times New Roman"/>
          <w:color w:val="000000"/>
        </w:rPr>
        <w:t>1)[9]</w:t>
      </w:r>
      <w:r w:rsidRPr="00FA7AF9">
        <w:rPr>
          <w:rFonts w:eastAsia="MS Gothic" w:cs="Times New Roman"/>
          <w:color w:val="000000"/>
        </w:rPr>
        <w:t>.</w:t>
      </w:r>
      <w:r>
        <w:rPr>
          <w:rFonts w:eastAsia="MS Gothic" w:cs="Times New Roman"/>
          <w:color w:val="000000"/>
        </w:rPr>
        <w:t xml:space="preserve"> However, other research suggests there may be an alternative route of topramezone metabolism. A mutation of an allele coding for P450 enzymes in corn hybrids reduces tolerance to the HPPD-inhibitors mesotrione and tembotrione, especially if the hybrid is homozygous for the non-functional allele. Interestingly, while homozygous hybrids were injured &gt;50% by mesotrione and tembotrione, topramezone cau</w:t>
      </w:r>
      <w:r w:rsidR="002612A5">
        <w:rPr>
          <w:rFonts w:eastAsia="MS Gothic" w:cs="Times New Roman"/>
          <w:color w:val="000000"/>
        </w:rPr>
        <w:t xml:space="preserve">sed no injury to any of the </w:t>
      </w:r>
      <w:r>
        <w:rPr>
          <w:rFonts w:eastAsia="MS Gothic" w:cs="Times New Roman"/>
          <w:color w:val="000000"/>
        </w:rPr>
        <w:t>hybrids tested [20]. Mesotrione and presumably tembotrione undergo a P450-</w:t>
      </w:r>
      <w:r w:rsidR="00AB5492">
        <w:rPr>
          <w:rFonts w:eastAsia="MS Gothic" w:cs="Times New Roman"/>
          <w:color w:val="000000"/>
        </w:rPr>
        <w:t>mediated hydroxylation at the 4-</w:t>
      </w:r>
      <w:r>
        <w:rPr>
          <w:rFonts w:eastAsia="MS Gothic" w:cs="Times New Roman"/>
          <w:color w:val="000000"/>
        </w:rPr>
        <w:t xml:space="preserve">position on the cyclohexandione ring [21]. This suggests that a different metabolic mechanism may confer corn tolerance to topramezone. Grossman and Ehrhardt [9] demonstrated that differential affinity of topramezone for corn and grassy weed HPPD was not the main mechanism conferring corn tolerance. The mechanism of creeping bentgrass tolerance to topramezone is unknown. </w:t>
      </w:r>
      <w:proofErr w:type="gramStart"/>
      <w:r>
        <w:rPr>
          <w:rFonts w:eastAsia="MS Gothic" w:cs="Times New Roman"/>
          <w:color w:val="000000"/>
        </w:rPr>
        <w:t>Additionally, the mechanism by which cloquintoct-mexyl increases creeping bentgras</w:t>
      </w:r>
      <w:r w:rsidR="00904173">
        <w:rPr>
          <w:rFonts w:eastAsia="MS Gothic" w:cs="Times New Roman"/>
          <w:color w:val="000000"/>
        </w:rPr>
        <w:t>s tolerance to topramezone is</w:t>
      </w:r>
      <w:r>
        <w:rPr>
          <w:rFonts w:eastAsia="MS Gothic" w:cs="Times New Roman"/>
          <w:color w:val="000000"/>
        </w:rPr>
        <w:t xml:space="preserve"> unknown.</w:t>
      </w:r>
      <w:proofErr w:type="gramEnd"/>
      <w:r>
        <w:rPr>
          <w:rFonts w:eastAsia="MS Gothic" w:cs="Times New Roman"/>
          <w:color w:val="000000"/>
        </w:rPr>
        <w:t xml:space="preserve"> </w:t>
      </w:r>
      <w:r w:rsidRPr="00137898">
        <w:rPr>
          <w:rStyle w:val="sm"/>
          <w:rFonts w:cs="Times New Roman"/>
        </w:rPr>
        <w:t>Cloquintocet</w:t>
      </w:r>
      <w:r>
        <w:rPr>
          <w:rStyle w:val="sm"/>
          <w:rFonts w:cs="Times New Roman"/>
        </w:rPr>
        <w:t>-mexyl can increase glutathione-</w:t>
      </w:r>
      <w:r w:rsidRPr="00535C93">
        <w:rPr>
          <w:rStyle w:val="sm"/>
          <w:rFonts w:cs="Times New Roman"/>
          <w:i/>
        </w:rPr>
        <w:t>s</w:t>
      </w:r>
      <w:r>
        <w:rPr>
          <w:rStyle w:val="sm"/>
          <w:rFonts w:cs="Times New Roman"/>
        </w:rPr>
        <w:t xml:space="preserve">-transferase (GST) activity in wheat </w:t>
      </w:r>
      <w:r w:rsidRPr="00137898">
        <w:rPr>
          <w:rStyle w:val="sm"/>
          <w:rFonts w:cs="Times New Roman"/>
        </w:rPr>
        <w:t>(</w:t>
      </w:r>
      <w:r w:rsidRPr="00137898">
        <w:rPr>
          <w:rStyle w:val="sm"/>
          <w:rFonts w:cs="Times New Roman"/>
          <w:i/>
        </w:rPr>
        <w:t>Triticum aestivum</w:t>
      </w:r>
      <w:r w:rsidRPr="00137898">
        <w:rPr>
          <w:rStyle w:val="sm"/>
          <w:rFonts w:cs="Times New Roman"/>
        </w:rPr>
        <w:t xml:space="preserve"> L.) </w:t>
      </w:r>
      <w:r>
        <w:rPr>
          <w:rStyle w:val="sm"/>
          <w:rFonts w:cs="Times New Roman"/>
        </w:rPr>
        <w:t>and</w:t>
      </w:r>
      <w:r w:rsidRPr="00137898">
        <w:rPr>
          <w:rStyle w:val="sm"/>
          <w:rFonts w:cs="Times New Roman"/>
        </w:rPr>
        <w:t xml:space="preserve"> has </w:t>
      </w:r>
      <w:r>
        <w:rPr>
          <w:rStyle w:val="sm"/>
          <w:rFonts w:cs="Times New Roman"/>
        </w:rPr>
        <w:t xml:space="preserve">also </w:t>
      </w:r>
      <w:r w:rsidRPr="00137898">
        <w:rPr>
          <w:rStyle w:val="sm"/>
          <w:rFonts w:cs="Times New Roman"/>
        </w:rPr>
        <w:t>been reported to increase pyridinyl N-glucosy</w:t>
      </w:r>
      <w:r>
        <w:rPr>
          <w:rStyle w:val="sm"/>
          <w:rFonts w:cs="Times New Roman"/>
        </w:rPr>
        <w:t>lation of clodinafop-propargyl [22,23]</w:t>
      </w:r>
      <w:r w:rsidRPr="00137898">
        <w:rPr>
          <w:rStyle w:val="sm"/>
          <w:rFonts w:cs="Times New Roman"/>
        </w:rPr>
        <w:t xml:space="preserve">. Topramezone N-glycosylation via N-glucosyltransferase at the un-saturated pyrimidinyl N </w:t>
      </w:r>
      <w:r>
        <w:rPr>
          <w:rStyle w:val="sm"/>
          <w:rFonts w:cs="Times New Roman"/>
        </w:rPr>
        <w:t>may</w:t>
      </w:r>
      <w:r w:rsidRPr="00137898">
        <w:rPr>
          <w:rStyle w:val="sm"/>
          <w:rFonts w:cs="Times New Roman"/>
        </w:rPr>
        <w:t xml:space="preserve"> occur </w:t>
      </w:r>
      <w:r>
        <w:rPr>
          <w:rStyle w:val="sm"/>
          <w:rFonts w:cs="Times New Roman"/>
        </w:rPr>
        <w:t>independent of P450-catalyzed metabolism</w:t>
      </w:r>
      <w:r w:rsidRPr="00137898">
        <w:rPr>
          <w:rStyle w:val="sm"/>
          <w:rFonts w:cs="Times New Roman"/>
        </w:rPr>
        <w:t>. Metabolism may also proceed via O-glucosylation at hydroxyl groups; cloquintocet can increase O-glycosy</w:t>
      </w:r>
      <w:r>
        <w:rPr>
          <w:rStyle w:val="sm"/>
          <w:rFonts w:cs="Times New Roman"/>
        </w:rPr>
        <w:t>ltransferase activity in wheat [24]</w:t>
      </w:r>
      <w:r w:rsidRPr="00137898">
        <w:rPr>
          <w:rStyle w:val="sm"/>
          <w:rFonts w:cs="Times New Roman"/>
        </w:rPr>
        <w:t>.</w:t>
      </w:r>
      <w:r>
        <w:rPr>
          <w:rStyle w:val="sm"/>
        </w:rPr>
        <w:t xml:space="preserve"> </w:t>
      </w:r>
    </w:p>
    <w:p w14:paraId="07F05570" w14:textId="77777777" w:rsidR="00723CA4" w:rsidRPr="00720211" w:rsidRDefault="00723CA4" w:rsidP="00723CA4">
      <w:pPr>
        <w:ind w:firstLine="720"/>
        <w:rPr>
          <w:rStyle w:val="sm"/>
        </w:rPr>
      </w:pPr>
      <w:r>
        <w:rPr>
          <w:rStyle w:val="sm"/>
          <w:rFonts w:cs="Times New Roman"/>
        </w:rPr>
        <w:t xml:space="preserve">Cytochrome P450 inhibitors such as 1-aminobenzotriazole (ABT), piperonyl butoxide (PBO), and </w:t>
      </w:r>
      <w:proofErr w:type="gramStart"/>
      <w:r>
        <w:rPr>
          <w:rStyle w:val="sm"/>
          <w:rFonts w:cs="Times New Roman"/>
        </w:rPr>
        <w:t>malathion</w:t>
      </w:r>
      <w:proofErr w:type="gramEnd"/>
      <w:r>
        <w:rPr>
          <w:rStyle w:val="sm"/>
          <w:rFonts w:cs="Times New Roman"/>
        </w:rPr>
        <w:t xml:space="preserve"> are commonly used to determine if P450-catalyzed reactions affect plant tolerance to herbicides [18,25]. Herbicides such as chlorotoluron and metflurazon can be N-</w:t>
      </w:r>
      <w:r>
        <w:rPr>
          <w:rStyle w:val="sm"/>
          <w:rFonts w:cs="Times New Roman"/>
        </w:rPr>
        <w:lastRenderedPageBreak/>
        <w:t xml:space="preserve">demethylated to their primary metabolites. These N-demethylations </w:t>
      </w:r>
      <w:proofErr w:type="gramStart"/>
      <w:r>
        <w:rPr>
          <w:rStyle w:val="sm"/>
          <w:rFonts w:cs="Times New Roman"/>
        </w:rPr>
        <w:t>are thought to be P450-catalyzed</w:t>
      </w:r>
      <w:proofErr w:type="gramEnd"/>
      <w:r>
        <w:rPr>
          <w:rStyle w:val="sm"/>
          <w:rFonts w:cs="Times New Roman"/>
        </w:rPr>
        <w:t xml:space="preserve"> [26]. ABT can reduce metabolism and increase the toxicity of chlorotoluron to wheat and resistant biotypes of </w:t>
      </w:r>
      <w:r>
        <w:rPr>
          <w:rStyle w:val="sm"/>
          <w:rFonts w:cs="Times New Roman"/>
          <w:i/>
        </w:rPr>
        <w:t>L</w:t>
      </w:r>
      <w:r w:rsidRPr="004C5E1C">
        <w:rPr>
          <w:rStyle w:val="sm"/>
          <w:rFonts w:cs="Times New Roman"/>
          <w:i/>
        </w:rPr>
        <w:t>olium rigidum</w:t>
      </w:r>
      <w:r>
        <w:rPr>
          <w:rStyle w:val="sm"/>
          <w:rFonts w:cs="Times New Roman"/>
          <w:i/>
        </w:rPr>
        <w:t xml:space="preserve">, Bromus tectorum </w:t>
      </w:r>
      <w:r w:rsidRPr="00156046">
        <w:rPr>
          <w:rStyle w:val="sm"/>
          <w:rFonts w:cs="Times New Roman"/>
        </w:rPr>
        <w:t>and</w:t>
      </w:r>
      <w:r>
        <w:rPr>
          <w:rStyle w:val="sm"/>
          <w:rFonts w:cs="Times New Roman"/>
          <w:i/>
        </w:rPr>
        <w:t xml:space="preserve"> </w:t>
      </w:r>
      <w:r w:rsidRPr="00156046">
        <w:rPr>
          <w:rFonts w:cs="Times New Roman"/>
          <w:i/>
          <w:iCs/>
        </w:rPr>
        <w:t>Alopecurus myosuroides</w:t>
      </w:r>
      <w:r>
        <w:rPr>
          <w:rStyle w:val="sm"/>
          <w:rFonts w:cs="Times New Roman"/>
        </w:rPr>
        <w:t xml:space="preserve"> [27-29]. However, ABT synergizes chlorotuluron by inhibiting aryl ring alkyl hydroxylation, and does not affect N-demethylation [28,30]. These research reports suggest that ABT does not inhibit N-demethylase activity. However, ABT can inhibit the N-demethylation of metflurazon to the herbicidally active norfluazon in unicellular green algae (</w:t>
      </w:r>
      <w:r w:rsidRPr="00A11AA3">
        <w:rPr>
          <w:rStyle w:val="sm"/>
          <w:rFonts w:cs="Times New Roman"/>
          <w:i/>
        </w:rPr>
        <w:t>Chlorella fusca</w:t>
      </w:r>
      <w:r w:rsidRPr="00A11AA3">
        <w:rPr>
          <w:rStyle w:val="sm"/>
          <w:rFonts w:cs="Times New Roman"/>
        </w:rPr>
        <w:t>)</w:t>
      </w:r>
      <w:r>
        <w:rPr>
          <w:rStyle w:val="sm"/>
          <w:rFonts w:cs="Times New Roman"/>
        </w:rPr>
        <w:t xml:space="preserve"> [31]. Malathion can synergize ALS-inhibiting and acetyl-CoA carboxylase-inhibiting herbicides that can be metabolized via hydroxylation [32-36]. However, there are no reports on plant tolerance to topramezone in the presence of P450 inhibitors.</w:t>
      </w:r>
    </w:p>
    <w:p w14:paraId="2A0A4D35" w14:textId="77777777" w:rsidR="00723CA4" w:rsidRPr="00FA7AF9" w:rsidRDefault="00723CA4" w:rsidP="00723CA4">
      <w:pPr>
        <w:ind w:firstLine="720"/>
        <w:rPr>
          <w:rFonts w:eastAsia="MS Gothic" w:cs="Times New Roman"/>
          <w:color w:val="000000"/>
        </w:rPr>
      </w:pPr>
      <w:r>
        <w:rPr>
          <w:rFonts w:eastAsia="MS Gothic" w:cs="Times New Roman"/>
          <w:color w:val="000000"/>
        </w:rPr>
        <w:t xml:space="preserve">The objective of this experiment was to determine if </w:t>
      </w:r>
      <w:proofErr w:type="gramStart"/>
      <w:r>
        <w:rPr>
          <w:rFonts w:eastAsia="MS Gothic" w:cs="Times New Roman"/>
          <w:color w:val="000000"/>
        </w:rPr>
        <w:t>creeping bentgrass tolerance to topramezone is affected by P450 inhibitors</w:t>
      </w:r>
      <w:proofErr w:type="gramEnd"/>
      <w:r>
        <w:rPr>
          <w:rFonts w:eastAsia="MS Gothic" w:cs="Times New Roman"/>
          <w:color w:val="000000"/>
        </w:rPr>
        <w:t xml:space="preserve"> in the presence and absence of cloquintocet-mexyl. Our hypothesis was that the role of P450 topramezone metabolism in creeping bentgrass is minor compared to other routes. Thus, creeping bentgrass tolerance to topramezone would be reduced only slightly by the P450 inhibitors ABT and </w:t>
      </w:r>
      <w:proofErr w:type="gramStart"/>
      <w:r>
        <w:rPr>
          <w:rFonts w:eastAsia="MS Gothic" w:cs="Times New Roman"/>
          <w:color w:val="000000"/>
        </w:rPr>
        <w:t>malathion</w:t>
      </w:r>
      <w:proofErr w:type="gramEnd"/>
      <w:r>
        <w:rPr>
          <w:rFonts w:eastAsia="MS Gothic" w:cs="Times New Roman"/>
          <w:color w:val="000000"/>
        </w:rPr>
        <w:t xml:space="preserve"> and the effects of these P450 inhibitors would be offset by cloquintocet-mexyl, which can increase plant metabolism of herbicides through non-P450-catalyzed routes.</w:t>
      </w:r>
    </w:p>
    <w:p w14:paraId="6840A179" w14:textId="77777777" w:rsidR="009D10FC" w:rsidRPr="00945F16" w:rsidRDefault="009D10FC" w:rsidP="00945F16">
      <w:pPr>
        <w:ind w:firstLine="720"/>
        <w:rPr>
          <w:rFonts w:eastAsia="MS Gothic" w:cs="Times New Roman"/>
          <w:color w:val="000000"/>
        </w:rPr>
      </w:pPr>
    </w:p>
    <w:p w14:paraId="127F9A24" w14:textId="77777777" w:rsidR="00945F16" w:rsidRDefault="007A4F7A" w:rsidP="003A1DC6">
      <w:pPr>
        <w:pStyle w:val="Heading2"/>
      </w:pPr>
      <w:bookmarkStart w:id="102" w:name="_Toc264713575"/>
      <w:bookmarkStart w:id="103" w:name="_Toc264713622"/>
      <w:bookmarkStart w:id="104" w:name="_Toc264967198"/>
      <w:r w:rsidRPr="007C372C">
        <w:t>MATERIALS AND METHODS</w:t>
      </w:r>
      <w:bookmarkEnd w:id="102"/>
      <w:bookmarkEnd w:id="103"/>
      <w:bookmarkEnd w:id="104"/>
    </w:p>
    <w:p w14:paraId="4449223B" w14:textId="77777777" w:rsidR="00575852" w:rsidRDefault="00575852" w:rsidP="00575852">
      <w:pPr>
        <w:rPr>
          <w:rFonts w:cs="Times New Roman"/>
          <w:i/>
        </w:rPr>
      </w:pPr>
      <w:r>
        <w:rPr>
          <w:rFonts w:cs="Times New Roman"/>
          <w:i/>
        </w:rPr>
        <w:t>Plant material and growing conditions</w:t>
      </w:r>
    </w:p>
    <w:p w14:paraId="44B31264" w14:textId="381774D8" w:rsidR="00575852" w:rsidRDefault="00575852" w:rsidP="00575852">
      <w:pPr>
        <w:rPr>
          <w:rFonts w:cs="Times New Roman"/>
          <w:color w:val="000000"/>
        </w:rPr>
      </w:pPr>
      <w:r>
        <w:rPr>
          <w:rFonts w:cs="Times New Roman"/>
          <w:i/>
        </w:rPr>
        <w:tab/>
      </w:r>
      <w:r>
        <w:rPr>
          <w:rFonts w:cs="Times New Roman"/>
        </w:rPr>
        <w:t xml:space="preserve">Plants were grown and experiments were conducted in a glasshouse at the </w:t>
      </w:r>
      <w:r w:rsidRPr="00510A64">
        <w:rPr>
          <w:rFonts w:cs="Times New Roman"/>
        </w:rPr>
        <w:t>University of Tennessee</w:t>
      </w:r>
      <w:r>
        <w:rPr>
          <w:rFonts w:cs="Times New Roman"/>
        </w:rPr>
        <w:t xml:space="preserve"> (Knoxville, TN; 35</w:t>
      </w:r>
      <w:r w:rsidRPr="00510A64">
        <w:rPr>
          <w:rFonts w:cs="Times New Roman"/>
          <w:color w:val="000000"/>
        </w:rPr>
        <w:t>°</w:t>
      </w:r>
      <w:r>
        <w:rPr>
          <w:rFonts w:cs="Times New Roman"/>
          <w:color w:val="000000"/>
        </w:rPr>
        <w:t xml:space="preserve"> 53’ N lat.).</w:t>
      </w:r>
      <w:r>
        <w:rPr>
          <w:rFonts w:cs="Times New Roman"/>
        </w:rPr>
        <w:t xml:space="preserve"> Creeping bentgrass (</w:t>
      </w:r>
      <w:r w:rsidRPr="00510A64">
        <w:rPr>
          <w:rFonts w:cs="Times New Roman"/>
          <w:i/>
        </w:rPr>
        <w:t>Agrostis stolonifera</w:t>
      </w:r>
      <w:r>
        <w:rPr>
          <w:rFonts w:cs="Times New Roman"/>
        </w:rPr>
        <w:t xml:space="preserve"> L. </w:t>
      </w:r>
      <w:r w:rsidRPr="00510A64">
        <w:rPr>
          <w:rFonts w:cs="Times New Roman"/>
        </w:rPr>
        <w:t>c</w:t>
      </w:r>
      <w:r>
        <w:rPr>
          <w:rFonts w:cs="Times New Roman"/>
        </w:rPr>
        <w:t>.</w:t>
      </w:r>
      <w:r w:rsidRPr="00510A64">
        <w:rPr>
          <w:rFonts w:cs="Times New Roman"/>
        </w:rPr>
        <w:t>v</w:t>
      </w:r>
      <w:r>
        <w:rPr>
          <w:rFonts w:cs="Times New Roman"/>
        </w:rPr>
        <w:t xml:space="preserve">. ‘Penncross’) seeds were planted </w:t>
      </w:r>
      <w:r w:rsidR="002612A5">
        <w:rPr>
          <w:rFonts w:cs="Times New Roman"/>
        </w:rPr>
        <w:t>in</w:t>
      </w:r>
      <w:r>
        <w:rPr>
          <w:rFonts w:cs="Times New Roman"/>
        </w:rPr>
        <w:t xml:space="preserve">to cone-tainers (3.8 cm diameter 20 cm depth; Stuewe and </w:t>
      </w:r>
      <w:r>
        <w:rPr>
          <w:rFonts w:cs="Times New Roman"/>
        </w:rPr>
        <w:lastRenderedPageBreak/>
        <w:t xml:space="preserve">Sons, OR, USA) filled with </w:t>
      </w:r>
      <w:r w:rsidRPr="00112468">
        <w:rPr>
          <w:rFonts w:cs="Times New Roman"/>
          <w:color w:val="000000"/>
        </w:rPr>
        <w:t>a peat moss, perlite and vermiculite growing medium (Fafard No. 2, Sun Gro Horticulture, MA</w:t>
      </w:r>
      <w:r>
        <w:rPr>
          <w:rFonts w:cs="Times New Roman"/>
          <w:color w:val="000000"/>
        </w:rPr>
        <w:t>, USA</w:t>
      </w:r>
      <w:r w:rsidRPr="00112468">
        <w:rPr>
          <w:rFonts w:cs="Times New Roman"/>
          <w:color w:val="000000"/>
        </w:rPr>
        <w:t>)</w:t>
      </w:r>
      <w:r>
        <w:rPr>
          <w:rFonts w:cs="Times New Roman"/>
          <w:color w:val="000000"/>
        </w:rPr>
        <w:t>. After germination, cone-tainers were hand-thinned to contain one plant each. Plants were fertilized monthly using a complete (20N</w:t>
      </w:r>
      <w:proofErr w:type="gramStart"/>
      <w:r>
        <w:rPr>
          <w:rFonts w:cs="Times New Roman"/>
          <w:color w:val="000000"/>
        </w:rPr>
        <w:t>:20P</w:t>
      </w:r>
      <w:r w:rsidRPr="000E0B32">
        <w:rPr>
          <w:rFonts w:cs="Times New Roman"/>
          <w:color w:val="000000"/>
          <w:vertAlign w:val="subscript"/>
        </w:rPr>
        <w:t>2</w:t>
      </w:r>
      <w:r>
        <w:rPr>
          <w:rFonts w:cs="Times New Roman"/>
          <w:color w:val="000000"/>
        </w:rPr>
        <w:t>O</w:t>
      </w:r>
      <w:r w:rsidRPr="000E0B32">
        <w:rPr>
          <w:rFonts w:cs="Times New Roman"/>
          <w:color w:val="000000"/>
          <w:vertAlign w:val="subscript"/>
        </w:rPr>
        <w:t>5</w:t>
      </w:r>
      <w:r>
        <w:rPr>
          <w:rFonts w:cs="Times New Roman"/>
          <w:color w:val="000000"/>
        </w:rPr>
        <w:t>:20K</w:t>
      </w:r>
      <w:r w:rsidRPr="000E0B32">
        <w:rPr>
          <w:rFonts w:cs="Times New Roman"/>
          <w:color w:val="000000"/>
          <w:vertAlign w:val="subscript"/>
        </w:rPr>
        <w:t>2</w:t>
      </w:r>
      <w:r>
        <w:rPr>
          <w:rFonts w:cs="Times New Roman"/>
          <w:color w:val="000000"/>
        </w:rPr>
        <w:t>O</w:t>
      </w:r>
      <w:proofErr w:type="gramEnd"/>
      <w:r>
        <w:rPr>
          <w:rFonts w:cs="Times New Roman"/>
          <w:color w:val="000000"/>
        </w:rPr>
        <w:t>)</w:t>
      </w:r>
      <w:r w:rsidRPr="000E0B32">
        <w:rPr>
          <w:color w:val="000000"/>
        </w:rPr>
        <w:t xml:space="preserve"> </w:t>
      </w:r>
      <w:r w:rsidRPr="000E0B32">
        <w:rPr>
          <w:rFonts w:cs="Times New Roman"/>
          <w:color w:val="000000"/>
        </w:rPr>
        <w:t>(</w:t>
      </w:r>
      <w:r w:rsidRPr="000E0B32">
        <w:rPr>
          <w:rFonts w:cs="Times New Roman"/>
        </w:rPr>
        <w:t>Howard Johnson’s Triple Twenty Plus Minors, WI</w:t>
      </w:r>
      <w:r>
        <w:rPr>
          <w:rFonts w:cs="Times New Roman"/>
        </w:rPr>
        <w:t>, USA</w:t>
      </w:r>
      <w:r w:rsidRPr="000E0B32">
        <w:rPr>
          <w:rFonts w:cs="Times New Roman"/>
        </w:rPr>
        <w:t xml:space="preserve">) </w:t>
      </w:r>
      <w:r w:rsidR="00443E7E">
        <w:rPr>
          <w:rFonts w:cs="Times New Roman"/>
        </w:rPr>
        <w:t xml:space="preserve">fertilizer </w:t>
      </w:r>
      <w:r w:rsidRPr="000E0B32">
        <w:rPr>
          <w:rFonts w:cs="Times New Roman"/>
        </w:rPr>
        <w:t>at 25 kg N ha</w:t>
      </w:r>
      <w:r w:rsidRPr="000E0B32">
        <w:rPr>
          <w:rFonts w:cs="Times New Roman"/>
          <w:vertAlign w:val="superscript"/>
        </w:rPr>
        <w:t>-1</w:t>
      </w:r>
      <w:r>
        <w:rPr>
          <w:rFonts w:cs="Times New Roman"/>
        </w:rPr>
        <w:t>,</w:t>
      </w:r>
      <w:r w:rsidRPr="000E0B32">
        <w:rPr>
          <w:rFonts w:cs="Times New Roman"/>
        </w:rPr>
        <w:t xml:space="preserve"> irrigated as needed to prevent wilt</w:t>
      </w:r>
      <w:r w:rsidRPr="000E0B32">
        <w:rPr>
          <w:rFonts w:cs="Times New Roman"/>
          <w:color w:val="000000"/>
        </w:rPr>
        <w:t xml:space="preserve"> </w:t>
      </w:r>
      <w:r>
        <w:rPr>
          <w:rFonts w:cs="Times New Roman"/>
          <w:color w:val="000000"/>
        </w:rPr>
        <w:t xml:space="preserve">and </w:t>
      </w:r>
      <w:r w:rsidRPr="000E0B32">
        <w:rPr>
          <w:rFonts w:cs="Times New Roman"/>
          <w:color w:val="000000"/>
        </w:rPr>
        <w:t>maintained at a 2.5 cm height of cut with scissors</w:t>
      </w:r>
      <w:r w:rsidR="002612A5">
        <w:rPr>
          <w:rFonts w:cs="Times New Roman"/>
          <w:color w:val="000000"/>
        </w:rPr>
        <w:t xml:space="preserve"> twice weekly</w:t>
      </w:r>
      <w:r>
        <w:rPr>
          <w:rFonts w:cs="Times New Roman"/>
          <w:color w:val="000000"/>
        </w:rPr>
        <w:t>.</w:t>
      </w:r>
      <w:r w:rsidRPr="000E0B32">
        <w:rPr>
          <w:rFonts w:cs="Times New Roman"/>
          <w:color w:val="000000"/>
        </w:rPr>
        <w:t xml:space="preserve"> </w:t>
      </w:r>
    </w:p>
    <w:p w14:paraId="24D561D1" w14:textId="77777777" w:rsidR="00575852" w:rsidRDefault="00575852" w:rsidP="00575852">
      <w:pPr>
        <w:rPr>
          <w:rFonts w:cs="Times New Roman"/>
        </w:rPr>
      </w:pPr>
      <w:r>
        <w:rPr>
          <w:rFonts w:cs="Times New Roman"/>
          <w:color w:val="000000"/>
        </w:rPr>
        <w:tab/>
        <w:t xml:space="preserve">After six months of growth, roots were washed to completely remove the peat-based growth media and cut to a uniform 15 cm length to stimulate new root growth from the plant crown. The roots were then inserted through 7 mm holes in the lid of a 23 cm diameter polyethylene tub filled </w:t>
      </w:r>
      <w:r w:rsidRPr="00735709">
        <w:rPr>
          <w:rFonts w:cs="Times New Roman"/>
          <w:color w:val="000000"/>
        </w:rPr>
        <w:t>with 7 L of half-strength Hoagland nutrient solution</w:t>
      </w:r>
      <w:r>
        <w:rPr>
          <w:rFonts w:cs="Times New Roman"/>
          <w:color w:val="000000"/>
        </w:rPr>
        <w:t xml:space="preserve"> [37]</w:t>
      </w:r>
      <w:r w:rsidRPr="00735709">
        <w:rPr>
          <w:rFonts w:cs="Times New Roman"/>
          <w:color w:val="000000"/>
        </w:rPr>
        <w:t xml:space="preserve">. </w:t>
      </w:r>
      <w:r>
        <w:rPr>
          <w:rFonts w:cs="Times New Roman"/>
          <w:color w:val="000000"/>
        </w:rPr>
        <w:t xml:space="preserve">Deionoized water was added as needed to maintain a 7 L volume. </w:t>
      </w:r>
      <w:r w:rsidRPr="00735709">
        <w:rPr>
          <w:rFonts w:cs="Times New Roman"/>
          <w:color w:val="000000"/>
        </w:rPr>
        <w:t>The exterior of the tubs and lids were covered in silver paint to prevent alg</w:t>
      </w:r>
      <w:r>
        <w:rPr>
          <w:rFonts w:cs="Times New Roman"/>
          <w:color w:val="000000"/>
        </w:rPr>
        <w:t>al</w:t>
      </w:r>
      <w:r w:rsidRPr="00735709">
        <w:rPr>
          <w:rFonts w:cs="Times New Roman"/>
          <w:color w:val="000000"/>
        </w:rPr>
        <w:t xml:space="preserve"> growth in the nutrient solution. A blower fan was used to pump ambient air through Tygon® </w:t>
      </w:r>
      <w:r w:rsidRPr="00735709">
        <w:rPr>
          <w:rFonts w:cs="Times New Roman"/>
        </w:rPr>
        <w:t>(Saint-Gobain Performance Plastics,</w:t>
      </w:r>
      <w:r>
        <w:rPr>
          <w:rFonts w:cs="Times New Roman"/>
        </w:rPr>
        <w:t xml:space="preserve"> OH,</w:t>
      </w:r>
      <w:r w:rsidRPr="00735709">
        <w:rPr>
          <w:rFonts w:cs="Times New Roman"/>
        </w:rPr>
        <w:t xml:space="preserve"> USA) tubing and</w:t>
      </w:r>
      <w:r>
        <w:rPr>
          <w:rFonts w:cs="Times New Roman"/>
        </w:rPr>
        <w:t xml:space="preserve"> a 2 cm diameter</w:t>
      </w:r>
      <w:r w:rsidRPr="00735709">
        <w:rPr>
          <w:rFonts w:cs="Times New Roman"/>
        </w:rPr>
        <w:t xml:space="preserve"> spherical airstone (Rolf C. Hagen Corp.,</w:t>
      </w:r>
      <w:r>
        <w:rPr>
          <w:rFonts w:cs="Times New Roman"/>
        </w:rPr>
        <w:t xml:space="preserve"> MA,</w:t>
      </w:r>
      <w:r w:rsidRPr="00735709">
        <w:rPr>
          <w:rFonts w:cs="Times New Roman"/>
        </w:rPr>
        <w:t xml:space="preserve"> USA) submerged in the nutrient solution.</w:t>
      </w:r>
      <w:r>
        <w:rPr>
          <w:rFonts w:cs="Times New Roman"/>
        </w:rPr>
        <w:t xml:space="preserve"> Each polyethylene tub comprised an experimental unit and contained th</w:t>
      </w:r>
      <w:r w:rsidR="00035E7F">
        <w:rPr>
          <w:rFonts w:cs="Times New Roman"/>
        </w:rPr>
        <w:t xml:space="preserve">ree creeping bentgrass plants. </w:t>
      </w:r>
    </w:p>
    <w:p w14:paraId="29166073" w14:textId="77777777" w:rsidR="00035E7F" w:rsidRDefault="00035E7F" w:rsidP="00575852">
      <w:pPr>
        <w:rPr>
          <w:rFonts w:cs="Times New Roman"/>
        </w:rPr>
      </w:pPr>
    </w:p>
    <w:p w14:paraId="5A7EE73B" w14:textId="77777777" w:rsidR="00575852" w:rsidRDefault="00575852" w:rsidP="00575852">
      <w:pPr>
        <w:rPr>
          <w:rFonts w:cs="Times New Roman"/>
          <w:i/>
        </w:rPr>
      </w:pPr>
      <w:r>
        <w:rPr>
          <w:rFonts w:cs="Times New Roman"/>
          <w:i/>
        </w:rPr>
        <w:t xml:space="preserve">Herbicide, </w:t>
      </w:r>
      <w:r w:rsidRPr="008B5B4F">
        <w:rPr>
          <w:rFonts w:cs="Times New Roman"/>
          <w:i/>
        </w:rPr>
        <w:t>P450-inhibitor</w:t>
      </w:r>
      <w:r>
        <w:rPr>
          <w:rFonts w:cs="Times New Roman"/>
          <w:i/>
        </w:rPr>
        <w:t>, and Safener T</w:t>
      </w:r>
      <w:r w:rsidRPr="008B5B4F">
        <w:rPr>
          <w:rFonts w:cs="Times New Roman"/>
          <w:i/>
        </w:rPr>
        <w:t>reatment</w:t>
      </w:r>
    </w:p>
    <w:p w14:paraId="517998E6" w14:textId="6A067BAE" w:rsidR="00575852" w:rsidRDefault="00575852" w:rsidP="00575852">
      <w:pPr>
        <w:ind w:firstLine="720"/>
        <w:rPr>
          <w:rFonts w:cs="Times New Roman"/>
          <w:color w:val="000000"/>
        </w:rPr>
      </w:pPr>
      <w:r>
        <w:rPr>
          <w:rFonts w:cs="Times New Roman"/>
        </w:rPr>
        <w:t xml:space="preserve">After creeping bentgrass remained in hydroponic culture for 10 days, the cytochrome P450 inhibitors ABT (Alfa Aesar, MA, USA) and malathion (50% EC, Spectrum Brands, WI, USA), as well as the herbicide safener cloquintocet-mexyl (Bosche Scientific, NJ, USA) were added to the nutrient solution in appropriate amounts to achieve a </w:t>
      </w:r>
      <w:proofErr w:type="gramStart"/>
      <w:r>
        <w:rPr>
          <w:rFonts w:cs="Times New Roman"/>
        </w:rPr>
        <w:t xml:space="preserve">70 </w:t>
      </w:r>
      <w:r w:rsidRPr="004D56E6">
        <w:rPr>
          <w:rFonts w:cs="Times New Roman"/>
          <w:color w:val="000000"/>
        </w:rPr>
        <w:t>μ</w:t>
      </w:r>
      <w:r>
        <w:rPr>
          <w:rFonts w:cs="Times New Roman"/>
          <w:color w:val="000000"/>
        </w:rPr>
        <w:t>M</w:t>
      </w:r>
      <w:proofErr w:type="gramEnd"/>
      <w:r>
        <w:rPr>
          <w:rFonts w:cs="Times New Roman"/>
          <w:color w:val="000000"/>
        </w:rPr>
        <w:t xml:space="preserve"> concentration</w:t>
      </w:r>
      <w:r>
        <w:rPr>
          <w:rFonts w:cs="Times New Roman"/>
        </w:rPr>
        <w:t xml:space="preserve">. </w:t>
      </w:r>
      <w:r>
        <w:rPr>
          <w:rFonts w:cs="Times New Roman"/>
          <w:color w:val="000000"/>
        </w:rPr>
        <w:t xml:space="preserve">Optimum absorption and translocation of ABT is thought to occur through plant roots [39]. Conversely, cloquintocet-mexyl and </w:t>
      </w:r>
      <w:proofErr w:type="gramStart"/>
      <w:r>
        <w:rPr>
          <w:rFonts w:cs="Times New Roman"/>
          <w:color w:val="000000"/>
        </w:rPr>
        <w:t>malathion</w:t>
      </w:r>
      <w:proofErr w:type="gramEnd"/>
      <w:r>
        <w:rPr>
          <w:rFonts w:cs="Times New Roman"/>
          <w:color w:val="000000"/>
        </w:rPr>
        <w:t xml:space="preserve"> penetrate leaf cuticles well and are usually </w:t>
      </w:r>
      <w:r>
        <w:rPr>
          <w:rFonts w:cs="Times New Roman"/>
          <w:color w:val="000000"/>
        </w:rPr>
        <w:lastRenderedPageBreak/>
        <w:t>applied to leaf tissue to determine their effects on herbicides</w:t>
      </w:r>
      <w:r w:rsidR="00B22106">
        <w:rPr>
          <w:rFonts w:cs="Times New Roman"/>
          <w:color w:val="000000"/>
        </w:rPr>
        <w:t xml:space="preserve"> </w:t>
      </w:r>
      <w:r w:rsidR="00E426EC">
        <w:rPr>
          <w:rFonts w:cs="Times New Roman"/>
          <w:color w:val="000000"/>
        </w:rPr>
        <w:t>[18, 38]</w:t>
      </w:r>
      <w:r>
        <w:rPr>
          <w:rFonts w:cs="Times New Roman"/>
          <w:color w:val="000000"/>
        </w:rPr>
        <w:t xml:space="preserve">. However, preliminary research determined that cloquintocet-mexyl added to nutrient solution reduced injury from topramezone more effectively than foliar applications. Therefore, in addition to their inclusion in nutrient solution, cloquintocet-mexyl and </w:t>
      </w:r>
      <w:proofErr w:type="gramStart"/>
      <w:r>
        <w:rPr>
          <w:rFonts w:cs="Times New Roman"/>
          <w:color w:val="000000"/>
        </w:rPr>
        <w:t>malathion</w:t>
      </w:r>
      <w:proofErr w:type="gramEnd"/>
      <w:r>
        <w:rPr>
          <w:rFonts w:cs="Times New Roman"/>
          <w:color w:val="000000"/>
        </w:rPr>
        <w:t xml:space="preserve"> were also applied to creeping bentgrass foliage at 28 and 1000 g ha</w:t>
      </w:r>
      <w:r w:rsidRPr="00A41D16">
        <w:rPr>
          <w:rFonts w:cs="Times New Roman"/>
          <w:color w:val="000000"/>
          <w:vertAlign w:val="superscript"/>
        </w:rPr>
        <w:t>-1</w:t>
      </w:r>
      <w:r>
        <w:rPr>
          <w:rFonts w:cs="Times New Roman"/>
          <w:color w:val="000000"/>
        </w:rPr>
        <w:t xml:space="preserve">, respectively, 22 hours after their addition to the nutrient solution and two hours prior to topramezone application. The cloquintocet-mexyl rate was based on our previous research and the </w:t>
      </w:r>
      <w:proofErr w:type="gramStart"/>
      <w:r>
        <w:rPr>
          <w:rFonts w:cs="Times New Roman"/>
          <w:color w:val="000000"/>
        </w:rPr>
        <w:t>malathion</w:t>
      </w:r>
      <w:proofErr w:type="gramEnd"/>
      <w:r>
        <w:rPr>
          <w:rFonts w:cs="Times New Roman"/>
          <w:color w:val="000000"/>
        </w:rPr>
        <w:t xml:space="preserve"> rate is commonly used in investigations to determine mechanisms of herbicide resistance [15,32]. </w:t>
      </w:r>
    </w:p>
    <w:p w14:paraId="40EBA0EC" w14:textId="14B978D8" w:rsidR="00575852" w:rsidRDefault="00575852" w:rsidP="00575852">
      <w:pPr>
        <w:ind w:firstLine="720"/>
        <w:rPr>
          <w:rFonts w:cs="Times New Roman"/>
          <w:color w:val="000000"/>
        </w:rPr>
      </w:pPr>
      <w:r>
        <w:rPr>
          <w:rFonts w:cs="Times New Roman"/>
        </w:rPr>
        <w:t xml:space="preserve">The inhibitors and safener compounds were arranged into </w:t>
      </w:r>
      <w:r w:rsidR="00B955C0">
        <w:rPr>
          <w:rFonts w:cs="Times New Roman"/>
        </w:rPr>
        <w:t>six</w:t>
      </w:r>
      <w:r>
        <w:rPr>
          <w:rFonts w:cs="Times New Roman"/>
        </w:rPr>
        <w:t xml:space="preserve"> treatments as follows: (1) ABT; </w:t>
      </w:r>
      <w:proofErr w:type="gramStart"/>
      <w:r>
        <w:rPr>
          <w:rFonts w:cs="Times New Roman"/>
        </w:rPr>
        <w:t>(2) malathion</w:t>
      </w:r>
      <w:proofErr w:type="gramEnd"/>
      <w:r>
        <w:rPr>
          <w:rFonts w:cs="Times New Roman"/>
        </w:rPr>
        <w:t>; (3) cloquintocet-mexyl; (4) ABT + cloquintocet-mexyl; (5) malathion + cloquintocet-mexyl;</w:t>
      </w:r>
      <w:r w:rsidR="00B955C0">
        <w:rPr>
          <w:rFonts w:cs="Times New Roman"/>
        </w:rPr>
        <w:t xml:space="preserve"> and</w:t>
      </w:r>
      <w:r>
        <w:rPr>
          <w:rFonts w:cs="Times New Roman"/>
        </w:rPr>
        <w:t xml:space="preserve"> (6) Non-treated control. These tr</w:t>
      </w:r>
      <w:r w:rsidR="00443E7E">
        <w:rPr>
          <w:rFonts w:cs="Times New Roman"/>
        </w:rPr>
        <w:t>eatments were applied alone or i</w:t>
      </w:r>
      <w:r>
        <w:rPr>
          <w:rFonts w:cs="Times New Roman"/>
        </w:rPr>
        <w:t xml:space="preserve">n conjunction with topramezone (BAS 670H 2.8 SC; BASF Corp., NC, USA) at </w:t>
      </w:r>
      <w:r>
        <w:rPr>
          <w:rFonts w:cs="Times New Roman"/>
          <w:color w:val="000000"/>
        </w:rPr>
        <w:t>8 g ha</w:t>
      </w:r>
      <w:r w:rsidRPr="00A40BBA">
        <w:rPr>
          <w:rFonts w:cs="Times New Roman"/>
          <w:color w:val="000000"/>
          <w:vertAlign w:val="superscript"/>
        </w:rPr>
        <w:t>-1</w:t>
      </w:r>
      <w:r>
        <w:rPr>
          <w:rFonts w:cs="Times New Roman"/>
          <w:color w:val="000000"/>
        </w:rPr>
        <w:t xml:space="preserve"> to creeping bentgrass foliage. Preliminary research suggested this topramezone </w:t>
      </w:r>
      <w:r w:rsidR="00B955C0">
        <w:rPr>
          <w:rFonts w:cs="Times New Roman"/>
          <w:color w:val="000000"/>
        </w:rPr>
        <w:t>dose</w:t>
      </w:r>
      <w:r>
        <w:rPr>
          <w:rFonts w:cs="Times New Roman"/>
          <w:color w:val="000000"/>
        </w:rPr>
        <w:t xml:space="preserve"> would be sub-lethal. Treatments were arranged in a randomized complete block design with three replications and the experiment was repeated in time.</w:t>
      </w:r>
    </w:p>
    <w:p w14:paraId="2A8950C2" w14:textId="77777777" w:rsidR="00575852" w:rsidRPr="008B5B4F" w:rsidRDefault="00575852" w:rsidP="00575852">
      <w:pPr>
        <w:ind w:firstLine="720"/>
        <w:rPr>
          <w:rFonts w:cs="Times New Roman"/>
        </w:rPr>
      </w:pPr>
      <w:r>
        <w:rPr>
          <w:rFonts w:cs="Times New Roman"/>
          <w:color w:val="000000"/>
        </w:rPr>
        <w:t xml:space="preserve">ABT, </w:t>
      </w:r>
      <w:proofErr w:type="gramStart"/>
      <w:r>
        <w:rPr>
          <w:rFonts w:cs="Times New Roman"/>
          <w:color w:val="000000"/>
        </w:rPr>
        <w:t>malathion</w:t>
      </w:r>
      <w:proofErr w:type="gramEnd"/>
      <w:r>
        <w:rPr>
          <w:rFonts w:cs="Times New Roman"/>
          <w:color w:val="000000"/>
        </w:rPr>
        <w:t xml:space="preserve"> and cloquintocet-mexyl were dissolved in 7 mL dimethyl sulfoxide and added to 7 L of nutrient solution 24 hours before topramezone application. The ABT and </w:t>
      </w:r>
      <w:proofErr w:type="gramStart"/>
      <w:r>
        <w:rPr>
          <w:rFonts w:cs="Times New Roman"/>
          <w:color w:val="000000"/>
        </w:rPr>
        <w:t>malathion</w:t>
      </w:r>
      <w:proofErr w:type="gramEnd"/>
      <w:r>
        <w:rPr>
          <w:rFonts w:cs="Times New Roman"/>
          <w:color w:val="000000"/>
        </w:rPr>
        <w:t xml:space="preserve"> concentrations were based on the methods of previous research evaluating the effects of P450 inhibitors on chlorotoluron metabolism [38,39]. Dimethyl sulfoxide was also added to non-treated nutrient solutions.</w:t>
      </w:r>
    </w:p>
    <w:p w14:paraId="70EBDFD7" w14:textId="77777777" w:rsidR="00575852" w:rsidRDefault="00575852" w:rsidP="00575852">
      <w:pPr>
        <w:ind w:firstLine="720"/>
        <w:rPr>
          <w:rFonts w:cs="Times New Roman"/>
        </w:rPr>
      </w:pPr>
      <w:r>
        <w:rPr>
          <w:rFonts w:cs="Times New Roman"/>
          <w:color w:val="000000"/>
        </w:rPr>
        <w:t xml:space="preserve">Foliar applications of topramezone, </w:t>
      </w:r>
      <w:proofErr w:type="gramStart"/>
      <w:r>
        <w:rPr>
          <w:rFonts w:cs="Times New Roman"/>
          <w:color w:val="000000"/>
        </w:rPr>
        <w:t>malathion</w:t>
      </w:r>
      <w:proofErr w:type="gramEnd"/>
      <w:r>
        <w:rPr>
          <w:rFonts w:cs="Times New Roman"/>
          <w:color w:val="000000"/>
        </w:rPr>
        <w:t xml:space="preserve"> and cloquintocet-mexyl were all performed separately, but in the same manner. </w:t>
      </w:r>
      <w:r>
        <w:rPr>
          <w:rFonts w:cs="Times New Roman"/>
        </w:rPr>
        <w:t>All treatments were applied with</w:t>
      </w:r>
      <w:r w:rsidRPr="005C78E7">
        <w:rPr>
          <w:rFonts w:cs="Times New Roman"/>
        </w:rPr>
        <w:t xml:space="preserve"> non-ionic surfactant (Activator 90. Loveland Products Inc., Loveland, CO) at 0.25% v/v</w:t>
      </w:r>
      <w:r>
        <w:rPr>
          <w:rFonts w:cs="Times New Roman"/>
        </w:rPr>
        <w:t xml:space="preserve"> in</w:t>
      </w:r>
      <w:r w:rsidRPr="005C78E7">
        <w:rPr>
          <w:rFonts w:cs="Times New Roman"/>
        </w:rPr>
        <w:t xml:space="preserve"> 215 L ha</w:t>
      </w:r>
      <w:r w:rsidRPr="005C78E7">
        <w:rPr>
          <w:rFonts w:cs="Times New Roman"/>
          <w:vertAlign w:val="superscript"/>
        </w:rPr>
        <w:t>-1</w:t>
      </w:r>
      <w:r w:rsidRPr="005C78E7">
        <w:rPr>
          <w:rFonts w:cs="Times New Roman"/>
        </w:rPr>
        <w:t xml:space="preserve"> of </w:t>
      </w:r>
      <w:r w:rsidRPr="005C78E7">
        <w:rPr>
          <w:rFonts w:cs="Times New Roman"/>
        </w:rPr>
        <w:lastRenderedPageBreak/>
        <w:t>water carrier through a single flat-fan nozzle (8004 EVS; Spraying Systems Co., Roswell, GA) in a spray chamber</w:t>
      </w:r>
      <w:r w:rsidRPr="005C78E7">
        <w:rPr>
          <w:rFonts w:cs="Times New Roman"/>
          <w:vertAlign w:val="superscript"/>
        </w:rPr>
        <w:t xml:space="preserve"> </w:t>
      </w:r>
      <w:r w:rsidRPr="005C78E7">
        <w:rPr>
          <w:rFonts w:cs="Times New Roman"/>
        </w:rPr>
        <w:t xml:space="preserve">(Generation III Research Track Sprayer. </w:t>
      </w:r>
      <w:proofErr w:type="gramStart"/>
      <w:r w:rsidRPr="005C78E7">
        <w:rPr>
          <w:rFonts w:cs="Times New Roman"/>
        </w:rPr>
        <w:t>DeVries Manufacturing</w:t>
      </w:r>
      <w:r>
        <w:rPr>
          <w:rFonts w:cs="Times New Roman"/>
        </w:rPr>
        <w:t xml:space="preserve">, </w:t>
      </w:r>
      <w:r w:rsidRPr="005C78E7">
        <w:rPr>
          <w:rFonts w:cs="Times New Roman"/>
        </w:rPr>
        <w:t>MN</w:t>
      </w:r>
      <w:r>
        <w:rPr>
          <w:rFonts w:cs="Times New Roman"/>
        </w:rPr>
        <w:t>, USA</w:t>
      </w:r>
      <w:r w:rsidRPr="005C78E7">
        <w:rPr>
          <w:rFonts w:cs="Times New Roman"/>
        </w:rPr>
        <w:t>).</w:t>
      </w:r>
      <w:proofErr w:type="gramEnd"/>
      <w:r w:rsidRPr="005C78E7">
        <w:rPr>
          <w:rFonts w:cs="Times New Roman"/>
        </w:rPr>
        <w:t xml:space="preserve"> </w:t>
      </w:r>
      <w:r>
        <w:rPr>
          <w:rFonts w:cs="Times New Roman"/>
        </w:rPr>
        <w:t xml:space="preserve">To prevent runoff of the spray solution from the polyethylene lid into the nutrient solution, a temporary paper backing lined with plastic was fitted between the creeping bentgrass foliage and lid and removed after spray applications. </w:t>
      </w:r>
    </w:p>
    <w:p w14:paraId="23F7323E" w14:textId="77777777" w:rsidR="00035E7F" w:rsidRDefault="00035E7F" w:rsidP="00575852">
      <w:pPr>
        <w:ind w:firstLine="720"/>
        <w:rPr>
          <w:rFonts w:cs="Times New Roman"/>
        </w:rPr>
      </w:pPr>
    </w:p>
    <w:p w14:paraId="5D4F472B" w14:textId="77777777" w:rsidR="00575852" w:rsidRPr="008B5B4F" w:rsidRDefault="00575852" w:rsidP="00575852">
      <w:pPr>
        <w:rPr>
          <w:rFonts w:cs="Times New Roman"/>
        </w:rPr>
      </w:pPr>
      <w:r>
        <w:rPr>
          <w:rFonts w:cs="Times New Roman"/>
          <w:i/>
        </w:rPr>
        <w:t>Evaluating</w:t>
      </w:r>
      <w:r w:rsidRPr="00310DF6">
        <w:rPr>
          <w:rFonts w:cs="Times New Roman"/>
          <w:i/>
        </w:rPr>
        <w:t xml:space="preserve"> Treatment Effects</w:t>
      </w:r>
    </w:p>
    <w:p w14:paraId="456A23DF" w14:textId="7D471667" w:rsidR="00575852" w:rsidRDefault="00575852" w:rsidP="00575852">
      <w:r>
        <w:rPr>
          <w:rFonts w:cs="Times New Roman"/>
        </w:rPr>
        <w:tab/>
      </w:r>
      <w:r w:rsidRPr="00FD56D2">
        <w:rPr>
          <w:rFonts w:cs="Times New Roman"/>
        </w:rPr>
        <w:t>Before visible symptoms of topramezone injury were observed</w:t>
      </w:r>
      <w:r>
        <w:rPr>
          <w:rFonts w:cs="Times New Roman"/>
        </w:rPr>
        <w:t>,</w:t>
      </w:r>
      <w:r w:rsidRPr="00FD56D2">
        <w:rPr>
          <w:rFonts w:cs="Times New Roman"/>
        </w:rPr>
        <w:t xml:space="preserve"> chlorophyll fluorescence yield</w:t>
      </w:r>
      <w:r w:rsidRPr="00FD56D2">
        <w:t xml:space="preserve"> (F</w:t>
      </w:r>
      <w:r w:rsidRPr="00FD56D2">
        <w:rPr>
          <w:vertAlign w:val="subscript"/>
        </w:rPr>
        <w:t>v</w:t>
      </w:r>
      <w:r w:rsidRPr="00FD56D2">
        <w:t>/F</w:t>
      </w:r>
      <w:r w:rsidRPr="00FD56D2">
        <w:rPr>
          <w:vertAlign w:val="subscript"/>
        </w:rPr>
        <w:t>m</w:t>
      </w:r>
      <w:r w:rsidRPr="00FD56D2">
        <w:t>)</w:t>
      </w:r>
      <w:r w:rsidRPr="00FD56D2">
        <w:rPr>
          <w:rFonts w:cs="Times New Roman"/>
        </w:rPr>
        <w:t xml:space="preserve"> was assessed 2 days after treatment (DAT).  </w:t>
      </w:r>
      <w:r>
        <w:rPr>
          <w:rFonts w:cs="Times New Roman"/>
        </w:rPr>
        <w:t xml:space="preserve">Other researchers [40-42] have used </w:t>
      </w:r>
      <w:r w:rsidRPr="00FD56D2">
        <w:t>F</w:t>
      </w:r>
      <w:r w:rsidRPr="00FD56D2">
        <w:rPr>
          <w:vertAlign w:val="subscript"/>
        </w:rPr>
        <w:t>v</w:t>
      </w:r>
      <w:r w:rsidRPr="00FD56D2">
        <w:t>/F</w:t>
      </w:r>
      <w:r w:rsidRPr="00FD56D2">
        <w:rPr>
          <w:vertAlign w:val="subscript"/>
        </w:rPr>
        <w:t>m</w:t>
      </w:r>
      <w:r>
        <w:rPr>
          <w:rFonts w:cs="Times New Roman"/>
        </w:rPr>
        <w:t xml:space="preserve"> for a quantitative measurement of the effects of HPPD-inhibiting herbicides, as it is correlated to reductions in chlorophyll and carotenoid concentrations; these reductions are an indirect, but </w:t>
      </w:r>
      <w:r w:rsidR="00DA0375">
        <w:rPr>
          <w:rFonts w:cs="Times New Roman"/>
        </w:rPr>
        <w:t>consequential</w:t>
      </w:r>
      <w:r>
        <w:rPr>
          <w:rFonts w:cs="Times New Roman"/>
        </w:rPr>
        <w:t xml:space="preserve"> mechanism of HPPD-inhibition. </w:t>
      </w:r>
      <w:r w:rsidRPr="00FD56D2">
        <w:t>F</w:t>
      </w:r>
      <w:r w:rsidRPr="00FD56D2">
        <w:rPr>
          <w:vertAlign w:val="subscript"/>
        </w:rPr>
        <w:t>v</w:t>
      </w:r>
      <w:r w:rsidRPr="00FD56D2">
        <w:t>/F</w:t>
      </w:r>
      <w:r w:rsidRPr="00FD56D2">
        <w:rPr>
          <w:vertAlign w:val="subscript"/>
        </w:rPr>
        <w:t>m</w:t>
      </w:r>
      <w:r w:rsidRPr="00FD56D2">
        <w:t xml:space="preserve"> was measured using a pulse-modulated fluorometer (OS1-FL, Opti-sciences, Inc., Hudson, NH)</w:t>
      </w:r>
      <w:r>
        <w:t xml:space="preserve"> </w:t>
      </w:r>
      <w:r w:rsidRPr="00FD56D2">
        <w:t>by subtracting F</w:t>
      </w:r>
      <w:r w:rsidRPr="00FD56D2">
        <w:rPr>
          <w:vertAlign w:val="subscript"/>
        </w:rPr>
        <w:t>o</w:t>
      </w:r>
      <w:r w:rsidRPr="00FD56D2">
        <w:t>, the minimal level of fluorescence, from F</w:t>
      </w:r>
      <w:r w:rsidRPr="00FD56D2">
        <w:rPr>
          <w:vertAlign w:val="subscript"/>
        </w:rPr>
        <w:t>m</w:t>
      </w:r>
      <w:r w:rsidRPr="00FD56D2">
        <w:t>, the maximum level of fluorescence and dividing this difference by F</w:t>
      </w:r>
      <w:r w:rsidRPr="00FD56D2">
        <w:rPr>
          <w:vertAlign w:val="subscript"/>
        </w:rPr>
        <w:t>m</w:t>
      </w:r>
      <w:r>
        <w:t xml:space="preserve"> [42]</w:t>
      </w:r>
      <w:r w:rsidRPr="00FD56D2">
        <w:t>.</w:t>
      </w:r>
      <w:r w:rsidRPr="00FD56D2">
        <w:rPr>
          <w:vertAlign w:val="subscript"/>
        </w:rPr>
        <w:t xml:space="preserve">  </w:t>
      </w:r>
      <w:r>
        <w:t xml:space="preserve">Four measurements on each of the three plants in each experimental unit comprised of 12 subsamples that were averaged to determine a mean value. </w:t>
      </w:r>
    </w:p>
    <w:p w14:paraId="13EF0765" w14:textId="77777777" w:rsidR="00575852" w:rsidRDefault="00575852" w:rsidP="00575852">
      <w:pPr>
        <w:rPr>
          <w:rFonts w:cs="Times New Roman"/>
        </w:rPr>
      </w:pPr>
      <w:r>
        <w:tab/>
      </w:r>
      <w:r>
        <w:rPr>
          <w:rFonts w:cs="Times New Roman"/>
        </w:rPr>
        <w:t>Visible bleaching and/or necrosis of creeping bentgrass leaf tissue were</w:t>
      </w:r>
      <w:r w:rsidRPr="00A942D3">
        <w:rPr>
          <w:rFonts w:cs="Times New Roman"/>
        </w:rPr>
        <w:t xml:space="preserve"> evaluated </w:t>
      </w:r>
      <w:r>
        <w:rPr>
          <w:rFonts w:cs="Times New Roman"/>
        </w:rPr>
        <w:t>at 7 and 10</w:t>
      </w:r>
      <w:r w:rsidRPr="00A942D3">
        <w:rPr>
          <w:rFonts w:cs="Times New Roman"/>
        </w:rPr>
        <w:t xml:space="preserve"> </w:t>
      </w:r>
      <w:r>
        <w:rPr>
          <w:rFonts w:cs="Times New Roman"/>
        </w:rPr>
        <w:t>DAT</w:t>
      </w:r>
      <w:r w:rsidRPr="00A942D3">
        <w:rPr>
          <w:rFonts w:cs="Times New Roman"/>
        </w:rPr>
        <w:t xml:space="preserve"> on a 0 (no </w:t>
      </w:r>
      <w:r>
        <w:rPr>
          <w:rFonts w:cs="Times New Roman"/>
        </w:rPr>
        <w:t>bleaching</w:t>
      </w:r>
      <w:r w:rsidRPr="00A942D3">
        <w:rPr>
          <w:rFonts w:cs="Times New Roman"/>
        </w:rPr>
        <w:t xml:space="preserve">) to 100% (complete leaf </w:t>
      </w:r>
      <w:r>
        <w:rPr>
          <w:rFonts w:cs="Times New Roman"/>
        </w:rPr>
        <w:t>bleaching or necrosis) scale. Only</w:t>
      </w:r>
      <w:r w:rsidRPr="00A942D3">
        <w:rPr>
          <w:rFonts w:cs="Times New Roman"/>
        </w:rPr>
        <w:t xml:space="preserve"> data collected </w:t>
      </w:r>
      <w:r>
        <w:rPr>
          <w:rFonts w:cs="Times New Roman"/>
        </w:rPr>
        <w:t>10 D</w:t>
      </w:r>
      <w:r w:rsidRPr="00A942D3">
        <w:rPr>
          <w:rFonts w:cs="Times New Roman"/>
        </w:rPr>
        <w:t>AT will be presented</w:t>
      </w:r>
      <w:r>
        <w:rPr>
          <w:rFonts w:cs="Times New Roman"/>
        </w:rPr>
        <w:t>,</w:t>
      </w:r>
      <w:r w:rsidRPr="00A942D3">
        <w:rPr>
          <w:rFonts w:cs="Times New Roman"/>
        </w:rPr>
        <w:t xml:space="preserve"> as treatment responses were most apparent at this time.</w:t>
      </w:r>
    </w:p>
    <w:p w14:paraId="6C69F033" w14:textId="7A42DE5B" w:rsidR="00035E7F" w:rsidRPr="00547A4B" w:rsidRDefault="00575852" w:rsidP="00575852">
      <w:pPr>
        <w:rPr>
          <w:rFonts w:cs="Times New Roman"/>
          <w:color w:val="000000"/>
        </w:rPr>
      </w:pPr>
      <w:r>
        <w:rPr>
          <w:rFonts w:cs="Times New Roman"/>
        </w:rPr>
        <w:tab/>
        <w:t xml:space="preserve">Biomass was also collected 10 DAT. </w:t>
      </w:r>
      <w:r w:rsidRPr="00A942D3">
        <w:rPr>
          <w:rFonts w:cs="Times New Roman"/>
          <w:color w:val="000000"/>
        </w:rPr>
        <w:t xml:space="preserve">Scissors were used to remove </w:t>
      </w:r>
      <w:r w:rsidR="00443E7E">
        <w:rPr>
          <w:rFonts w:cs="Times New Roman"/>
          <w:color w:val="000000"/>
        </w:rPr>
        <w:t xml:space="preserve">all stem, </w:t>
      </w:r>
      <w:r>
        <w:rPr>
          <w:rFonts w:cs="Times New Roman"/>
          <w:color w:val="000000"/>
        </w:rPr>
        <w:t>leaf</w:t>
      </w:r>
      <w:r w:rsidR="00443E7E">
        <w:rPr>
          <w:rFonts w:cs="Times New Roman"/>
          <w:color w:val="000000"/>
        </w:rPr>
        <w:t>, and stolon</w:t>
      </w:r>
      <w:r>
        <w:rPr>
          <w:rFonts w:cs="Times New Roman"/>
          <w:color w:val="000000"/>
        </w:rPr>
        <w:t xml:space="preserve"> tissue</w:t>
      </w:r>
      <w:r w:rsidRPr="00A942D3">
        <w:rPr>
          <w:rFonts w:cs="Times New Roman"/>
          <w:color w:val="000000"/>
        </w:rPr>
        <w:t xml:space="preserve">. </w:t>
      </w:r>
      <w:r>
        <w:rPr>
          <w:rFonts w:cs="Times New Roman"/>
          <w:color w:val="000000"/>
        </w:rPr>
        <w:t>The h</w:t>
      </w:r>
      <w:r w:rsidRPr="00A942D3">
        <w:rPr>
          <w:rFonts w:cs="Times New Roman"/>
          <w:color w:val="000000"/>
        </w:rPr>
        <w:t xml:space="preserve">arvested tissue </w:t>
      </w:r>
      <w:r>
        <w:rPr>
          <w:rFonts w:cs="Times New Roman"/>
          <w:color w:val="000000"/>
        </w:rPr>
        <w:t xml:space="preserve">from all three plants in each experiment unit was combined and </w:t>
      </w:r>
      <w:r w:rsidRPr="00A942D3">
        <w:rPr>
          <w:rFonts w:cs="Times New Roman"/>
          <w:color w:val="000000"/>
        </w:rPr>
        <w:t>placed in a drying oven at 80°C for 48 h and weighed.</w:t>
      </w:r>
      <w:r>
        <w:rPr>
          <w:rFonts w:cs="Times New Roman"/>
          <w:color w:val="000000"/>
        </w:rPr>
        <w:t xml:space="preserve"> Biomass data were transformed to a percentage of the non-treated control </w:t>
      </w:r>
      <w:r>
        <w:rPr>
          <w:rFonts w:cs="Times New Roman"/>
        </w:rPr>
        <w:t>to determine treatment effects on overall plant vigor</w:t>
      </w:r>
      <w:r>
        <w:rPr>
          <w:rFonts w:cs="Times New Roman"/>
          <w:color w:val="000000"/>
        </w:rPr>
        <w:t>.</w:t>
      </w:r>
    </w:p>
    <w:p w14:paraId="3730B616" w14:textId="77777777" w:rsidR="00575852" w:rsidRDefault="00575852" w:rsidP="00575852">
      <w:pPr>
        <w:rPr>
          <w:rFonts w:cs="Times New Roman"/>
          <w:i/>
        </w:rPr>
      </w:pPr>
      <w:r w:rsidRPr="005F6B46">
        <w:rPr>
          <w:rFonts w:cs="Times New Roman"/>
          <w:i/>
        </w:rPr>
        <w:lastRenderedPageBreak/>
        <w:t>Statistical Analysis</w:t>
      </w:r>
    </w:p>
    <w:p w14:paraId="62C630A6" w14:textId="77777777" w:rsidR="00575852" w:rsidRDefault="00575852" w:rsidP="00575852">
      <w:pPr>
        <w:ind w:firstLine="720"/>
        <w:rPr>
          <w:rStyle w:val="sm"/>
        </w:rPr>
      </w:pPr>
      <w:r>
        <w:rPr>
          <w:rFonts w:cs="Times New Roman"/>
        </w:rPr>
        <w:t xml:space="preserve">Treatments were arranged in a single-factor randomized complete block design with three replications. Plants that were treated with P450 inhibitors or cloquintocet but not topramezone were analyzed separately and compared to the non-treated control. The non-treated control was also included in the analysis for chlorophyll fluorescence yield and biomass of plants treated with topramezone but removed for analysis of visible injury. </w:t>
      </w:r>
      <w:r w:rsidRPr="001D511C">
        <w:rPr>
          <w:rFonts w:cs="Times New Roman"/>
        </w:rPr>
        <w:t xml:space="preserve">Model assumptions were tested through residual analysis (Shapiro–Wilk statistic) in SAS </w:t>
      </w:r>
      <w:r w:rsidRPr="001D511C">
        <w:rPr>
          <w:rStyle w:val="sm"/>
          <w:rFonts w:cs="Times New Roman"/>
        </w:rPr>
        <w:t>(</w:t>
      </w:r>
      <w:r w:rsidRPr="001D511C">
        <w:rPr>
          <w:rFonts w:cs="Times New Roman"/>
          <w:color w:val="000000"/>
        </w:rPr>
        <w:t>Statistical Analysis Software, Inc., Cary, NC)</w:t>
      </w:r>
      <w:r w:rsidRPr="001D511C">
        <w:rPr>
          <w:rFonts w:cs="Times New Roman"/>
        </w:rPr>
        <w:t>, and no transformations were</w:t>
      </w:r>
      <w:r>
        <w:rPr>
          <w:rFonts w:cs="Times New Roman"/>
        </w:rPr>
        <w:t xml:space="preserve"> needed</w:t>
      </w:r>
      <w:r w:rsidRPr="001D511C">
        <w:rPr>
          <w:rStyle w:val="sm"/>
          <w:rFonts w:cs="Times New Roman"/>
        </w:rPr>
        <w:t>.</w:t>
      </w:r>
      <w:r>
        <w:rPr>
          <w:rStyle w:val="sm"/>
          <w:rFonts w:cs="Times New Roman"/>
        </w:rPr>
        <w:t xml:space="preserve"> ANOVA, mean separations, and contrasts were conducted in SAS</w:t>
      </w:r>
      <w:r w:rsidRPr="00907EA7">
        <w:rPr>
          <w:rStyle w:val="sm"/>
          <w:rFonts w:cs="Times New Roman"/>
        </w:rPr>
        <w:t xml:space="preserve"> </w:t>
      </w:r>
      <w:r w:rsidRPr="00BE59FA">
        <w:rPr>
          <w:rFonts w:cs="Times New Roman"/>
        </w:rPr>
        <w:t>with main effects and all possible interactions tested using the appropriate expected mean square v</w:t>
      </w:r>
      <w:r>
        <w:rPr>
          <w:rFonts w:cs="Times New Roman"/>
        </w:rPr>
        <w:t xml:space="preserve">alues as described by McIntosh [43]. </w:t>
      </w:r>
      <w:r>
        <w:rPr>
          <w:rStyle w:val="sm"/>
          <w:rFonts w:cs="Times New Roman"/>
        </w:rPr>
        <w:t xml:space="preserve">Fisher’s protected LSD </w:t>
      </w:r>
      <w:r w:rsidRPr="00907EA7">
        <w:rPr>
          <w:rStyle w:val="sm"/>
          <w:rFonts w:cs="Times New Roman"/>
        </w:rPr>
        <w:t xml:space="preserve">(P </w:t>
      </w:r>
      <w:r w:rsidRPr="00907EA7">
        <w:rPr>
          <w:rFonts w:eastAsia="MS Gothic" w:cs="Times New Roman"/>
          <w:color w:val="000000"/>
        </w:rPr>
        <w:t>≤</w:t>
      </w:r>
      <w:r w:rsidRPr="00907EA7">
        <w:rPr>
          <w:rStyle w:val="sm"/>
          <w:rFonts w:cs="Times New Roman"/>
        </w:rPr>
        <w:t xml:space="preserve"> 0.05)</w:t>
      </w:r>
      <w:r>
        <w:rPr>
          <w:rStyle w:val="sm"/>
          <w:rFonts w:cs="Times New Roman"/>
        </w:rPr>
        <w:t xml:space="preserve"> was used to separate means. </w:t>
      </w:r>
    </w:p>
    <w:p w14:paraId="68453528" w14:textId="77777777" w:rsidR="00575852" w:rsidRPr="00575852" w:rsidRDefault="00575852" w:rsidP="00575852"/>
    <w:p w14:paraId="42152C1A" w14:textId="77777777" w:rsidR="00945F16" w:rsidRPr="007C372C" w:rsidRDefault="007A4F7A" w:rsidP="003A1DC6">
      <w:pPr>
        <w:pStyle w:val="Heading2"/>
        <w:rPr>
          <w:rStyle w:val="sm"/>
          <w:rFonts w:cs="Arial"/>
          <w:b w:val="0"/>
          <w:bCs w:val="0"/>
          <w:iCs w:val="0"/>
        </w:rPr>
      </w:pPr>
      <w:bookmarkStart w:id="105" w:name="_Toc264713576"/>
      <w:bookmarkStart w:id="106" w:name="_Toc264713623"/>
      <w:bookmarkStart w:id="107" w:name="_Toc264967199"/>
      <w:r w:rsidRPr="007C372C">
        <w:rPr>
          <w:rStyle w:val="sm"/>
        </w:rPr>
        <w:t>RESULTS</w:t>
      </w:r>
      <w:r w:rsidR="007C5980" w:rsidRPr="007C372C">
        <w:rPr>
          <w:rStyle w:val="sm"/>
        </w:rPr>
        <w:t xml:space="preserve"> AND DISCUSSION</w:t>
      </w:r>
      <w:bookmarkEnd w:id="105"/>
      <w:bookmarkEnd w:id="106"/>
      <w:bookmarkEnd w:id="107"/>
    </w:p>
    <w:p w14:paraId="4149C2DA" w14:textId="77777777" w:rsidR="00575852" w:rsidRDefault="00945F16" w:rsidP="00575852">
      <w:pPr>
        <w:rPr>
          <w:rFonts w:eastAsia="ＭＳ ゴシック" w:cs="Times New Roman"/>
          <w:color w:val="000000"/>
        </w:rPr>
      </w:pPr>
      <w:r w:rsidRPr="00945F16">
        <w:rPr>
          <w:rStyle w:val="sm"/>
          <w:rFonts w:cs="Times New Roman"/>
          <w:b/>
        </w:rPr>
        <w:tab/>
      </w:r>
      <w:r w:rsidR="00575852">
        <w:rPr>
          <w:rStyle w:val="sm"/>
          <w:rFonts w:cs="Times New Roman"/>
        </w:rPr>
        <w:t xml:space="preserve">Treatment interactions with experimental run were not detected </w:t>
      </w:r>
      <w:r w:rsidR="00575852">
        <w:rPr>
          <w:rFonts w:cs="Times New Roman"/>
          <w:color w:val="000000"/>
        </w:rPr>
        <w:t xml:space="preserve">(P </w:t>
      </w:r>
      <w:r w:rsidR="00575852" w:rsidRPr="00DF0221">
        <w:rPr>
          <w:rFonts w:eastAsia="ＭＳ ゴシック" w:cs="Times New Roman"/>
          <w:color w:val="000000"/>
        </w:rPr>
        <w:t>≤</w:t>
      </w:r>
      <w:r w:rsidR="00575852">
        <w:rPr>
          <w:rFonts w:eastAsia="ＭＳ ゴシック" w:cs="Times New Roman"/>
          <w:color w:val="000000"/>
        </w:rPr>
        <w:t xml:space="preserve"> 0.05)</w:t>
      </w:r>
      <w:r w:rsidR="00575852">
        <w:rPr>
          <w:rStyle w:val="sm"/>
          <w:rFonts w:cs="Times New Roman"/>
        </w:rPr>
        <w:t xml:space="preserve">; therefore, data were combined across runs. For plants treated with topramezone, safener and P450 inhibitor treatments had a significant effect of chlorophyll fluorescence yield, biomass and visible injury </w:t>
      </w:r>
      <w:r w:rsidR="00575852">
        <w:rPr>
          <w:rFonts w:cs="Times New Roman"/>
          <w:color w:val="000000"/>
        </w:rPr>
        <w:t xml:space="preserve">(P </w:t>
      </w:r>
      <w:r w:rsidR="00575852" w:rsidRPr="00DF0221">
        <w:rPr>
          <w:rFonts w:eastAsia="ＭＳ ゴシック" w:cs="Times New Roman"/>
          <w:color w:val="000000"/>
        </w:rPr>
        <w:t>≤</w:t>
      </w:r>
      <w:r w:rsidR="00575852">
        <w:rPr>
          <w:rFonts w:eastAsia="ＭＳ ゴシック" w:cs="Times New Roman"/>
          <w:color w:val="000000"/>
        </w:rPr>
        <w:t xml:space="preserve"> 0.01).</w:t>
      </w:r>
    </w:p>
    <w:p w14:paraId="4D359081" w14:textId="77777777" w:rsidR="00205FC7" w:rsidRDefault="00205FC7" w:rsidP="00575852">
      <w:pPr>
        <w:rPr>
          <w:rFonts w:eastAsia="ＭＳ ゴシック" w:cs="Times New Roman"/>
          <w:i/>
          <w:color w:val="000000"/>
        </w:rPr>
      </w:pPr>
    </w:p>
    <w:p w14:paraId="1AF58C91" w14:textId="77777777" w:rsidR="00575852" w:rsidRPr="000B3DD6" w:rsidRDefault="00575852" w:rsidP="00575852">
      <w:pPr>
        <w:rPr>
          <w:rFonts w:eastAsia="ＭＳ ゴシック" w:cs="Times New Roman"/>
          <w:i/>
          <w:color w:val="000000"/>
        </w:rPr>
      </w:pPr>
      <w:r w:rsidRPr="000B3DD6">
        <w:rPr>
          <w:rFonts w:eastAsia="ＭＳ ゴシック" w:cs="Times New Roman"/>
          <w:i/>
          <w:color w:val="000000"/>
        </w:rPr>
        <w:t>Chlorophyll fluorescence yield (F</w:t>
      </w:r>
      <w:r w:rsidRPr="000B3DD6">
        <w:rPr>
          <w:rFonts w:eastAsia="ＭＳ ゴシック" w:cs="Times New Roman"/>
          <w:i/>
          <w:color w:val="000000"/>
          <w:vertAlign w:val="subscript"/>
        </w:rPr>
        <w:t>v</w:t>
      </w:r>
      <w:r w:rsidRPr="000B3DD6">
        <w:rPr>
          <w:rFonts w:eastAsia="ＭＳ ゴシック" w:cs="Times New Roman"/>
          <w:i/>
          <w:color w:val="000000"/>
        </w:rPr>
        <w:t>/F</w:t>
      </w:r>
      <w:r w:rsidRPr="000B3DD6">
        <w:rPr>
          <w:rFonts w:eastAsia="ＭＳ ゴシック" w:cs="Times New Roman"/>
          <w:i/>
          <w:color w:val="000000"/>
          <w:vertAlign w:val="subscript"/>
        </w:rPr>
        <w:t>m</w:t>
      </w:r>
      <w:r w:rsidRPr="000B3DD6">
        <w:rPr>
          <w:rFonts w:eastAsia="ＭＳ ゴシック" w:cs="Times New Roman"/>
          <w:i/>
          <w:color w:val="000000"/>
        </w:rPr>
        <w:t>) responses</w:t>
      </w:r>
    </w:p>
    <w:p w14:paraId="591E5923" w14:textId="07E59068" w:rsidR="00575852" w:rsidRDefault="00575852" w:rsidP="00575852">
      <w:pPr>
        <w:rPr>
          <w:rFonts w:eastAsia="ＭＳ ゴシック" w:cs="Times New Roman"/>
          <w:color w:val="000000"/>
        </w:rPr>
      </w:pPr>
      <w:r>
        <w:rPr>
          <w:rFonts w:eastAsia="ＭＳ ゴシック" w:cs="Times New Roman"/>
          <w:color w:val="000000"/>
        </w:rPr>
        <w:tab/>
        <w:t>Malathion, ABT, cloquintocet-mexyl or combinations thereof did not affect F</w:t>
      </w:r>
      <w:r w:rsidRPr="00483282">
        <w:rPr>
          <w:rFonts w:eastAsia="ＭＳ ゴシック" w:cs="Times New Roman"/>
          <w:color w:val="000000"/>
          <w:vertAlign w:val="subscript"/>
        </w:rPr>
        <w:t>v</w:t>
      </w:r>
      <w:r>
        <w:rPr>
          <w:rFonts w:eastAsia="ＭＳ ゴシック" w:cs="Times New Roman"/>
          <w:color w:val="000000"/>
        </w:rPr>
        <w:t>/F</w:t>
      </w:r>
      <w:r w:rsidRPr="00483282">
        <w:rPr>
          <w:rFonts w:eastAsia="ＭＳ ゴシック" w:cs="Times New Roman"/>
          <w:color w:val="000000"/>
          <w:vertAlign w:val="subscript"/>
        </w:rPr>
        <w:t>m</w:t>
      </w:r>
      <w:r>
        <w:rPr>
          <w:rFonts w:eastAsia="ＭＳ ゴシック" w:cs="Times New Roman"/>
          <w:color w:val="000000"/>
        </w:rPr>
        <w:t xml:space="preserve"> in the absence of topramezone (data not presented). Regardless of P450 inhibitor or safener inclusion, topramezone reduced the F</w:t>
      </w:r>
      <w:r w:rsidRPr="000E537B">
        <w:rPr>
          <w:rFonts w:eastAsia="ＭＳ ゴシック" w:cs="Times New Roman"/>
          <w:color w:val="000000"/>
          <w:vertAlign w:val="subscript"/>
        </w:rPr>
        <w:t>v</w:t>
      </w:r>
      <w:r>
        <w:rPr>
          <w:rFonts w:eastAsia="ＭＳ ゴシック" w:cs="Times New Roman"/>
          <w:color w:val="000000"/>
        </w:rPr>
        <w:t>/F</w:t>
      </w:r>
      <w:r w:rsidRPr="000E537B">
        <w:rPr>
          <w:rFonts w:eastAsia="ＭＳ ゴシック" w:cs="Times New Roman"/>
          <w:color w:val="000000"/>
          <w:vertAlign w:val="subscript"/>
        </w:rPr>
        <w:t>m</w:t>
      </w:r>
      <w:r>
        <w:rPr>
          <w:rFonts w:eastAsia="ＭＳ ゴシック" w:cs="Times New Roman"/>
          <w:color w:val="000000"/>
        </w:rPr>
        <w:t xml:space="preserve"> compared to the non-treated control (Figure </w:t>
      </w:r>
      <w:r w:rsidR="00443E7E">
        <w:rPr>
          <w:rFonts w:eastAsia="ＭＳ ゴシック" w:cs="Times New Roman"/>
          <w:color w:val="000000"/>
        </w:rPr>
        <w:t>3.</w:t>
      </w:r>
      <w:r>
        <w:rPr>
          <w:rFonts w:eastAsia="ＭＳ ゴシック" w:cs="Times New Roman"/>
          <w:color w:val="000000"/>
        </w:rPr>
        <w:t xml:space="preserve">2). When applied alone or to plants treated with ABT or </w:t>
      </w:r>
      <w:proofErr w:type="gramStart"/>
      <w:r>
        <w:rPr>
          <w:rFonts w:eastAsia="ＭＳ ゴシック" w:cs="Times New Roman"/>
          <w:color w:val="000000"/>
        </w:rPr>
        <w:t>malathion</w:t>
      </w:r>
      <w:proofErr w:type="gramEnd"/>
      <w:r>
        <w:rPr>
          <w:rFonts w:eastAsia="ＭＳ ゴシック" w:cs="Times New Roman"/>
          <w:color w:val="000000"/>
        </w:rPr>
        <w:t>, topramezone reduced the F</w:t>
      </w:r>
      <w:r w:rsidRPr="000E537B">
        <w:rPr>
          <w:rFonts w:eastAsia="ＭＳ ゴシック" w:cs="Times New Roman"/>
          <w:color w:val="000000"/>
          <w:vertAlign w:val="subscript"/>
        </w:rPr>
        <w:t>v</w:t>
      </w:r>
      <w:r>
        <w:rPr>
          <w:rFonts w:eastAsia="ＭＳ ゴシック" w:cs="Times New Roman"/>
          <w:color w:val="000000"/>
        </w:rPr>
        <w:t>/F</w:t>
      </w:r>
      <w:r w:rsidRPr="000E537B">
        <w:rPr>
          <w:rFonts w:eastAsia="ＭＳ ゴシック" w:cs="Times New Roman"/>
          <w:color w:val="000000"/>
          <w:vertAlign w:val="subscript"/>
        </w:rPr>
        <w:t>m</w:t>
      </w:r>
      <w:r>
        <w:rPr>
          <w:rFonts w:eastAsia="ＭＳ ゴシック" w:cs="Times New Roman"/>
          <w:color w:val="000000"/>
          <w:vertAlign w:val="subscript"/>
        </w:rPr>
        <w:t xml:space="preserve"> </w:t>
      </w:r>
      <w:r>
        <w:rPr>
          <w:rFonts w:eastAsia="ＭＳ ゴシック" w:cs="Times New Roman"/>
          <w:color w:val="000000"/>
        </w:rPr>
        <w:t xml:space="preserve">similarly by &gt; </w:t>
      </w:r>
      <w:r>
        <w:rPr>
          <w:rFonts w:eastAsia="ＭＳ ゴシック" w:cs="Times New Roman"/>
          <w:color w:val="000000"/>
        </w:rPr>
        <w:lastRenderedPageBreak/>
        <w:t>25%. Among plants treated with topramezone, those also treated with cloquintocet-mexyl had a higher F</w:t>
      </w:r>
      <w:r w:rsidRPr="000E537B">
        <w:rPr>
          <w:rFonts w:eastAsia="ＭＳ ゴシック" w:cs="Times New Roman"/>
          <w:color w:val="000000"/>
          <w:vertAlign w:val="subscript"/>
        </w:rPr>
        <w:t>v</w:t>
      </w:r>
      <w:r>
        <w:rPr>
          <w:rFonts w:eastAsia="ＭＳ ゴシック" w:cs="Times New Roman"/>
          <w:color w:val="000000"/>
        </w:rPr>
        <w:t>/F</w:t>
      </w:r>
      <w:r w:rsidRPr="000E537B">
        <w:rPr>
          <w:rFonts w:eastAsia="ＭＳ ゴシック" w:cs="Times New Roman"/>
          <w:color w:val="000000"/>
          <w:vertAlign w:val="subscript"/>
        </w:rPr>
        <w:t>m</w:t>
      </w:r>
      <w:r>
        <w:rPr>
          <w:rFonts w:eastAsia="ＭＳ ゴシック" w:cs="Times New Roman"/>
          <w:color w:val="000000"/>
          <w:vertAlign w:val="subscript"/>
        </w:rPr>
        <w:t xml:space="preserve"> </w:t>
      </w:r>
      <w:r>
        <w:rPr>
          <w:rFonts w:eastAsia="ＭＳ ゴシック" w:cs="Times New Roman"/>
          <w:color w:val="000000"/>
        </w:rPr>
        <w:t>than others. Plants treated with cloquintocet-mexyl alone had a higher F</w:t>
      </w:r>
      <w:r w:rsidRPr="000E537B">
        <w:rPr>
          <w:rFonts w:eastAsia="ＭＳ ゴシック" w:cs="Times New Roman"/>
          <w:color w:val="000000"/>
          <w:vertAlign w:val="subscript"/>
        </w:rPr>
        <w:t>v</w:t>
      </w:r>
      <w:r>
        <w:rPr>
          <w:rFonts w:eastAsia="ＭＳ ゴシック" w:cs="Times New Roman"/>
          <w:color w:val="000000"/>
        </w:rPr>
        <w:t>/F</w:t>
      </w:r>
      <w:r w:rsidRPr="000E537B">
        <w:rPr>
          <w:rFonts w:eastAsia="ＭＳ ゴシック" w:cs="Times New Roman"/>
          <w:color w:val="000000"/>
          <w:vertAlign w:val="subscript"/>
        </w:rPr>
        <w:t>m</w:t>
      </w:r>
      <w:r>
        <w:rPr>
          <w:rFonts w:eastAsia="ＭＳ ゴシック" w:cs="Times New Roman"/>
          <w:color w:val="000000"/>
          <w:vertAlign w:val="subscript"/>
        </w:rPr>
        <w:t xml:space="preserve"> </w:t>
      </w:r>
      <w:r>
        <w:rPr>
          <w:rFonts w:eastAsia="ＭＳ ゴシック" w:cs="Times New Roman"/>
          <w:color w:val="000000"/>
        </w:rPr>
        <w:t xml:space="preserve">than those treated with the combination of cloquintocet-mexyl and </w:t>
      </w:r>
      <w:proofErr w:type="gramStart"/>
      <w:r>
        <w:rPr>
          <w:rFonts w:eastAsia="ＭＳ ゴシック" w:cs="Times New Roman"/>
          <w:color w:val="000000"/>
        </w:rPr>
        <w:t>malathion</w:t>
      </w:r>
      <w:proofErr w:type="gramEnd"/>
      <w:r>
        <w:rPr>
          <w:rFonts w:eastAsia="ＭＳ ゴシック" w:cs="Times New Roman"/>
          <w:color w:val="000000"/>
        </w:rPr>
        <w:t>. Visible injury symptoms were not apparent at 2 days after treatment when F</w:t>
      </w:r>
      <w:r w:rsidRPr="000E537B">
        <w:rPr>
          <w:rFonts w:eastAsia="ＭＳ ゴシック" w:cs="Times New Roman"/>
          <w:color w:val="000000"/>
          <w:vertAlign w:val="subscript"/>
        </w:rPr>
        <w:t>v</w:t>
      </w:r>
      <w:r>
        <w:rPr>
          <w:rFonts w:eastAsia="ＭＳ ゴシック" w:cs="Times New Roman"/>
          <w:color w:val="000000"/>
        </w:rPr>
        <w:t>/F</w:t>
      </w:r>
      <w:r w:rsidRPr="000E537B">
        <w:rPr>
          <w:rFonts w:eastAsia="ＭＳ ゴシック" w:cs="Times New Roman"/>
          <w:color w:val="000000"/>
          <w:vertAlign w:val="subscript"/>
        </w:rPr>
        <w:t>m</w:t>
      </w:r>
      <w:r>
        <w:rPr>
          <w:rFonts w:eastAsia="ＭＳ ゴシック" w:cs="Times New Roman"/>
          <w:color w:val="000000"/>
          <w:vertAlign w:val="subscript"/>
        </w:rPr>
        <w:t xml:space="preserve"> </w:t>
      </w:r>
      <w:r>
        <w:rPr>
          <w:rFonts w:eastAsia="ＭＳ ゴシック" w:cs="Times New Roman"/>
          <w:color w:val="000000"/>
        </w:rPr>
        <w:t>was measured.</w:t>
      </w:r>
    </w:p>
    <w:p w14:paraId="7C4E71F9" w14:textId="77777777" w:rsidR="00035E7F" w:rsidRPr="00F64E72" w:rsidRDefault="00035E7F" w:rsidP="00575852">
      <w:pPr>
        <w:rPr>
          <w:rStyle w:val="sm"/>
        </w:rPr>
      </w:pPr>
    </w:p>
    <w:p w14:paraId="68774AA0" w14:textId="77777777" w:rsidR="00575852" w:rsidRDefault="00575852" w:rsidP="00575852">
      <w:pPr>
        <w:rPr>
          <w:rStyle w:val="sm"/>
        </w:rPr>
      </w:pPr>
      <w:r>
        <w:rPr>
          <w:rStyle w:val="sm"/>
          <w:rFonts w:cs="Times New Roman"/>
          <w:i/>
        </w:rPr>
        <w:t>Visible r</w:t>
      </w:r>
      <w:r w:rsidRPr="000B3DD6">
        <w:rPr>
          <w:rStyle w:val="sm"/>
          <w:rFonts w:cs="Times New Roman"/>
          <w:i/>
        </w:rPr>
        <w:t>esponses</w:t>
      </w:r>
      <w:r>
        <w:rPr>
          <w:rStyle w:val="sm"/>
          <w:rFonts w:cs="Times New Roman"/>
          <w:i/>
        </w:rPr>
        <w:t xml:space="preserve"> 10 days after treatment</w:t>
      </w:r>
    </w:p>
    <w:p w14:paraId="3FEFAB35" w14:textId="08595C9C" w:rsidR="00035E7F" w:rsidRDefault="00575852" w:rsidP="00575852">
      <w:pPr>
        <w:rPr>
          <w:rFonts w:eastAsia="ＭＳ ゴシック" w:cs="Times New Roman"/>
          <w:color w:val="000000"/>
        </w:rPr>
      </w:pPr>
      <w:r>
        <w:rPr>
          <w:rStyle w:val="sm"/>
          <w:rFonts w:cs="Times New Roman"/>
          <w:i/>
        </w:rPr>
        <w:tab/>
      </w:r>
      <w:r>
        <w:rPr>
          <w:rStyle w:val="sm"/>
          <w:rFonts w:cs="Times New Roman"/>
        </w:rPr>
        <w:t xml:space="preserve">Topramezone applied alone caused 22 % visible injury, mostly in the form of bleaching, which is characteristic of HPPD-inhibiting herbicide application (Figure </w:t>
      </w:r>
      <w:r w:rsidR="00443E7E">
        <w:rPr>
          <w:rStyle w:val="sm"/>
          <w:rFonts w:cs="Times New Roman"/>
        </w:rPr>
        <w:t>3.</w:t>
      </w:r>
      <w:r>
        <w:rPr>
          <w:rStyle w:val="sm"/>
          <w:rFonts w:cs="Times New Roman"/>
        </w:rPr>
        <w:t xml:space="preserve">3). Malathion increased injury from topramezone to 79%, more than that observed from any other treatment. Both visible bleaching and bleaching-induced necrosis were observed on plants treated with </w:t>
      </w:r>
      <w:proofErr w:type="gramStart"/>
      <w:r>
        <w:rPr>
          <w:rStyle w:val="sm"/>
          <w:rFonts w:cs="Times New Roman"/>
        </w:rPr>
        <w:t>malathion</w:t>
      </w:r>
      <w:proofErr w:type="gramEnd"/>
      <w:r>
        <w:rPr>
          <w:rStyle w:val="sm"/>
          <w:rFonts w:cs="Times New Roman"/>
        </w:rPr>
        <w:t xml:space="preserve">. ABT also increased topramezone injury, but injury was less than that observed with </w:t>
      </w:r>
      <w:proofErr w:type="gramStart"/>
      <w:r>
        <w:rPr>
          <w:rStyle w:val="sm"/>
          <w:rFonts w:cs="Times New Roman"/>
        </w:rPr>
        <w:t>malathion</w:t>
      </w:r>
      <w:proofErr w:type="gramEnd"/>
      <w:r>
        <w:rPr>
          <w:rStyle w:val="sm"/>
          <w:rFonts w:cs="Times New Roman"/>
        </w:rPr>
        <w:t xml:space="preserve">. Plants treated with cloquintocet-mexyl alone displayed only 1% injury, which was similar to that of the ABT and cloquintocet-mexyl combination. Topramezone caused less injury in plants treated with cloquintocet-mexyl + </w:t>
      </w:r>
      <w:proofErr w:type="gramStart"/>
      <w:r>
        <w:rPr>
          <w:rStyle w:val="sm"/>
          <w:rFonts w:cs="Times New Roman"/>
        </w:rPr>
        <w:t>malathion</w:t>
      </w:r>
      <w:proofErr w:type="gramEnd"/>
      <w:r>
        <w:rPr>
          <w:rStyle w:val="sm"/>
          <w:rFonts w:cs="Times New Roman"/>
        </w:rPr>
        <w:t xml:space="preserve"> than with malathion alone. </w:t>
      </w:r>
      <w:r>
        <w:rPr>
          <w:rFonts w:eastAsia="ＭＳ ゴシック" w:cs="Times New Roman"/>
          <w:color w:val="000000"/>
        </w:rPr>
        <w:t xml:space="preserve">Malathion, ABT, cloquintocet-mexyl or combinations thereof did </w:t>
      </w:r>
      <w:r w:rsidR="00780FF0">
        <w:rPr>
          <w:rFonts w:eastAsia="ＭＳ ゴシック" w:cs="Times New Roman"/>
          <w:color w:val="000000"/>
        </w:rPr>
        <w:t xml:space="preserve">not </w:t>
      </w:r>
      <w:r>
        <w:rPr>
          <w:rFonts w:eastAsia="ＭＳ ゴシック" w:cs="Times New Roman"/>
          <w:color w:val="000000"/>
        </w:rPr>
        <w:t>cause any visible injury in the absence of topramezone (data not presented).</w:t>
      </w:r>
    </w:p>
    <w:p w14:paraId="6887EE49" w14:textId="77777777" w:rsidR="00205FC7" w:rsidRDefault="00205FC7" w:rsidP="00575852">
      <w:pPr>
        <w:rPr>
          <w:rStyle w:val="sm"/>
        </w:rPr>
      </w:pPr>
    </w:p>
    <w:p w14:paraId="41CD6526" w14:textId="77777777" w:rsidR="00575852" w:rsidRDefault="00575852" w:rsidP="00575852">
      <w:pPr>
        <w:rPr>
          <w:rStyle w:val="sm"/>
        </w:rPr>
      </w:pPr>
      <w:r>
        <w:rPr>
          <w:rStyle w:val="sm"/>
          <w:rFonts w:cs="Times New Roman"/>
          <w:i/>
        </w:rPr>
        <w:t>Biomass r</w:t>
      </w:r>
      <w:r w:rsidRPr="000B3DD6">
        <w:rPr>
          <w:rStyle w:val="sm"/>
          <w:rFonts w:cs="Times New Roman"/>
          <w:i/>
        </w:rPr>
        <w:t>esponses</w:t>
      </w:r>
      <w:r>
        <w:rPr>
          <w:rStyle w:val="sm"/>
          <w:rFonts w:cs="Times New Roman"/>
          <w:i/>
        </w:rPr>
        <w:t xml:space="preserve"> 10 days after treatment</w:t>
      </w:r>
    </w:p>
    <w:p w14:paraId="7FAE3B97" w14:textId="5E4D2841" w:rsidR="00575852" w:rsidRDefault="00575852" w:rsidP="00575852">
      <w:pPr>
        <w:rPr>
          <w:rFonts w:eastAsia="ＭＳ ゴシック" w:cs="Times New Roman"/>
          <w:color w:val="000000"/>
        </w:rPr>
      </w:pPr>
      <w:r>
        <w:rPr>
          <w:rStyle w:val="sm"/>
          <w:rFonts w:cs="Times New Roman"/>
        </w:rPr>
        <w:tab/>
        <w:t xml:space="preserve">Leaf biomass of plants treated with topramezone alone measured 58% of the non-treated control. Compared to topramezone alone, biomass was lower in plants treated with </w:t>
      </w:r>
      <w:proofErr w:type="gramStart"/>
      <w:r>
        <w:rPr>
          <w:rStyle w:val="sm"/>
          <w:rFonts w:cs="Times New Roman"/>
        </w:rPr>
        <w:t>malathion</w:t>
      </w:r>
      <w:proofErr w:type="gramEnd"/>
      <w:r>
        <w:rPr>
          <w:rStyle w:val="sm"/>
          <w:rFonts w:cs="Times New Roman"/>
        </w:rPr>
        <w:t xml:space="preserve"> and topramezone. Biomass of plants treated with cloquintocet-mexyl or cloquintocet-mexyl + ABT were in the highest statistical category. </w:t>
      </w:r>
      <w:r w:rsidR="003420F7">
        <w:rPr>
          <w:rStyle w:val="sm"/>
          <w:rFonts w:cs="Times New Roman"/>
        </w:rPr>
        <w:t xml:space="preserve">When applied alone, </w:t>
      </w:r>
      <w:proofErr w:type="gramStart"/>
      <w:r w:rsidR="003420F7">
        <w:rPr>
          <w:rFonts w:eastAsia="ＭＳ ゴシック" w:cs="Times New Roman"/>
          <w:color w:val="000000"/>
        </w:rPr>
        <w:t>m</w:t>
      </w:r>
      <w:r>
        <w:rPr>
          <w:rFonts w:eastAsia="ＭＳ ゴシック" w:cs="Times New Roman"/>
          <w:color w:val="000000"/>
        </w:rPr>
        <w:t>alathion</w:t>
      </w:r>
      <w:proofErr w:type="gramEnd"/>
      <w:r>
        <w:rPr>
          <w:rFonts w:eastAsia="ＭＳ ゴシック" w:cs="Times New Roman"/>
          <w:color w:val="000000"/>
        </w:rPr>
        <w:t>, ABT, cloquintocet-</w:t>
      </w:r>
      <w:r>
        <w:rPr>
          <w:rFonts w:eastAsia="ＭＳ ゴシック" w:cs="Times New Roman"/>
          <w:color w:val="000000"/>
        </w:rPr>
        <w:lastRenderedPageBreak/>
        <w:t xml:space="preserve">mexyl or combinations thereof did cause any leaf biomass reductions compared to the non-treated control (data not presented). Leaf biomass data support visible injury responses. </w:t>
      </w:r>
    </w:p>
    <w:p w14:paraId="5A31196C" w14:textId="26D23F65" w:rsidR="00575852" w:rsidRDefault="00575852" w:rsidP="00575852">
      <w:pPr>
        <w:rPr>
          <w:rStyle w:val="sm"/>
        </w:rPr>
      </w:pPr>
      <w:r>
        <w:rPr>
          <w:rFonts w:eastAsia="ＭＳ ゴシック" w:cs="Times New Roman"/>
          <w:color w:val="000000"/>
        </w:rPr>
        <w:tab/>
        <w:t xml:space="preserve">The reductions in chlorophyll fluorescence yield and leaf tissue biomass concomitant with increases in visible bleaching and necrosis caused by both </w:t>
      </w:r>
      <w:proofErr w:type="gramStart"/>
      <w:r>
        <w:rPr>
          <w:rFonts w:eastAsia="ＭＳ ゴシック" w:cs="Times New Roman"/>
          <w:color w:val="000000"/>
        </w:rPr>
        <w:t>malathion</w:t>
      </w:r>
      <w:proofErr w:type="gramEnd"/>
      <w:r>
        <w:rPr>
          <w:rFonts w:eastAsia="ＭＳ ゴシック" w:cs="Times New Roman"/>
          <w:color w:val="000000"/>
        </w:rPr>
        <w:t xml:space="preserve"> and ABT suggest P450 </w:t>
      </w:r>
      <w:r w:rsidR="00904173">
        <w:rPr>
          <w:rFonts w:eastAsia="ＭＳ ゴシック" w:cs="Times New Roman"/>
          <w:color w:val="000000"/>
        </w:rPr>
        <w:t>monooxygenase</w:t>
      </w:r>
      <w:r>
        <w:rPr>
          <w:rFonts w:eastAsia="ＭＳ ゴシック" w:cs="Times New Roman"/>
          <w:color w:val="000000"/>
        </w:rPr>
        <w:t xml:space="preserve">s influence topramezone metabolism in creeping bentgrass. Visible responses demonstrate malathion is a more potent synergist of topramezone in creeping bentgrass than ABT. Cloquintocet-mexyl completely eliminated creeping bentgrass injury from topramezone, supporting responses observed in our previous research </w:t>
      </w:r>
      <w:r w:rsidR="003420F7">
        <w:rPr>
          <w:rFonts w:eastAsia="ＭＳ ゴシック" w:cs="Times New Roman"/>
          <w:color w:val="000000"/>
        </w:rPr>
        <w:t>[12]</w:t>
      </w:r>
      <w:r>
        <w:rPr>
          <w:rFonts w:eastAsia="ＭＳ ゴシック" w:cs="Times New Roman"/>
          <w:color w:val="000000"/>
        </w:rPr>
        <w:t xml:space="preserve">. Cloquintocet-mexyl antagonized the effects of </w:t>
      </w:r>
      <w:proofErr w:type="gramStart"/>
      <w:r>
        <w:rPr>
          <w:rFonts w:eastAsia="ＭＳ ゴシック" w:cs="Times New Roman"/>
          <w:color w:val="000000"/>
        </w:rPr>
        <w:t>malathion</w:t>
      </w:r>
      <w:proofErr w:type="gramEnd"/>
      <w:r>
        <w:rPr>
          <w:rFonts w:eastAsia="ＭＳ ゴシック" w:cs="Times New Roman"/>
          <w:color w:val="000000"/>
        </w:rPr>
        <w:t xml:space="preserve"> or ABT on topramezone, but the implications of this are not clear. It is possible cloquintocet-mexyl increased topramezone metabolism through mechanisms not catalyzed by P450 </w:t>
      </w:r>
      <w:r w:rsidR="00904173">
        <w:rPr>
          <w:rFonts w:eastAsia="ＭＳ ゴシック" w:cs="Times New Roman"/>
          <w:color w:val="000000"/>
        </w:rPr>
        <w:t>monooxygenase</w:t>
      </w:r>
      <w:r>
        <w:rPr>
          <w:rFonts w:eastAsia="ＭＳ ゴシック" w:cs="Times New Roman"/>
          <w:color w:val="000000"/>
        </w:rPr>
        <w:t>s; cloquint</w:t>
      </w:r>
      <w:r w:rsidR="00443E7E">
        <w:rPr>
          <w:rFonts w:eastAsia="ＭＳ ゴシック" w:cs="Times New Roman"/>
          <w:color w:val="000000"/>
        </w:rPr>
        <w:t>ocet-mexyl is known to increase</w:t>
      </w:r>
      <w:r>
        <w:rPr>
          <w:rFonts w:eastAsia="ＭＳ ゴシック" w:cs="Times New Roman"/>
          <w:color w:val="000000"/>
        </w:rPr>
        <w:t xml:space="preserve"> </w:t>
      </w:r>
      <w:r w:rsidRPr="00137898">
        <w:rPr>
          <w:rStyle w:val="sm"/>
          <w:rFonts w:cs="Times New Roman"/>
        </w:rPr>
        <w:t>pyridinyl N-glucosylation</w:t>
      </w:r>
      <w:r>
        <w:rPr>
          <w:rStyle w:val="sm"/>
          <w:rFonts w:cs="Times New Roman"/>
        </w:rPr>
        <w:t xml:space="preserve"> of clodinafop in wheat [22]. It is also possible that P450 mon</w:t>
      </w:r>
      <w:r w:rsidR="00904173">
        <w:rPr>
          <w:rStyle w:val="sm"/>
          <w:rFonts w:cs="Times New Roman"/>
        </w:rPr>
        <w:t>o</w:t>
      </w:r>
      <w:r>
        <w:rPr>
          <w:rStyle w:val="sm"/>
          <w:rFonts w:cs="Times New Roman"/>
        </w:rPr>
        <w:t>ox</w:t>
      </w:r>
      <w:r w:rsidR="00904173">
        <w:rPr>
          <w:rStyle w:val="sm"/>
          <w:rFonts w:cs="Times New Roman"/>
        </w:rPr>
        <w:t>y</w:t>
      </w:r>
      <w:r>
        <w:rPr>
          <w:rStyle w:val="sm"/>
          <w:rFonts w:cs="Times New Roman"/>
        </w:rPr>
        <w:t xml:space="preserve">genase activity was higher in plants treated with cloquintocet-mexyl even in the presence of ABT or malathion, or that P450’s induced were not inhibited by malathion and ABT. Yun et al. [44] evaluated the effects of the P450 inhibitor PBO alone and in combination with safeners on the activity of microsomal pyrazosulfuron-ethyl </w:t>
      </w:r>
      <w:r w:rsidRPr="00325A39">
        <w:rPr>
          <w:rStyle w:val="sm"/>
          <w:rFonts w:cs="Times New Roman"/>
          <w:i/>
        </w:rPr>
        <w:t>O</w:t>
      </w:r>
      <w:r>
        <w:rPr>
          <w:rStyle w:val="sm"/>
          <w:rFonts w:cs="Times New Roman"/>
        </w:rPr>
        <w:t>-demethylase, which metabolizes pyrazosulfuron-ethyl in rice (</w:t>
      </w:r>
      <w:r w:rsidRPr="00177BAE">
        <w:rPr>
          <w:rStyle w:val="sm"/>
          <w:rFonts w:cs="Times New Roman"/>
          <w:i/>
        </w:rPr>
        <w:t>Oryza sativa</w:t>
      </w:r>
      <w:r>
        <w:rPr>
          <w:rStyle w:val="sm"/>
          <w:rFonts w:cs="Times New Roman"/>
        </w:rPr>
        <w:t xml:space="preserve"> L.). They found that PBO inhibited 63% of pyrazosulfuron-ethyl </w:t>
      </w:r>
      <w:r w:rsidRPr="00325A39">
        <w:rPr>
          <w:rStyle w:val="sm"/>
          <w:rFonts w:cs="Times New Roman"/>
          <w:i/>
        </w:rPr>
        <w:t>O</w:t>
      </w:r>
      <w:r>
        <w:rPr>
          <w:rStyle w:val="sm"/>
          <w:rFonts w:cs="Times New Roman"/>
        </w:rPr>
        <w:t>-demethylase activity when in combination with the herbicide, but only 19% inhibition was achieved when PBO was in combination with the herbicide and the safener. The researchers suggested that this was because the herbicide and safeners induce different P450 enzymes.</w:t>
      </w:r>
    </w:p>
    <w:p w14:paraId="28A930F5" w14:textId="27FA4DDA" w:rsidR="00575852" w:rsidRDefault="00575852" w:rsidP="00575852">
      <w:pPr>
        <w:rPr>
          <w:rStyle w:val="sm"/>
        </w:rPr>
      </w:pPr>
      <w:r>
        <w:rPr>
          <w:rStyle w:val="sm"/>
          <w:rFonts w:cs="Times New Roman"/>
        </w:rPr>
        <w:tab/>
        <w:t xml:space="preserve">Future research should evaluate topramezone metabolite formation in the presence of cloquintocet-mexyl and </w:t>
      </w:r>
      <w:proofErr w:type="gramStart"/>
      <w:r>
        <w:rPr>
          <w:rStyle w:val="sm"/>
          <w:rFonts w:cs="Times New Roman"/>
        </w:rPr>
        <w:t>malathion</w:t>
      </w:r>
      <w:proofErr w:type="gramEnd"/>
      <w:r>
        <w:rPr>
          <w:rStyle w:val="sm"/>
          <w:rFonts w:cs="Times New Roman"/>
        </w:rPr>
        <w:t xml:space="preserve">. </w:t>
      </w:r>
      <w:r w:rsidR="004C5155">
        <w:rPr>
          <w:rStyle w:val="sm"/>
          <w:rFonts w:cs="Times New Roman"/>
        </w:rPr>
        <w:t xml:space="preserve">Additionally, microsomal assays could be used to qualify </w:t>
      </w:r>
      <w:r w:rsidR="004C5155">
        <w:rPr>
          <w:rStyle w:val="sm"/>
          <w:rFonts w:cs="Times New Roman"/>
        </w:rPr>
        <w:lastRenderedPageBreak/>
        <w:t>P450’s with activity on topramezone in</w:t>
      </w:r>
      <w:r>
        <w:rPr>
          <w:rStyle w:val="sm"/>
          <w:rFonts w:cs="Times New Roman"/>
        </w:rPr>
        <w:t xml:space="preserve"> tolerant grasses such as Kentucky bluegrass (</w:t>
      </w:r>
      <w:r w:rsidRPr="006A2500">
        <w:rPr>
          <w:rStyle w:val="sm"/>
          <w:rFonts w:cs="Times New Roman"/>
          <w:i/>
        </w:rPr>
        <w:t>Poa pratensis</w:t>
      </w:r>
      <w:r>
        <w:rPr>
          <w:rStyle w:val="sm"/>
          <w:rFonts w:cs="Times New Roman"/>
        </w:rPr>
        <w:t xml:space="preserve"> L.) compared to those of creeping bentgrass and susceptible weeds such as goosegrass. </w:t>
      </w:r>
    </w:p>
    <w:p w14:paraId="7DC7EFFB" w14:textId="77777777" w:rsidR="00945F16" w:rsidRPr="00945F16" w:rsidRDefault="00945F16" w:rsidP="00945F16">
      <w:pPr>
        <w:rPr>
          <w:rStyle w:val="sm"/>
        </w:rPr>
      </w:pPr>
      <w:r w:rsidRPr="00945F16">
        <w:rPr>
          <w:rStyle w:val="sm"/>
          <w:rFonts w:cs="Times New Roman"/>
        </w:rPr>
        <w:t xml:space="preserve"> </w:t>
      </w:r>
    </w:p>
    <w:p w14:paraId="7A4E6D3C" w14:textId="77777777" w:rsidR="00945F16" w:rsidRPr="007C372C" w:rsidRDefault="007A4F7A" w:rsidP="003A1DC6">
      <w:pPr>
        <w:pStyle w:val="Heading2"/>
        <w:rPr>
          <w:rStyle w:val="sm"/>
          <w:rFonts w:cs="Arial"/>
          <w:b w:val="0"/>
          <w:bCs w:val="0"/>
          <w:iCs w:val="0"/>
        </w:rPr>
      </w:pPr>
      <w:bookmarkStart w:id="108" w:name="_Toc264713577"/>
      <w:bookmarkStart w:id="109" w:name="_Toc264713624"/>
      <w:bookmarkStart w:id="110" w:name="_Toc264967200"/>
      <w:r w:rsidRPr="007C372C">
        <w:rPr>
          <w:rStyle w:val="sm"/>
        </w:rPr>
        <w:t>ACKNOWLEDGEMENTS</w:t>
      </w:r>
      <w:bookmarkEnd w:id="108"/>
      <w:bookmarkEnd w:id="109"/>
      <w:bookmarkEnd w:id="110"/>
    </w:p>
    <w:p w14:paraId="2DC19D25" w14:textId="77777777" w:rsidR="00945F16" w:rsidRPr="00945F16" w:rsidRDefault="00945F16" w:rsidP="00945F16">
      <w:pPr>
        <w:ind w:firstLine="720"/>
        <w:rPr>
          <w:rFonts w:cs="Times New Roman"/>
        </w:rPr>
      </w:pPr>
      <w:proofErr w:type="gramStart"/>
      <w:r w:rsidRPr="00945F16">
        <w:rPr>
          <w:rFonts w:cs="Times New Roman"/>
        </w:rPr>
        <w:t>This work was supported by the Tennessee Agricultural Experiment Station</w:t>
      </w:r>
      <w:proofErr w:type="gramEnd"/>
      <w:r w:rsidRPr="00945F16">
        <w:rPr>
          <w:rFonts w:cs="Times New Roman"/>
        </w:rPr>
        <w:t>. The authors would also like to thank Daniel Farnsworth, Tyler Campbell, Kelly Arnholt, and James Greenway for their assistance in conducting these experiments in addition to greenhouse manager Lori Osburn. Mention of trade names or commercial products in this publication is solely for the purpose of providing specific information and does not imply recommendation or endorsement by the University of Tennessee Institute of Agriculture.</w:t>
      </w:r>
    </w:p>
    <w:p w14:paraId="77B66224" w14:textId="77777777" w:rsidR="00945F16" w:rsidRPr="00945F16" w:rsidRDefault="00945F16" w:rsidP="00945F16">
      <w:pPr>
        <w:rPr>
          <w:rFonts w:cs="Times New Roman"/>
        </w:rPr>
      </w:pPr>
      <w:r w:rsidRPr="00945F16">
        <w:rPr>
          <w:rFonts w:cs="Times New Roman"/>
        </w:rPr>
        <w:br w:type="page"/>
      </w:r>
    </w:p>
    <w:p w14:paraId="2ADFE6C8" w14:textId="77777777" w:rsidR="00945F16" w:rsidRPr="00945F16" w:rsidRDefault="007A4F7A" w:rsidP="003A1DC6">
      <w:pPr>
        <w:pStyle w:val="Heading2"/>
      </w:pPr>
      <w:bookmarkStart w:id="111" w:name="_Toc264713578"/>
      <w:bookmarkStart w:id="112" w:name="_Toc264713625"/>
      <w:bookmarkStart w:id="113" w:name="_Toc264967201"/>
      <w:r>
        <w:lastRenderedPageBreak/>
        <w:t>LITERATURE CITED</w:t>
      </w:r>
      <w:bookmarkEnd w:id="111"/>
      <w:bookmarkEnd w:id="112"/>
      <w:bookmarkEnd w:id="113"/>
    </w:p>
    <w:p w14:paraId="6AA5491E" w14:textId="3B28E1D5" w:rsidR="00261E9B" w:rsidRDefault="00261E9B" w:rsidP="00261E9B">
      <w:pPr>
        <w:pStyle w:val="Header"/>
        <w:tabs>
          <w:tab w:val="left" w:pos="270"/>
        </w:tabs>
        <w:ind w:left="720" w:hanging="720"/>
      </w:pPr>
      <w:r>
        <w:t xml:space="preserve">[1] </w:t>
      </w:r>
      <w:r w:rsidRPr="00A8530C">
        <w:t>G.T. Lyman, C.S. Throssell, M.E. Johnson, G.A. Stacey, C.D. Brown, Golf course profile describes turfgrass, landscape, and environmental stew</w:t>
      </w:r>
      <w:r w:rsidR="0077532F">
        <w:t>ardship features, Appl.</w:t>
      </w:r>
      <w:r w:rsidRPr="00A8530C">
        <w:t xml:space="preserve"> Turf</w:t>
      </w:r>
      <w:r w:rsidR="0077532F">
        <w:t>grass</w:t>
      </w:r>
      <w:r w:rsidRPr="00A8530C">
        <w:t xml:space="preserve"> Sci. (2007) doi</w:t>
      </w:r>
      <w:proofErr w:type="gramStart"/>
      <w:r w:rsidRPr="00A8530C">
        <w:t>:10.1094</w:t>
      </w:r>
      <w:proofErr w:type="gramEnd"/>
      <w:r w:rsidRPr="00A8530C">
        <w:t>/ATS-2007-1107-01-RS</w:t>
      </w:r>
    </w:p>
    <w:p w14:paraId="61F2E228" w14:textId="77777777" w:rsidR="00261E9B" w:rsidRPr="0086407E" w:rsidRDefault="00261E9B" w:rsidP="00261E9B">
      <w:pPr>
        <w:widowControl w:val="0"/>
        <w:tabs>
          <w:tab w:val="left" w:pos="90"/>
        </w:tabs>
        <w:autoSpaceDE w:val="0"/>
        <w:autoSpaceDN w:val="0"/>
        <w:adjustRightInd w:val="0"/>
        <w:ind w:left="720" w:hanging="720"/>
        <w:rPr>
          <w:rFonts w:cs="Times New Roman"/>
        </w:rPr>
      </w:pPr>
      <w:r>
        <w:rPr>
          <w:rFonts w:cs="Times New Roman"/>
        </w:rPr>
        <w:t>[2] P</w:t>
      </w:r>
      <w:r w:rsidRPr="0086407E">
        <w:rPr>
          <w:rFonts w:cs="Times New Roman"/>
        </w:rPr>
        <w:t>.H. Dernoeden, Creeping bentgrass management: summer stresses, weeds and selected maladies. 2nd edn</w:t>
      </w:r>
      <w:proofErr w:type="gramStart"/>
      <w:r w:rsidRPr="0086407E">
        <w:rPr>
          <w:rFonts w:cs="Times New Roman"/>
        </w:rPr>
        <w:t>.,</w:t>
      </w:r>
      <w:proofErr w:type="gramEnd"/>
      <w:r w:rsidRPr="0086407E">
        <w:rPr>
          <w:rFonts w:cs="Times New Roman"/>
        </w:rPr>
        <w:t xml:space="preserve"> John Wiley and Sons Inc. Hoboken NJ, 2013.</w:t>
      </w:r>
    </w:p>
    <w:p w14:paraId="3DDB05B4" w14:textId="35B4CB97" w:rsidR="00261E9B" w:rsidRPr="00A8530C" w:rsidRDefault="00261E9B" w:rsidP="00261E9B">
      <w:pPr>
        <w:widowControl w:val="0"/>
        <w:autoSpaceDE w:val="0"/>
        <w:autoSpaceDN w:val="0"/>
        <w:adjustRightInd w:val="0"/>
        <w:ind w:left="720" w:hanging="720"/>
        <w:rPr>
          <w:rFonts w:cs="Times New Roman"/>
        </w:rPr>
      </w:pPr>
      <w:proofErr w:type="gramStart"/>
      <w:r>
        <w:rPr>
          <w:rFonts w:cs="Times New Roman"/>
        </w:rPr>
        <w:t xml:space="preserve">[3] </w:t>
      </w:r>
      <w:r w:rsidRPr="00A8530C">
        <w:rPr>
          <w:rFonts w:cs="Times New Roman"/>
        </w:rPr>
        <w:t>P.H. Dernoeden, M.J. Mahoney, M.J. Carroll, Smooth crabgrass control in perennial ryegrass with repeated low fenoxaprop application rates, HortSci.</w:t>
      </w:r>
      <w:proofErr w:type="gramEnd"/>
      <w:r w:rsidRPr="00A8530C">
        <w:rPr>
          <w:rFonts w:cs="Times New Roman"/>
        </w:rPr>
        <w:t xml:space="preserve"> </w:t>
      </w:r>
      <w:proofErr w:type="gramStart"/>
      <w:r w:rsidRPr="00A8530C">
        <w:rPr>
          <w:rFonts w:cs="Times New Roman"/>
        </w:rPr>
        <w:t>27 (1992) 1001-1003.</w:t>
      </w:r>
      <w:proofErr w:type="gramEnd"/>
    </w:p>
    <w:p w14:paraId="167696D2" w14:textId="2A6C84EB" w:rsidR="00261E9B" w:rsidRPr="00A8530C" w:rsidRDefault="00261E9B" w:rsidP="00261E9B">
      <w:pPr>
        <w:widowControl w:val="0"/>
        <w:autoSpaceDE w:val="0"/>
        <w:autoSpaceDN w:val="0"/>
        <w:adjustRightInd w:val="0"/>
        <w:ind w:left="630" w:hanging="630"/>
        <w:rPr>
          <w:rFonts w:cs="Times New Roman"/>
        </w:rPr>
      </w:pPr>
      <w:r>
        <w:rPr>
          <w:rFonts w:cs="Times New Roman"/>
        </w:rPr>
        <w:t xml:space="preserve">[4] </w:t>
      </w:r>
      <w:r w:rsidRPr="00A8530C">
        <w:rPr>
          <w:rFonts w:cs="Times New Roman"/>
        </w:rPr>
        <w:t xml:space="preserve">P.H. Dernoeden, C.A. Bigelow, J.E Kaminski, J.M. Krouse, Smooth crabgrass control in perennial ryegrass and creeping bentgrass tolerance to quinclorac, HortSci. </w:t>
      </w:r>
      <w:proofErr w:type="gramStart"/>
      <w:r w:rsidRPr="00A8530C">
        <w:rPr>
          <w:rFonts w:cs="Times New Roman"/>
        </w:rPr>
        <w:t>38 (2003) 607-612.</w:t>
      </w:r>
      <w:proofErr w:type="gramEnd"/>
    </w:p>
    <w:p w14:paraId="5E84B441" w14:textId="77777777" w:rsidR="00261E9B" w:rsidRPr="00A8530C" w:rsidRDefault="00261E9B" w:rsidP="00261E9B">
      <w:pPr>
        <w:widowControl w:val="0"/>
        <w:autoSpaceDE w:val="0"/>
        <w:autoSpaceDN w:val="0"/>
        <w:adjustRightInd w:val="0"/>
        <w:ind w:left="630" w:hanging="630"/>
        <w:rPr>
          <w:rFonts w:cs="Times New Roman"/>
        </w:rPr>
      </w:pPr>
      <w:r>
        <w:rPr>
          <w:rFonts w:cs="Times New Roman"/>
        </w:rPr>
        <w:t xml:space="preserve">[5] </w:t>
      </w:r>
      <w:r w:rsidRPr="00A8530C">
        <w:rPr>
          <w:rFonts w:cs="Times New Roman"/>
        </w:rPr>
        <w:t>S.E. Hart, D.W. Lycan, J.A. Murphy, Use of quinclorac for large crabgrass (</w:t>
      </w:r>
      <w:r w:rsidRPr="00A8530C">
        <w:rPr>
          <w:rFonts w:cs="Times New Roman"/>
          <w:i/>
        </w:rPr>
        <w:t>Digitaria sanguinalis</w:t>
      </w:r>
      <w:r w:rsidRPr="00A8530C">
        <w:rPr>
          <w:rFonts w:cs="Times New Roman"/>
        </w:rPr>
        <w:t>) control in newly summer-seeded creeping bentgrass (</w:t>
      </w:r>
      <w:r w:rsidRPr="00A8530C">
        <w:rPr>
          <w:rFonts w:cs="Times New Roman"/>
          <w:i/>
        </w:rPr>
        <w:t>Agrostis stolonifera</w:t>
      </w:r>
      <w:r w:rsidRPr="00A8530C">
        <w:rPr>
          <w:rFonts w:cs="Times New Roman"/>
        </w:rPr>
        <w:t>), Weed Technol. 18 (2004) 375-379.</w:t>
      </w:r>
    </w:p>
    <w:p w14:paraId="240403C5" w14:textId="77777777" w:rsidR="00261E9B" w:rsidRPr="00A8530C" w:rsidRDefault="00261E9B" w:rsidP="00261E9B">
      <w:pPr>
        <w:widowControl w:val="0"/>
        <w:autoSpaceDE w:val="0"/>
        <w:autoSpaceDN w:val="0"/>
        <w:adjustRightInd w:val="0"/>
        <w:ind w:left="720" w:hanging="720"/>
        <w:rPr>
          <w:rFonts w:cs="Times New Roman"/>
        </w:rPr>
      </w:pPr>
      <w:proofErr w:type="gramStart"/>
      <w:r>
        <w:rPr>
          <w:rFonts w:cs="Times New Roman"/>
        </w:rPr>
        <w:t xml:space="preserve">[6] </w:t>
      </w:r>
      <w:r w:rsidRPr="00A8530C">
        <w:rPr>
          <w:rFonts w:cs="Times New Roman"/>
        </w:rPr>
        <w:t>G.M. Henry, S.E. Hart, Velvet and creeping bentgrass tolerance to fenoxaprop, HortSci.</w:t>
      </w:r>
      <w:proofErr w:type="gramEnd"/>
      <w:r w:rsidRPr="00A8530C">
        <w:rPr>
          <w:rFonts w:cs="Times New Roman"/>
        </w:rPr>
        <w:t xml:space="preserve"> </w:t>
      </w:r>
      <w:proofErr w:type="gramStart"/>
      <w:r w:rsidRPr="00A8530C">
        <w:rPr>
          <w:rFonts w:cs="Times New Roman"/>
        </w:rPr>
        <w:t>39 (2004) 1768-1770.</w:t>
      </w:r>
      <w:proofErr w:type="gramEnd"/>
    </w:p>
    <w:p w14:paraId="49117475" w14:textId="77777777" w:rsidR="00261E9B" w:rsidRPr="00A8530C" w:rsidRDefault="00261E9B" w:rsidP="00261E9B">
      <w:pPr>
        <w:widowControl w:val="0"/>
        <w:autoSpaceDE w:val="0"/>
        <w:autoSpaceDN w:val="0"/>
        <w:adjustRightInd w:val="0"/>
        <w:ind w:left="720" w:hanging="720"/>
        <w:rPr>
          <w:rFonts w:cs="Times New Roman"/>
        </w:rPr>
      </w:pPr>
      <w:r>
        <w:rPr>
          <w:rFonts w:cs="Times New Roman"/>
        </w:rPr>
        <w:t>[7] B</w:t>
      </w:r>
      <w:r w:rsidRPr="00A8530C">
        <w:rPr>
          <w:rFonts w:cs="Times New Roman"/>
        </w:rPr>
        <w:t xml:space="preserve">.J. Johnson, Creeping bentgrass quality following preemergence and postemergence herbicide application, HortSci. </w:t>
      </w:r>
      <w:proofErr w:type="gramStart"/>
      <w:r w:rsidRPr="00A8530C">
        <w:rPr>
          <w:rFonts w:cs="Times New Roman"/>
        </w:rPr>
        <w:t>29 (1994) 880-883.</w:t>
      </w:r>
      <w:proofErr w:type="gramEnd"/>
    </w:p>
    <w:p w14:paraId="3DAD88D1" w14:textId="77777777" w:rsidR="00261E9B" w:rsidRDefault="00261E9B" w:rsidP="00261E9B">
      <w:pPr>
        <w:pStyle w:val="Header"/>
        <w:tabs>
          <w:tab w:val="left" w:pos="270"/>
        </w:tabs>
        <w:ind w:left="720" w:hanging="720"/>
        <w:rPr>
          <w:rFonts w:eastAsiaTheme="minorEastAsia"/>
        </w:rPr>
      </w:pPr>
      <w:r>
        <w:rPr>
          <w:rFonts w:eastAsiaTheme="minorEastAsia"/>
        </w:rPr>
        <w:t xml:space="preserve">[8] </w:t>
      </w:r>
      <w:r w:rsidRPr="00A8530C">
        <w:rPr>
          <w:rFonts w:eastAsiaTheme="minorEastAsia"/>
        </w:rPr>
        <w:t>S.R. Shim, B</w:t>
      </w:r>
      <w:r>
        <w:rPr>
          <w:rFonts w:eastAsiaTheme="minorEastAsia"/>
        </w:rPr>
        <w:t>.</w:t>
      </w:r>
      <w:r w:rsidRPr="00A8530C">
        <w:rPr>
          <w:rFonts w:eastAsiaTheme="minorEastAsia"/>
        </w:rPr>
        <w:t>J</w:t>
      </w:r>
      <w:r>
        <w:rPr>
          <w:rFonts w:eastAsiaTheme="minorEastAsia"/>
        </w:rPr>
        <w:t>.</w:t>
      </w:r>
      <w:r w:rsidRPr="00A8530C">
        <w:rPr>
          <w:rFonts w:eastAsiaTheme="minorEastAsia"/>
        </w:rPr>
        <w:t xml:space="preserve"> Johnson, Response of creeping bentgrass to spring-applied herbicides, HortSci. </w:t>
      </w:r>
      <w:proofErr w:type="gramStart"/>
      <w:r w:rsidRPr="00A8530C">
        <w:rPr>
          <w:rFonts w:eastAsiaTheme="minorEastAsia"/>
        </w:rPr>
        <w:t>27 (1992) 237-239.</w:t>
      </w:r>
      <w:proofErr w:type="gramEnd"/>
      <w:r w:rsidRPr="00A8530C">
        <w:rPr>
          <w:rFonts w:eastAsiaTheme="minorEastAsia"/>
        </w:rPr>
        <w:t xml:space="preserve"> </w:t>
      </w:r>
    </w:p>
    <w:p w14:paraId="45668B5F" w14:textId="7C08C6C0" w:rsidR="00261E9B" w:rsidRPr="00D10A13" w:rsidRDefault="00261E9B" w:rsidP="00261E9B">
      <w:pPr>
        <w:widowControl w:val="0"/>
        <w:autoSpaceDE w:val="0"/>
        <w:autoSpaceDN w:val="0"/>
        <w:adjustRightInd w:val="0"/>
        <w:ind w:left="720" w:hanging="720"/>
        <w:rPr>
          <w:rFonts w:cs="Times New Roman"/>
        </w:rPr>
      </w:pPr>
      <w:r>
        <w:rPr>
          <w:rFonts w:cs="Times New Roman"/>
        </w:rPr>
        <w:t xml:space="preserve">[9] </w:t>
      </w:r>
      <w:r w:rsidR="006A40FC">
        <w:rPr>
          <w:rFonts w:cs="Times New Roman"/>
        </w:rPr>
        <w:t>K. Grossman,</w:t>
      </w:r>
      <w:r w:rsidRPr="003F1BCF">
        <w:rPr>
          <w:rFonts w:cs="Times New Roman"/>
        </w:rPr>
        <w:t xml:space="preserve"> T. Ehrhardt, </w:t>
      </w:r>
      <w:proofErr w:type="gramStart"/>
      <w:r w:rsidRPr="003F1BCF">
        <w:rPr>
          <w:rFonts w:cs="Times New Roman"/>
        </w:rPr>
        <w:t>On</w:t>
      </w:r>
      <w:proofErr w:type="gramEnd"/>
      <w:r w:rsidRPr="003F1BCF">
        <w:rPr>
          <w:rFonts w:cs="Times New Roman"/>
        </w:rPr>
        <w:t xml:space="preserve"> the mechanism of action and selectivity of the corn herbicide topramezone: a new inhibitor of hy</w:t>
      </w:r>
      <w:r>
        <w:rPr>
          <w:rFonts w:cs="Times New Roman"/>
        </w:rPr>
        <w:t>droxyphenylpyruvate dioxygenase,</w:t>
      </w:r>
      <w:r w:rsidR="00657755">
        <w:rPr>
          <w:rFonts w:cs="Times New Roman"/>
        </w:rPr>
        <w:t xml:space="preserve"> Pest. Manag</w:t>
      </w:r>
      <w:r w:rsidR="008A3505">
        <w:rPr>
          <w:rFonts w:cs="Times New Roman"/>
        </w:rPr>
        <w:t>.</w:t>
      </w:r>
      <w:r w:rsidRPr="003F1BCF">
        <w:rPr>
          <w:rFonts w:cs="Times New Roman"/>
        </w:rPr>
        <w:t xml:space="preserve"> Sci. 63 (2007) 429-439.</w:t>
      </w:r>
    </w:p>
    <w:p w14:paraId="09FDA65D" w14:textId="77777777" w:rsidR="00261E9B" w:rsidRPr="00A8530C" w:rsidRDefault="00261E9B" w:rsidP="00261E9B">
      <w:pPr>
        <w:widowControl w:val="0"/>
        <w:autoSpaceDE w:val="0"/>
        <w:autoSpaceDN w:val="0"/>
        <w:adjustRightInd w:val="0"/>
        <w:ind w:left="720" w:hanging="720"/>
        <w:rPr>
          <w:rFonts w:cs="Times New Roman"/>
        </w:rPr>
      </w:pPr>
      <w:r>
        <w:rPr>
          <w:rFonts w:cs="Times New Roman"/>
        </w:rPr>
        <w:lastRenderedPageBreak/>
        <w:t xml:space="preserve">[10] </w:t>
      </w:r>
      <w:proofErr w:type="gramStart"/>
      <w:r>
        <w:rPr>
          <w:rFonts w:cs="Times New Roman"/>
        </w:rPr>
        <w:t>Anonymous,</w:t>
      </w:r>
      <w:r w:rsidRPr="00A8530C">
        <w:rPr>
          <w:rFonts w:cs="Times New Roman"/>
        </w:rPr>
        <w:t xml:space="preserve"> Pylex</w:t>
      </w:r>
      <w:r w:rsidRPr="00A8530C">
        <w:rPr>
          <w:rFonts w:cs="Times New Roman"/>
          <w:b/>
          <w:color w:val="000000"/>
        </w:rPr>
        <w:t>®</w:t>
      </w:r>
      <w:r>
        <w:rPr>
          <w:rFonts w:cs="Times New Roman"/>
        </w:rPr>
        <w:t xml:space="preserve"> product label,</w:t>
      </w:r>
      <w:r w:rsidRPr="00A8530C">
        <w:rPr>
          <w:rFonts w:cs="Times New Roman"/>
        </w:rPr>
        <w:t xml:space="preserve"> BASF Corp. Publication No. 007969-00327.20130213.</w:t>
      </w:r>
      <w:proofErr w:type="gramEnd"/>
      <w:r w:rsidRPr="00A8530C">
        <w:rPr>
          <w:rFonts w:cs="Times New Roman"/>
        </w:rPr>
        <w:t xml:space="preserve"> NVA 2013-04-382-0030. Research Triangle Park, NC: </w:t>
      </w:r>
      <w:r>
        <w:rPr>
          <w:rFonts w:cs="Times New Roman"/>
        </w:rPr>
        <w:t xml:space="preserve">(2013) </w:t>
      </w:r>
      <w:r w:rsidRPr="00A8530C">
        <w:rPr>
          <w:rFonts w:cs="Times New Roman"/>
        </w:rPr>
        <w:t>10 p</w:t>
      </w:r>
    </w:p>
    <w:p w14:paraId="62E3F202" w14:textId="77777777" w:rsidR="00261E9B" w:rsidRDefault="00261E9B" w:rsidP="00261E9B">
      <w:pPr>
        <w:widowControl w:val="0"/>
        <w:autoSpaceDE w:val="0"/>
        <w:autoSpaceDN w:val="0"/>
        <w:adjustRightInd w:val="0"/>
        <w:ind w:left="720" w:hanging="720"/>
        <w:rPr>
          <w:rFonts w:cs="Times New Roman"/>
        </w:rPr>
      </w:pPr>
      <w:r>
        <w:rPr>
          <w:rFonts w:cs="Times New Roman"/>
        </w:rPr>
        <w:t xml:space="preserve">[11] </w:t>
      </w:r>
      <w:proofErr w:type="gramStart"/>
      <w:r w:rsidRPr="00A8530C">
        <w:rPr>
          <w:rFonts w:cs="Times New Roman"/>
        </w:rPr>
        <w:t>J.T. Brosnan, G.K. Breeden, Bermudagrass (</w:t>
      </w:r>
      <w:r w:rsidRPr="00A8530C">
        <w:rPr>
          <w:rFonts w:cs="Times New Roman"/>
          <w:i/>
        </w:rPr>
        <w:t>Cynodon dactlylon</w:t>
      </w:r>
      <w:r w:rsidRPr="00A8530C">
        <w:rPr>
          <w:rFonts w:cs="Times New Roman"/>
        </w:rPr>
        <w:t>) control with topramezone and triclopyr, Weed Technol. 27 (2013) 138-142.</w:t>
      </w:r>
      <w:proofErr w:type="gramEnd"/>
    </w:p>
    <w:p w14:paraId="5DC827B8" w14:textId="0EECB131" w:rsidR="00261E9B" w:rsidRDefault="00261E9B" w:rsidP="00261E9B">
      <w:pPr>
        <w:widowControl w:val="0"/>
        <w:autoSpaceDE w:val="0"/>
        <w:autoSpaceDN w:val="0"/>
        <w:adjustRightInd w:val="0"/>
        <w:ind w:left="630" w:hanging="630"/>
        <w:rPr>
          <w:rFonts w:cs="Times New Roman"/>
        </w:rPr>
      </w:pPr>
      <w:r>
        <w:rPr>
          <w:rFonts w:cs="Times New Roman"/>
        </w:rPr>
        <w:t xml:space="preserve">[12] </w:t>
      </w:r>
      <w:r w:rsidRPr="0086407E">
        <w:rPr>
          <w:rFonts w:cs="Times New Roman"/>
        </w:rPr>
        <w:t>M.T.</w:t>
      </w:r>
      <w:r w:rsidR="0057749A">
        <w:rPr>
          <w:rFonts w:cs="Times New Roman"/>
        </w:rPr>
        <w:t xml:space="preserve"> </w:t>
      </w:r>
      <w:r w:rsidRPr="0086407E">
        <w:rPr>
          <w:rFonts w:cs="Times New Roman"/>
        </w:rPr>
        <w:t>Elmore, J.T. Brosnan, D.A. Kopsell, G.K. Breeden, Nitrogen-enhanced efficacy of mesotrione and topramezone for smooth crabgrass (</w:t>
      </w:r>
      <w:r w:rsidRPr="0086407E">
        <w:rPr>
          <w:rFonts w:cs="Times New Roman"/>
          <w:i/>
        </w:rPr>
        <w:t>Digitaria ischaemum</w:t>
      </w:r>
      <w:r w:rsidRPr="0086407E">
        <w:rPr>
          <w:rFonts w:cs="Times New Roman"/>
        </w:rPr>
        <w:t>) control, Weed Sci. 60 (2012) 480-485.</w:t>
      </w:r>
    </w:p>
    <w:p w14:paraId="62A89462" w14:textId="4880EF76" w:rsidR="00261E9B" w:rsidRPr="00A8530C" w:rsidRDefault="00261E9B" w:rsidP="00261E9B">
      <w:pPr>
        <w:pStyle w:val="Header"/>
        <w:tabs>
          <w:tab w:val="left" w:pos="270"/>
        </w:tabs>
        <w:ind w:left="720" w:hanging="720"/>
        <w:rPr>
          <w:rFonts w:eastAsiaTheme="minorEastAsia"/>
        </w:rPr>
      </w:pPr>
      <w:r>
        <w:rPr>
          <w:rFonts w:eastAsiaTheme="minorEastAsia"/>
        </w:rPr>
        <w:t xml:space="preserve">[13] </w:t>
      </w:r>
      <w:r w:rsidRPr="00A8530C">
        <w:rPr>
          <w:rFonts w:eastAsiaTheme="minorEastAsia"/>
        </w:rPr>
        <w:t>A. Smith, M. Cox, S.D. Askew, K. Miller, Topramezone for crabgrass and goosegrass control in cool season turf, Proc. South</w:t>
      </w:r>
      <w:r w:rsidR="001768EE">
        <w:rPr>
          <w:rFonts w:eastAsiaTheme="minorEastAsia"/>
        </w:rPr>
        <w:t>ern</w:t>
      </w:r>
      <w:r w:rsidRPr="00A8530C">
        <w:rPr>
          <w:rFonts w:eastAsiaTheme="minorEastAsia"/>
        </w:rPr>
        <w:t xml:space="preserve"> Weed Sci. Soc. 66 (2013) 3.</w:t>
      </w:r>
    </w:p>
    <w:p w14:paraId="78516BEF" w14:textId="77777777" w:rsidR="00261E9B" w:rsidRPr="00D10A13" w:rsidRDefault="00261E9B" w:rsidP="00261E9B">
      <w:pPr>
        <w:pStyle w:val="Header"/>
        <w:tabs>
          <w:tab w:val="left" w:pos="270"/>
        </w:tabs>
        <w:ind w:left="720" w:hanging="720"/>
        <w:rPr>
          <w:rFonts w:eastAsiaTheme="minorEastAsia"/>
        </w:rPr>
      </w:pPr>
      <w:r>
        <w:rPr>
          <w:rFonts w:eastAsiaTheme="minorEastAsia"/>
        </w:rPr>
        <w:t>[14] K.A. Venner, S.D. Askew, M.C. Cox, Creeping bentgrass response to topramezone, Proc. Northeastern Weed Sci. Soc. (2014) (</w:t>
      </w:r>
      <w:r w:rsidRPr="00896892">
        <w:rPr>
          <w:rFonts w:eastAsiaTheme="minorEastAsia"/>
          <w:i/>
        </w:rPr>
        <w:t>In press</w:t>
      </w:r>
      <w:r>
        <w:rPr>
          <w:rFonts w:eastAsiaTheme="minorEastAsia"/>
        </w:rPr>
        <w:t>)</w:t>
      </w:r>
    </w:p>
    <w:p w14:paraId="66A6A516" w14:textId="77777777" w:rsidR="00261E9B" w:rsidRPr="0086407E" w:rsidRDefault="00261E9B" w:rsidP="00261E9B">
      <w:pPr>
        <w:widowControl w:val="0"/>
        <w:tabs>
          <w:tab w:val="left" w:pos="90"/>
        </w:tabs>
        <w:autoSpaceDE w:val="0"/>
        <w:autoSpaceDN w:val="0"/>
        <w:adjustRightInd w:val="0"/>
        <w:ind w:left="720" w:hanging="720"/>
        <w:rPr>
          <w:rFonts w:cs="Times New Roman"/>
        </w:rPr>
      </w:pPr>
      <w:r>
        <w:rPr>
          <w:rFonts w:cs="Times New Roman"/>
        </w:rPr>
        <w:t xml:space="preserve">[15] </w:t>
      </w:r>
      <w:r w:rsidRPr="0086407E">
        <w:rPr>
          <w:rFonts w:cs="Times New Roman"/>
        </w:rPr>
        <w:t>M.T. Elmore, J.T. Brosnan, G.R. Armel, J.J. Vargas, G.K. Breeden</w:t>
      </w:r>
      <w:r>
        <w:rPr>
          <w:rFonts w:cs="Times New Roman"/>
        </w:rPr>
        <w:t xml:space="preserve">, </w:t>
      </w:r>
      <w:r w:rsidRPr="0086407E">
        <w:rPr>
          <w:rFonts w:cs="Times New Roman"/>
        </w:rPr>
        <w:t xml:space="preserve">Herbicide safeners increase creeping bentgrass tolerance to topramezone. Weed Technol. </w:t>
      </w:r>
      <w:r>
        <w:rPr>
          <w:rFonts w:cs="Times New Roman"/>
        </w:rPr>
        <w:t>(</w:t>
      </w:r>
      <w:r w:rsidRPr="0086407E">
        <w:rPr>
          <w:rFonts w:cs="Times New Roman"/>
        </w:rPr>
        <w:t>2014</w:t>
      </w:r>
      <w:r>
        <w:rPr>
          <w:rFonts w:cs="Times New Roman"/>
        </w:rPr>
        <w:t xml:space="preserve">) </w:t>
      </w:r>
      <w:r w:rsidRPr="0086407E">
        <w:rPr>
          <w:rFonts w:cs="Times New Roman"/>
        </w:rPr>
        <w:t>(</w:t>
      </w:r>
      <w:r>
        <w:rPr>
          <w:rFonts w:cs="Times New Roman"/>
          <w:i/>
        </w:rPr>
        <w:t>S</w:t>
      </w:r>
      <w:r w:rsidRPr="0086407E">
        <w:rPr>
          <w:rFonts w:cs="Times New Roman"/>
          <w:i/>
        </w:rPr>
        <w:t>ubmitted</w:t>
      </w:r>
      <w:r w:rsidRPr="0086407E">
        <w:rPr>
          <w:rFonts w:cs="Times New Roman"/>
        </w:rPr>
        <w:t>).</w:t>
      </w:r>
    </w:p>
    <w:p w14:paraId="2218212C" w14:textId="77777777" w:rsidR="00261E9B" w:rsidRDefault="00261E9B" w:rsidP="00261E9B">
      <w:pPr>
        <w:widowControl w:val="0"/>
        <w:autoSpaceDE w:val="0"/>
        <w:autoSpaceDN w:val="0"/>
        <w:adjustRightInd w:val="0"/>
        <w:ind w:left="720" w:hanging="720"/>
        <w:rPr>
          <w:rFonts w:cs="Times New Roman"/>
        </w:rPr>
      </w:pPr>
      <w:r>
        <w:rPr>
          <w:rFonts w:cs="Times New Roman"/>
        </w:rPr>
        <w:t xml:space="preserve">[16] </w:t>
      </w:r>
      <w:r w:rsidRPr="00A8530C">
        <w:rPr>
          <w:rFonts w:cs="Times New Roman"/>
        </w:rPr>
        <w:t>K.K. Hatzios, N. Burgos, Metabolism-based herbicide resistance: regulation by safeners, Weed Sci. 52 (2004) 454-467</w:t>
      </w:r>
      <w:r>
        <w:rPr>
          <w:rFonts w:cs="Times New Roman"/>
        </w:rPr>
        <w:t>.</w:t>
      </w:r>
    </w:p>
    <w:p w14:paraId="12BD6935" w14:textId="2C27A465" w:rsidR="00261E9B" w:rsidRPr="00D10A13" w:rsidRDefault="00261E9B" w:rsidP="00261E9B">
      <w:pPr>
        <w:ind w:left="720" w:hanging="720"/>
        <w:rPr>
          <w:rFonts w:cs="Times New Roman"/>
          <w:iCs/>
        </w:rPr>
      </w:pPr>
      <w:r>
        <w:rPr>
          <w:rFonts w:cs="Times New Roman"/>
        </w:rPr>
        <w:t>[17] C. Chapple,</w:t>
      </w:r>
      <w:r w:rsidRPr="00A8530C">
        <w:rPr>
          <w:rFonts w:cs="Times New Roman"/>
        </w:rPr>
        <w:t xml:space="preserve"> Molecular-genetic analysis of plant cytochrome P450-dependent </w:t>
      </w:r>
      <w:r w:rsidR="00904173">
        <w:rPr>
          <w:rFonts w:cs="Times New Roman"/>
        </w:rPr>
        <w:t>monooxygenase</w:t>
      </w:r>
      <w:r w:rsidRPr="00A8530C">
        <w:rPr>
          <w:rFonts w:cs="Times New Roman"/>
        </w:rPr>
        <w:t>s</w:t>
      </w:r>
      <w:r>
        <w:rPr>
          <w:rFonts w:cs="Times New Roman"/>
        </w:rPr>
        <w:t>,</w:t>
      </w:r>
      <w:r w:rsidRPr="00A8530C">
        <w:rPr>
          <w:rFonts w:cs="Times New Roman"/>
        </w:rPr>
        <w:t xml:space="preserve"> </w:t>
      </w:r>
      <w:r w:rsidRPr="00A8530C">
        <w:rPr>
          <w:rFonts w:cs="Times New Roman"/>
          <w:iCs/>
        </w:rPr>
        <w:t>Annu. Rev. Plant Physiol. Plant Mol. Biol. 49 (1998) 311–343.</w:t>
      </w:r>
    </w:p>
    <w:p w14:paraId="0779D007" w14:textId="77777777" w:rsidR="00261E9B" w:rsidRDefault="00261E9B" w:rsidP="00261E9B">
      <w:pPr>
        <w:widowControl w:val="0"/>
        <w:autoSpaceDE w:val="0"/>
        <w:autoSpaceDN w:val="0"/>
        <w:adjustRightInd w:val="0"/>
        <w:ind w:left="720" w:hanging="720"/>
        <w:rPr>
          <w:rFonts w:cs="Times New Roman"/>
        </w:rPr>
      </w:pPr>
      <w:r>
        <w:rPr>
          <w:rFonts w:cs="Times New Roman"/>
        </w:rPr>
        <w:t xml:space="preserve">[18] </w:t>
      </w:r>
      <w:r w:rsidRPr="00A8530C">
        <w:rPr>
          <w:rFonts w:cs="Times New Roman"/>
        </w:rPr>
        <w:t>J. Davies, J.C. Caseley, Herbicide safeners: a review, Pestic Sci. 55 (1999)</w:t>
      </w:r>
      <w:r>
        <w:rPr>
          <w:rFonts w:cs="Times New Roman"/>
        </w:rPr>
        <w:t xml:space="preserve"> </w:t>
      </w:r>
      <w:r w:rsidRPr="00A8530C">
        <w:rPr>
          <w:rFonts w:cs="Times New Roman"/>
        </w:rPr>
        <w:t>1043-1058.</w:t>
      </w:r>
    </w:p>
    <w:p w14:paraId="672E51BD" w14:textId="7EF71E69" w:rsidR="00261E9B" w:rsidRPr="00D10A13" w:rsidRDefault="00261E9B" w:rsidP="00261E9B">
      <w:pPr>
        <w:pStyle w:val="Header"/>
        <w:tabs>
          <w:tab w:val="left" w:pos="270"/>
        </w:tabs>
        <w:ind w:left="720" w:hanging="720"/>
        <w:rPr>
          <w:rFonts w:eastAsiaTheme="minorEastAsia"/>
        </w:rPr>
      </w:pPr>
      <w:r>
        <w:rPr>
          <w:rFonts w:eastAsiaTheme="minorEastAsia"/>
        </w:rPr>
        <w:t>[19] K. Kreuz, R. Tommasini, E. Martinoia, Old enzymes for a new job: Herbicide detoxification in plants, Plant Physiol</w:t>
      </w:r>
      <w:r w:rsidR="0077532F">
        <w:rPr>
          <w:rFonts w:eastAsiaTheme="minorEastAsia"/>
        </w:rPr>
        <w:t>.</w:t>
      </w:r>
      <w:r>
        <w:rPr>
          <w:rFonts w:eastAsiaTheme="minorEastAsia"/>
        </w:rPr>
        <w:t xml:space="preserve"> 111 (1996) 349-353.</w:t>
      </w:r>
    </w:p>
    <w:p w14:paraId="7702BE83" w14:textId="77777777" w:rsidR="00261E9B" w:rsidRDefault="00261E9B" w:rsidP="00261E9B">
      <w:pPr>
        <w:widowControl w:val="0"/>
        <w:autoSpaceDE w:val="0"/>
        <w:autoSpaceDN w:val="0"/>
        <w:adjustRightInd w:val="0"/>
        <w:ind w:left="720" w:hanging="720"/>
        <w:rPr>
          <w:rFonts w:cs="Times New Roman"/>
          <w:bCs/>
        </w:rPr>
      </w:pPr>
      <w:r>
        <w:rPr>
          <w:rFonts w:cs="Times New Roman"/>
        </w:rPr>
        <w:t xml:space="preserve">[20] </w:t>
      </w:r>
      <w:r w:rsidRPr="00A8530C">
        <w:rPr>
          <w:rFonts w:cs="Times New Roman"/>
        </w:rPr>
        <w:t xml:space="preserve">M.M. Williams II, J.K. Pataky, </w:t>
      </w:r>
      <w:r w:rsidRPr="00A8530C">
        <w:rPr>
          <w:rFonts w:cs="Times New Roman"/>
          <w:bCs/>
        </w:rPr>
        <w:t xml:space="preserve">Factors </w:t>
      </w:r>
      <w:r w:rsidR="00205FC7">
        <w:rPr>
          <w:rFonts w:cs="Times New Roman"/>
          <w:bCs/>
        </w:rPr>
        <w:t>a</w:t>
      </w:r>
      <w:r w:rsidRPr="00A8530C">
        <w:rPr>
          <w:rFonts w:cs="Times New Roman"/>
          <w:bCs/>
        </w:rPr>
        <w:t xml:space="preserve">ffecting </w:t>
      </w:r>
      <w:r w:rsidR="00205FC7">
        <w:rPr>
          <w:rFonts w:cs="Times New Roman"/>
          <w:bCs/>
        </w:rPr>
        <w:t>d</w:t>
      </w:r>
      <w:r w:rsidRPr="00A8530C">
        <w:rPr>
          <w:rFonts w:cs="Times New Roman"/>
          <w:bCs/>
        </w:rPr>
        <w:t xml:space="preserve">ifferential </w:t>
      </w:r>
      <w:r w:rsidR="00205FC7">
        <w:rPr>
          <w:rFonts w:cs="Times New Roman"/>
          <w:bCs/>
        </w:rPr>
        <w:t>s</w:t>
      </w:r>
      <w:r w:rsidRPr="00A8530C">
        <w:rPr>
          <w:rFonts w:cs="Times New Roman"/>
          <w:bCs/>
        </w:rPr>
        <w:t xml:space="preserve">ensitivity of </w:t>
      </w:r>
      <w:r w:rsidR="00205FC7">
        <w:rPr>
          <w:rFonts w:cs="Times New Roman"/>
          <w:bCs/>
        </w:rPr>
        <w:t>s</w:t>
      </w:r>
      <w:r w:rsidRPr="00A8530C">
        <w:rPr>
          <w:rFonts w:cs="Times New Roman"/>
          <w:bCs/>
        </w:rPr>
        <w:t xml:space="preserve">weet </w:t>
      </w:r>
      <w:r w:rsidR="00205FC7">
        <w:rPr>
          <w:rFonts w:cs="Times New Roman"/>
          <w:bCs/>
        </w:rPr>
        <w:t>c</w:t>
      </w:r>
      <w:r w:rsidRPr="00A8530C">
        <w:rPr>
          <w:rFonts w:cs="Times New Roman"/>
          <w:bCs/>
        </w:rPr>
        <w:t>orn to HPPD-</w:t>
      </w:r>
      <w:r w:rsidR="00205FC7">
        <w:rPr>
          <w:rFonts w:cs="Times New Roman"/>
          <w:bCs/>
        </w:rPr>
        <w:t>i</w:t>
      </w:r>
      <w:r w:rsidRPr="00A8530C">
        <w:rPr>
          <w:rFonts w:cs="Times New Roman"/>
          <w:bCs/>
        </w:rPr>
        <w:t xml:space="preserve">nhibiting </w:t>
      </w:r>
      <w:r w:rsidR="00205FC7">
        <w:rPr>
          <w:rFonts w:cs="Times New Roman"/>
          <w:bCs/>
        </w:rPr>
        <w:t>h</w:t>
      </w:r>
      <w:r w:rsidRPr="00A8530C">
        <w:rPr>
          <w:rFonts w:cs="Times New Roman"/>
          <w:bCs/>
        </w:rPr>
        <w:t>erbicides, Weed Sci. 58 (2010) 289-294.</w:t>
      </w:r>
    </w:p>
    <w:p w14:paraId="3F539549" w14:textId="5E2B5F64" w:rsidR="00261E9B" w:rsidRPr="0086407E" w:rsidRDefault="00261E9B" w:rsidP="00261E9B">
      <w:pPr>
        <w:autoSpaceDE w:val="0"/>
        <w:autoSpaceDN w:val="0"/>
        <w:adjustRightInd w:val="0"/>
        <w:ind w:left="720" w:hanging="720"/>
        <w:rPr>
          <w:rFonts w:cs="Times New Roman"/>
        </w:rPr>
      </w:pPr>
      <w:r>
        <w:rPr>
          <w:rFonts w:cs="Times New Roman"/>
        </w:rPr>
        <w:lastRenderedPageBreak/>
        <w:t xml:space="preserve">[21] </w:t>
      </w:r>
      <w:r w:rsidRPr="0086407E">
        <w:rPr>
          <w:rFonts w:cs="Times New Roman"/>
        </w:rPr>
        <w:t>G. Mitchell, D.W. Bartlett, T.E.M</w:t>
      </w:r>
      <w:r w:rsidR="006A40FC">
        <w:rPr>
          <w:rFonts w:cs="Times New Roman"/>
        </w:rPr>
        <w:t>.</w:t>
      </w:r>
      <w:r w:rsidRPr="0086407E">
        <w:rPr>
          <w:rFonts w:cs="Times New Roman"/>
        </w:rPr>
        <w:t xml:space="preserve"> Fraser, T.R. Hawkes, D.C. Holt, J.K. Townson, R.A. Wichert, Mesotrione: a new selective herbicid</w:t>
      </w:r>
      <w:r w:rsidR="001768EE">
        <w:rPr>
          <w:rFonts w:cs="Times New Roman"/>
        </w:rPr>
        <w:t>e f</w:t>
      </w:r>
      <w:r w:rsidR="008A3505">
        <w:rPr>
          <w:rFonts w:cs="Times New Roman"/>
        </w:rPr>
        <w:t>or use in maize, Pest Manag.</w:t>
      </w:r>
      <w:r w:rsidRPr="0086407E">
        <w:rPr>
          <w:rFonts w:cs="Times New Roman"/>
        </w:rPr>
        <w:t xml:space="preserve"> </w:t>
      </w:r>
      <w:proofErr w:type="gramStart"/>
      <w:r w:rsidRPr="0086407E">
        <w:rPr>
          <w:rFonts w:cs="Times New Roman"/>
        </w:rPr>
        <w:t>Sci. 57 (2001) 120-128.</w:t>
      </w:r>
      <w:proofErr w:type="gramEnd"/>
    </w:p>
    <w:p w14:paraId="0492E85E" w14:textId="77777777" w:rsidR="00261E9B" w:rsidRDefault="00261E9B" w:rsidP="00261E9B">
      <w:pPr>
        <w:pStyle w:val="Header"/>
        <w:tabs>
          <w:tab w:val="left" w:pos="270"/>
        </w:tabs>
        <w:ind w:left="720" w:hanging="720"/>
        <w:rPr>
          <w:rFonts w:eastAsiaTheme="minorEastAsia"/>
        </w:rPr>
      </w:pPr>
      <w:r>
        <w:rPr>
          <w:rFonts w:eastAsiaTheme="minorEastAsia"/>
        </w:rPr>
        <w:t>[22] K. Kreuz, J. Gaudin, J. Stingelin, E. Ebert, Metabolism of the aryloxyphenoxypropionate herbicide, CGA 184927 in wheat, barley and maize: differential effects of the safener, CGA 185072, Zeitschrift fur Naturforschung. Section C, Biosciences 46, (1991) 901-905.</w:t>
      </w:r>
    </w:p>
    <w:p w14:paraId="12E8FF45" w14:textId="77777777" w:rsidR="00261E9B" w:rsidRDefault="00261E9B" w:rsidP="00261E9B">
      <w:pPr>
        <w:pStyle w:val="Header"/>
        <w:tabs>
          <w:tab w:val="left" w:pos="270"/>
        </w:tabs>
        <w:ind w:left="720" w:hanging="720"/>
        <w:rPr>
          <w:rFonts w:eastAsiaTheme="minorEastAsia"/>
        </w:rPr>
      </w:pPr>
      <w:r>
        <w:rPr>
          <w:rFonts w:eastAsiaTheme="minorEastAsia"/>
        </w:rPr>
        <w:t xml:space="preserve">[23] </w:t>
      </w:r>
      <w:r w:rsidRPr="00A8530C">
        <w:rPr>
          <w:rFonts w:eastAsiaTheme="minorEastAsia"/>
        </w:rPr>
        <w:t xml:space="preserve">V.L. Taylor, I. Cummings, M. Brazier-Hicks, R. Edwards, Protective responses induced by herbicide safeners in wheat, Environ. </w:t>
      </w:r>
      <w:proofErr w:type="gramStart"/>
      <w:r w:rsidRPr="00A8530C">
        <w:rPr>
          <w:rFonts w:eastAsiaTheme="minorEastAsia"/>
        </w:rPr>
        <w:t>Exp. Bot. 88 (2013) 93-99.</w:t>
      </w:r>
      <w:proofErr w:type="gramEnd"/>
    </w:p>
    <w:p w14:paraId="0F95B87C" w14:textId="55F2BC80" w:rsidR="00261E9B" w:rsidRPr="00A8530C" w:rsidRDefault="00261E9B" w:rsidP="00261E9B">
      <w:pPr>
        <w:widowControl w:val="0"/>
        <w:autoSpaceDE w:val="0"/>
        <w:autoSpaceDN w:val="0"/>
        <w:adjustRightInd w:val="0"/>
        <w:ind w:left="720" w:hanging="720"/>
        <w:rPr>
          <w:rFonts w:cs="Times New Roman"/>
        </w:rPr>
      </w:pPr>
      <w:r>
        <w:rPr>
          <w:rFonts w:cs="Times New Roman"/>
        </w:rPr>
        <w:t xml:space="preserve">[24] </w:t>
      </w:r>
      <w:proofErr w:type="gramStart"/>
      <w:r w:rsidRPr="00A8530C">
        <w:rPr>
          <w:rFonts w:cs="Times New Roman"/>
        </w:rPr>
        <w:t>M. Brazier, D.J. Cole, R. Edwards, O-Glucosyltransferase activities toward phenolic natural products and xenobiotics in wheat and herbicide-resistant and herbicide susceptible black-grass (</w:t>
      </w:r>
      <w:r w:rsidRPr="00A8530C">
        <w:rPr>
          <w:rFonts w:cs="Times New Roman"/>
          <w:i/>
        </w:rPr>
        <w:t>Alopecurus myosuroides</w:t>
      </w:r>
      <w:r w:rsidR="006A40FC">
        <w:rPr>
          <w:rFonts w:cs="Times New Roman"/>
        </w:rPr>
        <w:t>), Phytochem.</w:t>
      </w:r>
      <w:proofErr w:type="gramEnd"/>
      <w:r w:rsidRPr="00A8530C">
        <w:rPr>
          <w:rFonts w:cs="Times New Roman"/>
        </w:rPr>
        <w:t xml:space="preserve"> </w:t>
      </w:r>
      <w:proofErr w:type="gramStart"/>
      <w:r w:rsidRPr="00A8530C">
        <w:rPr>
          <w:rFonts w:cs="Times New Roman"/>
        </w:rPr>
        <w:t>59 (2002) 149-156.</w:t>
      </w:r>
      <w:proofErr w:type="gramEnd"/>
    </w:p>
    <w:p w14:paraId="7DD32C48" w14:textId="2928F33B" w:rsidR="00261E9B" w:rsidRDefault="00261E9B" w:rsidP="00261E9B">
      <w:pPr>
        <w:pStyle w:val="Header"/>
        <w:ind w:left="720" w:hanging="720"/>
      </w:pPr>
      <w:r>
        <w:t xml:space="preserve">[25] D. Werck-Reichart, </w:t>
      </w:r>
      <w:r w:rsidRPr="009A600E">
        <w:t>A. Hehn</w:t>
      </w:r>
      <w:r>
        <w:t>,</w:t>
      </w:r>
      <w:r w:rsidRPr="009A600E">
        <w:t xml:space="preserve"> L.</w:t>
      </w:r>
      <w:r>
        <w:t xml:space="preserve"> Didierjean,</w:t>
      </w:r>
      <w:r w:rsidRPr="009A600E">
        <w:t xml:space="preserve"> Cytochromes P450 for engineering herbi</w:t>
      </w:r>
      <w:r>
        <w:t>cide tolerance,</w:t>
      </w:r>
      <w:r w:rsidRPr="009A600E">
        <w:t xml:space="preserve"> Trends in Plant Sci. 5</w:t>
      </w:r>
      <w:r>
        <w:t xml:space="preserve"> (2000) </w:t>
      </w:r>
      <w:r w:rsidRPr="009A600E">
        <w:t>116-123</w:t>
      </w:r>
      <w:r>
        <w:t>.</w:t>
      </w:r>
    </w:p>
    <w:p w14:paraId="2956D20D" w14:textId="2F02F49A" w:rsidR="00261E9B" w:rsidRDefault="00261E9B" w:rsidP="00261E9B">
      <w:pPr>
        <w:widowControl w:val="0"/>
        <w:autoSpaceDE w:val="0"/>
        <w:autoSpaceDN w:val="0"/>
        <w:adjustRightInd w:val="0"/>
        <w:ind w:left="720" w:hanging="720"/>
        <w:rPr>
          <w:rFonts w:cs="Times New Roman"/>
          <w:bCs/>
        </w:rPr>
      </w:pPr>
      <w:r>
        <w:rPr>
          <w:rFonts w:cs="Times New Roman"/>
          <w:bCs/>
        </w:rPr>
        <w:t xml:space="preserve">[26] </w:t>
      </w:r>
      <w:r w:rsidR="006A40FC">
        <w:rPr>
          <w:rFonts w:cs="Times New Roman"/>
          <w:bCs/>
        </w:rPr>
        <w:t>D.S. Frear, H.R. Swanson,</w:t>
      </w:r>
      <w:r w:rsidRPr="00BC3D5A">
        <w:rPr>
          <w:rFonts w:cs="Times New Roman"/>
          <w:bCs/>
        </w:rPr>
        <w:t xml:space="preserve"> F.S. Tanaka, </w:t>
      </w:r>
      <w:proofErr w:type="gramStart"/>
      <w:r w:rsidRPr="00BC3D5A">
        <w:rPr>
          <w:rFonts w:cs="Times New Roman"/>
          <w:bCs/>
        </w:rPr>
        <w:t>N-demethylation of substituted 3-(phenyl)-1-1</w:t>
      </w:r>
      <w:r>
        <w:rPr>
          <w:rFonts w:cs="Times New Roman"/>
          <w:bCs/>
        </w:rPr>
        <w:t>-</w:t>
      </w:r>
      <w:r w:rsidR="003420F7">
        <w:rPr>
          <w:rFonts w:cs="Times New Roman"/>
          <w:bCs/>
        </w:rPr>
        <w:t>methylureas</w:t>
      </w:r>
      <w:proofErr w:type="gramEnd"/>
      <w:r w:rsidR="003420F7">
        <w:rPr>
          <w:rFonts w:cs="Times New Roman"/>
          <w:bCs/>
        </w:rPr>
        <w:t>: isol</w:t>
      </w:r>
      <w:r w:rsidRPr="00BC3D5A">
        <w:rPr>
          <w:rFonts w:cs="Times New Roman"/>
          <w:bCs/>
        </w:rPr>
        <w:t>ation and characterization of the microsomal mixed function oxidase from cotton</w:t>
      </w:r>
      <w:r>
        <w:rPr>
          <w:rFonts w:cs="Times New Roman"/>
          <w:bCs/>
        </w:rPr>
        <w:t>,</w:t>
      </w:r>
      <w:r w:rsidR="003420F7">
        <w:rPr>
          <w:rFonts w:cs="Times New Roman"/>
          <w:bCs/>
        </w:rPr>
        <w:t xml:space="preserve"> Phytochem.</w:t>
      </w:r>
      <w:r w:rsidRPr="00BC3D5A">
        <w:rPr>
          <w:rFonts w:cs="Times New Roman"/>
          <w:bCs/>
        </w:rPr>
        <w:t xml:space="preserve"> </w:t>
      </w:r>
      <w:proofErr w:type="gramStart"/>
      <w:r w:rsidRPr="00BC3D5A">
        <w:rPr>
          <w:rFonts w:cs="Times New Roman"/>
          <w:bCs/>
        </w:rPr>
        <w:t>8 (1969) 2157-2169.</w:t>
      </w:r>
      <w:proofErr w:type="gramEnd"/>
    </w:p>
    <w:p w14:paraId="02C4F4FF" w14:textId="6D353C36" w:rsidR="00261E9B" w:rsidRDefault="00261E9B" w:rsidP="00261E9B">
      <w:pPr>
        <w:pStyle w:val="Header"/>
        <w:tabs>
          <w:tab w:val="left" w:pos="270"/>
        </w:tabs>
        <w:ind w:left="720" w:hanging="720"/>
        <w:rPr>
          <w:rFonts w:eastAsiaTheme="minorEastAsia"/>
        </w:rPr>
      </w:pPr>
      <w:r>
        <w:rPr>
          <w:rFonts w:eastAsiaTheme="minorEastAsia"/>
        </w:rPr>
        <w:t>[27] P. Gaill</w:t>
      </w:r>
      <w:r w:rsidR="006A40FC">
        <w:rPr>
          <w:rFonts w:eastAsiaTheme="minorEastAsia"/>
        </w:rPr>
        <w:t>ardon, F. Cabanne, R. Scalla,</w:t>
      </w:r>
      <w:r>
        <w:rPr>
          <w:rFonts w:eastAsiaTheme="minorEastAsia"/>
        </w:rPr>
        <w:t xml:space="preserve"> F. Durst, Effect of mixed function oxidase inhibitors on the toxicity of chlortoluron and isoproturon to wheat, Weed Res. 25 (1985) 397-402.</w:t>
      </w:r>
    </w:p>
    <w:p w14:paraId="58F79DEC" w14:textId="77777777" w:rsidR="00261E9B" w:rsidRPr="00A8530C" w:rsidRDefault="00261E9B" w:rsidP="00261E9B">
      <w:pPr>
        <w:ind w:left="720" w:hanging="720"/>
        <w:rPr>
          <w:rFonts w:cs="Times New Roman"/>
        </w:rPr>
      </w:pPr>
      <w:r>
        <w:rPr>
          <w:rFonts w:cs="Times New Roman"/>
        </w:rPr>
        <w:t xml:space="preserve">[28] </w:t>
      </w:r>
      <w:proofErr w:type="gramStart"/>
      <w:r w:rsidRPr="00A8530C">
        <w:rPr>
          <w:rFonts w:cs="Times New Roman"/>
        </w:rPr>
        <w:t>J. Menendez, F. Bastida, R. dePrado, Resistance to chlorotoluron in a downy brome (</w:t>
      </w:r>
      <w:r w:rsidRPr="00A8530C">
        <w:rPr>
          <w:rFonts w:cs="Times New Roman"/>
          <w:i/>
        </w:rPr>
        <w:t>Bromus tectorum</w:t>
      </w:r>
      <w:r>
        <w:rPr>
          <w:rFonts w:cs="Times New Roman"/>
        </w:rPr>
        <w:t>) biotype, Weed Sci.</w:t>
      </w:r>
      <w:r w:rsidRPr="00A8530C">
        <w:rPr>
          <w:rFonts w:cs="Times New Roman"/>
        </w:rPr>
        <w:t xml:space="preserve"> 54 (2006) 237-245.</w:t>
      </w:r>
      <w:proofErr w:type="gramEnd"/>
    </w:p>
    <w:p w14:paraId="2E7244EC" w14:textId="5F8C2CBF" w:rsidR="00261E9B" w:rsidRPr="00EF4523" w:rsidRDefault="00261E9B" w:rsidP="00261E9B">
      <w:pPr>
        <w:pStyle w:val="Header"/>
        <w:tabs>
          <w:tab w:val="left" w:pos="270"/>
        </w:tabs>
        <w:ind w:left="720" w:hanging="720"/>
        <w:rPr>
          <w:rFonts w:eastAsiaTheme="minorEastAsia"/>
        </w:rPr>
      </w:pPr>
      <w:r>
        <w:rPr>
          <w:rFonts w:eastAsiaTheme="minorEastAsia"/>
        </w:rPr>
        <w:t>[29] C. Preston, F</w:t>
      </w:r>
      <w:r w:rsidR="006A40FC">
        <w:rPr>
          <w:rFonts w:eastAsiaTheme="minorEastAsia"/>
        </w:rPr>
        <w:t>.J. Tardif, J.T. Christopher,</w:t>
      </w:r>
      <w:r>
        <w:rPr>
          <w:rFonts w:eastAsiaTheme="minorEastAsia"/>
        </w:rPr>
        <w:t xml:space="preserve"> S.B. Powles, Multiple resistance to dissimilar herbicide chemistries in a biotype of </w:t>
      </w:r>
      <w:r>
        <w:rPr>
          <w:rFonts w:eastAsiaTheme="minorEastAsia"/>
          <w:i/>
        </w:rPr>
        <w:t>Lolium rigidum</w:t>
      </w:r>
      <w:r>
        <w:rPr>
          <w:rFonts w:eastAsiaTheme="minorEastAsia"/>
        </w:rPr>
        <w:t xml:space="preserve"> due to enhanced activity of several herbicide degrading enzymes, Pestic. Biochem. </w:t>
      </w:r>
      <w:proofErr w:type="gramStart"/>
      <w:r>
        <w:rPr>
          <w:rFonts w:eastAsiaTheme="minorEastAsia"/>
        </w:rPr>
        <w:t>and</w:t>
      </w:r>
      <w:proofErr w:type="gramEnd"/>
      <w:r>
        <w:rPr>
          <w:rFonts w:eastAsiaTheme="minorEastAsia"/>
        </w:rPr>
        <w:t xml:space="preserve"> Physiol. 54 (1996) 123-134.</w:t>
      </w:r>
    </w:p>
    <w:p w14:paraId="70CAE893" w14:textId="7967440E" w:rsidR="00261E9B" w:rsidRPr="0086407E" w:rsidRDefault="00261E9B" w:rsidP="00261E9B">
      <w:pPr>
        <w:widowControl w:val="0"/>
        <w:autoSpaceDE w:val="0"/>
        <w:autoSpaceDN w:val="0"/>
        <w:adjustRightInd w:val="0"/>
        <w:ind w:left="720" w:hanging="720"/>
        <w:rPr>
          <w:rFonts w:cs="Times New Roman"/>
        </w:rPr>
      </w:pPr>
      <w:r>
        <w:rPr>
          <w:rFonts w:cs="Times New Roman"/>
        </w:rPr>
        <w:lastRenderedPageBreak/>
        <w:t xml:space="preserve">[30] </w:t>
      </w:r>
      <w:r w:rsidRPr="0086407E">
        <w:rPr>
          <w:rFonts w:cs="Times New Roman"/>
        </w:rPr>
        <w:t>F. Cabanne, D. Huby, P. Gaillardon, R. S</w:t>
      </w:r>
      <w:r w:rsidR="006A40FC">
        <w:rPr>
          <w:rFonts w:cs="Times New Roman"/>
        </w:rPr>
        <w:t>call,</w:t>
      </w:r>
      <w:r w:rsidRPr="0086407E">
        <w:rPr>
          <w:rFonts w:cs="Times New Roman"/>
        </w:rPr>
        <w:t xml:space="preserve"> F. Durst, Effect of the </w:t>
      </w:r>
      <w:r w:rsidR="00205FC7">
        <w:rPr>
          <w:rFonts w:cs="Times New Roman"/>
        </w:rPr>
        <w:t>c</w:t>
      </w:r>
      <w:r w:rsidRPr="0086407E">
        <w:rPr>
          <w:rFonts w:cs="Times New Roman"/>
        </w:rPr>
        <w:t>ytochrome P-450 inactivator 1-</w:t>
      </w:r>
      <w:r w:rsidR="00205FC7">
        <w:rPr>
          <w:rFonts w:cs="Times New Roman"/>
        </w:rPr>
        <w:t>a</w:t>
      </w:r>
      <w:r w:rsidRPr="0086407E">
        <w:rPr>
          <w:rFonts w:cs="Times New Roman"/>
        </w:rPr>
        <w:t xml:space="preserve">minobenzotriazole on the </w:t>
      </w:r>
      <w:r w:rsidR="00205FC7">
        <w:rPr>
          <w:rFonts w:cs="Times New Roman"/>
        </w:rPr>
        <w:t>m</w:t>
      </w:r>
      <w:r w:rsidRPr="0086407E">
        <w:rPr>
          <w:rFonts w:cs="Times New Roman"/>
        </w:rPr>
        <w:t xml:space="preserve">etabolism of </w:t>
      </w:r>
      <w:r w:rsidR="00CD5E79">
        <w:rPr>
          <w:rFonts w:cs="Times New Roman"/>
        </w:rPr>
        <w:t>c</w:t>
      </w:r>
      <w:r w:rsidRPr="0086407E">
        <w:rPr>
          <w:rFonts w:cs="Times New Roman"/>
        </w:rPr>
        <w:t xml:space="preserve">hlortoluron and </w:t>
      </w:r>
      <w:r w:rsidR="00CD5E79">
        <w:rPr>
          <w:rFonts w:cs="Times New Roman"/>
        </w:rPr>
        <w:t>i</w:t>
      </w:r>
      <w:r w:rsidRPr="0086407E">
        <w:rPr>
          <w:rFonts w:cs="Times New Roman"/>
        </w:rPr>
        <w:t xml:space="preserve">soproturon in </w:t>
      </w:r>
      <w:r w:rsidR="00CD5E79">
        <w:rPr>
          <w:rFonts w:cs="Times New Roman"/>
        </w:rPr>
        <w:t>w</w:t>
      </w:r>
      <w:r w:rsidRPr="0086407E">
        <w:rPr>
          <w:rFonts w:cs="Times New Roman"/>
        </w:rPr>
        <w:t xml:space="preserve">heat, Pestic. Biochem. </w:t>
      </w:r>
      <w:proofErr w:type="gramStart"/>
      <w:r w:rsidRPr="0086407E">
        <w:rPr>
          <w:rFonts w:cs="Times New Roman"/>
        </w:rPr>
        <w:t>and</w:t>
      </w:r>
      <w:proofErr w:type="gramEnd"/>
      <w:r w:rsidRPr="0086407E">
        <w:rPr>
          <w:rFonts w:cs="Times New Roman"/>
        </w:rPr>
        <w:t xml:space="preserve"> Physiol. 28 (1987) 371-380.</w:t>
      </w:r>
    </w:p>
    <w:p w14:paraId="33493D40" w14:textId="77777777" w:rsidR="00261E9B" w:rsidRDefault="00261E9B" w:rsidP="00261E9B">
      <w:pPr>
        <w:pStyle w:val="sourcetitle"/>
        <w:spacing w:before="0" w:beforeAutospacing="0" w:after="0" w:afterAutospacing="0"/>
        <w:ind w:left="720" w:hanging="720"/>
        <w:rPr>
          <w:rFonts w:ascii="Times New Roman" w:hAnsi="Times New Roman" w:cs="Times New Roman"/>
          <w:sz w:val="24"/>
          <w:szCs w:val="24"/>
        </w:rPr>
      </w:pPr>
      <w:r>
        <w:rPr>
          <w:rFonts w:ascii="Times New Roman" w:hAnsi="Times New Roman" w:cs="Times New Roman"/>
          <w:sz w:val="24"/>
          <w:szCs w:val="24"/>
        </w:rPr>
        <w:t>[31] F. Thies, T. Backhaus, B. Bossman, L.H. Grimme, Xenobiotic biotransformation in unicellular green algae, Plant Physiol. 112 (1996) 361-370.</w:t>
      </w:r>
    </w:p>
    <w:p w14:paraId="1BBF7ED1" w14:textId="76AC978F" w:rsidR="00261E9B" w:rsidRPr="00C10A6E" w:rsidRDefault="00261E9B" w:rsidP="00261E9B">
      <w:pPr>
        <w:widowControl w:val="0"/>
        <w:autoSpaceDE w:val="0"/>
        <w:autoSpaceDN w:val="0"/>
        <w:adjustRightInd w:val="0"/>
        <w:ind w:left="720" w:hanging="720"/>
        <w:rPr>
          <w:rFonts w:cs="Times New Roman"/>
          <w:bCs/>
        </w:rPr>
      </w:pPr>
      <w:r>
        <w:rPr>
          <w:rFonts w:cs="Times New Roman"/>
          <w:bCs/>
        </w:rPr>
        <w:t>[32] H.J. Beckie,</w:t>
      </w:r>
      <w:r w:rsidR="006A40FC">
        <w:rPr>
          <w:rFonts w:cs="Times New Roman"/>
          <w:bCs/>
        </w:rPr>
        <w:t xml:space="preserve"> S.I. Warwick,</w:t>
      </w:r>
      <w:r w:rsidR="003420F7">
        <w:rPr>
          <w:rFonts w:cs="Times New Roman"/>
          <w:bCs/>
        </w:rPr>
        <w:t xml:space="preserve"> C.A. Sauder, B</w:t>
      </w:r>
      <w:r>
        <w:rPr>
          <w:rFonts w:cs="Times New Roman"/>
          <w:bCs/>
        </w:rPr>
        <w:t xml:space="preserve">asis for herbicide resistance in Canadian </w:t>
      </w:r>
      <w:r w:rsidRPr="00C10A6E">
        <w:rPr>
          <w:rFonts w:cs="Times New Roman"/>
          <w:bCs/>
        </w:rPr>
        <w:t>populations of wild oat (</w:t>
      </w:r>
      <w:r w:rsidRPr="00C10A6E">
        <w:rPr>
          <w:rFonts w:cs="Times New Roman"/>
          <w:bCs/>
          <w:i/>
          <w:iCs/>
        </w:rPr>
        <w:t>Avena fatua</w:t>
      </w:r>
      <w:r>
        <w:rPr>
          <w:rFonts w:cs="Times New Roman"/>
          <w:bCs/>
        </w:rPr>
        <w:t>),</w:t>
      </w:r>
      <w:r w:rsidRPr="00C10A6E">
        <w:rPr>
          <w:rFonts w:cs="Times New Roman"/>
          <w:bCs/>
        </w:rPr>
        <w:t xml:space="preserve"> Weed Sci. 60 (2012) 10-18.</w:t>
      </w:r>
    </w:p>
    <w:p w14:paraId="1C70E51B" w14:textId="520EEFB5" w:rsidR="00261E9B" w:rsidRDefault="00261E9B" w:rsidP="00261E9B">
      <w:pPr>
        <w:widowControl w:val="0"/>
        <w:autoSpaceDE w:val="0"/>
        <w:autoSpaceDN w:val="0"/>
        <w:adjustRightInd w:val="0"/>
        <w:ind w:left="720" w:hanging="720"/>
        <w:rPr>
          <w:rFonts w:cs="Times New Roman"/>
          <w:bCs/>
        </w:rPr>
      </w:pPr>
      <w:r>
        <w:rPr>
          <w:rFonts w:cs="Times New Roman"/>
          <w:bCs/>
        </w:rPr>
        <w:t>[33] M. Kaspar, M.</w:t>
      </w:r>
      <w:r w:rsidR="006A40FC">
        <w:rPr>
          <w:rFonts w:cs="Times New Roman"/>
          <w:bCs/>
        </w:rPr>
        <w:t xml:space="preserve"> Gandana, A. Leon,</w:t>
      </w:r>
      <w:r>
        <w:rPr>
          <w:rFonts w:cs="Times New Roman"/>
          <w:bCs/>
        </w:rPr>
        <w:t xml:space="preserve"> A. Zambelli, Selection of a sunflower line with multiple herbicide tolerance that is r</w:t>
      </w:r>
      <w:r w:rsidRPr="00C10A6E">
        <w:rPr>
          <w:rFonts w:cs="Times New Roman"/>
          <w:bCs/>
        </w:rPr>
        <w:t>eversed</w:t>
      </w:r>
      <w:r>
        <w:rPr>
          <w:rFonts w:cs="Times New Roman"/>
          <w:bCs/>
        </w:rPr>
        <w:t xml:space="preserve"> </w:t>
      </w:r>
      <w:r w:rsidRPr="00C10A6E">
        <w:rPr>
          <w:rFonts w:cs="Times New Roman"/>
          <w:bCs/>
        </w:rPr>
        <w:t>by</w:t>
      </w:r>
      <w:r>
        <w:rPr>
          <w:rFonts w:cs="Times New Roman"/>
          <w:bCs/>
        </w:rPr>
        <w:t xml:space="preserve"> the P450 inhibitor m</w:t>
      </w:r>
      <w:r w:rsidRPr="00C10A6E">
        <w:rPr>
          <w:rFonts w:cs="Times New Roman"/>
          <w:bCs/>
        </w:rPr>
        <w:t>alathion</w:t>
      </w:r>
      <w:r>
        <w:rPr>
          <w:rFonts w:cs="Times New Roman"/>
          <w:bCs/>
        </w:rPr>
        <w:t>, Weed Sci. 59 (2011) 232-237.</w:t>
      </w:r>
    </w:p>
    <w:p w14:paraId="3211F3BB" w14:textId="77777777" w:rsidR="00261E9B" w:rsidRPr="00C10A6E" w:rsidRDefault="00261E9B" w:rsidP="00261E9B">
      <w:pPr>
        <w:widowControl w:val="0"/>
        <w:autoSpaceDE w:val="0"/>
        <w:autoSpaceDN w:val="0"/>
        <w:adjustRightInd w:val="0"/>
        <w:ind w:left="720" w:hanging="720"/>
        <w:rPr>
          <w:rFonts w:cs="Times New Roman"/>
        </w:rPr>
      </w:pPr>
      <w:r>
        <w:rPr>
          <w:rFonts w:cs="Times New Roman"/>
        </w:rPr>
        <w:t xml:space="preserve">[34] H. Yasuor, M.D. Osuna, A. Ortiz, N.E. Saldaı´n, J.W. Eckert and A.J. Fischer, </w:t>
      </w:r>
      <w:r w:rsidRPr="00C10A6E">
        <w:rPr>
          <w:rFonts w:cs="Times New Roman"/>
        </w:rPr>
        <w:t>Mechanism of resistance to penoxsulam in late watergrass [</w:t>
      </w:r>
      <w:r w:rsidRPr="00C10A6E">
        <w:rPr>
          <w:rFonts w:cs="Times New Roman"/>
          <w:i/>
        </w:rPr>
        <w:t>Echinochloa</w:t>
      </w:r>
      <w:r>
        <w:rPr>
          <w:rFonts w:cs="Times New Roman"/>
        </w:rPr>
        <w:t xml:space="preserve"> </w:t>
      </w:r>
      <w:r w:rsidRPr="00C10A6E">
        <w:rPr>
          <w:rFonts w:cs="Times New Roman"/>
          <w:i/>
        </w:rPr>
        <w:t xml:space="preserve">phyllopogon </w:t>
      </w:r>
      <w:r w:rsidRPr="00C10A6E">
        <w:rPr>
          <w:rFonts w:cs="Times New Roman"/>
        </w:rPr>
        <w:t xml:space="preserve">(Stapf) </w:t>
      </w:r>
      <w:r>
        <w:rPr>
          <w:rFonts w:cs="Times New Roman"/>
        </w:rPr>
        <w:t xml:space="preserve">Koss.], J. Agric. Food Chem. 57 (2009) </w:t>
      </w:r>
      <w:r w:rsidRPr="00C10A6E">
        <w:rPr>
          <w:rFonts w:cs="Times New Roman"/>
        </w:rPr>
        <w:t>3653–3660.</w:t>
      </w:r>
      <w:r w:rsidRPr="00C10A6E">
        <w:rPr>
          <w:rFonts w:cs="Times New Roman"/>
          <w:bCs/>
        </w:rPr>
        <w:t xml:space="preserve"> </w:t>
      </w:r>
    </w:p>
    <w:p w14:paraId="75C02C3D" w14:textId="2FD6B1D8" w:rsidR="00261E9B" w:rsidRPr="00C10A6E" w:rsidRDefault="00261E9B" w:rsidP="00261E9B">
      <w:pPr>
        <w:widowControl w:val="0"/>
        <w:autoSpaceDE w:val="0"/>
        <w:autoSpaceDN w:val="0"/>
        <w:adjustRightInd w:val="0"/>
        <w:ind w:left="720" w:hanging="720"/>
        <w:rPr>
          <w:rFonts w:cs="Times New Roman"/>
        </w:rPr>
      </w:pPr>
      <w:r>
        <w:rPr>
          <w:rFonts w:cs="Times New Roman"/>
        </w:rPr>
        <w:t>[35] K. Ohba, M. Minoura,</w:t>
      </w:r>
      <w:r w:rsidR="006A40FC">
        <w:rPr>
          <w:rFonts w:cs="Times New Roman"/>
        </w:rPr>
        <w:t xml:space="preserve"> M.M. Safarpour, G.L. Picard,</w:t>
      </w:r>
      <w:r>
        <w:rPr>
          <w:rFonts w:cs="Times New Roman"/>
        </w:rPr>
        <w:t xml:space="preserve"> H. Safarpour, </w:t>
      </w:r>
      <w:r w:rsidRPr="00C10A6E">
        <w:rPr>
          <w:rFonts w:cs="Times New Roman"/>
        </w:rPr>
        <w:t xml:space="preserve">Method for the determination of imazamox and its two </w:t>
      </w:r>
      <w:r>
        <w:rPr>
          <w:rFonts w:cs="Times New Roman"/>
        </w:rPr>
        <w:t xml:space="preserve">hydroxyl </w:t>
      </w:r>
      <w:r w:rsidRPr="00C10A6E">
        <w:rPr>
          <w:rFonts w:cs="Times New Roman"/>
        </w:rPr>
        <w:t>and glucose conjugate metabolites in adzuki bea</w:t>
      </w:r>
      <w:r>
        <w:rPr>
          <w:rFonts w:cs="Times New Roman"/>
        </w:rPr>
        <w:t xml:space="preserve">ns by capillary electrophoresis, </w:t>
      </w:r>
      <w:r w:rsidRPr="00C10A6E">
        <w:rPr>
          <w:rFonts w:cs="Times New Roman"/>
        </w:rPr>
        <w:t xml:space="preserve">Pestic. </w:t>
      </w:r>
      <w:r>
        <w:rPr>
          <w:rFonts w:cs="Times New Roman"/>
        </w:rPr>
        <w:t xml:space="preserve">Sci. 22 (1997) </w:t>
      </w:r>
      <w:r w:rsidRPr="00C10A6E">
        <w:rPr>
          <w:rFonts w:cs="Times New Roman"/>
        </w:rPr>
        <w:t>277–281.</w:t>
      </w:r>
      <w:r w:rsidRPr="00C10A6E">
        <w:rPr>
          <w:rFonts w:cs="Times New Roman"/>
          <w:bCs/>
        </w:rPr>
        <w:t xml:space="preserve"> </w:t>
      </w:r>
    </w:p>
    <w:p w14:paraId="686E2229" w14:textId="4F5EE185" w:rsidR="00261E9B" w:rsidRPr="00A8530C" w:rsidRDefault="00261E9B" w:rsidP="00261E9B">
      <w:pPr>
        <w:widowControl w:val="0"/>
        <w:autoSpaceDE w:val="0"/>
        <w:autoSpaceDN w:val="0"/>
        <w:adjustRightInd w:val="0"/>
        <w:ind w:left="720" w:hanging="720"/>
        <w:rPr>
          <w:rFonts w:cs="Times New Roman"/>
          <w:bCs/>
        </w:rPr>
      </w:pPr>
      <w:r>
        <w:rPr>
          <w:rFonts w:cs="Times New Roman"/>
        </w:rPr>
        <w:t xml:space="preserve">[36] </w:t>
      </w:r>
      <w:r w:rsidRPr="00C10A6E">
        <w:rPr>
          <w:rFonts w:cs="Times New Roman"/>
        </w:rPr>
        <w:t>M.D. Osuna, F. Vidotto, A. J. Fische</w:t>
      </w:r>
      <w:r w:rsidR="006A40FC">
        <w:rPr>
          <w:rFonts w:cs="Times New Roman"/>
        </w:rPr>
        <w:t>r, D. E. Bayer, R. De Prado,</w:t>
      </w:r>
      <w:r w:rsidRPr="00C10A6E">
        <w:rPr>
          <w:rFonts w:cs="Times New Roman"/>
        </w:rPr>
        <w:t xml:space="preserve"> A. Ferrero, Cross-resi</w:t>
      </w:r>
      <w:r>
        <w:rPr>
          <w:rFonts w:cs="Times New Roman"/>
        </w:rPr>
        <w:t xml:space="preserve">stance to bispyribac-sodium and </w:t>
      </w:r>
      <w:r w:rsidRPr="00C10A6E">
        <w:rPr>
          <w:rFonts w:cs="Times New Roman"/>
        </w:rPr>
        <w:t xml:space="preserve">bensulfuron-methyl in </w:t>
      </w:r>
      <w:r w:rsidRPr="00C10A6E">
        <w:rPr>
          <w:rFonts w:cs="Times New Roman"/>
          <w:i/>
        </w:rPr>
        <w:t>Echinochloa phyllopogon</w:t>
      </w:r>
      <w:r w:rsidRPr="00C10A6E">
        <w:rPr>
          <w:rFonts w:cs="Times New Roman"/>
        </w:rPr>
        <w:t xml:space="preserve"> and</w:t>
      </w:r>
      <w:r>
        <w:rPr>
          <w:rFonts w:cs="Times New Roman"/>
        </w:rPr>
        <w:t xml:space="preserve"> </w:t>
      </w:r>
      <w:r w:rsidRPr="00C10A6E">
        <w:rPr>
          <w:rFonts w:cs="Times New Roman"/>
          <w:i/>
        </w:rPr>
        <w:t>Cyperus difformis</w:t>
      </w:r>
      <w:r>
        <w:rPr>
          <w:rFonts w:cs="Times New Roman"/>
        </w:rPr>
        <w:t>,</w:t>
      </w:r>
      <w:r w:rsidRPr="00C10A6E">
        <w:rPr>
          <w:rFonts w:cs="Times New Roman"/>
          <w:bCs/>
          <w:i/>
        </w:rPr>
        <w:t xml:space="preserve"> </w:t>
      </w:r>
      <w:r w:rsidRPr="00C10A6E">
        <w:rPr>
          <w:rFonts w:cs="Times New Roman"/>
          <w:bCs/>
        </w:rPr>
        <w:t>Pestic</w:t>
      </w:r>
      <w:r w:rsidR="006A40FC">
        <w:rPr>
          <w:rFonts w:cs="Times New Roman"/>
          <w:bCs/>
        </w:rPr>
        <w:t>.</w:t>
      </w:r>
      <w:r w:rsidRPr="00C10A6E">
        <w:rPr>
          <w:rFonts w:cs="Times New Roman"/>
          <w:bCs/>
        </w:rPr>
        <w:t xml:space="preserve"> Biochem</w:t>
      </w:r>
      <w:r w:rsidR="006A40FC">
        <w:rPr>
          <w:rFonts w:cs="Times New Roman"/>
          <w:bCs/>
        </w:rPr>
        <w:t>.</w:t>
      </w:r>
      <w:r w:rsidRPr="00C10A6E">
        <w:rPr>
          <w:rFonts w:cs="Times New Roman"/>
          <w:bCs/>
        </w:rPr>
        <w:t xml:space="preserve"> and Physiol. 73 (2002) 9-17.</w:t>
      </w:r>
    </w:p>
    <w:p w14:paraId="64215E6D" w14:textId="77777777" w:rsidR="00261E9B" w:rsidRDefault="00261E9B" w:rsidP="00261E9B">
      <w:pPr>
        <w:ind w:left="720" w:hanging="720"/>
        <w:rPr>
          <w:rFonts w:cs="Times New Roman"/>
        </w:rPr>
      </w:pPr>
      <w:r>
        <w:rPr>
          <w:rFonts w:cs="Times New Roman"/>
        </w:rPr>
        <w:t xml:space="preserve">[37] </w:t>
      </w:r>
      <w:r w:rsidRPr="00A8530C">
        <w:rPr>
          <w:rFonts w:cs="Times New Roman"/>
        </w:rPr>
        <w:t>D.R. Hoagland, D.I. Arnon, The water culture method for growing plants without soil, Circ. 347. California Agric. Exp. Stn., Berkeley, CA. </w:t>
      </w:r>
      <w:r>
        <w:rPr>
          <w:rFonts w:cs="Times New Roman"/>
        </w:rPr>
        <w:t>(</w:t>
      </w:r>
      <w:r w:rsidRPr="00A8530C">
        <w:rPr>
          <w:rFonts w:cs="Times New Roman"/>
        </w:rPr>
        <w:t>1950</w:t>
      </w:r>
      <w:r>
        <w:rPr>
          <w:rFonts w:cs="Times New Roman"/>
        </w:rPr>
        <w:t>)</w:t>
      </w:r>
      <w:r w:rsidRPr="00A8530C">
        <w:rPr>
          <w:rFonts w:cs="Times New Roman"/>
        </w:rPr>
        <w:t>.</w:t>
      </w:r>
    </w:p>
    <w:p w14:paraId="2DFE1011" w14:textId="0EDFD15F" w:rsidR="00E426EC" w:rsidRPr="00E426EC" w:rsidRDefault="00261E9B" w:rsidP="00261E9B">
      <w:pPr>
        <w:pStyle w:val="BodyText"/>
        <w:widowControl/>
        <w:tabs>
          <w:tab w:val="left" w:pos="810"/>
        </w:tabs>
        <w:ind w:left="720" w:hanging="720"/>
        <w:jc w:val="left"/>
        <w:rPr>
          <w:rFonts w:eastAsia="Times New Roman"/>
          <w:sz w:val="24"/>
          <w:szCs w:val="24"/>
        </w:rPr>
      </w:pPr>
      <w:r w:rsidRPr="00E426EC">
        <w:rPr>
          <w:rFonts w:eastAsia="Times New Roman"/>
          <w:sz w:val="24"/>
          <w:szCs w:val="24"/>
        </w:rPr>
        <w:lastRenderedPageBreak/>
        <w:t xml:space="preserve">[38] </w:t>
      </w:r>
      <w:r w:rsidR="006A40FC">
        <w:rPr>
          <w:sz w:val="24"/>
          <w:szCs w:val="24"/>
        </w:rPr>
        <w:t>J.T. Christopher, C. Preston,</w:t>
      </w:r>
      <w:r w:rsidR="00E426EC" w:rsidRPr="00E426EC">
        <w:rPr>
          <w:sz w:val="24"/>
          <w:szCs w:val="24"/>
        </w:rPr>
        <w:t xml:space="preserve"> S.B. Powles, Malathion antagonizes metabolism-based chlorsulfuron resistance in </w:t>
      </w:r>
      <w:r w:rsidR="00E426EC" w:rsidRPr="00E426EC">
        <w:rPr>
          <w:i/>
          <w:sz w:val="24"/>
          <w:szCs w:val="24"/>
        </w:rPr>
        <w:t>Lolium ridgidum</w:t>
      </w:r>
      <w:r w:rsidR="00E426EC" w:rsidRPr="00E426EC">
        <w:rPr>
          <w:sz w:val="24"/>
          <w:szCs w:val="24"/>
        </w:rPr>
        <w:t xml:space="preserve">, Pestic Biochem. </w:t>
      </w:r>
      <w:proofErr w:type="gramStart"/>
      <w:r w:rsidR="00E426EC" w:rsidRPr="00E426EC">
        <w:rPr>
          <w:sz w:val="24"/>
          <w:szCs w:val="24"/>
        </w:rPr>
        <w:t>Physiol. 49 (1994) 172-182.</w:t>
      </w:r>
      <w:proofErr w:type="gramEnd"/>
    </w:p>
    <w:p w14:paraId="6F306C23" w14:textId="3681AA2F" w:rsidR="00261E9B" w:rsidRDefault="00E426EC" w:rsidP="00261E9B">
      <w:pPr>
        <w:pStyle w:val="BodyText"/>
        <w:widowControl/>
        <w:tabs>
          <w:tab w:val="left" w:pos="810"/>
        </w:tabs>
        <w:ind w:left="720" w:hanging="720"/>
        <w:jc w:val="left"/>
        <w:rPr>
          <w:rFonts w:eastAsia="Times New Roman"/>
          <w:sz w:val="24"/>
          <w:szCs w:val="24"/>
        </w:rPr>
      </w:pPr>
      <w:r>
        <w:rPr>
          <w:rFonts w:eastAsia="Times New Roman"/>
          <w:sz w:val="24"/>
          <w:szCs w:val="24"/>
        </w:rPr>
        <w:t xml:space="preserve">[39] </w:t>
      </w:r>
      <w:r w:rsidR="00261E9B" w:rsidRPr="00A8530C">
        <w:rPr>
          <w:rFonts w:eastAsia="Times New Roman"/>
          <w:sz w:val="24"/>
          <w:szCs w:val="24"/>
        </w:rPr>
        <w:t>M.W.M</w:t>
      </w:r>
      <w:r w:rsidR="00AE6387">
        <w:rPr>
          <w:rFonts w:eastAsia="Times New Roman"/>
          <w:sz w:val="24"/>
          <w:szCs w:val="24"/>
        </w:rPr>
        <w:t>.</w:t>
      </w:r>
      <w:r w:rsidR="00261E9B" w:rsidRPr="00A8530C">
        <w:rPr>
          <w:rFonts w:eastAsia="Times New Roman"/>
          <w:sz w:val="24"/>
          <w:szCs w:val="24"/>
        </w:rPr>
        <w:t xml:space="preserve"> Burnet, B.R. Love</w:t>
      </w:r>
      <w:r w:rsidR="00261E9B">
        <w:rPr>
          <w:rFonts w:eastAsia="Times New Roman"/>
          <w:sz w:val="24"/>
          <w:szCs w:val="24"/>
        </w:rPr>
        <w:t>ys, J.A.M</w:t>
      </w:r>
      <w:r w:rsidR="00AE6387">
        <w:rPr>
          <w:rFonts w:eastAsia="Times New Roman"/>
          <w:sz w:val="24"/>
          <w:szCs w:val="24"/>
        </w:rPr>
        <w:t>.</w:t>
      </w:r>
      <w:r w:rsidR="00261E9B">
        <w:rPr>
          <w:rFonts w:eastAsia="Times New Roman"/>
          <w:sz w:val="24"/>
          <w:szCs w:val="24"/>
        </w:rPr>
        <w:t xml:space="preserve"> Holtum, S.B. Powles, </w:t>
      </w:r>
      <w:r w:rsidR="00261E9B" w:rsidRPr="00A8530C">
        <w:rPr>
          <w:rFonts w:eastAsia="Times New Roman"/>
          <w:sz w:val="24"/>
          <w:szCs w:val="24"/>
        </w:rPr>
        <w:t xml:space="preserve">A mechanism of chlorotoluron resistance in </w:t>
      </w:r>
      <w:r w:rsidR="00261E9B" w:rsidRPr="00A8530C">
        <w:rPr>
          <w:rFonts w:eastAsia="Times New Roman"/>
          <w:i/>
          <w:sz w:val="24"/>
          <w:szCs w:val="24"/>
        </w:rPr>
        <w:t>Lolium rigidum</w:t>
      </w:r>
      <w:r w:rsidR="00261E9B" w:rsidRPr="00A8530C">
        <w:rPr>
          <w:rFonts w:eastAsia="Times New Roman"/>
          <w:sz w:val="24"/>
          <w:szCs w:val="24"/>
        </w:rPr>
        <w:t xml:space="preserve">, Planta 190 (1993) 182-189. </w:t>
      </w:r>
    </w:p>
    <w:p w14:paraId="45C2A6C2" w14:textId="79A3C4D3" w:rsidR="00261E9B" w:rsidRPr="00F0769A" w:rsidRDefault="00E426EC" w:rsidP="00261E9B">
      <w:pPr>
        <w:pStyle w:val="BodyText"/>
        <w:widowControl/>
        <w:tabs>
          <w:tab w:val="left" w:pos="810"/>
        </w:tabs>
        <w:ind w:left="720" w:hanging="720"/>
        <w:jc w:val="left"/>
        <w:rPr>
          <w:sz w:val="24"/>
          <w:szCs w:val="24"/>
        </w:rPr>
      </w:pPr>
      <w:r>
        <w:rPr>
          <w:rFonts w:eastAsia="Times New Roman"/>
          <w:sz w:val="24"/>
          <w:szCs w:val="24"/>
        </w:rPr>
        <w:t xml:space="preserve"> </w:t>
      </w:r>
      <w:r w:rsidR="00261E9B">
        <w:rPr>
          <w:rFonts w:eastAsia="Times New Roman"/>
          <w:sz w:val="24"/>
          <w:szCs w:val="24"/>
        </w:rPr>
        <w:t xml:space="preserve">[40] </w:t>
      </w:r>
      <w:r w:rsidR="00261E9B" w:rsidRPr="00A8530C">
        <w:rPr>
          <w:rFonts w:eastAsia="Times New Roman"/>
          <w:sz w:val="24"/>
          <w:szCs w:val="24"/>
        </w:rPr>
        <w:t xml:space="preserve">M.T. Elmore, J.T. Brosnan, D.A. Kopsell, G.K. Breeden, </w:t>
      </w:r>
      <w:r w:rsidR="003420F7">
        <w:rPr>
          <w:sz w:val="24"/>
          <w:szCs w:val="24"/>
        </w:rPr>
        <w:t>M</w:t>
      </w:r>
      <w:r w:rsidR="00261E9B" w:rsidRPr="00A8530C">
        <w:rPr>
          <w:sz w:val="24"/>
          <w:szCs w:val="24"/>
        </w:rPr>
        <w:t xml:space="preserve">ethods of </w:t>
      </w:r>
      <w:r w:rsidR="00205FC7">
        <w:rPr>
          <w:sz w:val="24"/>
          <w:szCs w:val="24"/>
        </w:rPr>
        <w:t>a</w:t>
      </w:r>
      <w:r w:rsidR="00261E9B" w:rsidRPr="00A8530C">
        <w:rPr>
          <w:sz w:val="24"/>
          <w:szCs w:val="24"/>
        </w:rPr>
        <w:t xml:space="preserve">ssessing </w:t>
      </w:r>
      <w:r w:rsidR="00205FC7">
        <w:rPr>
          <w:sz w:val="24"/>
          <w:szCs w:val="24"/>
        </w:rPr>
        <w:t>b</w:t>
      </w:r>
      <w:r w:rsidR="00261E9B" w:rsidRPr="00A8530C">
        <w:rPr>
          <w:sz w:val="24"/>
          <w:szCs w:val="24"/>
        </w:rPr>
        <w:t>ermudagrass (</w:t>
      </w:r>
      <w:r w:rsidR="00261E9B" w:rsidRPr="00A8530C">
        <w:rPr>
          <w:i/>
          <w:sz w:val="24"/>
          <w:szCs w:val="24"/>
        </w:rPr>
        <w:t>Cynodon dactylon</w:t>
      </w:r>
      <w:r w:rsidR="00261E9B" w:rsidRPr="00A8530C">
        <w:rPr>
          <w:sz w:val="24"/>
          <w:szCs w:val="24"/>
        </w:rPr>
        <w:t xml:space="preserve"> L.) </w:t>
      </w:r>
      <w:r w:rsidR="00205FC7">
        <w:rPr>
          <w:sz w:val="24"/>
          <w:szCs w:val="24"/>
        </w:rPr>
        <w:t>r</w:t>
      </w:r>
      <w:r w:rsidR="00261E9B" w:rsidRPr="00A8530C">
        <w:rPr>
          <w:sz w:val="24"/>
          <w:szCs w:val="24"/>
        </w:rPr>
        <w:t xml:space="preserve">esponses to HPPD </w:t>
      </w:r>
      <w:r w:rsidR="00205FC7">
        <w:rPr>
          <w:sz w:val="24"/>
          <w:szCs w:val="24"/>
        </w:rPr>
        <w:t>i</w:t>
      </w:r>
      <w:r w:rsidR="00261E9B" w:rsidRPr="00A8530C">
        <w:rPr>
          <w:sz w:val="24"/>
          <w:szCs w:val="24"/>
        </w:rPr>
        <w:t xml:space="preserve">nhibiting </w:t>
      </w:r>
      <w:r w:rsidR="00205FC7">
        <w:rPr>
          <w:sz w:val="24"/>
          <w:szCs w:val="24"/>
        </w:rPr>
        <w:t>h</w:t>
      </w:r>
      <w:r w:rsidR="00261E9B" w:rsidRPr="00A8530C">
        <w:rPr>
          <w:sz w:val="24"/>
          <w:szCs w:val="24"/>
        </w:rPr>
        <w:t>erbicides, Crop Sci. 51 (2011) 2840-2845.</w:t>
      </w:r>
    </w:p>
    <w:p w14:paraId="57843418" w14:textId="77777777" w:rsidR="00261E9B" w:rsidRPr="00A8530C" w:rsidRDefault="00261E9B" w:rsidP="00261E9B">
      <w:pPr>
        <w:autoSpaceDE w:val="0"/>
        <w:autoSpaceDN w:val="0"/>
        <w:adjustRightInd w:val="0"/>
        <w:ind w:left="720" w:hanging="720"/>
        <w:rPr>
          <w:rFonts w:cs="Times New Roman"/>
        </w:rPr>
      </w:pPr>
      <w:r>
        <w:rPr>
          <w:rFonts w:cs="Times New Roman"/>
          <w:bCs/>
        </w:rPr>
        <w:t xml:space="preserve">[41] </w:t>
      </w:r>
      <w:r w:rsidRPr="00A8530C">
        <w:rPr>
          <w:rFonts w:cs="Times New Roman"/>
          <w:bCs/>
        </w:rPr>
        <w:t>V. Kocurek</w:t>
      </w:r>
      <w:r>
        <w:rPr>
          <w:rFonts w:cs="Times New Roman"/>
          <w:bCs/>
        </w:rPr>
        <w:t>, V. Smutny, J. Filova,</w:t>
      </w:r>
      <w:r w:rsidRPr="00A8530C">
        <w:rPr>
          <w:rFonts w:cs="Times New Roman"/>
          <w:bCs/>
        </w:rPr>
        <w:t xml:space="preserve"> </w:t>
      </w:r>
      <w:r w:rsidRPr="00A8530C">
        <w:rPr>
          <w:rFonts w:cs="Times New Roman"/>
        </w:rPr>
        <w:t>Chlorophyll fluorescence as an instrument for the a</w:t>
      </w:r>
      <w:r>
        <w:rPr>
          <w:rFonts w:cs="Times New Roman"/>
        </w:rPr>
        <w:t>ssessment of herbicide efficacy,</w:t>
      </w:r>
      <w:r w:rsidRPr="00A8530C">
        <w:rPr>
          <w:rFonts w:cs="Times New Roman"/>
        </w:rPr>
        <w:t xml:space="preserve"> Cereal Res. Commun. </w:t>
      </w:r>
      <w:proofErr w:type="gramStart"/>
      <w:r w:rsidRPr="00A8530C">
        <w:rPr>
          <w:rFonts w:cs="Times New Roman"/>
        </w:rPr>
        <w:t>37 (2009) 289-292.</w:t>
      </w:r>
      <w:proofErr w:type="gramEnd"/>
    </w:p>
    <w:p w14:paraId="05CF71D6" w14:textId="77777777" w:rsidR="00261E9B" w:rsidRPr="00A8530C" w:rsidRDefault="00261E9B" w:rsidP="00261E9B">
      <w:pPr>
        <w:autoSpaceDE w:val="0"/>
        <w:autoSpaceDN w:val="0"/>
        <w:adjustRightInd w:val="0"/>
        <w:ind w:left="720" w:hanging="720"/>
        <w:rPr>
          <w:rFonts w:cs="Times New Roman"/>
        </w:rPr>
      </w:pPr>
      <w:r>
        <w:rPr>
          <w:rFonts w:cs="Times New Roman"/>
        </w:rPr>
        <w:t xml:space="preserve">[42] </w:t>
      </w:r>
      <w:proofErr w:type="gramStart"/>
      <w:r>
        <w:rPr>
          <w:rFonts w:cs="Times New Roman"/>
        </w:rPr>
        <w:t>K. Maxwell, G.N. Johnson,</w:t>
      </w:r>
      <w:r w:rsidRPr="00A8530C">
        <w:rPr>
          <w:rFonts w:cs="Times New Roman"/>
        </w:rPr>
        <w:t xml:space="preserve"> Chlorophyll fluorescence – a practical guid</w:t>
      </w:r>
      <w:r>
        <w:rPr>
          <w:rFonts w:cs="Times New Roman"/>
        </w:rPr>
        <w:t>e,</w:t>
      </w:r>
      <w:r w:rsidRPr="00A8530C">
        <w:rPr>
          <w:rFonts w:cs="Times New Roman"/>
        </w:rPr>
        <w:t xml:space="preserve"> J. Exp. Bot. 51 (2000) 659-668.</w:t>
      </w:r>
      <w:proofErr w:type="gramEnd"/>
    </w:p>
    <w:p w14:paraId="024ECE8D" w14:textId="77777777" w:rsidR="00261E9B" w:rsidRPr="00A8530C" w:rsidRDefault="00261E9B" w:rsidP="00261E9B">
      <w:pPr>
        <w:widowControl w:val="0"/>
        <w:autoSpaceDE w:val="0"/>
        <w:autoSpaceDN w:val="0"/>
        <w:adjustRightInd w:val="0"/>
        <w:ind w:left="720" w:hanging="720"/>
        <w:rPr>
          <w:rFonts w:cs="Times New Roman"/>
        </w:rPr>
      </w:pPr>
      <w:r>
        <w:rPr>
          <w:rFonts w:cs="Times New Roman"/>
        </w:rPr>
        <w:t xml:space="preserve">[43] </w:t>
      </w:r>
      <w:r w:rsidRPr="00A8530C">
        <w:rPr>
          <w:rFonts w:cs="Times New Roman"/>
        </w:rPr>
        <w:t>M.S. McIntosh, Analysis of combined experiments, Agron J. (1983) 75:153-155.</w:t>
      </w:r>
    </w:p>
    <w:p w14:paraId="2456A65B" w14:textId="441D846B" w:rsidR="00261E9B" w:rsidRDefault="00261E9B" w:rsidP="00261E9B">
      <w:pPr>
        <w:widowControl w:val="0"/>
        <w:autoSpaceDE w:val="0"/>
        <w:autoSpaceDN w:val="0"/>
        <w:adjustRightInd w:val="0"/>
        <w:ind w:left="720" w:hanging="720"/>
        <w:rPr>
          <w:rFonts w:cs="Times New Roman"/>
          <w:bCs/>
        </w:rPr>
      </w:pPr>
      <w:r>
        <w:rPr>
          <w:rFonts w:cs="Times New Roman"/>
          <w:bCs/>
        </w:rPr>
        <w:t xml:space="preserve">[44] </w:t>
      </w:r>
      <w:r w:rsidR="006A40FC">
        <w:rPr>
          <w:rFonts w:cs="Times New Roman"/>
          <w:bCs/>
        </w:rPr>
        <w:t>M.S. Yun, I.S. Shim,</w:t>
      </w:r>
      <w:r w:rsidRPr="00A71C40">
        <w:rPr>
          <w:rFonts w:cs="Times New Roman"/>
          <w:bCs/>
        </w:rPr>
        <w:t xml:space="preserve"> K. Usui, Involvement of cytochrome P-450 enzyme</w:t>
      </w:r>
      <w:r>
        <w:rPr>
          <w:rFonts w:cs="Times New Roman"/>
          <w:bCs/>
        </w:rPr>
        <w:t xml:space="preserve"> </w:t>
      </w:r>
      <w:r w:rsidRPr="00A71C40">
        <w:rPr>
          <w:rFonts w:cs="Times New Roman"/>
          <w:bCs/>
        </w:rPr>
        <w:t xml:space="preserve">activity in the </w:t>
      </w:r>
      <w:r>
        <w:rPr>
          <w:rFonts w:cs="Times New Roman"/>
          <w:bCs/>
        </w:rPr>
        <w:t xml:space="preserve">selectivity and safening action </w:t>
      </w:r>
      <w:r w:rsidRPr="00A71C40">
        <w:rPr>
          <w:rFonts w:cs="Times New Roman"/>
          <w:bCs/>
        </w:rPr>
        <w:t>of pyrazosulfuron-ethyl</w:t>
      </w:r>
      <w:r w:rsidR="00657755">
        <w:rPr>
          <w:rFonts w:cs="Times New Roman"/>
          <w:bCs/>
        </w:rPr>
        <w:t>, Pest. Manag</w:t>
      </w:r>
      <w:r>
        <w:rPr>
          <w:rFonts w:cs="Times New Roman"/>
          <w:bCs/>
        </w:rPr>
        <w:t xml:space="preserve">. </w:t>
      </w:r>
      <w:proofErr w:type="gramStart"/>
      <w:r>
        <w:rPr>
          <w:rFonts w:cs="Times New Roman"/>
          <w:bCs/>
        </w:rPr>
        <w:t>Sci. 57 (2001) 283-288.</w:t>
      </w:r>
      <w:proofErr w:type="gramEnd"/>
    </w:p>
    <w:p w14:paraId="2B38AE34" w14:textId="77777777" w:rsidR="003A1DC6" w:rsidRDefault="003A1DC6" w:rsidP="003A1DC6">
      <w:pPr>
        <w:pStyle w:val="Heading2"/>
      </w:pPr>
    </w:p>
    <w:p w14:paraId="387FD3C3" w14:textId="77777777" w:rsidR="003A1DC6" w:rsidRDefault="003A1DC6" w:rsidP="003A1DC6">
      <w:pPr>
        <w:pStyle w:val="Heading2"/>
      </w:pPr>
    </w:p>
    <w:p w14:paraId="1AEBB5A3" w14:textId="77777777" w:rsidR="003A1DC6" w:rsidRDefault="003A1DC6" w:rsidP="003A1DC6">
      <w:pPr>
        <w:pStyle w:val="Heading2"/>
      </w:pPr>
    </w:p>
    <w:p w14:paraId="03388BD9" w14:textId="77777777" w:rsidR="009C7681" w:rsidRDefault="009C7681" w:rsidP="009C7681"/>
    <w:p w14:paraId="2B59BD01" w14:textId="77777777" w:rsidR="009C7681" w:rsidRPr="009C7681" w:rsidRDefault="009C7681" w:rsidP="009C7681"/>
    <w:p w14:paraId="5FA3E0DD" w14:textId="77777777" w:rsidR="003A1DC6" w:rsidRDefault="003A1DC6" w:rsidP="003A1DC6">
      <w:pPr>
        <w:pStyle w:val="Heading2"/>
      </w:pPr>
    </w:p>
    <w:p w14:paraId="2CF67666" w14:textId="77777777" w:rsidR="003A1DC6" w:rsidRDefault="003A1DC6" w:rsidP="003A1DC6">
      <w:pPr>
        <w:pStyle w:val="Heading2"/>
      </w:pPr>
    </w:p>
    <w:p w14:paraId="2CB4998C" w14:textId="77777777" w:rsidR="009C7681" w:rsidRDefault="009C7681" w:rsidP="00DD14E8">
      <w:pPr>
        <w:pStyle w:val="Heading2"/>
      </w:pPr>
      <w:bookmarkStart w:id="114" w:name="_Toc264713579"/>
      <w:bookmarkStart w:id="115" w:name="_Toc264713628"/>
      <w:bookmarkStart w:id="116" w:name="_Toc264967202"/>
    </w:p>
    <w:p w14:paraId="27735399" w14:textId="77777777" w:rsidR="009C7681" w:rsidRDefault="009C7681" w:rsidP="00DD14E8">
      <w:pPr>
        <w:pStyle w:val="Heading2"/>
      </w:pPr>
    </w:p>
    <w:p w14:paraId="0E5ACFDB" w14:textId="77777777" w:rsidR="009C7681" w:rsidRDefault="009C7681" w:rsidP="00DD14E8">
      <w:pPr>
        <w:pStyle w:val="Heading2"/>
      </w:pPr>
    </w:p>
    <w:p w14:paraId="4CE4ABAC" w14:textId="77777777" w:rsidR="009C7681" w:rsidRDefault="009C7681" w:rsidP="00DD14E8">
      <w:pPr>
        <w:pStyle w:val="Heading2"/>
      </w:pPr>
    </w:p>
    <w:p w14:paraId="7B9AB847" w14:textId="77777777" w:rsidR="009C7681" w:rsidRDefault="009C7681" w:rsidP="00DD14E8">
      <w:pPr>
        <w:pStyle w:val="Heading2"/>
      </w:pPr>
    </w:p>
    <w:p w14:paraId="0628E10E" w14:textId="77777777" w:rsidR="003A1DC6" w:rsidRDefault="003A1DC6" w:rsidP="00DD14E8">
      <w:pPr>
        <w:pStyle w:val="Heading2"/>
      </w:pPr>
      <w:r>
        <w:t>APPENDIX</w:t>
      </w:r>
      <w:bookmarkStart w:id="117" w:name="_Toc264713580"/>
      <w:bookmarkStart w:id="118" w:name="_Toc264713629"/>
      <w:bookmarkEnd w:id="114"/>
      <w:bookmarkEnd w:id="115"/>
      <w:r w:rsidR="00DD14E8">
        <w:t xml:space="preserve"> </w:t>
      </w:r>
      <w:r w:rsidR="00DD14E8">
        <w:br/>
      </w:r>
      <w:r>
        <w:t>TABLES AND FIGURES</w:t>
      </w:r>
      <w:bookmarkEnd w:id="117"/>
      <w:bookmarkEnd w:id="118"/>
      <w:bookmarkEnd w:id="116"/>
    </w:p>
    <w:p w14:paraId="694E79D3" w14:textId="77777777" w:rsidR="00945F16" w:rsidRPr="00945F16" w:rsidRDefault="00945F16" w:rsidP="00945F16">
      <w:pPr>
        <w:widowControl w:val="0"/>
        <w:autoSpaceDE w:val="0"/>
        <w:autoSpaceDN w:val="0"/>
        <w:adjustRightInd w:val="0"/>
        <w:ind w:left="720" w:hanging="720"/>
        <w:rPr>
          <w:rFonts w:cs="Times New Roman"/>
          <w:bCs/>
        </w:rPr>
      </w:pPr>
      <w:r w:rsidRPr="00945F16">
        <w:rPr>
          <w:rFonts w:cs="Times New Roman"/>
          <w:bCs/>
          <w:i/>
        </w:rPr>
        <w:br w:type="page"/>
      </w:r>
    </w:p>
    <w:p w14:paraId="02A48626" w14:textId="77777777" w:rsidR="00945F16" w:rsidRPr="00945F16" w:rsidRDefault="00945F16" w:rsidP="00945F16">
      <w:pPr>
        <w:pStyle w:val="Header"/>
        <w:tabs>
          <w:tab w:val="left" w:pos="270"/>
        </w:tabs>
        <w:ind w:left="720" w:hanging="720"/>
        <w:rPr>
          <w:rFonts w:eastAsiaTheme="minorEastAsia" w:cs="Times New Roman"/>
        </w:rPr>
      </w:pPr>
      <w:r w:rsidRPr="00945F16">
        <w:rPr>
          <w:rFonts w:eastAsiaTheme="minorEastAsia" w:cs="Times New Roman"/>
          <w:noProof/>
        </w:rPr>
        <w:lastRenderedPageBreak/>
        <w:drawing>
          <wp:inline distT="0" distB="0" distL="0" distR="0" wp14:anchorId="1A07017B" wp14:editId="19D0915F">
            <wp:extent cx="5486400" cy="1731339"/>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1731339"/>
                    </a:xfrm>
                    <a:prstGeom prst="rect">
                      <a:avLst/>
                    </a:prstGeom>
                    <a:noFill/>
                    <a:ln>
                      <a:noFill/>
                    </a:ln>
                  </pic:spPr>
                </pic:pic>
              </a:graphicData>
            </a:graphic>
          </wp:inline>
        </w:drawing>
      </w:r>
    </w:p>
    <w:p w14:paraId="7CBB01E5" w14:textId="77777777" w:rsidR="00723CA4" w:rsidRPr="00945F16" w:rsidRDefault="00723CA4" w:rsidP="00723CA4">
      <w:pPr>
        <w:pStyle w:val="Header"/>
        <w:tabs>
          <w:tab w:val="left" w:pos="180"/>
        </w:tabs>
        <w:rPr>
          <w:rFonts w:eastAsiaTheme="minorEastAsia" w:cs="Times New Roman"/>
        </w:rPr>
      </w:pPr>
      <w:r w:rsidRPr="00E63601">
        <w:rPr>
          <w:rFonts w:eastAsiaTheme="minorEastAsia" w:cs="Times New Roman"/>
          <w:b/>
        </w:rPr>
        <w:t xml:space="preserve">Figure </w:t>
      </w:r>
      <w:r>
        <w:rPr>
          <w:rFonts w:eastAsiaTheme="minorEastAsia" w:cs="Times New Roman"/>
          <w:b/>
        </w:rPr>
        <w:t>3.</w:t>
      </w:r>
      <w:r w:rsidRPr="00E63601">
        <w:rPr>
          <w:rFonts w:eastAsiaTheme="minorEastAsia" w:cs="Times New Roman"/>
          <w:b/>
        </w:rPr>
        <w:t>1.</w:t>
      </w:r>
      <w:r w:rsidRPr="00945F16">
        <w:rPr>
          <w:rFonts w:eastAsiaTheme="minorEastAsia" w:cs="Times New Roman"/>
        </w:rPr>
        <w:t xml:space="preserve"> Topramezone and its primary metabolite, topramezone-desmethyl as proposed by Grossman and Ehrhardt (2007). </w:t>
      </w:r>
    </w:p>
    <w:p w14:paraId="2D44A0D6" w14:textId="77777777" w:rsidR="00945F16" w:rsidRPr="00945F16" w:rsidRDefault="00945F16" w:rsidP="00945F16">
      <w:pPr>
        <w:rPr>
          <w:rFonts w:cs="Times New Roman"/>
        </w:rPr>
      </w:pPr>
      <w:r w:rsidRPr="00945F16">
        <w:rPr>
          <w:rFonts w:cs="Times New Roman"/>
        </w:rPr>
        <w:br w:type="page"/>
      </w:r>
    </w:p>
    <w:p w14:paraId="3CDAF8DA" w14:textId="77777777" w:rsidR="00945F16" w:rsidRDefault="00945F16" w:rsidP="00945F16">
      <w:pPr>
        <w:ind w:left="720" w:hanging="720"/>
        <w:rPr>
          <w:rFonts w:cs="Times New Roman"/>
        </w:rPr>
      </w:pPr>
      <w:r w:rsidRPr="00945F16">
        <w:rPr>
          <w:rFonts w:cs="Times New Roman"/>
          <w:noProof/>
        </w:rPr>
        <w:lastRenderedPageBreak/>
        <w:drawing>
          <wp:inline distT="0" distB="0" distL="0" distR="0" wp14:anchorId="7165B124" wp14:editId="6549A4CB">
            <wp:extent cx="3648710" cy="3721100"/>
            <wp:effectExtent l="0" t="0" r="889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8710" cy="3721100"/>
                    </a:xfrm>
                    <a:prstGeom prst="rect">
                      <a:avLst/>
                    </a:prstGeom>
                    <a:noFill/>
                    <a:ln>
                      <a:noFill/>
                    </a:ln>
                  </pic:spPr>
                </pic:pic>
              </a:graphicData>
            </a:graphic>
          </wp:inline>
        </w:drawing>
      </w:r>
    </w:p>
    <w:p w14:paraId="37898522" w14:textId="643881FC" w:rsidR="00E54F6E" w:rsidRPr="00945F16" w:rsidRDefault="00E54F6E" w:rsidP="00E54F6E">
      <w:pPr>
        <w:pStyle w:val="Header"/>
        <w:tabs>
          <w:tab w:val="left" w:pos="270"/>
        </w:tabs>
        <w:rPr>
          <w:rFonts w:eastAsiaTheme="minorEastAsia" w:cs="Times New Roman"/>
        </w:rPr>
      </w:pPr>
      <w:r w:rsidRPr="00E63601">
        <w:rPr>
          <w:rFonts w:eastAsiaTheme="minorEastAsia" w:cs="Times New Roman"/>
          <w:b/>
        </w:rPr>
        <w:t xml:space="preserve">Figure </w:t>
      </w:r>
      <w:r>
        <w:rPr>
          <w:rFonts w:eastAsiaTheme="minorEastAsia" w:cs="Times New Roman"/>
          <w:b/>
        </w:rPr>
        <w:t>3.</w:t>
      </w:r>
      <w:r w:rsidRPr="00E63601">
        <w:rPr>
          <w:rFonts w:eastAsiaTheme="minorEastAsia" w:cs="Times New Roman"/>
          <w:b/>
        </w:rPr>
        <w:t>2.</w:t>
      </w:r>
      <w:r w:rsidRPr="00945F16">
        <w:rPr>
          <w:rFonts w:eastAsiaTheme="minorEastAsia" w:cs="Times New Roman"/>
        </w:rPr>
        <w:t xml:space="preserve"> Chlorophyll fluorescence yield (F</w:t>
      </w:r>
      <w:r w:rsidRPr="00945F16">
        <w:rPr>
          <w:rFonts w:eastAsiaTheme="minorEastAsia" w:cs="Times New Roman"/>
          <w:vertAlign w:val="subscript"/>
        </w:rPr>
        <w:t>v</w:t>
      </w:r>
      <w:r w:rsidRPr="00945F16">
        <w:rPr>
          <w:rFonts w:eastAsiaTheme="minorEastAsia" w:cs="Times New Roman"/>
        </w:rPr>
        <w:t>/F</w:t>
      </w:r>
      <w:r w:rsidRPr="00945F16">
        <w:rPr>
          <w:rFonts w:eastAsiaTheme="minorEastAsia" w:cs="Times New Roman"/>
          <w:vertAlign w:val="subscript"/>
        </w:rPr>
        <w:t>m</w:t>
      </w:r>
      <w:r w:rsidRPr="00945F16">
        <w:rPr>
          <w:rFonts w:eastAsiaTheme="minorEastAsia" w:cs="Times New Roman"/>
        </w:rPr>
        <w:t>) of creeping bentgrass (</w:t>
      </w:r>
      <w:r w:rsidRPr="00945F16">
        <w:rPr>
          <w:rFonts w:eastAsiaTheme="minorEastAsia" w:cs="Times New Roman"/>
          <w:i/>
        </w:rPr>
        <w:t>Agrostis stolonifera</w:t>
      </w:r>
      <w:r w:rsidRPr="00945F16">
        <w:rPr>
          <w:rFonts w:eastAsiaTheme="minorEastAsia" w:cs="Times New Roman"/>
        </w:rPr>
        <w:t xml:space="preserve"> L.) leaf tissue two days after treatment with topramezone (8 g ha</w:t>
      </w:r>
      <w:r w:rsidRPr="00945F16">
        <w:rPr>
          <w:rFonts w:eastAsiaTheme="minorEastAsia" w:cs="Times New Roman"/>
          <w:vertAlign w:val="superscript"/>
        </w:rPr>
        <w:t>-1</w:t>
      </w:r>
      <w:r w:rsidRPr="00945F16">
        <w:rPr>
          <w:rFonts w:eastAsiaTheme="minorEastAsia" w:cs="Times New Roman"/>
        </w:rPr>
        <w:t xml:space="preserve">) alone or in combination with the cytochrome P450 </w:t>
      </w:r>
      <w:r w:rsidR="00904173">
        <w:rPr>
          <w:rFonts w:eastAsiaTheme="minorEastAsia" w:cs="Times New Roman"/>
        </w:rPr>
        <w:t>monooxygenase</w:t>
      </w:r>
      <w:r w:rsidRPr="00945F16">
        <w:rPr>
          <w:rFonts w:eastAsiaTheme="minorEastAsia" w:cs="Times New Roman"/>
        </w:rPr>
        <w:t xml:space="preserve"> inhibitors 1-aminobenzotriazole (ABT) or </w:t>
      </w:r>
      <w:proofErr w:type="gramStart"/>
      <w:r w:rsidRPr="00945F16">
        <w:rPr>
          <w:rFonts w:eastAsiaTheme="minorEastAsia" w:cs="Times New Roman"/>
        </w:rPr>
        <w:t>malathion</w:t>
      </w:r>
      <w:proofErr w:type="gramEnd"/>
      <w:r w:rsidRPr="00945F16">
        <w:rPr>
          <w:rFonts w:eastAsiaTheme="minorEastAsia" w:cs="Times New Roman"/>
        </w:rPr>
        <w:t xml:space="preserve">. Creeping bentgrass was also treated with the herbicide safener cloquintocet-mexyl (cloquintocet) alone and in combination with ABT or </w:t>
      </w:r>
      <w:proofErr w:type="gramStart"/>
      <w:r w:rsidRPr="00945F16">
        <w:rPr>
          <w:rFonts w:eastAsiaTheme="minorEastAsia" w:cs="Times New Roman"/>
        </w:rPr>
        <w:t>malathion</w:t>
      </w:r>
      <w:proofErr w:type="gramEnd"/>
      <w:r w:rsidRPr="00945F16">
        <w:rPr>
          <w:rFonts w:eastAsiaTheme="minorEastAsia" w:cs="Times New Roman"/>
        </w:rPr>
        <w:t xml:space="preserve">. A non-herbicide treated control is included for comparison. </w:t>
      </w:r>
      <w:r w:rsidR="002D4629">
        <w:rPr>
          <w:rFonts w:eastAsiaTheme="minorEastAsia" w:cs="Times New Roman"/>
        </w:rPr>
        <w:t>Standard error of the mean is used to separate means.</w:t>
      </w:r>
    </w:p>
    <w:p w14:paraId="31C53D33" w14:textId="77777777" w:rsidR="00E54F6E" w:rsidRPr="00945F16" w:rsidRDefault="00E54F6E" w:rsidP="00945F16">
      <w:pPr>
        <w:ind w:left="720" w:hanging="720"/>
        <w:rPr>
          <w:rFonts w:cs="Times New Roman"/>
        </w:rPr>
      </w:pPr>
    </w:p>
    <w:p w14:paraId="76C98AD1" w14:textId="77777777" w:rsidR="00945F16" w:rsidRPr="00945F16" w:rsidRDefault="00945F16" w:rsidP="00945F16">
      <w:pPr>
        <w:rPr>
          <w:rFonts w:cs="Times New Roman"/>
        </w:rPr>
      </w:pPr>
      <w:r w:rsidRPr="00945F16">
        <w:rPr>
          <w:rFonts w:cs="Times New Roman"/>
        </w:rPr>
        <w:br w:type="page"/>
      </w:r>
    </w:p>
    <w:p w14:paraId="2CDF6418" w14:textId="77777777" w:rsidR="00945F16" w:rsidRDefault="00945F16" w:rsidP="00945F16">
      <w:pPr>
        <w:ind w:left="720" w:hanging="720"/>
        <w:rPr>
          <w:rFonts w:cs="Times New Roman"/>
        </w:rPr>
      </w:pPr>
    </w:p>
    <w:p w14:paraId="110FC36A" w14:textId="77777777" w:rsidR="00945F16" w:rsidRDefault="00945F16" w:rsidP="00945F16">
      <w:pPr>
        <w:ind w:left="720" w:hanging="720"/>
        <w:rPr>
          <w:rFonts w:cs="Times New Roman"/>
        </w:rPr>
      </w:pPr>
      <w:r>
        <w:rPr>
          <w:rFonts w:cs="Times New Roman"/>
          <w:noProof/>
        </w:rPr>
        <w:drawing>
          <wp:inline distT="0" distB="0" distL="0" distR="0" wp14:anchorId="5543DD2E" wp14:editId="27891AF5">
            <wp:extent cx="5486400" cy="2857500"/>
            <wp:effectExtent l="0" t="0" r="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 and bio.jpg"/>
                    <pic:cNvPicPr/>
                  </pic:nvPicPr>
                  <pic:blipFill>
                    <a:blip r:embed="rId15">
                      <a:extLst>
                        <a:ext uri="{28A0092B-C50C-407E-A947-70E740481C1C}">
                          <a14:useLocalDpi xmlns:a14="http://schemas.microsoft.com/office/drawing/2010/main" val="0"/>
                        </a:ext>
                      </a:extLst>
                    </a:blip>
                    <a:stretch>
                      <a:fillRect/>
                    </a:stretch>
                  </pic:blipFill>
                  <pic:spPr>
                    <a:xfrm>
                      <a:off x="0" y="0"/>
                      <a:ext cx="5486400" cy="2857500"/>
                    </a:xfrm>
                    <a:prstGeom prst="rect">
                      <a:avLst/>
                    </a:prstGeom>
                  </pic:spPr>
                </pic:pic>
              </a:graphicData>
            </a:graphic>
          </wp:inline>
        </w:drawing>
      </w:r>
    </w:p>
    <w:p w14:paraId="24C8730E" w14:textId="2A356DCC" w:rsidR="00E54F6E" w:rsidRPr="00945F16" w:rsidRDefault="00E54F6E" w:rsidP="00E54F6E">
      <w:pPr>
        <w:pStyle w:val="Header"/>
        <w:tabs>
          <w:tab w:val="left" w:pos="270"/>
        </w:tabs>
        <w:rPr>
          <w:rFonts w:eastAsiaTheme="minorEastAsia" w:cs="Times New Roman"/>
        </w:rPr>
      </w:pPr>
      <w:r w:rsidRPr="00E63601">
        <w:rPr>
          <w:rFonts w:eastAsiaTheme="minorEastAsia" w:cs="Times New Roman"/>
          <w:b/>
        </w:rPr>
        <w:t xml:space="preserve">Figure </w:t>
      </w:r>
      <w:r>
        <w:rPr>
          <w:rFonts w:eastAsiaTheme="minorEastAsia" w:cs="Times New Roman"/>
          <w:b/>
        </w:rPr>
        <w:t>3.</w:t>
      </w:r>
      <w:r w:rsidRPr="00E63601">
        <w:rPr>
          <w:rFonts w:eastAsiaTheme="minorEastAsia" w:cs="Times New Roman"/>
          <w:b/>
        </w:rPr>
        <w:t>3.</w:t>
      </w:r>
      <w:r w:rsidRPr="00945F16">
        <w:rPr>
          <w:rFonts w:eastAsiaTheme="minorEastAsia" w:cs="Times New Roman"/>
        </w:rPr>
        <w:t xml:space="preserve"> Visible injury (1) and biomass (2) of creeping bentgrass (</w:t>
      </w:r>
      <w:r w:rsidRPr="00945F16">
        <w:rPr>
          <w:rFonts w:eastAsiaTheme="minorEastAsia" w:cs="Times New Roman"/>
          <w:i/>
        </w:rPr>
        <w:t>Agrostis stolonifera</w:t>
      </w:r>
      <w:r w:rsidRPr="00945F16">
        <w:rPr>
          <w:rFonts w:eastAsiaTheme="minorEastAsia" w:cs="Times New Roman"/>
        </w:rPr>
        <w:t xml:space="preserve"> L.) leaf tissue 10 days after treatment with topramezone (8 g ha</w:t>
      </w:r>
      <w:r w:rsidRPr="00945F16">
        <w:rPr>
          <w:rFonts w:eastAsiaTheme="minorEastAsia" w:cs="Times New Roman"/>
          <w:vertAlign w:val="superscript"/>
        </w:rPr>
        <w:t>-1</w:t>
      </w:r>
      <w:r w:rsidRPr="00945F16">
        <w:rPr>
          <w:rFonts w:eastAsiaTheme="minorEastAsia" w:cs="Times New Roman"/>
        </w:rPr>
        <w:t xml:space="preserve">) in combination with the cytochrome P450 </w:t>
      </w:r>
      <w:r w:rsidR="00904173">
        <w:rPr>
          <w:rFonts w:eastAsiaTheme="minorEastAsia" w:cs="Times New Roman"/>
        </w:rPr>
        <w:t>monooxygenase</w:t>
      </w:r>
      <w:r w:rsidRPr="00945F16">
        <w:rPr>
          <w:rFonts w:eastAsiaTheme="minorEastAsia" w:cs="Times New Roman"/>
        </w:rPr>
        <w:t xml:space="preserve"> inhibitors 1-aminobenzotriazole (ABT) or malathion. Creeping bentgrass was also treated with the herbicide safener cloquintocet-mexyl (cloquintocet) alone or in combination with ABT or </w:t>
      </w:r>
      <w:proofErr w:type="gramStart"/>
      <w:r w:rsidRPr="00945F16">
        <w:rPr>
          <w:rFonts w:eastAsiaTheme="minorEastAsia" w:cs="Times New Roman"/>
        </w:rPr>
        <w:t>malathion</w:t>
      </w:r>
      <w:proofErr w:type="gramEnd"/>
      <w:r w:rsidRPr="00945F16">
        <w:rPr>
          <w:rFonts w:eastAsiaTheme="minorEastAsia" w:cs="Times New Roman"/>
        </w:rPr>
        <w:t xml:space="preserve">. </w:t>
      </w:r>
      <w:r w:rsidRPr="00945F16">
        <w:rPr>
          <w:rFonts w:cs="Times New Roman"/>
        </w:rPr>
        <w:t xml:space="preserve">Creeping bentgrass visible injury was evaluated on a 0 (no injury) to 100% (complete bleaching or necrosis) scale. </w:t>
      </w:r>
      <w:r w:rsidRPr="00945F16">
        <w:rPr>
          <w:rFonts w:cs="Times New Roman"/>
          <w:color w:val="000000"/>
        </w:rPr>
        <w:t>Biomass data were transformed to a percentage of the non-treated control.</w:t>
      </w:r>
      <w:r w:rsidR="004C5155">
        <w:rPr>
          <w:rFonts w:cs="Times New Roman"/>
          <w:color w:val="000000"/>
        </w:rPr>
        <w:t xml:space="preserve"> Columns containing the same letter are not statistically different (</w:t>
      </w:r>
      <w:r w:rsidR="004C5155" w:rsidRPr="004C5155">
        <w:rPr>
          <w:rFonts w:cs="Times New Roman"/>
          <w:color w:val="000000"/>
        </w:rPr>
        <w:t>α</w:t>
      </w:r>
      <w:r w:rsidR="004C5155">
        <w:rPr>
          <w:rFonts w:cs="Times New Roman"/>
          <w:color w:val="000000"/>
        </w:rPr>
        <w:t xml:space="preserve"> </w:t>
      </w:r>
      <w:r w:rsidR="004C5155" w:rsidRPr="004C5155">
        <w:rPr>
          <w:rFonts w:eastAsia="ＭＳ ゴシック" w:cs="Times New Roman"/>
          <w:color w:val="000000"/>
        </w:rPr>
        <w:t>≤</w:t>
      </w:r>
      <w:r w:rsidR="004C5155">
        <w:rPr>
          <w:rFonts w:eastAsia="ＭＳ ゴシック" w:cs="Times New Roman"/>
          <w:color w:val="000000"/>
        </w:rPr>
        <w:t xml:space="preserve"> 0.05).</w:t>
      </w:r>
    </w:p>
    <w:p w14:paraId="38F2A6BE" w14:textId="77777777" w:rsidR="00E54F6E" w:rsidRDefault="00E54F6E" w:rsidP="00945F16">
      <w:pPr>
        <w:ind w:left="720" w:hanging="720"/>
        <w:rPr>
          <w:rFonts w:cs="Times New Roman"/>
        </w:rPr>
      </w:pPr>
    </w:p>
    <w:p w14:paraId="4FF3ABE0" w14:textId="77777777" w:rsidR="00945F16" w:rsidRDefault="00945F16" w:rsidP="00945F16">
      <w:pPr>
        <w:ind w:left="720" w:hanging="720"/>
        <w:rPr>
          <w:rFonts w:cs="Times New Roman"/>
        </w:rPr>
      </w:pPr>
    </w:p>
    <w:p w14:paraId="52159CF2" w14:textId="77777777" w:rsidR="00945F16" w:rsidRPr="00945F16" w:rsidRDefault="00945F16" w:rsidP="00945F16">
      <w:pPr>
        <w:pStyle w:val="BodyText"/>
        <w:widowControl/>
        <w:rPr>
          <w:sz w:val="24"/>
          <w:szCs w:val="24"/>
        </w:rPr>
      </w:pPr>
    </w:p>
    <w:p w14:paraId="2232D153" w14:textId="77777777" w:rsidR="00932335" w:rsidRDefault="00932335">
      <w:bookmarkStart w:id="119" w:name="_Toc289175845"/>
      <w:bookmarkStart w:id="120" w:name="_Toc264635701"/>
      <w:r>
        <w:br w:type="page"/>
      </w:r>
    </w:p>
    <w:p w14:paraId="129515BA" w14:textId="77777777" w:rsidR="00932335" w:rsidRDefault="00932335" w:rsidP="00932335">
      <w:pPr>
        <w:pStyle w:val="Title"/>
      </w:pPr>
    </w:p>
    <w:p w14:paraId="7C6F395D" w14:textId="77777777" w:rsidR="00932335" w:rsidRDefault="00932335" w:rsidP="00932335">
      <w:pPr>
        <w:pStyle w:val="Title"/>
      </w:pPr>
    </w:p>
    <w:p w14:paraId="51F898D9" w14:textId="77777777" w:rsidR="00932335" w:rsidRDefault="00932335" w:rsidP="00932335">
      <w:pPr>
        <w:pStyle w:val="Title"/>
      </w:pPr>
    </w:p>
    <w:p w14:paraId="490CA49C" w14:textId="77777777" w:rsidR="00932335" w:rsidRDefault="00932335" w:rsidP="00932335">
      <w:pPr>
        <w:pStyle w:val="Title"/>
      </w:pPr>
    </w:p>
    <w:p w14:paraId="0513BE1B" w14:textId="77777777" w:rsidR="00932335" w:rsidRDefault="00932335" w:rsidP="00932335">
      <w:pPr>
        <w:pStyle w:val="Title"/>
      </w:pPr>
    </w:p>
    <w:p w14:paraId="6170C595" w14:textId="77777777" w:rsidR="00F91FCF" w:rsidRDefault="00F91FCF" w:rsidP="00932335">
      <w:pPr>
        <w:pStyle w:val="Title"/>
      </w:pPr>
    </w:p>
    <w:p w14:paraId="3E58D2AD" w14:textId="77777777" w:rsidR="00F91FCF" w:rsidRDefault="00F91FCF" w:rsidP="00932335">
      <w:pPr>
        <w:pStyle w:val="Title"/>
      </w:pPr>
    </w:p>
    <w:p w14:paraId="7096FFC0" w14:textId="77777777" w:rsidR="00932335" w:rsidRPr="00932335" w:rsidRDefault="00932335" w:rsidP="00932335">
      <w:pPr>
        <w:jc w:val="center"/>
        <w:rPr>
          <w:rFonts w:cs="Times New Roman"/>
          <w:b/>
          <w:sz w:val="28"/>
          <w:szCs w:val="28"/>
        </w:rPr>
      </w:pPr>
    </w:p>
    <w:p w14:paraId="6BDE5ED6" w14:textId="77777777" w:rsidR="00932335" w:rsidRDefault="00932335" w:rsidP="003A1DC6">
      <w:pPr>
        <w:pStyle w:val="Heading1"/>
      </w:pPr>
      <w:bookmarkStart w:id="121" w:name="_Toc264713581"/>
      <w:bookmarkStart w:id="122" w:name="_Toc264713630"/>
      <w:bookmarkStart w:id="123" w:name="_Toc264967203"/>
      <w:r w:rsidRPr="00932335">
        <w:t>CHAPTER 4: SYNTHESIS AND EFFICACY OF TRIKETONE DERIVATIVES AGAINST GRAMINACEOUS WEEDS</w:t>
      </w:r>
      <w:bookmarkEnd w:id="121"/>
      <w:bookmarkEnd w:id="122"/>
      <w:bookmarkEnd w:id="123"/>
    </w:p>
    <w:p w14:paraId="4CE91BC5" w14:textId="77777777" w:rsidR="00932335" w:rsidRDefault="00932335">
      <w:pPr>
        <w:rPr>
          <w:rFonts w:cs="Times New Roman"/>
          <w:b/>
          <w:sz w:val="28"/>
          <w:szCs w:val="28"/>
        </w:rPr>
      </w:pPr>
      <w:r>
        <w:rPr>
          <w:rFonts w:cs="Times New Roman"/>
          <w:b/>
          <w:sz w:val="28"/>
          <w:szCs w:val="28"/>
        </w:rPr>
        <w:br w:type="page"/>
      </w:r>
    </w:p>
    <w:p w14:paraId="25DB414A" w14:textId="77777777" w:rsidR="00932335" w:rsidRPr="00945F16" w:rsidRDefault="00932335" w:rsidP="00932335">
      <w:pPr>
        <w:rPr>
          <w:rFonts w:cs="Times New Roman"/>
        </w:rPr>
      </w:pPr>
      <w:r w:rsidRPr="00945F16">
        <w:rPr>
          <w:rFonts w:cs="Times New Roman"/>
        </w:rPr>
        <w:lastRenderedPageBreak/>
        <w:t xml:space="preserve">This chapter is based on a paper that will be submitted for publication by Matthew Elmore, James Brosnan, Gregory Armel, Michael Best, </w:t>
      </w:r>
      <w:r w:rsidR="00326E4D">
        <w:rPr>
          <w:rFonts w:cs="Times New Roman"/>
        </w:rPr>
        <w:t>Joseph Thomas, and Jose Vargas</w:t>
      </w:r>
    </w:p>
    <w:p w14:paraId="67647CDC" w14:textId="77777777" w:rsidR="00932335" w:rsidRPr="00945F16" w:rsidRDefault="00932335" w:rsidP="00932335">
      <w:pPr>
        <w:pStyle w:val="BodyText"/>
        <w:widowControl/>
        <w:jc w:val="left"/>
        <w:rPr>
          <w:sz w:val="24"/>
          <w:szCs w:val="24"/>
        </w:rPr>
      </w:pPr>
    </w:p>
    <w:p w14:paraId="151700FB" w14:textId="77777777" w:rsidR="00326E4D" w:rsidRDefault="00932335" w:rsidP="00326E4D">
      <w:pPr>
        <w:rPr>
          <w:rFonts w:cs="Times New Roman"/>
        </w:rPr>
      </w:pPr>
      <w:r w:rsidRPr="00945F16">
        <w:rPr>
          <w:rFonts w:cs="Times New Roman"/>
        </w:rPr>
        <w:t xml:space="preserve">Elmore, M.T., G.R. Armel, </w:t>
      </w:r>
      <w:r w:rsidR="00326E4D" w:rsidRPr="00945F16">
        <w:rPr>
          <w:rFonts w:cs="Times New Roman"/>
        </w:rPr>
        <w:t xml:space="preserve">J.T. Brosnan, </w:t>
      </w:r>
      <w:r w:rsidRPr="00945F16">
        <w:rPr>
          <w:rFonts w:cs="Times New Roman"/>
        </w:rPr>
        <w:t xml:space="preserve">M.D. Best, </w:t>
      </w:r>
      <w:r w:rsidR="00326E4D">
        <w:rPr>
          <w:rFonts w:cs="Times New Roman"/>
        </w:rPr>
        <w:t>J.W. Thomas and J.J. Vargas.</w:t>
      </w:r>
      <w:r w:rsidRPr="00945F16">
        <w:rPr>
          <w:rFonts w:cs="Times New Roman"/>
        </w:rPr>
        <w:t xml:space="preserve"> 2014. </w:t>
      </w:r>
      <w:r w:rsidR="00326E4D">
        <w:rPr>
          <w:rFonts w:cs="Times New Roman"/>
        </w:rPr>
        <w:t>Herbicidal Efficacy of Triketone Derivatives Against Graminaceous Weeds.</w:t>
      </w:r>
    </w:p>
    <w:p w14:paraId="2E8D56BB" w14:textId="77777777" w:rsidR="00932335" w:rsidRPr="00945F16" w:rsidRDefault="00326E4D" w:rsidP="00932335">
      <w:pPr>
        <w:rPr>
          <w:rFonts w:cs="Times New Roman"/>
        </w:rPr>
      </w:pPr>
      <w:proofErr w:type="gramStart"/>
      <w:r>
        <w:rPr>
          <w:rFonts w:cs="Times New Roman"/>
        </w:rPr>
        <w:t>Journal of Pesticide Science</w:t>
      </w:r>
      <w:r w:rsidR="00932335" w:rsidRPr="00945F16">
        <w:rPr>
          <w:rFonts w:cs="Times New Roman"/>
        </w:rPr>
        <w:t>.</w:t>
      </w:r>
      <w:proofErr w:type="gramEnd"/>
    </w:p>
    <w:p w14:paraId="7F450A96" w14:textId="77777777" w:rsidR="00932335" w:rsidRPr="00945F16" w:rsidRDefault="00932335" w:rsidP="00932335">
      <w:pPr>
        <w:pStyle w:val="BodyText"/>
        <w:widowControl/>
        <w:jc w:val="left"/>
        <w:rPr>
          <w:sz w:val="24"/>
          <w:szCs w:val="24"/>
        </w:rPr>
      </w:pPr>
    </w:p>
    <w:p w14:paraId="16B427B6" w14:textId="77777777" w:rsidR="00932335" w:rsidRDefault="00932335" w:rsidP="00932335">
      <w:pPr>
        <w:pStyle w:val="BodyText"/>
        <w:widowControl/>
        <w:jc w:val="left"/>
        <w:rPr>
          <w:sz w:val="24"/>
          <w:szCs w:val="24"/>
        </w:rPr>
      </w:pPr>
      <w:bookmarkStart w:id="124" w:name="_Toc264713631"/>
      <w:r w:rsidRPr="00945F16">
        <w:rPr>
          <w:sz w:val="24"/>
          <w:szCs w:val="24"/>
        </w:rPr>
        <w:t xml:space="preserve">My primary contributions to this paper include (i) Discovering the concept (ii) Design and conducting the experiments, (iii) processing, analyzing and interpreting data, </w:t>
      </w:r>
      <w:proofErr w:type="gramStart"/>
      <w:r w:rsidRPr="00945F16">
        <w:rPr>
          <w:sz w:val="24"/>
          <w:szCs w:val="24"/>
        </w:rPr>
        <w:t>(iv) reading</w:t>
      </w:r>
      <w:proofErr w:type="gramEnd"/>
      <w:r w:rsidRPr="00945F16">
        <w:rPr>
          <w:sz w:val="24"/>
          <w:szCs w:val="24"/>
        </w:rPr>
        <w:t xml:space="preserve"> literature, (v) writing the manuscript</w:t>
      </w:r>
      <w:bookmarkEnd w:id="124"/>
    </w:p>
    <w:p w14:paraId="1864377A" w14:textId="77777777" w:rsidR="009D10FC" w:rsidRPr="00945F16" w:rsidRDefault="009D10FC" w:rsidP="00932335">
      <w:pPr>
        <w:pStyle w:val="BodyText"/>
        <w:widowControl/>
        <w:jc w:val="left"/>
        <w:rPr>
          <w:sz w:val="24"/>
          <w:szCs w:val="24"/>
        </w:rPr>
      </w:pPr>
    </w:p>
    <w:p w14:paraId="57B10C4D" w14:textId="77777777" w:rsidR="00326E4D" w:rsidRPr="009D10FC" w:rsidRDefault="00326E4D" w:rsidP="003A1DC6">
      <w:pPr>
        <w:pStyle w:val="Heading2"/>
      </w:pPr>
      <w:bookmarkStart w:id="125" w:name="_Toc264713582"/>
      <w:bookmarkStart w:id="126" w:name="_Toc264713632"/>
      <w:bookmarkStart w:id="127" w:name="_Toc264967204"/>
      <w:r w:rsidRPr="009D10FC">
        <w:t>ABSTRACT</w:t>
      </w:r>
      <w:bookmarkEnd w:id="125"/>
      <w:bookmarkEnd w:id="126"/>
      <w:bookmarkEnd w:id="127"/>
    </w:p>
    <w:p w14:paraId="3E31BCAA" w14:textId="6A25C94A" w:rsidR="007C69F5" w:rsidRDefault="007C69F5" w:rsidP="007C69F5">
      <w:pPr>
        <w:ind w:firstLine="720"/>
        <w:rPr>
          <w:rFonts w:cs="Times New Roman"/>
        </w:rPr>
      </w:pPr>
      <w:r>
        <w:rPr>
          <w:rFonts w:cs="Times New Roman"/>
        </w:rPr>
        <w:t xml:space="preserve">Triketone </w:t>
      </w:r>
      <w:r w:rsidRPr="00133C08">
        <w:rPr>
          <w:rFonts w:cs="Times New Roman"/>
          <w:i/>
        </w:rPr>
        <w:t>p</w:t>
      </w:r>
      <w:r>
        <w:rPr>
          <w:rFonts w:cs="Times New Roman"/>
        </w:rPr>
        <w:t>-</w:t>
      </w:r>
      <w:r w:rsidR="00F8536F">
        <w:rPr>
          <w:rFonts w:cs="Times New Roman"/>
        </w:rPr>
        <w:t>hydroxyphenylpyruvate dioxygenase</w:t>
      </w:r>
      <w:r>
        <w:rPr>
          <w:rFonts w:cs="Times New Roman"/>
        </w:rPr>
        <w:t xml:space="preserve"> inhibitors were synthesized and evaluated for their herbicidal efficacy. Previous research suggests that 2-benzoyl-1</w:t>
      </w:r>
      <w:proofErr w:type="gramStart"/>
      <w:r>
        <w:rPr>
          <w:rFonts w:cs="Times New Roman"/>
        </w:rPr>
        <w:t>,3</w:t>
      </w:r>
      <w:proofErr w:type="gramEnd"/>
      <w:r>
        <w:rPr>
          <w:rFonts w:cs="Times New Roman"/>
        </w:rPr>
        <w:t>-cyclohexanedione compounds with alkyl substitutions on the cyclohexane moiety have enhanced efficacy against grassy weeds. However, there is no information describing how the efficacy of these alkyl-substituted compounds varies among grass species. We synthesized 2-(2,4-</w:t>
      </w:r>
      <w:proofErr w:type="gramStart"/>
      <w:r>
        <w:rPr>
          <w:rFonts w:cs="Times New Roman"/>
        </w:rPr>
        <w:t>dichlorobenzoyl)cyclohexane</w:t>
      </w:r>
      <w:proofErr w:type="gramEnd"/>
      <w:r>
        <w:rPr>
          <w:rFonts w:cs="Times New Roman"/>
        </w:rPr>
        <w:t>-1,3-dione compounds with various alkyl substituents on the cyclohexandione moiety</w:t>
      </w:r>
      <w:r w:rsidRPr="00B24A0A">
        <w:rPr>
          <w:rFonts w:cs="Times New Roman"/>
        </w:rPr>
        <w:t xml:space="preserve"> </w:t>
      </w:r>
      <w:r>
        <w:rPr>
          <w:rFonts w:cs="Times New Roman"/>
        </w:rPr>
        <w:t xml:space="preserve">to understand their efficacy against grassy weeds of turfgrass systems such as </w:t>
      </w:r>
      <w:r w:rsidRPr="00391ECC">
        <w:rPr>
          <w:rFonts w:cs="Times New Roman"/>
          <w:i/>
        </w:rPr>
        <w:t>Digitaria sanguinalis</w:t>
      </w:r>
      <w:r>
        <w:rPr>
          <w:rFonts w:cs="Times New Roman"/>
        </w:rPr>
        <w:t xml:space="preserve">, </w:t>
      </w:r>
      <w:r w:rsidRPr="00391ECC">
        <w:rPr>
          <w:rFonts w:cs="Times New Roman"/>
          <w:i/>
        </w:rPr>
        <w:t>Eleusine indica</w:t>
      </w:r>
      <w:r>
        <w:rPr>
          <w:rFonts w:cs="Times New Roman"/>
        </w:rPr>
        <w:t xml:space="preserve">, and </w:t>
      </w:r>
      <w:r w:rsidRPr="00391ECC">
        <w:rPr>
          <w:rFonts w:cs="Times New Roman"/>
          <w:i/>
        </w:rPr>
        <w:t>Poa annua</w:t>
      </w:r>
      <w:r>
        <w:rPr>
          <w:rFonts w:cs="Times New Roman"/>
        </w:rPr>
        <w:t xml:space="preserve">. The 5,5-dimethyl-substituted compound had efficacy against </w:t>
      </w:r>
      <w:r w:rsidRPr="00391ECC">
        <w:rPr>
          <w:rFonts w:cs="Times New Roman"/>
          <w:i/>
        </w:rPr>
        <w:t>Eleusine indica</w:t>
      </w:r>
      <w:r>
        <w:rPr>
          <w:rFonts w:cs="Times New Roman"/>
          <w:i/>
        </w:rPr>
        <w:t xml:space="preserve"> </w:t>
      </w:r>
      <w:r>
        <w:rPr>
          <w:rFonts w:cs="Times New Roman"/>
        </w:rPr>
        <w:t xml:space="preserve">and did not cause injury to desirable turfgrass species </w:t>
      </w:r>
      <w:r w:rsidRPr="00391ECC">
        <w:rPr>
          <w:rFonts w:cs="Times New Roman"/>
          <w:i/>
        </w:rPr>
        <w:t>Poa pratensis</w:t>
      </w:r>
      <w:r>
        <w:rPr>
          <w:rFonts w:cs="Times New Roman"/>
        </w:rPr>
        <w:t xml:space="preserve"> and </w:t>
      </w:r>
      <w:r w:rsidRPr="00391ECC">
        <w:rPr>
          <w:rFonts w:cs="Times New Roman"/>
          <w:i/>
        </w:rPr>
        <w:t>Agrostis stolonifera</w:t>
      </w:r>
      <w:r>
        <w:rPr>
          <w:rFonts w:cs="Times New Roman"/>
        </w:rPr>
        <w:t xml:space="preserve">. </w:t>
      </w:r>
    </w:p>
    <w:p w14:paraId="151FA5AB" w14:textId="77777777" w:rsidR="00326E4D" w:rsidRDefault="009D10FC" w:rsidP="009D10FC">
      <w:pPr>
        <w:spacing w:line="240" w:lineRule="auto"/>
        <w:rPr>
          <w:rFonts w:cs="Times New Roman"/>
        </w:rPr>
      </w:pPr>
      <w:r>
        <w:rPr>
          <w:rFonts w:cs="Times New Roman"/>
        </w:rPr>
        <w:br w:type="page"/>
      </w:r>
    </w:p>
    <w:p w14:paraId="7A2357C6" w14:textId="77777777" w:rsidR="00326E4D" w:rsidRPr="009D10FC" w:rsidRDefault="00326E4D" w:rsidP="003A1DC6">
      <w:pPr>
        <w:pStyle w:val="Heading2"/>
      </w:pPr>
      <w:bookmarkStart w:id="128" w:name="_Toc264713583"/>
      <w:bookmarkStart w:id="129" w:name="_Toc264713633"/>
      <w:bookmarkStart w:id="130" w:name="_Toc264967205"/>
      <w:r w:rsidRPr="009D10FC">
        <w:lastRenderedPageBreak/>
        <w:t>INTRODUCTION</w:t>
      </w:r>
      <w:bookmarkEnd w:id="128"/>
      <w:bookmarkEnd w:id="129"/>
      <w:bookmarkEnd w:id="130"/>
    </w:p>
    <w:p w14:paraId="38EB5226" w14:textId="6AD6C634" w:rsidR="00D27D2E" w:rsidRPr="00623C55" w:rsidRDefault="00D27D2E" w:rsidP="00D27D2E">
      <w:pPr>
        <w:ind w:firstLine="720"/>
        <w:rPr>
          <w:rFonts w:cs="Times New Roman"/>
        </w:rPr>
      </w:pPr>
      <w:r>
        <w:rPr>
          <w:rFonts w:cs="Times New Roman"/>
        </w:rPr>
        <w:t>The 2-benzoylcyclohexane-1</w:t>
      </w:r>
      <w:proofErr w:type="gramStart"/>
      <w:r>
        <w:rPr>
          <w:rFonts w:cs="Times New Roman"/>
        </w:rPr>
        <w:t>,3</w:t>
      </w:r>
      <w:proofErr w:type="gramEnd"/>
      <w:r>
        <w:rPr>
          <w:rFonts w:cs="Times New Roman"/>
        </w:rPr>
        <w:t xml:space="preserve">-diones, commonly referred to as triketones, represent a chemical class of herbicides that inhibit the enzyme </w:t>
      </w:r>
      <w:r w:rsidRPr="00A8386F">
        <w:rPr>
          <w:rFonts w:cs="Times New Roman"/>
          <w:i/>
        </w:rPr>
        <w:t>p</w:t>
      </w:r>
      <w:r>
        <w:rPr>
          <w:rFonts w:cs="Times New Roman"/>
        </w:rPr>
        <w:t>-hydroxyphenylpyruvate dioxygenase (HPPD) in susceptible plants</w:t>
      </w:r>
      <w:r w:rsidRPr="00A87BA6">
        <w:rPr>
          <w:rFonts w:cs="Times New Roman"/>
          <w:vertAlign w:val="superscript"/>
        </w:rPr>
        <w:t>1-2)</w:t>
      </w:r>
      <w:r>
        <w:rPr>
          <w:rFonts w:cs="Times New Roman"/>
        </w:rPr>
        <w:t xml:space="preserve"> (Figure 1).  HPPD inhibition prevents conversion of </w:t>
      </w:r>
      <w:r w:rsidRPr="00B17E61">
        <w:rPr>
          <w:rFonts w:cs="Times New Roman"/>
          <w:i/>
        </w:rPr>
        <w:t>p</w:t>
      </w:r>
      <w:r>
        <w:rPr>
          <w:rFonts w:cs="Times New Roman"/>
        </w:rPr>
        <w:t xml:space="preserve">-hydroxyphenylpyruvate (HPP) to homogentisate, a precursor to plastoquinone, </w:t>
      </w:r>
      <w:proofErr w:type="gramStart"/>
      <w:r>
        <w:rPr>
          <w:rFonts w:cs="Times New Roman"/>
        </w:rPr>
        <w:t>an</w:t>
      </w:r>
      <w:proofErr w:type="gramEnd"/>
      <w:r>
        <w:rPr>
          <w:rFonts w:cs="Times New Roman"/>
        </w:rPr>
        <w:t xml:space="preserve"> essential cofactor for phytoene desaturase</w:t>
      </w:r>
      <w:r w:rsidRPr="00A87BA6">
        <w:rPr>
          <w:rFonts w:cs="Times New Roman"/>
          <w:vertAlign w:val="superscript"/>
        </w:rPr>
        <w:t>3)</w:t>
      </w:r>
      <w:r>
        <w:rPr>
          <w:rFonts w:cs="Times New Roman"/>
        </w:rPr>
        <w:t>. A smaller plas</w:t>
      </w:r>
      <w:r w:rsidR="00904173">
        <w:rPr>
          <w:rFonts w:cs="Times New Roman"/>
        </w:rPr>
        <w:t>t</w:t>
      </w:r>
      <w:r>
        <w:rPr>
          <w:rFonts w:cs="Times New Roman"/>
        </w:rPr>
        <w:t>oquinone pool results in reduced phytoene desaturase activity and thus reduced carotenoid synthesis</w:t>
      </w:r>
      <w:r w:rsidRPr="00A87BA6">
        <w:rPr>
          <w:rFonts w:cs="Times New Roman"/>
          <w:vertAlign w:val="superscript"/>
        </w:rPr>
        <w:t>1)</w:t>
      </w:r>
      <w:r>
        <w:rPr>
          <w:rFonts w:cs="Times New Roman"/>
        </w:rPr>
        <w:t xml:space="preserve">. Carotenoids dissipate excess photochemical energy from photosystems through non-photochemical quenching. Insufficient carotenoid concentrations results in unquenched singlet </w:t>
      </w:r>
      <w:r w:rsidRPr="00623C55">
        <w:rPr>
          <w:rFonts w:cs="Times New Roman"/>
        </w:rPr>
        <w:t>and triplet oxygen destroying chlorophyll molecules</w:t>
      </w:r>
      <w:r>
        <w:rPr>
          <w:rFonts w:cs="Times New Roman"/>
        </w:rPr>
        <w:t>;</w:t>
      </w:r>
      <w:r w:rsidRPr="00623C55">
        <w:rPr>
          <w:rFonts w:cs="Times New Roman"/>
        </w:rPr>
        <w:t xml:space="preserve"> </w:t>
      </w:r>
      <w:r>
        <w:rPr>
          <w:rFonts w:cs="Times New Roman"/>
        </w:rPr>
        <w:t>these symptoms are visibly manifested leaf tissue appearing white or bleached</w:t>
      </w:r>
      <w:r w:rsidRPr="00623C55">
        <w:rPr>
          <w:rFonts w:cs="Times New Roman"/>
        </w:rPr>
        <w:t xml:space="preserve">. </w:t>
      </w:r>
    </w:p>
    <w:p w14:paraId="36BB422A" w14:textId="4C7EA1CA" w:rsidR="00D27D2E" w:rsidRPr="00433E97" w:rsidRDefault="00D27D2E" w:rsidP="00D27D2E">
      <w:pPr>
        <w:ind w:firstLine="720"/>
        <w:rPr>
          <w:rFonts w:cs="Times New Roman"/>
        </w:rPr>
      </w:pPr>
      <w:r w:rsidRPr="00623C55">
        <w:rPr>
          <w:rFonts w:cs="Times New Roman"/>
        </w:rPr>
        <w:t xml:space="preserve">The first HPPD inhibitor was discovered as an allelopathic chemical produced by the bottlebrush </w:t>
      </w:r>
      <w:r w:rsidR="00F8536F">
        <w:rPr>
          <w:rFonts w:cs="Times New Roman"/>
        </w:rPr>
        <w:t xml:space="preserve">plant </w:t>
      </w:r>
      <w:r w:rsidRPr="00623C55">
        <w:rPr>
          <w:rFonts w:cs="Times New Roman"/>
        </w:rPr>
        <w:t>(</w:t>
      </w:r>
      <w:r w:rsidRPr="00623C55">
        <w:rPr>
          <w:rFonts w:cs="Times New Roman"/>
          <w:i/>
        </w:rPr>
        <w:t>Callistemon citrinus</w:t>
      </w:r>
      <w:r w:rsidRPr="00623C55">
        <w:rPr>
          <w:rFonts w:cs="Times New Roman"/>
        </w:rPr>
        <w:t xml:space="preserve"> Stapf.) </w:t>
      </w:r>
      <w:r>
        <w:rPr>
          <w:rFonts w:cs="Times New Roman"/>
          <w:vertAlign w:val="superscript"/>
        </w:rPr>
        <w:t>4-6)</w:t>
      </w:r>
      <w:r>
        <w:rPr>
          <w:rFonts w:cs="Times New Roman"/>
        </w:rPr>
        <w:t>. However, leptospermone has low HPPD enzyme inhibitory activity and primarily acropetal movement, and thus has not been commercialized</w:t>
      </w:r>
      <w:r w:rsidRPr="00A87BA6">
        <w:rPr>
          <w:rFonts w:cs="Times New Roman"/>
          <w:vertAlign w:val="superscript"/>
        </w:rPr>
        <w:t>5)</w:t>
      </w:r>
      <w:proofErr w:type="gramStart"/>
      <w:r w:rsidRPr="00A87BA6">
        <w:rPr>
          <w:rFonts w:cs="Times New Roman"/>
          <w:vertAlign w:val="superscript"/>
        </w:rPr>
        <w:t>,7</w:t>
      </w:r>
      <w:proofErr w:type="gramEnd"/>
      <w:r w:rsidRPr="00A87BA6">
        <w:rPr>
          <w:rFonts w:cs="Times New Roman"/>
          <w:vertAlign w:val="superscript"/>
        </w:rPr>
        <w:t>)</w:t>
      </w:r>
      <w:r>
        <w:rPr>
          <w:rFonts w:cs="Times New Roman"/>
        </w:rPr>
        <w:t>.It was not until 1982 that from a project screening analogs of the 1,3-cyclohexanedione, acetyl-CoA carboxylase-inhibiting herbicide sethoxydim, that scientists at Zeneca serendipitously discovered a compound that produced bleaching symptoms. Through further structure optimization, this endeavor resulted in the commercialization of the first synthetic triketone HPPD-inhibitor, sulcotrione</w:t>
      </w:r>
      <w:r w:rsidRPr="00433E97">
        <w:rPr>
          <w:rFonts w:cs="Times New Roman"/>
          <w:vertAlign w:val="superscript"/>
        </w:rPr>
        <w:t>6)</w:t>
      </w:r>
      <w:r>
        <w:rPr>
          <w:rFonts w:cs="Times New Roman"/>
        </w:rPr>
        <w:t>. This compound provides broadleaf weed control in European corn (</w:t>
      </w:r>
      <w:r w:rsidRPr="003C58CC">
        <w:rPr>
          <w:rFonts w:cs="Times New Roman"/>
          <w:i/>
        </w:rPr>
        <w:t>Zea mays</w:t>
      </w:r>
      <w:r>
        <w:rPr>
          <w:rFonts w:cs="Times New Roman"/>
        </w:rPr>
        <w:t xml:space="preserve"> L.) at 300 g ha</w:t>
      </w:r>
      <w:r w:rsidRPr="00D56892">
        <w:rPr>
          <w:rFonts w:cs="Times New Roman"/>
          <w:vertAlign w:val="superscript"/>
        </w:rPr>
        <w:t>-1</w:t>
      </w:r>
      <w:r>
        <w:rPr>
          <w:rFonts w:cs="Times New Roman"/>
        </w:rPr>
        <w:t xml:space="preserve"> </w:t>
      </w:r>
      <w:r w:rsidRPr="00433E97">
        <w:rPr>
          <w:rFonts w:cs="Times New Roman"/>
          <w:vertAlign w:val="superscript"/>
        </w:rPr>
        <w:t>8-9)</w:t>
      </w:r>
      <w:r>
        <w:rPr>
          <w:rFonts w:cs="Times New Roman"/>
        </w:rPr>
        <w:t xml:space="preserve">. Continued research and development yielded mesotrione and tembotrione, which are HPPD-inhibitors commonly applied at </w:t>
      </w:r>
      <w:r w:rsidRPr="00036A51">
        <w:rPr>
          <w:rFonts w:eastAsia="ＭＳ ゴシック" w:cs="Times New Roman"/>
          <w:color w:val="000000"/>
        </w:rPr>
        <w:t>≤</w:t>
      </w:r>
      <w:r>
        <w:rPr>
          <w:rFonts w:eastAsia="ＭＳ ゴシック" w:cs="Times New Roman"/>
          <w:color w:val="000000"/>
        </w:rPr>
        <w:t xml:space="preserve"> </w:t>
      </w:r>
      <w:r>
        <w:rPr>
          <w:rFonts w:cs="Times New Roman"/>
        </w:rPr>
        <w:t>150 and 100 g ha</w:t>
      </w:r>
      <w:r w:rsidRPr="00532521">
        <w:rPr>
          <w:rFonts w:cs="Times New Roman"/>
          <w:vertAlign w:val="superscript"/>
        </w:rPr>
        <w:t>-1</w:t>
      </w:r>
      <w:r>
        <w:rPr>
          <w:rFonts w:cs="Times New Roman"/>
        </w:rPr>
        <w:t>, respectively, for post</w:t>
      </w:r>
      <w:r w:rsidR="00904173">
        <w:rPr>
          <w:rFonts w:cs="Times New Roman"/>
        </w:rPr>
        <w:t>-</w:t>
      </w:r>
      <w:r>
        <w:rPr>
          <w:rFonts w:cs="Times New Roman"/>
        </w:rPr>
        <w:t>emergence broadleaf and grassy weed control in U.S. corn markets</w:t>
      </w:r>
      <w:r w:rsidRPr="00433E97">
        <w:rPr>
          <w:rFonts w:cs="Times New Roman"/>
          <w:vertAlign w:val="superscript"/>
        </w:rPr>
        <w:t>6) 10)</w:t>
      </w:r>
      <w:r>
        <w:rPr>
          <w:rFonts w:cs="Times New Roman"/>
        </w:rPr>
        <w:t>.</w:t>
      </w:r>
    </w:p>
    <w:p w14:paraId="48E60E3D" w14:textId="77777777" w:rsidR="00D27D2E" w:rsidRDefault="00D27D2E" w:rsidP="00D27D2E">
      <w:pPr>
        <w:ind w:firstLine="720"/>
        <w:rPr>
          <w:rFonts w:cs="Times New Roman"/>
        </w:rPr>
      </w:pPr>
      <w:r>
        <w:rPr>
          <w:rFonts w:cs="Times New Roman"/>
        </w:rPr>
        <w:lastRenderedPageBreak/>
        <w:t>The structure-activity relationships of triketone HPPD-inhibiting herbicides are well understood. In their enolic, tautomeric forms, the triketones bind to the non-heme iron group of HPPD, mimicking HPP</w:t>
      </w:r>
      <w:r w:rsidRPr="009638A6">
        <w:rPr>
          <w:rFonts w:cs="Times New Roman"/>
          <w:vertAlign w:val="superscript"/>
        </w:rPr>
        <w:t>11) 12)</w:t>
      </w:r>
      <w:r>
        <w:rPr>
          <w:rFonts w:cs="Times New Roman"/>
        </w:rPr>
        <w:t xml:space="preserve">. Therefore, Lee </w:t>
      </w:r>
      <w:proofErr w:type="gramStart"/>
      <w:r>
        <w:rPr>
          <w:rFonts w:cs="Times New Roman"/>
        </w:rPr>
        <w:t>et</w:t>
      </w:r>
      <w:proofErr w:type="gramEnd"/>
      <w:r>
        <w:rPr>
          <w:rFonts w:cs="Times New Roman"/>
        </w:rPr>
        <w:t xml:space="preserve"> al.</w:t>
      </w:r>
      <w:r w:rsidRPr="009638A6">
        <w:rPr>
          <w:rFonts w:cs="Times New Roman"/>
          <w:vertAlign w:val="superscript"/>
        </w:rPr>
        <w:t>1)</w:t>
      </w:r>
      <w:r>
        <w:rPr>
          <w:rFonts w:cs="Times New Roman"/>
        </w:rPr>
        <w:t xml:space="preserve"> proposed that a 2-benzoylethen-1-ol backbone is the minimum requirement for HPPD inhibition (Figure 2). Extensive research efforts have focused on the contribution of functional groups of both the phenyl and cyclohexane moieties to herbicidal activity and </w:t>
      </w:r>
      <w:r w:rsidRPr="009E07BD">
        <w:rPr>
          <w:rFonts w:cs="Times New Roman"/>
          <w:i/>
        </w:rPr>
        <w:t>in vitro</w:t>
      </w:r>
      <w:r>
        <w:rPr>
          <w:rFonts w:cs="Times New Roman"/>
        </w:rPr>
        <w:t xml:space="preserve"> HPPD inhibition. </w:t>
      </w:r>
    </w:p>
    <w:p w14:paraId="3CBD10DA" w14:textId="77777777" w:rsidR="00D27D2E" w:rsidRPr="009638A6" w:rsidRDefault="00D27D2E" w:rsidP="00D27D2E">
      <w:pPr>
        <w:ind w:firstLine="720"/>
        <w:rPr>
          <w:rFonts w:cs="Times New Roman"/>
        </w:rPr>
      </w:pPr>
      <w:r>
        <w:rPr>
          <w:rFonts w:cs="Times New Roman"/>
        </w:rPr>
        <w:t xml:space="preserve">Investigating phenyl ring substitution patterns, Lee </w:t>
      </w:r>
      <w:proofErr w:type="gramStart"/>
      <w:r>
        <w:rPr>
          <w:rFonts w:cs="Times New Roman"/>
        </w:rPr>
        <w:t>et</w:t>
      </w:r>
      <w:proofErr w:type="gramEnd"/>
      <w:r>
        <w:rPr>
          <w:rFonts w:cs="Times New Roman"/>
        </w:rPr>
        <w:t xml:space="preserve"> al.</w:t>
      </w:r>
      <w:r w:rsidRPr="009638A6">
        <w:rPr>
          <w:rFonts w:cs="Times New Roman"/>
          <w:vertAlign w:val="superscript"/>
        </w:rPr>
        <w:t>13)</w:t>
      </w:r>
      <w:r>
        <w:rPr>
          <w:rFonts w:cs="Times New Roman"/>
        </w:rPr>
        <w:t xml:space="preserve"> reported that substituents at the 2,4 and 2,4,5 positions yielded the most active compounds. Further investigation into optimal 2,4 phenyl substituents determined that the 2-nitro-4-methylsulfonyl analog (mesotrione) was most </w:t>
      </w:r>
      <w:proofErr w:type="gramStart"/>
      <w:r>
        <w:rPr>
          <w:rFonts w:cs="Times New Roman"/>
        </w:rPr>
        <w:t>active</w:t>
      </w:r>
      <w:r w:rsidRPr="009638A6">
        <w:rPr>
          <w:rFonts w:cs="Times New Roman"/>
          <w:vertAlign w:val="superscript"/>
        </w:rPr>
        <w:t>6)13</w:t>
      </w:r>
      <w:proofErr w:type="gramEnd"/>
      <w:r w:rsidRPr="009638A6">
        <w:rPr>
          <w:rFonts w:cs="Times New Roman"/>
          <w:vertAlign w:val="superscript"/>
        </w:rPr>
        <w:t>)</w:t>
      </w:r>
      <w:r>
        <w:rPr>
          <w:rFonts w:cs="Times New Roman"/>
        </w:rPr>
        <w:t>.</w:t>
      </w:r>
      <w:r w:rsidRPr="009638A6">
        <w:rPr>
          <w:rFonts w:cs="Times New Roman"/>
          <w:vertAlign w:val="superscript"/>
        </w:rPr>
        <w:t xml:space="preserve"> </w:t>
      </w:r>
      <w:r>
        <w:rPr>
          <w:rFonts w:cs="Times New Roman"/>
        </w:rPr>
        <w:t xml:space="preserve">These phenyl substitutions function largely to increase the acidity, making the molecule more favorable for uptake and translocation in plants and increasing affinity for HPPD </w:t>
      </w:r>
      <w:r w:rsidRPr="00B64FAD">
        <w:rPr>
          <w:rFonts w:cs="Times New Roman"/>
          <w:i/>
        </w:rPr>
        <w:t>in vitro</w:t>
      </w:r>
      <w:r w:rsidRPr="009638A6">
        <w:rPr>
          <w:rFonts w:cs="Times New Roman"/>
          <w:vertAlign w:val="superscript"/>
        </w:rPr>
        <w:t>1) 5)</w:t>
      </w:r>
      <w:r>
        <w:rPr>
          <w:rFonts w:cs="Times New Roman"/>
        </w:rPr>
        <w:t>.</w:t>
      </w:r>
      <w:r w:rsidRPr="009638A6">
        <w:rPr>
          <w:rFonts w:cs="Times New Roman"/>
          <w:vertAlign w:val="superscript"/>
        </w:rPr>
        <w:t xml:space="preserve"> </w:t>
      </w:r>
      <w:r>
        <w:rPr>
          <w:rFonts w:cs="Times New Roman"/>
        </w:rPr>
        <w:t xml:space="preserve">Improving on the 2,4-phenyl substitution model, the commercial herbicide tembotrione introduces an alkoxy-trifluoro group at the </w:t>
      </w:r>
      <w:r>
        <w:rPr>
          <w:rFonts w:cs="Times New Roman"/>
          <w:i/>
        </w:rPr>
        <w:t xml:space="preserve">meta </w:t>
      </w:r>
      <w:r>
        <w:rPr>
          <w:rFonts w:cs="Times New Roman"/>
        </w:rPr>
        <w:t>position, to likely exploit a lipophilic interaction in the HPPD binding pocket and increase acidity while avoiding intramolecular cyclization</w:t>
      </w:r>
      <w:r w:rsidRPr="009638A6">
        <w:rPr>
          <w:rFonts w:cs="Times New Roman"/>
          <w:vertAlign w:val="superscript"/>
        </w:rPr>
        <w:t>10) 13) 14)</w:t>
      </w:r>
      <w:r>
        <w:rPr>
          <w:rFonts w:cs="Times New Roman"/>
        </w:rPr>
        <w:t>.</w:t>
      </w:r>
    </w:p>
    <w:p w14:paraId="3C3C5B1B" w14:textId="57F1F57F" w:rsidR="00D27D2E" w:rsidRDefault="00D27D2E" w:rsidP="00D27D2E">
      <w:pPr>
        <w:ind w:firstLine="720"/>
        <w:rPr>
          <w:rFonts w:cs="Times New Roman"/>
        </w:rPr>
      </w:pPr>
      <w:r>
        <w:rPr>
          <w:rFonts w:cs="Times New Roman"/>
        </w:rPr>
        <w:t xml:space="preserve">There have been extensive investigations to understand the effect of various substituents on the 1,3-cyclohexanedione </w:t>
      </w:r>
      <w:proofErr w:type="gramStart"/>
      <w:r>
        <w:rPr>
          <w:rFonts w:cs="Times New Roman"/>
        </w:rPr>
        <w:t>moiety</w:t>
      </w:r>
      <w:proofErr w:type="gramEnd"/>
      <w:r>
        <w:rPr>
          <w:rFonts w:cs="Times New Roman"/>
        </w:rPr>
        <w:t xml:space="preserve">. Mitchell </w:t>
      </w:r>
      <w:proofErr w:type="gramStart"/>
      <w:r>
        <w:rPr>
          <w:rFonts w:cs="Times New Roman"/>
        </w:rPr>
        <w:t>et</w:t>
      </w:r>
      <w:proofErr w:type="gramEnd"/>
      <w:r>
        <w:rPr>
          <w:rFonts w:cs="Times New Roman"/>
        </w:rPr>
        <w:t xml:space="preserve"> al.</w:t>
      </w:r>
      <w:r w:rsidRPr="009638A6">
        <w:rPr>
          <w:rFonts w:cs="Times New Roman"/>
          <w:vertAlign w:val="superscript"/>
        </w:rPr>
        <w:t>6)</w:t>
      </w:r>
      <w:r>
        <w:rPr>
          <w:rFonts w:cs="Times New Roman"/>
        </w:rPr>
        <w:t xml:space="preserve"> reported that methyl substitutions at the 4 position of the 1,3-cyclohexanedione moiety reduced ED</w:t>
      </w:r>
      <w:r w:rsidRPr="00B176BA">
        <w:rPr>
          <w:rFonts w:cs="Times New Roman"/>
          <w:vertAlign w:val="subscript"/>
        </w:rPr>
        <w:t>50</w:t>
      </w:r>
      <w:r>
        <w:rPr>
          <w:rFonts w:cs="Times New Roman"/>
          <w:vertAlign w:val="subscript"/>
        </w:rPr>
        <w:t xml:space="preserve"> </w:t>
      </w:r>
      <w:r>
        <w:rPr>
          <w:rFonts w:cs="Times New Roman"/>
        </w:rPr>
        <w:t xml:space="preserve">(herbicide application rate required to provide 50% control) values against grassy weeds by over 50%. Adding methyl substituents at the chemically equivalent 6 </w:t>
      </w:r>
      <w:proofErr w:type="gramStart"/>
      <w:r>
        <w:rPr>
          <w:rFonts w:cs="Times New Roman"/>
        </w:rPr>
        <w:t>position</w:t>
      </w:r>
      <w:proofErr w:type="gramEnd"/>
      <w:r>
        <w:rPr>
          <w:rFonts w:cs="Times New Roman"/>
        </w:rPr>
        <w:t xml:space="preserve"> further reduced ED</w:t>
      </w:r>
      <w:r w:rsidRPr="00B47AB7">
        <w:rPr>
          <w:rFonts w:cs="Times New Roman"/>
          <w:vertAlign w:val="subscript"/>
        </w:rPr>
        <w:t>50</w:t>
      </w:r>
      <w:r>
        <w:rPr>
          <w:rFonts w:cs="Times New Roman"/>
        </w:rPr>
        <w:t xml:space="preserve"> values against grassy weeds. These methyl substitutions did not reduce </w:t>
      </w:r>
      <w:r w:rsidRPr="00A60B98">
        <w:rPr>
          <w:rFonts w:cs="Times New Roman"/>
          <w:i/>
        </w:rPr>
        <w:t>in vitro</w:t>
      </w:r>
      <w:r>
        <w:rPr>
          <w:rFonts w:cs="Times New Roman"/>
        </w:rPr>
        <w:t xml:space="preserve"> HPPD IC</w:t>
      </w:r>
      <w:r w:rsidRPr="00B47AB7">
        <w:rPr>
          <w:rFonts w:cs="Times New Roman"/>
          <w:vertAlign w:val="subscript"/>
        </w:rPr>
        <w:t>50</w:t>
      </w:r>
      <w:r>
        <w:rPr>
          <w:rFonts w:cs="Times New Roman"/>
        </w:rPr>
        <w:t xml:space="preserve"> (herbicide concentration required to cause 50% HPPD enzyme inhibition) values. The methyl substituents likely stericall</w:t>
      </w:r>
      <w:r w:rsidR="00F8536F">
        <w:rPr>
          <w:rFonts w:cs="Times New Roman"/>
        </w:rPr>
        <w:t>y hinder hydroxylation at the 4-</w:t>
      </w:r>
      <w:r>
        <w:rPr>
          <w:rFonts w:cs="Times New Roman"/>
        </w:rPr>
        <w:t xml:space="preserve">position of the cyclohexandione moiety in planta, thus, increasing efficacy </w:t>
      </w:r>
      <w:r>
        <w:rPr>
          <w:rFonts w:cs="Times New Roman"/>
        </w:rPr>
        <w:lastRenderedPageBreak/>
        <w:t>as a result of slower metabolism in target plants</w:t>
      </w:r>
      <w:r w:rsidRPr="009638A6">
        <w:rPr>
          <w:rFonts w:cs="Times New Roman"/>
          <w:vertAlign w:val="superscript"/>
        </w:rPr>
        <w:t>6)</w:t>
      </w:r>
      <w:r>
        <w:rPr>
          <w:rFonts w:cs="Times New Roman"/>
        </w:rPr>
        <w:t xml:space="preserve">. Similarly, Adachi </w:t>
      </w:r>
      <w:proofErr w:type="gramStart"/>
      <w:r>
        <w:rPr>
          <w:rFonts w:cs="Times New Roman"/>
        </w:rPr>
        <w:t>et</w:t>
      </w:r>
      <w:proofErr w:type="gramEnd"/>
      <w:r>
        <w:rPr>
          <w:rFonts w:cs="Times New Roman"/>
        </w:rPr>
        <w:t xml:space="preserve"> al.</w:t>
      </w:r>
      <w:r w:rsidRPr="009638A6">
        <w:rPr>
          <w:rFonts w:cs="Times New Roman"/>
          <w:vertAlign w:val="superscript"/>
        </w:rPr>
        <w:t>15)</w:t>
      </w:r>
      <w:r>
        <w:rPr>
          <w:rFonts w:cs="Times New Roman"/>
        </w:rPr>
        <w:t xml:space="preserve"> found that adding methyl substituents increased efficacy against grassy weeds but reduced broadleaf weed control. They also found that larger isopropyl or </w:t>
      </w:r>
      <w:r w:rsidRPr="000854E1">
        <w:rPr>
          <w:rFonts w:cs="Times New Roman"/>
          <w:i/>
        </w:rPr>
        <w:t>n</w:t>
      </w:r>
      <w:r>
        <w:rPr>
          <w:rFonts w:cs="Times New Roman"/>
        </w:rPr>
        <w:t xml:space="preserve">-butyl substitutions greatly reduced herbicidal activity. Similarly, Dayan </w:t>
      </w:r>
      <w:proofErr w:type="gramStart"/>
      <w:r>
        <w:rPr>
          <w:rFonts w:cs="Times New Roman"/>
        </w:rPr>
        <w:t>et</w:t>
      </w:r>
      <w:proofErr w:type="gramEnd"/>
      <w:r>
        <w:rPr>
          <w:rFonts w:cs="Times New Roman"/>
        </w:rPr>
        <w:t xml:space="preserve"> al.</w:t>
      </w:r>
      <w:r w:rsidRPr="009638A6">
        <w:rPr>
          <w:rFonts w:cs="Times New Roman"/>
          <w:vertAlign w:val="superscript"/>
        </w:rPr>
        <w:t>14)</w:t>
      </w:r>
      <w:r>
        <w:rPr>
          <w:rFonts w:cs="Times New Roman"/>
        </w:rPr>
        <w:t xml:space="preserve"> found bulkier tetraprenyl or tetraethyl cyclohexane ring substituents reduced efficacy. Using HPPD enzyme assays and comparative molecular field analyses, they determined that reduced efficacy of triketones with large cyclohexane substituents is caused by size restrictions in the HPPD binding pocket</w:t>
      </w:r>
      <w:r w:rsidRPr="009638A6">
        <w:rPr>
          <w:rFonts w:cs="Times New Roman"/>
          <w:vertAlign w:val="superscript"/>
        </w:rPr>
        <w:t>14)</w:t>
      </w:r>
      <w:r>
        <w:rPr>
          <w:rFonts w:cs="Times New Roman"/>
        </w:rPr>
        <w:t>. Despite increased herbicidal activity, these methyl-substituted analogs were not commercialized due</w:t>
      </w:r>
      <w:r w:rsidR="00D97C04">
        <w:rPr>
          <w:rFonts w:cs="Times New Roman"/>
        </w:rPr>
        <w:t xml:space="preserve"> to</w:t>
      </w:r>
      <w:r>
        <w:rPr>
          <w:rFonts w:cs="Times New Roman"/>
        </w:rPr>
        <w:t xml:space="preserve"> reduced corn tolerance and greater soil persistence</w:t>
      </w:r>
      <w:r w:rsidRPr="009638A6">
        <w:rPr>
          <w:rFonts w:cs="Times New Roman"/>
          <w:vertAlign w:val="superscript"/>
        </w:rPr>
        <w:t>6)</w:t>
      </w:r>
      <w:r>
        <w:rPr>
          <w:rFonts w:cs="Times New Roman"/>
        </w:rPr>
        <w:t>. However, in an effort to exploit the potential utility of alkyl-saturated cyclohexandione moieties, Adachi et al.</w:t>
      </w:r>
      <w:r w:rsidRPr="009638A6">
        <w:rPr>
          <w:rFonts w:cs="Times New Roman"/>
          <w:vertAlign w:val="superscript"/>
        </w:rPr>
        <w:t>15)</w:t>
      </w:r>
      <w:r>
        <w:rPr>
          <w:rFonts w:cs="Times New Roman"/>
        </w:rPr>
        <w:t xml:space="preserve"> evaluated a bicyclo [4.1.0]-heptane-2</w:t>
      </w:r>
      <w:proofErr w:type="gramStart"/>
      <w:r>
        <w:rPr>
          <w:rFonts w:cs="Times New Roman"/>
        </w:rPr>
        <w:t>,4</w:t>
      </w:r>
      <w:proofErr w:type="gramEnd"/>
      <w:r>
        <w:rPr>
          <w:rFonts w:cs="Times New Roman"/>
        </w:rPr>
        <w:t>-dione ring and found efficacy against grassy weeds to be slightly lower than 1,3-cyclohexandione methyl-substituted analogs, but activity against broadleaf weeds was higher. Optimization of the phenyl substituents on this bicycloheptane derivative increased corn tolerance. This technology is utilized by the herbicide bicyclopyrone, which is being developed for weed control in corn, and the pro-herbicide benzobicylon, currently used in rice</w:t>
      </w:r>
      <w:r w:rsidRPr="009638A6">
        <w:rPr>
          <w:rFonts w:cs="Times New Roman"/>
          <w:vertAlign w:val="superscript"/>
        </w:rPr>
        <w:t>16)</w:t>
      </w:r>
      <w:r>
        <w:rPr>
          <w:rFonts w:cs="Times New Roman"/>
        </w:rPr>
        <w:t xml:space="preserve">. </w:t>
      </w:r>
    </w:p>
    <w:p w14:paraId="727FE177" w14:textId="77777777" w:rsidR="00D27D2E" w:rsidRDefault="00D27D2E" w:rsidP="00D27D2E">
      <w:pPr>
        <w:ind w:firstLine="720"/>
        <w:rPr>
          <w:rFonts w:cs="Times New Roman"/>
        </w:rPr>
      </w:pPr>
      <w:r>
        <w:rPr>
          <w:rFonts w:cs="Times New Roman"/>
        </w:rPr>
        <w:t>Mesotrione is the only HPPD-inhibiting, triketone herbicide registered for use in turfgrass and corn. It is registered for postemergence application at up to 150 g ha</w:t>
      </w:r>
      <w:r w:rsidRPr="00AD2617">
        <w:rPr>
          <w:rFonts w:cs="Times New Roman"/>
          <w:vertAlign w:val="superscript"/>
        </w:rPr>
        <w:t>-1</w:t>
      </w:r>
      <w:r>
        <w:rPr>
          <w:rFonts w:cs="Times New Roman"/>
        </w:rPr>
        <w:t xml:space="preserve"> in </w:t>
      </w:r>
      <w:r>
        <w:rPr>
          <w:rFonts w:cs="Times New Roman"/>
          <w:i/>
        </w:rPr>
        <w:t>Z</w:t>
      </w:r>
      <w:r w:rsidRPr="0042235C">
        <w:rPr>
          <w:rFonts w:cs="Times New Roman"/>
          <w:i/>
        </w:rPr>
        <w:t>ea mays</w:t>
      </w:r>
      <w:r>
        <w:rPr>
          <w:rFonts w:cs="Times New Roman"/>
        </w:rPr>
        <w:t xml:space="preserve"> and the turfgrass </w:t>
      </w:r>
      <w:r w:rsidRPr="000025E3">
        <w:rPr>
          <w:rFonts w:cs="Times New Roman"/>
          <w:i/>
        </w:rPr>
        <w:t>Lolium perenne</w:t>
      </w:r>
      <w:r w:rsidRPr="0042235C">
        <w:rPr>
          <w:rFonts w:cs="Times New Roman"/>
        </w:rPr>
        <w:t xml:space="preserve">, </w:t>
      </w:r>
      <w:r>
        <w:rPr>
          <w:rFonts w:cs="Times New Roman"/>
        </w:rPr>
        <w:t>and up to 280 g ha</w:t>
      </w:r>
      <w:r w:rsidRPr="00AD2617">
        <w:rPr>
          <w:rFonts w:cs="Times New Roman"/>
          <w:vertAlign w:val="superscript"/>
        </w:rPr>
        <w:t>-1</w:t>
      </w:r>
      <w:r>
        <w:rPr>
          <w:rFonts w:cs="Times New Roman"/>
        </w:rPr>
        <w:t xml:space="preserve"> in </w:t>
      </w:r>
      <w:r w:rsidRPr="00AD2617">
        <w:rPr>
          <w:rFonts w:cs="Times New Roman"/>
          <w:i/>
        </w:rPr>
        <w:t>Festuca arundinacea</w:t>
      </w:r>
      <w:r>
        <w:rPr>
          <w:rFonts w:cs="Times New Roman"/>
        </w:rPr>
        <w:t xml:space="preserve"> and </w:t>
      </w:r>
      <w:r w:rsidRPr="00AD2617">
        <w:rPr>
          <w:rFonts w:cs="Times New Roman"/>
          <w:i/>
        </w:rPr>
        <w:t>Poa pratensis</w:t>
      </w:r>
      <w:r w:rsidRPr="009638A6">
        <w:rPr>
          <w:rFonts w:cs="Times New Roman"/>
          <w:vertAlign w:val="superscript"/>
        </w:rPr>
        <w:t>17)</w:t>
      </w:r>
      <w:r>
        <w:rPr>
          <w:rFonts w:cs="Times New Roman"/>
          <w:vertAlign w:val="superscript"/>
        </w:rPr>
        <w:t xml:space="preserve"> </w:t>
      </w:r>
      <w:r w:rsidRPr="009638A6">
        <w:rPr>
          <w:rFonts w:cs="Times New Roman"/>
          <w:vertAlign w:val="superscript"/>
        </w:rPr>
        <w:t>18)</w:t>
      </w:r>
      <w:r>
        <w:rPr>
          <w:rFonts w:cs="Times New Roman"/>
        </w:rPr>
        <w:t>.</w:t>
      </w:r>
      <w:r w:rsidRPr="009638A6">
        <w:rPr>
          <w:rFonts w:cs="Times New Roman"/>
          <w:vertAlign w:val="superscript"/>
        </w:rPr>
        <w:t xml:space="preserve"> </w:t>
      </w:r>
      <w:r>
        <w:rPr>
          <w:rFonts w:cs="Times New Roman"/>
        </w:rPr>
        <w:t xml:space="preserve">In </w:t>
      </w:r>
      <w:r>
        <w:rPr>
          <w:rFonts w:cs="Times New Roman"/>
          <w:i/>
        </w:rPr>
        <w:t>Z</w:t>
      </w:r>
      <w:r w:rsidRPr="0042235C">
        <w:rPr>
          <w:rFonts w:cs="Times New Roman"/>
          <w:i/>
        </w:rPr>
        <w:t>ea mays</w:t>
      </w:r>
      <w:r>
        <w:rPr>
          <w:rFonts w:cs="Times New Roman"/>
        </w:rPr>
        <w:t xml:space="preserve">, mesotrione is primarily used to control broadleaf weeds. It can provide control of </w:t>
      </w:r>
      <w:r w:rsidRPr="00420496">
        <w:rPr>
          <w:rFonts w:cs="Times New Roman"/>
          <w:i/>
        </w:rPr>
        <w:t>Digitaria</w:t>
      </w:r>
      <w:r>
        <w:rPr>
          <w:rFonts w:cs="Times New Roman"/>
        </w:rPr>
        <w:t xml:space="preserve"> and </w:t>
      </w:r>
      <w:r w:rsidRPr="00420496">
        <w:rPr>
          <w:rFonts w:cs="Times New Roman"/>
          <w:i/>
        </w:rPr>
        <w:t>Echinochloa</w:t>
      </w:r>
      <w:r>
        <w:rPr>
          <w:rFonts w:cs="Times New Roman"/>
        </w:rPr>
        <w:t xml:space="preserve"> species at higher application rates, but it is often applied in combination with an acetolactate synthase inhibiting herbicide to provide annual grassy weed control</w:t>
      </w:r>
      <w:r w:rsidRPr="009638A6">
        <w:rPr>
          <w:rFonts w:cs="Times New Roman"/>
          <w:vertAlign w:val="superscript"/>
        </w:rPr>
        <w:t>6)</w:t>
      </w:r>
      <w:r>
        <w:rPr>
          <w:rFonts w:cs="Times New Roman"/>
          <w:vertAlign w:val="superscript"/>
        </w:rPr>
        <w:t xml:space="preserve"> </w:t>
      </w:r>
      <w:r w:rsidRPr="009638A6">
        <w:rPr>
          <w:rFonts w:cs="Times New Roman"/>
          <w:vertAlign w:val="superscript"/>
        </w:rPr>
        <w:t>19)</w:t>
      </w:r>
      <w:r>
        <w:rPr>
          <w:rFonts w:cs="Times New Roman"/>
        </w:rPr>
        <w:t xml:space="preserve">. In turfgrass, many other effective options for broadleaf weed control are available; therefore, mesotrione is used primarily for selective control of grassy weeds such as </w:t>
      </w:r>
      <w:r w:rsidRPr="009A23DC">
        <w:rPr>
          <w:rFonts w:cs="Times New Roman"/>
          <w:i/>
        </w:rPr>
        <w:t xml:space="preserve">Agrostis </w:t>
      </w:r>
      <w:r w:rsidRPr="009A23DC">
        <w:rPr>
          <w:rFonts w:cs="Times New Roman"/>
          <w:i/>
        </w:rPr>
        <w:lastRenderedPageBreak/>
        <w:t>stolonifera</w:t>
      </w:r>
      <w:r>
        <w:rPr>
          <w:rFonts w:cs="Times New Roman"/>
        </w:rPr>
        <w:t xml:space="preserve">, </w:t>
      </w:r>
      <w:r w:rsidRPr="009A23DC">
        <w:rPr>
          <w:rFonts w:cs="Times New Roman"/>
          <w:i/>
        </w:rPr>
        <w:t>Poa annua</w:t>
      </w:r>
      <w:r>
        <w:rPr>
          <w:rFonts w:cs="Times New Roman"/>
        </w:rPr>
        <w:t xml:space="preserve">, and </w:t>
      </w:r>
      <w:r w:rsidRPr="009A23DC">
        <w:rPr>
          <w:rFonts w:cs="Times New Roman"/>
          <w:i/>
        </w:rPr>
        <w:t>Digitaria</w:t>
      </w:r>
      <w:r>
        <w:rPr>
          <w:rFonts w:cs="Times New Roman"/>
        </w:rPr>
        <w:t xml:space="preserve"> species. However, complete control of these grassy weeds often requires multiple applications</w:t>
      </w:r>
      <w:r w:rsidRPr="009638A6">
        <w:rPr>
          <w:rFonts w:cs="Times New Roman"/>
          <w:vertAlign w:val="superscript"/>
        </w:rPr>
        <w:t>20-22)</w:t>
      </w:r>
      <w:r>
        <w:rPr>
          <w:rFonts w:cs="Times New Roman"/>
        </w:rPr>
        <w:t>.</w:t>
      </w:r>
      <w:r w:rsidRPr="009638A6">
        <w:rPr>
          <w:rFonts w:cs="Times New Roman"/>
          <w:vertAlign w:val="superscript"/>
        </w:rPr>
        <w:t xml:space="preserve"> </w:t>
      </w:r>
      <w:r>
        <w:rPr>
          <w:rFonts w:cs="Times New Roman"/>
        </w:rPr>
        <w:t>The efficacy of triketones with alkyl-substituted 1,3-cyclohexanedione moieties against problematic graminaceous weeds of turfgrass has not been evaluated. HPPD-inhibitors with more efficacy and selectivity for certain weedy grasses would have utility in turfgrass management.</w:t>
      </w:r>
    </w:p>
    <w:p w14:paraId="2EF97716" w14:textId="77777777" w:rsidR="00D27D2E" w:rsidRDefault="00D27D2E" w:rsidP="00D27D2E">
      <w:pPr>
        <w:ind w:firstLine="720"/>
        <w:rPr>
          <w:rFonts w:cs="Times New Roman"/>
        </w:rPr>
      </w:pPr>
      <w:r>
        <w:rPr>
          <w:rFonts w:cs="Times New Roman"/>
        </w:rPr>
        <w:t xml:space="preserve">The objective of this experiment was to determine how alkyl substitutions on the cyclohexane moiety of triketone herbicides affect control of graminaceous weeds problematic in turfgrass. Our hypothesis was that methyl-substituted analogs would have greater efficacy against grasses such as </w:t>
      </w:r>
      <w:r w:rsidRPr="00420EE0">
        <w:rPr>
          <w:rFonts w:cs="Times New Roman"/>
          <w:i/>
        </w:rPr>
        <w:t>Digitaria sanguinalis</w:t>
      </w:r>
      <w:r>
        <w:rPr>
          <w:rFonts w:cs="Times New Roman"/>
        </w:rPr>
        <w:t xml:space="preserve"> and </w:t>
      </w:r>
      <w:r w:rsidRPr="00420EE0">
        <w:rPr>
          <w:rFonts w:cs="Times New Roman"/>
          <w:i/>
        </w:rPr>
        <w:t>Eleusine indica</w:t>
      </w:r>
      <w:r>
        <w:rPr>
          <w:rFonts w:cs="Times New Roman"/>
        </w:rPr>
        <w:t xml:space="preserve">, but not injure desirable cool-season turfgrasses such as </w:t>
      </w:r>
      <w:r w:rsidRPr="00420EE0">
        <w:rPr>
          <w:rFonts w:cs="Times New Roman"/>
          <w:i/>
        </w:rPr>
        <w:t>Poa pratensis</w:t>
      </w:r>
      <w:r>
        <w:rPr>
          <w:rFonts w:cs="Times New Roman"/>
        </w:rPr>
        <w:t>.</w:t>
      </w:r>
    </w:p>
    <w:p w14:paraId="335A4D5A" w14:textId="77777777" w:rsidR="00326E4D" w:rsidRDefault="00326E4D" w:rsidP="00326E4D">
      <w:pPr>
        <w:ind w:firstLine="720"/>
        <w:rPr>
          <w:rFonts w:cs="Times New Roman"/>
        </w:rPr>
      </w:pPr>
    </w:p>
    <w:p w14:paraId="2A563EAD" w14:textId="77777777" w:rsidR="00326E4D" w:rsidRDefault="00160E5E" w:rsidP="003A1DC6">
      <w:pPr>
        <w:pStyle w:val="Heading2"/>
      </w:pPr>
      <w:bookmarkStart w:id="131" w:name="_Toc264713584"/>
      <w:bookmarkStart w:id="132" w:name="_Toc264713634"/>
      <w:bookmarkStart w:id="133" w:name="_Toc264967206"/>
      <w:r>
        <w:t>MATERIALS AND METHODS</w:t>
      </w:r>
      <w:bookmarkEnd w:id="131"/>
      <w:bookmarkEnd w:id="132"/>
      <w:bookmarkEnd w:id="133"/>
    </w:p>
    <w:p w14:paraId="49AF498A" w14:textId="77777777" w:rsidR="00D27D2E" w:rsidRPr="000419B1" w:rsidRDefault="00D27D2E" w:rsidP="00E54F6E">
      <w:pPr>
        <w:rPr>
          <w:rFonts w:cs="Times New Roman"/>
          <w:i/>
        </w:rPr>
      </w:pPr>
      <w:r w:rsidRPr="00583988">
        <w:rPr>
          <w:rFonts w:cs="Times New Roman"/>
          <w:i/>
        </w:rPr>
        <w:t>Synthesis</w:t>
      </w:r>
      <w:r w:rsidR="00E54F6E">
        <w:rPr>
          <w:rFonts w:cs="Times New Roman"/>
          <w:i/>
        </w:rPr>
        <w:t xml:space="preserve">: </w:t>
      </w:r>
      <w:r w:rsidRPr="000419B1">
        <w:rPr>
          <w:rFonts w:cs="Times New Roman"/>
          <w:i/>
        </w:rPr>
        <w:t>General Procedure</w:t>
      </w:r>
    </w:p>
    <w:p w14:paraId="64A5130A" w14:textId="02542A03" w:rsidR="00D27D2E" w:rsidRDefault="00D27D2E" w:rsidP="00D27D2E">
      <w:pPr>
        <w:widowControl w:val="0"/>
        <w:autoSpaceDE w:val="0"/>
        <w:autoSpaceDN w:val="0"/>
        <w:adjustRightInd w:val="0"/>
        <w:ind w:firstLine="720"/>
        <w:rPr>
          <w:rFonts w:cs="Times New Roman"/>
        </w:rPr>
      </w:pPr>
      <w:r w:rsidRPr="00AA2B54">
        <w:rPr>
          <w:rFonts w:cs="Times New Roman"/>
        </w:rPr>
        <w:t xml:space="preserve">The general route used to synthesize 2-[2,4-dichloro]-1,3-cyclohexanediones was similar </w:t>
      </w:r>
      <w:r>
        <w:rPr>
          <w:rFonts w:cs="Times New Roman"/>
        </w:rPr>
        <w:t xml:space="preserve">to that described by Barton </w:t>
      </w:r>
      <w:proofErr w:type="gramStart"/>
      <w:r>
        <w:rPr>
          <w:rFonts w:cs="Times New Roman"/>
        </w:rPr>
        <w:t>et</w:t>
      </w:r>
      <w:proofErr w:type="gramEnd"/>
      <w:r>
        <w:rPr>
          <w:rFonts w:cs="Times New Roman"/>
        </w:rPr>
        <w:t xml:space="preserve"> al</w:t>
      </w:r>
      <w:r w:rsidRPr="00AA2B54">
        <w:rPr>
          <w:rFonts w:cs="Times New Roman"/>
        </w:rPr>
        <w:t>.</w:t>
      </w:r>
      <w:r w:rsidRPr="009638A6">
        <w:rPr>
          <w:rFonts w:cs="Times New Roman"/>
          <w:vertAlign w:val="superscript"/>
        </w:rPr>
        <w:t>23)</w:t>
      </w:r>
      <w:r>
        <w:rPr>
          <w:rFonts w:cs="Times New Roman"/>
        </w:rPr>
        <w:t>.</w:t>
      </w:r>
      <w:r w:rsidRPr="00AA2B54">
        <w:rPr>
          <w:rFonts w:cs="Times New Roman"/>
        </w:rPr>
        <w:t xml:space="preserve"> </w:t>
      </w:r>
      <w:r w:rsidR="00D95426">
        <w:rPr>
          <w:rFonts w:cs="Times New Roman"/>
        </w:rPr>
        <w:t xml:space="preserve">The dichloro substitution pattern was selected in favor of stronger electron withdrawing groups to better determine the effects of substitutions at the 4- and 5-positions of the cyclohexanedione moiety. </w:t>
      </w:r>
      <w:r w:rsidRPr="00AA2B54">
        <w:rPr>
          <w:rFonts w:cs="Times New Roman"/>
        </w:rPr>
        <w:t>All reactions took place at room temperature</w:t>
      </w:r>
      <w:r>
        <w:rPr>
          <w:rFonts w:cs="Times New Roman"/>
        </w:rPr>
        <w:t xml:space="preserve"> in a round-bottom flask with a magnetic stir bar</w:t>
      </w:r>
      <w:r w:rsidRPr="00AA2B54">
        <w:rPr>
          <w:rFonts w:cs="Times New Roman"/>
        </w:rPr>
        <w:t xml:space="preserve">. 1,3-cyclohexanediones and </w:t>
      </w:r>
      <w:r>
        <w:rPr>
          <w:rFonts w:cs="Times New Roman"/>
        </w:rPr>
        <w:t>potassium carbonate</w:t>
      </w:r>
      <w:r w:rsidRPr="00AA2B54">
        <w:rPr>
          <w:rFonts w:cs="Times New Roman"/>
        </w:rPr>
        <w:t xml:space="preserve"> (</w:t>
      </w:r>
      <w:r>
        <w:rPr>
          <w:rFonts w:cs="Times New Roman"/>
        </w:rPr>
        <w:t>Sigma Aldrich, St. Louis, MO, USA</w:t>
      </w:r>
      <w:r w:rsidRPr="00AA2B54">
        <w:rPr>
          <w:rFonts w:cs="Times New Roman"/>
        </w:rPr>
        <w:t xml:space="preserve">) were stirred in </w:t>
      </w:r>
      <w:r>
        <w:rPr>
          <w:rFonts w:cs="Times New Roman"/>
        </w:rPr>
        <w:t>excess</w:t>
      </w:r>
      <w:r w:rsidRPr="00AA2B54">
        <w:rPr>
          <w:rFonts w:cs="Times New Roman"/>
        </w:rPr>
        <w:t xml:space="preserve"> </w:t>
      </w:r>
      <w:r>
        <w:rPr>
          <w:rFonts w:cs="Times New Roman"/>
        </w:rPr>
        <w:t>acetonitrile</w:t>
      </w:r>
      <w:r w:rsidRPr="00AA2B54">
        <w:rPr>
          <w:rFonts w:cs="Times New Roman"/>
        </w:rPr>
        <w:t xml:space="preserve"> for 4 hours to generate corresponding enolates. </w:t>
      </w:r>
      <w:proofErr w:type="gramStart"/>
      <w:r w:rsidRPr="00AA2B54">
        <w:rPr>
          <w:rFonts w:cs="Times New Roman"/>
        </w:rPr>
        <w:t>2,4-dic</w:t>
      </w:r>
      <w:r>
        <w:rPr>
          <w:rFonts w:cs="Times New Roman"/>
        </w:rPr>
        <w:t>hlorobenzoyl chloride</w:t>
      </w:r>
      <w:proofErr w:type="gramEnd"/>
      <w:r>
        <w:rPr>
          <w:rFonts w:cs="Times New Roman"/>
        </w:rPr>
        <w:t xml:space="preserve"> (Sigma Aldrich, St. Louis MO, USA)</w:t>
      </w:r>
      <w:r w:rsidRPr="00AA2B54">
        <w:rPr>
          <w:rFonts w:cs="Times New Roman"/>
        </w:rPr>
        <w:t xml:space="preserve"> was</w:t>
      </w:r>
      <w:r>
        <w:rPr>
          <w:rFonts w:cs="Times New Roman"/>
        </w:rPr>
        <w:t xml:space="preserve"> dissolved in acetonitrile and</w:t>
      </w:r>
      <w:r w:rsidRPr="00AA2B54">
        <w:rPr>
          <w:rFonts w:cs="Times New Roman"/>
        </w:rPr>
        <w:t xml:space="preserve"> added </w:t>
      </w:r>
      <w:r w:rsidR="00904173" w:rsidRPr="00AA2B54">
        <w:rPr>
          <w:rFonts w:cs="Times New Roman"/>
        </w:rPr>
        <w:t>drop wise</w:t>
      </w:r>
      <w:r w:rsidRPr="00AA2B54">
        <w:rPr>
          <w:rFonts w:cs="Times New Roman"/>
        </w:rPr>
        <w:t xml:space="preserve"> to the mixture</w:t>
      </w:r>
      <w:r>
        <w:rPr>
          <w:rFonts w:cs="Times New Roman"/>
        </w:rPr>
        <w:t>,</w:t>
      </w:r>
      <w:r w:rsidRPr="00AA2B54">
        <w:rPr>
          <w:rFonts w:cs="Times New Roman"/>
        </w:rPr>
        <w:t xml:space="preserve"> </w:t>
      </w:r>
      <w:r>
        <w:rPr>
          <w:rFonts w:cs="Times New Roman"/>
        </w:rPr>
        <w:t>which was then</w:t>
      </w:r>
      <w:r w:rsidRPr="00AA2B54">
        <w:rPr>
          <w:rFonts w:cs="Times New Roman"/>
        </w:rPr>
        <w:t xml:space="preserve"> stirred for one hour until 1,2,4-triazole </w:t>
      </w:r>
      <w:r>
        <w:rPr>
          <w:rFonts w:cs="Times New Roman"/>
        </w:rPr>
        <w:t>(Sigma Aldrich, St. Louis, MO, USA</w:t>
      </w:r>
      <w:r w:rsidRPr="00AA2B54">
        <w:rPr>
          <w:rFonts w:cs="Times New Roman"/>
        </w:rPr>
        <w:t>) was added</w:t>
      </w:r>
      <w:r>
        <w:rPr>
          <w:rFonts w:cs="Times New Roman"/>
        </w:rPr>
        <w:t>.</w:t>
      </w:r>
      <w:r w:rsidRPr="00AA2B54">
        <w:rPr>
          <w:rFonts w:cs="Times New Roman"/>
        </w:rPr>
        <w:t xml:space="preserve"> </w:t>
      </w:r>
      <w:r>
        <w:rPr>
          <w:rFonts w:cs="Times New Roman"/>
        </w:rPr>
        <w:t xml:space="preserve">The </w:t>
      </w:r>
      <w:r w:rsidRPr="00AA2B54">
        <w:rPr>
          <w:rFonts w:cs="Times New Roman"/>
        </w:rPr>
        <w:t>mixture</w:t>
      </w:r>
      <w:r>
        <w:rPr>
          <w:rFonts w:cs="Times New Roman"/>
        </w:rPr>
        <w:t xml:space="preserve"> capped with a rubber stopper, an N</w:t>
      </w:r>
      <w:r w:rsidRPr="006C3276">
        <w:rPr>
          <w:rFonts w:cs="Times New Roman"/>
          <w:vertAlign w:val="subscript"/>
        </w:rPr>
        <w:t>2</w:t>
      </w:r>
      <w:r>
        <w:rPr>
          <w:rFonts w:cs="Times New Roman"/>
        </w:rPr>
        <w:t>-filled balloon, and</w:t>
      </w:r>
      <w:r w:rsidRPr="00AA2B54">
        <w:rPr>
          <w:rFonts w:cs="Times New Roman"/>
        </w:rPr>
        <w:t xml:space="preserve"> stirred for 24 hours. The </w:t>
      </w:r>
      <w:r>
        <w:rPr>
          <w:rFonts w:cs="Times New Roman"/>
        </w:rPr>
        <w:t>acetonitrile</w:t>
      </w:r>
      <w:r w:rsidRPr="00AA2B54">
        <w:rPr>
          <w:rFonts w:cs="Times New Roman"/>
        </w:rPr>
        <w:t xml:space="preserve"> was removed by </w:t>
      </w:r>
      <w:r w:rsidRPr="00AA2B54">
        <w:rPr>
          <w:rFonts w:cs="Times New Roman"/>
        </w:rPr>
        <w:lastRenderedPageBreak/>
        <w:t xml:space="preserve">rotary evaporation under vacuum (Buchi R-114. Buchi Labortechnik AG. </w:t>
      </w:r>
      <w:proofErr w:type="gramStart"/>
      <w:r w:rsidRPr="00AA2B54">
        <w:rPr>
          <w:rFonts w:cs="Times New Roman"/>
        </w:rPr>
        <w:t>Flawil, Switzerland)</w:t>
      </w:r>
      <w:r>
        <w:rPr>
          <w:rFonts w:cs="Times New Roman"/>
        </w:rPr>
        <w:t xml:space="preserve"> in 50</w:t>
      </w:r>
      <w:r w:rsidRPr="007E494D">
        <w:rPr>
          <w:rFonts w:cs="Times New Roman"/>
          <w:b/>
          <w:color w:val="000000"/>
        </w:rPr>
        <w:t>°</w:t>
      </w:r>
      <w:r>
        <w:rPr>
          <w:rFonts w:cs="Times New Roman"/>
        </w:rPr>
        <w:t>C water bath</w:t>
      </w:r>
      <w:r w:rsidRPr="00AA2B54">
        <w:rPr>
          <w:rFonts w:cs="Times New Roman"/>
        </w:rPr>
        <w:t>.</w:t>
      </w:r>
      <w:proofErr w:type="gramEnd"/>
      <w:r w:rsidRPr="00AA2B54">
        <w:rPr>
          <w:rFonts w:cs="Times New Roman"/>
        </w:rPr>
        <w:t xml:space="preserve"> Water (30 mL) was added and the solution was acidified with </w:t>
      </w:r>
      <w:r>
        <w:rPr>
          <w:rFonts w:cs="Times New Roman"/>
        </w:rPr>
        <w:t>sulfuric acid,</w:t>
      </w:r>
      <w:r w:rsidRPr="00AA2B54">
        <w:rPr>
          <w:rFonts w:cs="Times New Roman"/>
        </w:rPr>
        <w:t xml:space="preserve"> at which time </w:t>
      </w:r>
      <w:r>
        <w:rPr>
          <w:rFonts w:cs="Times New Roman"/>
        </w:rPr>
        <w:t>dichloromethane</w:t>
      </w:r>
      <w:r w:rsidRPr="00AA2B54">
        <w:rPr>
          <w:rFonts w:cs="Times New Roman"/>
          <w:vertAlign w:val="subscript"/>
        </w:rPr>
        <w:t xml:space="preserve"> </w:t>
      </w:r>
      <w:r w:rsidRPr="00AA2B54">
        <w:rPr>
          <w:rFonts w:cs="Times New Roman"/>
        </w:rPr>
        <w:t>(30 mL) was added</w:t>
      </w:r>
      <w:r>
        <w:rPr>
          <w:rFonts w:cs="Times New Roman"/>
        </w:rPr>
        <w:t xml:space="preserve"> and said mixture was</w:t>
      </w:r>
      <w:r w:rsidRPr="00AA2B54">
        <w:rPr>
          <w:rFonts w:cs="Times New Roman"/>
        </w:rPr>
        <w:t xml:space="preserve"> </w:t>
      </w:r>
      <w:r>
        <w:rPr>
          <w:rFonts w:cs="Times New Roman"/>
        </w:rPr>
        <w:t>transferred to</w:t>
      </w:r>
      <w:r w:rsidRPr="00AA2B54">
        <w:rPr>
          <w:rFonts w:cs="Times New Roman"/>
        </w:rPr>
        <w:t xml:space="preserve"> a fractionation vessel to </w:t>
      </w:r>
      <w:r>
        <w:rPr>
          <w:rFonts w:cs="Times New Roman"/>
        </w:rPr>
        <w:t>collect</w:t>
      </w:r>
      <w:r w:rsidRPr="00AA2B54">
        <w:rPr>
          <w:rFonts w:cs="Times New Roman"/>
        </w:rPr>
        <w:t xml:space="preserve"> the </w:t>
      </w:r>
      <w:r>
        <w:rPr>
          <w:rFonts w:cs="Times New Roman"/>
        </w:rPr>
        <w:t>dichloromethane</w:t>
      </w:r>
      <w:r w:rsidRPr="00AA2B54">
        <w:rPr>
          <w:rFonts w:cs="Times New Roman"/>
        </w:rPr>
        <w:t xml:space="preserve"> fraction. This fraction was then dried with </w:t>
      </w:r>
      <w:r>
        <w:rPr>
          <w:rFonts w:cs="Times New Roman"/>
        </w:rPr>
        <w:t>magnesium sulfate</w:t>
      </w:r>
      <w:r w:rsidRPr="00AA2B54">
        <w:rPr>
          <w:rFonts w:cs="Times New Roman"/>
        </w:rPr>
        <w:t xml:space="preserve"> </w:t>
      </w:r>
      <w:r>
        <w:rPr>
          <w:rFonts w:cs="Times New Roman"/>
        </w:rPr>
        <w:t xml:space="preserve">and </w:t>
      </w:r>
      <w:r w:rsidRPr="00AA2B54">
        <w:rPr>
          <w:rFonts w:cs="Times New Roman"/>
        </w:rPr>
        <w:t>filtered through a B</w:t>
      </w:r>
      <w:r w:rsidRPr="00AA2B54">
        <w:rPr>
          <w:rFonts w:cs="Times New Roman"/>
          <w:color w:val="000000"/>
        </w:rPr>
        <w:t>ü</w:t>
      </w:r>
      <w:r w:rsidRPr="00AA2B54">
        <w:rPr>
          <w:rFonts w:cs="Times New Roman"/>
        </w:rPr>
        <w:t>chner funnel</w:t>
      </w:r>
      <w:r>
        <w:rPr>
          <w:rFonts w:cs="Times New Roman"/>
        </w:rPr>
        <w:t xml:space="preserve"> connected to an aspirator.</w:t>
      </w:r>
      <w:r w:rsidRPr="00AA2B54">
        <w:rPr>
          <w:rFonts w:cs="Times New Roman"/>
        </w:rPr>
        <w:t xml:space="preserve"> </w:t>
      </w:r>
      <w:r>
        <w:rPr>
          <w:rFonts w:cs="Times New Roman"/>
        </w:rPr>
        <w:t xml:space="preserve">The </w:t>
      </w:r>
      <w:r w:rsidRPr="00AA2B54">
        <w:rPr>
          <w:rFonts w:cs="Times New Roman"/>
        </w:rPr>
        <w:t>solvent was</w:t>
      </w:r>
      <w:r>
        <w:rPr>
          <w:rFonts w:cs="Times New Roman"/>
        </w:rPr>
        <w:t xml:space="preserve"> then</w:t>
      </w:r>
      <w:r w:rsidRPr="00AA2B54">
        <w:rPr>
          <w:rFonts w:cs="Times New Roman"/>
        </w:rPr>
        <w:t xml:space="preserve"> removed by rotary evaporation</w:t>
      </w:r>
      <w:r>
        <w:rPr>
          <w:rFonts w:cs="Times New Roman"/>
        </w:rPr>
        <w:t xml:space="preserve"> in a room-temperature water bath</w:t>
      </w:r>
      <w:r w:rsidRPr="00AA2B54">
        <w:rPr>
          <w:rFonts w:cs="Times New Roman"/>
        </w:rPr>
        <w:t xml:space="preserve">. If necessary, the resulting crude product was purified using flash chromatography using a gradient elution of ethyl acetate and hexane. </w:t>
      </w:r>
    </w:p>
    <w:p w14:paraId="2BD853A8" w14:textId="77777777" w:rsidR="00035E7F" w:rsidRDefault="00035E7F" w:rsidP="00D27D2E">
      <w:pPr>
        <w:widowControl w:val="0"/>
        <w:autoSpaceDE w:val="0"/>
        <w:autoSpaceDN w:val="0"/>
        <w:adjustRightInd w:val="0"/>
        <w:ind w:firstLine="720"/>
        <w:rPr>
          <w:rFonts w:cs="Times New Roman"/>
        </w:rPr>
      </w:pPr>
    </w:p>
    <w:p w14:paraId="250E1286" w14:textId="77777777" w:rsidR="00D27D2E" w:rsidRPr="000419B1" w:rsidRDefault="00D27D2E" w:rsidP="00D27D2E">
      <w:pPr>
        <w:widowControl w:val="0"/>
        <w:autoSpaceDE w:val="0"/>
        <w:autoSpaceDN w:val="0"/>
        <w:adjustRightInd w:val="0"/>
        <w:rPr>
          <w:rFonts w:cs="Times New Roman"/>
          <w:i/>
        </w:rPr>
      </w:pPr>
      <w:r w:rsidRPr="000419B1">
        <w:rPr>
          <w:rFonts w:cs="Times New Roman"/>
          <w:i/>
        </w:rPr>
        <w:t>General Analysis</w:t>
      </w:r>
    </w:p>
    <w:p w14:paraId="27E964E4" w14:textId="77777777" w:rsidR="00D27D2E" w:rsidRDefault="00D27D2E" w:rsidP="00D27D2E">
      <w:pPr>
        <w:widowControl w:val="0"/>
        <w:autoSpaceDE w:val="0"/>
        <w:autoSpaceDN w:val="0"/>
        <w:adjustRightInd w:val="0"/>
        <w:ind w:firstLine="720"/>
        <w:rPr>
          <w:rFonts w:cs="Times New Roman"/>
        </w:rPr>
      </w:pPr>
      <w:r w:rsidRPr="00AA2B54">
        <w:rPr>
          <w:rFonts w:cs="Times New Roman"/>
        </w:rPr>
        <w:t xml:space="preserve">Nuclear magnetic resonance (NMR) spectra of synthetic compounds were obtained using a Varian Gemini spectrometer (Agilent </w:t>
      </w:r>
      <w:r w:rsidRPr="006C3276">
        <w:rPr>
          <w:rFonts w:cs="Times New Roman"/>
        </w:rPr>
        <w:t>Technologies, Santa Clara, CA, USA) at 300 MHz using CDCl</w:t>
      </w:r>
      <w:r w:rsidRPr="006C3276">
        <w:rPr>
          <w:rFonts w:cs="Times New Roman"/>
          <w:vertAlign w:val="subscript"/>
        </w:rPr>
        <w:t xml:space="preserve">3 </w:t>
      </w:r>
      <w:r w:rsidRPr="006C3276">
        <w:rPr>
          <w:rFonts w:cs="Times New Roman"/>
        </w:rPr>
        <w:t>as a solvent and tetramethylsilane (TMS) as an internal standard. Chemical shifts are given in a ppm (</w:t>
      </w:r>
      <w:r w:rsidRPr="006C3276">
        <w:rPr>
          <w:rFonts w:cs="Times New Roman"/>
          <w:color w:val="000000"/>
        </w:rPr>
        <w:t>δ</w:t>
      </w:r>
      <w:r w:rsidRPr="006C3276">
        <w:rPr>
          <w:rFonts w:cs="Times New Roman"/>
        </w:rPr>
        <w:t xml:space="preserve"> scale) downfield from TMS. All mass spectrometry analyses were conducted at the Mass Spectrometry Center located in the Department of Chemistry at the University of Tennessee</w:t>
      </w:r>
      <w:r>
        <w:rPr>
          <w:rFonts w:cs="Times New Roman"/>
        </w:rPr>
        <w:t xml:space="preserve"> (Knoxville, TN)</w:t>
      </w:r>
      <w:r w:rsidRPr="006C3276">
        <w:rPr>
          <w:rFonts w:cs="Times New Roman"/>
        </w:rPr>
        <w:t xml:space="preserve">. </w:t>
      </w:r>
      <w:r>
        <w:rPr>
          <w:rFonts w:cs="Times New Roman"/>
        </w:rPr>
        <w:t xml:space="preserve">The </w:t>
      </w:r>
      <w:r w:rsidRPr="006C3276">
        <w:rPr>
          <w:rFonts w:cs="Times New Roman"/>
        </w:rPr>
        <w:t xml:space="preserve">analyses were performed </w:t>
      </w:r>
      <w:r>
        <w:rPr>
          <w:rFonts w:cs="Times New Roman"/>
        </w:rPr>
        <w:t xml:space="preserve">by direct measurement in real time (DART) </w:t>
      </w:r>
      <w:r w:rsidRPr="006C3276">
        <w:rPr>
          <w:rFonts w:cs="Times New Roman"/>
        </w:rPr>
        <w:t>using a JEOL AccuTOF-D time-of-flight (TOF) mass spectrometer with a DART ionization source from JEOL USA, Inc. (Peabody, MA, USA). Mass spectrometry solutions were prepared with CH</w:t>
      </w:r>
      <w:r w:rsidRPr="006C3276">
        <w:rPr>
          <w:rFonts w:cs="Times New Roman"/>
          <w:vertAlign w:val="subscript"/>
        </w:rPr>
        <w:t>2</w:t>
      </w:r>
      <w:r w:rsidRPr="006C3276">
        <w:rPr>
          <w:rFonts w:cs="Times New Roman"/>
        </w:rPr>
        <w:t>Cl</w:t>
      </w:r>
      <w:r>
        <w:rPr>
          <w:rFonts w:cs="Times New Roman"/>
          <w:vertAlign w:val="subscript"/>
        </w:rPr>
        <w:t>2</w:t>
      </w:r>
      <w:r w:rsidRPr="006C3276">
        <w:rPr>
          <w:rFonts w:cs="Times New Roman"/>
        </w:rPr>
        <w:t>.</w:t>
      </w:r>
      <w:r>
        <w:rPr>
          <w:rFonts w:cs="Times New Roman"/>
        </w:rPr>
        <w:tab/>
      </w:r>
    </w:p>
    <w:p w14:paraId="3FD039DF" w14:textId="77777777" w:rsidR="00035E7F" w:rsidRDefault="00035E7F" w:rsidP="00D27D2E">
      <w:pPr>
        <w:widowControl w:val="0"/>
        <w:autoSpaceDE w:val="0"/>
        <w:autoSpaceDN w:val="0"/>
        <w:adjustRightInd w:val="0"/>
        <w:ind w:firstLine="720"/>
        <w:rPr>
          <w:rFonts w:cs="Times New Roman"/>
        </w:rPr>
      </w:pPr>
    </w:p>
    <w:p w14:paraId="3248FEF2" w14:textId="77777777" w:rsidR="00D27D2E" w:rsidRDefault="00D27D2E" w:rsidP="00D27D2E">
      <w:pPr>
        <w:widowControl w:val="0"/>
        <w:autoSpaceDE w:val="0"/>
        <w:autoSpaceDN w:val="0"/>
        <w:adjustRightInd w:val="0"/>
        <w:rPr>
          <w:rFonts w:cs="Times New Roman"/>
          <w:i/>
        </w:rPr>
      </w:pPr>
      <w:r>
        <w:rPr>
          <w:rFonts w:cs="Times New Roman"/>
          <w:i/>
        </w:rPr>
        <w:t>Compound 1 – 1,3-cyclohexanedione</w:t>
      </w:r>
    </w:p>
    <w:p w14:paraId="35696913" w14:textId="77777777" w:rsidR="00D27D2E" w:rsidRDefault="00D27D2E" w:rsidP="00D27D2E">
      <w:pPr>
        <w:widowControl w:val="0"/>
        <w:autoSpaceDE w:val="0"/>
        <w:autoSpaceDN w:val="0"/>
        <w:adjustRightInd w:val="0"/>
        <w:ind w:firstLine="720"/>
        <w:rPr>
          <w:rFonts w:cs="Times New Roman"/>
          <w:color w:val="000000"/>
        </w:rPr>
      </w:pPr>
      <w:r>
        <w:rPr>
          <w:rFonts w:cs="Times New Roman"/>
        </w:rPr>
        <w:t xml:space="preserve">A total of 0.25 g (2.2 mmol) of 1,3-cyclohexanedione (Sigma Aldrich, St. Louis, MO, USA) and 0.86 g of potassium carbonate (6.25 mmol) were added to acetonitrile (20 mL) and </w:t>
      </w:r>
      <w:r>
        <w:rPr>
          <w:rFonts w:cs="Times New Roman"/>
        </w:rPr>
        <w:lastRenderedPageBreak/>
        <w:t>stirred. After 4 hr, a solution of 0.46 g (2.2 mmol) 2,4-dichlorobenzoyl chloride and 5 mL acetonitrile were added dropwise over a 10 min period to the reaction mixture. After 1 hr, 0.01 g (0.11 mmol) of 1,2,4-triazole was added to the reaction mixture. After 24 hr, the solvent was removed and 30 mL of water was added to the flask. This mixture was acidified with sulfuric acid and 30 mL dichloromethane was added to extract the product. Dichloromethane (30 mL) was added again to the remaining water solution and another extraction was performed and the solvent removed. The product was developed on a thin-layer chromatography (TLC) plate with a 50:50 ethyl acetate</w:t>
      </w:r>
      <w:proofErr w:type="gramStart"/>
      <w:r>
        <w:rPr>
          <w:rFonts w:cs="Times New Roman"/>
        </w:rPr>
        <w:t>:hexane</w:t>
      </w:r>
      <w:proofErr w:type="gramEnd"/>
      <w:r>
        <w:rPr>
          <w:rFonts w:cs="Times New Roman"/>
        </w:rPr>
        <w:t xml:space="preserve"> solution. TLC indicated that the product was different from the starting materials and there was only one product to the reaction. Therefore, the product was not subjected to flash chromatography. This reaction yield was 68%, giving 425 mg of an orange, sticky powder.</w:t>
      </w:r>
      <w:r w:rsidRPr="00FA5CBF">
        <w:rPr>
          <w:rFonts w:cs="Times New Roman"/>
        </w:rPr>
        <w:t xml:space="preserve"> </w:t>
      </w:r>
      <w:r>
        <w:rPr>
          <w:rFonts w:cs="Times New Roman"/>
        </w:rPr>
        <w:t>The expected compound</w:t>
      </w:r>
      <w:r w:rsidRPr="00A01226">
        <w:rPr>
          <w:rFonts w:cs="Times New Roman"/>
        </w:rPr>
        <w:t xml:space="preserve"> </w:t>
      </w:r>
      <w:r>
        <w:rPr>
          <w:rFonts w:cs="Times New Roman"/>
        </w:rPr>
        <w:t>2-(2,4-dichlorobenzoyl)-cyclohexane-1</w:t>
      </w:r>
      <w:proofErr w:type="gramStart"/>
      <w:r>
        <w:rPr>
          <w:rFonts w:cs="Times New Roman"/>
        </w:rPr>
        <w:t>,3</w:t>
      </w:r>
      <w:proofErr w:type="gramEnd"/>
      <w:r>
        <w:rPr>
          <w:rFonts w:cs="Times New Roman"/>
        </w:rPr>
        <w:t xml:space="preserve">-dione was confirmed by DART HRMS </w:t>
      </w:r>
      <w:r>
        <w:rPr>
          <w:rFonts w:cs="Times New Roman"/>
          <w:i/>
        </w:rPr>
        <w:t>m/z</w:t>
      </w:r>
      <w:r>
        <w:rPr>
          <w:rFonts w:cs="Times New Roman"/>
        </w:rPr>
        <w:t xml:space="preserve"> (M+): Calcd. </w:t>
      </w:r>
      <w:proofErr w:type="gramStart"/>
      <w:r>
        <w:rPr>
          <w:rFonts w:cs="Times New Roman"/>
        </w:rPr>
        <w:t>for</w:t>
      </w:r>
      <w:proofErr w:type="gramEnd"/>
      <w:r>
        <w:rPr>
          <w:rFonts w:cs="Times New Roman"/>
        </w:rPr>
        <w:t xml:space="preserve"> C</w:t>
      </w:r>
      <w:r w:rsidRPr="00434C61">
        <w:rPr>
          <w:rFonts w:cs="Times New Roman"/>
          <w:vertAlign w:val="subscript"/>
        </w:rPr>
        <w:t>1</w:t>
      </w:r>
      <w:r>
        <w:rPr>
          <w:rFonts w:cs="Times New Roman"/>
          <w:vertAlign w:val="subscript"/>
        </w:rPr>
        <w:t>3</w:t>
      </w:r>
      <w:r>
        <w:rPr>
          <w:rFonts w:cs="Times New Roman"/>
        </w:rPr>
        <w:t>H</w:t>
      </w:r>
      <w:r w:rsidRPr="00434C61">
        <w:rPr>
          <w:rFonts w:cs="Times New Roman"/>
          <w:vertAlign w:val="subscript"/>
        </w:rPr>
        <w:t>1</w:t>
      </w:r>
      <w:r>
        <w:rPr>
          <w:rFonts w:cs="Times New Roman"/>
          <w:vertAlign w:val="subscript"/>
        </w:rPr>
        <w:t>0</w:t>
      </w:r>
      <w:r>
        <w:rPr>
          <w:rFonts w:cs="Times New Roman"/>
        </w:rPr>
        <w:t>Cl</w:t>
      </w:r>
      <w:r w:rsidRPr="00434C61">
        <w:rPr>
          <w:rFonts w:cs="Times New Roman"/>
          <w:vertAlign w:val="subscript"/>
        </w:rPr>
        <w:t>2</w:t>
      </w:r>
      <w:r>
        <w:rPr>
          <w:rFonts w:cs="Times New Roman"/>
        </w:rPr>
        <w:t>O</w:t>
      </w:r>
      <w:r w:rsidRPr="00434C61">
        <w:rPr>
          <w:rFonts w:cs="Times New Roman"/>
          <w:vertAlign w:val="subscript"/>
        </w:rPr>
        <w:t>3</w:t>
      </w:r>
      <w:r>
        <w:rPr>
          <w:rFonts w:cs="Times New Roman"/>
        </w:rPr>
        <w:t xml:space="preserve"> (</w:t>
      </w:r>
      <w:r w:rsidRPr="00E50DFE">
        <w:rPr>
          <w:rFonts w:cs="Times New Roman"/>
          <w:i/>
        </w:rPr>
        <w:t>m/z</w:t>
      </w:r>
      <w:r>
        <w:rPr>
          <w:rFonts w:cs="Times New Roman"/>
        </w:rPr>
        <w:t>): 285.00. Found: 285.01, 287.01, 289.01 in ratios expected from the occurrence of Cl</w:t>
      </w:r>
      <w:r w:rsidRPr="00434C61">
        <w:rPr>
          <w:rFonts w:cs="Times New Roman"/>
          <w:vertAlign w:val="superscript"/>
        </w:rPr>
        <w:t>35</w:t>
      </w:r>
      <w:r>
        <w:rPr>
          <w:rFonts w:cs="Times New Roman"/>
        </w:rPr>
        <w:t xml:space="preserve"> and Cl</w:t>
      </w:r>
      <w:r w:rsidRPr="00434C61">
        <w:rPr>
          <w:rFonts w:cs="Times New Roman"/>
          <w:vertAlign w:val="superscript"/>
        </w:rPr>
        <w:t>37</w:t>
      </w:r>
      <w:r>
        <w:rPr>
          <w:rFonts w:cs="Times New Roman"/>
        </w:rPr>
        <w:t xml:space="preserve"> isotopes in a natural 3:1 ratio.</w:t>
      </w:r>
      <w:r>
        <w:rPr>
          <w:rFonts w:cs="Times New Roman"/>
          <w:vertAlign w:val="superscript"/>
        </w:rPr>
        <w:t xml:space="preserve"> </w:t>
      </w:r>
      <w:r w:rsidRPr="00F614A0">
        <w:rPr>
          <w:rFonts w:cs="Times New Roman"/>
          <w:vertAlign w:val="superscript"/>
        </w:rPr>
        <w:t>1</w:t>
      </w:r>
      <w:r>
        <w:rPr>
          <w:rFonts w:cs="Times New Roman"/>
        </w:rPr>
        <w:t xml:space="preserve">H NMR </w:t>
      </w:r>
      <w:r w:rsidRPr="006C3276">
        <w:rPr>
          <w:rFonts w:cs="Times New Roman"/>
          <w:color w:val="000000"/>
        </w:rPr>
        <w:t>δ</w:t>
      </w:r>
      <w:r>
        <w:rPr>
          <w:rFonts w:cs="Times New Roman"/>
          <w:color w:val="000000"/>
        </w:rPr>
        <w:t xml:space="preserve"> (CDCl</w:t>
      </w:r>
      <w:r w:rsidRPr="00F614A0">
        <w:rPr>
          <w:rFonts w:cs="Times New Roman"/>
          <w:color w:val="000000"/>
          <w:vertAlign w:val="subscript"/>
        </w:rPr>
        <w:t>3</w:t>
      </w:r>
      <w:r>
        <w:rPr>
          <w:rFonts w:cs="Times New Roman"/>
          <w:color w:val="000000"/>
        </w:rPr>
        <w:t>): 2.14 (2H, q),</w:t>
      </w:r>
      <w:r w:rsidRPr="00912272">
        <w:rPr>
          <w:rFonts w:cs="Times New Roman"/>
          <w:color w:val="000000"/>
        </w:rPr>
        <w:t xml:space="preserve"> </w:t>
      </w:r>
      <w:r>
        <w:rPr>
          <w:rFonts w:cs="Times New Roman"/>
          <w:color w:val="000000"/>
        </w:rPr>
        <w:t>2.45-2.47 (2H, m),</w:t>
      </w:r>
      <w:r w:rsidRPr="00912272">
        <w:rPr>
          <w:rFonts w:cs="Times New Roman"/>
          <w:color w:val="000000"/>
        </w:rPr>
        <w:t xml:space="preserve"> </w:t>
      </w:r>
      <w:r>
        <w:rPr>
          <w:rFonts w:cs="Times New Roman"/>
          <w:color w:val="000000"/>
        </w:rPr>
        <w:t>2.49-2.71 (2H, m),</w:t>
      </w:r>
      <w:r w:rsidRPr="00912272">
        <w:rPr>
          <w:rFonts w:cs="Times New Roman"/>
          <w:color w:val="000000"/>
        </w:rPr>
        <w:t xml:space="preserve"> </w:t>
      </w:r>
      <w:r>
        <w:rPr>
          <w:rFonts w:cs="Times New Roman"/>
          <w:color w:val="000000"/>
        </w:rPr>
        <w:t>6.04 (1H, s), 7.36 (1 H, d),</w:t>
      </w:r>
      <w:r w:rsidRPr="00912272">
        <w:rPr>
          <w:rFonts w:cs="Times New Roman"/>
          <w:color w:val="000000"/>
        </w:rPr>
        <w:t xml:space="preserve"> </w:t>
      </w:r>
      <w:r>
        <w:rPr>
          <w:rFonts w:cs="Times New Roman"/>
          <w:color w:val="000000"/>
        </w:rPr>
        <w:t>7.38-7.39 (1H, m),</w:t>
      </w:r>
      <w:r w:rsidRPr="00912272">
        <w:rPr>
          <w:rFonts w:cs="Times New Roman"/>
          <w:color w:val="000000"/>
        </w:rPr>
        <w:t xml:space="preserve"> </w:t>
      </w:r>
      <w:proofErr w:type="gramStart"/>
      <w:r>
        <w:rPr>
          <w:rFonts w:cs="Times New Roman"/>
          <w:color w:val="000000"/>
        </w:rPr>
        <w:t>7.54</w:t>
      </w:r>
      <w:proofErr w:type="gramEnd"/>
      <w:r>
        <w:rPr>
          <w:rFonts w:cs="Times New Roman"/>
          <w:color w:val="000000"/>
        </w:rPr>
        <w:t xml:space="preserve"> (1H, s)</w:t>
      </w:r>
      <w:r w:rsidR="00035E7F">
        <w:rPr>
          <w:rFonts w:cs="Times New Roman"/>
          <w:color w:val="000000"/>
        </w:rPr>
        <w:t>.</w:t>
      </w:r>
    </w:p>
    <w:p w14:paraId="27F0CB9B" w14:textId="77777777" w:rsidR="00035E7F" w:rsidRDefault="00035E7F" w:rsidP="00D27D2E">
      <w:pPr>
        <w:widowControl w:val="0"/>
        <w:autoSpaceDE w:val="0"/>
        <w:autoSpaceDN w:val="0"/>
        <w:adjustRightInd w:val="0"/>
        <w:ind w:firstLine="720"/>
        <w:rPr>
          <w:rFonts w:cs="Times New Roman"/>
          <w:color w:val="000000"/>
        </w:rPr>
      </w:pPr>
    </w:p>
    <w:p w14:paraId="5BBFBAA5" w14:textId="77777777" w:rsidR="00D27D2E" w:rsidRDefault="00D27D2E" w:rsidP="00D27D2E">
      <w:pPr>
        <w:widowControl w:val="0"/>
        <w:autoSpaceDE w:val="0"/>
        <w:autoSpaceDN w:val="0"/>
        <w:adjustRightInd w:val="0"/>
        <w:rPr>
          <w:rFonts w:cs="Times New Roman"/>
          <w:i/>
        </w:rPr>
      </w:pPr>
      <w:r>
        <w:rPr>
          <w:rFonts w:cs="Times New Roman"/>
          <w:i/>
        </w:rPr>
        <w:t>Compound 2 – 4,4-dimethyl-1</w:t>
      </w:r>
      <w:proofErr w:type="gramStart"/>
      <w:r>
        <w:rPr>
          <w:rFonts w:cs="Times New Roman"/>
          <w:i/>
        </w:rPr>
        <w:t>,3</w:t>
      </w:r>
      <w:proofErr w:type="gramEnd"/>
      <w:r>
        <w:rPr>
          <w:rFonts w:cs="Times New Roman"/>
          <w:i/>
        </w:rPr>
        <w:t>-cyclohexanedione</w:t>
      </w:r>
    </w:p>
    <w:p w14:paraId="656834C4" w14:textId="2172F89B" w:rsidR="00D27D2E" w:rsidRDefault="00D27D2E" w:rsidP="00D27D2E">
      <w:pPr>
        <w:widowControl w:val="0"/>
        <w:autoSpaceDE w:val="0"/>
        <w:autoSpaceDN w:val="0"/>
        <w:adjustRightInd w:val="0"/>
        <w:ind w:firstLine="720"/>
        <w:rPr>
          <w:rFonts w:cs="Times New Roman"/>
          <w:color w:val="000000"/>
        </w:rPr>
      </w:pPr>
      <w:r>
        <w:rPr>
          <w:rFonts w:cs="Times New Roman"/>
        </w:rPr>
        <w:t>A total of 0.64 g (4.4 mmol) of 4,4-dimethyl-1</w:t>
      </w:r>
      <w:proofErr w:type="gramStart"/>
      <w:r>
        <w:rPr>
          <w:rFonts w:cs="Times New Roman"/>
        </w:rPr>
        <w:t>,3</w:t>
      </w:r>
      <w:proofErr w:type="gramEnd"/>
      <w:r>
        <w:rPr>
          <w:rFonts w:cs="Times New Roman"/>
        </w:rPr>
        <w:t xml:space="preserve">-cyclohexanedione (Sigma Aldrich, St. Louis, MO, USA) and 0.86 g of potassium carbonate (12.5 mmol) were added to acetonitrile (40 mL) and stirred. After 4 hr, a solution of 0.92 g (4.4 mmol) of 2,4-dichlorobenzoyl chloride and 10 mL of acetonitrile were added dropwise over a 10 min period to the reaction mixture. After 1 hr, 0.015 g (0.22 mmol) of 1,2,4-triazole was added to the reaction mixture. After 24 hr, the solvent was removed and 30 mL of water was added to the flask. This mixture was acidified with </w:t>
      </w:r>
      <w:r w:rsidR="00F8536F">
        <w:rPr>
          <w:rFonts w:cs="Times New Roman"/>
        </w:rPr>
        <w:lastRenderedPageBreak/>
        <w:t>sulfuric acid</w:t>
      </w:r>
      <w:r>
        <w:rPr>
          <w:rFonts w:cs="Times New Roman"/>
        </w:rPr>
        <w:t xml:space="preserve"> and 30 mL dichloromethane was added to extract the product. Dichloromethane (30 mL) was added again to the remaining water solution and another extraction was performed and the solvent removed. The product was developed on a thin-layer chromatography (TLC) plate with a 25:75 ethyl acetate</w:t>
      </w:r>
      <w:proofErr w:type="gramStart"/>
      <w:r>
        <w:rPr>
          <w:rFonts w:cs="Times New Roman"/>
        </w:rPr>
        <w:t>:hexane</w:t>
      </w:r>
      <w:proofErr w:type="gramEnd"/>
      <w:r>
        <w:rPr>
          <w:rFonts w:cs="Times New Roman"/>
        </w:rPr>
        <w:t xml:space="preserve"> solution. TLC indicated that there were five compounds that differed from starting materials. The compound with the highest Rf value was also present in the highest concentration and was isolated using flash chromatography with a gradient elution of 15 to 35% ethyl acetate/hexane. This reaction yield was 48%, giving 630 mg of a white powder.</w:t>
      </w:r>
      <w:r w:rsidRPr="003D168A">
        <w:rPr>
          <w:rFonts w:cs="Times New Roman"/>
        </w:rPr>
        <w:t xml:space="preserve"> </w:t>
      </w:r>
      <w:r>
        <w:rPr>
          <w:rFonts w:cs="Times New Roman"/>
        </w:rPr>
        <w:t>The expected compound</w:t>
      </w:r>
      <w:r w:rsidRPr="00A01226">
        <w:rPr>
          <w:rFonts w:cs="Times New Roman"/>
        </w:rPr>
        <w:t xml:space="preserve"> </w:t>
      </w:r>
      <w:r>
        <w:rPr>
          <w:rFonts w:cs="Times New Roman"/>
        </w:rPr>
        <w:t>2-(2,4-dichlorobenzoyl)-4,4-dimethyl-cyclohexane-1</w:t>
      </w:r>
      <w:proofErr w:type="gramStart"/>
      <w:r>
        <w:rPr>
          <w:rFonts w:cs="Times New Roman"/>
        </w:rPr>
        <w:t>,3</w:t>
      </w:r>
      <w:proofErr w:type="gramEnd"/>
      <w:r>
        <w:rPr>
          <w:rFonts w:cs="Times New Roman"/>
        </w:rPr>
        <w:t xml:space="preserve">-dione was confirmed by DART HRMS Calcd. </w:t>
      </w:r>
      <w:proofErr w:type="gramStart"/>
      <w:r>
        <w:rPr>
          <w:rFonts w:cs="Times New Roman"/>
        </w:rPr>
        <w:t>for</w:t>
      </w:r>
      <w:proofErr w:type="gramEnd"/>
      <w:r>
        <w:rPr>
          <w:rFonts w:cs="Times New Roman"/>
        </w:rPr>
        <w:t xml:space="preserve"> C</w:t>
      </w:r>
      <w:r>
        <w:rPr>
          <w:rFonts w:cs="Times New Roman"/>
          <w:vertAlign w:val="subscript"/>
        </w:rPr>
        <w:t>15</w:t>
      </w:r>
      <w:r>
        <w:rPr>
          <w:rFonts w:cs="Times New Roman"/>
        </w:rPr>
        <w:t>H</w:t>
      </w:r>
      <w:r w:rsidRPr="00434C61">
        <w:rPr>
          <w:rFonts w:cs="Times New Roman"/>
          <w:vertAlign w:val="subscript"/>
        </w:rPr>
        <w:t>1</w:t>
      </w:r>
      <w:r>
        <w:rPr>
          <w:rFonts w:cs="Times New Roman"/>
          <w:vertAlign w:val="subscript"/>
        </w:rPr>
        <w:t>4</w:t>
      </w:r>
      <w:r>
        <w:rPr>
          <w:rFonts w:cs="Times New Roman"/>
        </w:rPr>
        <w:t>Cl</w:t>
      </w:r>
      <w:r w:rsidRPr="00434C61">
        <w:rPr>
          <w:rFonts w:cs="Times New Roman"/>
          <w:vertAlign w:val="subscript"/>
        </w:rPr>
        <w:t>2</w:t>
      </w:r>
      <w:r>
        <w:rPr>
          <w:rFonts w:cs="Times New Roman"/>
        </w:rPr>
        <w:t>O</w:t>
      </w:r>
      <w:r w:rsidRPr="00434C61">
        <w:rPr>
          <w:rFonts w:cs="Times New Roman"/>
          <w:vertAlign w:val="subscript"/>
        </w:rPr>
        <w:t>3</w:t>
      </w:r>
      <w:r>
        <w:rPr>
          <w:rFonts w:cs="Times New Roman"/>
        </w:rPr>
        <w:t xml:space="preserve"> (</w:t>
      </w:r>
      <w:r w:rsidRPr="00E50DFE">
        <w:rPr>
          <w:rFonts w:cs="Times New Roman"/>
          <w:i/>
        </w:rPr>
        <w:t>m/z</w:t>
      </w:r>
      <w:r>
        <w:rPr>
          <w:rFonts w:cs="Times New Roman"/>
        </w:rPr>
        <w:t>): 313.03. Found: 313.04, 315.04, and 317.04 in ratios expected from natural occurrence of Cl</w:t>
      </w:r>
      <w:r w:rsidRPr="00434C61">
        <w:rPr>
          <w:rFonts w:cs="Times New Roman"/>
          <w:vertAlign w:val="superscript"/>
        </w:rPr>
        <w:t>35</w:t>
      </w:r>
      <w:r>
        <w:rPr>
          <w:rFonts w:cs="Times New Roman"/>
        </w:rPr>
        <w:t xml:space="preserve"> and Cl</w:t>
      </w:r>
      <w:r w:rsidRPr="00434C61">
        <w:rPr>
          <w:rFonts w:cs="Times New Roman"/>
          <w:vertAlign w:val="superscript"/>
        </w:rPr>
        <w:t>37</w:t>
      </w:r>
      <w:r>
        <w:rPr>
          <w:rFonts w:cs="Times New Roman"/>
        </w:rPr>
        <w:t xml:space="preserve"> isotopes in a 3:1 ratio.</w:t>
      </w:r>
      <w:r>
        <w:rPr>
          <w:rFonts w:cs="Times New Roman"/>
          <w:vertAlign w:val="superscript"/>
        </w:rPr>
        <w:t xml:space="preserve"> </w:t>
      </w:r>
      <w:r w:rsidRPr="00F614A0">
        <w:rPr>
          <w:rFonts w:cs="Times New Roman"/>
          <w:vertAlign w:val="superscript"/>
        </w:rPr>
        <w:t>1</w:t>
      </w:r>
      <w:r>
        <w:rPr>
          <w:rFonts w:cs="Times New Roman"/>
        </w:rPr>
        <w:t xml:space="preserve">H NMR </w:t>
      </w:r>
      <w:r w:rsidRPr="006C3276">
        <w:rPr>
          <w:rFonts w:cs="Times New Roman"/>
          <w:color w:val="000000"/>
        </w:rPr>
        <w:t>δ</w:t>
      </w:r>
      <w:r>
        <w:rPr>
          <w:rFonts w:cs="Times New Roman"/>
          <w:color w:val="000000"/>
        </w:rPr>
        <w:t xml:space="preserve"> (CDCl</w:t>
      </w:r>
      <w:r w:rsidRPr="00F614A0">
        <w:rPr>
          <w:rFonts w:cs="Times New Roman"/>
          <w:color w:val="000000"/>
          <w:vertAlign w:val="subscript"/>
        </w:rPr>
        <w:t>3</w:t>
      </w:r>
      <w:r>
        <w:rPr>
          <w:rFonts w:cs="Times New Roman"/>
          <w:color w:val="000000"/>
        </w:rPr>
        <w:t>): 1.18 (6H, s),</w:t>
      </w:r>
      <w:r w:rsidRPr="00B4461C">
        <w:rPr>
          <w:rFonts w:cs="Times New Roman"/>
          <w:color w:val="000000"/>
        </w:rPr>
        <w:t xml:space="preserve"> </w:t>
      </w:r>
      <w:r>
        <w:rPr>
          <w:rFonts w:cs="Times New Roman"/>
          <w:color w:val="000000"/>
        </w:rPr>
        <w:t>1.94 (2H, t),</w:t>
      </w:r>
      <w:r w:rsidRPr="00B4461C">
        <w:rPr>
          <w:rFonts w:cs="Times New Roman"/>
          <w:color w:val="000000"/>
        </w:rPr>
        <w:t xml:space="preserve"> </w:t>
      </w:r>
      <w:r>
        <w:rPr>
          <w:rFonts w:cs="Times New Roman"/>
          <w:color w:val="000000"/>
        </w:rPr>
        <w:t xml:space="preserve">2.70 (2H, t), 5.94 (1H, s), 7.37 (1H, dd), 7.53-754 (1H, m), </w:t>
      </w:r>
      <w:proofErr w:type="gramStart"/>
      <w:r>
        <w:rPr>
          <w:rFonts w:cs="Times New Roman"/>
          <w:color w:val="000000"/>
        </w:rPr>
        <w:t>7.90</w:t>
      </w:r>
      <w:proofErr w:type="gramEnd"/>
      <w:r>
        <w:rPr>
          <w:rFonts w:cs="Times New Roman"/>
          <w:color w:val="000000"/>
        </w:rPr>
        <w:t xml:space="preserve"> (1H, d)</w:t>
      </w:r>
      <w:r w:rsidR="00035E7F">
        <w:rPr>
          <w:rFonts w:cs="Times New Roman"/>
          <w:color w:val="000000"/>
        </w:rPr>
        <w:t>.</w:t>
      </w:r>
    </w:p>
    <w:p w14:paraId="69BD2176" w14:textId="77777777" w:rsidR="00035E7F" w:rsidRDefault="00035E7F" w:rsidP="00D27D2E">
      <w:pPr>
        <w:widowControl w:val="0"/>
        <w:autoSpaceDE w:val="0"/>
        <w:autoSpaceDN w:val="0"/>
        <w:adjustRightInd w:val="0"/>
        <w:ind w:firstLine="720"/>
        <w:rPr>
          <w:rFonts w:cs="Times New Roman"/>
          <w:color w:val="000000"/>
        </w:rPr>
      </w:pPr>
    </w:p>
    <w:p w14:paraId="17B9990A" w14:textId="77777777" w:rsidR="00D27D2E" w:rsidRDefault="00D27D2E" w:rsidP="00D27D2E">
      <w:pPr>
        <w:widowControl w:val="0"/>
        <w:autoSpaceDE w:val="0"/>
        <w:autoSpaceDN w:val="0"/>
        <w:adjustRightInd w:val="0"/>
        <w:rPr>
          <w:rFonts w:cs="Times New Roman"/>
          <w:i/>
        </w:rPr>
      </w:pPr>
      <w:r>
        <w:rPr>
          <w:rFonts w:cs="Times New Roman"/>
          <w:i/>
        </w:rPr>
        <w:t>Compound 3 – 5-methyl-1</w:t>
      </w:r>
      <w:proofErr w:type="gramStart"/>
      <w:r>
        <w:rPr>
          <w:rFonts w:cs="Times New Roman"/>
          <w:i/>
        </w:rPr>
        <w:t>,3</w:t>
      </w:r>
      <w:proofErr w:type="gramEnd"/>
      <w:r>
        <w:rPr>
          <w:rFonts w:cs="Times New Roman"/>
          <w:i/>
        </w:rPr>
        <w:t>-cyclohexanedione</w:t>
      </w:r>
    </w:p>
    <w:p w14:paraId="4630E10F" w14:textId="0FE1AA15" w:rsidR="00D27D2E" w:rsidRDefault="00D27D2E" w:rsidP="00D27D2E">
      <w:pPr>
        <w:widowControl w:val="0"/>
        <w:autoSpaceDE w:val="0"/>
        <w:autoSpaceDN w:val="0"/>
        <w:adjustRightInd w:val="0"/>
        <w:ind w:firstLine="720"/>
        <w:rPr>
          <w:rFonts w:cs="Times New Roman"/>
          <w:color w:val="000000"/>
        </w:rPr>
      </w:pPr>
      <w:r>
        <w:rPr>
          <w:rFonts w:cs="Times New Roman"/>
        </w:rPr>
        <w:t>A total of 0.83 g (6.6mmol) of 5-methyl-1</w:t>
      </w:r>
      <w:proofErr w:type="gramStart"/>
      <w:r>
        <w:rPr>
          <w:rFonts w:cs="Times New Roman"/>
        </w:rPr>
        <w:t>,3</w:t>
      </w:r>
      <w:proofErr w:type="gramEnd"/>
      <w:r>
        <w:rPr>
          <w:rFonts w:cs="Times New Roman"/>
        </w:rPr>
        <w:t xml:space="preserve">-cyclohexanedione (Alfa Aesar, Ward Hill, MA, USA) and 2.45 g of potassium carbonate (17.75 mmol) were added to acetonitrile (30 mL) and stirred. After 4 hr, a solution of 1.50 g (6.6 mmol) of 2,4-dichlorobenzoyl chloride and 10 mL of acetonitrile were added dropwise over a 10 min period to the reaction mixture. After 1 hr, 0.022 g (0.33 mmol) of 1,2,4-triazole was added to the reaction mixture. After 16 hr, the solvent was removed and 40 mL of water was added to the flask. </w:t>
      </w:r>
      <w:r w:rsidR="00F8536F">
        <w:rPr>
          <w:rFonts w:cs="Times New Roman"/>
        </w:rPr>
        <w:t>This mixture was acidified with sulfuric acid</w:t>
      </w:r>
      <w:r>
        <w:rPr>
          <w:rFonts w:cs="Times New Roman"/>
        </w:rPr>
        <w:t xml:space="preserve"> and 40 mL dichloromethane was added to extract the product. Dichloromethane (40 mL) was added again to the remaining water solution and another extraction was performed and the solvent removed. The product was developed on a thin-layer chromatography (TLC) plate </w:t>
      </w:r>
      <w:r>
        <w:rPr>
          <w:rFonts w:cs="Times New Roman"/>
        </w:rPr>
        <w:lastRenderedPageBreak/>
        <w:t>with a 25:75 ethyl acetate</w:t>
      </w:r>
      <w:proofErr w:type="gramStart"/>
      <w:r>
        <w:rPr>
          <w:rFonts w:cs="Times New Roman"/>
        </w:rPr>
        <w:t>:hexane</w:t>
      </w:r>
      <w:proofErr w:type="gramEnd"/>
      <w:r>
        <w:rPr>
          <w:rFonts w:cs="Times New Roman"/>
        </w:rPr>
        <w:t xml:space="preserve"> solution. TLC indicated that there were two compounds that differed from starting materials with some starting material also remaining. The two compounds with the highest Rf values were present in similar concentrations and were isolated using flash chromatography with a gradient elution with 20 to 40% ethyl acetate/hexane. These two compounds were assumed to be enantiomers. The reaction yield was 28%, giving 550 mg of </w:t>
      </w:r>
      <w:proofErr w:type="gramStart"/>
      <w:r>
        <w:rPr>
          <w:rFonts w:cs="Times New Roman"/>
        </w:rPr>
        <w:t>a beige</w:t>
      </w:r>
      <w:proofErr w:type="gramEnd"/>
      <w:r>
        <w:rPr>
          <w:rFonts w:cs="Times New Roman"/>
        </w:rPr>
        <w:t xml:space="preserve"> oil.</w:t>
      </w:r>
      <w:r w:rsidRPr="00706513">
        <w:rPr>
          <w:rFonts w:cs="Times New Roman"/>
        </w:rPr>
        <w:t xml:space="preserve"> </w:t>
      </w:r>
      <w:r>
        <w:rPr>
          <w:rFonts w:cs="Times New Roman"/>
        </w:rPr>
        <w:t>The expected compound (</w:t>
      </w:r>
      <w:r w:rsidRPr="00A01226">
        <w:rPr>
          <w:rFonts w:eastAsia="ＭＳ ゴシック" w:cs="Times New Roman"/>
          <w:color w:val="000000"/>
        </w:rPr>
        <w:t>±</w:t>
      </w:r>
      <w:r>
        <w:rPr>
          <w:rFonts w:eastAsia="ＭＳ ゴシック" w:cs="Times New Roman"/>
          <w:color w:val="000000"/>
        </w:rPr>
        <w:t>)</w:t>
      </w:r>
      <w:r w:rsidRPr="00A01226">
        <w:rPr>
          <w:rFonts w:cs="Times New Roman"/>
        </w:rPr>
        <w:t xml:space="preserve"> </w:t>
      </w:r>
      <w:r>
        <w:rPr>
          <w:rFonts w:cs="Times New Roman"/>
        </w:rPr>
        <w:t>2-(2,4-dichlorobenzoyl)-5-methyl-cyclohexane-1</w:t>
      </w:r>
      <w:proofErr w:type="gramStart"/>
      <w:r>
        <w:rPr>
          <w:rFonts w:cs="Times New Roman"/>
        </w:rPr>
        <w:t>,3</w:t>
      </w:r>
      <w:proofErr w:type="gramEnd"/>
      <w:r>
        <w:rPr>
          <w:rFonts w:cs="Times New Roman"/>
        </w:rPr>
        <w:t xml:space="preserve">-dione was confirmed by DART HRMS </w:t>
      </w:r>
      <w:r>
        <w:rPr>
          <w:rFonts w:cs="Times New Roman"/>
          <w:i/>
        </w:rPr>
        <w:t>m/z</w:t>
      </w:r>
      <w:r>
        <w:rPr>
          <w:rFonts w:cs="Times New Roman"/>
        </w:rPr>
        <w:t xml:space="preserve"> (M+): Calcd. </w:t>
      </w:r>
      <w:proofErr w:type="gramStart"/>
      <w:r>
        <w:rPr>
          <w:rFonts w:cs="Times New Roman"/>
        </w:rPr>
        <w:t>for</w:t>
      </w:r>
      <w:proofErr w:type="gramEnd"/>
      <w:r>
        <w:rPr>
          <w:rFonts w:cs="Times New Roman"/>
        </w:rPr>
        <w:t xml:space="preserve"> C</w:t>
      </w:r>
      <w:r>
        <w:rPr>
          <w:rFonts w:cs="Times New Roman"/>
          <w:vertAlign w:val="subscript"/>
        </w:rPr>
        <w:t>14</w:t>
      </w:r>
      <w:r>
        <w:rPr>
          <w:rFonts w:cs="Times New Roman"/>
        </w:rPr>
        <w:t>H</w:t>
      </w:r>
      <w:r w:rsidRPr="00434C61">
        <w:rPr>
          <w:rFonts w:cs="Times New Roman"/>
          <w:vertAlign w:val="subscript"/>
        </w:rPr>
        <w:t>1</w:t>
      </w:r>
      <w:r>
        <w:rPr>
          <w:rFonts w:cs="Times New Roman"/>
          <w:vertAlign w:val="subscript"/>
        </w:rPr>
        <w:t>2</w:t>
      </w:r>
      <w:r>
        <w:rPr>
          <w:rFonts w:cs="Times New Roman"/>
        </w:rPr>
        <w:t>Cl</w:t>
      </w:r>
      <w:r w:rsidRPr="00434C61">
        <w:rPr>
          <w:rFonts w:cs="Times New Roman"/>
          <w:vertAlign w:val="subscript"/>
        </w:rPr>
        <w:t>2</w:t>
      </w:r>
      <w:r>
        <w:rPr>
          <w:rFonts w:cs="Times New Roman"/>
        </w:rPr>
        <w:t>O</w:t>
      </w:r>
      <w:r w:rsidRPr="00434C61">
        <w:rPr>
          <w:rFonts w:cs="Times New Roman"/>
          <w:vertAlign w:val="subscript"/>
        </w:rPr>
        <w:t>3</w:t>
      </w:r>
      <w:r>
        <w:rPr>
          <w:rFonts w:cs="Times New Roman"/>
        </w:rPr>
        <w:t xml:space="preserve"> (</w:t>
      </w:r>
      <w:r w:rsidRPr="00E50DFE">
        <w:rPr>
          <w:rFonts w:cs="Times New Roman"/>
          <w:i/>
        </w:rPr>
        <w:t>m/z</w:t>
      </w:r>
      <w:r>
        <w:rPr>
          <w:rFonts w:cs="Times New Roman"/>
        </w:rPr>
        <w:t>): 299.01. Found: 299.02, 301.02, and 303.02 in ratios expected from natural occurrence of Cl</w:t>
      </w:r>
      <w:r w:rsidRPr="00434C61">
        <w:rPr>
          <w:rFonts w:cs="Times New Roman"/>
          <w:vertAlign w:val="superscript"/>
        </w:rPr>
        <w:t>35</w:t>
      </w:r>
      <w:r>
        <w:rPr>
          <w:rFonts w:cs="Times New Roman"/>
        </w:rPr>
        <w:t xml:space="preserve"> and Cl</w:t>
      </w:r>
      <w:r w:rsidRPr="00434C61">
        <w:rPr>
          <w:rFonts w:cs="Times New Roman"/>
          <w:vertAlign w:val="superscript"/>
        </w:rPr>
        <w:t>37</w:t>
      </w:r>
      <w:r>
        <w:rPr>
          <w:rFonts w:cs="Times New Roman"/>
        </w:rPr>
        <w:t xml:space="preserve"> isotopes in a 3:1 ratio.</w:t>
      </w:r>
      <w:r>
        <w:rPr>
          <w:rFonts w:cs="Times New Roman"/>
          <w:vertAlign w:val="superscript"/>
        </w:rPr>
        <w:t xml:space="preserve"> </w:t>
      </w:r>
      <w:r w:rsidRPr="00F614A0">
        <w:rPr>
          <w:rFonts w:cs="Times New Roman"/>
          <w:vertAlign w:val="superscript"/>
        </w:rPr>
        <w:t>1</w:t>
      </w:r>
      <w:r>
        <w:rPr>
          <w:rFonts w:cs="Times New Roman"/>
        </w:rPr>
        <w:t xml:space="preserve">H NMR </w:t>
      </w:r>
      <w:r w:rsidRPr="006C3276">
        <w:rPr>
          <w:rFonts w:cs="Times New Roman"/>
          <w:color w:val="000000"/>
        </w:rPr>
        <w:t>δ</w:t>
      </w:r>
      <w:r>
        <w:rPr>
          <w:rFonts w:cs="Times New Roman"/>
          <w:color w:val="000000"/>
        </w:rPr>
        <w:t xml:space="preserve"> (CDCl</w:t>
      </w:r>
      <w:r w:rsidRPr="00F614A0">
        <w:rPr>
          <w:rFonts w:cs="Times New Roman"/>
          <w:color w:val="000000"/>
          <w:vertAlign w:val="subscript"/>
        </w:rPr>
        <w:t>3</w:t>
      </w:r>
      <w:r>
        <w:rPr>
          <w:rFonts w:cs="Times New Roman"/>
          <w:color w:val="000000"/>
        </w:rPr>
        <w:t>): 1.15 (6H, s), 1.94 (2H, t), 2.32 (2H, s), 2.56 (2H, s), 6.04 (1H, s) 7.34-7.38 (1H, m), 7.54 (1H, s), 7.90 (1H, d)</w:t>
      </w:r>
      <w:r w:rsidR="00035E7F">
        <w:rPr>
          <w:rFonts w:cs="Times New Roman"/>
          <w:color w:val="000000"/>
        </w:rPr>
        <w:t>.</w:t>
      </w:r>
    </w:p>
    <w:p w14:paraId="5C36E0C7" w14:textId="77777777" w:rsidR="00035E7F" w:rsidRDefault="00035E7F" w:rsidP="00D27D2E">
      <w:pPr>
        <w:widowControl w:val="0"/>
        <w:autoSpaceDE w:val="0"/>
        <w:autoSpaceDN w:val="0"/>
        <w:adjustRightInd w:val="0"/>
        <w:ind w:firstLine="720"/>
        <w:rPr>
          <w:rFonts w:cs="Times New Roman"/>
          <w:color w:val="000000"/>
        </w:rPr>
      </w:pPr>
    </w:p>
    <w:p w14:paraId="405A1473" w14:textId="77777777" w:rsidR="00D27D2E" w:rsidRDefault="00D27D2E" w:rsidP="00D27D2E">
      <w:pPr>
        <w:widowControl w:val="0"/>
        <w:autoSpaceDE w:val="0"/>
        <w:autoSpaceDN w:val="0"/>
        <w:adjustRightInd w:val="0"/>
        <w:rPr>
          <w:rFonts w:cs="Times New Roman"/>
          <w:i/>
        </w:rPr>
      </w:pPr>
      <w:r>
        <w:rPr>
          <w:rFonts w:cs="Times New Roman"/>
          <w:i/>
        </w:rPr>
        <w:t>Compound 4 – 5,5-dimethyl-1</w:t>
      </w:r>
      <w:proofErr w:type="gramStart"/>
      <w:r>
        <w:rPr>
          <w:rFonts w:cs="Times New Roman"/>
          <w:i/>
        </w:rPr>
        <w:t>,3</w:t>
      </w:r>
      <w:proofErr w:type="gramEnd"/>
      <w:r>
        <w:rPr>
          <w:rFonts w:cs="Times New Roman"/>
          <w:i/>
        </w:rPr>
        <w:t>-cyclohexanedione</w:t>
      </w:r>
    </w:p>
    <w:p w14:paraId="5ACF57AB" w14:textId="77777777" w:rsidR="00D27D2E" w:rsidRDefault="00D27D2E" w:rsidP="00D27D2E">
      <w:pPr>
        <w:widowControl w:val="0"/>
        <w:autoSpaceDE w:val="0"/>
        <w:autoSpaceDN w:val="0"/>
        <w:adjustRightInd w:val="0"/>
        <w:ind w:firstLine="720"/>
        <w:rPr>
          <w:rFonts w:cs="Times New Roman"/>
          <w:color w:val="000000"/>
        </w:rPr>
      </w:pPr>
      <w:r>
        <w:rPr>
          <w:rFonts w:cs="Times New Roman"/>
        </w:rPr>
        <w:t>A total of 0.62 g (4.4 mmol) of 5,5-dimethyl-1</w:t>
      </w:r>
      <w:proofErr w:type="gramStart"/>
      <w:r>
        <w:rPr>
          <w:rFonts w:cs="Times New Roman"/>
        </w:rPr>
        <w:t>,3</w:t>
      </w:r>
      <w:proofErr w:type="gramEnd"/>
      <w:r>
        <w:rPr>
          <w:rFonts w:cs="Times New Roman"/>
        </w:rPr>
        <w:t>-cyclohexanedione (Sigma Aldrich, St. Louis, MO, USA) and 1.73 g of potassium carbonate (12.5 mmol) were added to acetonitrile (40 mL) and stirred. After 4 hr, a solution of 0.92 g (4.4 mmol) of 2,4-dichlorobenzoyl chloride and 10 mL of acetonitrile were added dropwise over a 10 min period to the reaction mixture. After 1 hr, 0.015 g (0.22 mmol) of 1,2,4-triazole was added to the reaction mixture. After 16 hr, the solvent was removed and 25 mL of water was added to the flask. This mixture was acidified with sulfuric acid and 25 mL of dichloromethane was added to extract the product. Dichloromethane (25 mL) was added again to the remaining water solution and another extraction was performed and the solvent removed. The product was developed on a thin-layer chromatography (TLC) plate with a 25:75 ethyl acetate</w:t>
      </w:r>
      <w:proofErr w:type="gramStart"/>
      <w:r>
        <w:rPr>
          <w:rFonts w:cs="Times New Roman"/>
        </w:rPr>
        <w:t>:hexane</w:t>
      </w:r>
      <w:proofErr w:type="gramEnd"/>
      <w:r>
        <w:rPr>
          <w:rFonts w:cs="Times New Roman"/>
        </w:rPr>
        <w:t xml:space="preserve"> solution. TLC indicated that there were two compounds that differed from starting materials. The compound with the highest Rf value was also present in </w:t>
      </w:r>
      <w:r>
        <w:rPr>
          <w:rFonts w:cs="Times New Roman"/>
        </w:rPr>
        <w:lastRenderedPageBreak/>
        <w:t>the highest concentration and was purified using flash chromatography with a gradient elution with 15-35% ethyl acetate/hexane. The reaction yield was 66%, giving 900 mg of an off-white powder.</w:t>
      </w:r>
      <w:r w:rsidRPr="00706513">
        <w:rPr>
          <w:rFonts w:cs="Times New Roman"/>
        </w:rPr>
        <w:t xml:space="preserve"> </w:t>
      </w:r>
      <w:r>
        <w:rPr>
          <w:rFonts w:cs="Times New Roman"/>
        </w:rPr>
        <w:t>The expected compound</w:t>
      </w:r>
      <w:r w:rsidRPr="00A01226">
        <w:rPr>
          <w:rFonts w:cs="Times New Roman"/>
        </w:rPr>
        <w:t xml:space="preserve"> </w:t>
      </w:r>
      <w:r>
        <w:rPr>
          <w:rFonts w:cs="Times New Roman"/>
        </w:rPr>
        <w:t>2-(2,4-dichlorobenzoyl)-5-dimethyl-cyclohexane-1</w:t>
      </w:r>
      <w:proofErr w:type="gramStart"/>
      <w:r>
        <w:rPr>
          <w:rFonts w:cs="Times New Roman"/>
        </w:rPr>
        <w:t>,3</w:t>
      </w:r>
      <w:proofErr w:type="gramEnd"/>
      <w:r>
        <w:rPr>
          <w:rFonts w:cs="Times New Roman"/>
        </w:rPr>
        <w:t xml:space="preserve">-dione was confirmed by DART HRMS </w:t>
      </w:r>
      <w:r>
        <w:rPr>
          <w:rFonts w:cs="Times New Roman"/>
          <w:i/>
        </w:rPr>
        <w:t>m/z</w:t>
      </w:r>
      <w:r>
        <w:rPr>
          <w:rFonts w:cs="Times New Roman"/>
        </w:rPr>
        <w:t xml:space="preserve"> (M+): Calcd. </w:t>
      </w:r>
      <w:proofErr w:type="gramStart"/>
      <w:r>
        <w:rPr>
          <w:rFonts w:cs="Times New Roman"/>
        </w:rPr>
        <w:t>for</w:t>
      </w:r>
      <w:proofErr w:type="gramEnd"/>
      <w:r>
        <w:rPr>
          <w:rFonts w:cs="Times New Roman"/>
        </w:rPr>
        <w:t xml:space="preserve"> C</w:t>
      </w:r>
      <w:r>
        <w:rPr>
          <w:rFonts w:cs="Times New Roman"/>
          <w:vertAlign w:val="subscript"/>
        </w:rPr>
        <w:t>15</w:t>
      </w:r>
      <w:r>
        <w:rPr>
          <w:rFonts w:cs="Times New Roman"/>
        </w:rPr>
        <w:t>H</w:t>
      </w:r>
      <w:r w:rsidRPr="00434C61">
        <w:rPr>
          <w:rFonts w:cs="Times New Roman"/>
          <w:vertAlign w:val="subscript"/>
        </w:rPr>
        <w:t>1</w:t>
      </w:r>
      <w:r>
        <w:rPr>
          <w:rFonts w:cs="Times New Roman"/>
          <w:vertAlign w:val="subscript"/>
        </w:rPr>
        <w:t>4</w:t>
      </w:r>
      <w:r>
        <w:rPr>
          <w:rFonts w:cs="Times New Roman"/>
        </w:rPr>
        <w:t>Cl</w:t>
      </w:r>
      <w:r w:rsidRPr="00434C61">
        <w:rPr>
          <w:rFonts w:cs="Times New Roman"/>
          <w:vertAlign w:val="subscript"/>
        </w:rPr>
        <w:t>2</w:t>
      </w:r>
      <w:r>
        <w:rPr>
          <w:rFonts w:cs="Times New Roman"/>
        </w:rPr>
        <w:t>O</w:t>
      </w:r>
      <w:r w:rsidRPr="00434C61">
        <w:rPr>
          <w:rFonts w:cs="Times New Roman"/>
          <w:vertAlign w:val="subscript"/>
        </w:rPr>
        <w:t>3</w:t>
      </w:r>
      <w:r>
        <w:rPr>
          <w:rFonts w:cs="Times New Roman"/>
        </w:rPr>
        <w:t xml:space="preserve"> (</w:t>
      </w:r>
      <w:r w:rsidRPr="00E50DFE">
        <w:rPr>
          <w:rFonts w:cs="Times New Roman"/>
          <w:i/>
        </w:rPr>
        <w:t>m/z</w:t>
      </w:r>
      <w:r>
        <w:rPr>
          <w:rFonts w:cs="Times New Roman"/>
        </w:rPr>
        <w:t>): 313.03. Found: 313.04, 315.04, and 317.04 in ratios expected from the occurrence of Cl</w:t>
      </w:r>
      <w:r w:rsidRPr="00434C61">
        <w:rPr>
          <w:rFonts w:cs="Times New Roman"/>
          <w:vertAlign w:val="superscript"/>
        </w:rPr>
        <w:t>35</w:t>
      </w:r>
      <w:r>
        <w:rPr>
          <w:rFonts w:cs="Times New Roman"/>
        </w:rPr>
        <w:t xml:space="preserve"> and Cl</w:t>
      </w:r>
      <w:r w:rsidRPr="00434C61">
        <w:rPr>
          <w:rFonts w:cs="Times New Roman"/>
          <w:vertAlign w:val="superscript"/>
        </w:rPr>
        <w:t>37</w:t>
      </w:r>
      <w:r>
        <w:rPr>
          <w:rFonts w:cs="Times New Roman"/>
        </w:rPr>
        <w:t xml:space="preserve"> isotopes in a natural 3:1 ratio.</w:t>
      </w:r>
      <w:r>
        <w:rPr>
          <w:rFonts w:cs="Times New Roman"/>
          <w:vertAlign w:val="superscript"/>
        </w:rPr>
        <w:t xml:space="preserve"> </w:t>
      </w:r>
      <w:r w:rsidRPr="00F614A0">
        <w:rPr>
          <w:rFonts w:cs="Times New Roman"/>
          <w:vertAlign w:val="superscript"/>
        </w:rPr>
        <w:t>1</w:t>
      </w:r>
      <w:r>
        <w:rPr>
          <w:rFonts w:cs="Times New Roman"/>
        </w:rPr>
        <w:t xml:space="preserve">H NMR </w:t>
      </w:r>
      <w:r w:rsidRPr="006C3276">
        <w:rPr>
          <w:rFonts w:cs="Times New Roman"/>
          <w:color w:val="000000"/>
        </w:rPr>
        <w:t>δ</w:t>
      </w:r>
      <w:r>
        <w:rPr>
          <w:rFonts w:cs="Times New Roman"/>
          <w:color w:val="000000"/>
        </w:rPr>
        <w:t xml:space="preserve"> (CDCl</w:t>
      </w:r>
      <w:r w:rsidRPr="00F614A0">
        <w:rPr>
          <w:rFonts w:cs="Times New Roman"/>
          <w:color w:val="000000"/>
          <w:vertAlign w:val="subscript"/>
        </w:rPr>
        <w:t>3</w:t>
      </w:r>
      <w:r>
        <w:rPr>
          <w:rFonts w:cs="Times New Roman"/>
          <w:color w:val="000000"/>
        </w:rPr>
        <w:t>): 1.15 (6H, s), 1.94 (2H, t), 2.32 (2H, s), 2.56 (2H, s), 6.04 (1H, s) 7.34-7.38 (1H, m), 7.54 (1H, s), 7.90 (1H, d)</w:t>
      </w:r>
      <w:r w:rsidR="00035E7F">
        <w:rPr>
          <w:rFonts w:cs="Times New Roman"/>
          <w:color w:val="000000"/>
        </w:rPr>
        <w:t>.</w:t>
      </w:r>
    </w:p>
    <w:p w14:paraId="5F63176E" w14:textId="77777777" w:rsidR="00035E7F" w:rsidRDefault="00035E7F" w:rsidP="00D27D2E">
      <w:pPr>
        <w:widowControl w:val="0"/>
        <w:autoSpaceDE w:val="0"/>
        <w:autoSpaceDN w:val="0"/>
        <w:adjustRightInd w:val="0"/>
        <w:ind w:firstLine="720"/>
        <w:rPr>
          <w:rFonts w:cs="Times New Roman"/>
          <w:color w:val="000000"/>
        </w:rPr>
      </w:pPr>
    </w:p>
    <w:p w14:paraId="7786CEC5" w14:textId="77777777" w:rsidR="00D27D2E" w:rsidRDefault="00D27D2E" w:rsidP="00D27D2E">
      <w:pPr>
        <w:widowControl w:val="0"/>
        <w:autoSpaceDE w:val="0"/>
        <w:autoSpaceDN w:val="0"/>
        <w:adjustRightInd w:val="0"/>
        <w:rPr>
          <w:rFonts w:cs="Times New Roman"/>
          <w:i/>
        </w:rPr>
      </w:pPr>
      <w:r>
        <w:rPr>
          <w:rFonts w:cs="Times New Roman"/>
          <w:i/>
        </w:rPr>
        <w:t>Compound 5 – 5-isopropyl-1</w:t>
      </w:r>
      <w:proofErr w:type="gramStart"/>
      <w:r>
        <w:rPr>
          <w:rFonts w:cs="Times New Roman"/>
          <w:i/>
        </w:rPr>
        <w:t>,3</w:t>
      </w:r>
      <w:proofErr w:type="gramEnd"/>
      <w:r>
        <w:rPr>
          <w:rFonts w:cs="Times New Roman"/>
          <w:i/>
        </w:rPr>
        <w:t>-cyclohexanedione</w:t>
      </w:r>
    </w:p>
    <w:p w14:paraId="09B7466B" w14:textId="77777777" w:rsidR="00035E7F" w:rsidRDefault="00D27D2E" w:rsidP="00D27D2E">
      <w:pPr>
        <w:widowControl w:val="0"/>
        <w:autoSpaceDE w:val="0"/>
        <w:autoSpaceDN w:val="0"/>
        <w:adjustRightInd w:val="0"/>
        <w:ind w:firstLine="720"/>
        <w:rPr>
          <w:rFonts w:cs="Times New Roman"/>
          <w:color w:val="000000"/>
        </w:rPr>
      </w:pPr>
      <w:r>
        <w:rPr>
          <w:rFonts w:cs="Times New Roman"/>
        </w:rPr>
        <w:t>To acetonitrile (40 mL), 0.68 g (4.4 mmol) of 5-isopropyl-1</w:t>
      </w:r>
      <w:proofErr w:type="gramStart"/>
      <w:r>
        <w:rPr>
          <w:rFonts w:cs="Times New Roman"/>
        </w:rPr>
        <w:t>,3</w:t>
      </w:r>
      <w:proofErr w:type="gramEnd"/>
      <w:r>
        <w:rPr>
          <w:rFonts w:cs="Times New Roman"/>
        </w:rPr>
        <w:t>-cyclohexanedione (Alfa Aesar, Ward Hill, MA, USA) and 1.73 g of potassium carbonate (12.5 mmol) were added and stirred. After 4 hr, a solution of 0.92 g (4.4 mmol) of 2,4-dichlorobenzoyl chloride and 10 mL of acetonitrile were added dropwise over a 10 min period to the reaction mixture. After 1 hr, 0.015 g (0.22 mmol) of 1,2,4-triazole was added to the reaction mixture. After 16 hr, the solvent was removed and 40 mL of water was added to the flask. This mixture was acidified with sulfuric acid and 40 mL of dichloromethane was added to extract the product. Dichloromethane (40 mL) was added again to the remaining water solution and another extraction was performed and the solvent removed. The product was developed on a thin-layer chromatography (TLC) plate with a 25:75 ethyl acetate</w:t>
      </w:r>
      <w:proofErr w:type="gramStart"/>
      <w:r>
        <w:rPr>
          <w:rFonts w:cs="Times New Roman"/>
        </w:rPr>
        <w:t>:hexane</w:t>
      </w:r>
      <w:proofErr w:type="gramEnd"/>
      <w:r>
        <w:rPr>
          <w:rFonts w:cs="Times New Roman"/>
        </w:rPr>
        <w:t xml:space="preserve"> solution. TLC indicated that there were three compounds that differed from starting materials. The compound with the lowest Rf value was also present in the highest concentration and was purified using flash chromatography with a gradient elution with 32 to 43% ethyl acetate/hexane. The reaction yield was 45%, producing 640 mg of white powder. The expected compound (</w:t>
      </w:r>
      <w:r w:rsidRPr="00A01226">
        <w:rPr>
          <w:rFonts w:eastAsia="ＭＳ ゴシック" w:cs="Times New Roman"/>
          <w:color w:val="000000"/>
        </w:rPr>
        <w:t>±</w:t>
      </w:r>
      <w:r>
        <w:rPr>
          <w:rFonts w:eastAsia="ＭＳ ゴシック" w:cs="Times New Roman"/>
          <w:color w:val="000000"/>
        </w:rPr>
        <w:t>)</w:t>
      </w:r>
      <w:r w:rsidRPr="00A01226">
        <w:rPr>
          <w:rFonts w:cs="Times New Roman"/>
        </w:rPr>
        <w:t xml:space="preserve"> </w:t>
      </w:r>
      <w:r>
        <w:rPr>
          <w:rFonts w:cs="Times New Roman"/>
        </w:rPr>
        <w:t>2-(2,4-dichlorobenzoyl)-5-isopropyl-cyclohexane-1</w:t>
      </w:r>
      <w:proofErr w:type="gramStart"/>
      <w:r>
        <w:rPr>
          <w:rFonts w:cs="Times New Roman"/>
        </w:rPr>
        <w:t>,3</w:t>
      </w:r>
      <w:proofErr w:type="gramEnd"/>
      <w:r>
        <w:rPr>
          <w:rFonts w:cs="Times New Roman"/>
        </w:rPr>
        <w:t xml:space="preserve">-dione was </w:t>
      </w:r>
      <w:r>
        <w:rPr>
          <w:rFonts w:cs="Times New Roman"/>
        </w:rPr>
        <w:lastRenderedPageBreak/>
        <w:t xml:space="preserve">confirmed by DART HRMS </w:t>
      </w:r>
      <w:r>
        <w:rPr>
          <w:rFonts w:cs="Times New Roman"/>
          <w:i/>
        </w:rPr>
        <w:t>m/z</w:t>
      </w:r>
      <w:r>
        <w:rPr>
          <w:rFonts w:cs="Times New Roman"/>
        </w:rPr>
        <w:t xml:space="preserve"> (M+): Calcd. </w:t>
      </w:r>
      <w:proofErr w:type="gramStart"/>
      <w:r>
        <w:rPr>
          <w:rFonts w:cs="Times New Roman"/>
        </w:rPr>
        <w:t>for</w:t>
      </w:r>
      <w:proofErr w:type="gramEnd"/>
      <w:r>
        <w:rPr>
          <w:rFonts w:cs="Times New Roman"/>
        </w:rPr>
        <w:t xml:space="preserve"> C</w:t>
      </w:r>
      <w:r w:rsidRPr="00434C61">
        <w:rPr>
          <w:rFonts w:cs="Times New Roman"/>
          <w:vertAlign w:val="subscript"/>
        </w:rPr>
        <w:t>16</w:t>
      </w:r>
      <w:r>
        <w:rPr>
          <w:rFonts w:cs="Times New Roman"/>
        </w:rPr>
        <w:t>H</w:t>
      </w:r>
      <w:r w:rsidRPr="00434C61">
        <w:rPr>
          <w:rFonts w:cs="Times New Roman"/>
          <w:vertAlign w:val="subscript"/>
        </w:rPr>
        <w:t>16</w:t>
      </w:r>
      <w:r>
        <w:rPr>
          <w:rFonts w:cs="Times New Roman"/>
        </w:rPr>
        <w:t>Cl</w:t>
      </w:r>
      <w:r w:rsidRPr="00434C61">
        <w:rPr>
          <w:rFonts w:cs="Times New Roman"/>
          <w:vertAlign w:val="subscript"/>
        </w:rPr>
        <w:t>2</w:t>
      </w:r>
      <w:r>
        <w:rPr>
          <w:rFonts w:cs="Times New Roman"/>
        </w:rPr>
        <w:t>O</w:t>
      </w:r>
      <w:r w:rsidRPr="00434C61">
        <w:rPr>
          <w:rFonts w:cs="Times New Roman"/>
          <w:vertAlign w:val="subscript"/>
        </w:rPr>
        <w:t>3</w:t>
      </w:r>
      <w:r>
        <w:rPr>
          <w:rFonts w:cs="Times New Roman"/>
        </w:rPr>
        <w:t xml:space="preserve"> (</w:t>
      </w:r>
      <w:r w:rsidRPr="00E50DFE">
        <w:rPr>
          <w:rFonts w:cs="Times New Roman"/>
          <w:i/>
        </w:rPr>
        <w:t>m/z</w:t>
      </w:r>
      <w:r>
        <w:rPr>
          <w:rFonts w:cs="Times New Roman"/>
        </w:rPr>
        <w:t>): 327.05. Found: 327.05, 329.06, and 331.06 in ratios expected from the occurrence of Cl</w:t>
      </w:r>
      <w:r w:rsidRPr="00434C61">
        <w:rPr>
          <w:rFonts w:cs="Times New Roman"/>
          <w:vertAlign w:val="superscript"/>
        </w:rPr>
        <w:t>35</w:t>
      </w:r>
      <w:r>
        <w:rPr>
          <w:rFonts w:cs="Times New Roman"/>
        </w:rPr>
        <w:t xml:space="preserve"> and Cl</w:t>
      </w:r>
      <w:r w:rsidRPr="00434C61">
        <w:rPr>
          <w:rFonts w:cs="Times New Roman"/>
          <w:vertAlign w:val="superscript"/>
        </w:rPr>
        <w:t>37</w:t>
      </w:r>
      <w:r>
        <w:rPr>
          <w:rFonts w:cs="Times New Roman"/>
        </w:rPr>
        <w:t xml:space="preserve"> isotopes in a natural 3:1 ratio.</w:t>
      </w:r>
      <w:r>
        <w:rPr>
          <w:rFonts w:cs="Times New Roman"/>
          <w:vertAlign w:val="superscript"/>
        </w:rPr>
        <w:t xml:space="preserve"> </w:t>
      </w:r>
      <w:r w:rsidRPr="00F614A0">
        <w:rPr>
          <w:rFonts w:cs="Times New Roman"/>
          <w:vertAlign w:val="superscript"/>
        </w:rPr>
        <w:t>1</w:t>
      </w:r>
      <w:r>
        <w:rPr>
          <w:rFonts w:cs="Times New Roman"/>
        </w:rPr>
        <w:t xml:space="preserve">H NMR </w:t>
      </w:r>
      <w:r w:rsidRPr="006C3276">
        <w:rPr>
          <w:rFonts w:cs="Times New Roman"/>
          <w:color w:val="000000"/>
        </w:rPr>
        <w:t>δ</w:t>
      </w:r>
      <w:r>
        <w:rPr>
          <w:rFonts w:cs="Times New Roman"/>
          <w:color w:val="000000"/>
        </w:rPr>
        <w:t xml:space="preserve"> (CDCl</w:t>
      </w:r>
      <w:r w:rsidRPr="00F614A0">
        <w:rPr>
          <w:rFonts w:cs="Times New Roman"/>
          <w:color w:val="000000"/>
          <w:vertAlign w:val="subscript"/>
        </w:rPr>
        <w:t>3</w:t>
      </w:r>
      <w:r>
        <w:rPr>
          <w:rFonts w:cs="Times New Roman"/>
          <w:color w:val="000000"/>
        </w:rPr>
        <w:t>): 0.97 (6H, dd), 1.68 (1H, m), 2.19 (1H, m), 2.56 (4H, m), 6.03 (1H, s) 7.36-7.39 (1H, m), 7.54 (1H, d), 7.91 (1H, d).</w:t>
      </w:r>
    </w:p>
    <w:p w14:paraId="57152B3F" w14:textId="77777777" w:rsidR="00D27D2E" w:rsidRPr="00B03D3A" w:rsidRDefault="00D27D2E" w:rsidP="00D27D2E">
      <w:pPr>
        <w:widowControl w:val="0"/>
        <w:autoSpaceDE w:val="0"/>
        <w:autoSpaceDN w:val="0"/>
        <w:adjustRightInd w:val="0"/>
        <w:ind w:firstLine="720"/>
        <w:rPr>
          <w:rFonts w:cs="Times New Roman"/>
          <w:color w:val="000000"/>
        </w:rPr>
      </w:pPr>
      <w:r>
        <w:rPr>
          <w:rFonts w:cs="Times New Roman"/>
          <w:color w:val="000000"/>
        </w:rPr>
        <w:t xml:space="preserve"> </w:t>
      </w:r>
    </w:p>
    <w:p w14:paraId="6228E873" w14:textId="77777777" w:rsidR="00D27D2E" w:rsidRDefault="00D27D2E" w:rsidP="00D27D2E">
      <w:pPr>
        <w:widowControl w:val="0"/>
        <w:autoSpaceDE w:val="0"/>
        <w:autoSpaceDN w:val="0"/>
        <w:adjustRightInd w:val="0"/>
        <w:rPr>
          <w:rFonts w:cs="Times New Roman"/>
          <w:i/>
        </w:rPr>
      </w:pPr>
      <w:r>
        <w:rPr>
          <w:rFonts w:cs="Times New Roman"/>
          <w:i/>
        </w:rPr>
        <w:t>Compound 6 – 5-phenyl-1</w:t>
      </w:r>
      <w:proofErr w:type="gramStart"/>
      <w:r>
        <w:rPr>
          <w:rFonts w:cs="Times New Roman"/>
          <w:i/>
        </w:rPr>
        <w:t>,3</w:t>
      </w:r>
      <w:proofErr w:type="gramEnd"/>
      <w:r>
        <w:rPr>
          <w:rFonts w:cs="Times New Roman"/>
          <w:i/>
        </w:rPr>
        <w:t>-cyclohexanedione</w:t>
      </w:r>
    </w:p>
    <w:p w14:paraId="566A7871" w14:textId="77777777" w:rsidR="00D27D2E" w:rsidRDefault="00D27D2E" w:rsidP="00D27D2E">
      <w:pPr>
        <w:widowControl w:val="0"/>
        <w:autoSpaceDE w:val="0"/>
        <w:autoSpaceDN w:val="0"/>
        <w:adjustRightInd w:val="0"/>
        <w:ind w:firstLine="720"/>
        <w:rPr>
          <w:rFonts w:cs="Times New Roman"/>
        </w:rPr>
      </w:pPr>
      <w:r>
        <w:rPr>
          <w:rFonts w:cs="Times New Roman"/>
        </w:rPr>
        <w:t>A total of 0.42 g (2.2 mmol) of 5-phenyl-1</w:t>
      </w:r>
      <w:proofErr w:type="gramStart"/>
      <w:r>
        <w:rPr>
          <w:rFonts w:cs="Times New Roman"/>
        </w:rPr>
        <w:t>,3</w:t>
      </w:r>
      <w:proofErr w:type="gramEnd"/>
      <w:r>
        <w:rPr>
          <w:rFonts w:cs="Times New Roman"/>
        </w:rPr>
        <w:t>-cyclohexanedione (Alfa Aesar, Ward Hill, MA, USA) and 0.86 g of potassium carbonate (6.25 mmol) were added to acetonitrile (40 mL) and stirred. After 4 hr, a solution of 0.46 g (2.2 mmol) of 2,4-dichlorobenzoyl chloride and 5 mL of acetonitrile were added dropwise over a 10 min period to the reaction mixture. After 1 hr, 0.008 g (0.11 mmol) of 1,2,4-triazole was added to the reaction mixture. After 16 hr, the solvent was removed and 40 mL of water was added to the flask. This mixture was acidified with sulfuric acid and 40 mL dichloromethane was added to extract the product. Dichloromethane (40 mL) was added again to the remaining water solution and another extraction was performed and the solvent removed. The product was developed on a thin-layer chromatography (TLC) plate with a 25:75 ethyl acetate</w:t>
      </w:r>
      <w:proofErr w:type="gramStart"/>
      <w:r>
        <w:rPr>
          <w:rFonts w:cs="Times New Roman"/>
        </w:rPr>
        <w:t>:hexane</w:t>
      </w:r>
      <w:proofErr w:type="gramEnd"/>
      <w:r>
        <w:rPr>
          <w:rFonts w:cs="Times New Roman"/>
        </w:rPr>
        <w:t xml:space="preserve"> solution. TLC indicated that there were three compounds that differed from starting materials. The compound with the highest Rf value was also present in the highest concentration and was purified using flash chromatography with a gradient elution with 20 to 40% ethyl acetate/hexane. The reaction yield was 53%, producing 420 mg of white powder. </w:t>
      </w:r>
    </w:p>
    <w:p w14:paraId="5BCFC8C9" w14:textId="6438B460" w:rsidR="00035E7F" w:rsidRPr="00555F3D" w:rsidRDefault="00D27D2E" w:rsidP="00D27D2E">
      <w:pPr>
        <w:widowControl w:val="0"/>
        <w:autoSpaceDE w:val="0"/>
        <w:autoSpaceDN w:val="0"/>
        <w:adjustRightInd w:val="0"/>
        <w:rPr>
          <w:rFonts w:cs="Times New Roman"/>
          <w:color w:val="000000"/>
        </w:rPr>
      </w:pPr>
      <w:r>
        <w:rPr>
          <w:rFonts w:cs="Times New Roman"/>
        </w:rPr>
        <w:t xml:space="preserve">Calcd. </w:t>
      </w:r>
      <w:proofErr w:type="gramStart"/>
      <w:r>
        <w:rPr>
          <w:rFonts w:cs="Times New Roman"/>
        </w:rPr>
        <w:t>for</w:t>
      </w:r>
      <w:proofErr w:type="gramEnd"/>
      <w:r>
        <w:rPr>
          <w:rFonts w:cs="Times New Roman"/>
        </w:rPr>
        <w:t xml:space="preserve"> C</w:t>
      </w:r>
      <w:r>
        <w:rPr>
          <w:rFonts w:cs="Times New Roman"/>
          <w:vertAlign w:val="subscript"/>
        </w:rPr>
        <w:t>19</w:t>
      </w:r>
      <w:r>
        <w:rPr>
          <w:rFonts w:cs="Times New Roman"/>
        </w:rPr>
        <w:t>H</w:t>
      </w:r>
      <w:r w:rsidRPr="00434C61">
        <w:rPr>
          <w:rFonts w:cs="Times New Roman"/>
          <w:vertAlign w:val="subscript"/>
        </w:rPr>
        <w:t>1</w:t>
      </w:r>
      <w:r>
        <w:rPr>
          <w:rFonts w:cs="Times New Roman"/>
          <w:vertAlign w:val="subscript"/>
        </w:rPr>
        <w:t>4</w:t>
      </w:r>
      <w:r>
        <w:rPr>
          <w:rFonts w:cs="Times New Roman"/>
        </w:rPr>
        <w:t>Cl</w:t>
      </w:r>
      <w:r w:rsidRPr="00434C61">
        <w:rPr>
          <w:rFonts w:cs="Times New Roman"/>
          <w:vertAlign w:val="subscript"/>
        </w:rPr>
        <w:t>2</w:t>
      </w:r>
      <w:r>
        <w:rPr>
          <w:rFonts w:cs="Times New Roman"/>
        </w:rPr>
        <w:t>O</w:t>
      </w:r>
      <w:r w:rsidRPr="00434C61">
        <w:rPr>
          <w:rFonts w:cs="Times New Roman"/>
          <w:vertAlign w:val="subscript"/>
        </w:rPr>
        <w:t>3</w:t>
      </w:r>
      <w:r>
        <w:rPr>
          <w:rFonts w:cs="Times New Roman"/>
        </w:rPr>
        <w:t xml:space="preserve"> (</w:t>
      </w:r>
      <w:r w:rsidRPr="00E50DFE">
        <w:rPr>
          <w:rFonts w:cs="Times New Roman"/>
          <w:i/>
        </w:rPr>
        <w:t>m/z</w:t>
      </w:r>
      <w:r>
        <w:rPr>
          <w:rFonts w:cs="Times New Roman"/>
        </w:rPr>
        <w:t>): 361.03. Found: 361.04, 363.04, 365.04 in ratios expected from the occurrence of Cl</w:t>
      </w:r>
      <w:r w:rsidRPr="00434C61">
        <w:rPr>
          <w:rFonts w:cs="Times New Roman"/>
          <w:vertAlign w:val="superscript"/>
        </w:rPr>
        <w:t>35</w:t>
      </w:r>
      <w:r>
        <w:rPr>
          <w:rFonts w:cs="Times New Roman"/>
        </w:rPr>
        <w:t xml:space="preserve"> and Cl</w:t>
      </w:r>
      <w:r w:rsidRPr="00434C61">
        <w:rPr>
          <w:rFonts w:cs="Times New Roman"/>
          <w:vertAlign w:val="superscript"/>
        </w:rPr>
        <w:t>37</w:t>
      </w:r>
      <w:r>
        <w:rPr>
          <w:rFonts w:cs="Times New Roman"/>
        </w:rPr>
        <w:t xml:space="preserve"> isotopes in a natural 3:1 ratio.</w:t>
      </w:r>
      <w:r>
        <w:rPr>
          <w:rFonts w:cs="Times New Roman"/>
          <w:vertAlign w:val="superscript"/>
        </w:rPr>
        <w:t xml:space="preserve"> </w:t>
      </w:r>
      <w:r w:rsidRPr="00F614A0">
        <w:rPr>
          <w:rFonts w:cs="Times New Roman"/>
          <w:vertAlign w:val="superscript"/>
        </w:rPr>
        <w:t>1</w:t>
      </w:r>
      <w:r>
        <w:rPr>
          <w:rFonts w:cs="Times New Roman"/>
        </w:rPr>
        <w:t xml:space="preserve">H NMR </w:t>
      </w:r>
      <w:r w:rsidRPr="006C3276">
        <w:rPr>
          <w:rFonts w:cs="Times New Roman"/>
          <w:color w:val="000000"/>
        </w:rPr>
        <w:t>δ</w:t>
      </w:r>
      <w:r>
        <w:rPr>
          <w:rFonts w:cs="Times New Roman"/>
          <w:color w:val="000000"/>
        </w:rPr>
        <w:t xml:space="preserve"> (CDCl</w:t>
      </w:r>
      <w:r w:rsidRPr="00F614A0">
        <w:rPr>
          <w:rFonts w:cs="Times New Roman"/>
          <w:color w:val="000000"/>
          <w:vertAlign w:val="subscript"/>
        </w:rPr>
        <w:t>3</w:t>
      </w:r>
      <w:r>
        <w:rPr>
          <w:rFonts w:cs="Times New Roman"/>
          <w:color w:val="000000"/>
        </w:rPr>
        <w:t xml:space="preserve">): 1.57 (1H, s), 2.65-3.08 (5H, m), 3.51 (1H, dq), 6.15 (1H, s), 7.30-7.38 (4H, m), 7.54 (1H, d), </w:t>
      </w:r>
      <w:proofErr w:type="gramStart"/>
      <w:r>
        <w:rPr>
          <w:rFonts w:cs="Times New Roman"/>
          <w:color w:val="000000"/>
        </w:rPr>
        <w:t>7.91</w:t>
      </w:r>
      <w:proofErr w:type="gramEnd"/>
      <w:r>
        <w:rPr>
          <w:rFonts w:cs="Times New Roman"/>
          <w:color w:val="000000"/>
        </w:rPr>
        <w:t xml:space="preserve"> (1H, d). </w:t>
      </w:r>
    </w:p>
    <w:p w14:paraId="4D56A847" w14:textId="77777777" w:rsidR="00D27D2E" w:rsidRDefault="00D27D2E" w:rsidP="00D27D2E">
      <w:pPr>
        <w:widowControl w:val="0"/>
        <w:autoSpaceDE w:val="0"/>
        <w:autoSpaceDN w:val="0"/>
        <w:adjustRightInd w:val="0"/>
        <w:rPr>
          <w:rFonts w:cs="Times New Roman"/>
          <w:i/>
        </w:rPr>
      </w:pPr>
      <w:r>
        <w:rPr>
          <w:rFonts w:cs="Times New Roman"/>
          <w:i/>
        </w:rPr>
        <w:lastRenderedPageBreak/>
        <w:t>Compound 7 – 1,3-cycloheptanedione</w:t>
      </w:r>
    </w:p>
    <w:p w14:paraId="10827CCB" w14:textId="77777777" w:rsidR="00D27D2E" w:rsidRDefault="00D27D2E" w:rsidP="00E54F6E">
      <w:pPr>
        <w:widowControl w:val="0"/>
        <w:autoSpaceDE w:val="0"/>
        <w:autoSpaceDN w:val="0"/>
        <w:adjustRightInd w:val="0"/>
        <w:ind w:firstLine="720"/>
        <w:rPr>
          <w:rFonts w:cs="Times New Roman"/>
          <w:color w:val="000000"/>
        </w:rPr>
      </w:pPr>
      <w:r>
        <w:rPr>
          <w:rFonts w:cs="Times New Roman"/>
        </w:rPr>
        <w:t>A solution of 0.55 g (4.4 mmol) of 1,3-cycloheptanedione (Sigma Aldrich, St. Louis, MO, USA) and 5 mL acetonitrile was added dropwise to acetonitrile (50 mL). Then, 1.72 g of potassium carbonate (12.5 mmol) was added and stirred. After 4 hr, a solution of 0.92 g (4.4 mmol) of 2,4-dichlorobenzoyl chloride and 10 mL of acetonitrile were added dropwise over a 10 min period to the reaction mixture. After 1 hr, 0.015 g (0.22 mmol) of 1,2,4-triazole was added to the reaction mixture. After 16 hr, the solvent was removed and 40 mL of water was added to the flask. This mixture was acidified with sulfuric acid and 40 mL of dichloromethane was added to extract the product. Dichloromethane (40 mL) was added again to the remaining water solution and another extraction was performed and the solvent removed. The product was developed on a thin-layer chromatography (TLC) plate with a 25:75 ethyl acetate</w:t>
      </w:r>
      <w:proofErr w:type="gramStart"/>
      <w:r>
        <w:rPr>
          <w:rFonts w:cs="Times New Roman"/>
        </w:rPr>
        <w:t>:hexane</w:t>
      </w:r>
      <w:proofErr w:type="gramEnd"/>
      <w:r>
        <w:rPr>
          <w:rFonts w:cs="Times New Roman"/>
        </w:rPr>
        <w:t xml:space="preserve"> solution. TLC indicated that there were two compounds that differed from starting materials. The compound with the highest Rf value was also present in the highest concentration and was purified using flash chromatography with a gradient elution with 20 to 40% ethyl acetate/hexane. The reaction yield was 71%, producing 930 mg of an off-white powder. The expected compound</w:t>
      </w:r>
      <w:r w:rsidRPr="00A01226">
        <w:rPr>
          <w:rFonts w:cs="Times New Roman"/>
        </w:rPr>
        <w:t xml:space="preserve"> </w:t>
      </w:r>
      <w:r>
        <w:rPr>
          <w:rFonts w:cs="Times New Roman"/>
        </w:rPr>
        <w:t>2-(2,4-dichlorobenzoyl)-cycloheptane-1</w:t>
      </w:r>
      <w:proofErr w:type="gramStart"/>
      <w:r>
        <w:rPr>
          <w:rFonts w:cs="Times New Roman"/>
        </w:rPr>
        <w:t>,3</w:t>
      </w:r>
      <w:proofErr w:type="gramEnd"/>
      <w:r>
        <w:rPr>
          <w:rFonts w:cs="Times New Roman"/>
        </w:rPr>
        <w:t xml:space="preserve">-dione was confirmed by DART HRMS </w:t>
      </w:r>
      <w:r>
        <w:rPr>
          <w:rFonts w:cs="Times New Roman"/>
          <w:i/>
        </w:rPr>
        <w:t>m/z</w:t>
      </w:r>
      <w:r>
        <w:rPr>
          <w:rFonts w:cs="Times New Roman"/>
        </w:rPr>
        <w:t xml:space="preserve"> (M+): Calcd. </w:t>
      </w:r>
      <w:proofErr w:type="gramStart"/>
      <w:r>
        <w:rPr>
          <w:rFonts w:cs="Times New Roman"/>
        </w:rPr>
        <w:t>for</w:t>
      </w:r>
      <w:proofErr w:type="gramEnd"/>
      <w:r>
        <w:rPr>
          <w:rFonts w:cs="Times New Roman"/>
        </w:rPr>
        <w:t xml:space="preserve"> C</w:t>
      </w:r>
      <w:r w:rsidRPr="00434C61">
        <w:rPr>
          <w:rFonts w:cs="Times New Roman"/>
          <w:vertAlign w:val="subscript"/>
        </w:rPr>
        <w:t>1</w:t>
      </w:r>
      <w:r>
        <w:rPr>
          <w:rFonts w:cs="Times New Roman"/>
          <w:vertAlign w:val="subscript"/>
        </w:rPr>
        <w:t>4</w:t>
      </w:r>
      <w:r>
        <w:rPr>
          <w:rFonts w:cs="Times New Roman"/>
        </w:rPr>
        <w:t>H</w:t>
      </w:r>
      <w:r w:rsidRPr="00434C61">
        <w:rPr>
          <w:rFonts w:cs="Times New Roman"/>
          <w:vertAlign w:val="subscript"/>
        </w:rPr>
        <w:t>1</w:t>
      </w:r>
      <w:r>
        <w:rPr>
          <w:rFonts w:cs="Times New Roman"/>
          <w:vertAlign w:val="subscript"/>
        </w:rPr>
        <w:t>2</w:t>
      </w:r>
      <w:r>
        <w:rPr>
          <w:rFonts w:cs="Times New Roman"/>
        </w:rPr>
        <w:t>Cl</w:t>
      </w:r>
      <w:r w:rsidRPr="00434C61">
        <w:rPr>
          <w:rFonts w:cs="Times New Roman"/>
          <w:vertAlign w:val="subscript"/>
        </w:rPr>
        <w:t>2</w:t>
      </w:r>
      <w:r>
        <w:rPr>
          <w:rFonts w:cs="Times New Roman"/>
        </w:rPr>
        <w:t>O</w:t>
      </w:r>
      <w:r w:rsidRPr="00434C61">
        <w:rPr>
          <w:rFonts w:cs="Times New Roman"/>
          <w:vertAlign w:val="subscript"/>
        </w:rPr>
        <w:t>3</w:t>
      </w:r>
      <w:r>
        <w:rPr>
          <w:rFonts w:cs="Times New Roman"/>
        </w:rPr>
        <w:t xml:space="preserve"> (</w:t>
      </w:r>
      <w:r w:rsidRPr="00E50DFE">
        <w:rPr>
          <w:rFonts w:cs="Times New Roman"/>
          <w:i/>
        </w:rPr>
        <w:t>m/z</w:t>
      </w:r>
      <w:r>
        <w:rPr>
          <w:rFonts w:cs="Times New Roman"/>
        </w:rPr>
        <w:t>): 299.02. Found: 299.02, 301.02, 303.02 in ratios expected from the occurrence of Cl</w:t>
      </w:r>
      <w:r w:rsidRPr="00434C61">
        <w:rPr>
          <w:rFonts w:cs="Times New Roman"/>
          <w:vertAlign w:val="superscript"/>
        </w:rPr>
        <w:t>35</w:t>
      </w:r>
      <w:r>
        <w:rPr>
          <w:rFonts w:cs="Times New Roman"/>
        </w:rPr>
        <w:t xml:space="preserve"> and Cl</w:t>
      </w:r>
      <w:r w:rsidRPr="00434C61">
        <w:rPr>
          <w:rFonts w:cs="Times New Roman"/>
          <w:vertAlign w:val="superscript"/>
        </w:rPr>
        <w:t>37</w:t>
      </w:r>
      <w:r>
        <w:rPr>
          <w:rFonts w:cs="Times New Roman"/>
        </w:rPr>
        <w:t xml:space="preserve"> isotopes in a natural 3:1 ratio.</w:t>
      </w:r>
      <w:r>
        <w:rPr>
          <w:rFonts w:cs="Times New Roman"/>
          <w:vertAlign w:val="superscript"/>
        </w:rPr>
        <w:t xml:space="preserve"> </w:t>
      </w:r>
      <w:r w:rsidRPr="00F614A0">
        <w:rPr>
          <w:rFonts w:cs="Times New Roman"/>
          <w:vertAlign w:val="superscript"/>
        </w:rPr>
        <w:t>1</w:t>
      </w:r>
      <w:r>
        <w:rPr>
          <w:rFonts w:cs="Times New Roman"/>
        </w:rPr>
        <w:t xml:space="preserve">H NMR </w:t>
      </w:r>
      <w:r w:rsidRPr="006C3276">
        <w:rPr>
          <w:rFonts w:cs="Times New Roman"/>
          <w:color w:val="000000"/>
        </w:rPr>
        <w:t>δ</w:t>
      </w:r>
      <w:r>
        <w:rPr>
          <w:rFonts w:cs="Times New Roman"/>
          <w:color w:val="000000"/>
        </w:rPr>
        <w:t xml:space="preserve"> (CDCl</w:t>
      </w:r>
      <w:r w:rsidRPr="00F614A0">
        <w:rPr>
          <w:rFonts w:cs="Times New Roman"/>
          <w:color w:val="000000"/>
          <w:vertAlign w:val="subscript"/>
        </w:rPr>
        <w:t>3</w:t>
      </w:r>
      <w:r>
        <w:rPr>
          <w:rFonts w:cs="Times New Roman"/>
          <w:color w:val="000000"/>
        </w:rPr>
        <w:t>):</w:t>
      </w:r>
    </w:p>
    <w:p w14:paraId="78FA38C8" w14:textId="77777777" w:rsidR="00035E7F" w:rsidRDefault="00035E7F" w:rsidP="00E54F6E">
      <w:pPr>
        <w:widowControl w:val="0"/>
        <w:autoSpaceDE w:val="0"/>
        <w:autoSpaceDN w:val="0"/>
        <w:adjustRightInd w:val="0"/>
        <w:ind w:firstLine="720"/>
        <w:rPr>
          <w:rFonts w:cs="Times New Roman"/>
          <w:color w:val="000000"/>
        </w:rPr>
      </w:pPr>
    </w:p>
    <w:p w14:paraId="326143F9" w14:textId="77777777" w:rsidR="00D27D2E" w:rsidRDefault="00D27D2E" w:rsidP="00D27D2E">
      <w:pPr>
        <w:widowControl w:val="0"/>
        <w:autoSpaceDE w:val="0"/>
        <w:autoSpaceDN w:val="0"/>
        <w:adjustRightInd w:val="0"/>
        <w:rPr>
          <w:rFonts w:cs="Times New Roman"/>
          <w:i/>
          <w:color w:val="000000"/>
        </w:rPr>
      </w:pPr>
      <w:r w:rsidRPr="00C72F6B">
        <w:rPr>
          <w:rFonts w:cs="Times New Roman"/>
          <w:i/>
          <w:color w:val="000000"/>
        </w:rPr>
        <w:t>Biological Tests</w:t>
      </w:r>
    </w:p>
    <w:p w14:paraId="58796FE9" w14:textId="71DC6F88" w:rsidR="00D27D2E" w:rsidRDefault="00D27D2E" w:rsidP="00D27D2E">
      <w:pPr>
        <w:widowControl w:val="0"/>
        <w:autoSpaceDE w:val="0"/>
        <w:autoSpaceDN w:val="0"/>
        <w:adjustRightInd w:val="0"/>
        <w:ind w:firstLine="720"/>
        <w:rPr>
          <w:rFonts w:cs="Times New Roman"/>
        </w:rPr>
      </w:pPr>
      <w:r w:rsidRPr="00C72F6B">
        <w:rPr>
          <w:rFonts w:cs="Times New Roman"/>
          <w:color w:val="000000"/>
        </w:rPr>
        <w:t xml:space="preserve">The herbicidal activity of these compounds was assessed by applying them to whole plants grown in a </w:t>
      </w:r>
      <w:r>
        <w:rPr>
          <w:rFonts w:cs="Times New Roman"/>
        </w:rPr>
        <w:t>S</w:t>
      </w:r>
      <w:r w:rsidRPr="00C72F6B">
        <w:rPr>
          <w:rFonts w:cs="Times New Roman"/>
        </w:rPr>
        <w:t>equatchie loam soil (fine-loamy, siliceous, semiactive</w:t>
      </w:r>
      <w:proofErr w:type="gramStart"/>
      <w:r w:rsidRPr="00C72F6B">
        <w:rPr>
          <w:rFonts w:cs="Times New Roman"/>
        </w:rPr>
        <w:t>,thermic</w:t>
      </w:r>
      <w:proofErr w:type="gramEnd"/>
      <w:r w:rsidRPr="00C72F6B">
        <w:rPr>
          <w:rFonts w:cs="Times New Roman"/>
        </w:rPr>
        <w:t>, and humic Hapludult) having a pH of 5.8 and organic matter content of 2.1%</w:t>
      </w:r>
      <w:r>
        <w:rPr>
          <w:rFonts w:cs="Times New Roman"/>
        </w:rPr>
        <w:t xml:space="preserve"> in a glasshouse at the </w:t>
      </w:r>
      <w:r>
        <w:rPr>
          <w:rFonts w:cs="Times New Roman"/>
        </w:rPr>
        <w:lastRenderedPageBreak/>
        <w:t xml:space="preserve">University of Tennessee </w:t>
      </w:r>
      <w:r w:rsidRPr="00565BC7">
        <w:rPr>
          <w:rFonts w:cs="Times New Roman"/>
        </w:rPr>
        <w:t>(35.98 N, 83.91 W)</w:t>
      </w:r>
      <w:r>
        <w:rPr>
          <w:rFonts w:cs="Times New Roman"/>
        </w:rPr>
        <w:t xml:space="preserve"> in 2013</w:t>
      </w:r>
      <w:r w:rsidRPr="00C72F6B">
        <w:rPr>
          <w:rFonts w:cs="Times New Roman"/>
        </w:rPr>
        <w:t>.</w:t>
      </w:r>
      <w:r>
        <w:rPr>
          <w:rFonts w:cs="Times New Roman"/>
        </w:rPr>
        <w:t xml:space="preserve"> To evaluate postemergence activity, tubers of </w:t>
      </w:r>
      <w:r w:rsidRPr="007D2856">
        <w:rPr>
          <w:rFonts w:cs="Times New Roman"/>
          <w:i/>
        </w:rPr>
        <w:t>Cyperus esculentus</w:t>
      </w:r>
      <w:r>
        <w:rPr>
          <w:rFonts w:cs="Times New Roman"/>
        </w:rPr>
        <w:t xml:space="preserve"> and seeds of </w:t>
      </w:r>
      <w:r w:rsidRPr="007D2856">
        <w:rPr>
          <w:rFonts w:cs="Times New Roman"/>
          <w:i/>
        </w:rPr>
        <w:t>Digitaria sanguinalis</w:t>
      </w:r>
      <w:r>
        <w:rPr>
          <w:rFonts w:cs="Times New Roman"/>
        </w:rPr>
        <w:t xml:space="preserve">, </w:t>
      </w:r>
      <w:r w:rsidRPr="007D2856">
        <w:rPr>
          <w:rFonts w:cs="Times New Roman"/>
          <w:i/>
        </w:rPr>
        <w:t>Ele</w:t>
      </w:r>
      <w:r>
        <w:rPr>
          <w:rFonts w:cs="Times New Roman"/>
          <w:i/>
        </w:rPr>
        <w:t>u</w:t>
      </w:r>
      <w:r w:rsidRPr="007D2856">
        <w:rPr>
          <w:rFonts w:cs="Times New Roman"/>
          <w:i/>
        </w:rPr>
        <w:t>sine indica</w:t>
      </w:r>
      <w:r>
        <w:rPr>
          <w:rFonts w:cs="Times New Roman"/>
        </w:rPr>
        <w:t xml:space="preserve">, </w:t>
      </w:r>
      <w:r w:rsidRPr="007D2856">
        <w:rPr>
          <w:rFonts w:cs="Times New Roman"/>
          <w:i/>
        </w:rPr>
        <w:t>Poa annua</w:t>
      </w:r>
      <w:r>
        <w:rPr>
          <w:rFonts w:cs="Times New Roman"/>
        </w:rPr>
        <w:t xml:space="preserve">, </w:t>
      </w:r>
      <w:r w:rsidRPr="007D2856">
        <w:rPr>
          <w:rFonts w:cs="Times New Roman"/>
          <w:i/>
        </w:rPr>
        <w:t>Agrostis stolonifera</w:t>
      </w:r>
      <w:r>
        <w:rPr>
          <w:rFonts w:cs="Times New Roman"/>
        </w:rPr>
        <w:t xml:space="preserve">, </w:t>
      </w:r>
      <w:r w:rsidRPr="007D2856">
        <w:rPr>
          <w:rFonts w:cs="Times New Roman"/>
          <w:i/>
        </w:rPr>
        <w:t>Poa pratensis</w:t>
      </w:r>
      <w:r>
        <w:rPr>
          <w:rFonts w:cs="Times New Roman"/>
        </w:rPr>
        <w:t xml:space="preserve">, </w:t>
      </w:r>
      <w:r w:rsidRPr="007D2856">
        <w:rPr>
          <w:rFonts w:cs="Times New Roman"/>
          <w:i/>
        </w:rPr>
        <w:t>Stellaria media</w:t>
      </w:r>
      <w:r>
        <w:rPr>
          <w:rFonts w:cs="Times New Roman"/>
        </w:rPr>
        <w:t xml:space="preserve"> and </w:t>
      </w:r>
      <w:r w:rsidRPr="007D2856">
        <w:rPr>
          <w:rFonts w:cs="Times New Roman"/>
          <w:i/>
        </w:rPr>
        <w:t>Trifolium repens</w:t>
      </w:r>
      <w:r>
        <w:rPr>
          <w:rFonts w:cs="Times New Roman"/>
        </w:rPr>
        <w:t xml:space="preserve"> were planted and allowed to grow until they had at least one true leaf prior to by exposed to the previously described compounds. </w:t>
      </w:r>
      <w:r w:rsidRPr="007D2856">
        <w:rPr>
          <w:rFonts w:cs="Times New Roman"/>
          <w:i/>
        </w:rPr>
        <w:t>Digitaria sanguinalis</w:t>
      </w:r>
      <w:r>
        <w:rPr>
          <w:rFonts w:cs="Times New Roman"/>
        </w:rPr>
        <w:t xml:space="preserve">, </w:t>
      </w:r>
      <w:r w:rsidRPr="007D2856">
        <w:rPr>
          <w:rFonts w:cs="Times New Roman"/>
          <w:i/>
        </w:rPr>
        <w:t>Ele</w:t>
      </w:r>
      <w:r>
        <w:rPr>
          <w:rFonts w:cs="Times New Roman"/>
          <w:i/>
        </w:rPr>
        <w:t>u</w:t>
      </w:r>
      <w:r w:rsidRPr="007D2856">
        <w:rPr>
          <w:rFonts w:cs="Times New Roman"/>
          <w:i/>
        </w:rPr>
        <w:t>sine indica</w:t>
      </w:r>
      <w:r>
        <w:rPr>
          <w:rFonts w:cs="Times New Roman"/>
        </w:rPr>
        <w:t xml:space="preserve"> and </w:t>
      </w:r>
      <w:r w:rsidRPr="007D2856">
        <w:rPr>
          <w:rFonts w:cs="Times New Roman"/>
          <w:i/>
        </w:rPr>
        <w:t>Stellaria media</w:t>
      </w:r>
      <w:r>
        <w:rPr>
          <w:rFonts w:cs="Times New Roman"/>
        </w:rPr>
        <w:t xml:space="preserve"> were also planted and incorporated in the top 0.5 cm of soil on the day of application to evaluate pre</w:t>
      </w:r>
      <w:r w:rsidR="00904173">
        <w:rPr>
          <w:rFonts w:cs="Times New Roman"/>
        </w:rPr>
        <w:t>-</w:t>
      </w:r>
      <w:r>
        <w:rPr>
          <w:rFonts w:cs="Times New Roman"/>
        </w:rPr>
        <w:t>emergence activity of synthesized compounds. Plants were sowed in six equally spaced, 7.5 cm-long, rows in 10 cm x 30 cm pots.  Each of these rows contained a different species. All twelve rows were contained within two pots that were placed adjacent to one another for the duration of the experiment to compose one experimental unit. Pots were treated with a complete (20N-20P</w:t>
      </w:r>
      <w:r w:rsidRPr="00875EB7">
        <w:rPr>
          <w:rFonts w:cs="Times New Roman"/>
          <w:vertAlign w:val="subscript"/>
        </w:rPr>
        <w:t>2</w:t>
      </w:r>
      <w:r>
        <w:rPr>
          <w:rFonts w:cs="Times New Roman"/>
        </w:rPr>
        <w:t>O</w:t>
      </w:r>
      <w:r w:rsidRPr="00875EB7">
        <w:rPr>
          <w:rFonts w:cs="Times New Roman"/>
          <w:vertAlign w:val="subscript"/>
        </w:rPr>
        <w:t>5</w:t>
      </w:r>
      <w:r>
        <w:rPr>
          <w:rFonts w:cs="Times New Roman"/>
        </w:rPr>
        <w:t>-20K</w:t>
      </w:r>
      <w:r w:rsidRPr="00875EB7">
        <w:rPr>
          <w:rFonts w:cs="Times New Roman"/>
          <w:vertAlign w:val="subscript"/>
        </w:rPr>
        <w:t>2</w:t>
      </w:r>
      <w:r>
        <w:rPr>
          <w:rFonts w:cs="Times New Roman"/>
        </w:rPr>
        <w:t>O) fertilizer at 25 kg N ha</w:t>
      </w:r>
      <w:r w:rsidRPr="002E4818">
        <w:rPr>
          <w:rFonts w:cs="Times New Roman"/>
          <w:vertAlign w:val="superscript"/>
        </w:rPr>
        <w:t>-1</w:t>
      </w:r>
      <w:r>
        <w:rPr>
          <w:rFonts w:cs="Times New Roman"/>
        </w:rPr>
        <w:t xml:space="preserve"> 24 hours prior to herbicide application.</w:t>
      </w:r>
    </w:p>
    <w:p w14:paraId="45C73049" w14:textId="77777777" w:rsidR="00D27D2E" w:rsidRDefault="00D27D2E" w:rsidP="00D27D2E">
      <w:pPr>
        <w:widowControl w:val="0"/>
        <w:autoSpaceDE w:val="0"/>
        <w:autoSpaceDN w:val="0"/>
        <w:adjustRightInd w:val="0"/>
        <w:rPr>
          <w:rFonts w:cs="Times New Roman"/>
        </w:rPr>
      </w:pPr>
      <w:r>
        <w:rPr>
          <w:rFonts w:cs="Times New Roman"/>
        </w:rPr>
        <w:tab/>
        <w:t>All compounds were applied at 2500 or 500 g ha</w:t>
      </w:r>
      <w:r w:rsidRPr="002E4818">
        <w:rPr>
          <w:rFonts w:cs="Times New Roman"/>
          <w:vertAlign w:val="superscript"/>
        </w:rPr>
        <w:t>-1</w:t>
      </w:r>
      <w:r>
        <w:rPr>
          <w:rFonts w:cs="Times New Roman"/>
        </w:rPr>
        <w:t>. Technical-grade mesotrione (Sigma Aldrich, St. Louis, MO, USA) was also included at 2500 or 500 g ha</w:t>
      </w:r>
      <w:r w:rsidRPr="002E4818">
        <w:rPr>
          <w:rFonts w:cs="Times New Roman"/>
          <w:vertAlign w:val="superscript"/>
        </w:rPr>
        <w:t>-1</w:t>
      </w:r>
      <w:r>
        <w:rPr>
          <w:rFonts w:cs="Times New Roman"/>
        </w:rPr>
        <w:t xml:space="preserve"> as a commercial standard. Compounds were dissolved in 3 mL acetone and mixed with 14.5 mL of water carrier and crop-oil concentrate (1% v/v) immediately prior to application. This mixture was applied at 460 L ha</w:t>
      </w:r>
      <w:r w:rsidRPr="00565BC7">
        <w:rPr>
          <w:rFonts w:cs="Times New Roman"/>
          <w:vertAlign w:val="superscript"/>
        </w:rPr>
        <w:t>-1</w:t>
      </w:r>
      <w:r>
        <w:rPr>
          <w:rFonts w:cs="Times New Roman"/>
        </w:rPr>
        <w:t xml:space="preserve"> through an 8002 EVS nozzle (Spraying Systems Co., Wheaton, IL, USA), using a track sprayer (Generation III track sprayer, DeVries Manufacturing, Hollandale, MN, USA). </w:t>
      </w:r>
    </w:p>
    <w:p w14:paraId="059436EA" w14:textId="5DD9428E" w:rsidR="00D27D2E" w:rsidRDefault="00D27D2E" w:rsidP="00D27D2E">
      <w:pPr>
        <w:widowControl w:val="0"/>
        <w:autoSpaceDE w:val="0"/>
        <w:autoSpaceDN w:val="0"/>
        <w:adjustRightInd w:val="0"/>
        <w:rPr>
          <w:rFonts w:eastAsia="ＭＳ ゴシック" w:cs="Times New Roman"/>
          <w:color w:val="000000"/>
        </w:rPr>
      </w:pPr>
      <w:r>
        <w:rPr>
          <w:rFonts w:cs="Times New Roman"/>
        </w:rPr>
        <w:tab/>
        <w:t xml:space="preserve">Treatments were arranged in a completely randomized design with three replications. Visual bleaching/necrosis was assessed for each species individually at 2 weeks after treatment on a 0 (no visual </w:t>
      </w:r>
      <w:r w:rsidRPr="00E4026E">
        <w:rPr>
          <w:rFonts w:cs="Times New Roman"/>
        </w:rPr>
        <w:t>bleachin</w:t>
      </w:r>
      <w:r>
        <w:rPr>
          <w:rFonts w:cs="Times New Roman"/>
        </w:rPr>
        <w:t>g</w:t>
      </w:r>
      <w:r w:rsidRPr="00E4026E">
        <w:rPr>
          <w:rFonts w:cs="Times New Roman"/>
        </w:rPr>
        <w:t xml:space="preserve">/necrosis) </w:t>
      </w:r>
      <w:proofErr w:type="gramStart"/>
      <w:r w:rsidRPr="00E4026E">
        <w:rPr>
          <w:rFonts w:cs="Times New Roman"/>
        </w:rPr>
        <w:t>to 100 (complete bleaching/necrosis) percent scale</w:t>
      </w:r>
      <w:proofErr w:type="gramEnd"/>
      <w:r>
        <w:rPr>
          <w:rFonts w:cs="Times New Roman"/>
        </w:rPr>
        <w:t xml:space="preserve"> relative to a non-treated control</w:t>
      </w:r>
      <w:r w:rsidRPr="00E4026E">
        <w:rPr>
          <w:rFonts w:cs="Times New Roman"/>
        </w:rPr>
        <w:t>. These data were subjected to ANOVA (</w:t>
      </w:r>
      <w:r w:rsidRPr="00E4026E">
        <w:rPr>
          <w:rFonts w:cs="Times New Roman"/>
          <w:color w:val="000000"/>
        </w:rPr>
        <w:t xml:space="preserve">α </w:t>
      </w:r>
      <w:r w:rsidRPr="00E4026E">
        <w:rPr>
          <w:rFonts w:eastAsia="ＭＳ ゴシック" w:cs="Times New Roman"/>
          <w:color w:val="000000"/>
        </w:rPr>
        <w:t>≤ 0.05)</w:t>
      </w:r>
      <w:r>
        <w:rPr>
          <w:rFonts w:eastAsia="ＭＳ ゴシック" w:cs="Times New Roman"/>
          <w:color w:val="000000"/>
        </w:rPr>
        <w:t xml:space="preserve"> and means were separated using Fisher’s Protected LSD test.</w:t>
      </w:r>
    </w:p>
    <w:p w14:paraId="220B730B" w14:textId="77777777" w:rsidR="00326E4D" w:rsidRDefault="00326E4D" w:rsidP="00326E4D">
      <w:pPr>
        <w:widowControl w:val="0"/>
        <w:autoSpaceDE w:val="0"/>
        <w:autoSpaceDN w:val="0"/>
        <w:adjustRightInd w:val="0"/>
        <w:rPr>
          <w:rFonts w:eastAsia="ＭＳ ゴシック" w:cs="Times New Roman"/>
          <w:color w:val="000000"/>
        </w:rPr>
      </w:pPr>
    </w:p>
    <w:p w14:paraId="2C494424" w14:textId="77777777" w:rsidR="00326E4D" w:rsidRDefault="00160E5E" w:rsidP="003A1DC6">
      <w:pPr>
        <w:pStyle w:val="Heading2"/>
      </w:pPr>
      <w:bookmarkStart w:id="134" w:name="_Toc264713585"/>
      <w:bookmarkStart w:id="135" w:name="_Toc264713635"/>
      <w:bookmarkStart w:id="136" w:name="_Toc264967207"/>
      <w:r>
        <w:lastRenderedPageBreak/>
        <w:t>RESULTS</w:t>
      </w:r>
      <w:r w:rsidR="007C5980">
        <w:t xml:space="preserve"> AND DISCUSSION</w:t>
      </w:r>
      <w:bookmarkEnd w:id="134"/>
      <w:bookmarkEnd w:id="135"/>
      <w:bookmarkEnd w:id="136"/>
    </w:p>
    <w:p w14:paraId="11C7D613" w14:textId="72DB2995" w:rsidR="00D27D2E" w:rsidRDefault="00D27D2E" w:rsidP="00D27D2E">
      <w:pPr>
        <w:widowControl w:val="0"/>
        <w:autoSpaceDE w:val="0"/>
        <w:autoSpaceDN w:val="0"/>
        <w:adjustRightInd w:val="0"/>
        <w:ind w:firstLine="720"/>
        <w:rPr>
          <w:rFonts w:ascii="Times" w:hAnsi="Times" w:cs="Times New Roman"/>
        </w:rPr>
      </w:pPr>
      <w:bookmarkStart w:id="137" w:name="_Toc264713586"/>
      <w:bookmarkStart w:id="138" w:name="_Toc264713636"/>
      <w:bookmarkStart w:id="139" w:name="_Toc264967208"/>
      <w:r>
        <w:rPr>
          <w:rFonts w:ascii="Times" w:hAnsi="Times" w:cs="Times New Roman"/>
        </w:rPr>
        <w:t>Herbicide-by-rate interactions were detected for some weed species evaluated; therefore these interactions will be presented for all species tested. Only data collected 2 WAT will be presented</w:t>
      </w:r>
      <w:r w:rsidR="00904173">
        <w:rPr>
          <w:rFonts w:ascii="Times" w:hAnsi="Times" w:cs="Times New Roman"/>
        </w:rPr>
        <w:t>,</w:t>
      </w:r>
      <w:r>
        <w:rPr>
          <w:rFonts w:ascii="Times" w:hAnsi="Times" w:cs="Times New Roman"/>
        </w:rPr>
        <w:t xml:space="preserve"> as treatment responses were most apparent at this time.</w:t>
      </w:r>
    </w:p>
    <w:p w14:paraId="3A6C44D6" w14:textId="0AF18B34" w:rsidR="00D27D2E" w:rsidRDefault="00D27D2E" w:rsidP="00D27D2E">
      <w:pPr>
        <w:widowControl w:val="0"/>
        <w:autoSpaceDE w:val="0"/>
        <w:autoSpaceDN w:val="0"/>
        <w:adjustRightInd w:val="0"/>
        <w:rPr>
          <w:rFonts w:ascii="Times" w:hAnsi="Times" w:cs="Times New Roman"/>
        </w:rPr>
      </w:pPr>
      <w:r>
        <w:rPr>
          <w:rFonts w:ascii="Times" w:hAnsi="Times" w:cs="Times New Roman"/>
        </w:rPr>
        <w:tab/>
        <w:t xml:space="preserve">The 5,5-dimethyl-substituted compound </w:t>
      </w:r>
      <w:r>
        <w:rPr>
          <w:rFonts w:ascii="Times" w:hAnsi="Times" w:cs="Times New Roman"/>
          <w:b/>
        </w:rPr>
        <w:t xml:space="preserve">4 </w:t>
      </w:r>
      <w:r>
        <w:rPr>
          <w:rFonts w:ascii="Times" w:hAnsi="Times" w:cs="Times New Roman"/>
        </w:rPr>
        <w:t>displayed the most activity of any synthesized compounds. At the high (2500 g ha</w:t>
      </w:r>
      <w:r w:rsidRPr="00CA6D4E">
        <w:rPr>
          <w:rFonts w:ascii="Times" w:hAnsi="Times" w:cs="Times New Roman"/>
          <w:vertAlign w:val="superscript"/>
        </w:rPr>
        <w:t>-1</w:t>
      </w:r>
      <w:r>
        <w:rPr>
          <w:rFonts w:ascii="Times" w:hAnsi="Times" w:cs="Times New Roman"/>
        </w:rPr>
        <w:t xml:space="preserve">) rate, this compound provided &gt; 65% </w:t>
      </w:r>
      <w:r w:rsidRPr="00CA6D4E">
        <w:rPr>
          <w:rFonts w:ascii="Times" w:hAnsi="Times" w:cs="Times New Roman"/>
          <w:i/>
        </w:rPr>
        <w:t>Ele</w:t>
      </w:r>
      <w:r>
        <w:rPr>
          <w:rFonts w:ascii="Times" w:hAnsi="Times" w:cs="Times New Roman"/>
          <w:i/>
        </w:rPr>
        <w:t>u</w:t>
      </w:r>
      <w:r w:rsidRPr="00CA6D4E">
        <w:rPr>
          <w:rFonts w:ascii="Times" w:hAnsi="Times" w:cs="Times New Roman"/>
          <w:i/>
        </w:rPr>
        <w:t>sine indica</w:t>
      </w:r>
      <w:r>
        <w:rPr>
          <w:rFonts w:ascii="Times" w:hAnsi="Times" w:cs="Times New Roman"/>
          <w:i/>
        </w:rPr>
        <w:t xml:space="preserve"> </w:t>
      </w:r>
      <w:r>
        <w:rPr>
          <w:rFonts w:ascii="Times" w:hAnsi="Times" w:cs="Times New Roman"/>
        </w:rPr>
        <w:t>control</w:t>
      </w:r>
      <w:r>
        <w:rPr>
          <w:rFonts w:ascii="Times" w:hAnsi="Times" w:cs="Times New Roman"/>
          <w:i/>
        </w:rPr>
        <w:t xml:space="preserve"> </w:t>
      </w:r>
      <w:r>
        <w:rPr>
          <w:rFonts w:ascii="Times" w:hAnsi="Times" w:cs="Times New Roman"/>
        </w:rPr>
        <w:t>in both pre- and post-emergence applications. At the low (500 g ha</w:t>
      </w:r>
      <w:r w:rsidRPr="00CA6D4E">
        <w:rPr>
          <w:rFonts w:ascii="Times" w:hAnsi="Times" w:cs="Times New Roman"/>
          <w:vertAlign w:val="superscript"/>
        </w:rPr>
        <w:t>-1</w:t>
      </w:r>
      <w:r>
        <w:rPr>
          <w:rFonts w:ascii="Times" w:hAnsi="Times" w:cs="Times New Roman"/>
        </w:rPr>
        <w:t xml:space="preserve">) rate, compound </w:t>
      </w:r>
      <w:r>
        <w:rPr>
          <w:rFonts w:ascii="Times" w:hAnsi="Times" w:cs="Times New Roman"/>
          <w:b/>
        </w:rPr>
        <w:t xml:space="preserve">4 </w:t>
      </w:r>
      <w:r>
        <w:rPr>
          <w:rFonts w:ascii="Times" w:hAnsi="Times" w:cs="Times New Roman"/>
        </w:rPr>
        <w:t xml:space="preserve">provided 63% control of </w:t>
      </w:r>
      <w:r w:rsidRPr="00CA6D4E">
        <w:rPr>
          <w:rFonts w:ascii="Times" w:hAnsi="Times" w:cs="Times New Roman"/>
          <w:i/>
        </w:rPr>
        <w:t>Eleusine indica</w:t>
      </w:r>
      <w:r>
        <w:rPr>
          <w:rFonts w:ascii="Times" w:hAnsi="Times" w:cs="Times New Roman"/>
        </w:rPr>
        <w:t xml:space="preserve"> when applied post-emergence but no control from pre-emergence applications. Interestingly, compound </w:t>
      </w:r>
      <w:r w:rsidRPr="008D020E">
        <w:rPr>
          <w:rFonts w:ascii="Times" w:hAnsi="Times" w:cs="Times New Roman"/>
          <w:b/>
        </w:rPr>
        <w:t>4</w:t>
      </w:r>
      <w:r>
        <w:rPr>
          <w:rFonts w:ascii="Times" w:hAnsi="Times" w:cs="Times New Roman"/>
          <w:b/>
        </w:rPr>
        <w:t xml:space="preserve"> </w:t>
      </w:r>
      <w:r>
        <w:rPr>
          <w:rFonts w:ascii="Times" w:hAnsi="Times" w:cs="Times New Roman"/>
        </w:rPr>
        <w:t xml:space="preserve">provided negligible </w:t>
      </w:r>
      <w:r w:rsidRPr="008D020E">
        <w:rPr>
          <w:rFonts w:ascii="Times" w:hAnsi="Times" w:cs="Times New Roman"/>
          <w:i/>
        </w:rPr>
        <w:t>Digitaria sanguinalis</w:t>
      </w:r>
      <w:r>
        <w:rPr>
          <w:rFonts w:ascii="Times" w:hAnsi="Times" w:cs="Times New Roman"/>
        </w:rPr>
        <w:t xml:space="preserve"> control. Given the control provided by the 5,5-dimethyl-substituted compound </w:t>
      </w:r>
      <w:r w:rsidRPr="00CC330B">
        <w:rPr>
          <w:rFonts w:ascii="Times" w:hAnsi="Times" w:cs="Times New Roman"/>
          <w:b/>
        </w:rPr>
        <w:t>4</w:t>
      </w:r>
      <w:r>
        <w:rPr>
          <w:rFonts w:ascii="Times" w:hAnsi="Times" w:cs="Times New Roman"/>
        </w:rPr>
        <w:t xml:space="preserve">, previous research suggested that the 4,4-dimethyl-substituted compound </w:t>
      </w:r>
      <w:r w:rsidRPr="00CC330B">
        <w:rPr>
          <w:rFonts w:ascii="Times" w:hAnsi="Times" w:cs="Times New Roman"/>
          <w:b/>
        </w:rPr>
        <w:t>2</w:t>
      </w:r>
      <w:r>
        <w:rPr>
          <w:rFonts w:ascii="Times" w:hAnsi="Times" w:cs="Times New Roman"/>
        </w:rPr>
        <w:t xml:space="preserve"> would provide similar control</w:t>
      </w:r>
      <w:r w:rsidRPr="009638A6">
        <w:rPr>
          <w:rFonts w:ascii="Times" w:hAnsi="Times" w:cs="Times New Roman"/>
          <w:vertAlign w:val="superscript"/>
        </w:rPr>
        <w:t>6)</w:t>
      </w:r>
      <w:r>
        <w:rPr>
          <w:rFonts w:ascii="Times" w:hAnsi="Times" w:cs="Times New Roman"/>
        </w:rPr>
        <w:t xml:space="preserve">. However, compound </w:t>
      </w:r>
      <w:r w:rsidR="009E13A3">
        <w:rPr>
          <w:rFonts w:ascii="Times" w:hAnsi="Times" w:cs="Times New Roman"/>
          <w:b/>
        </w:rPr>
        <w:t>2</w:t>
      </w:r>
      <w:r>
        <w:rPr>
          <w:rFonts w:ascii="Times" w:hAnsi="Times" w:cs="Times New Roman"/>
        </w:rPr>
        <w:t xml:space="preserve"> provided negligible control of all species evaluated. As previous research and our hypothesis suggested, the larger phenyl- and isopropyl-substituted compounds </w:t>
      </w:r>
      <w:r w:rsidRPr="00CA20E9">
        <w:rPr>
          <w:rFonts w:ascii="Times" w:hAnsi="Times" w:cs="Times New Roman"/>
          <w:b/>
        </w:rPr>
        <w:t>5</w:t>
      </w:r>
      <w:r>
        <w:rPr>
          <w:rFonts w:ascii="Times" w:hAnsi="Times" w:cs="Times New Roman"/>
        </w:rPr>
        <w:t xml:space="preserve"> and </w:t>
      </w:r>
      <w:r w:rsidRPr="00CA20E9">
        <w:rPr>
          <w:rFonts w:ascii="Times" w:hAnsi="Times" w:cs="Times New Roman"/>
          <w:b/>
        </w:rPr>
        <w:t>6</w:t>
      </w:r>
      <w:r>
        <w:rPr>
          <w:rFonts w:ascii="Times" w:hAnsi="Times" w:cs="Times New Roman"/>
        </w:rPr>
        <w:t xml:space="preserve"> provided no control</w:t>
      </w:r>
      <w:r w:rsidRPr="009638A6">
        <w:rPr>
          <w:rFonts w:ascii="Times" w:hAnsi="Times" w:cs="Times New Roman"/>
          <w:vertAlign w:val="superscript"/>
        </w:rPr>
        <w:t>14) 15)</w:t>
      </w:r>
      <w:r>
        <w:rPr>
          <w:rFonts w:ascii="Times" w:hAnsi="Times" w:cs="Times New Roman"/>
        </w:rPr>
        <w:t xml:space="preserve">. None of the compounds synthesized provided any control of </w:t>
      </w:r>
      <w:r w:rsidRPr="00311E50">
        <w:rPr>
          <w:rFonts w:ascii="Times" w:hAnsi="Times" w:cs="Times New Roman"/>
          <w:i/>
        </w:rPr>
        <w:t>Agrostis stolonifera</w:t>
      </w:r>
      <w:r>
        <w:rPr>
          <w:rFonts w:ascii="Times" w:hAnsi="Times" w:cs="Times New Roman"/>
        </w:rPr>
        <w:t xml:space="preserve">, </w:t>
      </w:r>
      <w:r w:rsidRPr="00311E50">
        <w:rPr>
          <w:rFonts w:ascii="Times" w:hAnsi="Times" w:cs="Times New Roman"/>
          <w:i/>
        </w:rPr>
        <w:t>Poa pratensis</w:t>
      </w:r>
      <w:r>
        <w:rPr>
          <w:rFonts w:ascii="Times" w:hAnsi="Times" w:cs="Times New Roman"/>
        </w:rPr>
        <w:t xml:space="preserve">, or </w:t>
      </w:r>
      <w:r w:rsidRPr="00311E50">
        <w:rPr>
          <w:rFonts w:ascii="Times" w:hAnsi="Times" w:cs="Times New Roman"/>
          <w:i/>
        </w:rPr>
        <w:t>Poa annua</w:t>
      </w:r>
      <w:r w:rsidRPr="00C36F7F">
        <w:rPr>
          <w:rFonts w:ascii="Times" w:hAnsi="Times" w:cs="Times New Roman"/>
        </w:rPr>
        <w:t>,</w:t>
      </w:r>
      <w:r>
        <w:rPr>
          <w:rFonts w:ascii="Times" w:hAnsi="Times" w:cs="Times New Roman"/>
        </w:rPr>
        <w:t xml:space="preserve"> while mesotrione controlled these grasses &gt; 60%. </w:t>
      </w:r>
    </w:p>
    <w:p w14:paraId="6699867A" w14:textId="77777777" w:rsidR="00D27D2E" w:rsidRDefault="00D27D2E" w:rsidP="00D27D2E">
      <w:pPr>
        <w:widowControl w:val="0"/>
        <w:autoSpaceDE w:val="0"/>
        <w:autoSpaceDN w:val="0"/>
        <w:adjustRightInd w:val="0"/>
        <w:rPr>
          <w:rFonts w:ascii="Times" w:hAnsi="Times" w:cs="Times New Roman"/>
        </w:rPr>
      </w:pPr>
      <w:r>
        <w:rPr>
          <w:rFonts w:ascii="Times" w:hAnsi="Times" w:cs="Times New Roman"/>
        </w:rPr>
        <w:tab/>
        <w:t xml:space="preserve">With the exception of the </w:t>
      </w:r>
      <w:r w:rsidRPr="00F00233">
        <w:rPr>
          <w:rFonts w:ascii="Times" w:hAnsi="Times" w:cs="Times New Roman"/>
          <w:i/>
        </w:rPr>
        <w:t>El</w:t>
      </w:r>
      <w:r>
        <w:rPr>
          <w:rFonts w:ascii="Times" w:hAnsi="Times" w:cs="Times New Roman"/>
          <w:i/>
        </w:rPr>
        <w:t>e</w:t>
      </w:r>
      <w:r w:rsidRPr="00F00233">
        <w:rPr>
          <w:rFonts w:ascii="Times" w:hAnsi="Times" w:cs="Times New Roman"/>
          <w:i/>
        </w:rPr>
        <w:t>usine indica</w:t>
      </w:r>
      <w:r>
        <w:rPr>
          <w:rFonts w:ascii="Times" w:hAnsi="Times" w:cs="Times New Roman"/>
        </w:rPr>
        <w:t xml:space="preserve"> control provided by compound </w:t>
      </w:r>
      <w:r w:rsidRPr="00F00233">
        <w:rPr>
          <w:rFonts w:ascii="Times" w:hAnsi="Times" w:cs="Times New Roman"/>
          <w:b/>
        </w:rPr>
        <w:t>4</w:t>
      </w:r>
      <w:r>
        <w:rPr>
          <w:rFonts w:ascii="Times" w:hAnsi="Times" w:cs="Times New Roman"/>
        </w:rPr>
        <w:t>, none of the compounds evaluated were as efficacious as mesotrione. However, this was expected as compounds with 2-nitro-4-methylsulfonyl substitutions on the phenyl moiety have an LD</w:t>
      </w:r>
      <w:r w:rsidRPr="00F00233">
        <w:rPr>
          <w:rFonts w:ascii="Times" w:hAnsi="Times" w:cs="Times New Roman"/>
          <w:vertAlign w:val="subscript"/>
        </w:rPr>
        <w:t>50</w:t>
      </w:r>
      <w:r>
        <w:rPr>
          <w:rFonts w:ascii="Times" w:hAnsi="Times" w:cs="Times New Roman"/>
        </w:rPr>
        <w:t xml:space="preserve"> value more than ten times lower than the 2,4-dichloro substitution pattern on compounds we evaluated</w:t>
      </w:r>
      <w:r w:rsidRPr="009638A6">
        <w:rPr>
          <w:rFonts w:ascii="Times" w:hAnsi="Times" w:cs="Times New Roman"/>
          <w:vertAlign w:val="superscript"/>
        </w:rPr>
        <w:t>13)</w:t>
      </w:r>
      <w:r>
        <w:rPr>
          <w:rFonts w:ascii="Times" w:hAnsi="Times" w:cs="Times New Roman"/>
        </w:rPr>
        <w:t>.</w:t>
      </w:r>
    </w:p>
    <w:p w14:paraId="2AC8F420" w14:textId="77777777" w:rsidR="00D27D2E" w:rsidRDefault="00D27D2E" w:rsidP="00D27D2E">
      <w:pPr>
        <w:widowControl w:val="0"/>
        <w:autoSpaceDE w:val="0"/>
        <w:autoSpaceDN w:val="0"/>
        <w:adjustRightInd w:val="0"/>
        <w:rPr>
          <w:rFonts w:ascii="Times" w:hAnsi="Times" w:cs="Times New Roman"/>
        </w:rPr>
      </w:pPr>
      <w:r>
        <w:rPr>
          <w:rFonts w:ascii="Times" w:hAnsi="Times" w:cs="Times New Roman"/>
        </w:rPr>
        <w:tab/>
        <w:t xml:space="preserve">These results indicate that at least in the case of compound </w:t>
      </w:r>
      <w:r w:rsidRPr="00F26E2B">
        <w:rPr>
          <w:rFonts w:ascii="Times" w:hAnsi="Times" w:cs="Times New Roman"/>
          <w:b/>
        </w:rPr>
        <w:t>4</w:t>
      </w:r>
      <w:r>
        <w:rPr>
          <w:rFonts w:ascii="Times" w:hAnsi="Times" w:cs="Times New Roman"/>
        </w:rPr>
        <w:t xml:space="preserve">, methyl substitutions on the cyclohexanedione moiety increased control of </w:t>
      </w:r>
      <w:r w:rsidRPr="00F26E2B">
        <w:rPr>
          <w:rFonts w:ascii="Times" w:hAnsi="Times" w:cs="Times New Roman"/>
          <w:i/>
        </w:rPr>
        <w:t>Eleusine indica</w:t>
      </w:r>
      <w:r>
        <w:rPr>
          <w:rFonts w:ascii="Times" w:hAnsi="Times" w:cs="Times New Roman"/>
        </w:rPr>
        <w:t xml:space="preserve"> without causing injury to desirable cool-season turfgrass species such as </w:t>
      </w:r>
      <w:r w:rsidRPr="00F26E2B">
        <w:rPr>
          <w:rFonts w:ascii="Times" w:hAnsi="Times" w:cs="Times New Roman"/>
          <w:i/>
        </w:rPr>
        <w:t>Agrostis stolonifera</w:t>
      </w:r>
      <w:r>
        <w:rPr>
          <w:rFonts w:ascii="Times" w:hAnsi="Times" w:cs="Times New Roman"/>
        </w:rPr>
        <w:t xml:space="preserve"> and </w:t>
      </w:r>
      <w:r w:rsidRPr="00F26E2B">
        <w:rPr>
          <w:rFonts w:ascii="Times" w:hAnsi="Times" w:cs="Times New Roman"/>
          <w:i/>
        </w:rPr>
        <w:t>Poa pratensis</w:t>
      </w:r>
      <w:r>
        <w:rPr>
          <w:rFonts w:ascii="Times" w:hAnsi="Times" w:cs="Times New Roman"/>
        </w:rPr>
        <w:t xml:space="preserve">. It is </w:t>
      </w:r>
      <w:r>
        <w:rPr>
          <w:rFonts w:ascii="Times" w:hAnsi="Times" w:cs="Times New Roman"/>
        </w:rPr>
        <w:lastRenderedPageBreak/>
        <w:t xml:space="preserve">possible that </w:t>
      </w:r>
      <w:r w:rsidRPr="00D83549">
        <w:rPr>
          <w:rFonts w:ascii="Times" w:hAnsi="Times" w:cs="Times New Roman"/>
          <w:i/>
        </w:rPr>
        <w:t>Eleusine indica</w:t>
      </w:r>
      <w:r>
        <w:rPr>
          <w:rFonts w:ascii="Times" w:hAnsi="Times" w:cs="Times New Roman"/>
        </w:rPr>
        <w:t xml:space="preserve"> relies more heavily on hydroxylation of the cyclohexane ring to metabolize triketone herbicides than other species. Interestingly, the HPPD-inhibiting herbicide topramezone also has better efficacy than mesotrione against </w:t>
      </w:r>
      <w:r w:rsidRPr="00D83549">
        <w:rPr>
          <w:rFonts w:ascii="Times" w:hAnsi="Times" w:cs="Times New Roman"/>
          <w:i/>
        </w:rPr>
        <w:t>Eleusine indica</w:t>
      </w:r>
      <w:r>
        <w:rPr>
          <w:rFonts w:ascii="Times" w:hAnsi="Times" w:cs="Times New Roman"/>
          <w:i/>
        </w:rPr>
        <w:t xml:space="preserve"> </w:t>
      </w:r>
      <w:r>
        <w:rPr>
          <w:rFonts w:ascii="Times" w:hAnsi="Times" w:cs="Times New Roman"/>
        </w:rPr>
        <w:t>and safety to most cool-season turfgrass species</w:t>
      </w:r>
      <w:r w:rsidRPr="00D310E1">
        <w:rPr>
          <w:rFonts w:ascii="Times" w:hAnsi="Times" w:cs="Times New Roman"/>
          <w:vertAlign w:val="superscript"/>
        </w:rPr>
        <w:t>24-26)</w:t>
      </w:r>
      <w:r>
        <w:rPr>
          <w:rFonts w:ascii="Times" w:hAnsi="Times" w:cs="Times New Roman"/>
        </w:rPr>
        <w:t xml:space="preserve">. Although topramezone is a pyrazolone and not a triketone compound, it has a methyl group on one of the heteroatoms of its pyrazole ring; this methyl group may serve a similar function as the dimethyl group of compound </w:t>
      </w:r>
      <w:r w:rsidRPr="00A91FED">
        <w:rPr>
          <w:rFonts w:ascii="Times" w:hAnsi="Times" w:cs="Times New Roman"/>
          <w:b/>
        </w:rPr>
        <w:t>4</w:t>
      </w:r>
      <w:r>
        <w:rPr>
          <w:rFonts w:ascii="Times" w:hAnsi="Times" w:cs="Times New Roman"/>
        </w:rPr>
        <w:t xml:space="preserve">. </w:t>
      </w:r>
    </w:p>
    <w:p w14:paraId="7A4A487D" w14:textId="77777777" w:rsidR="00D27D2E" w:rsidRDefault="00D27D2E" w:rsidP="00D27D2E">
      <w:pPr>
        <w:widowControl w:val="0"/>
        <w:autoSpaceDE w:val="0"/>
        <w:autoSpaceDN w:val="0"/>
        <w:adjustRightInd w:val="0"/>
        <w:rPr>
          <w:rFonts w:cs="Times New Roman"/>
        </w:rPr>
      </w:pPr>
      <w:r>
        <w:rPr>
          <w:rFonts w:ascii="Times" w:hAnsi="Times" w:cs="Times New Roman"/>
        </w:rPr>
        <w:tab/>
        <w:t xml:space="preserve">Future research could investigate spiro cyclohexandione analogs such as </w:t>
      </w:r>
      <w:proofErr w:type="gramStart"/>
      <w:r w:rsidRPr="003C085D">
        <w:rPr>
          <w:rFonts w:cs="Times New Roman"/>
        </w:rPr>
        <w:t>spiro[</w:t>
      </w:r>
      <w:proofErr w:type="gramEnd"/>
      <w:r w:rsidRPr="003C085D">
        <w:rPr>
          <w:rFonts w:cs="Times New Roman"/>
        </w:rPr>
        <w:t>2.5]octane-5,7-dione</w:t>
      </w:r>
      <w:r>
        <w:rPr>
          <w:rFonts w:cs="Times New Roman"/>
        </w:rPr>
        <w:t xml:space="preserve">. Other research could investigate compound </w:t>
      </w:r>
      <w:r w:rsidRPr="001867D1">
        <w:rPr>
          <w:rFonts w:cs="Times New Roman"/>
          <w:b/>
        </w:rPr>
        <w:t>4</w:t>
      </w:r>
      <w:r>
        <w:rPr>
          <w:rFonts w:cs="Times New Roman"/>
        </w:rPr>
        <w:t xml:space="preserve"> and analogs for efficacy against populations of </w:t>
      </w:r>
      <w:r w:rsidRPr="003C085D">
        <w:rPr>
          <w:rFonts w:cs="Times New Roman"/>
          <w:i/>
        </w:rPr>
        <w:t>Amaranthus tuberculatus</w:t>
      </w:r>
      <w:r>
        <w:rPr>
          <w:rFonts w:cs="Times New Roman"/>
        </w:rPr>
        <w:t xml:space="preserve"> that are resistant to mesotrione. In some </w:t>
      </w:r>
      <w:r w:rsidRPr="003C085D">
        <w:rPr>
          <w:rFonts w:cs="Times New Roman"/>
          <w:i/>
        </w:rPr>
        <w:t>Amaranthus tuberculatus</w:t>
      </w:r>
      <w:r>
        <w:rPr>
          <w:rFonts w:cs="Times New Roman"/>
        </w:rPr>
        <w:t xml:space="preserve"> populations, resistance is caused by more rapid metabolism of mesotrione to 4-hydroxy-mesotrione, likely a result of cytochrome P450-catalyzed hydroxylation</w:t>
      </w:r>
      <w:r w:rsidRPr="00D310E1">
        <w:rPr>
          <w:rFonts w:cs="Times New Roman"/>
          <w:vertAlign w:val="superscript"/>
        </w:rPr>
        <w:t>27)</w:t>
      </w:r>
      <w:r>
        <w:rPr>
          <w:rFonts w:cs="Times New Roman"/>
        </w:rPr>
        <w:t>. Methyl-saturated compounds similar to those evaluated in this experiment would be less susceptible to hydroxylation could be used to diagnose and control resistant populations.</w:t>
      </w:r>
    </w:p>
    <w:p w14:paraId="0ECBCD96" w14:textId="77777777" w:rsidR="00326E4D" w:rsidRPr="00A63AF4" w:rsidRDefault="00160E5E" w:rsidP="003A1DC6">
      <w:pPr>
        <w:pStyle w:val="Heading2"/>
      </w:pPr>
      <w:r>
        <w:t>ACKNOWLEDGEMENTS</w:t>
      </w:r>
      <w:bookmarkEnd w:id="137"/>
      <w:bookmarkEnd w:id="138"/>
      <w:bookmarkEnd w:id="139"/>
    </w:p>
    <w:p w14:paraId="3B9AB5CE" w14:textId="77777777" w:rsidR="00326E4D" w:rsidRPr="00D534F7" w:rsidRDefault="00326E4D" w:rsidP="00326E4D">
      <w:pPr>
        <w:ind w:firstLine="720"/>
        <w:rPr>
          <w:rFonts w:cs="Times New Roman"/>
        </w:rPr>
      </w:pPr>
      <w:proofErr w:type="gramStart"/>
      <w:r>
        <w:rPr>
          <w:rFonts w:cs="Times New Roman"/>
        </w:rPr>
        <w:t xml:space="preserve">This work was supported by </w:t>
      </w:r>
      <w:r w:rsidRPr="00A63AF4">
        <w:rPr>
          <w:rFonts w:cs="Times New Roman"/>
        </w:rPr>
        <w:t>the Tennessee Agricultural Experiment Station</w:t>
      </w:r>
      <w:proofErr w:type="gramEnd"/>
      <w:r w:rsidRPr="00A63AF4">
        <w:rPr>
          <w:rFonts w:cs="Times New Roman"/>
        </w:rPr>
        <w:t>. The authors would also like to thank Daniel Farnsworth, Veronica Sublett, Tyler Campbell, Kelly Arnholt and James Greenway for their assistance in conducting these experiments. Mention of trade names or commercial products in this publication is solely for the purpose of providing specific information and does not imply recommendation or endorsement by the University of Tennessee Institute of Agriculture.</w:t>
      </w:r>
    </w:p>
    <w:p w14:paraId="393D7029" w14:textId="77777777" w:rsidR="00326E4D" w:rsidRPr="00E4026E" w:rsidRDefault="00326E4D" w:rsidP="00326E4D">
      <w:pPr>
        <w:rPr>
          <w:rFonts w:ascii="Times" w:hAnsi="Times" w:cs="Times New Roman"/>
        </w:rPr>
      </w:pPr>
      <w:r>
        <w:rPr>
          <w:rFonts w:ascii="Times" w:hAnsi="Times" w:cs="Times New Roman"/>
        </w:rPr>
        <w:br w:type="page"/>
      </w:r>
    </w:p>
    <w:p w14:paraId="0504A3F3" w14:textId="77777777" w:rsidR="00326E4D" w:rsidRPr="009F06E4" w:rsidRDefault="00160E5E" w:rsidP="003A1DC6">
      <w:pPr>
        <w:pStyle w:val="Heading2"/>
      </w:pPr>
      <w:bookmarkStart w:id="140" w:name="_Toc264713587"/>
      <w:bookmarkStart w:id="141" w:name="_Toc264713637"/>
      <w:bookmarkStart w:id="142" w:name="_Toc264967209"/>
      <w:r>
        <w:lastRenderedPageBreak/>
        <w:t>LITERATURE CITED</w:t>
      </w:r>
      <w:bookmarkEnd w:id="140"/>
      <w:bookmarkEnd w:id="141"/>
      <w:bookmarkEnd w:id="142"/>
    </w:p>
    <w:p w14:paraId="1E124698" w14:textId="52B80ABB" w:rsidR="00D27D2E" w:rsidRDefault="00D27D2E" w:rsidP="00D27D2E">
      <w:pPr>
        <w:ind w:left="720" w:hanging="720"/>
        <w:rPr>
          <w:rStyle w:val="patent-title"/>
          <w:rFonts w:cs="Times New Roman"/>
          <w:b/>
          <w:bCs/>
          <w:iCs/>
        </w:rPr>
      </w:pPr>
      <w:r>
        <w:rPr>
          <w:rStyle w:val="patent-title"/>
          <w:rFonts w:cs="Times New Roman"/>
        </w:rPr>
        <w:t>1) D. L. Lee, M. P. Prisbylla, T. H. Comartie, D. P. Dagarin, S. W. Howard, W. M. Provan, M. K. Ellis, T.</w:t>
      </w:r>
      <w:r w:rsidR="00F8536F">
        <w:rPr>
          <w:rStyle w:val="patent-title"/>
          <w:rFonts w:cs="Times New Roman"/>
        </w:rPr>
        <w:t>E.M.</w:t>
      </w:r>
      <w:r>
        <w:rPr>
          <w:rStyle w:val="patent-title"/>
          <w:rFonts w:cs="Times New Roman"/>
        </w:rPr>
        <w:t xml:space="preserve"> Fraser and L. C. Mutter: </w:t>
      </w:r>
      <w:r w:rsidRPr="002171E9">
        <w:rPr>
          <w:rStyle w:val="patent-title"/>
          <w:rFonts w:cs="Times New Roman"/>
          <w:i/>
        </w:rPr>
        <w:t>Weed Sci.</w:t>
      </w:r>
      <w:r>
        <w:rPr>
          <w:rStyle w:val="patent-title"/>
          <w:rFonts w:cs="Times New Roman"/>
        </w:rPr>
        <w:t xml:space="preserve"> </w:t>
      </w:r>
      <w:r w:rsidRPr="00D125D6">
        <w:rPr>
          <w:rStyle w:val="patent-title"/>
          <w:rFonts w:cs="Times New Roman"/>
          <w:b/>
        </w:rPr>
        <w:t>45</w:t>
      </w:r>
      <w:r>
        <w:rPr>
          <w:rStyle w:val="patent-title"/>
          <w:rFonts w:cs="Times New Roman"/>
        </w:rPr>
        <w:t xml:space="preserve">, 601-609 (1997). </w:t>
      </w:r>
    </w:p>
    <w:p w14:paraId="3E2AFA3A" w14:textId="77777777" w:rsidR="00D27D2E" w:rsidRDefault="00D27D2E" w:rsidP="00D27D2E">
      <w:pPr>
        <w:widowControl w:val="0"/>
        <w:autoSpaceDE w:val="0"/>
        <w:autoSpaceDN w:val="0"/>
        <w:adjustRightInd w:val="0"/>
        <w:ind w:left="720" w:hanging="720"/>
        <w:rPr>
          <w:rFonts w:cs="Times New Roman"/>
          <w:color w:val="131413"/>
        </w:rPr>
      </w:pPr>
      <w:r>
        <w:rPr>
          <w:rFonts w:cs="Times New Roman"/>
          <w:color w:val="131413"/>
        </w:rPr>
        <w:t xml:space="preserve">2) M. P. Prisbylla, B. C. Onisko, J. M. Shribbs, D. O. Adams, Y. Liu, M. K. Ellis, T. R. Hawkes and L. C. Mutter: </w:t>
      </w:r>
      <w:r w:rsidRPr="00722CB1">
        <w:rPr>
          <w:rFonts w:cs="Times New Roman"/>
          <w:i/>
          <w:color w:val="131413"/>
        </w:rPr>
        <w:t>Brighton Crop Prot. Conf – Weeds</w:t>
      </w:r>
      <w:r w:rsidRPr="00722CB1">
        <w:rPr>
          <w:rFonts w:cs="Times New Roman"/>
          <w:color w:val="131413"/>
        </w:rPr>
        <w:t>,</w:t>
      </w:r>
      <w:r>
        <w:rPr>
          <w:rFonts w:cs="Times New Roman"/>
          <w:color w:val="131413"/>
        </w:rPr>
        <w:t xml:space="preserve"> Vol. 2, 731-738 (1993).</w:t>
      </w:r>
    </w:p>
    <w:p w14:paraId="11CE6814" w14:textId="77777777" w:rsidR="00D27D2E" w:rsidRPr="00E825F9" w:rsidRDefault="00D27D2E" w:rsidP="00D27D2E">
      <w:pPr>
        <w:autoSpaceDE w:val="0"/>
        <w:autoSpaceDN w:val="0"/>
        <w:adjustRightInd w:val="0"/>
        <w:ind w:left="720" w:hanging="720"/>
        <w:rPr>
          <w:rFonts w:cs="Times New Roman"/>
        </w:rPr>
      </w:pPr>
      <w:r>
        <w:rPr>
          <w:rFonts w:cs="Times New Roman"/>
        </w:rPr>
        <w:t>3) S.R. Norris,</w:t>
      </w:r>
      <w:r w:rsidRPr="00E825F9">
        <w:rPr>
          <w:rFonts w:cs="Times New Roman"/>
        </w:rPr>
        <w:t xml:space="preserve"> T.R. Barrette and D. DellaPenna: </w:t>
      </w:r>
      <w:r w:rsidRPr="00E825F9">
        <w:rPr>
          <w:rFonts w:cs="Times New Roman"/>
          <w:i/>
        </w:rPr>
        <w:t>The Plant Cell</w:t>
      </w:r>
      <w:r w:rsidRPr="00E825F9">
        <w:rPr>
          <w:rFonts w:cs="Times New Roman"/>
        </w:rPr>
        <w:t xml:space="preserve"> </w:t>
      </w:r>
      <w:r w:rsidRPr="00E825F9">
        <w:rPr>
          <w:rFonts w:cs="Times New Roman"/>
          <w:b/>
        </w:rPr>
        <w:t>7</w:t>
      </w:r>
      <w:r w:rsidRPr="00E825F9">
        <w:rPr>
          <w:rFonts w:cs="Times New Roman"/>
        </w:rPr>
        <w:t>, 2139-2149 (1995).</w:t>
      </w:r>
    </w:p>
    <w:p w14:paraId="367B750C" w14:textId="77777777" w:rsidR="00D27D2E" w:rsidRDefault="00D27D2E" w:rsidP="00D27D2E">
      <w:pPr>
        <w:ind w:left="720" w:hanging="720"/>
        <w:rPr>
          <w:rStyle w:val="patent-title"/>
        </w:rPr>
      </w:pPr>
      <w:r>
        <w:rPr>
          <w:rFonts w:cs="Times New Roman"/>
        </w:rPr>
        <w:t>4) R. A. Gray,</w:t>
      </w:r>
      <w:r w:rsidRPr="003F73E2">
        <w:rPr>
          <w:rFonts w:cs="Times New Roman"/>
        </w:rPr>
        <w:t xml:space="preserve"> </w:t>
      </w:r>
      <w:r>
        <w:rPr>
          <w:rFonts w:cs="Times New Roman"/>
        </w:rPr>
        <w:t>C. K Tseng</w:t>
      </w:r>
      <w:r w:rsidRPr="003F73E2">
        <w:rPr>
          <w:rFonts w:cs="Times New Roman"/>
        </w:rPr>
        <w:t>,</w:t>
      </w:r>
      <w:r>
        <w:rPr>
          <w:rFonts w:cs="Times New Roman"/>
        </w:rPr>
        <w:t xml:space="preserve"> and</w:t>
      </w:r>
      <w:r w:rsidRPr="003F73E2">
        <w:rPr>
          <w:rFonts w:cs="Times New Roman"/>
        </w:rPr>
        <w:t xml:space="preserve"> </w:t>
      </w:r>
      <w:r>
        <w:rPr>
          <w:rFonts w:cs="Times New Roman"/>
        </w:rPr>
        <w:t>R. J. Rusay</w:t>
      </w:r>
      <w:r w:rsidRPr="003F73E2">
        <w:rPr>
          <w:rFonts w:cs="Times New Roman"/>
        </w:rPr>
        <w:t xml:space="preserve"> </w:t>
      </w:r>
      <w:r>
        <w:rPr>
          <w:rFonts w:cs="Times New Roman"/>
        </w:rPr>
        <w:t>(</w:t>
      </w:r>
      <w:r w:rsidRPr="003F73E2">
        <w:rPr>
          <w:rFonts w:cs="Times New Roman"/>
        </w:rPr>
        <w:t>Stauffer Chemical Company</w:t>
      </w:r>
      <w:r>
        <w:rPr>
          <w:rFonts w:cs="Times New Roman"/>
        </w:rPr>
        <w:t>):</w:t>
      </w:r>
      <w:r w:rsidRPr="003F73E2">
        <w:rPr>
          <w:rFonts w:cs="Times New Roman"/>
        </w:rPr>
        <w:t xml:space="preserve"> </w:t>
      </w:r>
      <w:r>
        <w:rPr>
          <w:rStyle w:val="patent-title"/>
          <w:rFonts w:cs="Times New Roman"/>
          <w:i/>
        </w:rPr>
        <w:t>US Pat</w:t>
      </w:r>
      <w:r w:rsidRPr="00CF0398">
        <w:rPr>
          <w:rStyle w:val="patent-title"/>
          <w:rFonts w:cs="Times New Roman"/>
        </w:rPr>
        <w:t>.</w:t>
      </w:r>
      <w:r w:rsidRPr="003F73E2">
        <w:rPr>
          <w:rStyle w:val="patent-title"/>
          <w:rFonts w:cs="Times New Roman"/>
        </w:rPr>
        <w:t xml:space="preserve"> </w:t>
      </w:r>
      <w:proofErr w:type="gramStart"/>
      <w:r w:rsidRPr="003F73E2">
        <w:rPr>
          <w:rStyle w:val="patent-title"/>
          <w:rFonts w:cs="Times New Roman"/>
        </w:rPr>
        <w:t>4,202,840</w:t>
      </w:r>
      <w:r>
        <w:rPr>
          <w:rStyle w:val="patent-title"/>
          <w:rFonts w:cs="Times New Roman"/>
        </w:rPr>
        <w:t xml:space="preserve"> (1980)</w:t>
      </w:r>
      <w:r w:rsidRPr="003F73E2">
        <w:rPr>
          <w:rStyle w:val="patent-title"/>
          <w:rFonts w:cs="Times New Roman"/>
        </w:rPr>
        <w:t>.</w:t>
      </w:r>
      <w:proofErr w:type="gramEnd"/>
    </w:p>
    <w:p w14:paraId="39462686" w14:textId="77777777" w:rsidR="00D27D2E" w:rsidRDefault="00D27D2E" w:rsidP="00D27D2E">
      <w:pPr>
        <w:widowControl w:val="0"/>
        <w:autoSpaceDE w:val="0"/>
        <w:autoSpaceDN w:val="0"/>
        <w:adjustRightInd w:val="0"/>
        <w:ind w:left="720" w:hanging="720"/>
        <w:rPr>
          <w:rFonts w:cs="Times New Roman"/>
        </w:rPr>
      </w:pPr>
      <w:r>
        <w:rPr>
          <w:rFonts w:cs="Times New Roman"/>
        </w:rPr>
        <w:t xml:space="preserve">5) F. E. Dayan, S. O. Duke, A. Sauldubois, N. Singh, C. McCurdy and C. Cantrell: </w:t>
      </w:r>
      <w:r w:rsidRPr="002003F0">
        <w:rPr>
          <w:rFonts w:cs="Times New Roman"/>
          <w:i/>
        </w:rPr>
        <w:t>Phytochemistry</w:t>
      </w:r>
      <w:r w:rsidRPr="00CF0398">
        <w:rPr>
          <w:rFonts w:cs="Times New Roman"/>
        </w:rPr>
        <w:t>.</w:t>
      </w:r>
      <w:r w:rsidRPr="002003F0">
        <w:rPr>
          <w:rFonts w:cs="Times New Roman"/>
          <w:i/>
        </w:rPr>
        <w:t xml:space="preserve"> </w:t>
      </w:r>
      <w:proofErr w:type="gramStart"/>
      <w:r w:rsidRPr="002003F0">
        <w:rPr>
          <w:rFonts w:cs="Times New Roman"/>
          <w:b/>
        </w:rPr>
        <w:t>68</w:t>
      </w:r>
      <w:r>
        <w:rPr>
          <w:rFonts w:cs="Times New Roman"/>
        </w:rPr>
        <w:t>, 2004-2014 (2007).</w:t>
      </w:r>
      <w:proofErr w:type="gramEnd"/>
    </w:p>
    <w:p w14:paraId="5340C25D" w14:textId="46F69E4A" w:rsidR="00D27D2E" w:rsidRPr="00E825F9" w:rsidRDefault="00D27D2E" w:rsidP="00D27D2E">
      <w:pPr>
        <w:autoSpaceDE w:val="0"/>
        <w:autoSpaceDN w:val="0"/>
        <w:adjustRightInd w:val="0"/>
        <w:ind w:left="720" w:hanging="720"/>
        <w:rPr>
          <w:rFonts w:cs="Times New Roman"/>
        </w:rPr>
      </w:pPr>
      <w:r>
        <w:rPr>
          <w:rFonts w:cs="Times New Roman"/>
        </w:rPr>
        <w:t xml:space="preserve">6) </w:t>
      </w:r>
      <w:r w:rsidRPr="00E825F9">
        <w:rPr>
          <w:rFonts w:cs="Times New Roman"/>
        </w:rPr>
        <w:t>G. Mitchell, D.W. Bartlett, T.E.M</w:t>
      </w:r>
      <w:r w:rsidR="009A3783">
        <w:rPr>
          <w:rFonts w:cs="Times New Roman"/>
        </w:rPr>
        <w:t>.</w:t>
      </w:r>
      <w:r w:rsidRPr="00E825F9">
        <w:rPr>
          <w:rFonts w:cs="Times New Roman"/>
        </w:rPr>
        <w:t xml:space="preserve"> Fraser, T.R. Hawkes, D.C. Holt</w:t>
      </w:r>
      <w:proofErr w:type="gramStart"/>
      <w:r w:rsidRPr="00E825F9">
        <w:rPr>
          <w:rFonts w:cs="Times New Roman"/>
        </w:rPr>
        <w:t>,  J.K</w:t>
      </w:r>
      <w:proofErr w:type="gramEnd"/>
      <w:r w:rsidRPr="00E825F9">
        <w:rPr>
          <w:rFonts w:cs="Times New Roman"/>
        </w:rPr>
        <w:t xml:space="preserve">. Townson and R.A. Wichert: </w:t>
      </w:r>
      <w:r w:rsidR="008A3505">
        <w:rPr>
          <w:rFonts w:cs="Times New Roman"/>
          <w:i/>
        </w:rPr>
        <w:t>Pest Manag</w:t>
      </w:r>
      <w:r w:rsidRPr="00E825F9">
        <w:rPr>
          <w:rFonts w:cs="Times New Roman"/>
          <w:i/>
        </w:rPr>
        <w:t>.</w:t>
      </w:r>
      <w:r w:rsidR="00871FF9">
        <w:rPr>
          <w:rFonts w:cs="Times New Roman"/>
          <w:i/>
        </w:rPr>
        <w:t xml:space="preserve"> </w:t>
      </w:r>
      <w:proofErr w:type="gramStart"/>
      <w:r w:rsidRPr="00E825F9">
        <w:rPr>
          <w:rFonts w:cs="Times New Roman"/>
          <w:i/>
        </w:rPr>
        <w:t>Sci.</w:t>
      </w:r>
      <w:r w:rsidRPr="00E825F9">
        <w:rPr>
          <w:rFonts w:cs="Times New Roman"/>
        </w:rPr>
        <w:t xml:space="preserve"> </w:t>
      </w:r>
      <w:r w:rsidRPr="00E825F9">
        <w:rPr>
          <w:rFonts w:cs="Times New Roman"/>
          <w:b/>
        </w:rPr>
        <w:t>57</w:t>
      </w:r>
      <w:r w:rsidRPr="00E825F9">
        <w:rPr>
          <w:rFonts w:cs="Times New Roman"/>
        </w:rPr>
        <w:t>,120-128 (2001).</w:t>
      </w:r>
      <w:proofErr w:type="gramEnd"/>
    </w:p>
    <w:p w14:paraId="766D41E6" w14:textId="77777777" w:rsidR="00D27D2E" w:rsidRDefault="00D27D2E" w:rsidP="00D27D2E">
      <w:pPr>
        <w:widowControl w:val="0"/>
        <w:autoSpaceDE w:val="0"/>
        <w:autoSpaceDN w:val="0"/>
        <w:adjustRightInd w:val="0"/>
        <w:ind w:left="720" w:hanging="720"/>
        <w:rPr>
          <w:rFonts w:cs="Times New Roman"/>
          <w:color w:val="131413"/>
        </w:rPr>
      </w:pPr>
      <w:r>
        <w:rPr>
          <w:rStyle w:val="patent-title"/>
          <w:rFonts w:cs="Times New Roman"/>
        </w:rPr>
        <w:t>7) D. K. Owens</w:t>
      </w:r>
      <w:r w:rsidRPr="007E0E31">
        <w:rPr>
          <w:rStyle w:val="patent-title"/>
          <w:rFonts w:cs="Times New Roman"/>
        </w:rPr>
        <w:t xml:space="preserve">, </w:t>
      </w:r>
      <w:r>
        <w:rPr>
          <w:rStyle w:val="patent-title"/>
          <w:rFonts w:cs="Times New Roman"/>
        </w:rPr>
        <w:t>N. P. D. Nannayakkara and F. E. Dayan:</w:t>
      </w:r>
      <w:r w:rsidRPr="007E0E31">
        <w:rPr>
          <w:rStyle w:val="patent-title"/>
          <w:rFonts w:cs="Times New Roman"/>
        </w:rPr>
        <w:t xml:space="preserve"> </w:t>
      </w:r>
      <w:r>
        <w:rPr>
          <w:rFonts w:cs="Times New Roman"/>
          <w:i/>
          <w:color w:val="131413"/>
        </w:rPr>
        <w:t>J. Chem. Ecol.</w:t>
      </w:r>
      <w:r w:rsidRPr="007E0E31">
        <w:rPr>
          <w:rFonts w:cs="Times New Roman"/>
          <w:color w:val="131413"/>
        </w:rPr>
        <w:t xml:space="preserve"> </w:t>
      </w:r>
      <w:r w:rsidRPr="00FE23F1">
        <w:rPr>
          <w:rFonts w:cs="Times New Roman"/>
          <w:b/>
          <w:color w:val="131413"/>
        </w:rPr>
        <w:t>39</w:t>
      </w:r>
      <w:r>
        <w:rPr>
          <w:rFonts w:cs="Times New Roman"/>
          <w:color w:val="131413"/>
        </w:rPr>
        <w:t xml:space="preserve">, </w:t>
      </w:r>
      <w:r w:rsidRPr="007E0E31">
        <w:rPr>
          <w:rFonts w:cs="Times New Roman"/>
          <w:color w:val="131413"/>
        </w:rPr>
        <w:t>262-270</w:t>
      </w:r>
      <w:r>
        <w:rPr>
          <w:rFonts w:cs="Times New Roman"/>
          <w:color w:val="131413"/>
        </w:rPr>
        <w:t xml:space="preserve"> (2013)</w:t>
      </w:r>
      <w:r w:rsidRPr="007E0E31">
        <w:rPr>
          <w:rFonts w:cs="Times New Roman"/>
          <w:color w:val="131413"/>
        </w:rPr>
        <w:t>.</w:t>
      </w:r>
    </w:p>
    <w:p w14:paraId="588605C5" w14:textId="6359B80F" w:rsidR="00D27D2E" w:rsidRDefault="00D27D2E" w:rsidP="00D27D2E">
      <w:pPr>
        <w:widowControl w:val="0"/>
        <w:autoSpaceDE w:val="0"/>
        <w:autoSpaceDN w:val="0"/>
        <w:adjustRightInd w:val="0"/>
        <w:ind w:left="720" w:hanging="720"/>
        <w:rPr>
          <w:rFonts w:cs="Times New Roman"/>
        </w:rPr>
      </w:pPr>
      <w:r>
        <w:rPr>
          <w:rFonts w:cs="Times New Roman"/>
        </w:rPr>
        <w:t xml:space="preserve">8) M. </w:t>
      </w:r>
      <w:r w:rsidRPr="005A1B34">
        <w:rPr>
          <w:rFonts w:cs="Times New Roman"/>
        </w:rPr>
        <w:t>Ber</w:t>
      </w:r>
      <w:r>
        <w:rPr>
          <w:rFonts w:cs="Times New Roman"/>
        </w:rPr>
        <w:t>aud</w:t>
      </w:r>
      <w:r w:rsidRPr="005A1B34">
        <w:rPr>
          <w:rFonts w:cs="Times New Roman"/>
        </w:rPr>
        <w:t xml:space="preserve">, </w:t>
      </w:r>
      <w:r>
        <w:rPr>
          <w:rFonts w:cs="Times New Roman"/>
        </w:rPr>
        <w:t>J. Claument</w:t>
      </w:r>
      <w:r w:rsidRPr="005A1B34">
        <w:rPr>
          <w:rFonts w:cs="Times New Roman"/>
        </w:rPr>
        <w:t xml:space="preserve"> and </w:t>
      </w:r>
      <w:r>
        <w:rPr>
          <w:rFonts w:cs="Times New Roman"/>
        </w:rPr>
        <w:t xml:space="preserve">A. Montury: </w:t>
      </w:r>
      <w:r w:rsidRPr="001B36EC">
        <w:rPr>
          <w:rFonts w:cs="Times New Roman"/>
          <w:i/>
        </w:rPr>
        <w:t>Proc</w:t>
      </w:r>
      <w:r w:rsidR="00871FF9">
        <w:rPr>
          <w:rFonts w:cs="Times New Roman"/>
          <w:i/>
        </w:rPr>
        <w:t>.</w:t>
      </w:r>
      <w:r w:rsidRPr="001B36EC">
        <w:rPr>
          <w:rFonts w:cs="Times New Roman"/>
          <w:i/>
        </w:rPr>
        <w:t xml:space="preserve"> Brighton </w:t>
      </w:r>
      <w:r w:rsidR="00871FF9">
        <w:rPr>
          <w:rFonts w:cs="Times New Roman"/>
          <w:i/>
        </w:rPr>
        <w:t>Crop Protection Conf.</w:t>
      </w:r>
      <w:r w:rsidRPr="001B36EC">
        <w:rPr>
          <w:rFonts w:cs="Times New Roman"/>
          <w:i/>
        </w:rPr>
        <w:t xml:space="preserve"> </w:t>
      </w:r>
      <w:r>
        <w:rPr>
          <w:rFonts w:cs="Times New Roman"/>
          <w:i/>
        </w:rPr>
        <w:t>–</w:t>
      </w:r>
      <w:r w:rsidRPr="001B36EC">
        <w:rPr>
          <w:rFonts w:cs="Times New Roman"/>
          <w:i/>
        </w:rPr>
        <w:t xml:space="preserve"> Weeds</w:t>
      </w:r>
      <w:r>
        <w:rPr>
          <w:rFonts w:cs="Times New Roman"/>
          <w:i/>
        </w:rPr>
        <w:t>.</w:t>
      </w:r>
      <w:r>
        <w:rPr>
          <w:rFonts w:cs="Times New Roman"/>
        </w:rPr>
        <w:t xml:space="preserve"> </w:t>
      </w:r>
      <w:proofErr w:type="gramStart"/>
      <w:r>
        <w:rPr>
          <w:rFonts w:cs="Times New Roman"/>
        </w:rPr>
        <w:t>Vol. 1,</w:t>
      </w:r>
      <w:r w:rsidRPr="005A1B34">
        <w:rPr>
          <w:rFonts w:cs="Times New Roman"/>
        </w:rPr>
        <w:t xml:space="preserve"> 51-56</w:t>
      </w:r>
      <w:r>
        <w:rPr>
          <w:rFonts w:cs="Times New Roman"/>
        </w:rPr>
        <w:t xml:space="preserve"> (1991)</w:t>
      </w:r>
      <w:r w:rsidRPr="005A1B34">
        <w:rPr>
          <w:rFonts w:cs="Times New Roman"/>
        </w:rPr>
        <w:t>.</w:t>
      </w:r>
      <w:proofErr w:type="gramEnd"/>
    </w:p>
    <w:p w14:paraId="28984217" w14:textId="70CD829F" w:rsidR="00D27D2E" w:rsidRPr="005A1B34" w:rsidRDefault="00D27D2E" w:rsidP="00D27D2E">
      <w:pPr>
        <w:ind w:left="720" w:hanging="720"/>
        <w:rPr>
          <w:rFonts w:cs="Times New Roman"/>
        </w:rPr>
      </w:pPr>
      <w:r>
        <w:rPr>
          <w:rFonts w:cs="Times New Roman"/>
        </w:rPr>
        <w:t xml:space="preserve">9) H. Chaabane, E. Vulleit, C. Calvayrac, C. M. Coste and J. F. Cooper: </w:t>
      </w:r>
      <w:r w:rsidR="008A3505">
        <w:rPr>
          <w:rFonts w:cs="Times New Roman"/>
          <w:i/>
        </w:rPr>
        <w:t>Pest Manag</w:t>
      </w:r>
      <w:r>
        <w:rPr>
          <w:rFonts w:cs="Times New Roman"/>
          <w:i/>
        </w:rPr>
        <w:t>.</w:t>
      </w:r>
      <w:r w:rsidRPr="001B36EC">
        <w:rPr>
          <w:rFonts w:cs="Times New Roman"/>
          <w:i/>
        </w:rPr>
        <w:t xml:space="preserve"> </w:t>
      </w:r>
      <w:proofErr w:type="gramStart"/>
      <w:r w:rsidRPr="001B36EC">
        <w:rPr>
          <w:rFonts w:cs="Times New Roman"/>
          <w:i/>
        </w:rPr>
        <w:t>Sci.</w:t>
      </w:r>
      <w:r>
        <w:rPr>
          <w:rFonts w:cs="Times New Roman"/>
        </w:rPr>
        <w:t xml:space="preserve"> </w:t>
      </w:r>
      <w:r w:rsidRPr="00FF618F">
        <w:rPr>
          <w:rFonts w:cs="Times New Roman"/>
          <w:b/>
        </w:rPr>
        <w:t>64</w:t>
      </w:r>
      <w:r>
        <w:rPr>
          <w:rFonts w:cs="Times New Roman"/>
        </w:rPr>
        <w:t>, 86-93 (2008).</w:t>
      </w:r>
      <w:proofErr w:type="gramEnd"/>
    </w:p>
    <w:p w14:paraId="742C38EE" w14:textId="3414CFBC" w:rsidR="00D27D2E" w:rsidRPr="009C0723" w:rsidRDefault="00D27D2E" w:rsidP="00D27D2E">
      <w:pPr>
        <w:widowControl w:val="0"/>
        <w:autoSpaceDE w:val="0"/>
        <w:autoSpaceDN w:val="0"/>
        <w:adjustRightInd w:val="0"/>
        <w:ind w:left="720" w:hanging="720"/>
        <w:rPr>
          <w:rFonts w:ascii="Times-Bold" w:hAnsi="Times-Bold" w:cs="Times-Bold"/>
          <w:bCs/>
          <w:color w:val="231F20"/>
        </w:rPr>
      </w:pPr>
      <w:r>
        <w:rPr>
          <w:rFonts w:cs="Times New Roman"/>
          <w:color w:val="131413"/>
        </w:rPr>
        <w:t xml:space="preserve">10) H. J. Santel: </w:t>
      </w:r>
      <w:r w:rsidR="00871FF9">
        <w:rPr>
          <w:rFonts w:ascii="Times-Bold" w:hAnsi="Times-Bold" w:cs="Times-Bold"/>
          <w:color w:val="231F20"/>
        </w:rPr>
        <w:t>Bayer CropSci.</w:t>
      </w:r>
      <w:r>
        <w:rPr>
          <w:rFonts w:ascii="Times-Bold" w:hAnsi="Times-Bold" w:cs="Times-Bold"/>
          <w:color w:val="231F20"/>
        </w:rPr>
        <w:t xml:space="preserve"> </w:t>
      </w:r>
      <w:proofErr w:type="gramStart"/>
      <w:r>
        <w:rPr>
          <w:rFonts w:ascii="Times-Bold" w:hAnsi="Times-Bold" w:cs="Times-Bold"/>
          <w:color w:val="231F20"/>
        </w:rPr>
        <w:t xml:space="preserve">Journal </w:t>
      </w:r>
      <w:r w:rsidRPr="00722CB1">
        <w:rPr>
          <w:rFonts w:ascii="Times-Bold" w:hAnsi="Times-Bold" w:cs="Times-Bold"/>
          <w:b/>
          <w:color w:val="231F20"/>
        </w:rPr>
        <w:t>62</w:t>
      </w:r>
      <w:r>
        <w:rPr>
          <w:rFonts w:ascii="Times-Bold" w:hAnsi="Times-Bold" w:cs="Times-Bold"/>
          <w:color w:val="231F20"/>
        </w:rPr>
        <w:t>, 95-108 (2009).</w:t>
      </w:r>
      <w:proofErr w:type="gramEnd"/>
    </w:p>
    <w:p w14:paraId="5F90F4BA" w14:textId="77777777" w:rsidR="00D27D2E" w:rsidRDefault="00D27D2E" w:rsidP="00D27D2E">
      <w:pPr>
        <w:ind w:left="720" w:hanging="720"/>
        <w:rPr>
          <w:rStyle w:val="patent-title"/>
        </w:rPr>
      </w:pPr>
      <w:r>
        <w:rPr>
          <w:rStyle w:val="patent-title"/>
          <w:rFonts w:cs="Times New Roman"/>
        </w:rPr>
        <w:t xml:space="preserve">11) H. Kahidani and K. Hirai: </w:t>
      </w:r>
      <w:r w:rsidRPr="004D6538">
        <w:rPr>
          <w:rStyle w:val="patent-title"/>
          <w:rFonts w:cs="Times New Roman"/>
          <w:i/>
        </w:rPr>
        <w:t>J. Pestic Sci</w:t>
      </w:r>
      <w:r>
        <w:rPr>
          <w:rStyle w:val="patent-title"/>
          <w:rFonts w:cs="Times New Roman"/>
        </w:rPr>
        <w:t xml:space="preserve">. </w:t>
      </w:r>
      <w:r w:rsidRPr="004D6538">
        <w:rPr>
          <w:rStyle w:val="patent-title"/>
          <w:rFonts w:cs="Times New Roman"/>
          <w:b/>
        </w:rPr>
        <w:t>28</w:t>
      </w:r>
      <w:r>
        <w:rPr>
          <w:rStyle w:val="patent-title"/>
          <w:rFonts w:cs="Times New Roman"/>
        </w:rPr>
        <w:t>, 409-415 (2003).</w:t>
      </w:r>
    </w:p>
    <w:p w14:paraId="57095D8F" w14:textId="6671714D" w:rsidR="00D27D2E" w:rsidRDefault="00D27D2E" w:rsidP="00D27D2E">
      <w:pPr>
        <w:ind w:left="720" w:hanging="720"/>
        <w:rPr>
          <w:rFonts w:cs="Times New Roman"/>
        </w:rPr>
      </w:pPr>
      <w:r>
        <w:rPr>
          <w:rFonts w:cs="Times New Roman"/>
        </w:rPr>
        <w:t xml:space="preserve">12) G.R. Moran: </w:t>
      </w:r>
      <w:r w:rsidRPr="00245801">
        <w:rPr>
          <w:rFonts w:cs="Times New Roman"/>
          <w:i/>
        </w:rPr>
        <w:t>Archives of Biochem</w:t>
      </w:r>
      <w:r w:rsidR="00871FF9">
        <w:rPr>
          <w:rFonts w:cs="Times New Roman"/>
          <w:i/>
        </w:rPr>
        <w:t xml:space="preserve">. </w:t>
      </w:r>
      <w:proofErr w:type="gramStart"/>
      <w:r w:rsidR="00871FF9">
        <w:rPr>
          <w:rFonts w:cs="Times New Roman"/>
          <w:i/>
        </w:rPr>
        <w:t>and</w:t>
      </w:r>
      <w:proofErr w:type="gramEnd"/>
      <w:r w:rsidR="00871FF9">
        <w:rPr>
          <w:rFonts w:cs="Times New Roman"/>
          <w:i/>
        </w:rPr>
        <w:t xml:space="preserve"> Biophy</w:t>
      </w:r>
      <w:r w:rsidRPr="00245801">
        <w:rPr>
          <w:rFonts w:cs="Times New Roman"/>
          <w:i/>
        </w:rPr>
        <w:t>s</w:t>
      </w:r>
      <w:r w:rsidR="00871FF9">
        <w:rPr>
          <w:rFonts w:cs="Times New Roman"/>
          <w:i/>
        </w:rPr>
        <w:t>.</w:t>
      </w:r>
      <w:r>
        <w:rPr>
          <w:rFonts w:cs="Times New Roman"/>
        </w:rPr>
        <w:t xml:space="preserve"> </w:t>
      </w:r>
      <w:proofErr w:type="gramStart"/>
      <w:r w:rsidRPr="00245801">
        <w:rPr>
          <w:rFonts w:cs="Times New Roman"/>
          <w:b/>
        </w:rPr>
        <w:t>433</w:t>
      </w:r>
      <w:r>
        <w:rPr>
          <w:rFonts w:cs="Times New Roman"/>
        </w:rPr>
        <w:t>, 117-128 (2005).</w:t>
      </w:r>
      <w:proofErr w:type="gramEnd"/>
    </w:p>
    <w:p w14:paraId="1D57168F" w14:textId="77777777" w:rsidR="00D27D2E" w:rsidRPr="00882755" w:rsidRDefault="00D27D2E" w:rsidP="00D27D2E">
      <w:pPr>
        <w:ind w:left="720" w:hanging="720"/>
        <w:rPr>
          <w:rStyle w:val="patent-title"/>
        </w:rPr>
      </w:pPr>
      <w:r>
        <w:rPr>
          <w:rStyle w:val="patent-title"/>
          <w:rFonts w:cs="Times New Roman"/>
        </w:rPr>
        <w:t xml:space="preserve">13) D. L. Lee, C. G. Knudsen, W. J. Michaely, H. L. Chin, N. H. Nguyen, C. G. Carter, T. H. Cromartie, B. H. Lake, J. M. Shribbs and T. Fraser: </w:t>
      </w:r>
      <w:r w:rsidRPr="00FE23F1">
        <w:rPr>
          <w:rStyle w:val="patent-title"/>
          <w:rFonts w:cs="Times New Roman"/>
          <w:i/>
        </w:rPr>
        <w:t xml:space="preserve">Pestic. </w:t>
      </w:r>
      <w:proofErr w:type="gramStart"/>
      <w:r w:rsidRPr="00FE23F1">
        <w:rPr>
          <w:rStyle w:val="patent-title"/>
          <w:rFonts w:cs="Times New Roman"/>
          <w:i/>
        </w:rPr>
        <w:t>Sci.</w:t>
      </w:r>
      <w:r>
        <w:rPr>
          <w:rStyle w:val="patent-title"/>
          <w:rFonts w:cs="Times New Roman"/>
        </w:rPr>
        <w:t xml:space="preserve"> </w:t>
      </w:r>
      <w:r w:rsidRPr="00FE23F1">
        <w:rPr>
          <w:rStyle w:val="patent-title"/>
          <w:rFonts w:cs="Times New Roman"/>
          <w:b/>
        </w:rPr>
        <w:t>54</w:t>
      </w:r>
      <w:r>
        <w:rPr>
          <w:rStyle w:val="patent-title"/>
          <w:rFonts w:cs="Times New Roman"/>
        </w:rPr>
        <w:t>, 377-384 (1998).</w:t>
      </w:r>
      <w:proofErr w:type="gramEnd"/>
    </w:p>
    <w:p w14:paraId="31093D19" w14:textId="12693405" w:rsidR="00D27D2E" w:rsidRDefault="00D27D2E" w:rsidP="00D27D2E">
      <w:pPr>
        <w:widowControl w:val="0"/>
        <w:autoSpaceDE w:val="0"/>
        <w:autoSpaceDN w:val="0"/>
        <w:adjustRightInd w:val="0"/>
        <w:ind w:left="720" w:hanging="720"/>
        <w:rPr>
          <w:rFonts w:cs="Times New Roman"/>
        </w:rPr>
      </w:pPr>
      <w:r>
        <w:rPr>
          <w:rFonts w:cs="Times New Roman"/>
        </w:rPr>
        <w:t xml:space="preserve">14) F. E. Dayan, N. Singh, C. R. McCurdy, C. A. Godfrey, L. Larsen, R. T. Weavers, J. W. </w:t>
      </w:r>
      <w:r>
        <w:rPr>
          <w:rFonts w:cs="Times New Roman"/>
        </w:rPr>
        <w:lastRenderedPageBreak/>
        <w:t xml:space="preserve">VanKlink and N. B. Perry (2009) </w:t>
      </w:r>
      <w:r w:rsidR="00871FF9">
        <w:rPr>
          <w:rFonts w:cs="Times New Roman"/>
          <w:i/>
        </w:rPr>
        <w:t>J. of Agric.</w:t>
      </w:r>
      <w:r w:rsidRPr="00CF0398">
        <w:rPr>
          <w:rFonts w:cs="Times New Roman"/>
          <w:i/>
        </w:rPr>
        <w:t xml:space="preserve"> and Food Chem</w:t>
      </w:r>
      <w:r>
        <w:rPr>
          <w:rFonts w:cs="Times New Roman"/>
        </w:rPr>
        <w:t xml:space="preserve">. </w:t>
      </w:r>
      <w:r w:rsidRPr="002003F0">
        <w:rPr>
          <w:rFonts w:cs="Times New Roman"/>
          <w:b/>
        </w:rPr>
        <w:t>57</w:t>
      </w:r>
      <w:r>
        <w:rPr>
          <w:rFonts w:cs="Times New Roman"/>
        </w:rPr>
        <w:t>, 5194-5200 (2009).</w:t>
      </w:r>
    </w:p>
    <w:p w14:paraId="4A79B70E" w14:textId="4F4DAAD4" w:rsidR="00D27D2E" w:rsidRPr="00E825F9" w:rsidRDefault="00D27D2E" w:rsidP="00D27D2E">
      <w:pPr>
        <w:widowControl w:val="0"/>
        <w:autoSpaceDE w:val="0"/>
        <w:autoSpaceDN w:val="0"/>
        <w:adjustRightInd w:val="0"/>
        <w:ind w:left="720" w:hanging="720"/>
        <w:rPr>
          <w:rFonts w:cs="Times New Roman"/>
          <w:color w:val="131413"/>
        </w:rPr>
      </w:pPr>
      <w:r>
        <w:rPr>
          <w:rFonts w:cs="Times New Roman"/>
          <w:color w:val="131413"/>
        </w:rPr>
        <w:t xml:space="preserve">15) </w:t>
      </w:r>
      <w:r w:rsidRPr="00E825F9">
        <w:rPr>
          <w:rFonts w:cs="Times New Roman"/>
          <w:color w:val="131413"/>
        </w:rPr>
        <w:t>H. Adachi, A. Ueda, T. Aihara, K. Tomida, T. Kawana,</w:t>
      </w:r>
      <w:r w:rsidR="009A3783">
        <w:rPr>
          <w:rFonts w:cs="Times New Roman"/>
          <w:color w:val="131413"/>
        </w:rPr>
        <w:t xml:space="preserve"> and</w:t>
      </w:r>
      <w:r w:rsidRPr="00E825F9">
        <w:rPr>
          <w:rFonts w:cs="Times New Roman"/>
          <w:color w:val="131413"/>
        </w:rPr>
        <w:t xml:space="preserve"> H. Hosaka: J. Pestic</w:t>
      </w:r>
      <w:r w:rsidR="009A3783">
        <w:rPr>
          <w:rFonts w:cs="Times New Roman"/>
          <w:color w:val="131413"/>
        </w:rPr>
        <w:t>.</w:t>
      </w:r>
      <w:r w:rsidRPr="00E825F9">
        <w:rPr>
          <w:rFonts w:cs="Times New Roman"/>
          <w:color w:val="131413"/>
        </w:rPr>
        <w:t xml:space="preserve"> Sci. </w:t>
      </w:r>
      <w:r w:rsidRPr="00E825F9">
        <w:rPr>
          <w:rFonts w:cs="Times New Roman"/>
          <w:b/>
          <w:color w:val="131413"/>
        </w:rPr>
        <w:t>32</w:t>
      </w:r>
      <w:r w:rsidRPr="00E825F9">
        <w:rPr>
          <w:rFonts w:cs="Times New Roman"/>
          <w:color w:val="131413"/>
        </w:rPr>
        <w:t>, 112-119 (2007)</w:t>
      </w:r>
    </w:p>
    <w:p w14:paraId="3A707F29" w14:textId="77777777" w:rsidR="00D27D2E" w:rsidRDefault="00D27D2E" w:rsidP="00D27D2E">
      <w:pPr>
        <w:ind w:left="720" w:hanging="720"/>
        <w:rPr>
          <w:rFonts w:cs="Times New Roman"/>
        </w:rPr>
      </w:pPr>
      <w:r>
        <w:rPr>
          <w:rFonts w:cs="Times New Roman"/>
        </w:rPr>
        <w:t>16) M. Witschel: “HPPD-inhibiting Benzoylpyrazole Herbicides”, in Bioactive Heterocyclic Compound Classes, ed. by C. Lamberth and J. Dinges, Wiley, Germany, pp. 64-68, 2012.</w:t>
      </w:r>
    </w:p>
    <w:p w14:paraId="08CB1107" w14:textId="77777777" w:rsidR="00D27D2E" w:rsidRDefault="00D27D2E" w:rsidP="00D27D2E">
      <w:pPr>
        <w:ind w:left="720" w:hanging="720"/>
        <w:rPr>
          <w:rFonts w:cs="Times New Roman"/>
        </w:rPr>
      </w:pPr>
      <w:r>
        <w:rPr>
          <w:rFonts w:cs="Times New Roman"/>
        </w:rPr>
        <w:t xml:space="preserve">17) Anonymous: Callisto herbicide label. </w:t>
      </w:r>
      <w:proofErr w:type="gramStart"/>
      <w:r>
        <w:rPr>
          <w:rFonts w:cs="Times New Roman"/>
        </w:rPr>
        <w:t>Syngenta Crop Protection, LLC.</w:t>
      </w:r>
      <w:proofErr w:type="gramEnd"/>
      <w:r>
        <w:rPr>
          <w:rFonts w:cs="Times New Roman"/>
        </w:rPr>
        <w:t xml:space="preserve"> </w:t>
      </w:r>
      <w:proofErr w:type="gramStart"/>
      <w:r>
        <w:rPr>
          <w:rFonts w:cs="Times New Roman"/>
        </w:rPr>
        <w:t>Greensboro NC, USA (2012).</w:t>
      </w:r>
      <w:proofErr w:type="gramEnd"/>
    </w:p>
    <w:p w14:paraId="7158F7CE" w14:textId="77777777" w:rsidR="00D27D2E" w:rsidRDefault="00D27D2E" w:rsidP="00D27D2E">
      <w:pPr>
        <w:ind w:left="720" w:hanging="720"/>
        <w:rPr>
          <w:rFonts w:cs="Times New Roman"/>
        </w:rPr>
      </w:pPr>
      <w:r>
        <w:rPr>
          <w:rFonts w:cs="Times New Roman"/>
        </w:rPr>
        <w:t xml:space="preserve">18) Anonymous: Tenacity herbicide label. </w:t>
      </w:r>
      <w:proofErr w:type="gramStart"/>
      <w:r>
        <w:rPr>
          <w:rFonts w:cs="Times New Roman"/>
        </w:rPr>
        <w:t>Syngenta Professional Products.</w:t>
      </w:r>
      <w:proofErr w:type="gramEnd"/>
      <w:r>
        <w:rPr>
          <w:rFonts w:cs="Times New Roman"/>
        </w:rPr>
        <w:t xml:space="preserve"> </w:t>
      </w:r>
      <w:proofErr w:type="gramStart"/>
      <w:r>
        <w:rPr>
          <w:rFonts w:cs="Times New Roman"/>
        </w:rPr>
        <w:t>Greensboro NC, USA (2011).</w:t>
      </w:r>
      <w:proofErr w:type="gramEnd"/>
    </w:p>
    <w:p w14:paraId="7D2797DD" w14:textId="686EABB4" w:rsidR="00D27D2E" w:rsidRPr="009C0723" w:rsidRDefault="00D27D2E" w:rsidP="00D27D2E">
      <w:pPr>
        <w:widowControl w:val="0"/>
        <w:autoSpaceDE w:val="0"/>
        <w:autoSpaceDN w:val="0"/>
        <w:adjustRightInd w:val="0"/>
        <w:ind w:left="720" w:hanging="720"/>
        <w:rPr>
          <w:rFonts w:ascii="Times-Bold" w:hAnsi="Times-Bold" w:cs="Times-Bold"/>
          <w:color w:val="231F20"/>
        </w:rPr>
      </w:pPr>
      <w:r>
        <w:rPr>
          <w:rFonts w:ascii="Times-Bold" w:hAnsi="Times-Bold" w:cs="Times-Bold"/>
          <w:color w:val="231F20"/>
        </w:rPr>
        <w:t xml:space="preserve">19) N. Soltani, A. C. Kaastra, C. J. Swanton and P. H. Sikkema: </w:t>
      </w:r>
      <w:r w:rsidRPr="00722CB1">
        <w:rPr>
          <w:rFonts w:ascii="Times-Bold" w:hAnsi="Times-Bold" w:cs="Times-Bold"/>
          <w:i/>
          <w:color w:val="231F20"/>
        </w:rPr>
        <w:t>Int</w:t>
      </w:r>
      <w:r>
        <w:rPr>
          <w:rFonts w:ascii="Times-Bold" w:hAnsi="Times-Bold" w:cs="Times-Bold"/>
          <w:i/>
          <w:color w:val="231F20"/>
        </w:rPr>
        <w:t>.</w:t>
      </w:r>
      <w:r w:rsidRPr="00722CB1">
        <w:rPr>
          <w:rFonts w:ascii="Times-Bold" w:hAnsi="Times-Bold" w:cs="Times-Bold"/>
          <w:i/>
          <w:color w:val="231F20"/>
        </w:rPr>
        <w:t xml:space="preserve"> Res</w:t>
      </w:r>
      <w:r>
        <w:rPr>
          <w:rFonts w:ascii="Times-Bold" w:hAnsi="Times-Bold" w:cs="Times-Bold"/>
          <w:i/>
          <w:color w:val="231F20"/>
        </w:rPr>
        <w:t>.</w:t>
      </w:r>
      <w:r w:rsidRPr="00722CB1">
        <w:rPr>
          <w:rFonts w:ascii="Times-Bold" w:hAnsi="Times-Bold" w:cs="Times-Bold"/>
          <w:i/>
          <w:color w:val="231F20"/>
        </w:rPr>
        <w:t xml:space="preserve"> J</w:t>
      </w:r>
      <w:r>
        <w:rPr>
          <w:rFonts w:ascii="Times-Bold" w:hAnsi="Times-Bold" w:cs="Times-Bold"/>
          <w:i/>
          <w:color w:val="231F20"/>
        </w:rPr>
        <w:t>.</w:t>
      </w:r>
      <w:r w:rsidR="00FC5A46">
        <w:rPr>
          <w:rFonts w:ascii="Times-Bold" w:hAnsi="Times-Bold" w:cs="Times-Bold"/>
          <w:i/>
          <w:color w:val="231F20"/>
        </w:rPr>
        <w:t xml:space="preserve"> of Agric.</w:t>
      </w:r>
      <w:r w:rsidRPr="00722CB1">
        <w:rPr>
          <w:rFonts w:ascii="Times-Bold" w:hAnsi="Times-Bold" w:cs="Times-Bold"/>
          <w:i/>
          <w:color w:val="231F20"/>
        </w:rPr>
        <w:t xml:space="preserve"> Sci</w:t>
      </w:r>
      <w:r>
        <w:rPr>
          <w:rFonts w:ascii="Times-Bold" w:hAnsi="Times-Bold" w:cs="Times-Bold"/>
          <w:i/>
          <w:color w:val="231F20"/>
        </w:rPr>
        <w:t>.</w:t>
      </w:r>
      <w:r w:rsidRPr="00722CB1">
        <w:rPr>
          <w:rFonts w:ascii="Times-Bold" w:hAnsi="Times-Bold" w:cs="Times-Bold"/>
          <w:i/>
          <w:color w:val="231F20"/>
        </w:rPr>
        <w:t xml:space="preserve"> and Soil Sci.</w:t>
      </w:r>
      <w:r>
        <w:rPr>
          <w:rFonts w:ascii="Times-Bold" w:hAnsi="Times-Bold" w:cs="Times-Bold"/>
          <w:color w:val="231F20"/>
        </w:rPr>
        <w:t xml:space="preserve"> </w:t>
      </w:r>
      <w:r w:rsidRPr="00722CB1">
        <w:rPr>
          <w:rFonts w:ascii="Times-Bold" w:hAnsi="Times-Bold" w:cs="Times-Bold"/>
          <w:b/>
          <w:color w:val="231F20"/>
        </w:rPr>
        <w:t>2</w:t>
      </w:r>
      <w:r>
        <w:rPr>
          <w:rFonts w:ascii="Times-Bold" w:hAnsi="Times-Bold" w:cs="Times-Bold"/>
          <w:color w:val="231F20"/>
        </w:rPr>
        <w:t>, 46-50 (2012).</w:t>
      </w:r>
    </w:p>
    <w:p w14:paraId="72F9E734" w14:textId="77777777" w:rsidR="00D27D2E" w:rsidRPr="00952CE4" w:rsidRDefault="00D27D2E" w:rsidP="00D27D2E">
      <w:pPr>
        <w:widowControl w:val="0"/>
        <w:autoSpaceDE w:val="0"/>
        <w:autoSpaceDN w:val="0"/>
        <w:adjustRightInd w:val="0"/>
        <w:ind w:left="720" w:hanging="720"/>
        <w:rPr>
          <w:rFonts w:cs="Times New Roman"/>
        </w:rPr>
      </w:pPr>
      <w:r>
        <w:rPr>
          <w:rFonts w:cs="Times New Roman"/>
        </w:rPr>
        <w:t xml:space="preserve">20) M. T. Elmore, J. T. </w:t>
      </w:r>
      <w:r w:rsidRPr="005A1D78">
        <w:rPr>
          <w:rFonts w:cs="Times New Roman"/>
        </w:rPr>
        <w:t>Brosnan</w:t>
      </w:r>
      <w:r>
        <w:rPr>
          <w:rFonts w:cs="Times New Roman"/>
        </w:rPr>
        <w:t xml:space="preserve">, D. A. </w:t>
      </w:r>
      <w:r w:rsidRPr="005A1D78">
        <w:rPr>
          <w:rFonts w:cs="Times New Roman"/>
        </w:rPr>
        <w:t>Kopsell</w:t>
      </w:r>
      <w:r>
        <w:rPr>
          <w:rFonts w:cs="Times New Roman"/>
        </w:rPr>
        <w:t xml:space="preserve"> and G. K. </w:t>
      </w:r>
      <w:r w:rsidRPr="005A1D78">
        <w:rPr>
          <w:rFonts w:cs="Times New Roman"/>
        </w:rPr>
        <w:t>Breeden</w:t>
      </w:r>
      <w:r>
        <w:rPr>
          <w:rFonts w:cs="Times New Roman"/>
        </w:rPr>
        <w:t>:</w:t>
      </w:r>
      <w:r w:rsidRPr="005A1D78">
        <w:rPr>
          <w:rFonts w:cs="Times New Roman"/>
        </w:rPr>
        <w:t xml:space="preserve"> </w:t>
      </w:r>
      <w:r w:rsidRPr="00CF0398">
        <w:rPr>
          <w:rFonts w:cs="Times New Roman"/>
          <w:i/>
        </w:rPr>
        <w:t>Weed Sci</w:t>
      </w:r>
      <w:r>
        <w:rPr>
          <w:rFonts w:cs="Times New Roman"/>
        </w:rPr>
        <w:t xml:space="preserve">. </w:t>
      </w:r>
      <w:r w:rsidRPr="00CF0398">
        <w:rPr>
          <w:rFonts w:cs="Times New Roman"/>
          <w:b/>
        </w:rPr>
        <w:t>60</w:t>
      </w:r>
      <w:r>
        <w:rPr>
          <w:rFonts w:cs="Times New Roman"/>
        </w:rPr>
        <w:t xml:space="preserve">, </w:t>
      </w:r>
      <w:r w:rsidRPr="005A1D78">
        <w:rPr>
          <w:rFonts w:cs="Times New Roman"/>
        </w:rPr>
        <w:t>480-485</w:t>
      </w:r>
      <w:r>
        <w:rPr>
          <w:rFonts w:cs="Times New Roman"/>
        </w:rPr>
        <w:t xml:space="preserve"> (2012).</w:t>
      </w:r>
    </w:p>
    <w:p w14:paraId="7827A1B6" w14:textId="77777777" w:rsidR="00D27D2E" w:rsidRPr="009C0723" w:rsidRDefault="00D27D2E" w:rsidP="00D27D2E">
      <w:pPr>
        <w:widowControl w:val="0"/>
        <w:autoSpaceDE w:val="0"/>
        <w:autoSpaceDN w:val="0"/>
        <w:adjustRightInd w:val="0"/>
        <w:ind w:left="720" w:hanging="720"/>
        <w:rPr>
          <w:rStyle w:val="patent-title"/>
        </w:rPr>
      </w:pPr>
      <w:r>
        <w:rPr>
          <w:rStyle w:val="patent-title"/>
          <w:rFonts w:cs="Times New Roman"/>
        </w:rPr>
        <w:t xml:space="preserve">21) M. A. </w:t>
      </w:r>
      <w:r w:rsidRPr="00FA2958">
        <w:rPr>
          <w:rStyle w:val="patent-title"/>
          <w:rFonts w:cs="Times New Roman"/>
        </w:rPr>
        <w:t>Jones</w:t>
      </w:r>
      <w:r>
        <w:rPr>
          <w:rStyle w:val="patent-title"/>
          <w:rFonts w:cs="Times New Roman"/>
        </w:rPr>
        <w:t xml:space="preserve"> and</w:t>
      </w:r>
      <w:r w:rsidRPr="00FA2958">
        <w:rPr>
          <w:rStyle w:val="patent-title"/>
          <w:rFonts w:cs="Times New Roman"/>
        </w:rPr>
        <w:t xml:space="preserve"> </w:t>
      </w:r>
      <w:r>
        <w:rPr>
          <w:rStyle w:val="patent-title"/>
          <w:rFonts w:cs="Times New Roman"/>
        </w:rPr>
        <w:t xml:space="preserve">N. E. Christians: </w:t>
      </w:r>
      <w:r w:rsidRPr="00C837D1">
        <w:rPr>
          <w:rFonts w:cs="Times New Roman"/>
          <w:i/>
          <w:color w:val="231F20"/>
        </w:rPr>
        <w:t>Weed Technol.</w:t>
      </w:r>
      <w:r>
        <w:rPr>
          <w:rFonts w:cs="Times New Roman"/>
          <w:color w:val="231F20"/>
        </w:rPr>
        <w:t xml:space="preserve"> </w:t>
      </w:r>
      <w:r w:rsidRPr="004D6538">
        <w:rPr>
          <w:rFonts w:cs="Times New Roman"/>
          <w:b/>
          <w:color w:val="231F20"/>
        </w:rPr>
        <w:t>21</w:t>
      </w:r>
      <w:r>
        <w:rPr>
          <w:rFonts w:cs="Times New Roman"/>
          <w:color w:val="231F20"/>
        </w:rPr>
        <w:t xml:space="preserve">, </w:t>
      </w:r>
      <w:r w:rsidRPr="00FA2958">
        <w:rPr>
          <w:rFonts w:cs="Times New Roman"/>
          <w:color w:val="231F20"/>
        </w:rPr>
        <w:t>402-405</w:t>
      </w:r>
      <w:r>
        <w:rPr>
          <w:rFonts w:cs="Times New Roman"/>
          <w:color w:val="231F20"/>
        </w:rPr>
        <w:t xml:space="preserve"> (2007).</w:t>
      </w:r>
    </w:p>
    <w:p w14:paraId="2373ABA5" w14:textId="719F7130" w:rsidR="00D27D2E" w:rsidRDefault="00D27D2E" w:rsidP="00D27D2E">
      <w:pPr>
        <w:ind w:left="720" w:hanging="720"/>
        <w:rPr>
          <w:rFonts w:cs="Times New Roman"/>
        </w:rPr>
      </w:pPr>
      <w:r>
        <w:rPr>
          <w:rFonts w:cs="Times New Roman"/>
        </w:rPr>
        <w:t xml:space="preserve">22) J. J. Skelton, W. Sharp and B. E. </w:t>
      </w:r>
      <w:r w:rsidRPr="00F708D3">
        <w:rPr>
          <w:rFonts w:cs="Times New Roman"/>
        </w:rPr>
        <w:t>Branham</w:t>
      </w:r>
      <w:r>
        <w:rPr>
          <w:rFonts w:cs="Times New Roman"/>
        </w:rPr>
        <w:t xml:space="preserve">: </w:t>
      </w:r>
      <w:r w:rsidRPr="00722CB1">
        <w:rPr>
          <w:rFonts w:cs="Times New Roman"/>
          <w:i/>
        </w:rPr>
        <w:t xml:space="preserve">HortSci. </w:t>
      </w:r>
      <w:proofErr w:type="gramStart"/>
      <w:r w:rsidRPr="00722CB1">
        <w:rPr>
          <w:rFonts w:cs="Times New Roman"/>
          <w:b/>
        </w:rPr>
        <w:t>47</w:t>
      </w:r>
      <w:r>
        <w:rPr>
          <w:rFonts w:cs="Times New Roman"/>
        </w:rPr>
        <w:t xml:space="preserve">, </w:t>
      </w:r>
      <w:r w:rsidRPr="00F708D3">
        <w:rPr>
          <w:rFonts w:cs="Times New Roman"/>
        </w:rPr>
        <w:t>522-526</w:t>
      </w:r>
      <w:r>
        <w:rPr>
          <w:rFonts w:cs="Times New Roman"/>
        </w:rPr>
        <w:t xml:space="preserve"> (2012)</w:t>
      </w:r>
      <w:r w:rsidRPr="00F708D3">
        <w:rPr>
          <w:rFonts w:cs="Times New Roman"/>
        </w:rPr>
        <w:t>.</w:t>
      </w:r>
      <w:proofErr w:type="gramEnd"/>
    </w:p>
    <w:p w14:paraId="278C9B68" w14:textId="2FF86D6E" w:rsidR="00D27D2E" w:rsidRPr="00E825F9" w:rsidRDefault="00D27D2E" w:rsidP="00D27D2E">
      <w:pPr>
        <w:widowControl w:val="0"/>
        <w:autoSpaceDE w:val="0"/>
        <w:autoSpaceDN w:val="0"/>
        <w:adjustRightInd w:val="0"/>
        <w:ind w:left="720" w:hanging="720"/>
        <w:rPr>
          <w:rFonts w:cs="Times New Roman"/>
          <w:color w:val="131413"/>
        </w:rPr>
      </w:pPr>
      <w:r>
        <w:rPr>
          <w:rFonts w:cs="Times New Roman"/>
          <w:color w:val="131413"/>
        </w:rPr>
        <w:t xml:space="preserve">23) </w:t>
      </w:r>
      <w:r w:rsidRPr="00E825F9">
        <w:rPr>
          <w:rFonts w:cs="Times New Roman"/>
          <w:color w:val="131413"/>
        </w:rPr>
        <w:t xml:space="preserve">J.E.D Barton, D. Cartwright, C.G. Carter, J.M. Cox, D.L. Lee, G. Mitchell, F.H. Walker, F.X. Woolard (Zeneca Limited): </w:t>
      </w:r>
      <w:r w:rsidR="009A3783">
        <w:rPr>
          <w:rFonts w:cs="Times New Roman"/>
          <w:i/>
          <w:color w:val="131413"/>
        </w:rPr>
        <w:t xml:space="preserve">European Pat. </w:t>
      </w:r>
      <w:proofErr w:type="gramStart"/>
      <w:r w:rsidRPr="00E825F9">
        <w:rPr>
          <w:rFonts w:cs="Times New Roman"/>
          <w:color w:val="131413"/>
        </w:rPr>
        <w:t>19880302286 (1988)</w:t>
      </w:r>
      <w:r>
        <w:rPr>
          <w:rFonts w:cs="Times New Roman"/>
          <w:color w:val="131413"/>
        </w:rPr>
        <w:t>.</w:t>
      </w:r>
      <w:proofErr w:type="gramEnd"/>
    </w:p>
    <w:p w14:paraId="58329CAD" w14:textId="4F2CA242" w:rsidR="00D27D2E" w:rsidRPr="00E825F9" w:rsidRDefault="00D27D2E" w:rsidP="00D27D2E">
      <w:pPr>
        <w:ind w:left="720" w:hanging="720"/>
        <w:rPr>
          <w:rFonts w:cs="Times New Roman"/>
        </w:rPr>
      </w:pPr>
      <w:r>
        <w:rPr>
          <w:rFonts w:cs="Times New Roman"/>
          <w:color w:val="131413"/>
        </w:rPr>
        <w:t xml:space="preserve">24) </w:t>
      </w:r>
      <w:r w:rsidRPr="00E825F9">
        <w:rPr>
          <w:rFonts w:cs="Times New Roman"/>
          <w:color w:val="131413"/>
        </w:rPr>
        <w:t>M.T. Elmore, J.T. Brosnan, G.R. Armel</w:t>
      </w:r>
      <w:r w:rsidRPr="00E825F9">
        <w:rPr>
          <w:rFonts w:cs="Times New Roman"/>
        </w:rPr>
        <w:t xml:space="preserve"> J.J. Vargas and G.K. Breeden. </w:t>
      </w:r>
      <w:r w:rsidRPr="009A3783">
        <w:rPr>
          <w:rFonts w:cs="Times New Roman"/>
          <w:i/>
        </w:rPr>
        <w:t>Weed Technol</w:t>
      </w:r>
      <w:r w:rsidRPr="00E825F9">
        <w:rPr>
          <w:rFonts w:cs="Times New Roman"/>
        </w:rPr>
        <w:t>. (</w:t>
      </w:r>
      <w:r w:rsidRPr="00E825F9">
        <w:rPr>
          <w:rFonts w:cs="Times New Roman"/>
          <w:i/>
        </w:rPr>
        <w:t>Submitted</w:t>
      </w:r>
      <w:r w:rsidRPr="00E825F9">
        <w:rPr>
          <w:rFonts w:cs="Times New Roman"/>
        </w:rPr>
        <w:t>).</w:t>
      </w:r>
    </w:p>
    <w:p w14:paraId="28B18605" w14:textId="51B1359A" w:rsidR="00D27D2E" w:rsidRPr="00E825F9" w:rsidRDefault="00D27D2E" w:rsidP="00D27D2E">
      <w:pPr>
        <w:pStyle w:val="Header"/>
        <w:tabs>
          <w:tab w:val="left" w:pos="270"/>
        </w:tabs>
        <w:ind w:left="720" w:hanging="720"/>
        <w:rPr>
          <w:rFonts w:eastAsiaTheme="minorEastAsia"/>
        </w:rPr>
      </w:pPr>
      <w:r>
        <w:rPr>
          <w:rFonts w:eastAsiaTheme="minorEastAsia"/>
        </w:rPr>
        <w:t xml:space="preserve">25) </w:t>
      </w:r>
      <w:r w:rsidRPr="00E825F9">
        <w:rPr>
          <w:rFonts w:eastAsiaTheme="minorEastAsia"/>
        </w:rPr>
        <w:t xml:space="preserve">A. Smith, M. Cox, S. D. Askew and K. Miller: </w:t>
      </w:r>
      <w:r w:rsidR="009A3783">
        <w:rPr>
          <w:rFonts w:eastAsiaTheme="minorEastAsia"/>
          <w:i/>
        </w:rPr>
        <w:t>Proc. South.</w:t>
      </w:r>
      <w:r w:rsidRPr="00E825F9">
        <w:rPr>
          <w:rFonts w:eastAsiaTheme="minorEastAsia"/>
          <w:i/>
        </w:rPr>
        <w:t xml:space="preserve"> Weed Sci. Soc.</w:t>
      </w:r>
      <w:r w:rsidRPr="00E825F9">
        <w:rPr>
          <w:rFonts w:eastAsiaTheme="minorEastAsia"/>
        </w:rPr>
        <w:t xml:space="preserve"> </w:t>
      </w:r>
      <w:r w:rsidRPr="00E825F9">
        <w:rPr>
          <w:rFonts w:eastAsiaTheme="minorEastAsia"/>
          <w:b/>
        </w:rPr>
        <w:t>66</w:t>
      </w:r>
      <w:r w:rsidRPr="00E825F9">
        <w:rPr>
          <w:rFonts w:eastAsiaTheme="minorEastAsia"/>
        </w:rPr>
        <w:t>, 3 (2013)</w:t>
      </w:r>
    </w:p>
    <w:p w14:paraId="3D6F3A3E" w14:textId="73AEE352" w:rsidR="00D27D2E" w:rsidRDefault="00D27D2E" w:rsidP="00D27D2E">
      <w:pPr>
        <w:autoSpaceDE w:val="0"/>
        <w:autoSpaceDN w:val="0"/>
        <w:adjustRightInd w:val="0"/>
        <w:ind w:left="720" w:hanging="720"/>
        <w:rPr>
          <w:rFonts w:cs="Times New Roman"/>
        </w:rPr>
      </w:pPr>
      <w:r>
        <w:rPr>
          <w:rFonts w:cs="Times New Roman"/>
        </w:rPr>
        <w:t xml:space="preserve">26) </w:t>
      </w:r>
      <w:r w:rsidRPr="00E825F9">
        <w:rPr>
          <w:rFonts w:cs="Times New Roman"/>
        </w:rPr>
        <w:t xml:space="preserve">K. Grossmann and T. Ehrhardt: </w:t>
      </w:r>
      <w:r w:rsidR="008A3505">
        <w:rPr>
          <w:rFonts w:cs="Times New Roman"/>
          <w:i/>
        </w:rPr>
        <w:t>Pest Manag</w:t>
      </w:r>
      <w:r w:rsidRPr="00E825F9">
        <w:rPr>
          <w:rFonts w:cs="Times New Roman"/>
          <w:i/>
        </w:rPr>
        <w:t xml:space="preserve">. </w:t>
      </w:r>
      <w:proofErr w:type="gramStart"/>
      <w:r w:rsidRPr="00E825F9">
        <w:rPr>
          <w:rFonts w:cs="Times New Roman"/>
          <w:i/>
        </w:rPr>
        <w:t>Sci.</w:t>
      </w:r>
      <w:r w:rsidRPr="00E825F9">
        <w:rPr>
          <w:rFonts w:cs="Times New Roman"/>
        </w:rPr>
        <w:t xml:space="preserve"> </w:t>
      </w:r>
      <w:r w:rsidRPr="00E825F9">
        <w:rPr>
          <w:rFonts w:cs="Times New Roman"/>
          <w:b/>
        </w:rPr>
        <w:t>63</w:t>
      </w:r>
      <w:r w:rsidRPr="00E825F9">
        <w:rPr>
          <w:rFonts w:cs="Times New Roman"/>
        </w:rPr>
        <w:t>, 429-439 (2007).</w:t>
      </w:r>
      <w:proofErr w:type="gramEnd"/>
    </w:p>
    <w:p w14:paraId="6F1A40DA" w14:textId="77777777" w:rsidR="009757E0" w:rsidRDefault="00D27D2E" w:rsidP="00D27D2E">
      <w:pPr>
        <w:rPr>
          <w:rFonts w:cs="Times New Roman"/>
          <w:color w:val="131413"/>
        </w:rPr>
      </w:pPr>
      <w:r>
        <w:rPr>
          <w:rFonts w:cs="Times New Roman"/>
        </w:rPr>
        <w:t xml:space="preserve">27) </w:t>
      </w:r>
      <w:r w:rsidRPr="00E825F9">
        <w:rPr>
          <w:rFonts w:cs="Times New Roman"/>
        </w:rPr>
        <w:t>R. Ma, S. S. Kaundun, P. J. Tranel, C. W. Riggins, D. L. McGinness, A. G. Hager, T. Hawkes, E. McIndoe and D. E. Riechers</w:t>
      </w:r>
      <w:r w:rsidRPr="00E825F9">
        <w:rPr>
          <w:rFonts w:cs="Times New Roman"/>
          <w:color w:val="131413"/>
        </w:rPr>
        <w:t xml:space="preserve">: </w:t>
      </w:r>
      <w:r w:rsidRPr="00E825F9">
        <w:rPr>
          <w:rFonts w:cs="Times New Roman"/>
          <w:i/>
          <w:color w:val="131413"/>
        </w:rPr>
        <w:t>Plant Physiol.</w:t>
      </w:r>
      <w:r w:rsidRPr="00E825F9">
        <w:rPr>
          <w:rFonts w:cs="Times New Roman"/>
          <w:color w:val="131413"/>
        </w:rPr>
        <w:t xml:space="preserve"> </w:t>
      </w:r>
      <w:r w:rsidRPr="00E825F9">
        <w:rPr>
          <w:rFonts w:cs="Times New Roman"/>
          <w:b/>
          <w:color w:val="131413"/>
        </w:rPr>
        <w:t>163</w:t>
      </w:r>
      <w:r w:rsidRPr="00E825F9">
        <w:rPr>
          <w:rFonts w:cs="Times New Roman"/>
          <w:color w:val="131413"/>
        </w:rPr>
        <w:t>, 363-377 (2013)</w:t>
      </w:r>
    </w:p>
    <w:p w14:paraId="5D36CD5A" w14:textId="77777777" w:rsidR="009757E0" w:rsidRDefault="009757E0">
      <w:pPr>
        <w:spacing w:line="240" w:lineRule="auto"/>
        <w:rPr>
          <w:rFonts w:cs="Times New Roman"/>
          <w:color w:val="131413"/>
        </w:rPr>
      </w:pPr>
    </w:p>
    <w:p w14:paraId="1A70CDBD" w14:textId="77777777" w:rsidR="009757E0" w:rsidRDefault="009757E0" w:rsidP="009757E0">
      <w:pPr>
        <w:jc w:val="center"/>
        <w:rPr>
          <w:rFonts w:cs="Times New Roman"/>
          <w:b/>
          <w:color w:val="131413"/>
        </w:rPr>
      </w:pPr>
    </w:p>
    <w:p w14:paraId="74918F8B" w14:textId="77777777" w:rsidR="009757E0" w:rsidRDefault="009757E0" w:rsidP="009757E0">
      <w:pPr>
        <w:jc w:val="center"/>
        <w:rPr>
          <w:rFonts w:cs="Times New Roman"/>
          <w:b/>
          <w:color w:val="131413"/>
        </w:rPr>
      </w:pPr>
    </w:p>
    <w:p w14:paraId="0F3CB711" w14:textId="77777777" w:rsidR="009757E0" w:rsidRDefault="009757E0" w:rsidP="009757E0">
      <w:pPr>
        <w:jc w:val="center"/>
        <w:rPr>
          <w:rFonts w:cs="Times New Roman"/>
          <w:b/>
          <w:color w:val="131413"/>
        </w:rPr>
      </w:pPr>
    </w:p>
    <w:p w14:paraId="2747CC7C" w14:textId="77777777" w:rsidR="009757E0" w:rsidRDefault="009757E0" w:rsidP="009757E0">
      <w:pPr>
        <w:jc w:val="center"/>
        <w:rPr>
          <w:rFonts w:cs="Times New Roman"/>
          <w:b/>
          <w:color w:val="131413"/>
        </w:rPr>
      </w:pPr>
    </w:p>
    <w:p w14:paraId="087C8B90" w14:textId="77777777" w:rsidR="009757E0" w:rsidRDefault="009757E0" w:rsidP="009757E0">
      <w:pPr>
        <w:jc w:val="center"/>
        <w:rPr>
          <w:rFonts w:cs="Times New Roman"/>
          <w:b/>
          <w:color w:val="131413"/>
        </w:rPr>
      </w:pPr>
    </w:p>
    <w:p w14:paraId="2D02D6F9" w14:textId="77777777" w:rsidR="009757E0" w:rsidRDefault="009757E0" w:rsidP="009757E0">
      <w:pPr>
        <w:jc w:val="center"/>
        <w:rPr>
          <w:rFonts w:cs="Times New Roman"/>
          <w:b/>
          <w:color w:val="131413"/>
        </w:rPr>
      </w:pPr>
    </w:p>
    <w:p w14:paraId="60FDE91E" w14:textId="77777777" w:rsidR="009757E0" w:rsidRDefault="009757E0" w:rsidP="009757E0">
      <w:pPr>
        <w:jc w:val="center"/>
        <w:rPr>
          <w:rFonts w:cs="Times New Roman"/>
          <w:b/>
          <w:color w:val="131413"/>
        </w:rPr>
      </w:pPr>
    </w:p>
    <w:p w14:paraId="07E51BDD" w14:textId="77777777" w:rsidR="009757E0" w:rsidRDefault="009757E0" w:rsidP="009757E0">
      <w:pPr>
        <w:jc w:val="center"/>
        <w:rPr>
          <w:rFonts w:cs="Times New Roman"/>
          <w:b/>
          <w:color w:val="131413"/>
        </w:rPr>
      </w:pPr>
    </w:p>
    <w:p w14:paraId="7B6A9957" w14:textId="77777777" w:rsidR="009757E0" w:rsidRDefault="009757E0" w:rsidP="009757E0">
      <w:pPr>
        <w:jc w:val="center"/>
        <w:rPr>
          <w:rFonts w:cs="Times New Roman"/>
          <w:b/>
          <w:color w:val="131413"/>
        </w:rPr>
      </w:pPr>
    </w:p>
    <w:p w14:paraId="43899751" w14:textId="77777777" w:rsidR="009757E0" w:rsidRDefault="009757E0" w:rsidP="00DD14E8">
      <w:pPr>
        <w:pStyle w:val="Heading2"/>
      </w:pPr>
      <w:bookmarkStart w:id="143" w:name="_Toc264713588"/>
      <w:bookmarkStart w:id="144" w:name="_Toc264713638"/>
      <w:bookmarkStart w:id="145" w:name="_Toc264967210"/>
      <w:r w:rsidRPr="009757E0">
        <w:t>APPENDIX</w:t>
      </w:r>
      <w:bookmarkStart w:id="146" w:name="_Toc264713589"/>
      <w:bookmarkStart w:id="147" w:name="_Toc264713639"/>
      <w:bookmarkEnd w:id="143"/>
      <w:bookmarkEnd w:id="144"/>
      <w:r w:rsidR="00DD14E8">
        <w:t xml:space="preserve"> </w:t>
      </w:r>
      <w:r w:rsidR="00DD14E8">
        <w:br/>
      </w:r>
      <w:r w:rsidRPr="009757E0">
        <w:t>TABLES AND FIGURES</w:t>
      </w:r>
      <w:bookmarkEnd w:id="146"/>
      <w:bookmarkEnd w:id="147"/>
      <w:bookmarkEnd w:id="145"/>
      <w:r w:rsidR="00326E4D">
        <w:br w:type="page"/>
      </w:r>
    </w:p>
    <w:p w14:paraId="107EC9E2" w14:textId="77777777" w:rsidR="00326E4D" w:rsidRDefault="00326E4D" w:rsidP="00326E4D">
      <w:pPr>
        <w:widowControl w:val="0"/>
        <w:autoSpaceDE w:val="0"/>
        <w:autoSpaceDN w:val="0"/>
        <w:adjustRightInd w:val="0"/>
        <w:rPr>
          <w:rFonts w:cs="Times New Roman"/>
          <w:color w:val="131413"/>
        </w:rPr>
      </w:pPr>
    </w:p>
    <w:p w14:paraId="6B139334" w14:textId="77777777" w:rsidR="00326E4D" w:rsidRDefault="00326E4D" w:rsidP="00326E4D">
      <w:pPr>
        <w:widowControl w:val="0"/>
        <w:autoSpaceDE w:val="0"/>
        <w:autoSpaceDN w:val="0"/>
        <w:adjustRightInd w:val="0"/>
        <w:rPr>
          <w:rFonts w:cs="Times New Roman"/>
          <w:color w:val="131413"/>
        </w:rPr>
      </w:pPr>
      <w:r w:rsidRPr="0054663F">
        <w:rPr>
          <w:rFonts w:cs="Times New Roman"/>
          <w:noProof/>
          <w:color w:val="131413"/>
        </w:rPr>
        <w:drawing>
          <wp:inline distT="0" distB="0" distL="0" distR="0" wp14:anchorId="51DBFC66" wp14:editId="7F6EB542">
            <wp:extent cx="2875442" cy="1677341"/>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6"/>
                    <a:stretch>
                      <a:fillRect/>
                    </a:stretch>
                  </pic:blipFill>
                  <pic:spPr>
                    <a:xfrm>
                      <a:off x="0" y="0"/>
                      <a:ext cx="2875442" cy="1677341"/>
                    </a:xfrm>
                    <a:prstGeom prst="rect">
                      <a:avLst/>
                    </a:prstGeom>
                  </pic:spPr>
                </pic:pic>
              </a:graphicData>
            </a:graphic>
          </wp:inline>
        </w:drawing>
      </w:r>
    </w:p>
    <w:p w14:paraId="69032341" w14:textId="77777777" w:rsidR="000E693C" w:rsidRDefault="000E693C" w:rsidP="000E693C">
      <w:pPr>
        <w:widowControl w:val="0"/>
        <w:autoSpaceDE w:val="0"/>
        <w:autoSpaceDN w:val="0"/>
        <w:adjustRightInd w:val="0"/>
        <w:rPr>
          <w:rFonts w:cs="Times New Roman"/>
          <w:color w:val="131413"/>
        </w:rPr>
      </w:pPr>
      <w:r w:rsidRPr="003A1DC6">
        <w:rPr>
          <w:rFonts w:cs="Times New Roman"/>
          <w:b/>
          <w:color w:val="131413"/>
        </w:rPr>
        <w:t>Figure 4.1.</w:t>
      </w:r>
      <w:r>
        <w:rPr>
          <w:rFonts w:cs="Times New Roman"/>
          <w:color w:val="131413"/>
        </w:rPr>
        <w:t xml:space="preserve"> Generic structure of the </w:t>
      </w:r>
      <w:r>
        <w:rPr>
          <w:rFonts w:cs="Times New Roman"/>
        </w:rPr>
        <w:t>2-benzoylcylohexane-1</w:t>
      </w:r>
      <w:proofErr w:type="gramStart"/>
      <w:r>
        <w:rPr>
          <w:rFonts w:cs="Times New Roman"/>
        </w:rPr>
        <w:t>,3</w:t>
      </w:r>
      <w:proofErr w:type="gramEnd"/>
      <w:r>
        <w:rPr>
          <w:rFonts w:cs="Times New Roman"/>
        </w:rPr>
        <w:t>-dione herbicides.</w:t>
      </w:r>
    </w:p>
    <w:p w14:paraId="386C6E13" w14:textId="77777777" w:rsidR="000E693C" w:rsidRDefault="000E693C" w:rsidP="00326E4D">
      <w:pPr>
        <w:widowControl w:val="0"/>
        <w:autoSpaceDE w:val="0"/>
        <w:autoSpaceDN w:val="0"/>
        <w:adjustRightInd w:val="0"/>
        <w:rPr>
          <w:rFonts w:cs="Times New Roman"/>
          <w:color w:val="131413"/>
        </w:rPr>
      </w:pPr>
    </w:p>
    <w:p w14:paraId="32C7933D" w14:textId="77777777" w:rsidR="00326E4D" w:rsidRDefault="00326E4D" w:rsidP="00326E4D">
      <w:pPr>
        <w:rPr>
          <w:rFonts w:cs="Times New Roman"/>
          <w:color w:val="131413"/>
        </w:rPr>
      </w:pPr>
      <w:r>
        <w:rPr>
          <w:rFonts w:cs="Times New Roman"/>
          <w:color w:val="131413"/>
        </w:rPr>
        <w:br w:type="page"/>
      </w:r>
    </w:p>
    <w:p w14:paraId="2D6857D0" w14:textId="77777777" w:rsidR="00326E4D" w:rsidRDefault="00326E4D" w:rsidP="00326E4D">
      <w:pPr>
        <w:widowControl w:val="0"/>
        <w:autoSpaceDE w:val="0"/>
        <w:autoSpaceDN w:val="0"/>
        <w:adjustRightInd w:val="0"/>
        <w:rPr>
          <w:rFonts w:cs="Times New Roman"/>
          <w:color w:val="131413"/>
        </w:rPr>
      </w:pPr>
      <w:r>
        <w:rPr>
          <w:rFonts w:cs="Times New Roman"/>
          <w:noProof/>
          <w:color w:val="131413"/>
        </w:rPr>
        <w:lastRenderedPageBreak/>
        <w:drawing>
          <wp:inline distT="0" distB="0" distL="0" distR="0" wp14:anchorId="552CADDF" wp14:editId="2E171875">
            <wp:extent cx="2057400" cy="1511559"/>
            <wp:effectExtent l="0" t="0" r="0" b="1270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1511559"/>
                    </a:xfrm>
                    <a:prstGeom prst="rect">
                      <a:avLst/>
                    </a:prstGeom>
                    <a:noFill/>
                    <a:ln>
                      <a:noFill/>
                    </a:ln>
                  </pic:spPr>
                </pic:pic>
              </a:graphicData>
            </a:graphic>
          </wp:inline>
        </w:drawing>
      </w:r>
    </w:p>
    <w:p w14:paraId="16FD9970" w14:textId="77777777" w:rsidR="00326E4D" w:rsidRDefault="00326E4D" w:rsidP="00326E4D">
      <w:pPr>
        <w:rPr>
          <w:rFonts w:cs="Times New Roman"/>
          <w:color w:val="131413"/>
        </w:rPr>
      </w:pPr>
    </w:p>
    <w:p w14:paraId="19F40D1F" w14:textId="77777777" w:rsidR="000E693C" w:rsidRDefault="000E693C" w:rsidP="000E693C">
      <w:pPr>
        <w:widowControl w:val="0"/>
        <w:autoSpaceDE w:val="0"/>
        <w:autoSpaceDN w:val="0"/>
        <w:adjustRightInd w:val="0"/>
        <w:rPr>
          <w:rFonts w:cs="Times New Roman"/>
          <w:color w:val="131413"/>
        </w:rPr>
      </w:pPr>
      <w:r w:rsidRPr="003A1DC6">
        <w:rPr>
          <w:rFonts w:cs="Times New Roman"/>
          <w:b/>
          <w:color w:val="131413"/>
        </w:rPr>
        <w:t>Figure 4.2.</w:t>
      </w:r>
      <w:r>
        <w:rPr>
          <w:rFonts w:cs="Times New Roman"/>
          <w:color w:val="131413"/>
        </w:rPr>
        <w:t xml:space="preserve"> </w:t>
      </w:r>
      <w:proofErr w:type="gramStart"/>
      <w:r>
        <w:rPr>
          <w:rFonts w:cs="Times New Roman"/>
          <w:color w:val="131413"/>
        </w:rPr>
        <w:t>Minimum structural requirement for HPPD inhibitors proposed by Lee et al. (1997).</w:t>
      </w:r>
      <w:proofErr w:type="gramEnd"/>
      <w:r>
        <w:rPr>
          <w:rFonts w:cs="Times New Roman"/>
          <w:color w:val="131413"/>
        </w:rPr>
        <w:t xml:space="preserve"> </w:t>
      </w:r>
    </w:p>
    <w:p w14:paraId="42A810EA" w14:textId="77777777" w:rsidR="000E693C" w:rsidRDefault="000E693C" w:rsidP="00326E4D">
      <w:pPr>
        <w:rPr>
          <w:rFonts w:cs="Times New Roman"/>
          <w:color w:val="131413"/>
        </w:rPr>
        <w:sectPr w:rsidR="000E693C" w:rsidSect="00ED5E8B">
          <w:pgSz w:w="12240" w:h="15840"/>
          <w:pgMar w:top="1440" w:right="1440" w:bottom="1440" w:left="1440" w:header="720" w:footer="720" w:gutter="0"/>
          <w:cols w:space="720"/>
          <w:docGrid w:linePitch="360"/>
        </w:sectPr>
      </w:pPr>
    </w:p>
    <w:p w14:paraId="449DB2C1" w14:textId="77777777" w:rsidR="00326E4D" w:rsidRDefault="00DC17A8" w:rsidP="00600D5D">
      <w:pPr>
        <w:widowControl w:val="0"/>
        <w:autoSpaceDE w:val="0"/>
        <w:autoSpaceDN w:val="0"/>
        <w:adjustRightInd w:val="0"/>
        <w:rPr>
          <w:rFonts w:cs="Times New Roman"/>
          <w:color w:val="131413"/>
        </w:rPr>
      </w:pPr>
      <w:r>
        <w:rPr>
          <w:rFonts w:cs="Times New Roman"/>
          <w:b/>
          <w:color w:val="131413"/>
        </w:rPr>
        <w:lastRenderedPageBreak/>
        <w:t xml:space="preserve">Table </w:t>
      </w:r>
      <w:r w:rsidR="00326E4D">
        <w:rPr>
          <w:rFonts w:cs="Times New Roman"/>
          <w:b/>
          <w:color w:val="131413"/>
        </w:rPr>
        <w:t>4.</w:t>
      </w:r>
      <w:r>
        <w:rPr>
          <w:rFonts w:cs="Times New Roman"/>
          <w:b/>
          <w:color w:val="131413"/>
        </w:rPr>
        <w:t>1</w:t>
      </w:r>
      <w:r w:rsidR="00326E4D" w:rsidRPr="00FC125A">
        <w:rPr>
          <w:rFonts w:cs="Times New Roman"/>
          <w:b/>
          <w:color w:val="131413"/>
        </w:rPr>
        <w:t>.</w:t>
      </w:r>
      <w:r w:rsidR="00326E4D">
        <w:rPr>
          <w:rFonts w:cs="Times New Roman"/>
          <w:color w:val="131413"/>
        </w:rPr>
        <w:t xml:space="preserve"> Visual bleaching 14 days after application of 2-(2,4-</w:t>
      </w:r>
      <w:proofErr w:type="gramStart"/>
      <w:r w:rsidR="00326E4D">
        <w:rPr>
          <w:rFonts w:cs="Times New Roman"/>
          <w:color w:val="131413"/>
        </w:rPr>
        <w:t>dichlorobenzoyl)cyclohexane</w:t>
      </w:r>
      <w:proofErr w:type="gramEnd"/>
      <w:r w:rsidR="00326E4D">
        <w:rPr>
          <w:rFonts w:cs="Times New Roman"/>
          <w:color w:val="131413"/>
        </w:rPr>
        <w:t xml:space="preserve">-1,3-dione derivatives and compound </w:t>
      </w:r>
      <w:r w:rsidR="00326E4D" w:rsidRPr="00AC2BC8">
        <w:rPr>
          <w:rFonts w:cs="Times New Roman"/>
          <w:b/>
          <w:color w:val="131413"/>
        </w:rPr>
        <w:t>7</w:t>
      </w:r>
      <w:r w:rsidR="00326E4D">
        <w:rPr>
          <w:rFonts w:cs="Times New Roman"/>
          <w:color w:val="131413"/>
        </w:rPr>
        <w:t>, 2-(2,4-dichlorobenzoyl)cycloheptane-1,3-dione. Compounds were applied at 2500 and 500 g ha</w:t>
      </w:r>
      <w:r w:rsidR="00326E4D" w:rsidRPr="00FC125A">
        <w:rPr>
          <w:rFonts w:cs="Times New Roman"/>
          <w:color w:val="131413"/>
          <w:vertAlign w:val="superscript"/>
        </w:rPr>
        <w:t>-1</w:t>
      </w:r>
      <w:r w:rsidR="00326E4D">
        <w:rPr>
          <w:rFonts w:cs="Times New Roman"/>
          <w:color w:val="131413"/>
        </w:rPr>
        <w:t xml:space="preserve">. </w:t>
      </w:r>
      <w:r w:rsidR="00326E4D">
        <w:rPr>
          <w:rFonts w:cs="Times New Roman"/>
        </w:rPr>
        <w:t>Compounds were dissolved in 3 mL acetone and mixed with 14.5 mL of water carrier and crop-oil concentrate (1% v/v) immediately prior to application.</w:t>
      </w:r>
    </w:p>
    <w:p w14:paraId="70DF7678" w14:textId="77777777" w:rsidR="00326E4D" w:rsidRDefault="00727411" w:rsidP="00F85556">
      <w:pPr>
        <w:widowControl w:val="0"/>
        <w:autoSpaceDE w:val="0"/>
        <w:autoSpaceDN w:val="0"/>
        <w:adjustRightInd w:val="0"/>
        <w:rPr>
          <w:rFonts w:cs="Times New Roman"/>
          <w:color w:val="131413"/>
        </w:rPr>
      </w:pPr>
      <w:r>
        <w:rPr>
          <w:rFonts w:cs="Times New Roman"/>
          <w:noProof/>
          <w:color w:val="131413"/>
        </w:rPr>
        <mc:AlternateContent>
          <mc:Choice Requires="wpg">
            <w:drawing>
              <wp:inline distT="0" distB="0" distL="0" distR="0" wp14:anchorId="47120F2E" wp14:editId="1ADD26EA">
                <wp:extent cx="1543685" cy="665480"/>
                <wp:effectExtent l="0" t="0" r="5715" b="0"/>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3685" cy="665480"/>
                          <a:chOff x="0" y="0"/>
                          <a:chExt cx="2388348" cy="1117715"/>
                        </a:xfrm>
                      </wpg:grpSpPr>
                      <pic:pic xmlns:pic="http://schemas.openxmlformats.org/drawingml/2006/picture">
                        <pic:nvPicPr>
                          <pic:cNvPr id="8" name="Picture 8"/>
                          <pic:cNvPicPr>
                            <a:picLocks noChangeAspect="1"/>
                          </pic:cNvPicPr>
                        </pic:nvPicPr>
                        <pic:blipFill>
                          <a:blip r:embed="rId18"/>
                          <a:stretch>
                            <a:fillRect/>
                          </a:stretch>
                        </pic:blipFill>
                        <pic:spPr>
                          <a:xfrm>
                            <a:off x="496048" y="0"/>
                            <a:ext cx="1892300" cy="977900"/>
                          </a:xfrm>
                          <a:prstGeom prst="rect">
                            <a:avLst/>
                          </a:prstGeom>
                        </pic:spPr>
                      </pic:pic>
                      <wps:wsp>
                        <wps:cNvPr id="2" name="Text Box 9"/>
                        <wps:cNvSpPr txBox="1"/>
                        <wps:spPr>
                          <a:xfrm>
                            <a:off x="0" y="420485"/>
                            <a:ext cx="716915" cy="697230"/>
                          </a:xfrm>
                          <a:prstGeom prst="rect">
                            <a:avLst/>
                          </a:prstGeom>
                          <a:noFill/>
                        </wps:spPr>
                        <wps:txbx>
                          <w:txbxContent>
                            <w:p w14:paraId="03BA33CB" w14:textId="77777777" w:rsidR="007B15FB" w:rsidRPr="00600D5D" w:rsidRDefault="007B15FB" w:rsidP="00326E4D">
                              <w:pPr>
                                <w:pStyle w:val="NormalWeb"/>
                                <w:spacing w:before="0" w:beforeAutospacing="0" w:after="0" w:afterAutospacing="0"/>
                                <w:rPr>
                                  <w:sz w:val="28"/>
                                  <w:szCs w:val="28"/>
                                </w:rPr>
                              </w:pPr>
                              <w:r w:rsidRPr="00593703">
                                <w:rPr>
                                  <w:rFonts w:ascii="Helvetica" w:hAnsi="Helvetica" w:cs="Helvetica"/>
                                  <w:color w:val="000000" w:themeColor="text1"/>
                                  <w:kern w:val="24"/>
                                </w:rPr>
                                <w:t>(</w:t>
                              </w:r>
                              <w:r w:rsidRPr="00593703">
                                <w:rPr>
                                  <w:rFonts w:ascii="Helvetica" w:hAnsi="Helvetica" w:cs="Helvetica"/>
                                  <w:color w:val="000000" w:themeColor="text1"/>
                                  <w:kern w:val="24"/>
                                  <w:sz w:val="22"/>
                                  <w:szCs w:val="22"/>
                                </w:rPr>
                                <w:t>Y)</w:t>
                              </w:r>
                              <w:r w:rsidRPr="00593703">
                                <w:rPr>
                                  <w:rFonts w:ascii="Helvetica" w:hAnsi="Helvetica" w:cs="Helvetica"/>
                                  <w:color w:val="000000" w:themeColor="text1"/>
                                  <w:kern w:val="24"/>
                                  <w:position w:val="-9"/>
                                  <w:sz w:val="22"/>
                                  <w:szCs w:val="22"/>
                                  <w:vertAlign w:val="subscript"/>
                                </w:rPr>
                                <w:t>m</w:t>
                              </w:r>
                            </w:p>
                          </w:txbxContent>
                        </wps:txbx>
                        <wps:bodyPr wrap="square" rtlCol="0">
                          <a:noAutofit/>
                        </wps:bodyPr>
                      </wps:wsp>
                    </wpg:wgp>
                  </a:graphicData>
                </a:graphic>
              </wp:inline>
            </w:drawing>
          </mc:Choice>
          <mc:Fallback>
            <w:pict>
              <v:group id="Group 5" o:spid="_x0000_s1026" style="width:121.55pt;height:52.4pt;mso-position-horizontal-relative:char;mso-position-vertical-relative:line" coordsize="2388348,111771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496048;width:1892300;height:9779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Ax&#10;hfTBAAAA2gAAAA8AAABkcnMvZG93bnJldi54bWxET91qwjAUvh/sHcIZ7G6mDiajmpYqiNuNMvUB&#10;zprTpqw5KU1quz79cjHw8uP73+STbcWNet84VrBcJCCIS6cbrhVcL/uXdxA+IGtsHZOCX/KQZ48P&#10;G0y1G/mLbudQixjCPkUFJoQuldKXhiz6heuII1e53mKIsK+l7nGM4baVr0mykhYbjg0GO9oZKn/O&#10;g1UwDMVlX60Oh7ft7lge3ff8aU6zUs9PU7EGEWgKd/G/+0MriFvjlXgDZPYH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IAxhfTBAAAA2gAAAA8AAAAAAAAAAAAAAAAAnAIAAGRy&#10;cy9kb3ducmV2LnhtbFBLBQYAAAAABAAEAPcAAACKAwAAAAA=&#10;">
                  <v:imagedata r:id="rId19" o:title=""/>
                  <v:path arrowok="t"/>
                </v:shape>
                <v:shapetype id="_x0000_t202" coordsize="21600,21600" o:spt="202" path="m0,0l0,21600,21600,21600,21600,0xe">
                  <v:stroke joinstyle="miter"/>
                  <v:path gradientshapeok="t" o:connecttype="rect"/>
                </v:shapetype>
                <v:shape id="Text Box 9" o:spid="_x0000_s1028" type="#_x0000_t202" style="position:absolute;top:420485;width:716915;height:6972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k60owQAA&#10;ANoAAAAPAAAAZHJzL2Rvd25yZXYueG1sRI9Pi8IwFMTvgt8hPMGbJoqKW40iuwieFP/swt4ezbMt&#10;Ni+libZ+e7Ow4HGYmd8wy3VrS/Gg2heONYyGCgRx6kzBmYbLeTuYg/AB2WDpmDQ8ycN61e0sMTGu&#10;4SM9TiETEcI+QQ15CFUipU9zsuiHriKO3tXVFkOUdSZNjU2E21KOlZpJiwXHhRwr+swpvZ3uVsP3&#10;/vr7M1GH7MtOq8a1SrL9kFr3e+1mASJQG97h//bOaBjD35V4A+Tq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OpOtKMEAAADaAAAADwAAAAAAAAAAAAAAAACXAgAAZHJzL2Rvd25y&#10;ZXYueG1sUEsFBgAAAAAEAAQA9QAAAIUDAAAAAA==&#10;" filled="f" stroked="f">
                  <v:textbox>
                    <w:txbxContent>
                      <w:p w14:paraId="03BA33CB" w14:textId="77777777" w:rsidR="007B15FB" w:rsidRPr="00600D5D" w:rsidRDefault="007B15FB" w:rsidP="00326E4D">
                        <w:pPr>
                          <w:pStyle w:val="NormalWeb"/>
                          <w:spacing w:before="0" w:beforeAutospacing="0" w:after="0" w:afterAutospacing="0"/>
                          <w:rPr>
                            <w:sz w:val="28"/>
                            <w:szCs w:val="28"/>
                          </w:rPr>
                        </w:pPr>
                        <w:r w:rsidRPr="00593703">
                          <w:rPr>
                            <w:rFonts w:ascii="Helvetica" w:hAnsi="Helvetica" w:cs="Helvetica"/>
                            <w:color w:val="000000" w:themeColor="text1"/>
                            <w:kern w:val="24"/>
                          </w:rPr>
                          <w:t>(</w:t>
                        </w:r>
                        <w:r w:rsidRPr="00593703">
                          <w:rPr>
                            <w:rFonts w:ascii="Helvetica" w:hAnsi="Helvetica" w:cs="Helvetica"/>
                            <w:color w:val="000000" w:themeColor="text1"/>
                            <w:kern w:val="24"/>
                            <w:sz w:val="22"/>
                            <w:szCs w:val="22"/>
                          </w:rPr>
                          <w:t>Y)</w:t>
                        </w:r>
                        <w:r w:rsidRPr="00593703">
                          <w:rPr>
                            <w:rFonts w:ascii="Helvetica" w:hAnsi="Helvetica" w:cs="Helvetica"/>
                            <w:color w:val="000000" w:themeColor="text1"/>
                            <w:kern w:val="24"/>
                            <w:position w:val="-9"/>
                            <w:sz w:val="22"/>
                            <w:szCs w:val="22"/>
                            <w:vertAlign w:val="subscript"/>
                          </w:rPr>
                          <w:t>m</w:t>
                        </w:r>
                      </w:p>
                    </w:txbxContent>
                  </v:textbox>
                </v:shape>
                <w10:anchorlock/>
              </v:group>
            </w:pict>
          </mc:Fallback>
        </mc:AlternateContent>
      </w:r>
    </w:p>
    <w:tbl>
      <w:tblPr>
        <w:tblW w:w="12438" w:type="dxa"/>
        <w:tblLayout w:type="fixed"/>
        <w:tblLook w:val="04A0" w:firstRow="1" w:lastRow="0" w:firstColumn="1" w:lastColumn="0" w:noHBand="0" w:noVBand="1"/>
      </w:tblPr>
      <w:tblGrid>
        <w:gridCol w:w="528"/>
        <w:gridCol w:w="1196"/>
        <w:gridCol w:w="718"/>
        <w:gridCol w:w="907"/>
        <w:gridCol w:w="908"/>
        <w:gridCol w:w="909"/>
        <w:gridCol w:w="908"/>
        <w:gridCol w:w="909"/>
        <w:gridCol w:w="909"/>
        <w:gridCol w:w="909"/>
        <w:gridCol w:w="908"/>
        <w:gridCol w:w="909"/>
        <w:gridCol w:w="911"/>
        <w:gridCol w:w="909"/>
      </w:tblGrid>
      <w:tr w:rsidR="00326E4D" w:rsidRPr="00F85556" w14:paraId="2C4E67E0" w14:textId="77777777">
        <w:tc>
          <w:tcPr>
            <w:tcW w:w="529" w:type="dxa"/>
            <w:tcBorders>
              <w:top w:val="single" w:sz="4" w:space="0" w:color="auto"/>
              <w:left w:val="nil"/>
              <w:bottom w:val="single" w:sz="4" w:space="0" w:color="auto"/>
              <w:right w:val="nil"/>
            </w:tcBorders>
          </w:tcPr>
          <w:p w14:paraId="47D0CA10" w14:textId="77777777" w:rsidR="00326E4D" w:rsidRPr="00F85556" w:rsidRDefault="00326E4D" w:rsidP="00AC2853">
            <w:pPr>
              <w:widowControl w:val="0"/>
              <w:autoSpaceDE w:val="0"/>
              <w:autoSpaceDN w:val="0"/>
              <w:adjustRightInd w:val="0"/>
              <w:spacing w:line="240" w:lineRule="auto"/>
              <w:jc w:val="center"/>
              <w:rPr>
                <w:rFonts w:cs="Times New Roman"/>
                <w:color w:val="131413"/>
                <w:sz w:val="20"/>
                <w:szCs w:val="20"/>
              </w:rPr>
            </w:pPr>
            <w:r w:rsidRPr="00F85556">
              <w:rPr>
                <w:rFonts w:cs="Times New Roman"/>
                <w:color w:val="131413"/>
                <w:sz w:val="20"/>
                <w:szCs w:val="20"/>
              </w:rPr>
              <w:t>No.</w:t>
            </w:r>
          </w:p>
        </w:tc>
        <w:tc>
          <w:tcPr>
            <w:tcW w:w="1197" w:type="dxa"/>
            <w:tcBorders>
              <w:top w:val="single" w:sz="4" w:space="0" w:color="auto"/>
              <w:left w:val="nil"/>
              <w:bottom w:val="single" w:sz="4" w:space="0" w:color="auto"/>
              <w:right w:val="nil"/>
            </w:tcBorders>
          </w:tcPr>
          <w:p w14:paraId="2FE4940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w:t>
            </w:r>
            <w:proofErr w:type="gramStart"/>
            <w:r w:rsidRPr="00F85556">
              <w:rPr>
                <w:rFonts w:cs="Times New Roman"/>
                <w:color w:val="131413"/>
                <w:sz w:val="20"/>
                <w:szCs w:val="20"/>
              </w:rPr>
              <w:t>Y)</w:t>
            </w:r>
            <w:r w:rsidRPr="00F85556">
              <w:rPr>
                <w:rFonts w:cs="Times New Roman"/>
                <w:color w:val="131413"/>
                <w:sz w:val="20"/>
                <w:szCs w:val="20"/>
                <w:vertAlign w:val="subscript"/>
              </w:rPr>
              <w:t>m</w:t>
            </w:r>
            <w:proofErr w:type="gramEnd"/>
          </w:p>
        </w:tc>
        <w:tc>
          <w:tcPr>
            <w:tcW w:w="719" w:type="dxa"/>
            <w:tcBorders>
              <w:top w:val="single" w:sz="4" w:space="0" w:color="auto"/>
              <w:left w:val="nil"/>
              <w:bottom w:val="single" w:sz="4" w:space="0" w:color="auto"/>
              <w:right w:val="nil"/>
            </w:tcBorders>
          </w:tcPr>
          <w:p w14:paraId="6F0F2CE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Rate</w:t>
            </w:r>
          </w:p>
        </w:tc>
        <w:tc>
          <w:tcPr>
            <w:tcW w:w="908" w:type="dxa"/>
            <w:tcBorders>
              <w:top w:val="single" w:sz="4" w:space="0" w:color="auto"/>
              <w:left w:val="nil"/>
              <w:bottom w:val="single" w:sz="4" w:space="0" w:color="auto"/>
              <w:right w:val="nil"/>
            </w:tcBorders>
          </w:tcPr>
          <w:p w14:paraId="34397BE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DIGSA</w:t>
            </w:r>
            <w:r w:rsidRPr="00F85556">
              <w:rPr>
                <w:rFonts w:cs="Times New Roman"/>
                <w:color w:val="131413"/>
                <w:sz w:val="20"/>
                <w:szCs w:val="20"/>
                <w:vertAlign w:val="superscript"/>
              </w:rPr>
              <w:t>a</w:t>
            </w:r>
          </w:p>
        </w:tc>
        <w:tc>
          <w:tcPr>
            <w:tcW w:w="908" w:type="dxa"/>
            <w:tcBorders>
              <w:top w:val="single" w:sz="4" w:space="0" w:color="auto"/>
              <w:left w:val="nil"/>
              <w:bottom w:val="single" w:sz="4" w:space="0" w:color="auto"/>
              <w:right w:val="nil"/>
            </w:tcBorders>
          </w:tcPr>
          <w:p w14:paraId="1C52D70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ELEIN</w:t>
            </w:r>
          </w:p>
        </w:tc>
        <w:tc>
          <w:tcPr>
            <w:tcW w:w="909" w:type="dxa"/>
            <w:tcBorders>
              <w:top w:val="single" w:sz="4" w:space="0" w:color="auto"/>
              <w:left w:val="nil"/>
              <w:bottom w:val="single" w:sz="4" w:space="0" w:color="auto"/>
              <w:right w:val="nil"/>
            </w:tcBorders>
          </w:tcPr>
          <w:p w14:paraId="31103BC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AGSST</w:t>
            </w:r>
          </w:p>
        </w:tc>
        <w:tc>
          <w:tcPr>
            <w:tcW w:w="908" w:type="dxa"/>
            <w:tcBorders>
              <w:top w:val="single" w:sz="4" w:space="0" w:color="auto"/>
              <w:left w:val="nil"/>
              <w:bottom w:val="single" w:sz="4" w:space="0" w:color="auto"/>
              <w:right w:val="nil"/>
            </w:tcBorders>
          </w:tcPr>
          <w:p w14:paraId="56D1198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POAPR</w:t>
            </w:r>
          </w:p>
        </w:tc>
        <w:tc>
          <w:tcPr>
            <w:tcW w:w="909" w:type="dxa"/>
            <w:tcBorders>
              <w:top w:val="single" w:sz="4" w:space="0" w:color="auto"/>
              <w:left w:val="nil"/>
              <w:bottom w:val="single" w:sz="4" w:space="0" w:color="auto"/>
              <w:right w:val="nil"/>
            </w:tcBorders>
          </w:tcPr>
          <w:p w14:paraId="2ECD35A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POAAN</w:t>
            </w:r>
          </w:p>
        </w:tc>
        <w:tc>
          <w:tcPr>
            <w:tcW w:w="908" w:type="dxa"/>
            <w:tcBorders>
              <w:top w:val="single" w:sz="4" w:space="0" w:color="auto"/>
              <w:left w:val="nil"/>
              <w:bottom w:val="single" w:sz="4" w:space="0" w:color="auto"/>
              <w:right w:val="nil"/>
            </w:tcBorders>
          </w:tcPr>
          <w:p w14:paraId="118FE07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CYPES</w:t>
            </w:r>
          </w:p>
        </w:tc>
        <w:tc>
          <w:tcPr>
            <w:tcW w:w="909" w:type="dxa"/>
            <w:tcBorders>
              <w:top w:val="single" w:sz="4" w:space="0" w:color="auto"/>
              <w:left w:val="nil"/>
              <w:bottom w:val="single" w:sz="4" w:space="0" w:color="auto"/>
              <w:right w:val="nil"/>
            </w:tcBorders>
          </w:tcPr>
          <w:p w14:paraId="57A33A2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TRIRE</w:t>
            </w:r>
          </w:p>
        </w:tc>
        <w:tc>
          <w:tcPr>
            <w:tcW w:w="908" w:type="dxa"/>
            <w:tcBorders>
              <w:top w:val="single" w:sz="4" w:space="0" w:color="auto"/>
              <w:left w:val="nil"/>
              <w:bottom w:val="single" w:sz="4" w:space="0" w:color="auto"/>
              <w:right w:val="nil"/>
            </w:tcBorders>
          </w:tcPr>
          <w:p w14:paraId="2BFACCD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STEME</w:t>
            </w:r>
          </w:p>
        </w:tc>
        <w:tc>
          <w:tcPr>
            <w:tcW w:w="909" w:type="dxa"/>
            <w:tcBorders>
              <w:top w:val="single" w:sz="4" w:space="0" w:color="auto"/>
              <w:left w:val="nil"/>
              <w:bottom w:val="single" w:sz="4" w:space="0" w:color="auto"/>
              <w:right w:val="nil"/>
            </w:tcBorders>
          </w:tcPr>
          <w:p w14:paraId="4F91832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DIGSA (PRE)</w:t>
            </w:r>
          </w:p>
        </w:tc>
        <w:tc>
          <w:tcPr>
            <w:tcW w:w="908" w:type="dxa"/>
            <w:tcBorders>
              <w:top w:val="single" w:sz="4" w:space="0" w:color="auto"/>
              <w:left w:val="nil"/>
              <w:bottom w:val="single" w:sz="4" w:space="0" w:color="auto"/>
              <w:right w:val="nil"/>
            </w:tcBorders>
          </w:tcPr>
          <w:p w14:paraId="1C60BB8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ELEIN (PRE)</w:t>
            </w:r>
          </w:p>
        </w:tc>
        <w:tc>
          <w:tcPr>
            <w:tcW w:w="909" w:type="dxa"/>
            <w:tcBorders>
              <w:top w:val="single" w:sz="4" w:space="0" w:color="auto"/>
              <w:left w:val="nil"/>
              <w:bottom w:val="single" w:sz="4" w:space="0" w:color="auto"/>
              <w:right w:val="nil"/>
            </w:tcBorders>
          </w:tcPr>
          <w:p w14:paraId="4607979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roofErr w:type="gramStart"/>
            <w:r w:rsidRPr="00F85556">
              <w:rPr>
                <w:rFonts w:cs="Times New Roman"/>
                <w:color w:val="131413"/>
                <w:sz w:val="20"/>
                <w:szCs w:val="20"/>
              </w:rPr>
              <w:t>STEME(</w:t>
            </w:r>
            <w:proofErr w:type="gramEnd"/>
            <w:r w:rsidRPr="00F85556">
              <w:rPr>
                <w:rFonts w:cs="Times New Roman"/>
                <w:color w:val="131413"/>
                <w:sz w:val="20"/>
                <w:szCs w:val="20"/>
              </w:rPr>
              <w:t>PRE)</w:t>
            </w:r>
          </w:p>
        </w:tc>
      </w:tr>
      <w:tr w:rsidR="00326E4D" w:rsidRPr="00F85556" w14:paraId="72D779BF" w14:textId="77777777">
        <w:tc>
          <w:tcPr>
            <w:tcW w:w="529" w:type="dxa"/>
            <w:tcBorders>
              <w:top w:val="single" w:sz="4" w:space="0" w:color="auto"/>
              <w:left w:val="nil"/>
              <w:bottom w:val="nil"/>
              <w:right w:val="nil"/>
            </w:tcBorders>
          </w:tcPr>
          <w:p w14:paraId="56F3B9D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1197" w:type="dxa"/>
            <w:tcBorders>
              <w:top w:val="single" w:sz="4" w:space="0" w:color="auto"/>
              <w:left w:val="nil"/>
              <w:bottom w:val="nil"/>
              <w:right w:val="nil"/>
            </w:tcBorders>
          </w:tcPr>
          <w:p w14:paraId="5F2C5EA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719" w:type="dxa"/>
            <w:tcBorders>
              <w:top w:val="single" w:sz="4" w:space="0" w:color="auto"/>
              <w:left w:val="nil"/>
              <w:bottom w:val="nil"/>
              <w:right w:val="nil"/>
            </w:tcBorders>
          </w:tcPr>
          <w:p w14:paraId="4438947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vertAlign w:val="superscript"/>
              </w:rPr>
            </w:pPr>
            <w:proofErr w:type="gramStart"/>
            <w:r w:rsidRPr="00F85556">
              <w:rPr>
                <w:rFonts w:cs="Times New Roman"/>
                <w:color w:val="131413"/>
                <w:sz w:val="20"/>
                <w:szCs w:val="20"/>
              </w:rPr>
              <w:t>g</w:t>
            </w:r>
            <w:proofErr w:type="gramEnd"/>
            <w:r w:rsidRPr="00F85556">
              <w:rPr>
                <w:rFonts w:cs="Times New Roman"/>
                <w:color w:val="131413"/>
                <w:sz w:val="20"/>
                <w:szCs w:val="20"/>
              </w:rPr>
              <w:t xml:space="preserve"> ha</w:t>
            </w:r>
            <w:r w:rsidRPr="00F85556">
              <w:rPr>
                <w:rFonts w:cs="Times New Roman"/>
                <w:color w:val="131413"/>
                <w:sz w:val="20"/>
                <w:szCs w:val="20"/>
                <w:vertAlign w:val="superscript"/>
              </w:rPr>
              <w:t>-1</w:t>
            </w:r>
          </w:p>
        </w:tc>
        <w:tc>
          <w:tcPr>
            <w:tcW w:w="9993" w:type="dxa"/>
            <w:gridSpan w:val="11"/>
            <w:tcBorders>
              <w:top w:val="single" w:sz="4" w:space="0" w:color="auto"/>
              <w:left w:val="nil"/>
              <w:bottom w:val="nil"/>
              <w:right w:val="nil"/>
            </w:tcBorders>
          </w:tcPr>
          <w:p w14:paraId="49A5A5D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vertAlign w:val="superscript"/>
              </w:rPr>
            </w:pPr>
            <w:r w:rsidRPr="00F85556">
              <w:rPr>
                <w:rFonts w:cs="Times New Roman"/>
                <w:color w:val="131413"/>
                <w:sz w:val="20"/>
                <w:szCs w:val="20"/>
                <w:vertAlign w:val="superscript"/>
              </w:rPr>
              <w:t>_______________________________________</w:t>
            </w:r>
            <w:r w:rsidRPr="00F85556">
              <w:rPr>
                <w:rFonts w:cs="Times New Roman"/>
                <w:color w:val="131413"/>
                <w:sz w:val="20"/>
                <w:szCs w:val="20"/>
              </w:rPr>
              <w:t>% Visual Bleaching and Necrosis</w:t>
            </w:r>
            <w:r w:rsidRPr="00F85556">
              <w:rPr>
                <w:rFonts w:cs="Times New Roman"/>
                <w:color w:val="131413"/>
                <w:sz w:val="20"/>
                <w:szCs w:val="20"/>
                <w:vertAlign w:val="superscript"/>
              </w:rPr>
              <w:t>_______________________________________</w:t>
            </w:r>
          </w:p>
        </w:tc>
      </w:tr>
      <w:tr w:rsidR="00326E4D" w:rsidRPr="00F85556" w14:paraId="1333F7BD" w14:textId="77777777">
        <w:trPr>
          <w:trHeight w:val="100"/>
        </w:trPr>
        <w:tc>
          <w:tcPr>
            <w:tcW w:w="529" w:type="dxa"/>
            <w:vMerge w:val="restart"/>
            <w:tcBorders>
              <w:top w:val="nil"/>
              <w:left w:val="nil"/>
              <w:bottom w:val="nil"/>
              <w:right w:val="nil"/>
            </w:tcBorders>
          </w:tcPr>
          <w:p w14:paraId="4F669C6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w:t>
            </w:r>
          </w:p>
        </w:tc>
        <w:tc>
          <w:tcPr>
            <w:tcW w:w="1197" w:type="dxa"/>
            <w:vMerge w:val="restart"/>
            <w:tcBorders>
              <w:top w:val="nil"/>
              <w:left w:val="nil"/>
              <w:bottom w:val="nil"/>
              <w:right w:val="nil"/>
            </w:tcBorders>
          </w:tcPr>
          <w:p w14:paraId="2E8A292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w:t>
            </w:r>
          </w:p>
        </w:tc>
        <w:tc>
          <w:tcPr>
            <w:tcW w:w="719" w:type="dxa"/>
            <w:tcBorders>
              <w:top w:val="nil"/>
              <w:left w:val="nil"/>
              <w:bottom w:val="nil"/>
              <w:right w:val="nil"/>
            </w:tcBorders>
          </w:tcPr>
          <w:p w14:paraId="055996F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2500</w:t>
            </w:r>
          </w:p>
        </w:tc>
        <w:tc>
          <w:tcPr>
            <w:tcW w:w="908" w:type="dxa"/>
            <w:tcBorders>
              <w:top w:val="nil"/>
              <w:left w:val="nil"/>
              <w:bottom w:val="nil"/>
              <w:right w:val="nil"/>
            </w:tcBorders>
          </w:tcPr>
          <w:p w14:paraId="5900198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73E02D8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7A406E6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14D98E0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792AD6E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7B82F10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908" w:type="dxa"/>
            <w:tcBorders>
              <w:top w:val="nil"/>
              <w:left w:val="nil"/>
              <w:bottom w:val="nil"/>
              <w:right w:val="nil"/>
            </w:tcBorders>
          </w:tcPr>
          <w:p w14:paraId="69663BE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908" w:type="dxa"/>
            <w:tcBorders>
              <w:top w:val="nil"/>
              <w:left w:val="nil"/>
              <w:bottom w:val="nil"/>
              <w:right w:val="nil"/>
            </w:tcBorders>
          </w:tcPr>
          <w:p w14:paraId="12146E4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34D7421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17</w:t>
            </w:r>
          </w:p>
        </w:tc>
        <w:tc>
          <w:tcPr>
            <w:tcW w:w="911" w:type="dxa"/>
            <w:tcBorders>
              <w:top w:val="nil"/>
              <w:left w:val="nil"/>
              <w:bottom w:val="nil"/>
              <w:right w:val="nil"/>
            </w:tcBorders>
          </w:tcPr>
          <w:p w14:paraId="410FD50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176B875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6C35A651" w14:textId="77777777">
        <w:trPr>
          <w:trHeight w:val="100"/>
        </w:trPr>
        <w:tc>
          <w:tcPr>
            <w:tcW w:w="529" w:type="dxa"/>
            <w:vMerge/>
            <w:tcBorders>
              <w:top w:val="nil"/>
              <w:left w:val="nil"/>
              <w:bottom w:val="nil"/>
              <w:right w:val="nil"/>
            </w:tcBorders>
          </w:tcPr>
          <w:p w14:paraId="4BB3CD0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1197" w:type="dxa"/>
            <w:vMerge/>
            <w:tcBorders>
              <w:top w:val="nil"/>
              <w:left w:val="nil"/>
              <w:bottom w:val="nil"/>
              <w:right w:val="nil"/>
            </w:tcBorders>
          </w:tcPr>
          <w:p w14:paraId="4BCE38D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719" w:type="dxa"/>
            <w:tcBorders>
              <w:top w:val="nil"/>
              <w:left w:val="nil"/>
              <w:bottom w:val="nil"/>
              <w:right w:val="nil"/>
            </w:tcBorders>
          </w:tcPr>
          <w:p w14:paraId="4166CCF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500</w:t>
            </w:r>
          </w:p>
        </w:tc>
        <w:tc>
          <w:tcPr>
            <w:tcW w:w="908" w:type="dxa"/>
            <w:tcBorders>
              <w:top w:val="nil"/>
              <w:left w:val="nil"/>
              <w:bottom w:val="nil"/>
              <w:right w:val="nil"/>
            </w:tcBorders>
          </w:tcPr>
          <w:p w14:paraId="1FD2298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13</w:t>
            </w:r>
          </w:p>
        </w:tc>
        <w:tc>
          <w:tcPr>
            <w:tcW w:w="908" w:type="dxa"/>
            <w:tcBorders>
              <w:top w:val="nil"/>
              <w:left w:val="nil"/>
              <w:bottom w:val="nil"/>
              <w:right w:val="nil"/>
            </w:tcBorders>
          </w:tcPr>
          <w:p w14:paraId="5C8FD4F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14E9048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4A5FAD3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5385390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38EA7D4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23</w:t>
            </w:r>
          </w:p>
        </w:tc>
        <w:tc>
          <w:tcPr>
            <w:tcW w:w="908" w:type="dxa"/>
            <w:tcBorders>
              <w:top w:val="nil"/>
              <w:left w:val="nil"/>
              <w:bottom w:val="nil"/>
              <w:right w:val="nil"/>
            </w:tcBorders>
          </w:tcPr>
          <w:p w14:paraId="16D56A5C"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145E032C"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3</w:t>
            </w:r>
          </w:p>
        </w:tc>
        <w:tc>
          <w:tcPr>
            <w:tcW w:w="908" w:type="dxa"/>
            <w:tcBorders>
              <w:top w:val="nil"/>
              <w:left w:val="nil"/>
              <w:bottom w:val="nil"/>
              <w:right w:val="nil"/>
            </w:tcBorders>
          </w:tcPr>
          <w:p w14:paraId="75AC67D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7219113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46B6C1C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3A6833AC" w14:textId="77777777">
        <w:trPr>
          <w:trHeight w:val="100"/>
        </w:trPr>
        <w:tc>
          <w:tcPr>
            <w:tcW w:w="529" w:type="dxa"/>
            <w:vMerge w:val="restart"/>
            <w:tcBorders>
              <w:top w:val="nil"/>
              <w:left w:val="nil"/>
              <w:bottom w:val="nil"/>
              <w:right w:val="nil"/>
            </w:tcBorders>
          </w:tcPr>
          <w:p w14:paraId="613A714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w:t>
            </w:r>
          </w:p>
        </w:tc>
        <w:tc>
          <w:tcPr>
            <w:tcW w:w="1197" w:type="dxa"/>
            <w:vMerge w:val="restart"/>
            <w:tcBorders>
              <w:top w:val="nil"/>
              <w:left w:val="nil"/>
              <w:bottom w:val="nil"/>
              <w:right w:val="nil"/>
            </w:tcBorders>
          </w:tcPr>
          <w:p w14:paraId="1A179FF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4,4-(</w:t>
            </w:r>
            <w:proofErr w:type="gramStart"/>
            <w:r w:rsidRPr="00F85556">
              <w:rPr>
                <w:rFonts w:cs="Times New Roman"/>
                <w:color w:val="131413"/>
                <w:sz w:val="20"/>
                <w:szCs w:val="20"/>
              </w:rPr>
              <w:t>CH</w:t>
            </w:r>
            <w:r w:rsidRPr="00F85556">
              <w:rPr>
                <w:rFonts w:cs="Times New Roman"/>
                <w:color w:val="131413"/>
                <w:sz w:val="20"/>
                <w:szCs w:val="20"/>
                <w:vertAlign w:val="subscript"/>
              </w:rPr>
              <w:t>3</w:t>
            </w:r>
            <w:r w:rsidRPr="00F85556">
              <w:rPr>
                <w:rFonts w:cs="Times New Roman"/>
                <w:color w:val="131413"/>
                <w:sz w:val="20"/>
                <w:szCs w:val="20"/>
              </w:rPr>
              <w:t>)</w:t>
            </w:r>
            <w:r w:rsidRPr="00F85556">
              <w:rPr>
                <w:rFonts w:cs="Times New Roman"/>
                <w:color w:val="131413"/>
                <w:sz w:val="20"/>
                <w:szCs w:val="20"/>
                <w:vertAlign w:val="subscript"/>
              </w:rPr>
              <w:t>2</w:t>
            </w:r>
            <w:proofErr w:type="gramEnd"/>
          </w:p>
        </w:tc>
        <w:tc>
          <w:tcPr>
            <w:tcW w:w="719" w:type="dxa"/>
            <w:tcBorders>
              <w:top w:val="nil"/>
              <w:left w:val="nil"/>
              <w:bottom w:val="nil"/>
              <w:right w:val="nil"/>
            </w:tcBorders>
          </w:tcPr>
          <w:p w14:paraId="17604F9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2500</w:t>
            </w:r>
          </w:p>
        </w:tc>
        <w:tc>
          <w:tcPr>
            <w:tcW w:w="908" w:type="dxa"/>
            <w:tcBorders>
              <w:top w:val="nil"/>
              <w:left w:val="nil"/>
              <w:bottom w:val="nil"/>
              <w:right w:val="nil"/>
            </w:tcBorders>
          </w:tcPr>
          <w:p w14:paraId="64D97E8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3</w:t>
            </w:r>
          </w:p>
        </w:tc>
        <w:tc>
          <w:tcPr>
            <w:tcW w:w="908" w:type="dxa"/>
            <w:tcBorders>
              <w:top w:val="nil"/>
              <w:left w:val="nil"/>
              <w:bottom w:val="nil"/>
              <w:right w:val="nil"/>
            </w:tcBorders>
          </w:tcPr>
          <w:p w14:paraId="06D745B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908" w:type="dxa"/>
            <w:tcBorders>
              <w:top w:val="nil"/>
              <w:left w:val="nil"/>
              <w:bottom w:val="nil"/>
              <w:right w:val="nil"/>
            </w:tcBorders>
          </w:tcPr>
          <w:p w14:paraId="0B99C34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24E4B60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75274E4E"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7FF3EF8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4C39358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49C694DE"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6249DDE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46D34EF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33896EB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1DB6A631" w14:textId="77777777">
        <w:trPr>
          <w:trHeight w:val="100"/>
        </w:trPr>
        <w:tc>
          <w:tcPr>
            <w:tcW w:w="529" w:type="dxa"/>
            <w:vMerge/>
            <w:tcBorders>
              <w:top w:val="nil"/>
              <w:left w:val="nil"/>
              <w:bottom w:val="nil"/>
              <w:right w:val="nil"/>
            </w:tcBorders>
          </w:tcPr>
          <w:p w14:paraId="4A93303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1197" w:type="dxa"/>
            <w:vMerge/>
            <w:tcBorders>
              <w:top w:val="nil"/>
              <w:left w:val="nil"/>
              <w:bottom w:val="nil"/>
              <w:right w:val="nil"/>
            </w:tcBorders>
          </w:tcPr>
          <w:p w14:paraId="0BAE7D7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719" w:type="dxa"/>
            <w:tcBorders>
              <w:top w:val="nil"/>
              <w:left w:val="nil"/>
              <w:bottom w:val="nil"/>
              <w:right w:val="nil"/>
            </w:tcBorders>
          </w:tcPr>
          <w:p w14:paraId="400EED0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500</w:t>
            </w:r>
          </w:p>
        </w:tc>
        <w:tc>
          <w:tcPr>
            <w:tcW w:w="908" w:type="dxa"/>
            <w:tcBorders>
              <w:top w:val="nil"/>
              <w:left w:val="nil"/>
              <w:bottom w:val="nil"/>
              <w:right w:val="nil"/>
            </w:tcBorders>
          </w:tcPr>
          <w:p w14:paraId="17A8205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3</w:t>
            </w:r>
          </w:p>
        </w:tc>
        <w:tc>
          <w:tcPr>
            <w:tcW w:w="908" w:type="dxa"/>
            <w:tcBorders>
              <w:top w:val="nil"/>
              <w:left w:val="nil"/>
              <w:bottom w:val="nil"/>
              <w:right w:val="nil"/>
            </w:tcBorders>
          </w:tcPr>
          <w:p w14:paraId="27EDEB5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6D6B6AB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4CE9A1B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39EE661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09CE599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908" w:type="dxa"/>
            <w:tcBorders>
              <w:top w:val="nil"/>
              <w:left w:val="nil"/>
              <w:bottom w:val="nil"/>
              <w:right w:val="nil"/>
            </w:tcBorders>
          </w:tcPr>
          <w:p w14:paraId="4C4EDCC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0878949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14EA081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7145A8B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18660AB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76AE9383" w14:textId="77777777">
        <w:trPr>
          <w:trHeight w:val="100"/>
        </w:trPr>
        <w:tc>
          <w:tcPr>
            <w:tcW w:w="529" w:type="dxa"/>
            <w:vMerge w:val="restart"/>
            <w:tcBorders>
              <w:top w:val="nil"/>
              <w:left w:val="nil"/>
              <w:bottom w:val="nil"/>
              <w:right w:val="nil"/>
            </w:tcBorders>
          </w:tcPr>
          <w:p w14:paraId="03125BC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3</w:t>
            </w:r>
          </w:p>
        </w:tc>
        <w:tc>
          <w:tcPr>
            <w:tcW w:w="1197" w:type="dxa"/>
            <w:vMerge w:val="restart"/>
            <w:tcBorders>
              <w:top w:val="nil"/>
              <w:left w:val="nil"/>
              <w:bottom w:val="nil"/>
              <w:right w:val="nil"/>
            </w:tcBorders>
          </w:tcPr>
          <w:p w14:paraId="7256A63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5-(CH</w:t>
            </w:r>
            <w:r w:rsidRPr="00F85556">
              <w:rPr>
                <w:rFonts w:cs="Times New Roman"/>
                <w:color w:val="131413"/>
                <w:sz w:val="20"/>
                <w:szCs w:val="20"/>
                <w:vertAlign w:val="subscript"/>
              </w:rPr>
              <w:t>3</w:t>
            </w:r>
            <w:r w:rsidRPr="00F85556">
              <w:rPr>
                <w:rFonts w:cs="Times New Roman"/>
                <w:color w:val="131413"/>
                <w:sz w:val="20"/>
                <w:szCs w:val="20"/>
              </w:rPr>
              <w:t>)</w:t>
            </w:r>
          </w:p>
        </w:tc>
        <w:tc>
          <w:tcPr>
            <w:tcW w:w="719" w:type="dxa"/>
            <w:tcBorders>
              <w:top w:val="nil"/>
              <w:left w:val="nil"/>
              <w:bottom w:val="nil"/>
              <w:right w:val="nil"/>
            </w:tcBorders>
          </w:tcPr>
          <w:p w14:paraId="0132B70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2500</w:t>
            </w:r>
          </w:p>
        </w:tc>
        <w:tc>
          <w:tcPr>
            <w:tcW w:w="908" w:type="dxa"/>
            <w:tcBorders>
              <w:top w:val="nil"/>
              <w:left w:val="nil"/>
              <w:bottom w:val="nil"/>
              <w:right w:val="nil"/>
            </w:tcBorders>
          </w:tcPr>
          <w:p w14:paraId="11A3DFC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16</w:t>
            </w:r>
          </w:p>
        </w:tc>
        <w:tc>
          <w:tcPr>
            <w:tcW w:w="908" w:type="dxa"/>
            <w:tcBorders>
              <w:top w:val="nil"/>
              <w:left w:val="nil"/>
              <w:bottom w:val="nil"/>
              <w:right w:val="nil"/>
            </w:tcBorders>
          </w:tcPr>
          <w:p w14:paraId="56CBDE0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6610D17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2E40EFE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0C40BF8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2AFF3CA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17</w:t>
            </w:r>
          </w:p>
        </w:tc>
        <w:tc>
          <w:tcPr>
            <w:tcW w:w="908" w:type="dxa"/>
            <w:tcBorders>
              <w:top w:val="nil"/>
              <w:left w:val="nil"/>
              <w:bottom w:val="nil"/>
              <w:right w:val="nil"/>
            </w:tcBorders>
          </w:tcPr>
          <w:p w14:paraId="1CC6EAD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908" w:type="dxa"/>
            <w:tcBorders>
              <w:top w:val="nil"/>
              <w:left w:val="nil"/>
              <w:bottom w:val="nil"/>
              <w:right w:val="nil"/>
            </w:tcBorders>
          </w:tcPr>
          <w:p w14:paraId="162C5D4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3F041DF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1BFED2D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19EB65D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1FA3D675" w14:textId="77777777">
        <w:trPr>
          <w:trHeight w:val="100"/>
        </w:trPr>
        <w:tc>
          <w:tcPr>
            <w:tcW w:w="529" w:type="dxa"/>
            <w:vMerge/>
            <w:tcBorders>
              <w:top w:val="nil"/>
              <w:left w:val="nil"/>
              <w:bottom w:val="nil"/>
              <w:right w:val="nil"/>
            </w:tcBorders>
          </w:tcPr>
          <w:p w14:paraId="225E017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1197" w:type="dxa"/>
            <w:vMerge/>
            <w:tcBorders>
              <w:top w:val="nil"/>
              <w:left w:val="nil"/>
              <w:bottom w:val="nil"/>
              <w:right w:val="nil"/>
            </w:tcBorders>
          </w:tcPr>
          <w:p w14:paraId="0B6A722C"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719" w:type="dxa"/>
            <w:tcBorders>
              <w:top w:val="nil"/>
              <w:left w:val="nil"/>
              <w:bottom w:val="nil"/>
              <w:right w:val="nil"/>
            </w:tcBorders>
          </w:tcPr>
          <w:p w14:paraId="0DAAA9D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500</w:t>
            </w:r>
          </w:p>
        </w:tc>
        <w:tc>
          <w:tcPr>
            <w:tcW w:w="908" w:type="dxa"/>
            <w:tcBorders>
              <w:top w:val="nil"/>
              <w:left w:val="nil"/>
              <w:bottom w:val="nil"/>
              <w:right w:val="nil"/>
            </w:tcBorders>
          </w:tcPr>
          <w:p w14:paraId="6742B59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053D077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1154677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6E1287D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57F218B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7DAC48E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w:t>
            </w:r>
          </w:p>
        </w:tc>
        <w:tc>
          <w:tcPr>
            <w:tcW w:w="908" w:type="dxa"/>
            <w:tcBorders>
              <w:top w:val="nil"/>
              <w:left w:val="nil"/>
              <w:bottom w:val="nil"/>
              <w:right w:val="nil"/>
            </w:tcBorders>
          </w:tcPr>
          <w:p w14:paraId="5575A6E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1D8FBB0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2E06418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410D816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3E2B568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75F27FA5" w14:textId="77777777">
        <w:trPr>
          <w:trHeight w:val="100"/>
        </w:trPr>
        <w:tc>
          <w:tcPr>
            <w:tcW w:w="529" w:type="dxa"/>
            <w:vMerge w:val="restart"/>
            <w:tcBorders>
              <w:top w:val="nil"/>
              <w:left w:val="nil"/>
              <w:bottom w:val="nil"/>
              <w:right w:val="nil"/>
            </w:tcBorders>
          </w:tcPr>
          <w:p w14:paraId="6B6716A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4</w:t>
            </w:r>
          </w:p>
        </w:tc>
        <w:tc>
          <w:tcPr>
            <w:tcW w:w="1197" w:type="dxa"/>
            <w:vMerge w:val="restart"/>
            <w:tcBorders>
              <w:top w:val="nil"/>
              <w:left w:val="nil"/>
              <w:bottom w:val="nil"/>
              <w:right w:val="nil"/>
            </w:tcBorders>
          </w:tcPr>
          <w:p w14:paraId="6CDDD25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5,5-(</w:t>
            </w:r>
            <w:proofErr w:type="gramStart"/>
            <w:r w:rsidRPr="00F85556">
              <w:rPr>
                <w:rFonts w:cs="Times New Roman"/>
                <w:color w:val="131413"/>
                <w:sz w:val="20"/>
                <w:szCs w:val="20"/>
              </w:rPr>
              <w:t>CH</w:t>
            </w:r>
            <w:r w:rsidRPr="00F85556">
              <w:rPr>
                <w:rFonts w:cs="Times New Roman"/>
                <w:color w:val="131413"/>
                <w:sz w:val="20"/>
                <w:szCs w:val="20"/>
                <w:vertAlign w:val="subscript"/>
              </w:rPr>
              <w:t>3</w:t>
            </w:r>
            <w:r w:rsidRPr="00F85556">
              <w:rPr>
                <w:rFonts w:cs="Times New Roman"/>
                <w:color w:val="131413"/>
                <w:sz w:val="20"/>
                <w:szCs w:val="20"/>
              </w:rPr>
              <w:t>)</w:t>
            </w:r>
            <w:r w:rsidRPr="00F85556">
              <w:rPr>
                <w:rFonts w:cs="Times New Roman"/>
                <w:color w:val="131413"/>
                <w:sz w:val="20"/>
                <w:szCs w:val="20"/>
                <w:vertAlign w:val="subscript"/>
              </w:rPr>
              <w:t>2</w:t>
            </w:r>
            <w:proofErr w:type="gramEnd"/>
          </w:p>
        </w:tc>
        <w:tc>
          <w:tcPr>
            <w:tcW w:w="719" w:type="dxa"/>
            <w:tcBorders>
              <w:top w:val="nil"/>
              <w:left w:val="nil"/>
              <w:bottom w:val="nil"/>
              <w:right w:val="nil"/>
            </w:tcBorders>
          </w:tcPr>
          <w:p w14:paraId="14DA8E2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2500</w:t>
            </w:r>
          </w:p>
        </w:tc>
        <w:tc>
          <w:tcPr>
            <w:tcW w:w="908" w:type="dxa"/>
            <w:tcBorders>
              <w:top w:val="nil"/>
              <w:left w:val="nil"/>
              <w:bottom w:val="nil"/>
              <w:right w:val="nil"/>
            </w:tcBorders>
          </w:tcPr>
          <w:p w14:paraId="1F8C131C"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27</w:t>
            </w:r>
          </w:p>
        </w:tc>
        <w:tc>
          <w:tcPr>
            <w:tcW w:w="908" w:type="dxa"/>
            <w:tcBorders>
              <w:top w:val="nil"/>
              <w:left w:val="nil"/>
              <w:bottom w:val="nil"/>
              <w:right w:val="nil"/>
            </w:tcBorders>
          </w:tcPr>
          <w:p w14:paraId="5BC5E1B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80</w:t>
            </w:r>
          </w:p>
        </w:tc>
        <w:tc>
          <w:tcPr>
            <w:tcW w:w="908" w:type="dxa"/>
            <w:tcBorders>
              <w:top w:val="nil"/>
              <w:left w:val="nil"/>
              <w:bottom w:val="nil"/>
              <w:right w:val="nil"/>
            </w:tcBorders>
          </w:tcPr>
          <w:p w14:paraId="517089A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655D047C"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3C81F3D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607392E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65</w:t>
            </w:r>
          </w:p>
        </w:tc>
        <w:tc>
          <w:tcPr>
            <w:tcW w:w="908" w:type="dxa"/>
            <w:tcBorders>
              <w:top w:val="nil"/>
              <w:left w:val="nil"/>
              <w:bottom w:val="nil"/>
              <w:right w:val="nil"/>
            </w:tcBorders>
          </w:tcPr>
          <w:p w14:paraId="4CD7C36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13</w:t>
            </w:r>
          </w:p>
        </w:tc>
        <w:tc>
          <w:tcPr>
            <w:tcW w:w="908" w:type="dxa"/>
            <w:tcBorders>
              <w:top w:val="nil"/>
              <w:left w:val="nil"/>
              <w:bottom w:val="nil"/>
              <w:right w:val="nil"/>
            </w:tcBorders>
          </w:tcPr>
          <w:p w14:paraId="0C6FCFD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17</w:t>
            </w:r>
          </w:p>
        </w:tc>
        <w:tc>
          <w:tcPr>
            <w:tcW w:w="908" w:type="dxa"/>
            <w:tcBorders>
              <w:top w:val="nil"/>
              <w:left w:val="nil"/>
              <w:bottom w:val="nil"/>
              <w:right w:val="nil"/>
            </w:tcBorders>
          </w:tcPr>
          <w:p w14:paraId="3886006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13</w:t>
            </w:r>
          </w:p>
        </w:tc>
        <w:tc>
          <w:tcPr>
            <w:tcW w:w="911" w:type="dxa"/>
            <w:tcBorders>
              <w:top w:val="nil"/>
              <w:left w:val="nil"/>
              <w:bottom w:val="nil"/>
              <w:right w:val="nil"/>
            </w:tcBorders>
          </w:tcPr>
          <w:p w14:paraId="07CAC60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67</w:t>
            </w:r>
          </w:p>
        </w:tc>
        <w:tc>
          <w:tcPr>
            <w:tcW w:w="909" w:type="dxa"/>
            <w:tcBorders>
              <w:top w:val="nil"/>
              <w:left w:val="nil"/>
              <w:bottom w:val="nil"/>
              <w:right w:val="nil"/>
            </w:tcBorders>
          </w:tcPr>
          <w:p w14:paraId="091B435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2F4E8120" w14:textId="77777777">
        <w:trPr>
          <w:trHeight w:val="100"/>
        </w:trPr>
        <w:tc>
          <w:tcPr>
            <w:tcW w:w="529" w:type="dxa"/>
            <w:vMerge/>
            <w:tcBorders>
              <w:top w:val="nil"/>
              <w:left w:val="nil"/>
              <w:bottom w:val="nil"/>
              <w:right w:val="nil"/>
            </w:tcBorders>
          </w:tcPr>
          <w:p w14:paraId="7317DB7E"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1197" w:type="dxa"/>
            <w:vMerge/>
            <w:tcBorders>
              <w:top w:val="nil"/>
              <w:left w:val="nil"/>
              <w:bottom w:val="nil"/>
              <w:right w:val="nil"/>
            </w:tcBorders>
          </w:tcPr>
          <w:p w14:paraId="754C690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719" w:type="dxa"/>
            <w:tcBorders>
              <w:top w:val="nil"/>
              <w:left w:val="nil"/>
              <w:bottom w:val="nil"/>
              <w:right w:val="nil"/>
            </w:tcBorders>
          </w:tcPr>
          <w:p w14:paraId="0F66464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500</w:t>
            </w:r>
          </w:p>
        </w:tc>
        <w:tc>
          <w:tcPr>
            <w:tcW w:w="908" w:type="dxa"/>
            <w:tcBorders>
              <w:top w:val="nil"/>
              <w:left w:val="nil"/>
              <w:bottom w:val="nil"/>
              <w:right w:val="nil"/>
            </w:tcBorders>
          </w:tcPr>
          <w:p w14:paraId="61A2DAB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13</w:t>
            </w:r>
          </w:p>
        </w:tc>
        <w:tc>
          <w:tcPr>
            <w:tcW w:w="908" w:type="dxa"/>
            <w:tcBorders>
              <w:top w:val="nil"/>
              <w:left w:val="nil"/>
              <w:bottom w:val="nil"/>
              <w:right w:val="nil"/>
            </w:tcBorders>
          </w:tcPr>
          <w:p w14:paraId="3FACD4C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63</w:t>
            </w:r>
          </w:p>
        </w:tc>
        <w:tc>
          <w:tcPr>
            <w:tcW w:w="908" w:type="dxa"/>
            <w:tcBorders>
              <w:top w:val="nil"/>
              <w:left w:val="nil"/>
              <w:bottom w:val="nil"/>
              <w:right w:val="nil"/>
            </w:tcBorders>
          </w:tcPr>
          <w:p w14:paraId="646AADC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6B9997F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7E66BA8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4610013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13</w:t>
            </w:r>
          </w:p>
        </w:tc>
        <w:tc>
          <w:tcPr>
            <w:tcW w:w="908" w:type="dxa"/>
            <w:tcBorders>
              <w:top w:val="nil"/>
              <w:left w:val="nil"/>
              <w:bottom w:val="nil"/>
              <w:right w:val="nil"/>
            </w:tcBorders>
          </w:tcPr>
          <w:p w14:paraId="6F0AE81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107720D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3</w:t>
            </w:r>
          </w:p>
        </w:tc>
        <w:tc>
          <w:tcPr>
            <w:tcW w:w="908" w:type="dxa"/>
            <w:tcBorders>
              <w:top w:val="nil"/>
              <w:left w:val="nil"/>
              <w:bottom w:val="nil"/>
              <w:right w:val="nil"/>
            </w:tcBorders>
          </w:tcPr>
          <w:p w14:paraId="4533811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63EC36E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909" w:type="dxa"/>
            <w:tcBorders>
              <w:top w:val="nil"/>
              <w:left w:val="nil"/>
              <w:bottom w:val="nil"/>
              <w:right w:val="nil"/>
            </w:tcBorders>
          </w:tcPr>
          <w:p w14:paraId="78033D2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786575FB" w14:textId="77777777">
        <w:trPr>
          <w:trHeight w:val="100"/>
        </w:trPr>
        <w:tc>
          <w:tcPr>
            <w:tcW w:w="529" w:type="dxa"/>
            <w:vMerge w:val="restart"/>
            <w:tcBorders>
              <w:top w:val="nil"/>
              <w:left w:val="nil"/>
              <w:bottom w:val="nil"/>
              <w:right w:val="nil"/>
            </w:tcBorders>
          </w:tcPr>
          <w:p w14:paraId="71BC6EAE"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w:t>
            </w:r>
          </w:p>
        </w:tc>
        <w:tc>
          <w:tcPr>
            <w:tcW w:w="1197" w:type="dxa"/>
            <w:vMerge w:val="restart"/>
            <w:tcBorders>
              <w:top w:val="nil"/>
              <w:left w:val="nil"/>
              <w:bottom w:val="nil"/>
              <w:right w:val="nil"/>
            </w:tcBorders>
          </w:tcPr>
          <w:p w14:paraId="64EF030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5-C</w:t>
            </w:r>
            <w:r w:rsidRPr="00F85556">
              <w:rPr>
                <w:rFonts w:cs="Times New Roman"/>
                <w:color w:val="131413"/>
                <w:sz w:val="20"/>
                <w:szCs w:val="20"/>
                <w:vertAlign w:val="subscript"/>
              </w:rPr>
              <w:t>3</w:t>
            </w:r>
            <w:r w:rsidRPr="00F85556">
              <w:rPr>
                <w:rFonts w:cs="Times New Roman"/>
                <w:color w:val="131413"/>
                <w:sz w:val="20"/>
                <w:szCs w:val="20"/>
              </w:rPr>
              <w:t>H</w:t>
            </w:r>
            <w:r w:rsidRPr="00F85556">
              <w:rPr>
                <w:rFonts w:cs="Times New Roman"/>
                <w:color w:val="131413"/>
                <w:sz w:val="20"/>
                <w:szCs w:val="20"/>
                <w:vertAlign w:val="subscript"/>
              </w:rPr>
              <w:t>7</w:t>
            </w:r>
            <w:r w:rsidRPr="00F85556">
              <w:rPr>
                <w:rFonts w:cs="Times New Roman"/>
                <w:color w:val="131413"/>
                <w:sz w:val="20"/>
                <w:szCs w:val="20"/>
                <w:vertAlign w:val="superscript"/>
              </w:rPr>
              <w:t>i</w:t>
            </w:r>
          </w:p>
        </w:tc>
        <w:tc>
          <w:tcPr>
            <w:tcW w:w="719" w:type="dxa"/>
            <w:tcBorders>
              <w:top w:val="nil"/>
              <w:left w:val="nil"/>
              <w:bottom w:val="nil"/>
              <w:right w:val="nil"/>
            </w:tcBorders>
          </w:tcPr>
          <w:p w14:paraId="4054A45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2500</w:t>
            </w:r>
          </w:p>
        </w:tc>
        <w:tc>
          <w:tcPr>
            <w:tcW w:w="908" w:type="dxa"/>
            <w:tcBorders>
              <w:top w:val="nil"/>
              <w:left w:val="nil"/>
              <w:bottom w:val="nil"/>
              <w:right w:val="nil"/>
            </w:tcBorders>
          </w:tcPr>
          <w:p w14:paraId="0A30CA2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908" w:type="dxa"/>
            <w:tcBorders>
              <w:top w:val="nil"/>
              <w:left w:val="nil"/>
              <w:bottom w:val="nil"/>
              <w:right w:val="nil"/>
            </w:tcBorders>
          </w:tcPr>
          <w:p w14:paraId="0CC76D3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59B5C24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2CEAFBD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4DCBCC4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1E68BEF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33722D1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908" w:type="dxa"/>
            <w:tcBorders>
              <w:top w:val="nil"/>
              <w:left w:val="nil"/>
              <w:bottom w:val="nil"/>
              <w:right w:val="nil"/>
            </w:tcBorders>
          </w:tcPr>
          <w:p w14:paraId="3E39C49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4938D0BE"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23ACDFB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3A0F4F6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784E3E95" w14:textId="77777777">
        <w:trPr>
          <w:trHeight w:val="100"/>
        </w:trPr>
        <w:tc>
          <w:tcPr>
            <w:tcW w:w="529" w:type="dxa"/>
            <w:vMerge/>
            <w:tcBorders>
              <w:top w:val="nil"/>
              <w:left w:val="nil"/>
              <w:bottom w:val="nil"/>
              <w:right w:val="nil"/>
            </w:tcBorders>
          </w:tcPr>
          <w:p w14:paraId="676C296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1197" w:type="dxa"/>
            <w:vMerge/>
            <w:tcBorders>
              <w:top w:val="nil"/>
              <w:left w:val="nil"/>
              <w:bottom w:val="nil"/>
              <w:right w:val="nil"/>
            </w:tcBorders>
          </w:tcPr>
          <w:p w14:paraId="3B7D1AC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719" w:type="dxa"/>
            <w:tcBorders>
              <w:top w:val="nil"/>
              <w:left w:val="nil"/>
              <w:bottom w:val="nil"/>
              <w:right w:val="nil"/>
            </w:tcBorders>
          </w:tcPr>
          <w:p w14:paraId="49790D4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500</w:t>
            </w:r>
          </w:p>
        </w:tc>
        <w:tc>
          <w:tcPr>
            <w:tcW w:w="908" w:type="dxa"/>
            <w:tcBorders>
              <w:top w:val="nil"/>
              <w:left w:val="nil"/>
              <w:bottom w:val="nil"/>
              <w:right w:val="nil"/>
            </w:tcBorders>
          </w:tcPr>
          <w:p w14:paraId="43FF0D1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2AA73E2C"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6D08E4A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09384C6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4FD904AE"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5395768E"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27F1FC4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09680FB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782F330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45C6383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60675C5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0B7F93F4" w14:textId="77777777">
        <w:trPr>
          <w:trHeight w:val="100"/>
        </w:trPr>
        <w:tc>
          <w:tcPr>
            <w:tcW w:w="529" w:type="dxa"/>
            <w:vMerge w:val="restart"/>
            <w:tcBorders>
              <w:top w:val="nil"/>
              <w:left w:val="nil"/>
              <w:bottom w:val="nil"/>
              <w:right w:val="nil"/>
            </w:tcBorders>
          </w:tcPr>
          <w:p w14:paraId="6CC3D72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6</w:t>
            </w:r>
          </w:p>
        </w:tc>
        <w:tc>
          <w:tcPr>
            <w:tcW w:w="1197" w:type="dxa"/>
            <w:vMerge w:val="restart"/>
            <w:tcBorders>
              <w:top w:val="nil"/>
              <w:left w:val="nil"/>
              <w:bottom w:val="nil"/>
              <w:right w:val="nil"/>
            </w:tcBorders>
          </w:tcPr>
          <w:p w14:paraId="3023060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vertAlign w:val="superscript"/>
              </w:rPr>
            </w:pPr>
            <w:r w:rsidRPr="00F85556">
              <w:rPr>
                <w:rFonts w:cs="Times New Roman"/>
                <w:color w:val="131413"/>
                <w:sz w:val="20"/>
                <w:szCs w:val="20"/>
              </w:rPr>
              <w:t>5-C</w:t>
            </w:r>
            <w:r w:rsidRPr="00F85556">
              <w:rPr>
                <w:rFonts w:cs="Times New Roman"/>
                <w:color w:val="131413"/>
                <w:sz w:val="20"/>
                <w:szCs w:val="20"/>
                <w:vertAlign w:val="subscript"/>
              </w:rPr>
              <w:t>6</w:t>
            </w:r>
            <w:r w:rsidRPr="00F85556">
              <w:rPr>
                <w:rFonts w:cs="Times New Roman"/>
                <w:color w:val="131413"/>
                <w:sz w:val="20"/>
                <w:szCs w:val="20"/>
              </w:rPr>
              <w:t>H</w:t>
            </w:r>
            <w:r w:rsidRPr="00F85556">
              <w:rPr>
                <w:rFonts w:cs="Times New Roman"/>
                <w:color w:val="131413"/>
                <w:sz w:val="20"/>
                <w:szCs w:val="20"/>
                <w:vertAlign w:val="subscript"/>
              </w:rPr>
              <w:t>5</w:t>
            </w:r>
            <w:r w:rsidRPr="00F85556">
              <w:rPr>
                <w:rFonts w:cs="Times New Roman"/>
                <w:color w:val="131413"/>
                <w:sz w:val="20"/>
                <w:szCs w:val="20"/>
                <w:vertAlign w:val="superscript"/>
              </w:rPr>
              <w:t>Ph</w:t>
            </w:r>
          </w:p>
        </w:tc>
        <w:tc>
          <w:tcPr>
            <w:tcW w:w="719" w:type="dxa"/>
            <w:tcBorders>
              <w:top w:val="nil"/>
              <w:left w:val="nil"/>
              <w:bottom w:val="nil"/>
              <w:right w:val="nil"/>
            </w:tcBorders>
          </w:tcPr>
          <w:p w14:paraId="4AAC3B2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2500</w:t>
            </w:r>
          </w:p>
        </w:tc>
        <w:tc>
          <w:tcPr>
            <w:tcW w:w="908" w:type="dxa"/>
            <w:tcBorders>
              <w:top w:val="nil"/>
              <w:left w:val="nil"/>
              <w:bottom w:val="nil"/>
              <w:right w:val="nil"/>
            </w:tcBorders>
          </w:tcPr>
          <w:p w14:paraId="4C66088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908" w:type="dxa"/>
            <w:tcBorders>
              <w:top w:val="nil"/>
              <w:left w:val="nil"/>
              <w:bottom w:val="nil"/>
              <w:right w:val="nil"/>
            </w:tcBorders>
          </w:tcPr>
          <w:p w14:paraId="016125B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06EFAF3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3420FE5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70CA012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109BC19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425EED4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4EC105A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5E0270C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1EAD09A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6F57846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2333797D" w14:textId="77777777">
        <w:trPr>
          <w:trHeight w:val="100"/>
        </w:trPr>
        <w:tc>
          <w:tcPr>
            <w:tcW w:w="529" w:type="dxa"/>
            <w:vMerge/>
            <w:tcBorders>
              <w:top w:val="nil"/>
              <w:left w:val="nil"/>
              <w:bottom w:val="nil"/>
              <w:right w:val="nil"/>
            </w:tcBorders>
          </w:tcPr>
          <w:p w14:paraId="385BA90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1197" w:type="dxa"/>
            <w:vMerge/>
            <w:tcBorders>
              <w:top w:val="nil"/>
              <w:left w:val="nil"/>
              <w:bottom w:val="nil"/>
              <w:right w:val="nil"/>
            </w:tcBorders>
          </w:tcPr>
          <w:p w14:paraId="2F6FF33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719" w:type="dxa"/>
            <w:tcBorders>
              <w:top w:val="nil"/>
              <w:left w:val="nil"/>
              <w:bottom w:val="nil"/>
              <w:right w:val="nil"/>
            </w:tcBorders>
          </w:tcPr>
          <w:p w14:paraId="74D1787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500</w:t>
            </w:r>
          </w:p>
        </w:tc>
        <w:tc>
          <w:tcPr>
            <w:tcW w:w="908" w:type="dxa"/>
            <w:tcBorders>
              <w:top w:val="nil"/>
              <w:left w:val="nil"/>
              <w:bottom w:val="nil"/>
              <w:right w:val="nil"/>
            </w:tcBorders>
          </w:tcPr>
          <w:p w14:paraId="23083D8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3</w:t>
            </w:r>
          </w:p>
        </w:tc>
        <w:tc>
          <w:tcPr>
            <w:tcW w:w="908" w:type="dxa"/>
            <w:tcBorders>
              <w:top w:val="nil"/>
              <w:left w:val="nil"/>
              <w:bottom w:val="nil"/>
              <w:right w:val="nil"/>
            </w:tcBorders>
          </w:tcPr>
          <w:p w14:paraId="0E2C85D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5D18166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002019D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6A8C8F0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2D578FF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133A636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42041F2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332B6ED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2446E70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4F19934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02BC75D4" w14:textId="77777777">
        <w:trPr>
          <w:trHeight w:val="100"/>
        </w:trPr>
        <w:tc>
          <w:tcPr>
            <w:tcW w:w="529" w:type="dxa"/>
            <w:vMerge w:val="restart"/>
            <w:tcBorders>
              <w:top w:val="nil"/>
              <w:left w:val="nil"/>
              <w:bottom w:val="nil"/>
              <w:right w:val="nil"/>
            </w:tcBorders>
          </w:tcPr>
          <w:p w14:paraId="08C8657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1197" w:type="dxa"/>
            <w:vMerge w:val="restart"/>
            <w:tcBorders>
              <w:top w:val="nil"/>
              <w:left w:val="nil"/>
              <w:bottom w:val="nil"/>
              <w:right w:val="nil"/>
            </w:tcBorders>
          </w:tcPr>
          <w:p w14:paraId="0AE92A6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w:t>
            </w:r>
          </w:p>
        </w:tc>
        <w:tc>
          <w:tcPr>
            <w:tcW w:w="719" w:type="dxa"/>
            <w:tcBorders>
              <w:top w:val="nil"/>
              <w:left w:val="nil"/>
              <w:bottom w:val="nil"/>
              <w:right w:val="nil"/>
            </w:tcBorders>
          </w:tcPr>
          <w:p w14:paraId="2E0D40C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2500</w:t>
            </w:r>
          </w:p>
        </w:tc>
        <w:tc>
          <w:tcPr>
            <w:tcW w:w="908" w:type="dxa"/>
            <w:tcBorders>
              <w:top w:val="nil"/>
              <w:left w:val="nil"/>
              <w:bottom w:val="nil"/>
              <w:right w:val="nil"/>
            </w:tcBorders>
          </w:tcPr>
          <w:p w14:paraId="4D7C1B4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2D2FDAC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1FE89F3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3A2FFCA8"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5DFC9B6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3EE2F7F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244EA88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78A3091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219FD7D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0C277CDE"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61EE018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411CD345" w14:textId="77777777">
        <w:trPr>
          <w:trHeight w:val="100"/>
        </w:trPr>
        <w:tc>
          <w:tcPr>
            <w:tcW w:w="529" w:type="dxa"/>
            <w:vMerge/>
            <w:tcBorders>
              <w:top w:val="nil"/>
              <w:left w:val="nil"/>
              <w:bottom w:val="nil"/>
              <w:right w:val="nil"/>
            </w:tcBorders>
          </w:tcPr>
          <w:p w14:paraId="1300EFD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1197" w:type="dxa"/>
            <w:vMerge/>
            <w:tcBorders>
              <w:top w:val="nil"/>
              <w:left w:val="nil"/>
              <w:bottom w:val="nil"/>
              <w:right w:val="nil"/>
            </w:tcBorders>
          </w:tcPr>
          <w:p w14:paraId="25FD592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719" w:type="dxa"/>
            <w:tcBorders>
              <w:top w:val="nil"/>
              <w:left w:val="nil"/>
              <w:bottom w:val="nil"/>
              <w:right w:val="nil"/>
            </w:tcBorders>
          </w:tcPr>
          <w:p w14:paraId="035131E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500</w:t>
            </w:r>
          </w:p>
        </w:tc>
        <w:tc>
          <w:tcPr>
            <w:tcW w:w="908" w:type="dxa"/>
            <w:tcBorders>
              <w:top w:val="nil"/>
              <w:left w:val="nil"/>
              <w:bottom w:val="nil"/>
              <w:right w:val="nil"/>
            </w:tcBorders>
          </w:tcPr>
          <w:p w14:paraId="5CF4993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908" w:type="dxa"/>
            <w:tcBorders>
              <w:top w:val="nil"/>
              <w:left w:val="nil"/>
              <w:bottom w:val="nil"/>
              <w:right w:val="nil"/>
            </w:tcBorders>
          </w:tcPr>
          <w:p w14:paraId="2EA6266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371C04F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48F7B03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612F9C5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7A8ECE6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13</w:t>
            </w:r>
          </w:p>
        </w:tc>
        <w:tc>
          <w:tcPr>
            <w:tcW w:w="908" w:type="dxa"/>
            <w:tcBorders>
              <w:top w:val="nil"/>
              <w:left w:val="nil"/>
              <w:bottom w:val="nil"/>
              <w:right w:val="nil"/>
            </w:tcBorders>
          </w:tcPr>
          <w:p w14:paraId="5391938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8" w:type="dxa"/>
            <w:tcBorders>
              <w:top w:val="nil"/>
              <w:left w:val="nil"/>
              <w:bottom w:val="nil"/>
              <w:right w:val="nil"/>
            </w:tcBorders>
          </w:tcPr>
          <w:p w14:paraId="12D6300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w:t>
            </w:r>
          </w:p>
        </w:tc>
        <w:tc>
          <w:tcPr>
            <w:tcW w:w="908" w:type="dxa"/>
            <w:tcBorders>
              <w:top w:val="nil"/>
              <w:left w:val="nil"/>
              <w:bottom w:val="nil"/>
              <w:right w:val="nil"/>
            </w:tcBorders>
          </w:tcPr>
          <w:p w14:paraId="3DFCA7E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11" w:type="dxa"/>
            <w:tcBorders>
              <w:top w:val="nil"/>
              <w:left w:val="nil"/>
              <w:bottom w:val="nil"/>
              <w:right w:val="nil"/>
            </w:tcBorders>
          </w:tcPr>
          <w:p w14:paraId="20C10C7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c>
          <w:tcPr>
            <w:tcW w:w="909" w:type="dxa"/>
            <w:tcBorders>
              <w:top w:val="nil"/>
              <w:left w:val="nil"/>
              <w:bottom w:val="nil"/>
              <w:right w:val="nil"/>
            </w:tcBorders>
          </w:tcPr>
          <w:p w14:paraId="29085E7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0</w:t>
            </w:r>
          </w:p>
        </w:tc>
      </w:tr>
      <w:tr w:rsidR="00326E4D" w:rsidRPr="00F85556" w14:paraId="30C45E5D" w14:textId="77777777">
        <w:trPr>
          <w:trHeight w:val="100"/>
        </w:trPr>
        <w:tc>
          <w:tcPr>
            <w:tcW w:w="529" w:type="dxa"/>
            <w:vMerge w:val="restart"/>
            <w:tcBorders>
              <w:top w:val="nil"/>
              <w:left w:val="nil"/>
              <w:bottom w:val="nil"/>
              <w:right w:val="nil"/>
            </w:tcBorders>
          </w:tcPr>
          <w:p w14:paraId="09E1E85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1197" w:type="dxa"/>
            <w:vMerge w:val="restart"/>
            <w:tcBorders>
              <w:top w:val="nil"/>
              <w:left w:val="nil"/>
              <w:bottom w:val="nil"/>
              <w:right w:val="nil"/>
            </w:tcBorders>
          </w:tcPr>
          <w:p w14:paraId="3A9A34A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Mesotrione</w:t>
            </w:r>
          </w:p>
        </w:tc>
        <w:tc>
          <w:tcPr>
            <w:tcW w:w="719" w:type="dxa"/>
            <w:tcBorders>
              <w:top w:val="nil"/>
              <w:left w:val="nil"/>
              <w:bottom w:val="nil"/>
              <w:right w:val="nil"/>
            </w:tcBorders>
          </w:tcPr>
          <w:p w14:paraId="48E1F016"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2500</w:t>
            </w:r>
          </w:p>
        </w:tc>
        <w:tc>
          <w:tcPr>
            <w:tcW w:w="908" w:type="dxa"/>
            <w:tcBorders>
              <w:top w:val="nil"/>
              <w:left w:val="nil"/>
              <w:bottom w:val="nil"/>
              <w:right w:val="nil"/>
            </w:tcBorders>
          </w:tcPr>
          <w:p w14:paraId="1EC44F8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67</w:t>
            </w:r>
          </w:p>
        </w:tc>
        <w:tc>
          <w:tcPr>
            <w:tcW w:w="908" w:type="dxa"/>
            <w:tcBorders>
              <w:top w:val="nil"/>
              <w:left w:val="nil"/>
              <w:bottom w:val="nil"/>
              <w:right w:val="nil"/>
            </w:tcBorders>
          </w:tcPr>
          <w:p w14:paraId="6C2C28E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92</w:t>
            </w:r>
          </w:p>
        </w:tc>
        <w:tc>
          <w:tcPr>
            <w:tcW w:w="908" w:type="dxa"/>
            <w:tcBorders>
              <w:top w:val="nil"/>
              <w:left w:val="nil"/>
              <w:bottom w:val="nil"/>
              <w:right w:val="nil"/>
            </w:tcBorders>
          </w:tcPr>
          <w:p w14:paraId="752A734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90</w:t>
            </w:r>
          </w:p>
        </w:tc>
        <w:tc>
          <w:tcPr>
            <w:tcW w:w="908" w:type="dxa"/>
            <w:tcBorders>
              <w:top w:val="nil"/>
              <w:left w:val="nil"/>
              <w:bottom w:val="nil"/>
              <w:right w:val="nil"/>
            </w:tcBorders>
          </w:tcPr>
          <w:p w14:paraId="7895FFC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78</w:t>
            </w:r>
          </w:p>
        </w:tc>
        <w:tc>
          <w:tcPr>
            <w:tcW w:w="908" w:type="dxa"/>
            <w:tcBorders>
              <w:top w:val="nil"/>
              <w:left w:val="nil"/>
              <w:bottom w:val="nil"/>
              <w:right w:val="nil"/>
            </w:tcBorders>
          </w:tcPr>
          <w:p w14:paraId="2D83498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80</w:t>
            </w:r>
          </w:p>
        </w:tc>
        <w:tc>
          <w:tcPr>
            <w:tcW w:w="909" w:type="dxa"/>
            <w:tcBorders>
              <w:top w:val="nil"/>
              <w:left w:val="nil"/>
              <w:bottom w:val="nil"/>
              <w:right w:val="nil"/>
            </w:tcBorders>
          </w:tcPr>
          <w:p w14:paraId="20A92CE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95</w:t>
            </w:r>
          </w:p>
        </w:tc>
        <w:tc>
          <w:tcPr>
            <w:tcW w:w="908" w:type="dxa"/>
            <w:tcBorders>
              <w:top w:val="nil"/>
              <w:left w:val="nil"/>
              <w:bottom w:val="nil"/>
              <w:right w:val="nil"/>
            </w:tcBorders>
          </w:tcPr>
          <w:p w14:paraId="152C070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97</w:t>
            </w:r>
          </w:p>
        </w:tc>
        <w:tc>
          <w:tcPr>
            <w:tcW w:w="908" w:type="dxa"/>
            <w:tcBorders>
              <w:top w:val="nil"/>
              <w:left w:val="nil"/>
              <w:bottom w:val="nil"/>
              <w:right w:val="nil"/>
            </w:tcBorders>
          </w:tcPr>
          <w:p w14:paraId="5516C6C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77</w:t>
            </w:r>
          </w:p>
        </w:tc>
        <w:tc>
          <w:tcPr>
            <w:tcW w:w="908" w:type="dxa"/>
            <w:tcBorders>
              <w:top w:val="nil"/>
              <w:left w:val="nil"/>
              <w:bottom w:val="nil"/>
              <w:right w:val="nil"/>
            </w:tcBorders>
          </w:tcPr>
          <w:p w14:paraId="65D57AD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100</w:t>
            </w:r>
          </w:p>
        </w:tc>
        <w:tc>
          <w:tcPr>
            <w:tcW w:w="911" w:type="dxa"/>
            <w:tcBorders>
              <w:top w:val="nil"/>
              <w:left w:val="nil"/>
              <w:bottom w:val="nil"/>
              <w:right w:val="nil"/>
            </w:tcBorders>
          </w:tcPr>
          <w:p w14:paraId="49D6782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100</w:t>
            </w:r>
          </w:p>
        </w:tc>
        <w:tc>
          <w:tcPr>
            <w:tcW w:w="909" w:type="dxa"/>
            <w:tcBorders>
              <w:top w:val="nil"/>
              <w:left w:val="nil"/>
              <w:bottom w:val="nil"/>
              <w:right w:val="nil"/>
            </w:tcBorders>
          </w:tcPr>
          <w:p w14:paraId="43CD29A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97</w:t>
            </w:r>
          </w:p>
        </w:tc>
      </w:tr>
      <w:tr w:rsidR="00326E4D" w:rsidRPr="00F85556" w14:paraId="37AA0D86" w14:textId="77777777">
        <w:trPr>
          <w:trHeight w:val="100"/>
        </w:trPr>
        <w:tc>
          <w:tcPr>
            <w:tcW w:w="529" w:type="dxa"/>
            <w:vMerge/>
            <w:tcBorders>
              <w:top w:val="nil"/>
              <w:left w:val="nil"/>
              <w:bottom w:val="nil"/>
              <w:right w:val="nil"/>
            </w:tcBorders>
          </w:tcPr>
          <w:p w14:paraId="7864D61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1197" w:type="dxa"/>
            <w:vMerge/>
            <w:tcBorders>
              <w:top w:val="nil"/>
              <w:left w:val="nil"/>
              <w:bottom w:val="nil"/>
              <w:right w:val="nil"/>
            </w:tcBorders>
          </w:tcPr>
          <w:p w14:paraId="4F756AE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719" w:type="dxa"/>
            <w:tcBorders>
              <w:top w:val="nil"/>
              <w:left w:val="nil"/>
              <w:bottom w:val="nil"/>
              <w:right w:val="nil"/>
            </w:tcBorders>
          </w:tcPr>
          <w:p w14:paraId="6692C4D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500</w:t>
            </w:r>
          </w:p>
        </w:tc>
        <w:tc>
          <w:tcPr>
            <w:tcW w:w="908" w:type="dxa"/>
            <w:tcBorders>
              <w:top w:val="nil"/>
              <w:left w:val="nil"/>
              <w:bottom w:val="nil"/>
              <w:right w:val="nil"/>
            </w:tcBorders>
          </w:tcPr>
          <w:p w14:paraId="2796F474"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67</w:t>
            </w:r>
          </w:p>
        </w:tc>
        <w:tc>
          <w:tcPr>
            <w:tcW w:w="908" w:type="dxa"/>
            <w:tcBorders>
              <w:top w:val="nil"/>
              <w:left w:val="nil"/>
              <w:bottom w:val="nil"/>
              <w:right w:val="nil"/>
            </w:tcBorders>
          </w:tcPr>
          <w:p w14:paraId="652CD96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90</w:t>
            </w:r>
          </w:p>
        </w:tc>
        <w:tc>
          <w:tcPr>
            <w:tcW w:w="908" w:type="dxa"/>
            <w:tcBorders>
              <w:top w:val="nil"/>
              <w:left w:val="nil"/>
              <w:bottom w:val="nil"/>
              <w:right w:val="nil"/>
            </w:tcBorders>
          </w:tcPr>
          <w:p w14:paraId="049C7D3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83</w:t>
            </w:r>
          </w:p>
        </w:tc>
        <w:tc>
          <w:tcPr>
            <w:tcW w:w="908" w:type="dxa"/>
            <w:tcBorders>
              <w:top w:val="nil"/>
              <w:left w:val="nil"/>
              <w:bottom w:val="nil"/>
              <w:right w:val="nil"/>
            </w:tcBorders>
          </w:tcPr>
          <w:p w14:paraId="027D519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63</w:t>
            </w:r>
          </w:p>
        </w:tc>
        <w:tc>
          <w:tcPr>
            <w:tcW w:w="908" w:type="dxa"/>
            <w:tcBorders>
              <w:top w:val="nil"/>
              <w:left w:val="nil"/>
              <w:bottom w:val="nil"/>
              <w:right w:val="nil"/>
            </w:tcBorders>
          </w:tcPr>
          <w:p w14:paraId="1CAF21A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67</w:t>
            </w:r>
          </w:p>
        </w:tc>
        <w:tc>
          <w:tcPr>
            <w:tcW w:w="909" w:type="dxa"/>
            <w:tcBorders>
              <w:top w:val="nil"/>
              <w:left w:val="nil"/>
              <w:bottom w:val="nil"/>
              <w:right w:val="nil"/>
            </w:tcBorders>
          </w:tcPr>
          <w:p w14:paraId="05AB1F2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93</w:t>
            </w:r>
          </w:p>
        </w:tc>
        <w:tc>
          <w:tcPr>
            <w:tcW w:w="908" w:type="dxa"/>
            <w:tcBorders>
              <w:top w:val="nil"/>
              <w:left w:val="nil"/>
              <w:bottom w:val="nil"/>
              <w:right w:val="nil"/>
            </w:tcBorders>
          </w:tcPr>
          <w:p w14:paraId="10D6BB9D"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93</w:t>
            </w:r>
          </w:p>
        </w:tc>
        <w:tc>
          <w:tcPr>
            <w:tcW w:w="908" w:type="dxa"/>
            <w:tcBorders>
              <w:top w:val="nil"/>
              <w:left w:val="nil"/>
              <w:bottom w:val="nil"/>
              <w:right w:val="nil"/>
            </w:tcBorders>
          </w:tcPr>
          <w:p w14:paraId="18E84277"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70</w:t>
            </w:r>
          </w:p>
        </w:tc>
        <w:tc>
          <w:tcPr>
            <w:tcW w:w="908" w:type="dxa"/>
            <w:tcBorders>
              <w:top w:val="nil"/>
              <w:left w:val="nil"/>
              <w:bottom w:val="nil"/>
              <w:right w:val="nil"/>
            </w:tcBorders>
          </w:tcPr>
          <w:p w14:paraId="214A8D3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100</w:t>
            </w:r>
          </w:p>
        </w:tc>
        <w:tc>
          <w:tcPr>
            <w:tcW w:w="911" w:type="dxa"/>
            <w:tcBorders>
              <w:top w:val="nil"/>
              <w:left w:val="nil"/>
              <w:bottom w:val="nil"/>
              <w:right w:val="nil"/>
            </w:tcBorders>
          </w:tcPr>
          <w:p w14:paraId="4417995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100</w:t>
            </w:r>
          </w:p>
        </w:tc>
        <w:tc>
          <w:tcPr>
            <w:tcW w:w="909" w:type="dxa"/>
            <w:tcBorders>
              <w:top w:val="nil"/>
              <w:left w:val="nil"/>
              <w:bottom w:val="nil"/>
              <w:right w:val="nil"/>
            </w:tcBorders>
          </w:tcPr>
          <w:p w14:paraId="5861B6AE"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93</w:t>
            </w:r>
          </w:p>
        </w:tc>
      </w:tr>
      <w:tr w:rsidR="00326E4D" w:rsidRPr="00F85556" w14:paraId="7C938216" w14:textId="77777777">
        <w:trPr>
          <w:trHeight w:val="332"/>
        </w:trPr>
        <w:tc>
          <w:tcPr>
            <w:tcW w:w="529" w:type="dxa"/>
            <w:tcBorders>
              <w:top w:val="nil"/>
              <w:left w:val="nil"/>
              <w:bottom w:val="single" w:sz="4" w:space="0" w:color="auto"/>
              <w:right w:val="nil"/>
            </w:tcBorders>
          </w:tcPr>
          <w:p w14:paraId="11D59F21"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1197" w:type="dxa"/>
            <w:tcBorders>
              <w:top w:val="nil"/>
              <w:left w:val="nil"/>
              <w:bottom w:val="single" w:sz="4" w:space="0" w:color="auto"/>
              <w:right w:val="nil"/>
            </w:tcBorders>
          </w:tcPr>
          <w:p w14:paraId="4B467979"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LSD</w:t>
            </w:r>
            <w:r w:rsidRPr="00F85556">
              <w:rPr>
                <w:rFonts w:cs="Times New Roman"/>
                <w:color w:val="131413"/>
                <w:sz w:val="20"/>
                <w:szCs w:val="20"/>
                <w:vertAlign w:val="subscript"/>
              </w:rPr>
              <w:t>0.05</w:t>
            </w:r>
            <w:r w:rsidRPr="00F85556">
              <w:rPr>
                <w:rFonts w:cs="Times New Roman"/>
                <w:color w:val="131413"/>
                <w:sz w:val="20"/>
                <w:szCs w:val="20"/>
                <w:vertAlign w:val="superscript"/>
              </w:rPr>
              <w:t>b</w:t>
            </w:r>
          </w:p>
        </w:tc>
        <w:tc>
          <w:tcPr>
            <w:tcW w:w="719" w:type="dxa"/>
            <w:tcBorders>
              <w:top w:val="nil"/>
              <w:left w:val="nil"/>
              <w:bottom w:val="single" w:sz="4" w:space="0" w:color="auto"/>
              <w:right w:val="nil"/>
            </w:tcBorders>
          </w:tcPr>
          <w:p w14:paraId="69AEF18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p>
        </w:tc>
        <w:tc>
          <w:tcPr>
            <w:tcW w:w="908" w:type="dxa"/>
            <w:tcBorders>
              <w:top w:val="nil"/>
              <w:left w:val="nil"/>
              <w:bottom w:val="single" w:sz="4" w:space="0" w:color="auto"/>
              <w:right w:val="nil"/>
            </w:tcBorders>
          </w:tcPr>
          <w:p w14:paraId="7775527C"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39</w:t>
            </w:r>
          </w:p>
        </w:tc>
        <w:tc>
          <w:tcPr>
            <w:tcW w:w="908" w:type="dxa"/>
            <w:tcBorders>
              <w:top w:val="nil"/>
              <w:left w:val="nil"/>
              <w:bottom w:val="single" w:sz="4" w:space="0" w:color="auto"/>
              <w:right w:val="nil"/>
            </w:tcBorders>
          </w:tcPr>
          <w:p w14:paraId="6AEA5BF3"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11</w:t>
            </w:r>
          </w:p>
        </w:tc>
        <w:tc>
          <w:tcPr>
            <w:tcW w:w="908" w:type="dxa"/>
            <w:tcBorders>
              <w:top w:val="nil"/>
              <w:left w:val="nil"/>
              <w:bottom w:val="single" w:sz="4" w:space="0" w:color="auto"/>
              <w:right w:val="nil"/>
            </w:tcBorders>
          </w:tcPr>
          <w:p w14:paraId="3BD671B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5</w:t>
            </w:r>
          </w:p>
        </w:tc>
        <w:tc>
          <w:tcPr>
            <w:tcW w:w="908" w:type="dxa"/>
            <w:tcBorders>
              <w:top w:val="nil"/>
              <w:left w:val="nil"/>
              <w:bottom w:val="single" w:sz="4" w:space="0" w:color="auto"/>
              <w:right w:val="nil"/>
            </w:tcBorders>
          </w:tcPr>
          <w:p w14:paraId="2CD442E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16</w:t>
            </w:r>
          </w:p>
        </w:tc>
        <w:tc>
          <w:tcPr>
            <w:tcW w:w="908" w:type="dxa"/>
            <w:tcBorders>
              <w:top w:val="nil"/>
              <w:left w:val="nil"/>
              <w:bottom w:val="single" w:sz="4" w:space="0" w:color="auto"/>
              <w:right w:val="nil"/>
            </w:tcBorders>
          </w:tcPr>
          <w:p w14:paraId="661698B0"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13</w:t>
            </w:r>
          </w:p>
        </w:tc>
        <w:tc>
          <w:tcPr>
            <w:tcW w:w="909" w:type="dxa"/>
            <w:tcBorders>
              <w:top w:val="nil"/>
              <w:left w:val="nil"/>
              <w:bottom w:val="single" w:sz="4" w:space="0" w:color="auto"/>
              <w:right w:val="nil"/>
            </w:tcBorders>
          </w:tcPr>
          <w:p w14:paraId="0BEC87CF"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25</w:t>
            </w:r>
          </w:p>
        </w:tc>
        <w:tc>
          <w:tcPr>
            <w:tcW w:w="908" w:type="dxa"/>
            <w:tcBorders>
              <w:top w:val="nil"/>
              <w:left w:val="nil"/>
              <w:bottom w:val="single" w:sz="4" w:space="0" w:color="auto"/>
              <w:right w:val="nil"/>
            </w:tcBorders>
          </w:tcPr>
          <w:p w14:paraId="0C22CAF2"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11</w:t>
            </w:r>
          </w:p>
        </w:tc>
        <w:tc>
          <w:tcPr>
            <w:tcW w:w="908" w:type="dxa"/>
            <w:tcBorders>
              <w:top w:val="nil"/>
              <w:left w:val="nil"/>
              <w:bottom w:val="single" w:sz="4" w:space="0" w:color="auto"/>
              <w:right w:val="nil"/>
            </w:tcBorders>
          </w:tcPr>
          <w:p w14:paraId="2DD068F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11</w:t>
            </w:r>
          </w:p>
        </w:tc>
        <w:tc>
          <w:tcPr>
            <w:tcW w:w="908" w:type="dxa"/>
            <w:tcBorders>
              <w:top w:val="nil"/>
              <w:left w:val="nil"/>
              <w:bottom w:val="single" w:sz="4" w:space="0" w:color="auto"/>
              <w:right w:val="nil"/>
            </w:tcBorders>
          </w:tcPr>
          <w:p w14:paraId="2F58081A"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13</w:t>
            </w:r>
          </w:p>
        </w:tc>
        <w:tc>
          <w:tcPr>
            <w:tcW w:w="911" w:type="dxa"/>
            <w:tcBorders>
              <w:top w:val="nil"/>
              <w:left w:val="nil"/>
              <w:bottom w:val="single" w:sz="4" w:space="0" w:color="auto"/>
              <w:right w:val="nil"/>
            </w:tcBorders>
          </w:tcPr>
          <w:p w14:paraId="5F3B99A5"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25</w:t>
            </w:r>
          </w:p>
        </w:tc>
        <w:tc>
          <w:tcPr>
            <w:tcW w:w="909" w:type="dxa"/>
            <w:tcBorders>
              <w:top w:val="nil"/>
              <w:left w:val="nil"/>
              <w:bottom w:val="single" w:sz="4" w:space="0" w:color="auto"/>
              <w:right w:val="nil"/>
            </w:tcBorders>
          </w:tcPr>
          <w:p w14:paraId="0C8244BB" w14:textId="77777777" w:rsidR="00326E4D" w:rsidRPr="00F85556" w:rsidRDefault="00326E4D" w:rsidP="00326E4D">
            <w:pPr>
              <w:widowControl w:val="0"/>
              <w:autoSpaceDE w:val="0"/>
              <w:autoSpaceDN w:val="0"/>
              <w:adjustRightInd w:val="0"/>
              <w:spacing w:line="240" w:lineRule="auto"/>
              <w:jc w:val="right"/>
              <w:rPr>
                <w:rFonts w:cs="Times New Roman"/>
                <w:color w:val="131413"/>
                <w:sz w:val="20"/>
                <w:szCs w:val="20"/>
              </w:rPr>
            </w:pPr>
            <w:r w:rsidRPr="00F85556">
              <w:rPr>
                <w:rFonts w:cs="Times New Roman"/>
                <w:color w:val="131413"/>
                <w:sz w:val="20"/>
                <w:szCs w:val="20"/>
              </w:rPr>
              <w:t>3</w:t>
            </w:r>
          </w:p>
        </w:tc>
      </w:tr>
    </w:tbl>
    <w:p w14:paraId="41F2831F" w14:textId="77777777" w:rsidR="00326E4D" w:rsidRPr="00F85556" w:rsidRDefault="00326E4D" w:rsidP="00326E4D">
      <w:pPr>
        <w:widowControl w:val="0"/>
        <w:autoSpaceDE w:val="0"/>
        <w:autoSpaceDN w:val="0"/>
        <w:adjustRightInd w:val="0"/>
        <w:spacing w:line="240" w:lineRule="auto"/>
        <w:rPr>
          <w:rFonts w:cs="Times New Roman"/>
          <w:color w:val="131413"/>
          <w:sz w:val="20"/>
          <w:szCs w:val="20"/>
        </w:rPr>
      </w:pPr>
      <w:proofErr w:type="gramStart"/>
      <w:r w:rsidRPr="00F85556">
        <w:rPr>
          <w:rFonts w:cs="Times New Roman"/>
          <w:color w:val="131413"/>
          <w:sz w:val="20"/>
          <w:szCs w:val="20"/>
          <w:vertAlign w:val="superscript"/>
        </w:rPr>
        <w:t>a</w:t>
      </w:r>
      <w:r w:rsidRPr="00F85556">
        <w:rPr>
          <w:rFonts w:cs="Times New Roman"/>
          <w:color w:val="131413"/>
          <w:sz w:val="20"/>
          <w:szCs w:val="20"/>
        </w:rPr>
        <w:t>Abbreviations</w:t>
      </w:r>
      <w:proofErr w:type="gramEnd"/>
      <w:r w:rsidRPr="00F85556">
        <w:rPr>
          <w:rFonts w:cs="Times New Roman"/>
          <w:color w:val="131413"/>
          <w:sz w:val="20"/>
          <w:szCs w:val="20"/>
        </w:rPr>
        <w:t xml:space="preserve">: DIGSA: </w:t>
      </w:r>
      <w:r w:rsidRPr="00F85556">
        <w:rPr>
          <w:rFonts w:cs="Times New Roman"/>
          <w:i/>
          <w:color w:val="131413"/>
          <w:sz w:val="20"/>
          <w:szCs w:val="20"/>
        </w:rPr>
        <w:t>Digitaria sanguinalis</w:t>
      </w:r>
      <w:r w:rsidRPr="00F85556">
        <w:rPr>
          <w:rFonts w:cs="Times New Roman"/>
          <w:color w:val="131413"/>
          <w:sz w:val="20"/>
          <w:szCs w:val="20"/>
        </w:rPr>
        <w:t xml:space="preserve">, ELEIN: </w:t>
      </w:r>
      <w:r w:rsidRPr="00F85556">
        <w:rPr>
          <w:rFonts w:cs="Times New Roman"/>
          <w:i/>
          <w:color w:val="131413"/>
          <w:sz w:val="20"/>
          <w:szCs w:val="20"/>
        </w:rPr>
        <w:t>Eleusine indica</w:t>
      </w:r>
      <w:r w:rsidRPr="00F85556">
        <w:rPr>
          <w:rFonts w:cs="Times New Roman"/>
          <w:color w:val="131413"/>
          <w:sz w:val="20"/>
          <w:szCs w:val="20"/>
        </w:rPr>
        <w:t xml:space="preserve">, AGSST: </w:t>
      </w:r>
      <w:r w:rsidRPr="00F85556">
        <w:rPr>
          <w:rFonts w:cs="Times New Roman"/>
          <w:i/>
          <w:color w:val="131413"/>
          <w:sz w:val="20"/>
          <w:szCs w:val="20"/>
        </w:rPr>
        <w:t>Agrostis stolonifera</w:t>
      </w:r>
      <w:r w:rsidRPr="00F85556">
        <w:rPr>
          <w:rFonts w:cs="Times New Roman"/>
          <w:color w:val="131413"/>
          <w:sz w:val="20"/>
          <w:szCs w:val="20"/>
        </w:rPr>
        <w:t xml:space="preserve">, POAPR: </w:t>
      </w:r>
      <w:r w:rsidRPr="00F85556">
        <w:rPr>
          <w:rFonts w:cs="Times New Roman"/>
          <w:i/>
          <w:color w:val="131413"/>
          <w:sz w:val="20"/>
          <w:szCs w:val="20"/>
        </w:rPr>
        <w:t>Poa pratensis</w:t>
      </w:r>
      <w:r w:rsidRPr="00F85556">
        <w:rPr>
          <w:rFonts w:cs="Times New Roman"/>
          <w:color w:val="131413"/>
          <w:sz w:val="20"/>
          <w:szCs w:val="20"/>
        </w:rPr>
        <w:t xml:space="preserve">, POAAN: </w:t>
      </w:r>
      <w:r w:rsidRPr="00F85556">
        <w:rPr>
          <w:rFonts w:cs="Times New Roman"/>
          <w:i/>
          <w:color w:val="131413"/>
          <w:sz w:val="20"/>
          <w:szCs w:val="20"/>
        </w:rPr>
        <w:t>Poa annua</w:t>
      </w:r>
      <w:r w:rsidRPr="00F85556">
        <w:rPr>
          <w:rFonts w:cs="Times New Roman"/>
          <w:color w:val="131413"/>
          <w:sz w:val="20"/>
          <w:szCs w:val="20"/>
        </w:rPr>
        <w:t xml:space="preserve">, CYPES: </w:t>
      </w:r>
      <w:r w:rsidRPr="00F85556">
        <w:rPr>
          <w:rFonts w:cs="Times New Roman"/>
          <w:i/>
          <w:color w:val="131413"/>
          <w:sz w:val="20"/>
          <w:szCs w:val="20"/>
        </w:rPr>
        <w:t>Cyperus esculentus</w:t>
      </w:r>
      <w:r w:rsidRPr="00F85556">
        <w:rPr>
          <w:rFonts w:cs="Times New Roman"/>
          <w:color w:val="131413"/>
          <w:sz w:val="20"/>
          <w:szCs w:val="20"/>
        </w:rPr>
        <w:t xml:space="preserve">, TRIRE: </w:t>
      </w:r>
      <w:r w:rsidRPr="00F85556">
        <w:rPr>
          <w:rFonts w:cs="Times New Roman"/>
          <w:i/>
          <w:color w:val="131413"/>
          <w:sz w:val="20"/>
          <w:szCs w:val="20"/>
        </w:rPr>
        <w:t>Trifolium repens</w:t>
      </w:r>
      <w:r w:rsidRPr="00F85556">
        <w:rPr>
          <w:rFonts w:cs="Times New Roman"/>
          <w:color w:val="131413"/>
          <w:sz w:val="20"/>
          <w:szCs w:val="20"/>
        </w:rPr>
        <w:t xml:space="preserve">, STEME: </w:t>
      </w:r>
      <w:r w:rsidRPr="00F85556">
        <w:rPr>
          <w:rFonts w:cs="Times New Roman"/>
          <w:i/>
          <w:color w:val="131413"/>
          <w:sz w:val="20"/>
          <w:szCs w:val="20"/>
        </w:rPr>
        <w:t>Stellaria media</w:t>
      </w:r>
      <w:r w:rsidRPr="00F85556">
        <w:rPr>
          <w:rFonts w:cs="Times New Roman"/>
          <w:color w:val="131413"/>
          <w:sz w:val="20"/>
          <w:szCs w:val="20"/>
        </w:rPr>
        <w:t>, PRE: Indicates control of species that was planted from seed on the day of herbicide application.</w:t>
      </w:r>
    </w:p>
    <w:p w14:paraId="0F9D234B" w14:textId="77777777" w:rsidR="00326E4D" w:rsidRPr="00F85556" w:rsidRDefault="00326E4D" w:rsidP="00326E4D">
      <w:pPr>
        <w:widowControl w:val="0"/>
        <w:autoSpaceDE w:val="0"/>
        <w:autoSpaceDN w:val="0"/>
        <w:adjustRightInd w:val="0"/>
        <w:spacing w:line="240" w:lineRule="auto"/>
        <w:rPr>
          <w:rFonts w:cs="Times New Roman"/>
          <w:color w:val="131413"/>
          <w:sz w:val="20"/>
          <w:szCs w:val="20"/>
        </w:rPr>
        <w:sectPr w:rsidR="00326E4D" w:rsidRPr="00F85556" w:rsidSect="00D222CF">
          <w:pgSz w:w="15840" w:h="12240" w:orient="landscape" w:code="1"/>
          <w:pgMar w:top="1440" w:right="1440" w:bottom="1440" w:left="1440" w:header="720" w:footer="720" w:gutter="0"/>
          <w:cols w:space="720"/>
          <w:noEndnote/>
          <w:docGrid w:linePitch="360"/>
        </w:sectPr>
      </w:pPr>
      <w:proofErr w:type="gramStart"/>
      <w:r w:rsidRPr="00F85556">
        <w:rPr>
          <w:rFonts w:cs="Times New Roman"/>
          <w:color w:val="131413"/>
          <w:sz w:val="20"/>
          <w:szCs w:val="20"/>
          <w:vertAlign w:val="superscript"/>
        </w:rPr>
        <w:t>b</w:t>
      </w:r>
      <w:r w:rsidRPr="00F85556">
        <w:rPr>
          <w:rFonts w:cs="Times New Roman"/>
          <w:color w:val="131413"/>
          <w:sz w:val="20"/>
          <w:szCs w:val="20"/>
        </w:rPr>
        <w:t>Indicates</w:t>
      </w:r>
      <w:proofErr w:type="gramEnd"/>
      <w:r w:rsidRPr="00F85556">
        <w:rPr>
          <w:rFonts w:cs="Times New Roman"/>
          <w:color w:val="131413"/>
          <w:sz w:val="20"/>
          <w:szCs w:val="20"/>
        </w:rPr>
        <w:t xml:space="preserve"> Fisher’s Protected LSD (P </w:t>
      </w:r>
      <w:r w:rsidRPr="00F85556">
        <w:rPr>
          <w:rFonts w:eastAsia="ＭＳ ゴシック" w:cs="Times New Roman"/>
          <w:color w:val="000000"/>
          <w:sz w:val="20"/>
          <w:szCs w:val="20"/>
        </w:rPr>
        <w:t>≤ 0.05</w:t>
      </w:r>
      <w:r w:rsidR="00F85556" w:rsidRPr="00F85556">
        <w:rPr>
          <w:rFonts w:eastAsia="ＭＳ ゴシック" w:cs="Times New Roman"/>
          <w:color w:val="000000"/>
          <w:sz w:val="20"/>
          <w:szCs w:val="20"/>
        </w:rPr>
        <w:t>)</w:t>
      </w:r>
    </w:p>
    <w:p w14:paraId="1A5F9E5C" w14:textId="77777777" w:rsidR="001F627E" w:rsidRDefault="001F627E" w:rsidP="006A0FA6">
      <w:pPr>
        <w:pStyle w:val="Heading1"/>
      </w:pPr>
    </w:p>
    <w:p w14:paraId="614AE60B" w14:textId="77777777" w:rsidR="001F627E" w:rsidRDefault="001F627E" w:rsidP="006A0FA6">
      <w:pPr>
        <w:pStyle w:val="Heading1"/>
      </w:pPr>
    </w:p>
    <w:p w14:paraId="11681DCC" w14:textId="77777777" w:rsidR="001F627E" w:rsidRDefault="001F627E" w:rsidP="006A0FA6">
      <w:pPr>
        <w:pStyle w:val="Heading1"/>
      </w:pPr>
    </w:p>
    <w:p w14:paraId="624BE0DE" w14:textId="77777777" w:rsidR="001F627E" w:rsidRDefault="001F627E" w:rsidP="006A0FA6">
      <w:pPr>
        <w:pStyle w:val="Heading1"/>
      </w:pPr>
    </w:p>
    <w:p w14:paraId="13FE829D" w14:textId="77777777" w:rsidR="001F627E" w:rsidRDefault="001F627E" w:rsidP="006A0FA6">
      <w:pPr>
        <w:pStyle w:val="Heading1"/>
      </w:pPr>
    </w:p>
    <w:p w14:paraId="25E56BF9" w14:textId="77777777" w:rsidR="001F627E" w:rsidRDefault="001F627E" w:rsidP="006A0FA6">
      <w:pPr>
        <w:pStyle w:val="Heading1"/>
      </w:pPr>
    </w:p>
    <w:p w14:paraId="6D6BE601" w14:textId="77777777" w:rsidR="00F91FCF" w:rsidRDefault="00F91FCF" w:rsidP="00F91FCF"/>
    <w:p w14:paraId="5F639731" w14:textId="77777777" w:rsidR="00F91FCF" w:rsidRDefault="00F91FCF" w:rsidP="00F91FCF"/>
    <w:p w14:paraId="0AAC231F" w14:textId="77777777" w:rsidR="00F91FCF" w:rsidRPr="00F91FCF" w:rsidRDefault="00F91FCF" w:rsidP="00F91FCF"/>
    <w:p w14:paraId="08CC1A75" w14:textId="77777777" w:rsidR="006A0FA6" w:rsidRDefault="006A0FA6" w:rsidP="003A1DC6">
      <w:pPr>
        <w:pStyle w:val="Heading1"/>
      </w:pPr>
      <w:bookmarkStart w:id="148" w:name="_Toc264713590"/>
      <w:bookmarkStart w:id="149" w:name="_Toc264713640"/>
      <w:bookmarkStart w:id="150" w:name="_Toc264967211"/>
      <w:r>
        <w:t>CONCLUSIONS</w:t>
      </w:r>
      <w:bookmarkEnd w:id="148"/>
      <w:bookmarkEnd w:id="149"/>
      <w:bookmarkEnd w:id="150"/>
    </w:p>
    <w:p w14:paraId="191FA4D7" w14:textId="77777777" w:rsidR="001F627E" w:rsidRPr="001F627E" w:rsidRDefault="001F627E" w:rsidP="001F627E">
      <w:pPr>
        <w:spacing w:line="240" w:lineRule="auto"/>
      </w:pPr>
      <w:r>
        <w:br w:type="page"/>
      </w:r>
    </w:p>
    <w:p w14:paraId="6E0397A1" w14:textId="77777777" w:rsidR="006A0FA6" w:rsidRDefault="006A0FA6" w:rsidP="006A0FA6">
      <w:r>
        <w:lastRenderedPageBreak/>
        <w:tab/>
      </w:r>
      <w:r w:rsidR="00BE0555">
        <w:t>N</w:t>
      </w:r>
      <w:r>
        <w:t>ew herbicide</w:t>
      </w:r>
      <w:r w:rsidR="009A3FEC">
        <w:t>s</w:t>
      </w:r>
      <w:r>
        <w:t xml:space="preserve"> </w:t>
      </w:r>
      <w:r w:rsidR="00BE0555">
        <w:t>are developed and optimized for selectivity in</w:t>
      </w:r>
      <w:r>
        <w:t xml:space="preserve"> corn</w:t>
      </w:r>
      <w:r w:rsidR="00BE0555">
        <w:t xml:space="preserve">, wheat and soybeans </w:t>
      </w:r>
      <w:r w:rsidR="009A3FEC">
        <w:t>but</w:t>
      </w:r>
      <w:r w:rsidR="00BE0555">
        <w:t xml:space="preserve"> not turfgrass. </w:t>
      </w:r>
      <w:r w:rsidR="00544353">
        <w:t xml:space="preserve">As of this writing, it is expected that few new herbicides will be released to the turfgrass market in the next several years. </w:t>
      </w:r>
      <w:r w:rsidR="0085048C">
        <w:t xml:space="preserve">Especially with the emergence of weed resistance in turfgrass systems, </w:t>
      </w:r>
      <w:r w:rsidR="009A3FEC">
        <w:t>increasing</w:t>
      </w:r>
      <w:r w:rsidR="0085048C">
        <w:t xml:space="preserve"> </w:t>
      </w:r>
      <w:r w:rsidR="000B29DD">
        <w:t xml:space="preserve">the number of </w:t>
      </w:r>
      <w:r w:rsidR="0085048C">
        <w:t xml:space="preserve">herbicide options for weed control </w:t>
      </w:r>
      <w:r w:rsidR="009A3FEC">
        <w:t>is</w:t>
      </w:r>
      <w:r w:rsidR="0085048C">
        <w:t xml:space="preserve"> important. This research </w:t>
      </w:r>
      <w:r w:rsidR="009A3FEC">
        <w:t>explores</w:t>
      </w:r>
      <w:r w:rsidR="0085048C">
        <w:t xml:space="preserve"> strategies </w:t>
      </w:r>
      <w:r w:rsidR="004A652E">
        <w:t xml:space="preserve">that </w:t>
      </w:r>
      <w:r w:rsidR="0085048C">
        <w:t xml:space="preserve">can be used to find new uses for </w:t>
      </w:r>
      <w:r w:rsidR="009A3FEC">
        <w:t>herbicides already in the marketplace</w:t>
      </w:r>
      <w:r w:rsidR="0085048C">
        <w:t xml:space="preserve">. </w:t>
      </w:r>
    </w:p>
    <w:p w14:paraId="1ADCFF4A" w14:textId="77777777" w:rsidR="00187ED7" w:rsidRDefault="00187ED7" w:rsidP="006A0FA6">
      <w:r>
        <w:tab/>
      </w:r>
      <w:r w:rsidR="00483049">
        <w:t>One strategy involved synthesizing and evaluating molecular</w:t>
      </w:r>
      <w:r w:rsidR="001F627E">
        <w:t xml:space="preserve"> analogs of the triketone herbicide mesotrione</w:t>
      </w:r>
      <w:r w:rsidR="00AA7261">
        <w:t xml:space="preserve"> that was developed for weed control</w:t>
      </w:r>
      <w:r w:rsidR="00483049">
        <w:t xml:space="preserve"> in corn</w:t>
      </w:r>
      <w:r w:rsidR="001F627E">
        <w:t xml:space="preserve">. This research determined that </w:t>
      </w:r>
      <w:r w:rsidR="001E6D10">
        <w:t>one</w:t>
      </w:r>
      <w:r w:rsidR="009A3FEC">
        <w:t xml:space="preserve"> triketone analog</w:t>
      </w:r>
      <w:r w:rsidR="001F627E">
        <w:t xml:space="preserve"> provided excellent goosegrass</w:t>
      </w:r>
      <w:r w:rsidR="009A3FEC">
        <w:t xml:space="preserve"> control</w:t>
      </w:r>
      <w:r w:rsidR="001F627E">
        <w:t xml:space="preserve"> and did not injure creeping bentgrass.</w:t>
      </w:r>
    </w:p>
    <w:p w14:paraId="2B3A80D7" w14:textId="3C63F851" w:rsidR="003E41DA" w:rsidRDefault="0085048C" w:rsidP="006A0FA6">
      <w:r>
        <w:tab/>
      </w:r>
      <w:r w:rsidR="001E6D10">
        <w:t>Another</w:t>
      </w:r>
      <w:r w:rsidR="00411836">
        <w:t xml:space="preserve"> strategy that has received limited investigation in </w:t>
      </w:r>
      <w:proofErr w:type="gramStart"/>
      <w:r w:rsidR="00411836">
        <w:t>turfgrass,</w:t>
      </w:r>
      <w:proofErr w:type="gramEnd"/>
      <w:r w:rsidR="00411836">
        <w:t xml:space="preserve"> uses compounds described as herbicide safeners to increase tolerance of desirable plant</w:t>
      </w:r>
      <w:r w:rsidR="003E41DA">
        <w:t>s</w:t>
      </w:r>
      <w:r w:rsidR="00411836">
        <w:t xml:space="preserve"> to a herbicide. The herbicide t</w:t>
      </w:r>
      <w:r w:rsidR="00C53C62">
        <w:t>opramezone can cause injury to</w:t>
      </w:r>
      <w:r>
        <w:t xml:space="preserve"> creeping bentgrass</w:t>
      </w:r>
      <w:r w:rsidR="00C53C62">
        <w:t xml:space="preserve"> at rates that effectively control weeds and thus applications are</w:t>
      </w:r>
      <w:r>
        <w:t xml:space="preserve"> </w:t>
      </w:r>
      <w:r w:rsidR="00C53C62">
        <w:t>prohibited</w:t>
      </w:r>
      <w:r>
        <w:t xml:space="preserve">. Several experiments determined that the herbicide safener cloquintocet-mexyl </w:t>
      </w:r>
      <w:proofErr w:type="gramStart"/>
      <w:r>
        <w:t>can</w:t>
      </w:r>
      <w:proofErr w:type="gramEnd"/>
      <w:r>
        <w:t xml:space="preserve"> increase creeping bentgrass tolerance to topramezone without reducing control of large crabgrass or goosegrass. </w:t>
      </w:r>
      <w:r w:rsidR="00411836">
        <w:t>Additional research demonstrated that creeping bentgrass tolerance to topramezone is influenced by cytochrome P450 mono</w:t>
      </w:r>
      <w:r w:rsidR="00904173">
        <w:t>o</w:t>
      </w:r>
      <w:r w:rsidR="00411836">
        <w:t>x</w:t>
      </w:r>
      <w:r w:rsidR="00904173">
        <w:t>y</w:t>
      </w:r>
      <w:r w:rsidR="00411836">
        <w:t xml:space="preserve">genases. This is one mechanism by which </w:t>
      </w:r>
      <w:r w:rsidR="00187ED7">
        <w:t xml:space="preserve">herbicide safeners may increase creeping bentgrass tolerance to topramezone. Other experiments determined that the herbicide safeners cloquintocet-mexyl and mefenpyr-diethyl </w:t>
      </w:r>
      <w:proofErr w:type="gramStart"/>
      <w:r w:rsidR="00187ED7">
        <w:t>can</w:t>
      </w:r>
      <w:proofErr w:type="gramEnd"/>
      <w:r w:rsidR="00187ED7">
        <w:t xml:space="preserve"> reduce pinoxaden injury to creeping bentgrass. These safeners did not reduce pinoxaden efficacy against perennial ryegrass, but slightly</w:t>
      </w:r>
      <w:r w:rsidR="00904173">
        <w:t xml:space="preserve"> reduced efficacy against rough</w:t>
      </w:r>
      <w:r w:rsidR="00187ED7">
        <w:t xml:space="preserve">stalk bluegrass. </w:t>
      </w:r>
      <w:r>
        <w:t xml:space="preserve">Field research </w:t>
      </w:r>
      <w:r w:rsidR="00187ED7">
        <w:t>is</w:t>
      </w:r>
      <w:r>
        <w:t xml:space="preserve"> needed to develop </w:t>
      </w:r>
      <w:r w:rsidR="00187ED7">
        <w:t>topramezone and pinoxaden</w:t>
      </w:r>
      <w:r w:rsidR="000B29DD">
        <w:t xml:space="preserve"> </w:t>
      </w:r>
      <w:r w:rsidR="00187ED7">
        <w:t>in combination</w:t>
      </w:r>
      <w:r>
        <w:t xml:space="preserve"> </w:t>
      </w:r>
      <w:r w:rsidR="00187ED7">
        <w:t>with herbicide safeners</w:t>
      </w:r>
      <w:r w:rsidR="000B29DD">
        <w:t xml:space="preserve"> for use in creeping bentgrass</w:t>
      </w:r>
      <w:r>
        <w:t>.</w:t>
      </w:r>
    </w:p>
    <w:p w14:paraId="7E6D9277" w14:textId="77777777" w:rsidR="0085048C" w:rsidRPr="006A0FA6" w:rsidRDefault="003E41DA" w:rsidP="003E41DA">
      <w:pPr>
        <w:spacing w:line="240" w:lineRule="auto"/>
      </w:pPr>
      <w:r>
        <w:br w:type="page"/>
      </w:r>
    </w:p>
    <w:p w14:paraId="4C98E1AE" w14:textId="77777777" w:rsidR="003D63DF" w:rsidRDefault="00526151" w:rsidP="006A0FA6">
      <w:pPr>
        <w:pStyle w:val="Heading1"/>
      </w:pPr>
      <w:bookmarkStart w:id="151" w:name="_Toc264713591"/>
      <w:bookmarkStart w:id="152" w:name="_Toc264713641"/>
      <w:bookmarkStart w:id="153" w:name="_Toc264967212"/>
      <w:r w:rsidRPr="000A6C0C">
        <w:lastRenderedPageBreak/>
        <w:t>VITA</w:t>
      </w:r>
      <w:bookmarkEnd w:id="119"/>
      <w:bookmarkEnd w:id="120"/>
      <w:bookmarkEnd w:id="151"/>
      <w:bookmarkEnd w:id="152"/>
      <w:bookmarkEnd w:id="153"/>
    </w:p>
    <w:p w14:paraId="2016B332" w14:textId="77777777" w:rsidR="00B0579E" w:rsidRPr="00B0579E" w:rsidRDefault="00B0579E" w:rsidP="00B0579E">
      <w:pPr>
        <w:ind w:firstLine="720"/>
        <w:rPr>
          <w:rFonts w:cs="Times New Roman"/>
        </w:rPr>
      </w:pPr>
      <w:r w:rsidRPr="00B0579E">
        <w:rPr>
          <w:rFonts w:cs="Times New Roman"/>
        </w:rPr>
        <w:t xml:space="preserve">Matthew Thomas Elmore was born on July 6, 1987 in Columbia S.C. to Donna and Jim Elmore. Raised in Lugoff, S.C., </w:t>
      </w:r>
      <w:r>
        <w:rPr>
          <w:rFonts w:cs="Times New Roman"/>
        </w:rPr>
        <w:t>he</w:t>
      </w:r>
      <w:r w:rsidRPr="00B0579E">
        <w:rPr>
          <w:rFonts w:cs="Times New Roman"/>
        </w:rPr>
        <w:t xml:space="preserve"> eventually relocate</w:t>
      </w:r>
      <w:r>
        <w:rPr>
          <w:rFonts w:cs="Times New Roman"/>
        </w:rPr>
        <w:t>d</w:t>
      </w:r>
      <w:r w:rsidRPr="00B0579E">
        <w:rPr>
          <w:rFonts w:cs="Times New Roman"/>
        </w:rPr>
        <w:t xml:space="preserve"> with his family to Lincoln University, PA at the age of 5. He attended St. Mark’s High School in nearby Wilmington, DE and graduated in 2005. Enrolling in the Turfgrass Science program at Penn State University, he </w:t>
      </w:r>
      <w:r w:rsidR="002B60F6" w:rsidRPr="00B0579E">
        <w:rPr>
          <w:rFonts w:cs="Times New Roman"/>
        </w:rPr>
        <w:t>graduated</w:t>
      </w:r>
      <w:r w:rsidRPr="00B0579E">
        <w:rPr>
          <w:rFonts w:cs="Times New Roman"/>
        </w:rPr>
        <w:t xml:space="preserve"> in 2009 with a B.S. degree. He </w:t>
      </w:r>
      <w:r>
        <w:rPr>
          <w:rFonts w:cs="Times New Roman"/>
        </w:rPr>
        <w:t>graduated with an M.S. degree from</w:t>
      </w:r>
      <w:r w:rsidRPr="00B0579E">
        <w:rPr>
          <w:rFonts w:cs="Times New Roman"/>
        </w:rPr>
        <w:t xml:space="preserve"> the University of Tennessee</w:t>
      </w:r>
      <w:r>
        <w:rPr>
          <w:rFonts w:cs="Times New Roman"/>
        </w:rPr>
        <w:t xml:space="preserve"> in 2011</w:t>
      </w:r>
      <w:r w:rsidRPr="00B0579E">
        <w:rPr>
          <w:rFonts w:cs="Times New Roman"/>
        </w:rPr>
        <w:t xml:space="preserve">. </w:t>
      </w:r>
      <w:r>
        <w:rPr>
          <w:rFonts w:cs="Times New Roman"/>
        </w:rPr>
        <w:t>Matt plans work as an Assistant Professor and Turfgrass Extension Specialist at Texas A&amp;M University in Dallas, Texas after graduation.</w:t>
      </w:r>
    </w:p>
    <w:p w14:paraId="21E5369E" w14:textId="77777777" w:rsidR="003D63DF" w:rsidRPr="005E54E2" w:rsidRDefault="003D63DF" w:rsidP="005E54E2"/>
    <w:sectPr w:rsidR="003D63DF" w:rsidRPr="005E54E2" w:rsidSect="00D222CF">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E31BDB" w14:textId="77777777" w:rsidR="007B15FB" w:rsidRDefault="007B15FB" w:rsidP="005E54E2">
      <w:r>
        <w:separator/>
      </w:r>
    </w:p>
    <w:p w14:paraId="7EB059E0" w14:textId="77777777" w:rsidR="007B15FB" w:rsidRDefault="007B15FB" w:rsidP="005E54E2"/>
    <w:p w14:paraId="4E74E4DA" w14:textId="77777777" w:rsidR="007B15FB" w:rsidRDefault="007B15FB" w:rsidP="005E54E2"/>
    <w:p w14:paraId="757C7069" w14:textId="77777777" w:rsidR="007B15FB" w:rsidRDefault="007B15FB" w:rsidP="005E54E2"/>
  </w:endnote>
  <w:endnote w:type="continuationSeparator" w:id="0">
    <w:p w14:paraId="62BA27FA" w14:textId="77777777" w:rsidR="007B15FB" w:rsidRDefault="007B15FB" w:rsidP="005E54E2">
      <w:r>
        <w:continuationSeparator/>
      </w:r>
    </w:p>
    <w:p w14:paraId="1A9C7FC8" w14:textId="77777777" w:rsidR="007B15FB" w:rsidRDefault="007B15FB" w:rsidP="005E54E2"/>
    <w:p w14:paraId="00DEECF5" w14:textId="77777777" w:rsidR="007B15FB" w:rsidRDefault="007B15FB" w:rsidP="005E54E2"/>
    <w:p w14:paraId="0335298E" w14:textId="77777777" w:rsidR="007B15FB" w:rsidRDefault="007B15F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0000012" w:usb3="00000000" w:csb0="0002009F" w:csb1="00000000"/>
  </w:font>
  <w:font w:name="?????? Pro W3">
    <w:altName w:val="MS Mincho"/>
    <w:panose1 w:val="00000000000000000000"/>
    <w:charset w:val="80"/>
    <w:family w:val="auto"/>
    <w:notTrueType/>
    <w:pitch w:val="variable"/>
    <w:sig w:usb0="00000001" w:usb1="08070000" w:usb2="00000010" w:usb3="00000000" w:csb0="00020000" w:csb1="00000000"/>
  </w:font>
  <w:font w:name="Code">
    <w:altName w:val="Cambria"/>
    <w:panose1 w:val="00000000000000000000"/>
    <w:charset w:val="00"/>
    <w:family w:val="swiss"/>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Times-Bold">
    <w:altName w:val="Times"/>
    <w:panose1 w:val="00000000000000000000"/>
    <w:charset w:val="4D"/>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49376" w14:textId="77777777" w:rsidR="007B15FB" w:rsidRDefault="007B15FB" w:rsidP="00B843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9A1175" w14:textId="77777777" w:rsidR="007B15FB" w:rsidRDefault="007B15FB" w:rsidP="007C372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D4AF2" w14:textId="77777777" w:rsidR="007B15FB" w:rsidRDefault="007B15FB" w:rsidP="00B843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3942">
      <w:rPr>
        <w:rStyle w:val="PageNumber"/>
        <w:noProof/>
      </w:rPr>
      <w:t>115</w:t>
    </w:r>
    <w:r>
      <w:rPr>
        <w:rStyle w:val="PageNumber"/>
      </w:rPr>
      <w:fldChar w:fldCharType="end"/>
    </w:r>
  </w:p>
  <w:p w14:paraId="31510047" w14:textId="77777777" w:rsidR="007B15FB" w:rsidRDefault="007B15FB" w:rsidP="007C372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E54B0D" w14:textId="77777777" w:rsidR="007B15FB" w:rsidRDefault="007B15FB" w:rsidP="005E54E2">
      <w:r>
        <w:separator/>
      </w:r>
    </w:p>
    <w:p w14:paraId="107D25B7" w14:textId="77777777" w:rsidR="007B15FB" w:rsidRDefault="007B15FB" w:rsidP="005E54E2"/>
    <w:p w14:paraId="2C1C97DA" w14:textId="77777777" w:rsidR="007B15FB" w:rsidRDefault="007B15FB" w:rsidP="005E54E2"/>
    <w:p w14:paraId="5FFA4CC7" w14:textId="77777777" w:rsidR="007B15FB" w:rsidRDefault="007B15FB" w:rsidP="005E54E2"/>
  </w:footnote>
  <w:footnote w:type="continuationSeparator" w:id="0">
    <w:p w14:paraId="29574B0B" w14:textId="77777777" w:rsidR="007B15FB" w:rsidRDefault="007B15FB" w:rsidP="005E54E2">
      <w:r>
        <w:continuationSeparator/>
      </w:r>
    </w:p>
    <w:p w14:paraId="14E69FAB" w14:textId="77777777" w:rsidR="007B15FB" w:rsidRDefault="007B15FB" w:rsidP="005E54E2"/>
    <w:p w14:paraId="6E881F36" w14:textId="77777777" w:rsidR="007B15FB" w:rsidRDefault="007B15FB" w:rsidP="005E54E2"/>
    <w:p w14:paraId="77224E61" w14:textId="77777777" w:rsidR="007B15FB" w:rsidRDefault="007B15FB" w:rsidP="005E54E2"/>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9C23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61576D"/>
    <w:multiLevelType w:val="hybridMultilevel"/>
    <w:tmpl w:val="52FC0D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3B847365"/>
    <w:multiLevelType w:val="hybridMultilevel"/>
    <w:tmpl w:val="A4A84056"/>
    <w:lvl w:ilvl="0" w:tplc="E11EBAB6">
      <w:start w:val="1"/>
      <w:numFmt w:val="bullet"/>
      <w:lvlText w:val=""/>
      <w:lvlJc w:val="left"/>
      <w:pPr>
        <w:ind w:left="360" w:hanging="360"/>
      </w:pPr>
      <w:rPr>
        <w:rFonts w:ascii="Wingdings" w:hAnsi="Wingdings" w:hint="default"/>
        <w:sz w:val="28"/>
        <w:szCs w:val="28"/>
      </w:rPr>
    </w:lvl>
    <w:lvl w:ilvl="1" w:tplc="B8A62C98">
      <w:start w:val="1"/>
      <w:numFmt w:val="bullet"/>
      <w:lvlText w:val=""/>
      <w:lvlJc w:val="left"/>
      <w:pPr>
        <w:ind w:left="2880" w:hanging="360"/>
      </w:pPr>
      <w:rPr>
        <w:rFonts w:ascii="Symbol" w:hAnsi="Symbol" w:hint="default"/>
        <w:sz w:val="24"/>
        <w:szCs w:val="24"/>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Wingdings" w:hint="default"/>
      </w:rPr>
    </w:lvl>
    <w:lvl w:ilvl="5" w:tplc="04090005">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Wingdings"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41DD01CB"/>
    <w:multiLevelType w:val="hybridMultilevel"/>
    <w:tmpl w:val="09962034"/>
    <w:lvl w:ilvl="0" w:tplc="E11EBAB6">
      <w:start w:val="1"/>
      <w:numFmt w:val="bullet"/>
      <w:lvlText w:val=""/>
      <w:lvlJc w:val="left"/>
      <w:pPr>
        <w:ind w:left="2160" w:hanging="360"/>
      </w:pPr>
      <w:rPr>
        <w:rFonts w:ascii="Wingdings" w:hAnsi="Wingdings" w:hint="default"/>
        <w:sz w:val="28"/>
        <w:szCs w:val="28"/>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422A14E2"/>
    <w:multiLevelType w:val="hybridMultilevel"/>
    <w:tmpl w:val="BB52D6C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removePersonalInformation/>
  <w:removeDateAndTime/>
  <w:proofState w:grammar="clean"/>
  <w:attachedTemplate r:id="rId1"/>
  <w:stylePaneFormatFilter w:val="3708" w:allStyles="0" w:customStyles="0" w:latentStyles="0" w:stylesInUse="1"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2D3"/>
    <w:rsid w:val="00000AA7"/>
    <w:rsid w:val="00003F6A"/>
    <w:rsid w:val="00014A3E"/>
    <w:rsid w:val="00015438"/>
    <w:rsid w:val="000166A9"/>
    <w:rsid w:val="00035E7F"/>
    <w:rsid w:val="00051F58"/>
    <w:rsid w:val="000541CA"/>
    <w:rsid w:val="00057004"/>
    <w:rsid w:val="00061931"/>
    <w:rsid w:val="00071FB8"/>
    <w:rsid w:val="00076A95"/>
    <w:rsid w:val="00081EC5"/>
    <w:rsid w:val="000841DC"/>
    <w:rsid w:val="00085A62"/>
    <w:rsid w:val="000A2244"/>
    <w:rsid w:val="000A6C0C"/>
    <w:rsid w:val="000B29DD"/>
    <w:rsid w:val="000B5C42"/>
    <w:rsid w:val="000D7C08"/>
    <w:rsid w:val="000E693C"/>
    <w:rsid w:val="000E74B5"/>
    <w:rsid w:val="000F239D"/>
    <w:rsid w:val="0010217F"/>
    <w:rsid w:val="00106AAF"/>
    <w:rsid w:val="00110EA5"/>
    <w:rsid w:val="00141864"/>
    <w:rsid w:val="00142CDF"/>
    <w:rsid w:val="001445D0"/>
    <w:rsid w:val="00145443"/>
    <w:rsid w:val="00160114"/>
    <w:rsid w:val="00160E5E"/>
    <w:rsid w:val="001632E4"/>
    <w:rsid w:val="001701FD"/>
    <w:rsid w:val="001768EE"/>
    <w:rsid w:val="00183517"/>
    <w:rsid w:val="001854FB"/>
    <w:rsid w:val="00187ED7"/>
    <w:rsid w:val="00193642"/>
    <w:rsid w:val="00193C29"/>
    <w:rsid w:val="001B1034"/>
    <w:rsid w:val="001B199C"/>
    <w:rsid w:val="001C39F6"/>
    <w:rsid w:val="001C66FE"/>
    <w:rsid w:val="001C7423"/>
    <w:rsid w:val="001D2278"/>
    <w:rsid w:val="001D3D0F"/>
    <w:rsid w:val="001D4908"/>
    <w:rsid w:val="001D6904"/>
    <w:rsid w:val="001E6D10"/>
    <w:rsid w:val="001F0E7B"/>
    <w:rsid w:val="001F43C1"/>
    <w:rsid w:val="001F522F"/>
    <w:rsid w:val="001F627E"/>
    <w:rsid w:val="002004FA"/>
    <w:rsid w:val="00205FC7"/>
    <w:rsid w:val="002126F1"/>
    <w:rsid w:val="00215C1D"/>
    <w:rsid w:val="00236E6D"/>
    <w:rsid w:val="002429E5"/>
    <w:rsid w:val="002612A5"/>
    <w:rsid w:val="00261E9B"/>
    <w:rsid w:val="00280CEF"/>
    <w:rsid w:val="0028757A"/>
    <w:rsid w:val="002A3264"/>
    <w:rsid w:val="002A71E5"/>
    <w:rsid w:val="002B4930"/>
    <w:rsid w:val="002B537B"/>
    <w:rsid w:val="002B60F6"/>
    <w:rsid w:val="002D4629"/>
    <w:rsid w:val="002E0C33"/>
    <w:rsid w:val="002E2492"/>
    <w:rsid w:val="002E5F14"/>
    <w:rsid w:val="002F1E66"/>
    <w:rsid w:val="002F6A45"/>
    <w:rsid w:val="002F6C76"/>
    <w:rsid w:val="002F78F1"/>
    <w:rsid w:val="002F7D0E"/>
    <w:rsid w:val="00304BD0"/>
    <w:rsid w:val="00307D77"/>
    <w:rsid w:val="00313E9E"/>
    <w:rsid w:val="003150D5"/>
    <w:rsid w:val="003206F1"/>
    <w:rsid w:val="00320F78"/>
    <w:rsid w:val="00326E4D"/>
    <w:rsid w:val="00334400"/>
    <w:rsid w:val="003348A6"/>
    <w:rsid w:val="003420F7"/>
    <w:rsid w:val="00343180"/>
    <w:rsid w:val="003438EC"/>
    <w:rsid w:val="003557E2"/>
    <w:rsid w:val="0035768F"/>
    <w:rsid w:val="00360B3C"/>
    <w:rsid w:val="0036251E"/>
    <w:rsid w:val="00372604"/>
    <w:rsid w:val="00376E16"/>
    <w:rsid w:val="0038177C"/>
    <w:rsid w:val="003836EB"/>
    <w:rsid w:val="00387024"/>
    <w:rsid w:val="00387656"/>
    <w:rsid w:val="003A116A"/>
    <w:rsid w:val="003A1DC6"/>
    <w:rsid w:val="003A4E9F"/>
    <w:rsid w:val="003C070F"/>
    <w:rsid w:val="003C1575"/>
    <w:rsid w:val="003C6DA1"/>
    <w:rsid w:val="003C7FC5"/>
    <w:rsid w:val="003D07F7"/>
    <w:rsid w:val="003D5275"/>
    <w:rsid w:val="003D63DF"/>
    <w:rsid w:val="003D737F"/>
    <w:rsid w:val="003E15FA"/>
    <w:rsid w:val="003E1903"/>
    <w:rsid w:val="003E3B06"/>
    <w:rsid w:val="003E41DA"/>
    <w:rsid w:val="003F4620"/>
    <w:rsid w:val="003F7474"/>
    <w:rsid w:val="00402D4D"/>
    <w:rsid w:val="00404616"/>
    <w:rsid w:val="00407B6A"/>
    <w:rsid w:val="00411836"/>
    <w:rsid w:val="00414400"/>
    <w:rsid w:val="00415F6B"/>
    <w:rsid w:val="00421CD4"/>
    <w:rsid w:val="00422932"/>
    <w:rsid w:val="00427833"/>
    <w:rsid w:val="0043151E"/>
    <w:rsid w:val="00436471"/>
    <w:rsid w:val="004367FB"/>
    <w:rsid w:val="0044196E"/>
    <w:rsid w:val="004426FF"/>
    <w:rsid w:val="00443E7E"/>
    <w:rsid w:val="00455D5B"/>
    <w:rsid w:val="00465DC1"/>
    <w:rsid w:val="00474210"/>
    <w:rsid w:val="00480B96"/>
    <w:rsid w:val="00480F7A"/>
    <w:rsid w:val="0048303E"/>
    <w:rsid w:val="00483049"/>
    <w:rsid w:val="00486C6C"/>
    <w:rsid w:val="0049004B"/>
    <w:rsid w:val="004920F6"/>
    <w:rsid w:val="00493942"/>
    <w:rsid w:val="004A3B6A"/>
    <w:rsid w:val="004A652E"/>
    <w:rsid w:val="004A67E8"/>
    <w:rsid w:val="004B5024"/>
    <w:rsid w:val="004C2071"/>
    <w:rsid w:val="004C3D65"/>
    <w:rsid w:val="004C5155"/>
    <w:rsid w:val="004D5D7E"/>
    <w:rsid w:val="004D6472"/>
    <w:rsid w:val="00503016"/>
    <w:rsid w:val="005044A1"/>
    <w:rsid w:val="005049EE"/>
    <w:rsid w:val="00513836"/>
    <w:rsid w:val="005152EB"/>
    <w:rsid w:val="00526151"/>
    <w:rsid w:val="00534AE5"/>
    <w:rsid w:val="00544353"/>
    <w:rsid w:val="00547A4B"/>
    <w:rsid w:val="00575852"/>
    <w:rsid w:val="0057749A"/>
    <w:rsid w:val="00593703"/>
    <w:rsid w:val="00597D3F"/>
    <w:rsid w:val="005A36A8"/>
    <w:rsid w:val="005A4062"/>
    <w:rsid w:val="005B79E9"/>
    <w:rsid w:val="005D334A"/>
    <w:rsid w:val="005E2E34"/>
    <w:rsid w:val="005E3815"/>
    <w:rsid w:val="005E4912"/>
    <w:rsid w:val="005E54E2"/>
    <w:rsid w:val="005E6F1F"/>
    <w:rsid w:val="005F44D1"/>
    <w:rsid w:val="00600D5D"/>
    <w:rsid w:val="00611B90"/>
    <w:rsid w:val="00621129"/>
    <w:rsid w:val="00626CEE"/>
    <w:rsid w:val="00633916"/>
    <w:rsid w:val="00634769"/>
    <w:rsid w:val="00641D2B"/>
    <w:rsid w:val="00652687"/>
    <w:rsid w:val="00657755"/>
    <w:rsid w:val="00662D3E"/>
    <w:rsid w:val="00665C7E"/>
    <w:rsid w:val="0066734F"/>
    <w:rsid w:val="0067070F"/>
    <w:rsid w:val="00672DDD"/>
    <w:rsid w:val="00676C91"/>
    <w:rsid w:val="00690B77"/>
    <w:rsid w:val="00694C85"/>
    <w:rsid w:val="006A0FA6"/>
    <w:rsid w:val="006A12B2"/>
    <w:rsid w:val="006A40FC"/>
    <w:rsid w:val="006A74BB"/>
    <w:rsid w:val="006B340C"/>
    <w:rsid w:val="006C4000"/>
    <w:rsid w:val="006C621F"/>
    <w:rsid w:val="006D5A56"/>
    <w:rsid w:val="006E06A4"/>
    <w:rsid w:val="006E56E8"/>
    <w:rsid w:val="006E5B01"/>
    <w:rsid w:val="006F5AA4"/>
    <w:rsid w:val="00711200"/>
    <w:rsid w:val="007139E2"/>
    <w:rsid w:val="0072397F"/>
    <w:rsid w:val="00723CA4"/>
    <w:rsid w:val="00727250"/>
    <w:rsid w:val="00727411"/>
    <w:rsid w:val="00731922"/>
    <w:rsid w:val="00731ACB"/>
    <w:rsid w:val="007368AD"/>
    <w:rsid w:val="0074133D"/>
    <w:rsid w:val="0075196D"/>
    <w:rsid w:val="0075558C"/>
    <w:rsid w:val="007610F6"/>
    <w:rsid w:val="00761C77"/>
    <w:rsid w:val="00761EFA"/>
    <w:rsid w:val="00764873"/>
    <w:rsid w:val="0077532F"/>
    <w:rsid w:val="007778DD"/>
    <w:rsid w:val="00780FF0"/>
    <w:rsid w:val="00787617"/>
    <w:rsid w:val="00791512"/>
    <w:rsid w:val="00796693"/>
    <w:rsid w:val="007A4F7A"/>
    <w:rsid w:val="007B15FB"/>
    <w:rsid w:val="007C0D45"/>
    <w:rsid w:val="007C372C"/>
    <w:rsid w:val="007C55C0"/>
    <w:rsid w:val="007C5980"/>
    <w:rsid w:val="007C69F5"/>
    <w:rsid w:val="007C7591"/>
    <w:rsid w:val="007D1C7E"/>
    <w:rsid w:val="007D5CD5"/>
    <w:rsid w:val="007E36E4"/>
    <w:rsid w:val="007E7469"/>
    <w:rsid w:val="007F6AE9"/>
    <w:rsid w:val="008048D1"/>
    <w:rsid w:val="00823063"/>
    <w:rsid w:val="00825933"/>
    <w:rsid w:val="00826D54"/>
    <w:rsid w:val="00834CBF"/>
    <w:rsid w:val="00836F89"/>
    <w:rsid w:val="008459B1"/>
    <w:rsid w:val="00846459"/>
    <w:rsid w:val="0085048C"/>
    <w:rsid w:val="00854185"/>
    <w:rsid w:val="00854A95"/>
    <w:rsid w:val="0085757D"/>
    <w:rsid w:val="00863435"/>
    <w:rsid w:val="0086365A"/>
    <w:rsid w:val="00871FF9"/>
    <w:rsid w:val="00872827"/>
    <w:rsid w:val="0087349A"/>
    <w:rsid w:val="0087532D"/>
    <w:rsid w:val="008865B6"/>
    <w:rsid w:val="00895DF4"/>
    <w:rsid w:val="008A3505"/>
    <w:rsid w:val="008A3BE2"/>
    <w:rsid w:val="008A7971"/>
    <w:rsid w:val="008B0A19"/>
    <w:rsid w:val="008B1A4D"/>
    <w:rsid w:val="008C01C7"/>
    <w:rsid w:val="008C2F02"/>
    <w:rsid w:val="008C6084"/>
    <w:rsid w:val="008D589C"/>
    <w:rsid w:val="008E7085"/>
    <w:rsid w:val="008F4ACD"/>
    <w:rsid w:val="008F60C3"/>
    <w:rsid w:val="00904173"/>
    <w:rsid w:val="00904969"/>
    <w:rsid w:val="00912A68"/>
    <w:rsid w:val="009172B3"/>
    <w:rsid w:val="009254D6"/>
    <w:rsid w:val="0092669B"/>
    <w:rsid w:val="00926B77"/>
    <w:rsid w:val="0092717D"/>
    <w:rsid w:val="0093163E"/>
    <w:rsid w:val="00932335"/>
    <w:rsid w:val="00936436"/>
    <w:rsid w:val="00945F16"/>
    <w:rsid w:val="00966BAC"/>
    <w:rsid w:val="009727CD"/>
    <w:rsid w:val="00973F56"/>
    <w:rsid w:val="009757E0"/>
    <w:rsid w:val="00975E37"/>
    <w:rsid w:val="0097669C"/>
    <w:rsid w:val="009919A8"/>
    <w:rsid w:val="009A2ABE"/>
    <w:rsid w:val="009A36A9"/>
    <w:rsid w:val="009A3783"/>
    <w:rsid w:val="009A3FEC"/>
    <w:rsid w:val="009A6A2F"/>
    <w:rsid w:val="009B5B6F"/>
    <w:rsid w:val="009C755C"/>
    <w:rsid w:val="009C7681"/>
    <w:rsid w:val="009C780F"/>
    <w:rsid w:val="009D10FC"/>
    <w:rsid w:val="009D794C"/>
    <w:rsid w:val="009E13A3"/>
    <w:rsid w:val="00A22D88"/>
    <w:rsid w:val="00A22F31"/>
    <w:rsid w:val="00A23AE6"/>
    <w:rsid w:val="00A25353"/>
    <w:rsid w:val="00A34F5F"/>
    <w:rsid w:val="00A46A68"/>
    <w:rsid w:val="00A50EE9"/>
    <w:rsid w:val="00A514E1"/>
    <w:rsid w:val="00A847CB"/>
    <w:rsid w:val="00A86F48"/>
    <w:rsid w:val="00A91169"/>
    <w:rsid w:val="00AA3E0C"/>
    <w:rsid w:val="00AA45E0"/>
    <w:rsid w:val="00AA7261"/>
    <w:rsid w:val="00AB405B"/>
    <w:rsid w:val="00AB4882"/>
    <w:rsid w:val="00AB5492"/>
    <w:rsid w:val="00AC2853"/>
    <w:rsid w:val="00AC5147"/>
    <w:rsid w:val="00AD0A33"/>
    <w:rsid w:val="00AE0982"/>
    <w:rsid w:val="00AE6387"/>
    <w:rsid w:val="00B0272E"/>
    <w:rsid w:val="00B0579E"/>
    <w:rsid w:val="00B07524"/>
    <w:rsid w:val="00B113E7"/>
    <w:rsid w:val="00B22106"/>
    <w:rsid w:val="00B23665"/>
    <w:rsid w:val="00B23670"/>
    <w:rsid w:val="00B35B7C"/>
    <w:rsid w:val="00B37974"/>
    <w:rsid w:val="00B41392"/>
    <w:rsid w:val="00B5155E"/>
    <w:rsid w:val="00B53C15"/>
    <w:rsid w:val="00B7746D"/>
    <w:rsid w:val="00B82857"/>
    <w:rsid w:val="00B84302"/>
    <w:rsid w:val="00B90095"/>
    <w:rsid w:val="00B955C0"/>
    <w:rsid w:val="00BC02EE"/>
    <w:rsid w:val="00BD1B3D"/>
    <w:rsid w:val="00BD3522"/>
    <w:rsid w:val="00BD43E6"/>
    <w:rsid w:val="00BE0555"/>
    <w:rsid w:val="00BF266E"/>
    <w:rsid w:val="00C00B8F"/>
    <w:rsid w:val="00C070B8"/>
    <w:rsid w:val="00C0799A"/>
    <w:rsid w:val="00C11D0D"/>
    <w:rsid w:val="00C23F5B"/>
    <w:rsid w:val="00C509C3"/>
    <w:rsid w:val="00C50A17"/>
    <w:rsid w:val="00C5272C"/>
    <w:rsid w:val="00C53C62"/>
    <w:rsid w:val="00C605A8"/>
    <w:rsid w:val="00C70EAE"/>
    <w:rsid w:val="00C76914"/>
    <w:rsid w:val="00C8173C"/>
    <w:rsid w:val="00C83B65"/>
    <w:rsid w:val="00C8757C"/>
    <w:rsid w:val="00C915A9"/>
    <w:rsid w:val="00CB31B6"/>
    <w:rsid w:val="00CD50B5"/>
    <w:rsid w:val="00CD5E79"/>
    <w:rsid w:val="00CD73A9"/>
    <w:rsid w:val="00CE2B34"/>
    <w:rsid w:val="00CE3A3E"/>
    <w:rsid w:val="00CE4D4B"/>
    <w:rsid w:val="00CF2FD5"/>
    <w:rsid w:val="00D0223E"/>
    <w:rsid w:val="00D02491"/>
    <w:rsid w:val="00D051D8"/>
    <w:rsid w:val="00D06F12"/>
    <w:rsid w:val="00D21EF3"/>
    <w:rsid w:val="00D222CF"/>
    <w:rsid w:val="00D27D2E"/>
    <w:rsid w:val="00D32B9B"/>
    <w:rsid w:val="00D41205"/>
    <w:rsid w:val="00D46790"/>
    <w:rsid w:val="00D560D4"/>
    <w:rsid w:val="00D562D3"/>
    <w:rsid w:val="00D56C61"/>
    <w:rsid w:val="00D6504C"/>
    <w:rsid w:val="00D6654B"/>
    <w:rsid w:val="00D73F4D"/>
    <w:rsid w:val="00D75B85"/>
    <w:rsid w:val="00D82E57"/>
    <w:rsid w:val="00D91C27"/>
    <w:rsid w:val="00D95426"/>
    <w:rsid w:val="00D97C04"/>
    <w:rsid w:val="00DA0375"/>
    <w:rsid w:val="00DC17A8"/>
    <w:rsid w:val="00DC50EC"/>
    <w:rsid w:val="00DC5925"/>
    <w:rsid w:val="00DC60FA"/>
    <w:rsid w:val="00DD00DE"/>
    <w:rsid w:val="00DD14E8"/>
    <w:rsid w:val="00DE0F4A"/>
    <w:rsid w:val="00DE23AF"/>
    <w:rsid w:val="00DE384A"/>
    <w:rsid w:val="00DF1E7C"/>
    <w:rsid w:val="00DF3770"/>
    <w:rsid w:val="00DF3B9A"/>
    <w:rsid w:val="00E17598"/>
    <w:rsid w:val="00E31CC8"/>
    <w:rsid w:val="00E426EC"/>
    <w:rsid w:val="00E43164"/>
    <w:rsid w:val="00E459DC"/>
    <w:rsid w:val="00E54AAC"/>
    <w:rsid w:val="00E54F6E"/>
    <w:rsid w:val="00E56988"/>
    <w:rsid w:val="00E579B9"/>
    <w:rsid w:val="00E63601"/>
    <w:rsid w:val="00E650C3"/>
    <w:rsid w:val="00E65A08"/>
    <w:rsid w:val="00E97C52"/>
    <w:rsid w:val="00EA464C"/>
    <w:rsid w:val="00EA5199"/>
    <w:rsid w:val="00EB054E"/>
    <w:rsid w:val="00EB2861"/>
    <w:rsid w:val="00EC7AF6"/>
    <w:rsid w:val="00ED54C2"/>
    <w:rsid w:val="00ED5E8B"/>
    <w:rsid w:val="00ED7A05"/>
    <w:rsid w:val="00EE334C"/>
    <w:rsid w:val="00EF1C49"/>
    <w:rsid w:val="00F02153"/>
    <w:rsid w:val="00F058DF"/>
    <w:rsid w:val="00F063AE"/>
    <w:rsid w:val="00F15675"/>
    <w:rsid w:val="00F21250"/>
    <w:rsid w:val="00F2398D"/>
    <w:rsid w:val="00F36966"/>
    <w:rsid w:val="00F44BF4"/>
    <w:rsid w:val="00F46BA7"/>
    <w:rsid w:val="00F52684"/>
    <w:rsid w:val="00F6178E"/>
    <w:rsid w:val="00F634A3"/>
    <w:rsid w:val="00F70716"/>
    <w:rsid w:val="00F710F9"/>
    <w:rsid w:val="00F7620F"/>
    <w:rsid w:val="00F8536F"/>
    <w:rsid w:val="00F85556"/>
    <w:rsid w:val="00F87F40"/>
    <w:rsid w:val="00F91FCF"/>
    <w:rsid w:val="00FA0AE4"/>
    <w:rsid w:val="00FA1337"/>
    <w:rsid w:val="00FA75A5"/>
    <w:rsid w:val="00FB4744"/>
    <w:rsid w:val="00FB4DBA"/>
    <w:rsid w:val="00FB667E"/>
    <w:rsid w:val="00FC1C72"/>
    <w:rsid w:val="00FC52A9"/>
    <w:rsid w:val="00FC5A1B"/>
    <w:rsid w:val="00FC5A46"/>
    <w:rsid w:val="00FE552D"/>
    <w:rsid w:val="00FF0E2D"/>
    <w:rsid w:val="00FF1665"/>
    <w:rsid w:val="00FF195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BB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line number" w:uiPriority="99"/>
    <w:lsdException w:name="page number"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6E4D"/>
    <w:pPr>
      <w:spacing w:line="480" w:lineRule="auto"/>
    </w:pPr>
    <w:rPr>
      <w:rFonts w:cs="Arial"/>
      <w:sz w:val="24"/>
      <w:szCs w:val="24"/>
    </w:rPr>
  </w:style>
  <w:style w:type="paragraph" w:styleId="Heading1">
    <w:name w:val="heading 1"/>
    <w:basedOn w:val="Normal"/>
    <w:next w:val="Normal"/>
    <w:link w:val="Heading1Char"/>
    <w:qFormat/>
    <w:rsid w:val="00051F58"/>
    <w:pPr>
      <w:autoSpaceDE w:val="0"/>
      <w:autoSpaceDN w:val="0"/>
      <w:adjustRightInd w:val="0"/>
      <w:jc w:val="center"/>
      <w:outlineLvl w:val="0"/>
    </w:pPr>
    <w:rPr>
      <w:rFonts w:cs="Times New Roman"/>
      <w:b/>
      <w:bCs/>
      <w:caps/>
      <w:sz w:val="28"/>
      <w:szCs w:val="28"/>
    </w:rPr>
  </w:style>
  <w:style w:type="paragraph" w:styleId="Heading2">
    <w:name w:val="heading 2"/>
    <w:basedOn w:val="Normal"/>
    <w:next w:val="Normal"/>
    <w:link w:val="Heading2Char"/>
    <w:qFormat/>
    <w:rsid w:val="003A1DC6"/>
    <w:pPr>
      <w:keepNext/>
      <w:spacing w:before="240" w:after="60"/>
      <w:jc w:val="center"/>
      <w:outlineLvl w:val="1"/>
    </w:pPr>
    <w:rPr>
      <w:rFonts w:cs="Times New Roman"/>
      <w:b/>
      <w:bCs/>
      <w:iCs/>
    </w:rPr>
  </w:style>
  <w:style w:type="paragraph" w:styleId="Heading3">
    <w:name w:val="heading 3"/>
    <w:basedOn w:val="Normal"/>
    <w:next w:val="Normal"/>
    <w:link w:val="Heading3Char"/>
    <w:qFormat/>
    <w:rsid w:val="00B0272E"/>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51F58"/>
    <w:rPr>
      <w:b/>
      <w:bCs/>
      <w:caps/>
      <w:sz w:val="28"/>
      <w:szCs w:val="28"/>
    </w:rPr>
  </w:style>
  <w:style w:type="character" w:customStyle="1" w:styleId="Heading2Char">
    <w:name w:val="Heading 2 Char"/>
    <w:basedOn w:val="DefaultParagraphFont"/>
    <w:link w:val="Heading2"/>
    <w:rsid w:val="003A1DC6"/>
    <w:rPr>
      <w:b/>
      <w:bCs/>
      <w:iCs/>
      <w:sz w:val="24"/>
      <w:szCs w:val="24"/>
    </w:rPr>
  </w:style>
  <w:style w:type="character" w:customStyle="1" w:styleId="Heading3Char">
    <w:name w:val="Heading 3 Char"/>
    <w:link w:val="Heading3"/>
    <w:rsid w:val="00B0272E"/>
    <w:rPr>
      <w:rFonts w:cs="Arial"/>
      <w:b/>
      <w:bCs/>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aliases w:val="header"/>
    <w:basedOn w:val="Normal"/>
    <w:link w:val="HeaderChar"/>
    <w:uiPriority w:val="99"/>
    <w:rsid w:val="00665C7E"/>
    <w:pPr>
      <w:tabs>
        <w:tab w:val="center" w:pos="4320"/>
        <w:tab w:val="right" w:pos="8640"/>
      </w:tabs>
    </w:pPr>
  </w:style>
  <w:style w:type="character" w:customStyle="1" w:styleId="HeaderChar">
    <w:name w:val="Header Char"/>
    <w:aliases w:val="header Char"/>
    <w:basedOn w:val="DefaultParagraphFont"/>
    <w:link w:val="Header"/>
    <w:uiPriority w:val="99"/>
    <w:rsid w:val="00F46BA7"/>
    <w:rPr>
      <w:rFonts w:ascii="Arial" w:hAnsi="Arial" w:cs="Arial"/>
      <w:sz w:val="24"/>
      <w:szCs w:val="24"/>
    </w:rPr>
  </w:style>
  <w:style w:type="paragraph" w:customStyle="1" w:styleId="ETDTitle">
    <w:name w:val="ETD Title"/>
    <w:basedOn w:val="Normal"/>
    <w:qFormat/>
    <w:rsid w:val="00823063"/>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lang w:eastAsia="ja-JP"/>
    </w:rPr>
  </w:style>
  <w:style w:type="paragraph" w:styleId="Caption">
    <w:name w:val="caption"/>
    <w:basedOn w:val="Normal"/>
    <w:next w:val="Normal"/>
    <w:autoRedefine/>
    <w:qFormat/>
    <w:rsid w:val="008459B1"/>
    <w:pPr>
      <w:keepNext/>
      <w:spacing w:line="240" w:lineRule="auto"/>
    </w:pPr>
    <w:rPr>
      <w:rFonts w:cs="Times New Roman"/>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EB054E"/>
    <w:pPr>
      <w:spacing w:before="240" w:after="120"/>
    </w:pPr>
    <w:rPr>
      <w:rFonts w:asciiTheme="minorHAnsi" w:hAnsiTheme="minorHAnsi"/>
      <w:b/>
      <w:caps/>
      <w:sz w:val="22"/>
      <w:szCs w:val="22"/>
      <w:u w:val="single"/>
    </w:rPr>
  </w:style>
  <w:style w:type="paragraph" w:styleId="TOC2">
    <w:name w:val="toc 2"/>
    <w:basedOn w:val="Normal"/>
    <w:next w:val="Normal"/>
    <w:autoRedefine/>
    <w:uiPriority w:val="39"/>
    <w:rsid w:val="00665C7E"/>
    <w:rPr>
      <w:rFonts w:asciiTheme="minorHAnsi" w:hAnsiTheme="minorHAnsi"/>
      <w:b/>
      <w:smallCaps/>
      <w:sz w:val="22"/>
      <w:szCs w:val="22"/>
    </w:rPr>
  </w:style>
  <w:style w:type="paragraph" w:styleId="TOC3">
    <w:name w:val="toc 3"/>
    <w:basedOn w:val="Normal"/>
    <w:next w:val="Normal"/>
    <w:autoRedefine/>
    <w:uiPriority w:val="39"/>
    <w:rsid w:val="00665C7E"/>
    <w:rPr>
      <w:rFonts w:asciiTheme="minorHAnsi" w:hAnsiTheme="minorHAnsi"/>
      <w:smallCaps/>
      <w:sz w:val="22"/>
      <w:szCs w:val="22"/>
    </w:rPr>
  </w:style>
  <w:style w:type="paragraph" w:styleId="TOC4">
    <w:name w:val="toc 4"/>
    <w:basedOn w:val="Normal"/>
    <w:next w:val="Normal"/>
    <w:autoRedefine/>
    <w:uiPriority w:val="39"/>
    <w:rsid w:val="00665C7E"/>
    <w:rPr>
      <w:rFonts w:asciiTheme="minorHAnsi" w:hAnsiTheme="minorHAnsi"/>
      <w:sz w:val="22"/>
      <w:szCs w:val="22"/>
    </w:rPr>
  </w:style>
  <w:style w:type="paragraph" w:styleId="TOC5">
    <w:name w:val="toc 5"/>
    <w:basedOn w:val="Normal"/>
    <w:next w:val="Normal"/>
    <w:autoRedefine/>
    <w:uiPriority w:val="39"/>
    <w:rsid w:val="00665C7E"/>
    <w:rPr>
      <w:rFonts w:asciiTheme="minorHAnsi" w:hAnsiTheme="minorHAnsi"/>
      <w:sz w:val="22"/>
      <w:szCs w:val="22"/>
    </w:rPr>
  </w:style>
  <w:style w:type="paragraph" w:styleId="TOC6">
    <w:name w:val="toc 6"/>
    <w:basedOn w:val="Normal"/>
    <w:next w:val="Normal"/>
    <w:autoRedefine/>
    <w:uiPriority w:val="39"/>
    <w:rsid w:val="00665C7E"/>
    <w:rPr>
      <w:rFonts w:asciiTheme="minorHAnsi" w:hAnsiTheme="minorHAnsi"/>
      <w:sz w:val="22"/>
      <w:szCs w:val="22"/>
    </w:rPr>
  </w:style>
  <w:style w:type="paragraph" w:styleId="TOC7">
    <w:name w:val="toc 7"/>
    <w:basedOn w:val="Normal"/>
    <w:next w:val="Normal"/>
    <w:autoRedefine/>
    <w:uiPriority w:val="39"/>
    <w:rsid w:val="00665C7E"/>
    <w:rPr>
      <w:rFonts w:asciiTheme="minorHAnsi" w:hAnsiTheme="minorHAnsi"/>
      <w:sz w:val="22"/>
      <w:szCs w:val="22"/>
    </w:rPr>
  </w:style>
  <w:style w:type="paragraph" w:styleId="TOC8">
    <w:name w:val="toc 8"/>
    <w:basedOn w:val="Normal"/>
    <w:next w:val="Normal"/>
    <w:autoRedefine/>
    <w:uiPriority w:val="39"/>
    <w:rsid w:val="00665C7E"/>
    <w:rPr>
      <w:rFonts w:asciiTheme="minorHAnsi" w:hAnsiTheme="minorHAnsi"/>
      <w:sz w:val="22"/>
      <w:szCs w:val="22"/>
    </w:rPr>
  </w:style>
  <w:style w:type="paragraph" w:styleId="TOC9">
    <w:name w:val="toc 9"/>
    <w:basedOn w:val="Normal"/>
    <w:next w:val="Normal"/>
    <w:autoRedefine/>
    <w:uiPriority w:val="39"/>
    <w:rsid w:val="00665C7E"/>
    <w:rPr>
      <w:rFonts w:asciiTheme="minorHAnsi" w:hAnsiTheme="minorHAnsi"/>
      <w:sz w:val="22"/>
      <w:szCs w:val="22"/>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unhideWhenUsed/>
    <w:rsid w:val="00973F56"/>
  </w:style>
  <w:style w:type="paragraph" w:styleId="BodyText">
    <w:name w:val="Body Text"/>
    <w:basedOn w:val="Normal"/>
    <w:link w:val="BodyTextChar"/>
    <w:uiPriority w:val="99"/>
    <w:rsid w:val="00F46BA7"/>
    <w:pPr>
      <w:widowControl w:val="0"/>
      <w:jc w:val="center"/>
    </w:pPr>
    <w:rPr>
      <w:rFonts w:eastAsia="?????? Pro W3" w:cs="Times New Roman"/>
      <w:color w:val="000000"/>
      <w:sz w:val="28"/>
      <w:szCs w:val="20"/>
    </w:rPr>
  </w:style>
  <w:style w:type="character" w:customStyle="1" w:styleId="BodyTextChar">
    <w:name w:val="Body Text Char"/>
    <w:basedOn w:val="DefaultParagraphFont"/>
    <w:link w:val="BodyText"/>
    <w:uiPriority w:val="99"/>
    <w:rsid w:val="00F46BA7"/>
    <w:rPr>
      <w:rFonts w:eastAsia="?????? Pro W3"/>
      <w:color w:val="000000"/>
      <w:sz w:val="28"/>
    </w:rPr>
  </w:style>
  <w:style w:type="character" w:customStyle="1" w:styleId="search">
    <w:name w:val="search"/>
    <w:basedOn w:val="DefaultParagraphFont"/>
    <w:rsid w:val="00F46BA7"/>
    <w:rPr>
      <w:rFonts w:cs="Times New Roman"/>
    </w:rPr>
  </w:style>
  <w:style w:type="character" w:styleId="Emphasis">
    <w:name w:val="Emphasis"/>
    <w:basedOn w:val="DefaultParagraphFont"/>
    <w:uiPriority w:val="20"/>
    <w:qFormat/>
    <w:rsid w:val="00F46BA7"/>
    <w:rPr>
      <w:rFonts w:cs="Times New Roman"/>
      <w:i/>
      <w:iCs/>
    </w:rPr>
  </w:style>
  <w:style w:type="paragraph" w:customStyle="1" w:styleId="Default">
    <w:name w:val="Default"/>
    <w:uiPriority w:val="99"/>
    <w:rsid w:val="00F46BA7"/>
    <w:pPr>
      <w:autoSpaceDE w:val="0"/>
      <w:autoSpaceDN w:val="0"/>
      <w:adjustRightInd w:val="0"/>
    </w:pPr>
    <w:rPr>
      <w:rFonts w:ascii="Code" w:eastAsia="Calibri" w:hAnsi="Code" w:cs="Code"/>
      <w:color w:val="000000"/>
      <w:sz w:val="24"/>
      <w:szCs w:val="24"/>
    </w:rPr>
  </w:style>
  <w:style w:type="character" w:customStyle="1" w:styleId="CommentTextChar">
    <w:name w:val="Comment Text Char"/>
    <w:basedOn w:val="DefaultParagraphFont"/>
    <w:link w:val="CommentText"/>
    <w:uiPriority w:val="99"/>
    <w:rsid w:val="00F46BA7"/>
    <w:rPr>
      <w:rFonts w:ascii="Calibri" w:eastAsia="Calibri" w:hAnsi="Calibri"/>
    </w:rPr>
  </w:style>
  <w:style w:type="paragraph" w:styleId="CommentText">
    <w:name w:val="annotation text"/>
    <w:basedOn w:val="Normal"/>
    <w:link w:val="CommentTextChar"/>
    <w:uiPriority w:val="99"/>
    <w:rsid w:val="00F46BA7"/>
    <w:pPr>
      <w:spacing w:after="200" w:line="276" w:lineRule="auto"/>
    </w:pPr>
    <w:rPr>
      <w:rFonts w:ascii="Calibri" w:eastAsia="Calibri" w:hAnsi="Calibri" w:cs="Times New Roman"/>
      <w:sz w:val="20"/>
      <w:szCs w:val="20"/>
    </w:rPr>
  </w:style>
  <w:style w:type="character" w:customStyle="1" w:styleId="CommentTextChar1">
    <w:name w:val="Comment Text Char1"/>
    <w:basedOn w:val="DefaultParagraphFont"/>
    <w:uiPriority w:val="99"/>
    <w:rsid w:val="00F46BA7"/>
    <w:rPr>
      <w:rFonts w:ascii="Arial" w:hAnsi="Arial" w:cs="Arial"/>
      <w:sz w:val="24"/>
      <w:szCs w:val="24"/>
    </w:rPr>
  </w:style>
  <w:style w:type="character" w:customStyle="1" w:styleId="CommentSubjectChar">
    <w:name w:val="Comment Subject Char"/>
    <w:basedOn w:val="CommentTextChar"/>
    <w:link w:val="CommentSubject"/>
    <w:uiPriority w:val="99"/>
    <w:rsid w:val="00F46BA7"/>
    <w:rPr>
      <w:rFonts w:ascii="Calibri" w:eastAsia="Calibri" w:hAnsi="Calibri"/>
      <w:b/>
      <w:bCs/>
    </w:rPr>
  </w:style>
  <w:style w:type="paragraph" w:styleId="CommentSubject">
    <w:name w:val="annotation subject"/>
    <w:basedOn w:val="CommentText"/>
    <w:next w:val="CommentText"/>
    <w:link w:val="CommentSubjectChar"/>
    <w:uiPriority w:val="99"/>
    <w:rsid w:val="00F46BA7"/>
    <w:rPr>
      <w:b/>
      <w:bCs/>
    </w:rPr>
  </w:style>
  <w:style w:type="character" w:customStyle="1" w:styleId="CommentSubjectChar1">
    <w:name w:val="Comment Subject Char1"/>
    <w:basedOn w:val="CommentTextChar1"/>
    <w:uiPriority w:val="99"/>
    <w:rsid w:val="00F46BA7"/>
    <w:rPr>
      <w:rFonts w:ascii="Arial" w:hAnsi="Arial" w:cs="Arial"/>
      <w:b/>
      <w:bCs/>
      <w:sz w:val="24"/>
      <w:szCs w:val="24"/>
    </w:rPr>
  </w:style>
  <w:style w:type="paragraph" w:styleId="BalloonText">
    <w:name w:val="Balloon Text"/>
    <w:basedOn w:val="Normal"/>
    <w:link w:val="BalloonTextChar"/>
    <w:uiPriority w:val="99"/>
    <w:rsid w:val="00F46BA7"/>
    <w:pPr>
      <w:spacing w:after="200" w:line="276"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F46BA7"/>
    <w:rPr>
      <w:rFonts w:ascii="Tahoma" w:eastAsia="Calibri" w:hAnsi="Tahoma" w:cs="Tahoma"/>
      <w:sz w:val="16"/>
      <w:szCs w:val="16"/>
    </w:rPr>
  </w:style>
  <w:style w:type="character" w:customStyle="1" w:styleId="black9pt">
    <w:name w:val="black9pt"/>
    <w:basedOn w:val="DefaultParagraphFont"/>
    <w:uiPriority w:val="99"/>
    <w:rsid w:val="00F46BA7"/>
    <w:rPr>
      <w:rFonts w:cs="Times New Roman"/>
    </w:rPr>
  </w:style>
  <w:style w:type="paragraph" w:styleId="ListParagraph">
    <w:name w:val="List Paragraph"/>
    <w:basedOn w:val="Normal"/>
    <w:uiPriority w:val="34"/>
    <w:qFormat/>
    <w:rsid w:val="00F46BA7"/>
    <w:pPr>
      <w:spacing w:after="200" w:line="276" w:lineRule="auto"/>
      <w:ind w:left="720"/>
      <w:contextualSpacing/>
    </w:pPr>
    <w:rPr>
      <w:rFonts w:ascii="Calibri" w:eastAsia="Calibri" w:hAnsi="Calibri" w:cs="Times New Roman"/>
      <w:sz w:val="22"/>
      <w:szCs w:val="22"/>
    </w:rPr>
  </w:style>
  <w:style w:type="character" w:styleId="LineNumber">
    <w:name w:val="line number"/>
    <w:uiPriority w:val="99"/>
    <w:rsid w:val="00F46BA7"/>
    <w:rPr>
      <w:rFonts w:cs="Times New Roman"/>
    </w:rPr>
  </w:style>
  <w:style w:type="paragraph" w:customStyle="1" w:styleId="Heading1A">
    <w:name w:val="Heading 1 A"/>
    <w:next w:val="Normal"/>
    <w:uiPriority w:val="99"/>
    <w:rsid w:val="00F46BA7"/>
    <w:pPr>
      <w:keepNext/>
      <w:jc w:val="center"/>
      <w:outlineLvl w:val="0"/>
    </w:pPr>
    <w:rPr>
      <w:rFonts w:ascii="Arial" w:eastAsia="?????? Pro W3" w:hAnsi="Arial"/>
      <w:color w:val="000000"/>
      <w:sz w:val="24"/>
    </w:rPr>
  </w:style>
  <w:style w:type="character" w:styleId="FootnoteReference">
    <w:name w:val="footnote reference"/>
    <w:uiPriority w:val="99"/>
    <w:rsid w:val="00F46BA7"/>
    <w:rPr>
      <w:rFonts w:cs="Times New Roman"/>
      <w:color w:val="000000"/>
      <w:sz w:val="20"/>
      <w:vertAlign w:val="superscript"/>
    </w:rPr>
  </w:style>
  <w:style w:type="character" w:customStyle="1" w:styleId="apple-style-span">
    <w:name w:val="apple-style-span"/>
    <w:rsid w:val="00F46BA7"/>
  </w:style>
  <w:style w:type="character" w:customStyle="1" w:styleId="apple-converted-space">
    <w:name w:val="apple-converted-space"/>
    <w:basedOn w:val="DefaultParagraphFont"/>
    <w:rsid w:val="00F46BA7"/>
  </w:style>
  <w:style w:type="character" w:customStyle="1" w:styleId="nlmyear">
    <w:name w:val="nlm_year"/>
    <w:basedOn w:val="DefaultParagraphFont"/>
    <w:rsid w:val="00F46BA7"/>
  </w:style>
  <w:style w:type="character" w:customStyle="1" w:styleId="nlmarticle-title">
    <w:name w:val="nlm_article-title"/>
    <w:basedOn w:val="DefaultParagraphFont"/>
    <w:rsid w:val="00F46BA7"/>
  </w:style>
  <w:style w:type="character" w:customStyle="1" w:styleId="citationsource-journal">
    <w:name w:val="citation_source-journal"/>
    <w:basedOn w:val="DefaultParagraphFont"/>
    <w:rsid w:val="00F46BA7"/>
  </w:style>
  <w:style w:type="character" w:customStyle="1" w:styleId="nlmfpage">
    <w:name w:val="nlm_fpage"/>
    <w:basedOn w:val="DefaultParagraphFont"/>
    <w:rsid w:val="00F46BA7"/>
  </w:style>
  <w:style w:type="character" w:customStyle="1" w:styleId="nlmlpage">
    <w:name w:val="nlm_lpage"/>
    <w:basedOn w:val="DefaultParagraphFont"/>
    <w:rsid w:val="00F46BA7"/>
  </w:style>
  <w:style w:type="character" w:customStyle="1" w:styleId="sm">
    <w:name w:val="sm"/>
    <w:basedOn w:val="DefaultParagraphFont"/>
    <w:rsid w:val="00F46BA7"/>
  </w:style>
  <w:style w:type="paragraph" w:styleId="FootnoteText">
    <w:name w:val="footnote text"/>
    <w:basedOn w:val="Normal"/>
    <w:link w:val="FootnoteTextChar"/>
    <w:uiPriority w:val="99"/>
    <w:unhideWhenUsed/>
    <w:rsid w:val="00F46BA7"/>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F46BA7"/>
    <w:rPr>
      <w:rFonts w:asciiTheme="minorHAnsi" w:eastAsiaTheme="minorEastAsia" w:hAnsiTheme="minorHAnsi" w:cstheme="minorBidi"/>
      <w:sz w:val="24"/>
      <w:szCs w:val="24"/>
    </w:rPr>
  </w:style>
  <w:style w:type="character" w:customStyle="1" w:styleId="DocumentMapChar">
    <w:name w:val="Document Map Char"/>
    <w:basedOn w:val="DefaultParagraphFont"/>
    <w:link w:val="DocumentMap"/>
    <w:uiPriority w:val="99"/>
    <w:rsid w:val="00F46BA7"/>
    <w:rPr>
      <w:rFonts w:ascii="Lucida Grande" w:hAnsi="Lucida Grande" w:cs="Lucida Grande"/>
    </w:rPr>
  </w:style>
  <w:style w:type="paragraph" w:styleId="DocumentMap">
    <w:name w:val="Document Map"/>
    <w:basedOn w:val="Normal"/>
    <w:link w:val="DocumentMapChar"/>
    <w:uiPriority w:val="99"/>
    <w:unhideWhenUsed/>
    <w:rsid w:val="00F46BA7"/>
    <w:rPr>
      <w:rFonts w:ascii="Lucida Grande" w:hAnsi="Lucida Grande" w:cs="Lucida Grande"/>
      <w:sz w:val="20"/>
      <w:szCs w:val="20"/>
    </w:rPr>
  </w:style>
  <w:style w:type="character" w:customStyle="1" w:styleId="DocumentMapChar1">
    <w:name w:val="Document Map Char1"/>
    <w:basedOn w:val="DefaultParagraphFont"/>
    <w:uiPriority w:val="99"/>
    <w:rsid w:val="00F46BA7"/>
    <w:rPr>
      <w:rFonts w:ascii="Lucida Grande" w:hAnsi="Lucida Grande" w:cs="Lucida Grande"/>
      <w:sz w:val="24"/>
      <w:szCs w:val="24"/>
    </w:rPr>
  </w:style>
  <w:style w:type="character" w:customStyle="1" w:styleId="pp-headline-item">
    <w:name w:val="pp-headline-item"/>
    <w:basedOn w:val="DefaultParagraphFont"/>
    <w:rsid w:val="00F46BA7"/>
  </w:style>
  <w:style w:type="character" w:customStyle="1" w:styleId="hithilite">
    <w:name w:val="hithilite"/>
    <w:basedOn w:val="DefaultParagraphFont"/>
    <w:rsid w:val="00F46BA7"/>
  </w:style>
  <w:style w:type="character" w:styleId="CommentReference">
    <w:name w:val="annotation reference"/>
    <w:basedOn w:val="DefaultParagraphFont"/>
    <w:uiPriority w:val="99"/>
    <w:unhideWhenUsed/>
    <w:rsid w:val="00F46BA7"/>
    <w:rPr>
      <w:sz w:val="18"/>
      <w:szCs w:val="18"/>
    </w:rPr>
  </w:style>
  <w:style w:type="paragraph" w:styleId="Revision">
    <w:name w:val="Revision"/>
    <w:hidden/>
    <w:uiPriority w:val="99"/>
    <w:rsid w:val="00F46BA7"/>
    <w:rPr>
      <w:sz w:val="24"/>
      <w:szCs w:val="24"/>
    </w:rPr>
  </w:style>
  <w:style w:type="character" w:styleId="HTMLCite">
    <w:name w:val="HTML Cite"/>
    <w:basedOn w:val="DefaultParagraphFont"/>
    <w:uiPriority w:val="99"/>
    <w:unhideWhenUsed/>
    <w:rsid w:val="00F46BA7"/>
    <w:rPr>
      <w:i/>
      <w:iCs/>
    </w:rPr>
  </w:style>
  <w:style w:type="paragraph" w:styleId="NoSpacing">
    <w:name w:val="No Spacing"/>
    <w:uiPriority w:val="1"/>
    <w:qFormat/>
    <w:rsid w:val="00F46BA7"/>
    <w:rPr>
      <w:sz w:val="24"/>
      <w:szCs w:val="24"/>
    </w:rPr>
  </w:style>
  <w:style w:type="character" w:styleId="Strong">
    <w:name w:val="Strong"/>
    <w:basedOn w:val="DefaultParagraphFont"/>
    <w:uiPriority w:val="22"/>
    <w:qFormat/>
    <w:rsid w:val="00F46BA7"/>
    <w:rPr>
      <w:b/>
      <w:bCs/>
    </w:rPr>
  </w:style>
  <w:style w:type="character" w:customStyle="1" w:styleId="frlabel">
    <w:name w:val="fr_label"/>
    <w:basedOn w:val="DefaultParagraphFont"/>
    <w:rsid w:val="00F46BA7"/>
  </w:style>
  <w:style w:type="character" w:styleId="FollowedHyperlink">
    <w:name w:val="FollowedHyperlink"/>
    <w:basedOn w:val="DefaultParagraphFont"/>
    <w:uiPriority w:val="99"/>
    <w:unhideWhenUsed/>
    <w:rsid w:val="00F46BA7"/>
    <w:rPr>
      <w:color w:val="800080" w:themeColor="followedHyperlink"/>
      <w:u w:val="single"/>
    </w:rPr>
  </w:style>
  <w:style w:type="character" w:customStyle="1" w:styleId="smallv110">
    <w:name w:val="smallv110"/>
    <w:basedOn w:val="DefaultParagraphFont"/>
    <w:rsid w:val="00F46BA7"/>
  </w:style>
  <w:style w:type="paragraph" w:styleId="NormalWeb">
    <w:name w:val="Normal (Web)"/>
    <w:basedOn w:val="Normal"/>
    <w:uiPriority w:val="99"/>
    <w:unhideWhenUsed/>
    <w:rsid w:val="00F46BA7"/>
    <w:pPr>
      <w:spacing w:before="100" w:beforeAutospacing="1" w:after="100" w:afterAutospacing="1"/>
    </w:pPr>
    <w:rPr>
      <w:rFonts w:ascii="Times" w:eastAsiaTheme="minorEastAsia" w:hAnsi="Times" w:cs="Times New Roman"/>
      <w:sz w:val="20"/>
      <w:szCs w:val="20"/>
    </w:rPr>
  </w:style>
  <w:style w:type="character" w:customStyle="1" w:styleId="slug-pub-date">
    <w:name w:val="slug-pub-date"/>
    <w:basedOn w:val="DefaultParagraphFont"/>
    <w:rsid w:val="00F46BA7"/>
  </w:style>
  <w:style w:type="character" w:customStyle="1" w:styleId="slug-vol">
    <w:name w:val="slug-vol"/>
    <w:basedOn w:val="DefaultParagraphFont"/>
    <w:rsid w:val="00F46BA7"/>
  </w:style>
  <w:style w:type="character" w:customStyle="1" w:styleId="slug-issue">
    <w:name w:val="slug-issue"/>
    <w:basedOn w:val="DefaultParagraphFont"/>
    <w:rsid w:val="00F46BA7"/>
  </w:style>
  <w:style w:type="character" w:customStyle="1" w:styleId="slug-pages">
    <w:name w:val="slug-pages"/>
    <w:basedOn w:val="DefaultParagraphFont"/>
    <w:rsid w:val="00F46BA7"/>
  </w:style>
  <w:style w:type="character" w:customStyle="1" w:styleId="st">
    <w:name w:val="st"/>
    <w:basedOn w:val="DefaultParagraphFont"/>
    <w:rsid w:val="001D3D0F"/>
  </w:style>
  <w:style w:type="paragraph" w:customStyle="1" w:styleId="sourcetitle">
    <w:name w:val="sourcetitle"/>
    <w:basedOn w:val="Normal"/>
    <w:rsid w:val="00945F16"/>
    <w:pPr>
      <w:spacing w:before="100" w:beforeAutospacing="1" w:after="100" w:afterAutospacing="1"/>
    </w:pPr>
    <w:rPr>
      <w:rFonts w:ascii="Times" w:eastAsiaTheme="minorEastAsia" w:hAnsi="Times" w:cstheme="minorBidi"/>
      <w:sz w:val="20"/>
      <w:szCs w:val="20"/>
    </w:rPr>
  </w:style>
  <w:style w:type="character" w:customStyle="1" w:styleId="patent-title">
    <w:name w:val="patent-title"/>
    <w:basedOn w:val="DefaultParagraphFont"/>
    <w:rsid w:val="00326E4D"/>
  </w:style>
  <w:style w:type="paragraph" w:styleId="Subtitle">
    <w:name w:val="Subtitle"/>
    <w:basedOn w:val="Normal"/>
    <w:next w:val="Normal"/>
    <w:link w:val="SubtitleChar"/>
    <w:qFormat/>
    <w:rsid w:val="00D560D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D560D4"/>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line number" w:uiPriority="99"/>
    <w:lsdException w:name="page number"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6E4D"/>
    <w:pPr>
      <w:spacing w:line="480" w:lineRule="auto"/>
    </w:pPr>
    <w:rPr>
      <w:rFonts w:cs="Arial"/>
      <w:sz w:val="24"/>
      <w:szCs w:val="24"/>
    </w:rPr>
  </w:style>
  <w:style w:type="paragraph" w:styleId="Heading1">
    <w:name w:val="heading 1"/>
    <w:basedOn w:val="Normal"/>
    <w:next w:val="Normal"/>
    <w:link w:val="Heading1Char"/>
    <w:qFormat/>
    <w:rsid w:val="00051F58"/>
    <w:pPr>
      <w:autoSpaceDE w:val="0"/>
      <w:autoSpaceDN w:val="0"/>
      <w:adjustRightInd w:val="0"/>
      <w:jc w:val="center"/>
      <w:outlineLvl w:val="0"/>
    </w:pPr>
    <w:rPr>
      <w:rFonts w:cs="Times New Roman"/>
      <w:b/>
      <w:bCs/>
      <w:caps/>
      <w:sz w:val="28"/>
      <w:szCs w:val="28"/>
    </w:rPr>
  </w:style>
  <w:style w:type="paragraph" w:styleId="Heading2">
    <w:name w:val="heading 2"/>
    <w:basedOn w:val="Normal"/>
    <w:next w:val="Normal"/>
    <w:link w:val="Heading2Char"/>
    <w:qFormat/>
    <w:rsid w:val="003A1DC6"/>
    <w:pPr>
      <w:keepNext/>
      <w:spacing w:before="240" w:after="60"/>
      <w:jc w:val="center"/>
      <w:outlineLvl w:val="1"/>
    </w:pPr>
    <w:rPr>
      <w:rFonts w:cs="Times New Roman"/>
      <w:b/>
      <w:bCs/>
      <w:iCs/>
    </w:rPr>
  </w:style>
  <w:style w:type="paragraph" w:styleId="Heading3">
    <w:name w:val="heading 3"/>
    <w:basedOn w:val="Normal"/>
    <w:next w:val="Normal"/>
    <w:link w:val="Heading3Char"/>
    <w:qFormat/>
    <w:rsid w:val="00B0272E"/>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51F58"/>
    <w:rPr>
      <w:b/>
      <w:bCs/>
      <w:caps/>
      <w:sz w:val="28"/>
      <w:szCs w:val="28"/>
    </w:rPr>
  </w:style>
  <w:style w:type="character" w:customStyle="1" w:styleId="Heading2Char">
    <w:name w:val="Heading 2 Char"/>
    <w:basedOn w:val="DefaultParagraphFont"/>
    <w:link w:val="Heading2"/>
    <w:rsid w:val="003A1DC6"/>
    <w:rPr>
      <w:b/>
      <w:bCs/>
      <w:iCs/>
      <w:sz w:val="24"/>
      <w:szCs w:val="24"/>
    </w:rPr>
  </w:style>
  <w:style w:type="character" w:customStyle="1" w:styleId="Heading3Char">
    <w:name w:val="Heading 3 Char"/>
    <w:link w:val="Heading3"/>
    <w:rsid w:val="00B0272E"/>
    <w:rPr>
      <w:rFonts w:cs="Arial"/>
      <w:b/>
      <w:bCs/>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aliases w:val="header"/>
    <w:basedOn w:val="Normal"/>
    <w:link w:val="HeaderChar"/>
    <w:uiPriority w:val="99"/>
    <w:rsid w:val="00665C7E"/>
    <w:pPr>
      <w:tabs>
        <w:tab w:val="center" w:pos="4320"/>
        <w:tab w:val="right" w:pos="8640"/>
      </w:tabs>
    </w:pPr>
  </w:style>
  <w:style w:type="character" w:customStyle="1" w:styleId="HeaderChar">
    <w:name w:val="Header Char"/>
    <w:aliases w:val="header Char"/>
    <w:basedOn w:val="DefaultParagraphFont"/>
    <w:link w:val="Header"/>
    <w:uiPriority w:val="99"/>
    <w:rsid w:val="00F46BA7"/>
    <w:rPr>
      <w:rFonts w:ascii="Arial" w:hAnsi="Arial" w:cs="Arial"/>
      <w:sz w:val="24"/>
      <w:szCs w:val="24"/>
    </w:rPr>
  </w:style>
  <w:style w:type="paragraph" w:customStyle="1" w:styleId="ETDTitle">
    <w:name w:val="ETD Title"/>
    <w:basedOn w:val="Normal"/>
    <w:qFormat/>
    <w:rsid w:val="00823063"/>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lang w:eastAsia="ja-JP"/>
    </w:rPr>
  </w:style>
  <w:style w:type="paragraph" w:styleId="Caption">
    <w:name w:val="caption"/>
    <w:basedOn w:val="Normal"/>
    <w:next w:val="Normal"/>
    <w:autoRedefine/>
    <w:qFormat/>
    <w:rsid w:val="008459B1"/>
    <w:pPr>
      <w:keepNext/>
      <w:spacing w:line="240" w:lineRule="auto"/>
    </w:pPr>
    <w:rPr>
      <w:rFonts w:cs="Times New Roman"/>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EB054E"/>
    <w:pPr>
      <w:spacing w:before="240" w:after="120"/>
    </w:pPr>
    <w:rPr>
      <w:rFonts w:asciiTheme="minorHAnsi" w:hAnsiTheme="minorHAnsi"/>
      <w:b/>
      <w:caps/>
      <w:sz w:val="22"/>
      <w:szCs w:val="22"/>
      <w:u w:val="single"/>
    </w:rPr>
  </w:style>
  <w:style w:type="paragraph" w:styleId="TOC2">
    <w:name w:val="toc 2"/>
    <w:basedOn w:val="Normal"/>
    <w:next w:val="Normal"/>
    <w:autoRedefine/>
    <w:uiPriority w:val="39"/>
    <w:rsid w:val="00665C7E"/>
    <w:rPr>
      <w:rFonts w:asciiTheme="minorHAnsi" w:hAnsiTheme="minorHAnsi"/>
      <w:b/>
      <w:smallCaps/>
      <w:sz w:val="22"/>
      <w:szCs w:val="22"/>
    </w:rPr>
  </w:style>
  <w:style w:type="paragraph" w:styleId="TOC3">
    <w:name w:val="toc 3"/>
    <w:basedOn w:val="Normal"/>
    <w:next w:val="Normal"/>
    <w:autoRedefine/>
    <w:uiPriority w:val="39"/>
    <w:rsid w:val="00665C7E"/>
    <w:rPr>
      <w:rFonts w:asciiTheme="minorHAnsi" w:hAnsiTheme="minorHAnsi"/>
      <w:smallCaps/>
      <w:sz w:val="22"/>
      <w:szCs w:val="22"/>
    </w:rPr>
  </w:style>
  <w:style w:type="paragraph" w:styleId="TOC4">
    <w:name w:val="toc 4"/>
    <w:basedOn w:val="Normal"/>
    <w:next w:val="Normal"/>
    <w:autoRedefine/>
    <w:uiPriority w:val="39"/>
    <w:rsid w:val="00665C7E"/>
    <w:rPr>
      <w:rFonts w:asciiTheme="minorHAnsi" w:hAnsiTheme="minorHAnsi"/>
      <w:sz w:val="22"/>
      <w:szCs w:val="22"/>
    </w:rPr>
  </w:style>
  <w:style w:type="paragraph" w:styleId="TOC5">
    <w:name w:val="toc 5"/>
    <w:basedOn w:val="Normal"/>
    <w:next w:val="Normal"/>
    <w:autoRedefine/>
    <w:uiPriority w:val="39"/>
    <w:rsid w:val="00665C7E"/>
    <w:rPr>
      <w:rFonts w:asciiTheme="minorHAnsi" w:hAnsiTheme="minorHAnsi"/>
      <w:sz w:val="22"/>
      <w:szCs w:val="22"/>
    </w:rPr>
  </w:style>
  <w:style w:type="paragraph" w:styleId="TOC6">
    <w:name w:val="toc 6"/>
    <w:basedOn w:val="Normal"/>
    <w:next w:val="Normal"/>
    <w:autoRedefine/>
    <w:uiPriority w:val="39"/>
    <w:rsid w:val="00665C7E"/>
    <w:rPr>
      <w:rFonts w:asciiTheme="minorHAnsi" w:hAnsiTheme="minorHAnsi"/>
      <w:sz w:val="22"/>
      <w:szCs w:val="22"/>
    </w:rPr>
  </w:style>
  <w:style w:type="paragraph" w:styleId="TOC7">
    <w:name w:val="toc 7"/>
    <w:basedOn w:val="Normal"/>
    <w:next w:val="Normal"/>
    <w:autoRedefine/>
    <w:uiPriority w:val="39"/>
    <w:rsid w:val="00665C7E"/>
    <w:rPr>
      <w:rFonts w:asciiTheme="minorHAnsi" w:hAnsiTheme="minorHAnsi"/>
      <w:sz w:val="22"/>
      <w:szCs w:val="22"/>
    </w:rPr>
  </w:style>
  <w:style w:type="paragraph" w:styleId="TOC8">
    <w:name w:val="toc 8"/>
    <w:basedOn w:val="Normal"/>
    <w:next w:val="Normal"/>
    <w:autoRedefine/>
    <w:uiPriority w:val="39"/>
    <w:rsid w:val="00665C7E"/>
    <w:rPr>
      <w:rFonts w:asciiTheme="minorHAnsi" w:hAnsiTheme="minorHAnsi"/>
      <w:sz w:val="22"/>
      <w:szCs w:val="22"/>
    </w:rPr>
  </w:style>
  <w:style w:type="paragraph" w:styleId="TOC9">
    <w:name w:val="toc 9"/>
    <w:basedOn w:val="Normal"/>
    <w:next w:val="Normal"/>
    <w:autoRedefine/>
    <w:uiPriority w:val="39"/>
    <w:rsid w:val="00665C7E"/>
    <w:rPr>
      <w:rFonts w:asciiTheme="minorHAnsi" w:hAnsiTheme="minorHAnsi"/>
      <w:sz w:val="22"/>
      <w:szCs w:val="22"/>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unhideWhenUsed/>
    <w:rsid w:val="00973F56"/>
  </w:style>
  <w:style w:type="paragraph" w:styleId="BodyText">
    <w:name w:val="Body Text"/>
    <w:basedOn w:val="Normal"/>
    <w:link w:val="BodyTextChar"/>
    <w:uiPriority w:val="99"/>
    <w:rsid w:val="00F46BA7"/>
    <w:pPr>
      <w:widowControl w:val="0"/>
      <w:jc w:val="center"/>
    </w:pPr>
    <w:rPr>
      <w:rFonts w:eastAsia="?????? Pro W3" w:cs="Times New Roman"/>
      <w:color w:val="000000"/>
      <w:sz w:val="28"/>
      <w:szCs w:val="20"/>
    </w:rPr>
  </w:style>
  <w:style w:type="character" w:customStyle="1" w:styleId="BodyTextChar">
    <w:name w:val="Body Text Char"/>
    <w:basedOn w:val="DefaultParagraphFont"/>
    <w:link w:val="BodyText"/>
    <w:uiPriority w:val="99"/>
    <w:rsid w:val="00F46BA7"/>
    <w:rPr>
      <w:rFonts w:eastAsia="?????? Pro W3"/>
      <w:color w:val="000000"/>
      <w:sz w:val="28"/>
    </w:rPr>
  </w:style>
  <w:style w:type="character" w:customStyle="1" w:styleId="search">
    <w:name w:val="search"/>
    <w:basedOn w:val="DefaultParagraphFont"/>
    <w:rsid w:val="00F46BA7"/>
    <w:rPr>
      <w:rFonts w:cs="Times New Roman"/>
    </w:rPr>
  </w:style>
  <w:style w:type="character" w:styleId="Emphasis">
    <w:name w:val="Emphasis"/>
    <w:basedOn w:val="DefaultParagraphFont"/>
    <w:uiPriority w:val="20"/>
    <w:qFormat/>
    <w:rsid w:val="00F46BA7"/>
    <w:rPr>
      <w:rFonts w:cs="Times New Roman"/>
      <w:i/>
      <w:iCs/>
    </w:rPr>
  </w:style>
  <w:style w:type="paragraph" w:customStyle="1" w:styleId="Default">
    <w:name w:val="Default"/>
    <w:uiPriority w:val="99"/>
    <w:rsid w:val="00F46BA7"/>
    <w:pPr>
      <w:autoSpaceDE w:val="0"/>
      <w:autoSpaceDN w:val="0"/>
      <w:adjustRightInd w:val="0"/>
    </w:pPr>
    <w:rPr>
      <w:rFonts w:ascii="Code" w:eastAsia="Calibri" w:hAnsi="Code" w:cs="Code"/>
      <w:color w:val="000000"/>
      <w:sz w:val="24"/>
      <w:szCs w:val="24"/>
    </w:rPr>
  </w:style>
  <w:style w:type="character" w:customStyle="1" w:styleId="CommentTextChar">
    <w:name w:val="Comment Text Char"/>
    <w:basedOn w:val="DefaultParagraphFont"/>
    <w:link w:val="CommentText"/>
    <w:uiPriority w:val="99"/>
    <w:rsid w:val="00F46BA7"/>
    <w:rPr>
      <w:rFonts w:ascii="Calibri" w:eastAsia="Calibri" w:hAnsi="Calibri"/>
    </w:rPr>
  </w:style>
  <w:style w:type="paragraph" w:styleId="CommentText">
    <w:name w:val="annotation text"/>
    <w:basedOn w:val="Normal"/>
    <w:link w:val="CommentTextChar"/>
    <w:uiPriority w:val="99"/>
    <w:rsid w:val="00F46BA7"/>
    <w:pPr>
      <w:spacing w:after="200" w:line="276" w:lineRule="auto"/>
    </w:pPr>
    <w:rPr>
      <w:rFonts w:ascii="Calibri" w:eastAsia="Calibri" w:hAnsi="Calibri" w:cs="Times New Roman"/>
      <w:sz w:val="20"/>
      <w:szCs w:val="20"/>
    </w:rPr>
  </w:style>
  <w:style w:type="character" w:customStyle="1" w:styleId="CommentTextChar1">
    <w:name w:val="Comment Text Char1"/>
    <w:basedOn w:val="DefaultParagraphFont"/>
    <w:uiPriority w:val="99"/>
    <w:rsid w:val="00F46BA7"/>
    <w:rPr>
      <w:rFonts w:ascii="Arial" w:hAnsi="Arial" w:cs="Arial"/>
      <w:sz w:val="24"/>
      <w:szCs w:val="24"/>
    </w:rPr>
  </w:style>
  <w:style w:type="character" w:customStyle="1" w:styleId="CommentSubjectChar">
    <w:name w:val="Comment Subject Char"/>
    <w:basedOn w:val="CommentTextChar"/>
    <w:link w:val="CommentSubject"/>
    <w:uiPriority w:val="99"/>
    <w:rsid w:val="00F46BA7"/>
    <w:rPr>
      <w:rFonts w:ascii="Calibri" w:eastAsia="Calibri" w:hAnsi="Calibri"/>
      <w:b/>
      <w:bCs/>
    </w:rPr>
  </w:style>
  <w:style w:type="paragraph" w:styleId="CommentSubject">
    <w:name w:val="annotation subject"/>
    <w:basedOn w:val="CommentText"/>
    <w:next w:val="CommentText"/>
    <w:link w:val="CommentSubjectChar"/>
    <w:uiPriority w:val="99"/>
    <w:rsid w:val="00F46BA7"/>
    <w:rPr>
      <w:b/>
      <w:bCs/>
    </w:rPr>
  </w:style>
  <w:style w:type="character" w:customStyle="1" w:styleId="CommentSubjectChar1">
    <w:name w:val="Comment Subject Char1"/>
    <w:basedOn w:val="CommentTextChar1"/>
    <w:uiPriority w:val="99"/>
    <w:rsid w:val="00F46BA7"/>
    <w:rPr>
      <w:rFonts w:ascii="Arial" w:hAnsi="Arial" w:cs="Arial"/>
      <w:b/>
      <w:bCs/>
      <w:sz w:val="24"/>
      <w:szCs w:val="24"/>
    </w:rPr>
  </w:style>
  <w:style w:type="paragraph" w:styleId="BalloonText">
    <w:name w:val="Balloon Text"/>
    <w:basedOn w:val="Normal"/>
    <w:link w:val="BalloonTextChar"/>
    <w:uiPriority w:val="99"/>
    <w:rsid w:val="00F46BA7"/>
    <w:pPr>
      <w:spacing w:after="200" w:line="276"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F46BA7"/>
    <w:rPr>
      <w:rFonts w:ascii="Tahoma" w:eastAsia="Calibri" w:hAnsi="Tahoma" w:cs="Tahoma"/>
      <w:sz w:val="16"/>
      <w:szCs w:val="16"/>
    </w:rPr>
  </w:style>
  <w:style w:type="character" w:customStyle="1" w:styleId="black9pt">
    <w:name w:val="black9pt"/>
    <w:basedOn w:val="DefaultParagraphFont"/>
    <w:uiPriority w:val="99"/>
    <w:rsid w:val="00F46BA7"/>
    <w:rPr>
      <w:rFonts w:cs="Times New Roman"/>
    </w:rPr>
  </w:style>
  <w:style w:type="paragraph" w:styleId="ListParagraph">
    <w:name w:val="List Paragraph"/>
    <w:basedOn w:val="Normal"/>
    <w:uiPriority w:val="34"/>
    <w:qFormat/>
    <w:rsid w:val="00F46BA7"/>
    <w:pPr>
      <w:spacing w:after="200" w:line="276" w:lineRule="auto"/>
      <w:ind w:left="720"/>
      <w:contextualSpacing/>
    </w:pPr>
    <w:rPr>
      <w:rFonts w:ascii="Calibri" w:eastAsia="Calibri" w:hAnsi="Calibri" w:cs="Times New Roman"/>
      <w:sz w:val="22"/>
      <w:szCs w:val="22"/>
    </w:rPr>
  </w:style>
  <w:style w:type="character" w:styleId="LineNumber">
    <w:name w:val="line number"/>
    <w:uiPriority w:val="99"/>
    <w:rsid w:val="00F46BA7"/>
    <w:rPr>
      <w:rFonts w:cs="Times New Roman"/>
    </w:rPr>
  </w:style>
  <w:style w:type="paragraph" w:customStyle="1" w:styleId="Heading1A">
    <w:name w:val="Heading 1 A"/>
    <w:next w:val="Normal"/>
    <w:uiPriority w:val="99"/>
    <w:rsid w:val="00F46BA7"/>
    <w:pPr>
      <w:keepNext/>
      <w:jc w:val="center"/>
      <w:outlineLvl w:val="0"/>
    </w:pPr>
    <w:rPr>
      <w:rFonts w:ascii="Arial" w:eastAsia="?????? Pro W3" w:hAnsi="Arial"/>
      <w:color w:val="000000"/>
      <w:sz w:val="24"/>
    </w:rPr>
  </w:style>
  <w:style w:type="character" w:styleId="FootnoteReference">
    <w:name w:val="footnote reference"/>
    <w:uiPriority w:val="99"/>
    <w:rsid w:val="00F46BA7"/>
    <w:rPr>
      <w:rFonts w:cs="Times New Roman"/>
      <w:color w:val="000000"/>
      <w:sz w:val="20"/>
      <w:vertAlign w:val="superscript"/>
    </w:rPr>
  </w:style>
  <w:style w:type="character" w:customStyle="1" w:styleId="apple-style-span">
    <w:name w:val="apple-style-span"/>
    <w:rsid w:val="00F46BA7"/>
  </w:style>
  <w:style w:type="character" w:customStyle="1" w:styleId="apple-converted-space">
    <w:name w:val="apple-converted-space"/>
    <w:basedOn w:val="DefaultParagraphFont"/>
    <w:rsid w:val="00F46BA7"/>
  </w:style>
  <w:style w:type="character" w:customStyle="1" w:styleId="nlmyear">
    <w:name w:val="nlm_year"/>
    <w:basedOn w:val="DefaultParagraphFont"/>
    <w:rsid w:val="00F46BA7"/>
  </w:style>
  <w:style w:type="character" w:customStyle="1" w:styleId="nlmarticle-title">
    <w:name w:val="nlm_article-title"/>
    <w:basedOn w:val="DefaultParagraphFont"/>
    <w:rsid w:val="00F46BA7"/>
  </w:style>
  <w:style w:type="character" w:customStyle="1" w:styleId="citationsource-journal">
    <w:name w:val="citation_source-journal"/>
    <w:basedOn w:val="DefaultParagraphFont"/>
    <w:rsid w:val="00F46BA7"/>
  </w:style>
  <w:style w:type="character" w:customStyle="1" w:styleId="nlmfpage">
    <w:name w:val="nlm_fpage"/>
    <w:basedOn w:val="DefaultParagraphFont"/>
    <w:rsid w:val="00F46BA7"/>
  </w:style>
  <w:style w:type="character" w:customStyle="1" w:styleId="nlmlpage">
    <w:name w:val="nlm_lpage"/>
    <w:basedOn w:val="DefaultParagraphFont"/>
    <w:rsid w:val="00F46BA7"/>
  </w:style>
  <w:style w:type="character" w:customStyle="1" w:styleId="sm">
    <w:name w:val="sm"/>
    <w:basedOn w:val="DefaultParagraphFont"/>
    <w:rsid w:val="00F46BA7"/>
  </w:style>
  <w:style w:type="paragraph" w:styleId="FootnoteText">
    <w:name w:val="footnote text"/>
    <w:basedOn w:val="Normal"/>
    <w:link w:val="FootnoteTextChar"/>
    <w:uiPriority w:val="99"/>
    <w:unhideWhenUsed/>
    <w:rsid w:val="00F46BA7"/>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F46BA7"/>
    <w:rPr>
      <w:rFonts w:asciiTheme="minorHAnsi" w:eastAsiaTheme="minorEastAsia" w:hAnsiTheme="minorHAnsi" w:cstheme="minorBidi"/>
      <w:sz w:val="24"/>
      <w:szCs w:val="24"/>
    </w:rPr>
  </w:style>
  <w:style w:type="character" w:customStyle="1" w:styleId="DocumentMapChar">
    <w:name w:val="Document Map Char"/>
    <w:basedOn w:val="DefaultParagraphFont"/>
    <w:link w:val="DocumentMap"/>
    <w:uiPriority w:val="99"/>
    <w:rsid w:val="00F46BA7"/>
    <w:rPr>
      <w:rFonts w:ascii="Lucida Grande" w:hAnsi="Lucida Grande" w:cs="Lucida Grande"/>
    </w:rPr>
  </w:style>
  <w:style w:type="paragraph" w:styleId="DocumentMap">
    <w:name w:val="Document Map"/>
    <w:basedOn w:val="Normal"/>
    <w:link w:val="DocumentMapChar"/>
    <w:uiPriority w:val="99"/>
    <w:unhideWhenUsed/>
    <w:rsid w:val="00F46BA7"/>
    <w:rPr>
      <w:rFonts w:ascii="Lucida Grande" w:hAnsi="Lucida Grande" w:cs="Lucida Grande"/>
      <w:sz w:val="20"/>
      <w:szCs w:val="20"/>
    </w:rPr>
  </w:style>
  <w:style w:type="character" w:customStyle="1" w:styleId="DocumentMapChar1">
    <w:name w:val="Document Map Char1"/>
    <w:basedOn w:val="DefaultParagraphFont"/>
    <w:uiPriority w:val="99"/>
    <w:rsid w:val="00F46BA7"/>
    <w:rPr>
      <w:rFonts w:ascii="Lucida Grande" w:hAnsi="Lucida Grande" w:cs="Lucida Grande"/>
      <w:sz w:val="24"/>
      <w:szCs w:val="24"/>
    </w:rPr>
  </w:style>
  <w:style w:type="character" w:customStyle="1" w:styleId="pp-headline-item">
    <w:name w:val="pp-headline-item"/>
    <w:basedOn w:val="DefaultParagraphFont"/>
    <w:rsid w:val="00F46BA7"/>
  </w:style>
  <w:style w:type="character" w:customStyle="1" w:styleId="hithilite">
    <w:name w:val="hithilite"/>
    <w:basedOn w:val="DefaultParagraphFont"/>
    <w:rsid w:val="00F46BA7"/>
  </w:style>
  <w:style w:type="character" w:styleId="CommentReference">
    <w:name w:val="annotation reference"/>
    <w:basedOn w:val="DefaultParagraphFont"/>
    <w:uiPriority w:val="99"/>
    <w:unhideWhenUsed/>
    <w:rsid w:val="00F46BA7"/>
    <w:rPr>
      <w:sz w:val="18"/>
      <w:szCs w:val="18"/>
    </w:rPr>
  </w:style>
  <w:style w:type="paragraph" w:styleId="Revision">
    <w:name w:val="Revision"/>
    <w:hidden/>
    <w:uiPriority w:val="99"/>
    <w:rsid w:val="00F46BA7"/>
    <w:rPr>
      <w:sz w:val="24"/>
      <w:szCs w:val="24"/>
    </w:rPr>
  </w:style>
  <w:style w:type="character" w:styleId="HTMLCite">
    <w:name w:val="HTML Cite"/>
    <w:basedOn w:val="DefaultParagraphFont"/>
    <w:uiPriority w:val="99"/>
    <w:unhideWhenUsed/>
    <w:rsid w:val="00F46BA7"/>
    <w:rPr>
      <w:i/>
      <w:iCs/>
    </w:rPr>
  </w:style>
  <w:style w:type="paragraph" w:styleId="NoSpacing">
    <w:name w:val="No Spacing"/>
    <w:uiPriority w:val="1"/>
    <w:qFormat/>
    <w:rsid w:val="00F46BA7"/>
    <w:rPr>
      <w:sz w:val="24"/>
      <w:szCs w:val="24"/>
    </w:rPr>
  </w:style>
  <w:style w:type="character" w:styleId="Strong">
    <w:name w:val="Strong"/>
    <w:basedOn w:val="DefaultParagraphFont"/>
    <w:uiPriority w:val="22"/>
    <w:qFormat/>
    <w:rsid w:val="00F46BA7"/>
    <w:rPr>
      <w:b/>
      <w:bCs/>
    </w:rPr>
  </w:style>
  <w:style w:type="character" w:customStyle="1" w:styleId="frlabel">
    <w:name w:val="fr_label"/>
    <w:basedOn w:val="DefaultParagraphFont"/>
    <w:rsid w:val="00F46BA7"/>
  </w:style>
  <w:style w:type="character" w:styleId="FollowedHyperlink">
    <w:name w:val="FollowedHyperlink"/>
    <w:basedOn w:val="DefaultParagraphFont"/>
    <w:uiPriority w:val="99"/>
    <w:unhideWhenUsed/>
    <w:rsid w:val="00F46BA7"/>
    <w:rPr>
      <w:color w:val="800080" w:themeColor="followedHyperlink"/>
      <w:u w:val="single"/>
    </w:rPr>
  </w:style>
  <w:style w:type="character" w:customStyle="1" w:styleId="smallv110">
    <w:name w:val="smallv110"/>
    <w:basedOn w:val="DefaultParagraphFont"/>
    <w:rsid w:val="00F46BA7"/>
  </w:style>
  <w:style w:type="paragraph" w:styleId="NormalWeb">
    <w:name w:val="Normal (Web)"/>
    <w:basedOn w:val="Normal"/>
    <w:uiPriority w:val="99"/>
    <w:unhideWhenUsed/>
    <w:rsid w:val="00F46BA7"/>
    <w:pPr>
      <w:spacing w:before="100" w:beforeAutospacing="1" w:after="100" w:afterAutospacing="1"/>
    </w:pPr>
    <w:rPr>
      <w:rFonts w:ascii="Times" w:eastAsiaTheme="minorEastAsia" w:hAnsi="Times" w:cs="Times New Roman"/>
      <w:sz w:val="20"/>
      <w:szCs w:val="20"/>
    </w:rPr>
  </w:style>
  <w:style w:type="character" w:customStyle="1" w:styleId="slug-pub-date">
    <w:name w:val="slug-pub-date"/>
    <w:basedOn w:val="DefaultParagraphFont"/>
    <w:rsid w:val="00F46BA7"/>
  </w:style>
  <w:style w:type="character" w:customStyle="1" w:styleId="slug-vol">
    <w:name w:val="slug-vol"/>
    <w:basedOn w:val="DefaultParagraphFont"/>
    <w:rsid w:val="00F46BA7"/>
  </w:style>
  <w:style w:type="character" w:customStyle="1" w:styleId="slug-issue">
    <w:name w:val="slug-issue"/>
    <w:basedOn w:val="DefaultParagraphFont"/>
    <w:rsid w:val="00F46BA7"/>
  </w:style>
  <w:style w:type="character" w:customStyle="1" w:styleId="slug-pages">
    <w:name w:val="slug-pages"/>
    <w:basedOn w:val="DefaultParagraphFont"/>
    <w:rsid w:val="00F46BA7"/>
  </w:style>
  <w:style w:type="character" w:customStyle="1" w:styleId="st">
    <w:name w:val="st"/>
    <w:basedOn w:val="DefaultParagraphFont"/>
    <w:rsid w:val="001D3D0F"/>
  </w:style>
  <w:style w:type="paragraph" w:customStyle="1" w:styleId="sourcetitle">
    <w:name w:val="sourcetitle"/>
    <w:basedOn w:val="Normal"/>
    <w:rsid w:val="00945F16"/>
    <w:pPr>
      <w:spacing w:before="100" w:beforeAutospacing="1" w:after="100" w:afterAutospacing="1"/>
    </w:pPr>
    <w:rPr>
      <w:rFonts w:ascii="Times" w:eastAsiaTheme="minorEastAsia" w:hAnsi="Times" w:cstheme="minorBidi"/>
      <w:sz w:val="20"/>
      <w:szCs w:val="20"/>
    </w:rPr>
  </w:style>
  <w:style w:type="character" w:customStyle="1" w:styleId="patent-title">
    <w:name w:val="patent-title"/>
    <w:basedOn w:val="DefaultParagraphFont"/>
    <w:rsid w:val="00326E4D"/>
  </w:style>
  <w:style w:type="paragraph" w:styleId="Subtitle">
    <w:name w:val="Subtitle"/>
    <w:basedOn w:val="Normal"/>
    <w:next w:val="Normal"/>
    <w:link w:val="SubtitleChar"/>
    <w:qFormat/>
    <w:rsid w:val="00D560D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D560D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image" Target="media/image1.jpeg"/><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jpeg"/><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9.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attelmore:Downloads:UTK%20GS%20Multipart%20ET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058BD-1E06-3049-8875-D743DF118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Template.dot</Template>
  <TotalTime>0</TotalTime>
  <Pages>124</Pages>
  <Words>24745</Words>
  <Characters>141047</Characters>
  <Application>Microsoft Macintosh Word</Application>
  <DocSecurity>0</DocSecurity>
  <Lines>1175</Lines>
  <Paragraphs>330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165462</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2014-07-16T14:35:00Z</dcterms:created>
  <dcterms:modified xsi:type="dcterms:W3CDTF">2014-07-23T17:50:00Z</dcterms:modified>
</cp:coreProperties>
</file>