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FA293" w14:textId="505997A6" w:rsidR="008E633B" w:rsidRPr="008E633B" w:rsidRDefault="00B04F32" w:rsidP="00B04F32">
      <w:pPr>
        <w:spacing w:after="240" w:line="240" w:lineRule="auto"/>
        <w:jc w:val="center"/>
        <w:rPr>
          <w:rFonts w:eastAsia="Times New Roman" w:cs="Times New Roman"/>
          <w:szCs w:val="24"/>
        </w:rPr>
      </w:pPr>
      <w:r w:rsidRPr="00B04F32">
        <w:rPr>
          <w:rFonts w:eastAsia="Times New Roman" w:cs="Times New Roman"/>
          <w:b/>
          <w:bCs/>
          <w:color w:val="000000"/>
          <w:szCs w:val="24"/>
        </w:rPr>
        <w:t>Exploring Factors Influencing Suicidal Behavior: An Investigation into Automatic Determinants of Capability Factors</w:t>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p>
    <w:p w14:paraId="7B8CC368" w14:textId="77777777"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t>A Thesis Presented for the</w:t>
      </w:r>
    </w:p>
    <w:p w14:paraId="62315D19" w14:textId="77777777"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t>Master of Arts</w:t>
      </w:r>
    </w:p>
    <w:p w14:paraId="1ACD6CB7" w14:textId="77777777"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t>Degree</w:t>
      </w:r>
    </w:p>
    <w:p w14:paraId="55D059C8" w14:textId="77777777"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t>The University of Tennessee, Knoxville</w:t>
      </w:r>
    </w:p>
    <w:p w14:paraId="35113B6D" w14:textId="77777777" w:rsidR="008E633B" w:rsidRPr="008E633B" w:rsidRDefault="008E633B" w:rsidP="008E633B">
      <w:pPr>
        <w:spacing w:after="240" w:line="240" w:lineRule="auto"/>
        <w:rPr>
          <w:rFonts w:eastAsia="Times New Roman" w:cs="Times New Roman"/>
          <w:szCs w:val="24"/>
        </w:rPr>
      </w:pP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p>
    <w:p w14:paraId="7121A268" w14:textId="77777777"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t>Matthew A. Russ</w:t>
      </w:r>
    </w:p>
    <w:p w14:paraId="32605982" w14:textId="13B4D53B" w:rsidR="008E633B" w:rsidRPr="008E633B" w:rsidRDefault="00FE22FE" w:rsidP="008E633B">
      <w:pPr>
        <w:spacing w:after="0" w:line="240" w:lineRule="auto"/>
        <w:jc w:val="center"/>
        <w:rPr>
          <w:rFonts w:eastAsia="Times New Roman" w:cs="Times New Roman"/>
          <w:szCs w:val="24"/>
        </w:rPr>
      </w:pPr>
      <w:r>
        <w:rPr>
          <w:rFonts w:eastAsia="Times New Roman" w:cs="Times New Roman"/>
          <w:color w:val="000000"/>
          <w:szCs w:val="24"/>
        </w:rPr>
        <w:t>December</w:t>
      </w:r>
      <w:r w:rsidR="008E633B" w:rsidRPr="008E633B">
        <w:rPr>
          <w:rFonts w:eastAsia="Times New Roman" w:cs="Times New Roman"/>
          <w:color w:val="000000"/>
          <w:szCs w:val="24"/>
        </w:rPr>
        <w:t xml:space="preserve"> 2023</w:t>
      </w:r>
    </w:p>
    <w:p w14:paraId="35568F18" w14:textId="6EC1FD8B" w:rsidR="008E633B" w:rsidRDefault="008E633B" w:rsidP="008E633B">
      <w:pPr>
        <w:spacing w:after="240" w:line="240" w:lineRule="auto"/>
        <w:rPr>
          <w:rFonts w:eastAsia="Times New Roman" w:cs="Times New Roman"/>
          <w:szCs w:val="24"/>
        </w:rPr>
      </w:pPr>
      <w:r w:rsidRPr="008E633B">
        <w:rPr>
          <w:rFonts w:eastAsia="Times New Roman" w:cs="Times New Roman"/>
          <w:szCs w:val="24"/>
        </w:rPr>
        <w:br/>
      </w:r>
    </w:p>
    <w:p w14:paraId="2328A0DA" w14:textId="77777777" w:rsidR="00B04F32" w:rsidRPr="008E633B" w:rsidRDefault="00B04F32" w:rsidP="008E633B">
      <w:pPr>
        <w:spacing w:after="240" w:line="240" w:lineRule="auto"/>
        <w:rPr>
          <w:rFonts w:eastAsia="Times New Roman" w:cs="Times New Roman"/>
          <w:szCs w:val="24"/>
        </w:rPr>
      </w:pPr>
    </w:p>
    <w:p w14:paraId="54BC4E67" w14:textId="6D9D9F84"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lastRenderedPageBreak/>
        <w:t>Copyright © 202</w:t>
      </w:r>
      <w:r w:rsidR="00C77A48">
        <w:rPr>
          <w:rFonts w:eastAsia="Times New Roman" w:cs="Times New Roman"/>
          <w:color w:val="000000"/>
          <w:szCs w:val="24"/>
        </w:rPr>
        <w:t>3</w:t>
      </w:r>
      <w:r w:rsidRPr="008E633B">
        <w:rPr>
          <w:rFonts w:eastAsia="Times New Roman" w:cs="Times New Roman"/>
          <w:color w:val="000000"/>
          <w:szCs w:val="24"/>
        </w:rPr>
        <w:t xml:space="preserve"> by Matthew A. Russ</w:t>
      </w:r>
    </w:p>
    <w:p w14:paraId="5718B895" w14:textId="77777777"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t>All rights reserved.</w:t>
      </w:r>
    </w:p>
    <w:p w14:paraId="6A6E0CEF" w14:textId="77777777" w:rsidR="008E633B" w:rsidRPr="008E633B" w:rsidRDefault="008E633B" w:rsidP="008E633B">
      <w:pPr>
        <w:spacing w:after="240" w:line="240" w:lineRule="auto"/>
        <w:rPr>
          <w:rFonts w:eastAsia="Times New Roman" w:cs="Times New Roman"/>
          <w:szCs w:val="24"/>
        </w:rPr>
      </w:pP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r w:rsidRPr="008E633B">
        <w:rPr>
          <w:rFonts w:eastAsia="Times New Roman" w:cs="Times New Roman"/>
          <w:szCs w:val="24"/>
        </w:rPr>
        <w:br/>
      </w:r>
    </w:p>
    <w:p w14:paraId="2AA050C3" w14:textId="77777777" w:rsidR="008E633B" w:rsidRPr="007D21E3" w:rsidRDefault="008E633B" w:rsidP="008E633B">
      <w:pPr>
        <w:spacing w:after="0" w:line="240" w:lineRule="auto"/>
        <w:jc w:val="center"/>
        <w:rPr>
          <w:rFonts w:eastAsia="Times New Roman" w:cs="Times New Roman"/>
          <w:b/>
          <w:bCs/>
          <w:color w:val="000000"/>
          <w:szCs w:val="24"/>
        </w:rPr>
      </w:pPr>
    </w:p>
    <w:p w14:paraId="35F13999" w14:textId="77777777" w:rsidR="008E633B" w:rsidRPr="007D21E3" w:rsidRDefault="008E633B" w:rsidP="008E633B">
      <w:pPr>
        <w:spacing w:after="0" w:line="240" w:lineRule="auto"/>
        <w:jc w:val="center"/>
        <w:rPr>
          <w:rFonts w:eastAsia="Times New Roman" w:cs="Times New Roman"/>
          <w:b/>
          <w:bCs/>
          <w:color w:val="000000"/>
          <w:szCs w:val="24"/>
        </w:rPr>
      </w:pPr>
    </w:p>
    <w:p w14:paraId="3DBC9CF1" w14:textId="77777777" w:rsidR="008E633B" w:rsidRPr="007D21E3" w:rsidRDefault="008E633B" w:rsidP="008E633B">
      <w:pPr>
        <w:spacing w:after="0" w:line="240" w:lineRule="auto"/>
        <w:jc w:val="center"/>
        <w:rPr>
          <w:rFonts w:eastAsia="Times New Roman" w:cs="Times New Roman"/>
          <w:b/>
          <w:bCs/>
          <w:color w:val="000000"/>
          <w:szCs w:val="24"/>
        </w:rPr>
      </w:pPr>
    </w:p>
    <w:p w14:paraId="61CF4890" w14:textId="77777777" w:rsidR="00B04F32" w:rsidRDefault="00B04F32" w:rsidP="008E633B">
      <w:pPr>
        <w:spacing w:after="0" w:line="240" w:lineRule="auto"/>
        <w:jc w:val="center"/>
        <w:rPr>
          <w:rFonts w:eastAsia="Times New Roman" w:cs="Times New Roman"/>
          <w:b/>
          <w:bCs/>
          <w:color w:val="000000"/>
          <w:szCs w:val="24"/>
        </w:rPr>
      </w:pPr>
    </w:p>
    <w:p w14:paraId="7C3BCC6C" w14:textId="69651789" w:rsidR="008E633B" w:rsidRPr="008E633B" w:rsidRDefault="00006E91" w:rsidP="00115381">
      <w:pPr>
        <w:spacing w:after="0" w:line="480" w:lineRule="auto"/>
        <w:jc w:val="center"/>
        <w:rPr>
          <w:rFonts w:eastAsia="Times New Roman" w:cs="Times New Roman"/>
          <w:szCs w:val="24"/>
        </w:rPr>
      </w:pPr>
      <w:r>
        <w:rPr>
          <w:rFonts w:eastAsia="Times New Roman" w:cs="Times New Roman"/>
          <w:b/>
          <w:bCs/>
          <w:noProof/>
          <w:color w:val="000000"/>
          <w:szCs w:val="24"/>
        </w:rPr>
        <w:lastRenderedPageBreak/>
        <mc:AlternateContent>
          <mc:Choice Requires="wps">
            <w:drawing>
              <wp:anchor distT="0" distB="0" distL="114300" distR="114300" simplePos="0" relativeHeight="251658240" behindDoc="1" locked="0" layoutInCell="1" allowOverlap="1" wp14:anchorId="70ADD754" wp14:editId="15FDE783">
                <wp:simplePos x="0" y="0"/>
                <wp:positionH relativeFrom="page">
                  <wp:posOffset>3787775</wp:posOffset>
                </wp:positionH>
                <wp:positionV relativeFrom="page">
                  <wp:posOffset>9245600</wp:posOffset>
                </wp:positionV>
                <wp:extent cx="204470" cy="194310"/>
                <wp:effectExtent l="0" t="0" r="5080" b="152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1592B" w14:textId="5848A40C" w:rsidR="00006E91" w:rsidRDefault="00006E91" w:rsidP="00006E91">
                            <w:pPr>
                              <w:pStyle w:val="BodyText"/>
                              <w:spacing w:before="10"/>
                              <w:ind w:left="6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DD754" id="_x0000_t202" coordsize="21600,21600" o:spt="202" path="m,l,21600r21600,l21600,xe">
                <v:stroke joinstyle="miter"/>
                <v:path gradientshapeok="t" o:connecttype="rect"/>
              </v:shapetype>
              <v:shape id="Text Box 5" o:spid="_x0000_s1026" type="#_x0000_t202" style="position:absolute;left:0;text-align:left;margin-left:298.25pt;margin-top:728pt;width:16.1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" filled="f" stroked="f">
                <v:textbox inset="0,0,0,0">
                  <w:txbxContent>
                    <w:p w14:paraId="2B51592B" w14:textId="5848A40C" w:rsidR="00006E91" w:rsidRDefault="00006E91" w:rsidP="00006E91">
                      <w:pPr>
                        <w:pStyle w:val="BodyText"/>
                        <w:spacing w:before="10"/>
                        <w:ind w:left="60"/>
                        <w:jc w:val="center"/>
                      </w:pPr>
                    </w:p>
                  </w:txbxContent>
                </v:textbox>
                <w10:wrap anchorx="page" anchory="page"/>
              </v:shape>
            </w:pict>
          </mc:Fallback>
        </mc:AlternateContent>
      </w:r>
      <w:r w:rsidR="008E633B" w:rsidRPr="008E633B">
        <w:rPr>
          <w:rFonts w:eastAsia="Times New Roman" w:cs="Times New Roman"/>
          <w:b/>
          <w:bCs/>
          <w:color w:val="000000"/>
          <w:szCs w:val="24"/>
        </w:rPr>
        <w:t>ACKNOWLEDGEMENTS</w:t>
      </w:r>
    </w:p>
    <w:p w14:paraId="1D1E3C4E" w14:textId="4E5FF659" w:rsidR="008E633B" w:rsidRPr="008E633B" w:rsidRDefault="008E633B" w:rsidP="00115381">
      <w:pPr>
        <w:spacing w:after="240" w:line="480" w:lineRule="auto"/>
        <w:ind w:firstLine="720"/>
        <w:rPr>
          <w:rFonts w:eastAsia="Times New Roman" w:cs="Times New Roman"/>
          <w:szCs w:val="24"/>
        </w:rPr>
      </w:pPr>
      <w:r w:rsidRPr="008E633B">
        <w:rPr>
          <w:rFonts w:eastAsia="Times New Roman" w:cs="Times New Roman"/>
          <w:color w:val="000000"/>
          <w:szCs w:val="24"/>
        </w:rPr>
        <w:t xml:space="preserve">I would like to </w:t>
      </w:r>
      <w:r w:rsidR="007D21E3" w:rsidRPr="007D21E3">
        <w:rPr>
          <w:rFonts w:eastAsia="Times New Roman" w:cs="Times New Roman"/>
          <w:color w:val="000000"/>
          <w:szCs w:val="24"/>
        </w:rPr>
        <w:t xml:space="preserve">sincerely thank my advisor, Dr. Michael Olson, for his exceptional guidance, complete support, and essential feedback throughout this </w:t>
      </w:r>
      <w:r w:rsidRPr="008E633B">
        <w:rPr>
          <w:rFonts w:eastAsia="Times New Roman" w:cs="Times New Roman"/>
          <w:color w:val="000000"/>
          <w:szCs w:val="24"/>
        </w:rPr>
        <w:t>process. His expertise and dedication to my academic and personal growth have proven invaluable.</w:t>
      </w:r>
    </w:p>
    <w:p w14:paraId="2BFC338F" w14:textId="77777777" w:rsidR="008E633B" w:rsidRPr="008E633B" w:rsidRDefault="008E633B" w:rsidP="00C77A48">
      <w:pPr>
        <w:spacing w:before="240" w:after="240" w:line="480" w:lineRule="auto"/>
        <w:ind w:firstLine="720"/>
        <w:rPr>
          <w:rFonts w:eastAsia="Times New Roman" w:cs="Times New Roman"/>
          <w:szCs w:val="24"/>
        </w:rPr>
      </w:pPr>
      <w:r w:rsidRPr="008E633B">
        <w:rPr>
          <w:rFonts w:eastAsia="Times New Roman" w:cs="Times New Roman"/>
          <w:color w:val="000000"/>
          <w:szCs w:val="24"/>
        </w:rPr>
        <w:t>I am deeply grateful to my thesis committee members, Dr. Lowell Gaertner and Dr. Bob Dubois, for their valuable insights, constructive criticism, and thoughtful suggestions. Their experience and efforts in the field have significantly contributed to the quality and rigor of this research.</w:t>
      </w:r>
    </w:p>
    <w:p w14:paraId="0552C9C6" w14:textId="77777777" w:rsidR="008E633B" w:rsidRPr="008E633B" w:rsidRDefault="008E633B" w:rsidP="00C77A48">
      <w:pPr>
        <w:spacing w:before="240" w:after="240" w:line="480" w:lineRule="auto"/>
        <w:ind w:firstLine="720"/>
        <w:rPr>
          <w:rFonts w:eastAsia="Times New Roman" w:cs="Times New Roman"/>
          <w:szCs w:val="24"/>
        </w:rPr>
      </w:pPr>
      <w:r w:rsidRPr="008E633B">
        <w:rPr>
          <w:rFonts w:eastAsia="Times New Roman" w:cs="Times New Roman"/>
          <w:color w:val="000000"/>
          <w:szCs w:val="24"/>
        </w:rPr>
        <w:t>I would like to express my appreciation to my research assistants and the participants who willingly dedicated their time and participated in this study. Their willingness to engage in the scientific process and provide their valuable data has been crucial to the successful completion of this research.</w:t>
      </w:r>
    </w:p>
    <w:p w14:paraId="541355B8" w14:textId="77777777" w:rsidR="008E633B" w:rsidRPr="008E633B" w:rsidRDefault="008E633B" w:rsidP="00C77A48">
      <w:pPr>
        <w:spacing w:before="240" w:after="240" w:line="480" w:lineRule="auto"/>
        <w:ind w:firstLine="720"/>
        <w:rPr>
          <w:rFonts w:eastAsia="Times New Roman" w:cs="Times New Roman"/>
          <w:szCs w:val="24"/>
        </w:rPr>
      </w:pPr>
      <w:r w:rsidRPr="008E633B">
        <w:rPr>
          <w:rFonts w:eastAsia="Times New Roman" w:cs="Times New Roman"/>
          <w:color w:val="000000"/>
          <w:szCs w:val="24"/>
        </w:rPr>
        <w:t>Additionally, I would like to offer my gratitude to my Brazilian Jiu-Jitsu coach for helping me keep my physical and mental health in the times I struggled the most to maintain either. I promise I will have more time to train now.</w:t>
      </w:r>
    </w:p>
    <w:p w14:paraId="04CC54CE" w14:textId="77777777" w:rsidR="008E633B" w:rsidRPr="008E633B" w:rsidRDefault="008E633B" w:rsidP="00C77A48">
      <w:pPr>
        <w:spacing w:before="240" w:after="240" w:line="480" w:lineRule="auto"/>
        <w:ind w:firstLine="720"/>
        <w:rPr>
          <w:rFonts w:eastAsia="Times New Roman" w:cs="Times New Roman"/>
          <w:szCs w:val="24"/>
        </w:rPr>
      </w:pPr>
      <w:r w:rsidRPr="008E633B">
        <w:rPr>
          <w:rFonts w:eastAsia="Times New Roman" w:cs="Times New Roman"/>
          <w:color w:val="000000"/>
          <w:szCs w:val="24"/>
        </w:rPr>
        <w:t>Finally, I am indebted to my family and my beautiful partner, Cheyanne for their unwavering support, understanding, and consistent patience throughout this demanding process. Their love, encouragement, and belief in my abilities have kept me constantly motivated.</w:t>
      </w:r>
    </w:p>
    <w:p w14:paraId="2DDE17F6" w14:textId="77777777" w:rsidR="008E633B" w:rsidRPr="008E633B" w:rsidRDefault="008E633B" w:rsidP="008E633B">
      <w:pPr>
        <w:spacing w:after="0" w:line="240" w:lineRule="auto"/>
        <w:rPr>
          <w:rFonts w:eastAsia="Times New Roman" w:cs="Times New Roman"/>
          <w:szCs w:val="24"/>
        </w:rPr>
      </w:pPr>
    </w:p>
    <w:p w14:paraId="3C4A09E4" w14:textId="77777777" w:rsidR="008E633B" w:rsidRPr="008E633B" w:rsidRDefault="008E633B" w:rsidP="008E633B">
      <w:pPr>
        <w:spacing w:after="0" w:line="240" w:lineRule="auto"/>
        <w:jc w:val="center"/>
        <w:rPr>
          <w:rFonts w:eastAsia="Times New Roman" w:cs="Times New Roman"/>
          <w:szCs w:val="24"/>
        </w:rPr>
      </w:pPr>
      <w:r w:rsidRPr="008E633B">
        <w:rPr>
          <w:rFonts w:eastAsia="Times New Roman" w:cs="Times New Roman"/>
          <w:color w:val="000000"/>
          <w:szCs w:val="24"/>
        </w:rPr>
        <w:t> </w:t>
      </w:r>
    </w:p>
    <w:p w14:paraId="5E984791" w14:textId="77777777" w:rsidR="008E633B" w:rsidRPr="007D21E3" w:rsidRDefault="008E633B" w:rsidP="008E633B">
      <w:pPr>
        <w:spacing w:after="0" w:line="480" w:lineRule="auto"/>
        <w:jc w:val="center"/>
        <w:rPr>
          <w:rFonts w:eastAsia="Times New Roman" w:cs="Times New Roman"/>
          <w:b/>
          <w:bCs/>
          <w:color w:val="000000"/>
          <w:szCs w:val="24"/>
        </w:rPr>
      </w:pPr>
    </w:p>
    <w:p w14:paraId="481E0906" w14:textId="2BD6535B" w:rsidR="008E633B" w:rsidRPr="007D21E3" w:rsidRDefault="008E633B" w:rsidP="008E633B">
      <w:pPr>
        <w:spacing w:after="0" w:line="480" w:lineRule="auto"/>
        <w:jc w:val="center"/>
        <w:rPr>
          <w:rFonts w:eastAsia="Times New Roman" w:cs="Times New Roman"/>
          <w:b/>
          <w:bCs/>
          <w:color w:val="000000"/>
          <w:szCs w:val="24"/>
        </w:rPr>
      </w:pPr>
    </w:p>
    <w:p w14:paraId="7F6A3B47" w14:textId="110187A1" w:rsidR="008E633B" w:rsidRPr="008E633B" w:rsidRDefault="008E633B" w:rsidP="008E633B">
      <w:pPr>
        <w:spacing w:after="0" w:line="480" w:lineRule="auto"/>
        <w:jc w:val="center"/>
        <w:rPr>
          <w:rFonts w:eastAsia="Times New Roman" w:cs="Times New Roman"/>
          <w:szCs w:val="24"/>
        </w:rPr>
      </w:pPr>
      <w:r w:rsidRPr="008E633B">
        <w:rPr>
          <w:rFonts w:eastAsia="Times New Roman" w:cs="Times New Roman"/>
          <w:b/>
          <w:bCs/>
          <w:color w:val="000000"/>
          <w:szCs w:val="24"/>
        </w:rPr>
        <w:lastRenderedPageBreak/>
        <w:t>ABSTRACT</w:t>
      </w:r>
    </w:p>
    <w:p w14:paraId="18DC1415" w14:textId="77777777" w:rsidR="003B524E" w:rsidRDefault="003B524E" w:rsidP="00335617">
      <w:pPr>
        <w:pStyle w:val="NormalWeb"/>
        <w:spacing w:line="480" w:lineRule="auto"/>
        <w:ind w:firstLine="720"/>
      </w:pPr>
      <w:r>
        <w:t>This study investigated the associations between non-suicidal self-injury (NSSI), impulsivity, automatic associations with pain, and their combined impact on self-reported capability. The research hypotheses were tested using a sample of 226 participants (182 women, 40 men, and 4 individuals identifying outside the gender binary) recruited from the Department of Psychology participant pool at the University of Tennessee.</w:t>
      </w:r>
      <w:r w:rsidRPr="003B524E">
        <w:t xml:space="preserve"> </w:t>
      </w:r>
    </w:p>
    <w:p w14:paraId="35C5F396" w14:textId="6E015941" w:rsidR="00335617" w:rsidRDefault="003B524E" w:rsidP="00335617">
      <w:pPr>
        <w:pStyle w:val="NormalWeb"/>
        <w:spacing w:line="480" w:lineRule="auto"/>
        <w:ind w:firstLine="720"/>
      </w:pPr>
      <w:r>
        <w:t xml:space="preserve">An Implicit Association Test (IAT) was employed to measure automatic associations </w:t>
      </w:r>
      <w:r w:rsidR="00335617">
        <w:t>between</w:t>
      </w:r>
      <w:r>
        <w:t xml:space="preserve"> pain/relief and good/bad. Three self-report questionnaires were also administered, namely the Inventory of Statements about Self-Injury (ISAS) to assess NSSI history, the Acquired Capability for Self-Harm (ACSS) to measure self-reported capability for self-harm and pain endurance, and the SUPPS-P Impulsive Behavior Scale to evaluate impulsivity.</w:t>
      </w:r>
      <w:r w:rsidRPr="003B524E">
        <w:t xml:space="preserve"> </w:t>
      </w:r>
      <w:r>
        <w:t>Correlation analyses and multiple regression were performed to examine the relationships between variables and test the research hypotheses.</w:t>
      </w:r>
    </w:p>
    <w:p w14:paraId="27008E4D" w14:textId="6F0BE10F" w:rsidR="003B524E" w:rsidRDefault="003B524E" w:rsidP="00335617">
      <w:pPr>
        <w:pStyle w:val="NormalWeb"/>
        <w:spacing w:line="480" w:lineRule="auto"/>
        <w:ind w:firstLine="720"/>
      </w:pPr>
      <w:r>
        <w:t>The results indicated that participants with a history of NSSI did not exhibit weakened pain-bad automatic associations (r = .06, p = .40), contrary to Hypothesis 1. Furthermore, Hypothesis 2, which predicted that weakened pain-bad automatic associations would predict higher levels of self-reported capability, was not supported. Instead, IAT scores showed a weak positive correlation with ACS scores (r = .13, p = .053).</w:t>
      </w:r>
      <w:r w:rsidR="00335617">
        <w:t xml:space="preserve"> </w:t>
      </w:r>
      <w:r>
        <w:t>In testing Hypothesis 3, it was found that both SUPPS-P scores (a measure of impulsivity) and IAT scores independently predicted ACS scores. However, no significant interaction effect was observed.</w:t>
      </w:r>
    </w:p>
    <w:p w14:paraId="5B5FED86" w14:textId="77777777" w:rsidR="003B524E" w:rsidRDefault="003B524E" w:rsidP="00335617">
      <w:pPr>
        <w:pStyle w:val="NormalWeb"/>
        <w:spacing w:line="480" w:lineRule="auto"/>
        <w:ind w:firstLine="720"/>
      </w:pPr>
      <w:r>
        <w:lastRenderedPageBreak/>
        <w:t>These findings contribute to the understanding of the complex relationships between NSSI, impulsivity, automatic associations with pain, and self-reported capability. Future research should continue exploring additional factors and mechanisms that may further elucidate these associations and enhance our understanding of self-harm and related behaviors.</w:t>
      </w:r>
    </w:p>
    <w:p w14:paraId="0A280773" w14:textId="77777777" w:rsidR="003B524E" w:rsidRDefault="003B524E" w:rsidP="003B524E">
      <w:pPr>
        <w:pStyle w:val="NormalWeb"/>
      </w:pPr>
      <w:r w:rsidRPr="00335617">
        <w:rPr>
          <w:b/>
          <w:bCs/>
        </w:rPr>
        <w:t>Keywords</w:t>
      </w:r>
      <w:r>
        <w:t>: non-suicidal self-injury, impulsivity, automatic associations, pain, self-reported capability.</w:t>
      </w:r>
    </w:p>
    <w:p w14:paraId="08199A08" w14:textId="3CB26B1E" w:rsidR="008E633B" w:rsidRPr="007D21E3" w:rsidRDefault="00006E91" w:rsidP="003B524E">
      <w:pPr>
        <w:ind w:firstLine="720"/>
        <w:rPr>
          <w:rFonts w:eastAsia="Times New Roman" w:cs="Times New Roman"/>
          <w:color w:val="000000"/>
          <w:szCs w:val="24"/>
        </w:rPr>
      </w:pPr>
      <w:r>
        <w:rPr>
          <w:rFonts w:eastAsia="Times New Roman" w:cs="Times New Roman"/>
          <w:noProof/>
          <w:color w:val="000000"/>
          <w:szCs w:val="24"/>
        </w:rPr>
        <mc:AlternateContent>
          <mc:Choice Requires="wps">
            <w:drawing>
              <wp:anchor distT="0" distB="0" distL="114300" distR="114300" simplePos="0" relativeHeight="251660288" behindDoc="1" locked="0" layoutInCell="1" allowOverlap="1" wp14:anchorId="70ADD754" wp14:editId="6B08CDC5">
                <wp:simplePos x="0" y="0"/>
                <wp:positionH relativeFrom="page">
                  <wp:posOffset>3784600</wp:posOffset>
                </wp:positionH>
                <wp:positionV relativeFrom="page">
                  <wp:posOffset>9244965</wp:posOffset>
                </wp:positionV>
                <wp:extent cx="204470" cy="194310"/>
                <wp:effectExtent l="0" t="0" r="5080"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D46F4" w14:textId="56EBB6F2" w:rsidR="00006E91" w:rsidRDefault="00006E91" w:rsidP="00006E91">
                            <w:pPr>
                              <w:pStyle w:val="BodyText"/>
                              <w:spacing w:before="10"/>
                              <w:ind w:left="6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D754" id="Text Box 7" o:spid="_x0000_s1027" type="#_x0000_t202" style="position:absolute;left:0;text-align:left;margin-left:298pt;margin-top:727.95pt;width:16.1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" filled="f" stroked="f">
                <v:textbox inset="0,0,0,0">
                  <w:txbxContent>
                    <w:p w14:paraId="30DD46F4" w14:textId="56EBB6F2" w:rsidR="00006E91" w:rsidRDefault="00006E91" w:rsidP="00006E91">
                      <w:pPr>
                        <w:pStyle w:val="BodyText"/>
                        <w:spacing w:before="10"/>
                        <w:ind w:left="60"/>
                        <w:jc w:val="center"/>
                      </w:pPr>
                    </w:p>
                  </w:txbxContent>
                </v:textbox>
                <w10:wrap anchorx="page" anchory="page"/>
              </v:shape>
            </w:pict>
          </mc:Fallback>
        </mc:AlternateContent>
      </w:r>
      <w:r w:rsidR="008E633B" w:rsidRPr="007D21E3">
        <w:rPr>
          <w:rFonts w:eastAsia="Times New Roman" w:cs="Times New Roman"/>
          <w:color w:val="000000"/>
          <w:szCs w:val="24"/>
        </w:rPr>
        <w:br w:type="page"/>
      </w:r>
    </w:p>
    <w:p w14:paraId="71713846" w14:textId="0912BC20" w:rsidR="008E633B" w:rsidRPr="00115381" w:rsidRDefault="00115381" w:rsidP="00115381">
      <w:pPr>
        <w:jc w:val="center"/>
        <w:rPr>
          <w:b/>
          <w:bCs/>
        </w:rPr>
      </w:pPr>
      <w:r>
        <w:rPr>
          <w:b/>
          <w:bCs/>
        </w:rPr>
        <w:lastRenderedPageBreak/>
        <w:t>TABLE OF CONTENTS</w:t>
      </w:r>
    </w:p>
    <w:p w14:paraId="1F88DCC1" w14:textId="77777777" w:rsidR="008E633B" w:rsidRPr="008E633B" w:rsidRDefault="008E633B" w:rsidP="008E633B">
      <w:pPr>
        <w:spacing w:after="0" w:line="240" w:lineRule="auto"/>
        <w:rPr>
          <w:rFonts w:eastAsia="Times New Roman" w:cs="Times New Roman"/>
          <w:szCs w:val="24"/>
        </w:rPr>
      </w:pPr>
    </w:p>
    <w:sdt>
      <w:sdtPr>
        <w:rPr>
          <w:i/>
          <w:sz w:val="22"/>
          <w:szCs w:val="22"/>
        </w:rPr>
        <w:id w:val="605700218"/>
        <w:docPartObj>
          <w:docPartGallery w:val="Table of Contents"/>
          <w:docPartUnique/>
        </w:docPartObj>
      </w:sdtPr>
      <w:sdtEndPr>
        <w:rPr>
          <w:i w:val="0"/>
          <w:sz w:val="24"/>
          <w:szCs w:val="24"/>
        </w:rPr>
      </w:sdtEndPr>
      <w:sdtContent>
        <w:p w14:paraId="06663947" w14:textId="14486B51" w:rsidR="004F5088" w:rsidRDefault="00C77A48" w:rsidP="00C77A48">
          <w:pPr>
            <w:pStyle w:val="TOC1"/>
            <w:tabs>
              <w:tab w:val="right" w:leader="dot" w:pos="9360"/>
            </w:tabs>
            <w:ind w:right="0"/>
            <w:rPr>
              <w:b w:val="0"/>
            </w:rPr>
          </w:pPr>
          <w:r>
            <w:t>Chapter 1 Introduction</w:t>
          </w:r>
          <w:r w:rsidRPr="00AC6D53">
            <w:rPr>
              <w:b w:val="0"/>
              <w:bCs w:val="0"/>
            </w:rPr>
            <w:tab/>
          </w:r>
          <w:r w:rsidRPr="008A6661">
            <w:rPr>
              <w:b w:val="0"/>
              <w:bCs w:val="0"/>
            </w:rPr>
            <w:t>1</w:t>
          </w:r>
        </w:p>
        <w:p w14:paraId="1AAFFEDC" w14:textId="318EBD6A" w:rsidR="004F5088" w:rsidRDefault="00000000" w:rsidP="00C77A48">
          <w:pPr>
            <w:pStyle w:val="TOC3"/>
            <w:tabs>
              <w:tab w:val="right" w:leader="dot" w:pos="9360"/>
              <w:tab w:val="right" w:leader="dot" w:pos="9461"/>
            </w:tabs>
          </w:pPr>
          <w:hyperlink w:anchor="_TOC_250019" w:history="1">
            <w:r w:rsidR="004F5088">
              <w:t>Current Assessment Limitations</w:t>
            </w:r>
            <w:r w:rsidR="004F5088">
              <w:tab/>
            </w:r>
            <w:r w:rsidR="00B04F32">
              <w:t>2</w:t>
            </w:r>
          </w:hyperlink>
        </w:p>
        <w:p w14:paraId="6CD0FBE3" w14:textId="2C6E0460" w:rsidR="004F5088" w:rsidRDefault="00000000" w:rsidP="00C77A48">
          <w:pPr>
            <w:pStyle w:val="TOC3"/>
            <w:tabs>
              <w:tab w:val="right" w:leader="dot" w:pos="9360"/>
              <w:tab w:val="right" w:leader="dot" w:pos="9461"/>
            </w:tabs>
          </w:pPr>
          <w:hyperlink w:anchor="_TOC_250018" w:history="1">
            <w:r w:rsidR="004F5088">
              <w:t>Dual Process Approach Benefits</w:t>
            </w:r>
            <w:r w:rsidR="004F5088">
              <w:tab/>
            </w:r>
          </w:hyperlink>
          <w:r w:rsidR="00B12ACA">
            <w:t>3</w:t>
          </w:r>
        </w:p>
        <w:p w14:paraId="285C159F" w14:textId="34427EA5" w:rsidR="004F5088" w:rsidRDefault="00000000" w:rsidP="00C77A48">
          <w:pPr>
            <w:pStyle w:val="TOC3"/>
            <w:tabs>
              <w:tab w:val="right" w:leader="dot" w:pos="9360"/>
              <w:tab w:val="right" w:leader="dot" w:pos="9461"/>
            </w:tabs>
            <w:ind w:left="720"/>
          </w:pPr>
          <w:hyperlink w:anchor="_TOC_250017" w:history="1">
            <w:r w:rsidR="004F5088">
              <w:t>The Mode Model</w:t>
            </w:r>
            <w:r w:rsidR="004F5088">
              <w:tab/>
            </w:r>
          </w:hyperlink>
          <w:r w:rsidR="00B12ACA">
            <w:t>4</w:t>
          </w:r>
        </w:p>
        <w:p w14:paraId="6FB64CCD" w14:textId="42D25F74" w:rsidR="004F5088" w:rsidRDefault="00000000" w:rsidP="00C77A48">
          <w:pPr>
            <w:pStyle w:val="TOC3"/>
            <w:tabs>
              <w:tab w:val="right" w:leader="dot" w:pos="9360"/>
              <w:tab w:val="right" w:leader="dot" w:pos="9461"/>
            </w:tabs>
          </w:pPr>
          <w:hyperlink w:anchor="_TOC_250016" w:history="1">
            <w:r w:rsidR="004F5088">
              <w:t>The ACASIA Model</w:t>
            </w:r>
            <w:r w:rsidR="004F5088">
              <w:tab/>
            </w:r>
          </w:hyperlink>
          <w:r w:rsidR="00115381">
            <w:t>6</w:t>
          </w:r>
        </w:p>
        <w:p w14:paraId="3FAD3EB9" w14:textId="4B53AD7B" w:rsidR="004F5088" w:rsidRDefault="004F5088" w:rsidP="00C77A48">
          <w:pPr>
            <w:pStyle w:val="TOC3"/>
            <w:tabs>
              <w:tab w:val="right" w:leader="dot" w:pos="9360"/>
              <w:tab w:val="right" w:leader="dot" w:pos="9461"/>
            </w:tabs>
          </w:pPr>
          <w:r>
            <w:t>Acquired Capability for Suicide</w:t>
          </w:r>
          <w:r>
            <w:tab/>
          </w:r>
          <w:r w:rsidR="00B12ACA">
            <w:t>9</w:t>
          </w:r>
        </w:p>
        <w:p w14:paraId="75B6B0D4" w14:textId="55FBD010" w:rsidR="004F5088" w:rsidRDefault="004F5088" w:rsidP="00C77A48">
          <w:pPr>
            <w:pStyle w:val="TOC3"/>
            <w:tabs>
              <w:tab w:val="right" w:leader="dot" w:pos="9360"/>
              <w:tab w:val="right" w:leader="dot" w:pos="9461"/>
            </w:tabs>
            <w:ind w:left="720"/>
          </w:pPr>
          <w:r>
            <w:t>Automatic Components</w:t>
          </w:r>
          <w:r>
            <w:tab/>
          </w:r>
          <w:r w:rsidR="00115381">
            <w:t>9</w:t>
          </w:r>
        </w:p>
        <w:p w14:paraId="2AE052E6" w14:textId="518BE618" w:rsidR="004F5088" w:rsidRDefault="004F5088" w:rsidP="00C77A48">
          <w:pPr>
            <w:pStyle w:val="TOC3"/>
            <w:tabs>
              <w:tab w:val="right" w:leader="dot" w:pos="9360"/>
              <w:tab w:val="right" w:leader="dot" w:pos="9461"/>
            </w:tabs>
            <w:ind w:left="720"/>
          </w:pPr>
          <w:r>
            <w:t>Controlled Motivations</w:t>
          </w:r>
          <w:r>
            <w:tab/>
          </w:r>
          <w:r w:rsidR="00B12ACA">
            <w:t>1</w:t>
          </w:r>
          <w:r w:rsidR="00115381">
            <w:t>0</w:t>
          </w:r>
        </w:p>
        <w:p w14:paraId="482F5259" w14:textId="4AF7FC42" w:rsidR="004F5088" w:rsidRDefault="004F5088" w:rsidP="00C77A48">
          <w:pPr>
            <w:pStyle w:val="TOC3"/>
            <w:tabs>
              <w:tab w:val="right" w:leader="dot" w:pos="9360"/>
              <w:tab w:val="right" w:leader="dot" w:pos="9461"/>
            </w:tabs>
            <w:ind w:left="720"/>
          </w:pPr>
          <w:r>
            <w:t>Opportunity Factors</w:t>
          </w:r>
          <w:r>
            <w:tab/>
          </w:r>
          <w:r w:rsidR="00B12ACA">
            <w:t>1</w:t>
          </w:r>
          <w:r w:rsidR="00115381">
            <w:t>2</w:t>
          </w:r>
        </w:p>
        <w:p w14:paraId="7F7DFDCF" w14:textId="495D1BAA" w:rsidR="00B04F32" w:rsidRDefault="00B04F32" w:rsidP="00C77A48">
          <w:pPr>
            <w:pStyle w:val="TOC3"/>
            <w:tabs>
              <w:tab w:val="right" w:leader="dot" w:pos="9360"/>
              <w:tab w:val="right" w:leader="dot" w:pos="9461"/>
            </w:tabs>
          </w:pPr>
          <w:r>
            <w:t>Power Analyses</w:t>
          </w:r>
          <w:r>
            <w:tab/>
          </w:r>
          <w:r w:rsidR="00B12ACA">
            <w:t>1</w:t>
          </w:r>
          <w:r w:rsidR="00115381">
            <w:t>3</w:t>
          </w:r>
        </w:p>
        <w:p w14:paraId="744C088F" w14:textId="25D548F6" w:rsidR="004F5088" w:rsidRDefault="00000000" w:rsidP="00C77A48">
          <w:pPr>
            <w:pStyle w:val="TOC2"/>
            <w:tabs>
              <w:tab w:val="right" w:leader="dot" w:pos="9360"/>
              <w:tab w:val="right" w:leader="dot" w:pos="9461"/>
            </w:tabs>
            <w:rPr>
              <w:b w:val="0"/>
            </w:rPr>
          </w:pPr>
          <w:hyperlink w:anchor="_TOC_250015" w:history="1">
            <w:r w:rsidR="004F5088">
              <w:t>Chapter</w:t>
            </w:r>
            <w:r w:rsidR="004F5088">
              <w:rPr>
                <w:spacing w:val="-2"/>
              </w:rPr>
              <w:t xml:space="preserve"> </w:t>
            </w:r>
            <w:r w:rsidR="004F5088">
              <w:t>2 Method</w:t>
            </w:r>
            <w:r w:rsidR="004F5088" w:rsidRPr="00AC6D53">
              <w:rPr>
                <w:b w:val="0"/>
                <w:bCs w:val="0"/>
              </w:rPr>
              <w:tab/>
            </w:r>
          </w:hyperlink>
          <w:r w:rsidR="00B12ACA">
            <w:rPr>
              <w:b w:val="0"/>
            </w:rPr>
            <w:t>1</w:t>
          </w:r>
          <w:r w:rsidR="00115381">
            <w:rPr>
              <w:b w:val="0"/>
            </w:rPr>
            <w:t>5</w:t>
          </w:r>
        </w:p>
        <w:p w14:paraId="23F14F7C" w14:textId="3CC6EA23" w:rsidR="004F5088" w:rsidRDefault="00000000" w:rsidP="00C77A48">
          <w:pPr>
            <w:pStyle w:val="TOC3"/>
            <w:tabs>
              <w:tab w:val="right" w:leader="dot" w:pos="9360"/>
              <w:tab w:val="right" w:leader="dot" w:pos="9461"/>
            </w:tabs>
          </w:pPr>
          <w:hyperlink w:anchor="_TOC_250014" w:history="1">
            <w:r w:rsidR="004F5088">
              <w:t>Participants</w:t>
            </w:r>
            <w:r w:rsidR="004F5088">
              <w:tab/>
            </w:r>
          </w:hyperlink>
          <w:r w:rsidR="00B12ACA">
            <w:t>1</w:t>
          </w:r>
          <w:r w:rsidR="00115381">
            <w:t>5</w:t>
          </w:r>
        </w:p>
        <w:p w14:paraId="7B83137F" w14:textId="49965DDD" w:rsidR="004F5088" w:rsidRDefault="00000000" w:rsidP="00C77A48">
          <w:pPr>
            <w:pStyle w:val="TOC3"/>
            <w:tabs>
              <w:tab w:val="right" w:leader="dot" w:pos="9360"/>
              <w:tab w:val="right" w:leader="dot" w:pos="9461"/>
            </w:tabs>
          </w:pPr>
          <w:hyperlink w:anchor="_TOC_250013" w:history="1">
            <w:r w:rsidR="004F5088">
              <w:t>Procedure</w:t>
            </w:r>
            <w:r w:rsidR="004F5088">
              <w:tab/>
            </w:r>
          </w:hyperlink>
          <w:r w:rsidR="00B12ACA">
            <w:t>1</w:t>
          </w:r>
          <w:r w:rsidR="00115381">
            <w:t>5</w:t>
          </w:r>
        </w:p>
        <w:p w14:paraId="6E8FEBF7" w14:textId="7ADF53B3" w:rsidR="004F5088" w:rsidRDefault="00000000" w:rsidP="00C77A48">
          <w:pPr>
            <w:pStyle w:val="TOC3"/>
            <w:tabs>
              <w:tab w:val="right" w:leader="dot" w:pos="9360"/>
              <w:tab w:val="right" w:leader="dot" w:pos="9461"/>
            </w:tabs>
          </w:pPr>
          <w:hyperlink w:anchor="_TOC_250012" w:history="1">
            <w:r w:rsidR="004F5088">
              <w:t>Measures</w:t>
            </w:r>
            <w:r w:rsidR="004F5088">
              <w:tab/>
            </w:r>
          </w:hyperlink>
          <w:r w:rsidR="00B12ACA">
            <w:t>1</w:t>
          </w:r>
          <w:r w:rsidR="00115381">
            <w:t>6</w:t>
          </w:r>
        </w:p>
        <w:p w14:paraId="4B18D5EB" w14:textId="1A10B2F1" w:rsidR="004F5088" w:rsidRPr="00B12ACA" w:rsidRDefault="004F5088" w:rsidP="00C77A48">
          <w:pPr>
            <w:pStyle w:val="TOC2"/>
            <w:tabs>
              <w:tab w:val="right" w:leader="dot" w:pos="9360"/>
              <w:tab w:val="right" w:leader="dot" w:pos="9461"/>
            </w:tabs>
            <w:spacing w:before="1"/>
          </w:pPr>
          <w:r>
            <w:t>Chapter</w:t>
          </w:r>
          <w:r>
            <w:rPr>
              <w:spacing w:val="-2"/>
            </w:rPr>
            <w:t xml:space="preserve"> </w:t>
          </w:r>
          <w:r>
            <w:t>3 Results</w:t>
          </w:r>
          <w:r w:rsidRPr="00D07AD7">
            <w:rPr>
              <w:b w:val="0"/>
              <w:bCs w:val="0"/>
            </w:rPr>
            <w:tab/>
          </w:r>
          <w:r w:rsidR="00B12ACA" w:rsidRPr="00B12ACA">
            <w:rPr>
              <w:b w:val="0"/>
              <w:bCs w:val="0"/>
            </w:rPr>
            <w:t>20</w:t>
          </w:r>
        </w:p>
        <w:p w14:paraId="12D37AD4" w14:textId="5391EA80" w:rsidR="004F5088" w:rsidRDefault="004F5088" w:rsidP="00C77A48">
          <w:pPr>
            <w:pStyle w:val="TOC2"/>
            <w:tabs>
              <w:tab w:val="right" w:leader="dot" w:pos="9360"/>
              <w:tab w:val="right" w:leader="dot" w:pos="9461"/>
            </w:tabs>
            <w:rPr>
              <w:b w:val="0"/>
            </w:rPr>
          </w:pPr>
          <w:r>
            <w:t>Chapter</w:t>
          </w:r>
          <w:r>
            <w:rPr>
              <w:spacing w:val="-2"/>
            </w:rPr>
            <w:t xml:space="preserve"> </w:t>
          </w:r>
          <w:r>
            <w:t>4 Discussion</w:t>
          </w:r>
          <w:r w:rsidRPr="00D07AD7">
            <w:rPr>
              <w:b w:val="0"/>
              <w:bCs w:val="0"/>
            </w:rPr>
            <w:tab/>
          </w:r>
          <w:r w:rsidR="00B12ACA" w:rsidRPr="00B12ACA">
            <w:rPr>
              <w:b w:val="0"/>
              <w:bCs w:val="0"/>
            </w:rPr>
            <w:t>27</w:t>
          </w:r>
        </w:p>
        <w:p w14:paraId="033E6B73" w14:textId="22B5AEFF" w:rsidR="004F5088" w:rsidRDefault="00000000" w:rsidP="00C77A48">
          <w:pPr>
            <w:pStyle w:val="TOC2"/>
            <w:tabs>
              <w:tab w:val="right" w:leader="dot" w:pos="9360"/>
              <w:tab w:val="right" w:leader="dot" w:pos="9461"/>
            </w:tabs>
            <w:rPr>
              <w:b w:val="0"/>
            </w:rPr>
          </w:pPr>
          <w:hyperlink w:anchor="_TOC_250006" w:history="1">
            <w:r w:rsidR="004F5088">
              <w:t>References</w:t>
            </w:r>
            <w:r w:rsidR="004F5088" w:rsidRPr="00AC6D53">
              <w:rPr>
                <w:b w:val="0"/>
                <w:bCs w:val="0"/>
              </w:rPr>
              <w:tab/>
            </w:r>
          </w:hyperlink>
          <w:r w:rsidR="00B12ACA">
            <w:rPr>
              <w:b w:val="0"/>
            </w:rPr>
            <w:t>29</w:t>
          </w:r>
        </w:p>
        <w:p w14:paraId="2637F25D" w14:textId="43757B85" w:rsidR="00006E91" w:rsidRDefault="00000000" w:rsidP="00C77A48">
          <w:pPr>
            <w:pStyle w:val="TOC2"/>
            <w:tabs>
              <w:tab w:val="right" w:leader="dot" w:pos="9360"/>
              <w:tab w:val="right" w:leader="dot" w:pos="9461"/>
            </w:tabs>
          </w:pPr>
          <w:hyperlink w:anchor="_TOC_250000" w:history="1">
            <w:r w:rsidR="004F5088">
              <w:t>Vita</w:t>
            </w:r>
            <w:r w:rsidR="004F5088" w:rsidRPr="00AC6D53">
              <w:rPr>
                <w:b w:val="0"/>
                <w:bCs w:val="0"/>
              </w:rPr>
              <w:tab/>
            </w:r>
          </w:hyperlink>
          <w:r w:rsidR="00B12ACA">
            <w:rPr>
              <w:b w:val="0"/>
            </w:rPr>
            <w:t>39</w:t>
          </w:r>
        </w:p>
      </w:sdtContent>
    </w:sdt>
    <w:p w14:paraId="22D97554" w14:textId="76A1549D" w:rsidR="00006E91" w:rsidRPr="00006E91" w:rsidRDefault="00006E91" w:rsidP="00006E91">
      <w:pPr>
        <w:pStyle w:val="TOC2"/>
        <w:tabs>
          <w:tab w:val="right" w:leader="dot" w:pos="9461"/>
        </w:tabs>
        <w:rPr>
          <w:b w:val="0"/>
        </w:rPr>
        <w:sectPr w:rsidR="00006E91" w:rsidRPr="00006E91" w:rsidSect="00B04F32">
          <w:footerReference w:type="default" r:id="rId7"/>
          <w:footerReference w:type="first" r:id="rId8"/>
          <w:pgSz w:w="12240" w:h="15840"/>
          <w:pgMar w:top="1440" w:right="1440" w:bottom="1440" w:left="1440" w:header="720" w:footer="720" w:gutter="0"/>
          <w:pgNumType w:fmt="lowerRoman" w:start="1"/>
          <w:cols w:space="720"/>
          <w:titlePg/>
          <w:docGrid w:linePitch="360"/>
        </w:sectPr>
      </w:pPr>
      <w:r>
        <w:rPr>
          <w:noProof/>
          <w:color w:val="000000"/>
          <w:u w:val="single"/>
        </w:rPr>
        <mc:AlternateContent>
          <mc:Choice Requires="wps">
            <w:drawing>
              <wp:anchor distT="0" distB="0" distL="114300" distR="114300" simplePos="0" relativeHeight="251661312" behindDoc="1" locked="0" layoutInCell="1" allowOverlap="1" wp14:anchorId="70ADD754" wp14:editId="2800C886">
                <wp:simplePos x="0" y="0"/>
                <wp:positionH relativeFrom="page">
                  <wp:posOffset>3784600</wp:posOffset>
                </wp:positionH>
                <wp:positionV relativeFrom="page">
                  <wp:posOffset>9244965</wp:posOffset>
                </wp:positionV>
                <wp:extent cx="204470" cy="194310"/>
                <wp:effectExtent l="0" t="0" r="5080"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04457" w14:textId="69553194" w:rsidR="00006E91" w:rsidRDefault="00006E91" w:rsidP="00006E91">
                            <w:pPr>
                              <w:pStyle w:val="BodyText"/>
                              <w:spacing w:before="10"/>
                              <w:ind w:left="6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D754" id="Text Box 8" o:spid="_x0000_s1028" type="#_x0000_t202" style="position:absolute;left:0;text-align:left;margin-left:298pt;margin-top:727.95pt;width:16.1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" filled="f" stroked="f">
                <v:textbox inset="0,0,0,0">
                  <w:txbxContent>
                    <w:p w14:paraId="55404457" w14:textId="69553194" w:rsidR="00006E91" w:rsidRDefault="00006E91" w:rsidP="00006E91">
                      <w:pPr>
                        <w:pStyle w:val="BodyText"/>
                        <w:spacing w:before="10"/>
                        <w:ind w:left="60"/>
                        <w:jc w:val="center"/>
                      </w:pPr>
                    </w:p>
                  </w:txbxContent>
                </v:textbox>
                <w10:wrap anchorx="page" anchory="page"/>
              </v:shape>
            </w:pict>
          </mc:Fallback>
        </mc:AlternateContent>
      </w:r>
    </w:p>
    <w:p w14:paraId="09864979" w14:textId="6BB1FB6F" w:rsidR="008E633B" w:rsidRPr="008E633B" w:rsidRDefault="008E633B" w:rsidP="008E633B">
      <w:pPr>
        <w:spacing w:after="0" w:line="480" w:lineRule="auto"/>
        <w:jc w:val="center"/>
        <w:rPr>
          <w:rFonts w:eastAsia="Times New Roman" w:cs="Times New Roman"/>
          <w:szCs w:val="24"/>
        </w:rPr>
      </w:pPr>
      <w:r w:rsidRPr="008E633B">
        <w:rPr>
          <w:rFonts w:eastAsia="Times New Roman" w:cs="Times New Roman"/>
          <w:b/>
          <w:bCs/>
          <w:color w:val="000000"/>
          <w:szCs w:val="24"/>
        </w:rPr>
        <w:lastRenderedPageBreak/>
        <w:t>Chapter 1</w:t>
      </w:r>
    </w:p>
    <w:p w14:paraId="7FBD50EA" w14:textId="77777777" w:rsidR="008E633B" w:rsidRPr="008E633B" w:rsidRDefault="008E633B" w:rsidP="008E633B">
      <w:pPr>
        <w:spacing w:after="0" w:line="480" w:lineRule="auto"/>
        <w:jc w:val="center"/>
        <w:outlineLvl w:val="0"/>
        <w:rPr>
          <w:rFonts w:eastAsia="Times New Roman" w:cs="Times New Roman"/>
          <w:b/>
          <w:bCs/>
          <w:kern w:val="36"/>
          <w:szCs w:val="24"/>
        </w:rPr>
      </w:pPr>
      <w:r w:rsidRPr="008E633B">
        <w:rPr>
          <w:rFonts w:eastAsia="Times New Roman" w:cs="Times New Roman"/>
          <w:b/>
          <w:bCs/>
          <w:smallCaps/>
          <w:color w:val="000000"/>
          <w:kern w:val="36"/>
          <w:szCs w:val="24"/>
        </w:rPr>
        <w:t>Introduction</w:t>
      </w:r>
    </w:p>
    <w:p w14:paraId="1CD6166C" w14:textId="77777777" w:rsidR="008E633B" w:rsidRPr="008E633B" w:rsidRDefault="008E633B" w:rsidP="008E633B">
      <w:pPr>
        <w:spacing w:before="240" w:after="240" w:line="480" w:lineRule="auto"/>
        <w:ind w:firstLine="720"/>
        <w:rPr>
          <w:rFonts w:eastAsia="Times New Roman" w:cs="Times New Roman"/>
          <w:szCs w:val="24"/>
        </w:rPr>
      </w:pPr>
      <w:r w:rsidRPr="008E633B">
        <w:rPr>
          <w:rFonts w:eastAsia="Times New Roman" w:cs="Times New Roman"/>
          <w:color w:val="000000"/>
          <w:szCs w:val="24"/>
        </w:rPr>
        <w:t>In 2001, the first National Strategy for Suicide Prevention was issued by former Surgeon General David Satcher, aiming to address the growing concern about suicide in the United States. However, despite these efforts, reported rates of suicide have continued to increase. Between 2000 and 2018, the suicide rate in the United States rose by 35%, reaching a peak of 14.5 deaths per 100,000 people, which marked the highest rate in the past 50 years, as reported by the Centers for Disease Control and Prevention (CDC, 2018). Although there was a brief decline of 3% in the suicide rate from 2019 to 2020, as stated by the CDC (2020), the overall suicide rate remains significantly higher compared to the year 2000, with a 30% increase (CDC, 2021).</w:t>
      </w:r>
    </w:p>
    <w:p w14:paraId="5C26F8FC" w14:textId="77777777" w:rsidR="008E633B" w:rsidRPr="008E633B" w:rsidRDefault="008E633B" w:rsidP="008E633B">
      <w:pPr>
        <w:spacing w:before="240" w:after="240" w:line="480" w:lineRule="auto"/>
        <w:ind w:firstLine="720"/>
        <w:rPr>
          <w:rFonts w:eastAsia="Times New Roman" w:cs="Times New Roman"/>
          <w:szCs w:val="24"/>
        </w:rPr>
      </w:pPr>
      <w:r w:rsidRPr="008E633B">
        <w:rPr>
          <w:rFonts w:eastAsia="Times New Roman" w:cs="Times New Roman"/>
          <w:color w:val="000000"/>
          <w:szCs w:val="24"/>
        </w:rPr>
        <w:t>The impact of suicide is particularly alarming among young individuals. According to a CDC report in 2020, suicide accounted for 45,979 deaths in the U.S., making it the second-highest cause of death among people aged 15 to 24 (CDC, 2020). This data is further supported by a 2020 survey conducted by the Substance Abuse and Mental Health Services Administration (SAMHSA), which revealed that approximately 11% of young adults aged 18 to 25 and nearly 20% of high school students reported having serious thoughts about suicide (SAMHSA, 2021). These statistics underscore the urgent need for a comprehensive assessment model that can effectively identify the antecedents to suicidal ideation and action.</w:t>
      </w:r>
    </w:p>
    <w:p w14:paraId="5E2ACDE3" w14:textId="77777777" w:rsidR="008E633B" w:rsidRPr="008E633B" w:rsidRDefault="008E633B" w:rsidP="008E633B">
      <w:pPr>
        <w:spacing w:before="240" w:after="240" w:line="480" w:lineRule="auto"/>
        <w:ind w:firstLine="720"/>
        <w:rPr>
          <w:rFonts w:eastAsia="Times New Roman" w:cs="Times New Roman"/>
          <w:szCs w:val="24"/>
        </w:rPr>
      </w:pPr>
      <w:r w:rsidRPr="008E633B">
        <w:rPr>
          <w:rFonts w:eastAsia="Times New Roman" w:cs="Times New Roman"/>
          <w:color w:val="000000"/>
          <w:szCs w:val="24"/>
        </w:rPr>
        <w:t xml:space="preserve">To address this critical issue and expand the assessment methods available to clinical professionals, the present study aims to evaluate the use of automatic attitude measures in detecting the precursor signs of elevated suicide risk. By incorporating automatic attitude </w:t>
      </w:r>
      <w:r w:rsidRPr="008E633B">
        <w:rPr>
          <w:rFonts w:eastAsia="Times New Roman" w:cs="Times New Roman"/>
          <w:color w:val="000000"/>
          <w:szCs w:val="24"/>
        </w:rPr>
        <w:lastRenderedPageBreak/>
        <w:t>measures into the assessment process, it is hoped that a more comprehensive understanding of the underlying factors contributing to suicidal ideation and behavior can be achieved. This research is crucial in supporting the national goal of reducing the annual suicide rate by 20% by 2025. Through endeavoring to enhance the assessment tools available to mental health professionals, this study strives to contribute to the development of more effective suicide prevention strategies and interventions.</w:t>
      </w:r>
    </w:p>
    <w:p w14:paraId="2B295E59" w14:textId="77777777" w:rsidR="008E633B" w:rsidRPr="008E633B" w:rsidRDefault="008E633B" w:rsidP="008E633B">
      <w:pPr>
        <w:spacing w:before="240" w:after="60" w:line="480" w:lineRule="auto"/>
        <w:jc w:val="center"/>
        <w:outlineLvl w:val="1"/>
        <w:rPr>
          <w:rFonts w:eastAsia="Times New Roman" w:cs="Times New Roman"/>
          <w:b/>
          <w:bCs/>
          <w:szCs w:val="24"/>
        </w:rPr>
      </w:pPr>
      <w:r w:rsidRPr="008E633B">
        <w:rPr>
          <w:rFonts w:eastAsia="Times New Roman" w:cs="Times New Roman"/>
          <w:b/>
          <w:bCs/>
          <w:color w:val="000000"/>
          <w:szCs w:val="24"/>
        </w:rPr>
        <w:t>Current Assessment Limitations</w:t>
      </w:r>
    </w:p>
    <w:p w14:paraId="6D1550D9"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Mental health professionals commonly rely on self-report questionnaires and interviews as explicit measures to assess suicidality. These measures are widely used in emergency departments, mental health hospitals, and clinics across the country. However, despite the growing number of individuals seeking help for suicidal thoughts and behaviors in medical settings, a nationwide survey conducted in 2022 revealed that over 50% of these facilities lack psychiatric services, highlighting a significant gap in care (Ellison et al., 2022). Furthermore, a review of many self-report questionnaires commonly employed in these settings showed limited predictive validity for identifying future suicidal behavior risk, with only a few scales, such as the Scale for Suicide Ideation (SSI) and the Beck Hopelessness Scale (BHS), demonstrating significant validity (Brown et al., 2000).</w:t>
      </w:r>
    </w:p>
    <w:p w14:paraId="65CB90D6"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 xml:space="preserve">One of the major challenges in suicide assessments is the fact that many individuals at risk are unwilling to openly report or discuss their suicidal thoughts or intentions. Studies on psychiatric inpatient suicide risk have found that the risk of suicide peaks immediately after patients are discharged from care (Qin &amp; Nordentoft, 2005). Shockingly, a study revealed that nearly 80% of suicide decedents denied their suicidal ideation during clinician interviews and on self-report questionnaires shortly before their deaths, even though they had recently received </w:t>
      </w:r>
      <w:r w:rsidRPr="008E633B">
        <w:rPr>
          <w:rFonts w:eastAsia="Times New Roman" w:cs="Times New Roman"/>
          <w:color w:val="000000"/>
          <w:szCs w:val="24"/>
        </w:rPr>
        <w:lastRenderedPageBreak/>
        <w:t>inpatient care (Busch, Fawcett, &amp; Jacobs, 2003). The authors concluded that the standard risk assessments and precautions used in these cases were of limited value in preventing suicide. This highlights the existence of a population experiencing suicidal thoughts that intentionally conceal their true intentions, evading detection through standard assessment methods.</w:t>
      </w:r>
    </w:p>
    <w:p w14:paraId="4D805342"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Despite research indicating the limitations of current assessment strategies and the presence of a subgroup that remains undetected on explicit measures, the standard methods for suicide assessment continue to exclusively rely on these measures. This poses a significant challenge as it fails to capture the full spectrum of individuals at risk. Some individuals may be motivated and willing to seek help through explicit measures, while others possess the motivation to curate their responses and avoid interventions. It is evident that a blind spot exists within the population experiencing suicidal ideation, emphasizing the need for alternative assessment approaches that go beyond relying solely on explicit measures.</w:t>
      </w:r>
    </w:p>
    <w:p w14:paraId="4F06EBEF" w14:textId="77777777" w:rsidR="008E633B" w:rsidRPr="008E633B" w:rsidRDefault="008E633B" w:rsidP="008E633B">
      <w:pPr>
        <w:spacing w:before="240" w:after="60" w:line="480" w:lineRule="auto"/>
        <w:jc w:val="center"/>
        <w:outlineLvl w:val="1"/>
        <w:rPr>
          <w:rFonts w:eastAsia="Times New Roman" w:cs="Times New Roman"/>
          <w:b/>
          <w:bCs/>
          <w:szCs w:val="24"/>
        </w:rPr>
      </w:pPr>
      <w:r w:rsidRPr="008E633B">
        <w:rPr>
          <w:rFonts w:eastAsia="Times New Roman" w:cs="Times New Roman"/>
          <w:b/>
          <w:bCs/>
          <w:color w:val="000000"/>
          <w:szCs w:val="24"/>
        </w:rPr>
        <w:t>Dual Process Approach Benefits</w:t>
      </w:r>
    </w:p>
    <w:p w14:paraId="57960B50"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Traditional approaches to assessing suicidal ideation have overlooked a crucial aspect of human cognition: the interplay between automatic and controlled modes of thought. Research by Sherman et al. (2014), Fiske et al. (1999), McNulty and Olson (2015), and Devine (1989) emphasize the importance of considering both automatic attitudes and controlled motivations in understanding complex behaviors. Social psychologists have extensively studied the impact of these cognitive processes on various social phenomena, leading to the development of dual-process models. By incorporating these models, we may be able to enhance the prediction and explanation of suicidal behavior.</w:t>
      </w:r>
    </w:p>
    <w:p w14:paraId="323CCD96"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 xml:space="preserve">Existing models of suicidal behavior have limitations in accounting for the full range of factors contributing to suicidal ideation and actions. Chu et al. (2017) found that current models </w:t>
      </w:r>
      <w:r w:rsidRPr="008E633B">
        <w:rPr>
          <w:rFonts w:eastAsia="Times New Roman" w:cs="Times New Roman"/>
          <w:color w:val="000000"/>
          <w:szCs w:val="24"/>
        </w:rPr>
        <w:lastRenderedPageBreak/>
        <w:t>fail to capture a significant portion of the observed variance in suicidal ideation and action. To address this gap, researchers have turned to dual-process approaches in other areas of psychological research, such as anxiety, sexual assault, and addiction. These approaches have yielded improvements in predictive and explanatory capabilities. In the context of suicide research, studies have revealed the predictive power of automatic associations between the self and death and negative evaluations of close others. Implicit measures, like Nock et al.'s self/death implicit association study, have shown promise in identifying individuals who have attempted suicide more accurately than traditional interviews conducted by clinical professionals (2010).</w:t>
      </w:r>
    </w:p>
    <w:p w14:paraId="61A7BEF1"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Fazio's Motivation and Opportunity as Determinants (MODE) model, depicted in Figure 1-1, provides a valuable framework for understanding the dynamic relationship between automatic attitudes, controlled motivations, and their impact on behavior and expressed judgments. The MODE model, developed by Fazio (1990) and further refined by Fazio and Olson (2014), highlights the significance of considering both motivational factors and contextual opportunities in predicting behavior. By adopting the MODE model and integrating it into the study of suicidal behavior, we may gain a more comprehensive understanding of the intricate mechanisms underlying suicidal ideation and actions.</w:t>
      </w:r>
    </w:p>
    <w:p w14:paraId="7B552061"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The MODE Model</w:t>
      </w:r>
    </w:p>
    <w:p w14:paraId="0BC81A9C"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 xml:space="preserve">Fazio posits that motivations generally necessitate conscious effort and allocating cognitive resources to direct thoughts and behavior (Fazio, 1990). Motivations defined here are consciously held desires (e.g., accuracy, affiliation, etc.), which can lead to thoughtful considerations, judgments, and behavior. When motivations and automatic attitudes align, the automatic attitude effortlessly guides behavior. However, if motivations conflict with the </w:t>
      </w:r>
      <w:r w:rsidRPr="008E633B">
        <w:rPr>
          <w:rFonts w:eastAsia="Times New Roman" w:cs="Times New Roman"/>
          <w:color w:val="000000"/>
          <w:szCs w:val="24"/>
        </w:rPr>
        <w:lastRenderedPageBreak/>
        <w:t xml:space="preserve">automatic attitude, the MODE model predicts that individuals may explore alternative choices consistent with their controlled motivation (see path </w:t>
      </w:r>
      <w:r w:rsidRPr="008E633B">
        <w:rPr>
          <w:rFonts w:eastAsia="Times New Roman" w:cs="Times New Roman"/>
          <w:i/>
          <w:iCs/>
          <w:color w:val="000000"/>
          <w:szCs w:val="24"/>
        </w:rPr>
        <w:t>b</w:t>
      </w:r>
      <w:r w:rsidRPr="008E633B">
        <w:rPr>
          <w:rFonts w:eastAsia="Times New Roman" w:cs="Times New Roman"/>
          <w:color w:val="000000"/>
          <w:szCs w:val="24"/>
        </w:rPr>
        <w:t xml:space="preserve"> in Figure 1-1).</w:t>
      </w:r>
    </w:p>
    <w:p w14:paraId="16B17F68"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The capacity to engage in more deliberative processing, known as opportunity, is influenced by various factors that allow individuals to consider and select behavioral alternatives apart from those guided by automatic attitudes (Hofmann &amp; Friese, 2008). These factors can be classified as either state conditions, which encompass situational events and time pressures, or trait conditions, which relate to individual characteristics. State conditions that reduce opportunity include sleep deprivation, distraction, and intoxication. These conditions limit an individual's available capacity for deliberate reasoning, hindering their ability to engage in thoughtful decision-making processes (Baumeister &amp; Vohs, 2007; Hofmann &amp; Friese, 2008; Hofmann et al., 2012).</w:t>
      </w:r>
    </w:p>
    <w:p w14:paraId="32717D1E"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In situations where the opportunity for careful consideration is lacking, the MODE model predicts that behavior will be guided by automatic attitudes. If the automatic attitude is favorable (e.g., if seeing one's spouse elicits positive emotions even in low-opportunity conditions), behaviors guided by this attitude are expected to be beneficial (McNulty et al., 2019). Since automatic attitudes are less influenced by controlled motivations, they are typically assessed using implicit measurements that aim to limit participants' opportunity to access their controlled motivations (Gawronski &amp; Strack, 2004; Olson et al., 2007). Consequently, participants' responses on speeded categorization tasks are hypothesized to provide a more accurate indication of automatic attitudes.</w:t>
      </w:r>
    </w:p>
    <w:p w14:paraId="46D9B48D"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 xml:space="preserve">Automatic attitudes are characterized by their low cognitive-resource cost, unintentional formation, and their influence, which is challenging to escape due to their relatively effortless nature, as seen in path </w:t>
      </w:r>
      <w:r w:rsidRPr="008E633B">
        <w:rPr>
          <w:rFonts w:eastAsia="Times New Roman" w:cs="Times New Roman"/>
          <w:i/>
          <w:iCs/>
          <w:color w:val="000000"/>
          <w:szCs w:val="24"/>
        </w:rPr>
        <w:t>a</w:t>
      </w:r>
      <w:r w:rsidRPr="008E633B">
        <w:rPr>
          <w:rFonts w:eastAsia="Times New Roman" w:cs="Times New Roman"/>
          <w:color w:val="000000"/>
          <w:szCs w:val="24"/>
        </w:rPr>
        <w:t xml:space="preserve"> in Figure 1-1. They are described as simple associations between </w:t>
      </w:r>
      <w:r w:rsidRPr="008E633B">
        <w:rPr>
          <w:rFonts w:eastAsia="Times New Roman" w:cs="Times New Roman"/>
          <w:color w:val="000000"/>
          <w:szCs w:val="24"/>
        </w:rPr>
        <w:lastRenderedPageBreak/>
        <w:t>concepts and/or objects (Bargh, 1994; Fazio &amp; Olson, 2014). Despite their simplicity, their impact on expressed judgments and behavior is significant. For instance, if an individual encounters their favorite food, the MODE model predicts that their positive automatic attitude towards the food would guide them to consume it. However, the model also predicts that even with a positive automatic attitude, the individual may possess a conflicting motivation, such as wanting to lose weight and choosing to avoid eating the food. Importantly, the model predicts that the same individual would consume the food if they were under conditions that limited their opportunity to carefully consider their motivation to lose weight (Hofmann et al., 2008). In the context of suicidality, the dual-process approach of the MODE model provides insights into the attitudes, motivations, settings, and traits specific to relevant suicide risk factors that have previously been inadequately studied using explicit measures alone.</w:t>
      </w:r>
    </w:p>
    <w:p w14:paraId="549A740E" w14:textId="1C5248DE" w:rsidR="008E633B" w:rsidRPr="001039DC" w:rsidRDefault="008E633B" w:rsidP="001039DC">
      <w:pPr>
        <w:jc w:val="center"/>
        <w:rPr>
          <w:rFonts w:eastAsia="Times New Roman" w:cs="Times New Roman"/>
          <w:szCs w:val="24"/>
        </w:rPr>
      </w:pPr>
      <w:r w:rsidRPr="008E633B">
        <w:rPr>
          <w:rFonts w:eastAsia="Times New Roman" w:cs="Times New Roman"/>
          <w:b/>
          <w:bCs/>
          <w:color w:val="000000"/>
          <w:szCs w:val="24"/>
        </w:rPr>
        <w:t>The ACASIA Model</w:t>
      </w:r>
    </w:p>
    <w:p w14:paraId="44631D72" w14:textId="1BC21F27" w:rsidR="008E633B" w:rsidRDefault="008E633B" w:rsidP="008E633B">
      <w:pPr>
        <w:spacing w:before="240" w:after="240" w:line="480" w:lineRule="auto"/>
        <w:ind w:firstLine="720"/>
        <w:rPr>
          <w:rFonts w:eastAsia="Times New Roman" w:cs="Times New Roman"/>
          <w:color w:val="000000"/>
          <w:szCs w:val="24"/>
        </w:rPr>
      </w:pPr>
      <w:r w:rsidRPr="008E633B">
        <w:rPr>
          <w:rFonts w:eastAsia="Times New Roman" w:cs="Times New Roman"/>
          <w:color w:val="000000"/>
          <w:szCs w:val="24"/>
        </w:rPr>
        <w:t>A novel comprehensive model that integrates dual-process theories into existing suicide research has recently emerged, shedding light on the intricate interplay between automatic attitudes and controlled motivations in predicting suicidal judgments and behaviors. Known as the Automatic and Controlled Antecedents of Suicidal Ideation and Action (ACASIA) model, this framework expands our understanding of the complex dynamics underlying suicide by incorporating the risk factors described in Joiner's Interpersonal Theory of Suicide (IPT; Joiner, 2005) within a dual-process perspective (Olson et al., 2021).</w:t>
      </w:r>
    </w:p>
    <w:p w14:paraId="0131DEFB" w14:textId="7144056B" w:rsidR="001039DC" w:rsidRDefault="001039DC" w:rsidP="008E633B">
      <w:pPr>
        <w:spacing w:before="240" w:after="240" w:line="480" w:lineRule="auto"/>
        <w:ind w:firstLine="720"/>
        <w:rPr>
          <w:rFonts w:eastAsia="Times New Roman" w:cs="Times New Roman"/>
          <w:color w:val="000000"/>
          <w:szCs w:val="24"/>
        </w:rPr>
      </w:pPr>
    </w:p>
    <w:p w14:paraId="5990C997" w14:textId="229284A4" w:rsidR="001039DC" w:rsidRDefault="001039DC" w:rsidP="008E633B">
      <w:pPr>
        <w:spacing w:before="240" w:after="240" w:line="480" w:lineRule="auto"/>
        <w:ind w:firstLine="720"/>
        <w:rPr>
          <w:rFonts w:eastAsia="Times New Roman" w:cs="Times New Roman"/>
          <w:color w:val="000000"/>
          <w:szCs w:val="24"/>
        </w:rPr>
      </w:pPr>
    </w:p>
    <w:p w14:paraId="69F758CC" w14:textId="5116866A" w:rsidR="001039DC" w:rsidRDefault="001039DC" w:rsidP="008E633B">
      <w:pPr>
        <w:spacing w:before="240" w:after="240" w:line="480" w:lineRule="auto"/>
        <w:ind w:firstLine="720"/>
        <w:rPr>
          <w:rFonts w:eastAsia="Times New Roman" w:cs="Times New Roman"/>
          <w:color w:val="000000"/>
          <w:szCs w:val="24"/>
        </w:rPr>
      </w:pPr>
    </w:p>
    <w:p w14:paraId="0006B360" w14:textId="77777777" w:rsidR="001039DC" w:rsidRPr="008E633B" w:rsidRDefault="001039DC" w:rsidP="001039DC">
      <w:pPr>
        <w:spacing w:after="0" w:line="240" w:lineRule="auto"/>
        <w:jc w:val="center"/>
        <w:outlineLvl w:val="0"/>
        <w:rPr>
          <w:rFonts w:eastAsia="Times New Roman" w:cs="Times New Roman"/>
          <w:b/>
          <w:bCs/>
          <w:kern w:val="36"/>
          <w:szCs w:val="24"/>
        </w:rPr>
      </w:pPr>
      <w:r w:rsidRPr="007D21E3">
        <w:rPr>
          <w:rFonts w:eastAsia="Times New Roman" w:cs="Times New Roman"/>
          <w:b/>
          <w:bCs/>
          <w:smallCaps/>
          <w:noProof/>
          <w:color w:val="000000"/>
          <w:kern w:val="36"/>
          <w:szCs w:val="24"/>
          <w:bdr w:val="none" w:sz="0" w:space="0" w:color="auto" w:frame="1"/>
        </w:rPr>
        <w:lastRenderedPageBreak/>
        <w:drawing>
          <wp:inline distT="0" distB="0" distL="0" distR="0" wp14:anchorId="7EB5AAD2" wp14:editId="1A673792">
            <wp:extent cx="3954780" cy="3154680"/>
            <wp:effectExtent l="0" t="0" r="7620" b="7620"/>
            <wp:docPr id="2" name="Picture 2" descr="A picture containing text, diagram,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agram, font, screensho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4780" cy="3154680"/>
                    </a:xfrm>
                    <a:prstGeom prst="rect">
                      <a:avLst/>
                    </a:prstGeom>
                    <a:noFill/>
                    <a:ln>
                      <a:noFill/>
                    </a:ln>
                  </pic:spPr>
                </pic:pic>
              </a:graphicData>
            </a:graphic>
          </wp:inline>
        </w:drawing>
      </w:r>
    </w:p>
    <w:p w14:paraId="1C1C249F" w14:textId="77777777" w:rsidR="001039DC" w:rsidRPr="008E633B" w:rsidRDefault="001039DC" w:rsidP="001039DC">
      <w:pPr>
        <w:spacing w:after="0" w:line="480" w:lineRule="auto"/>
        <w:rPr>
          <w:rFonts w:eastAsia="Times New Roman" w:cs="Times New Roman"/>
          <w:szCs w:val="24"/>
        </w:rPr>
      </w:pPr>
      <w:r w:rsidRPr="008E633B">
        <w:rPr>
          <w:rFonts w:eastAsia="Times New Roman" w:cs="Times New Roman"/>
          <w:color w:val="000000"/>
          <w:szCs w:val="24"/>
        </w:rPr>
        <w:t>Figure 1 MODE model</w:t>
      </w:r>
    </w:p>
    <w:p w14:paraId="682F7775" w14:textId="04CBAA7E" w:rsidR="001039DC" w:rsidRDefault="001039DC">
      <w:pPr>
        <w:rPr>
          <w:rFonts w:eastAsia="Times New Roman" w:cs="Times New Roman"/>
          <w:szCs w:val="24"/>
        </w:rPr>
      </w:pPr>
      <w:r>
        <w:rPr>
          <w:rFonts w:eastAsia="Times New Roman" w:cs="Times New Roman"/>
          <w:szCs w:val="24"/>
        </w:rPr>
        <w:br w:type="page"/>
      </w:r>
    </w:p>
    <w:p w14:paraId="296D6885" w14:textId="77777777" w:rsidR="008E633B" w:rsidRPr="008E633B" w:rsidRDefault="008E633B" w:rsidP="008E633B">
      <w:pPr>
        <w:spacing w:before="240" w:after="240" w:line="480" w:lineRule="auto"/>
        <w:ind w:firstLine="720"/>
        <w:rPr>
          <w:rFonts w:eastAsia="Times New Roman" w:cs="Times New Roman"/>
          <w:szCs w:val="24"/>
        </w:rPr>
      </w:pPr>
      <w:r w:rsidRPr="008E633B">
        <w:rPr>
          <w:rFonts w:eastAsia="Times New Roman" w:cs="Times New Roman"/>
          <w:color w:val="000000"/>
          <w:szCs w:val="24"/>
        </w:rPr>
        <w:lastRenderedPageBreak/>
        <w:t>Joiner and colleagues developed the IPT as a means to consolidate the various factors that contribute to an individual's risk of suicidal behavior. The IPT emphasizes the significance of perceived burdensomeness, thwarted belongingness, and hopelessness as critical internal beliefs that serve as precursors to the shift from passive suicidal ideation to active suicidal intent. While individuals may possess this intent, they often encounter a protective barrier rooted in their fear of death and inherent aversion to the pain and threats associated with self-harm. However, should they overcome this instinctual aversion, the model suggests the emergence of the Acquired Capability for Suicide (ACS), which involves a reduction in the fear of death, an increase in pain tolerance, and access to lethal means such as firearms.</w:t>
      </w:r>
    </w:p>
    <w:p w14:paraId="654F8271" w14:textId="77777777" w:rsidR="008E633B" w:rsidRPr="008E633B" w:rsidRDefault="008E633B" w:rsidP="008E633B">
      <w:pPr>
        <w:spacing w:before="240" w:after="240" w:line="480" w:lineRule="auto"/>
        <w:ind w:firstLine="720"/>
        <w:rPr>
          <w:rFonts w:eastAsia="Times New Roman" w:cs="Times New Roman"/>
          <w:szCs w:val="24"/>
        </w:rPr>
      </w:pPr>
      <w:r w:rsidRPr="008E633B">
        <w:rPr>
          <w:rFonts w:eastAsia="Times New Roman" w:cs="Times New Roman"/>
          <w:color w:val="000000"/>
          <w:szCs w:val="24"/>
        </w:rPr>
        <w:t>In the ACASIA model, the combination of relevant automatic attitudes, controlled motivations, and opportunity variables is presented as the determining factors of ACS, with the potential for the influence of controlled motivations to be moderated by the opportunity variable. By delving into these automatic, controlled, and opportunity factors, the ACASIA model provides a comprehensive framework for understanding the development of capability for suicidal behavior.</w:t>
      </w:r>
    </w:p>
    <w:p w14:paraId="364C17DF" w14:textId="77777777" w:rsidR="008E633B" w:rsidRPr="008E633B" w:rsidRDefault="008E633B" w:rsidP="008E633B">
      <w:pPr>
        <w:spacing w:before="240" w:after="240" w:line="480" w:lineRule="auto"/>
        <w:ind w:firstLine="720"/>
        <w:jc w:val="center"/>
        <w:rPr>
          <w:rFonts w:eastAsia="Times New Roman" w:cs="Times New Roman"/>
          <w:szCs w:val="24"/>
        </w:rPr>
      </w:pPr>
      <w:r w:rsidRPr="008E633B">
        <w:rPr>
          <w:rFonts w:eastAsia="Times New Roman" w:cs="Times New Roman"/>
          <w:b/>
          <w:bCs/>
          <w:color w:val="000000"/>
          <w:szCs w:val="24"/>
        </w:rPr>
        <w:t>Acquired Capability for Suicidal Behavior</w:t>
      </w:r>
    </w:p>
    <w:p w14:paraId="203C924A" w14:textId="36EF7BDD" w:rsidR="008E633B" w:rsidRPr="008E633B" w:rsidRDefault="008E633B" w:rsidP="008E633B">
      <w:pPr>
        <w:spacing w:before="240" w:after="240" w:line="480" w:lineRule="auto"/>
        <w:ind w:firstLine="720"/>
        <w:rPr>
          <w:rFonts w:eastAsia="Times New Roman" w:cs="Times New Roman"/>
          <w:szCs w:val="24"/>
        </w:rPr>
      </w:pPr>
      <w:r w:rsidRPr="008E633B">
        <w:rPr>
          <w:rFonts w:eastAsia="Times New Roman" w:cs="Times New Roman"/>
          <w:color w:val="000000"/>
          <w:szCs w:val="24"/>
        </w:rPr>
        <w:t>The process of lessening the fear of death and increasing pain tolerance can be facilitated through painful and provocative experiences (PPEs), ranging from seemingly innocuous activities like contact sports or getting a tattoo to more intense encounters such as childhood trauma or severe physical injuries (Dhossche, Snell, &amp; Larder, 200</w:t>
      </w:r>
      <w:r w:rsidR="00CF696B">
        <w:rPr>
          <w:rFonts w:eastAsia="Times New Roman" w:cs="Times New Roman"/>
          <w:color w:val="000000"/>
          <w:szCs w:val="24"/>
        </w:rPr>
        <w:t>0</w:t>
      </w:r>
      <w:r w:rsidRPr="008E633B">
        <w:rPr>
          <w:rFonts w:eastAsia="Times New Roman" w:cs="Times New Roman"/>
          <w:color w:val="000000"/>
          <w:szCs w:val="24"/>
        </w:rPr>
        <w:t xml:space="preserve">). PPEs challenge self-preservation instincts and operate akin to exposure therapy, gradually weakening fear responses and desensitizing individuals to the concept of death (Parsons &amp; Rizzo, 2008). By engaging in </w:t>
      </w:r>
      <w:r w:rsidRPr="008E633B">
        <w:rPr>
          <w:rFonts w:eastAsia="Times New Roman" w:cs="Times New Roman"/>
          <w:color w:val="000000"/>
          <w:szCs w:val="24"/>
        </w:rPr>
        <w:lastRenderedPageBreak/>
        <w:t>PPEs, individuals may develop a pathological pathway that reduces their fear of pain and death, contributing to the acquisition of the capability for suicide.</w:t>
      </w:r>
    </w:p>
    <w:p w14:paraId="7A10C345" w14:textId="1362F22D" w:rsidR="008E633B" w:rsidRPr="007D21E3" w:rsidRDefault="008E633B" w:rsidP="001039DC">
      <w:pPr>
        <w:spacing w:before="240" w:after="240" w:line="480" w:lineRule="auto"/>
        <w:ind w:firstLine="720"/>
        <w:rPr>
          <w:rFonts w:eastAsia="Times New Roman" w:cs="Times New Roman"/>
          <w:b/>
          <w:bCs/>
          <w:i/>
          <w:iCs/>
          <w:color w:val="000000"/>
          <w:szCs w:val="24"/>
        </w:rPr>
      </w:pPr>
      <w:r w:rsidRPr="008E633B">
        <w:rPr>
          <w:rFonts w:eastAsia="Times New Roman" w:cs="Times New Roman"/>
          <w:color w:val="000000"/>
          <w:szCs w:val="24"/>
        </w:rPr>
        <w:t>Among PPEs, non-suicidal self-injury (NSSI), while not typically lethal on its own, is a significant predictor of subsequent suicide attempts and heightened pain tolerance (Asarnow et al., 2011; Wilkinson, Kelvin, Roberts, Dubicka, &amp; Goodyer, 2011). Research indicates that among individuals with a history of NSSI, at least one suicide attempt has been made by 70%, while 55% have made multiple attempts (Nock et al., 2006; Hargus et al., 2009). Furthermore, the risk of death by suicide is the highest in the first 6 months after an NSSI episode (Cooper et al., 2005). We argue that while the effects of this maladaptive coping strategy are interpreted as controlled habits lessening fears of death and heightening pain tolerance, NSSI may additionally have attenuating effects on implicit negative attitudes towards pain.</w:t>
      </w:r>
    </w:p>
    <w:p w14:paraId="77F7F627" w14:textId="57B9481F"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Automatic Components</w:t>
      </w:r>
    </w:p>
    <w:p w14:paraId="7EAB3FF5"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color w:val="000000"/>
          <w:szCs w:val="24"/>
        </w:rPr>
        <w:t> </w:t>
      </w:r>
      <w:r w:rsidRPr="008E633B">
        <w:rPr>
          <w:rFonts w:eastAsia="Times New Roman" w:cs="Times New Roman"/>
          <w:color w:val="000000"/>
          <w:szCs w:val="24"/>
        </w:rPr>
        <w:tab/>
        <w:t xml:space="preserve">Dr. Olson and colleagues employ the Dual-Implicit Process (DIP) model to conceptualize the instinctive avoidant reaction to pain and death, as depicted in path </w:t>
      </w:r>
      <w:r w:rsidRPr="008E633B">
        <w:rPr>
          <w:rFonts w:eastAsia="Times New Roman" w:cs="Times New Roman"/>
          <w:i/>
          <w:iCs/>
          <w:color w:val="000000"/>
          <w:szCs w:val="24"/>
        </w:rPr>
        <w:t>a</w:t>
      </w:r>
      <w:r w:rsidRPr="008E633B">
        <w:rPr>
          <w:rFonts w:eastAsia="Times New Roman" w:cs="Times New Roman"/>
          <w:color w:val="000000"/>
          <w:szCs w:val="24"/>
        </w:rPr>
        <w:t xml:space="preserve"> of Figure 1-2. The DIP model suggests that avoidant threat processing occurs prior to positive-negative evaluations (Nesse, 2005; Blanchette, 2006). In other words, automatic reactions to threats of bodily harm precede cognitive evaluation and subsequent behavioral responses to stimuli from any other category. Consequently, processing threats related to bodily harm takes precedence over positive-negative attitudes towards stimuli, thereby initially leading to automatic negative attitudes. Automatic threat processing and its corresponding behavioral responses are proposed to persist, albeit potentially attenuated, in individuals with suicidal tendencies (March et al., 2018). This implies that even in the presence of automatic or motivated proclivities towards self-injury, the inherent urge to avoid the perceived threat persists.</w:t>
      </w:r>
    </w:p>
    <w:p w14:paraId="0AC19BB5" w14:textId="30055E53" w:rsidR="008E633B" w:rsidRPr="008E633B" w:rsidRDefault="008E633B" w:rsidP="008E633B">
      <w:pPr>
        <w:spacing w:after="240" w:line="480" w:lineRule="auto"/>
        <w:ind w:firstLine="720"/>
        <w:rPr>
          <w:rFonts w:eastAsia="Times New Roman" w:cs="Times New Roman"/>
          <w:szCs w:val="24"/>
        </w:rPr>
      </w:pPr>
      <w:r w:rsidRPr="008E633B">
        <w:rPr>
          <w:rFonts w:eastAsia="Times New Roman" w:cs="Times New Roman"/>
          <w:color w:val="000000"/>
          <w:szCs w:val="24"/>
        </w:rPr>
        <w:lastRenderedPageBreak/>
        <w:t>Olson and colleagues (202</w:t>
      </w:r>
      <w:r w:rsidR="00EA7C48">
        <w:rPr>
          <w:rFonts w:eastAsia="Times New Roman" w:cs="Times New Roman"/>
          <w:color w:val="000000"/>
          <w:szCs w:val="24"/>
        </w:rPr>
        <w:t>1</w:t>
      </w:r>
      <w:r w:rsidRPr="008E633B">
        <w:rPr>
          <w:rFonts w:eastAsia="Times New Roman" w:cs="Times New Roman"/>
          <w:color w:val="000000"/>
          <w:szCs w:val="24"/>
        </w:rPr>
        <w:t>) propose that individuals with suicidal tendencies exhibit persistent, albeit potentially weakened, automatic threat processing and corresponding behavioral responses. However, in the case of individuals engaging in habitual NSSI, repeated exposure to self-inflicted harm may lead to habituation and diminished sensitivity to physical injury-related threats. The ongoing engagement in NSSI behaviors may result in a blunted automatic threat response, as the perceived threat associated with self-injury becomes more familiar and less aversive.</w:t>
      </w:r>
    </w:p>
    <w:p w14:paraId="407F326A" w14:textId="05965B2B" w:rsidR="008E633B" w:rsidRPr="007D21E3" w:rsidRDefault="008E633B" w:rsidP="008E633B">
      <w:pPr>
        <w:spacing w:before="240" w:after="240" w:line="480" w:lineRule="auto"/>
        <w:ind w:firstLine="720"/>
        <w:rPr>
          <w:rFonts w:eastAsia="Times New Roman" w:cs="Times New Roman"/>
          <w:color w:val="000000"/>
          <w:szCs w:val="24"/>
        </w:rPr>
      </w:pPr>
      <w:r w:rsidRPr="008E633B">
        <w:rPr>
          <w:rFonts w:eastAsia="Times New Roman" w:cs="Times New Roman"/>
          <w:color w:val="000000"/>
          <w:szCs w:val="24"/>
        </w:rPr>
        <w:t>As a result, individuals who habitually engage in NSSI may exhibit a weakened automatic threat-processing response compared to those without a history of self-injury. The diminished sensitivity to physical injury-related threats may contribute to a reduced aversion to self-injury and increased tolerance for engaging in self-harming behaviors. This suggests that the habitual nature of NSSI may undermine the instinctive urge to avoid perceived threats, allowing individuals to persist in engaging in self-injurious acts despite the potential risks and negative consequences.</w:t>
      </w:r>
    </w:p>
    <w:p w14:paraId="737AB591" w14:textId="7B227D6A" w:rsidR="008E633B" w:rsidRPr="001039DC" w:rsidRDefault="008E633B" w:rsidP="001039DC">
      <w:pPr>
        <w:rPr>
          <w:rFonts w:eastAsia="Times New Roman" w:cs="Times New Roman"/>
          <w:color w:val="000000"/>
          <w:szCs w:val="24"/>
        </w:rPr>
      </w:pPr>
      <w:r w:rsidRPr="008E633B">
        <w:rPr>
          <w:rFonts w:eastAsia="Times New Roman" w:cs="Times New Roman"/>
          <w:b/>
          <w:bCs/>
          <w:i/>
          <w:iCs/>
          <w:color w:val="000000"/>
          <w:szCs w:val="24"/>
        </w:rPr>
        <w:t>Controlled Motivations</w:t>
      </w:r>
      <w:r w:rsidRPr="008E633B">
        <w:rPr>
          <w:rFonts w:eastAsia="Times New Roman" w:cs="Times New Roman"/>
          <w:color w:val="000000"/>
          <w:szCs w:val="24"/>
        </w:rPr>
        <w:tab/>
      </w:r>
    </w:p>
    <w:p w14:paraId="21CC621E" w14:textId="77777777" w:rsidR="001039DC" w:rsidRDefault="008E633B" w:rsidP="008E633B">
      <w:pPr>
        <w:spacing w:after="0" w:line="480" w:lineRule="auto"/>
        <w:ind w:firstLine="720"/>
        <w:rPr>
          <w:rFonts w:eastAsia="Times New Roman" w:cs="Times New Roman"/>
          <w:color w:val="000000"/>
          <w:szCs w:val="24"/>
        </w:rPr>
      </w:pPr>
      <w:r w:rsidRPr="008E633B">
        <w:rPr>
          <w:rFonts w:eastAsia="Times New Roman" w:cs="Times New Roman"/>
          <w:color w:val="000000"/>
          <w:szCs w:val="24"/>
        </w:rPr>
        <w:t xml:space="preserve">When considering the significance of relevant controlled motivations within the ACASIA model (see path </w:t>
      </w:r>
      <w:r w:rsidRPr="008E633B">
        <w:rPr>
          <w:rFonts w:eastAsia="Times New Roman" w:cs="Times New Roman"/>
          <w:i/>
          <w:iCs/>
          <w:color w:val="000000"/>
          <w:szCs w:val="24"/>
        </w:rPr>
        <w:t xml:space="preserve">c </w:t>
      </w:r>
      <w:r w:rsidRPr="008E633B">
        <w:rPr>
          <w:rFonts w:eastAsia="Times New Roman" w:cs="Times New Roman"/>
          <w:color w:val="000000"/>
          <w:szCs w:val="24"/>
        </w:rPr>
        <w:t>figure 1-2), it becomes apparent that individuals at risk of suicide frequently grapple with conflicting emotions pertaining to their desire to live versus their desire to die (Kovacs &amp; Beck, 1977). As highlighted earlier, the interplay of thwarted belongingness, perceived burdensomeness, and hopelessness is posited to play a substantial role in shaping the active longing for death (Joiner, 2005). Moreover, the individual's personal history of painful and provocative experiences (PPEs) can contribute to a reduction in their fear of death and an increase in their perceived capacity to endure pain (Dhossche et al., 200</w:t>
      </w:r>
      <w:r w:rsidR="00CF696B">
        <w:rPr>
          <w:rFonts w:eastAsia="Times New Roman" w:cs="Times New Roman"/>
          <w:color w:val="000000"/>
          <w:szCs w:val="24"/>
        </w:rPr>
        <w:t>0</w:t>
      </w:r>
      <w:r w:rsidRPr="008E633B">
        <w:rPr>
          <w:rFonts w:eastAsia="Times New Roman" w:cs="Times New Roman"/>
          <w:color w:val="000000"/>
          <w:szCs w:val="24"/>
        </w:rPr>
        <w:t xml:space="preserve">). By being exposed, or </w:t>
      </w:r>
    </w:p>
    <w:p w14:paraId="38DCCB7A" w14:textId="77777777" w:rsidR="001039DC" w:rsidRPr="008E633B" w:rsidRDefault="001039DC" w:rsidP="001039DC">
      <w:pPr>
        <w:spacing w:after="0" w:line="240" w:lineRule="auto"/>
        <w:rPr>
          <w:rFonts w:eastAsia="Times New Roman" w:cs="Times New Roman"/>
          <w:szCs w:val="24"/>
        </w:rPr>
      </w:pPr>
      <w:r w:rsidRPr="007D21E3">
        <w:rPr>
          <w:rFonts w:eastAsia="Times New Roman" w:cs="Times New Roman"/>
          <w:noProof/>
          <w:color w:val="000000"/>
          <w:szCs w:val="24"/>
          <w:bdr w:val="none" w:sz="0" w:space="0" w:color="auto" w:frame="1"/>
        </w:rPr>
        <w:lastRenderedPageBreak/>
        <w:drawing>
          <wp:inline distT="0" distB="0" distL="0" distR="0" wp14:anchorId="2E66ED90" wp14:editId="3DB4770B">
            <wp:extent cx="4495800" cy="4602480"/>
            <wp:effectExtent l="0" t="0" r="0" b="7620"/>
            <wp:docPr id="1" name="Picture 1" descr="A picture containing text, diagram, sketch,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agram, sketch, drawing&#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5800" cy="4602480"/>
                    </a:xfrm>
                    <a:prstGeom prst="rect">
                      <a:avLst/>
                    </a:prstGeom>
                    <a:noFill/>
                    <a:ln>
                      <a:noFill/>
                    </a:ln>
                  </pic:spPr>
                </pic:pic>
              </a:graphicData>
            </a:graphic>
          </wp:inline>
        </w:drawing>
      </w:r>
    </w:p>
    <w:p w14:paraId="0976D21A" w14:textId="77777777" w:rsidR="001039DC" w:rsidRPr="008E633B" w:rsidRDefault="001039DC" w:rsidP="001039DC">
      <w:pPr>
        <w:spacing w:after="0" w:line="240" w:lineRule="auto"/>
        <w:rPr>
          <w:rFonts w:eastAsia="Times New Roman" w:cs="Times New Roman"/>
          <w:szCs w:val="24"/>
        </w:rPr>
      </w:pPr>
      <w:r w:rsidRPr="008E633B">
        <w:rPr>
          <w:rFonts w:eastAsia="Times New Roman" w:cs="Times New Roman"/>
          <w:color w:val="000000"/>
          <w:szCs w:val="24"/>
        </w:rPr>
        <w:t>Figure 2 ACASIA Model of Capability</w:t>
      </w:r>
    </w:p>
    <w:p w14:paraId="0C508701" w14:textId="77777777" w:rsidR="001039DC" w:rsidRDefault="001039DC" w:rsidP="001039DC">
      <w:pPr>
        <w:spacing w:after="0" w:line="480" w:lineRule="auto"/>
        <w:rPr>
          <w:rFonts w:eastAsia="Times New Roman" w:cs="Times New Roman"/>
          <w:color w:val="000000"/>
          <w:szCs w:val="24"/>
        </w:rPr>
      </w:pPr>
    </w:p>
    <w:p w14:paraId="32627634" w14:textId="77777777" w:rsidR="001039DC" w:rsidRDefault="001039DC" w:rsidP="001039DC">
      <w:pPr>
        <w:spacing w:after="0" w:line="480" w:lineRule="auto"/>
        <w:rPr>
          <w:rFonts w:eastAsia="Times New Roman" w:cs="Times New Roman"/>
          <w:color w:val="000000"/>
          <w:szCs w:val="24"/>
        </w:rPr>
      </w:pPr>
    </w:p>
    <w:p w14:paraId="4D1989D8" w14:textId="77777777" w:rsidR="001039DC" w:rsidRDefault="001039DC" w:rsidP="001039DC">
      <w:pPr>
        <w:spacing w:after="0" w:line="480" w:lineRule="auto"/>
        <w:rPr>
          <w:rFonts w:eastAsia="Times New Roman" w:cs="Times New Roman"/>
          <w:color w:val="000000"/>
          <w:szCs w:val="24"/>
        </w:rPr>
      </w:pPr>
    </w:p>
    <w:p w14:paraId="4E26AD6B" w14:textId="77777777" w:rsidR="001039DC" w:rsidRDefault="001039DC" w:rsidP="001039DC">
      <w:pPr>
        <w:spacing w:after="0" w:line="480" w:lineRule="auto"/>
        <w:rPr>
          <w:rFonts w:eastAsia="Times New Roman" w:cs="Times New Roman"/>
          <w:color w:val="000000"/>
          <w:szCs w:val="24"/>
        </w:rPr>
      </w:pPr>
    </w:p>
    <w:p w14:paraId="3C00FE83" w14:textId="77777777" w:rsidR="001039DC" w:rsidRDefault="001039DC" w:rsidP="001039DC">
      <w:pPr>
        <w:spacing w:after="0" w:line="480" w:lineRule="auto"/>
        <w:rPr>
          <w:rFonts w:eastAsia="Times New Roman" w:cs="Times New Roman"/>
          <w:color w:val="000000"/>
          <w:szCs w:val="24"/>
        </w:rPr>
      </w:pPr>
    </w:p>
    <w:p w14:paraId="23202322" w14:textId="77777777" w:rsidR="001039DC" w:rsidRDefault="001039DC" w:rsidP="001039DC">
      <w:pPr>
        <w:spacing w:after="0" w:line="480" w:lineRule="auto"/>
        <w:rPr>
          <w:rFonts w:eastAsia="Times New Roman" w:cs="Times New Roman"/>
          <w:color w:val="000000"/>
          <w:szCs w:val="24"/>
        </w:rPr>
      </w:pPr>
    </w:p>
    <w:p w14:paraId="04331E83" w14:textId="77777777" w:rsidR="001039DC" w:rsidRDefault="001039DC" w:rsidP="001039DC">
      <w:pPr>
        <w:spacing w:after="0" w:line="480" w:lineRule="auto"/>
        <w:rPr>
          <w:rFonts w:eastAsia="Times New Roman" w:cs="Times New Roman"/>
          <w:color w:val="000000"/>
          <w:szCs w:val="24"/>
        </w:rPr>
      </w:pPr>
    </w:p>
    <w:p w14:paraId="2F7AF86A" w14:textId="77777777" w:rsidR="001039DC" w:rsidRDefault="001039DC" w:rsidP="001039DC">
      <w:pPr>
        <w:spacing w:after="0" w:line="480" w:lineRule="auto"/>
        <w:rPr>
          <w:rFonts w:eastAsia="Times New Roman" w:cs="Times New Roman"/>
          <w:color w:val="000000"/>
          <w:szCs w:val="24"/>
        </w:rPr>
      </w:pPr>
    </w:p>
    <w:p w14:paraId="45946D6B" w14:textId="382646E8" w:rsidR="008E633B" w:rsidRPr="008E633B" w:rsidRDefault="008E633B" w:rsidP="001039DC">
      <w:pPr>
        <w:spacing w:after="0" w:line="480" w:lineRule="auto"/>
        <w:rPr>
          <w:rFonts w:eastAsia="Times New Roman" w:cs="Times New Roman"/>
          <w:szCs w:val="24"/>
        </w:rPr>
      </w:pPr>
      <w:r w:rsidRPr="008E633B">
        <w:rPr>
          <w:rFonts w:eastAsia="Times New Roman" w:cs="Times New Roman"/>
          <w:color w:val="000000"/>
          <w:szCs w:val="24"/>
        </w:rPr>
        <w:lastRenderedPageBreak/>
        <w:t>exposing oneself to such experiences, individuals may gradually develop a diminished apprehension towards death and a heightened ability to tolerate pain, which may further reinforce their desire to die.</w:t>
      </w:r>
    </w:p>
    <w:p w14:paraId="6A367185"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Opportunity Factors</w:t>
      </w:r>
    </w:p>
    <w:p w14:paraId="45ADD861"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Among the multiple opportunity factors that moderate the ability to engage in controlled motivations, impulsivity, and stress are associated with reducing an individual’s capacity to stem the influence of automatic attitudes on responses (Hofmann et al., 2012; Hicks et al., 2021; Dalley et al., 2011; Logan et al., 1997). Impulsive individuals commonly show weaker efforts to consider and plan alternative choices of behavior (Daruna &amp; Barnes, 1993). Increased stress, however, has been shown to lead to a more deliberative focus related to the stressor itself, leading people to focus on the details of the situation in which the stressor occurs (Brandstätter &amp; Schüler, 2013). While this may lead to increased attention to stressors, suicidal ideation results from multiple stressful sources, thus we theorize dividing attention and reducing available cognitive resources will cause individuals to utilize automatic attitudes to guide their judgments and behavior. For people in the throes of suicidality, the ACASIA model illustrates how crucial an assessment of automatic attitudes relevant to suicide can be to reach individuals unmotivated or incapable of sharing their suicidal ideation/intent. Based on previous research demonstrating success in distinguishing individuals engaging in nonsuicidal self-injury (NSSI) from non-self-harming control participants and improving the prediction of future NSSI beyond other established predictors (Cha et al., 2016; Glenn, Kleiman, Cha, Nock, &amp; Prinstein, 2016; Nock &amp; Banaji, 2007a, 2007b; Nock et al., 2010; Randall, Rowe, Dong, Nock, &amp; Colman, 2013), the following hypotheses are proposed:</w:t>
      </w:r>
    </w:p>
    <w:p w14:paraId="3952CBA5"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color w:val="000000"/>
          <w:szCs w:val="24"/>
        </w:rPr>
        <w:lastRenderedPageBreak/>
        <w:t>Hypothesis 1:</w:t>
      </w:r>
      <w:r w:rsidRPr="008E633B">
        <w:rPr>
          <w:rFonts w:eastAsia="Times New Roman" w:cs="Times New Roman"/>
          <w:color w:val="000000"/>
          <w:szCs w:val="24"/>
        </w:rPr>
        <w:t xml:space="preserve"> Participants with a history of nonsuicidal self-injury (NSSI) are expected to exhibit weakened pain-bad automatic associations.</w:t>
      </w:r>
    </w:p>
    <w:p w14:paraId="385B3A94"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color w:val="000000"/>
          <w:szCs w:val="24"/>
        </w:rPr>
        <w:t>Hypothesis 2:</w:t>
      </w:r>
      <w:r w:rsidRPr="008E633B">
        <w:rPr>
          <w:rFonts w:eastAsia="Times New Roman" w:cs="Times New Roman"/>
          <w:color w:val="000000"/>
          <w:szCs w:val="24"/>
        </w:rPr>
        <w:t xml:space="preserve"> Weakened pain-bad automatic associations are expected to predict higher levels of self-reported capability.</w:t>
      </w:r>
    </w:p>
    <w:p w14:paraId="1EE31E1A"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color w:val="000000"/>
          <w:szCs w:val="24"/>
        </w:rPr>
        <w:t xml:space="preserve">Hypothesis 3: </w:t>
      </w:r>
      <w:r w:rsidRPr="008E633B">
        <w:rPr>
          <w:rFonts w:eastAsia="Times New Roman" w:cs="Times New Roman"/>
          <w:color w:val="000000"/>
          <w:szCs w:val="24"/>
        </w:rPr>
        <w:t>Among participants with weakened pain-bad associations, those with higher self-report scores of impulsivity will be significantly more likely to report increased capability.</w:t>
      </w:r>
    </w:p>
    <w:p w14:paraId="0A069939" w14:textId="77777777" w:rsidR="008E633B" w:rsidRPr="008E633B" w:rsidRDefault="008E633B" w:rsidP="008E633B">
      <w:pPr>
        <w:spacing w:after="0" w:line="240" w:lineRule="auto"/>
        <w:rPr>
          <w:rFonts w:eastAsia="Times New Roman" w:cs="Times New Roman"/>
          <w:szCs w:val="24"/>
        </w:rPr>
      </w:pPr>
    </w:p>
    <w:p w14:paraId="3A30E803" w14:textId="77777777" w:rsidR="008E633B" w:rsidRPr="008E633B" w:rsidRDefault="008E633B" w:rsidP="008E633B">
      <w:pPr>
        <w:spacing w:after="0" w:line="480" w:lineRule="auto"/>
        <w:rPr>
          <w:rFonts w:eastAsia="Times New Roman" w:cs="Times New Roman"/>
          <w:i/>
          <w:iCs/>
          <w:szCs w:val="24"/>
        </w:rPr>
      </w:pPr>
      <w:r w:rsidRPr="008E633B">
        <w:rPr>
          <w:rFonts w:eastAsia="Times New Roman" w:cs="Times New Roman"/>
          <w:b/>
          <w:bCs/>
          <w:i/>
          <w:iCs/>
          <w:color w:val="000000"/>
          <w:szCs w:val="24"/>
        </w:rPr>
        <w:t>Power Analyses</w:t>
      </w:r>
    </w:p>
    <w:p w14:paraId="657419E0" w14:textId="77777777" w:rsidR="00BB2A1E" w:rsidRPr="00BB2A1E" w:rsidRDefault="00BB2A1E" w:rsidP="00BB2A1E">
      <w:pPr>
        <w:spacing w:before="240" w:after="240" w:line="480" w:lineRule="auto"/>
        <w:ind w:firstLine="720"/>
        <w:rPr>
          <w:rFonts w:eastAsia="Times New Roman" w:cs="Times New Roman"/>
          <w:color w:val="000000"/>
          <w:szCs w:val="24"/>
        </w:rPr>
      </w:pPr>
      <w:r w:rsidRPr="00BB2A1E">
        <w:rPr>
          <w:rFonts w:eastAsia="Times New Roman" w:cs="Times New Roman"/>
          <w:color w:val="000000"/>
          <w:szCs w:val="24"/>
        </w:rPr>
        <w:t>Due to the relative novelty of the measure used in our study, conducting a priori power analysis to determine the required number of participants was challenging. However, Nock et al. (2010) successfully conducted a study involving 157 adults in a psychiatric emergency department, which provided adequate statistical power to detect medium-to-large effect sizes in their study on the death/suicide Implicit Association Test.</w:t>
      </w:r>
    </w:p>
    <w:p w14:paraId="32118922" w14:textId="77777777" w:rsidR="00BB2A1E" w:rsidRPr="00BB2A1E" w:rsidRDefault="00BB2A1E" w:rsidP="00BB2A1E">
      <w:pPr>
        <w:spacing w:before="240" w:after="240" w:line="480" w:lineRule="auto"/>
        <w:ind w:firstLine="720"/>
        <w:rPr>
          <w:rFonts w:eastAsia="Times New Roman" w:cs="Times New Roman"/>
          <w:color w:val="000000"/>
          <w:szCs w:val="24"/>
        </w:rPr>
      </w:pPr>
      <w:r w:rsidRPr="00BB2A1E">
        <w:rPr>
          <w:rFonts w:eastAsia="Times New Roman" w:cs="Times New Roman"/>
          <w:color w:val="000000"/>
          <w:szCs w:val="24"/>
        </w:rPr>
        <w:t xml:space="preserve">Although we anticipated different effect sizes in our undergraduate population, we based our sample size determination on recent research on college students' mental health. This research indicates increasing prevalence rates of major depression and anxiety disorders among college students. For example, a survey of 45,000 college students at nine public research universities found that over one-third of students experienced major depression or anxiety disorder in 2020 (Chirikov et al., 2020). Follow-up studies also reported an increased risk of clinically depressive symptoms among college students, ranging from 42% to 56% compared to 35% before the pandemic (Barbieri et al., 2021). Moreover, a CDC report from 2020 revealed that 25.5% of college-aged respondents (18-24) had seriously considered suicide in the past 30 </w:t>
      </w:r>
      <w:r w:rsidRPr="00BB2A1E">
        <w:rPr>
          <w:rFonts w:eastAsia="Times New Roman" w:cs="Times New Roman"/>
          <w:color w:val="000000"/>
          <w:szCs w:val="24"/>
        </w:rPr>
        <w:lastRenderedPageBreak/>
        <w:t>days (Czeisler et al., 2020). Disturbingly, the CDC has recently reported an 8% increase in suicide rates for this age group since 2020 (Curtin et al., 2022).</w:t>
      </w:r>
    </w:p>
    <w:p w14:paraId="65C6A043" w14:textId="77777777" w:rsidR="00BB2A1E" w:rsidRPr="00BB2A1E" w:rsidRDefault="00BB2A1E" w:rsidP="00BB2A1E">
      <w:pPr>
        <w:spacing w:before="240" w:after="240" w:line="480" w:lineRule="auto"/>
        <w:ind w:firstLine="720"/>
        <w:rPr>
          <w:rFonts w:eastAsia="Times New Roman" w:cs="Times New Roman"/>
          <w:color w:val="000000"/>
          <w:szCs w:val="24"/>
        </w:rPr>
      </w:pPr>
      <w:r w:rsidRPr="00BB2A1E">
        <w:rPr>
          <w:rFonts w:eastAsia="Times New Roman" w:cs="Times New Roman"/>
          <w:color w:val="000000"/>
          <w:szCs w:val="24"/>
        </w:rPr>
        <w:t>Considering this context, we determined that our sample size of 226 undergraduate participants would yield sufficient power to detect the expected medium effect size in our model. Although we were unable to conduct an a priori power analysis due to the novelty of the measure, the prevalence rates of mental health issues and suicidal ideation among college students provide support for our sample size determination.</w:t>
      </w:r>
    </w:p>
    <w:p w14:paraId="4D9C0D61" w14:textId="5B5BA274" w:rsidR="008E633B" w:rsidRPr="007D21E3" w:rsidRDefault="008E633B" w:rsidP="008E633B">
      <w:pPr>
        <w:spacing w:before="240" w:after="240" w:line="480" w:lineRule="auto"/>
        <w:ind w:firstLine="720"/>
        <w:rPr>
          <w:rFonts w:eastAsia="Times New Roman" w:cs="Times New Roman"/>
          <w:color w:val="000000"/>
          <w:szCs w:val="24"/>
        </w:rPr>
      </w:pPr>
    </w:p>
    <w:p w14:paraId="21C1CD64" w14:textId="77777777" w:rsidR="008E633B" w:rsidRPr="007D21E3" w:rsidRDefault="008E633B">
      <w:pPr>
        <w:rPr>
          <w:rFonts w:eastAsia="Times New Roman" w:cs="Times New Roman"/>
          <w:color w:val="000000"/>
          <w:szCs w:val="24"/>
        </w:rPr>
      </w:pPr>
      <w:r w:rsidRPr="007D21E3">
        <w:rPr>
          <w:rFonts w:eastAsia="Times New Roman" w:cs="Times New Roman"/>
          <w:color w:val="000000"/>
          <w:szCs w:val="24"/>
        </w:rPr>
        <w:br w:type="page"/>
      </w:r>
    </w:p>
    <w:p w14:paraId="5F328D1D" w14:textId="77777777" w:rsidR="008E633B" w:rsidRPr="008E633B" w:rsidRDefault="008E633B" w:rsidP="008E633B">
      <w:pPr>
        <w:spacing w:after="0" w:line="480" w:lineRule="auto"/>
        <w:jc w:val="center"/>
        <w:rPr>
          <w:rFonts w:eastAsia="Times New Roman" w:cs="Times New Roman"/>
          <w:szCs w:val="24"/>
        </w:rPr>
      </w:pPr>
      <w:r w:rsidRPr="008E633B">
        <w:rPr>
          <w:rFonts w:eastAsia="Times New Roman" w:cs="Times New Roman"/>
          <w:b/>
          <w:bCs/>
          <w:color w:val="000000"/>
          <w:szCs w:val="24"/>
        </w:rPr>
        <w:lastRenderedPageBreak/>
        <w:t>Chapter 2</w:t>
      </w:r>
    </w:p>
    <w:p w14:paraId="315C6FDF" w14:textId="233A8F1C" w:rsidR="008E633B" w:rsidRPr="008E633B" w:rsidRDefault="004F5088" w:rsidP="008E633B">
      <w:pPr>
        <w:spacing w:before="120" w:after="120" w:line="480" w:lineRule="auto"/>
        <w:jc w:val="center"/>
        <w:outlineLvl w:val="0"/>
        <w:rPr>
          <w:rFonts w:eastAsia="Times New Roman" w:cs="Times New Roman"/>
          <w:b/>
          <w:bCs/>
          <w:kern w:val="36"/>
          <w:szCs w:val="24"/>
        </w:rPr>
      </w:pPr>
      <w:r>
        <w:rPr>
          <w:rFonts w:eastAsia="Times New Roman" w:cs="Times New Roman"/>
          <w:b/>
          <w:bCs/>
          <w:smallCaps/>
          <w:color w:val="000000"/>
          <w:kern w:val="36"/>
          <w:szCs w:val="24"/>
        </w:rPr>
        <w:t>Method</w:t>
      </w:r>
    </w:p>
    <w:p w14:paraId="423C8BCA" w14:textId="77777777" w:rsidR="008E633B" w:rsidRPr="008E633B" w:rsidRDefault="008E633B" w:rsidP="008E633B">
      <w:pPr>
        <w:spacing w:before="120" w:after="120" w:line="480" w:lineRule="auto"/>
        <w:outlineLvl w:val="0"/>
        <w:rPr>
          <w:rFonts w:eastAsia="Times New Roman" w:cs="Times New Roman"/>
          <w:b/>
          <w:bCs/>
          <w:kern w:val="36"/>
          <w:szCs w:val="24"/>
        </w:rPr>
      </w:pPr>
      <w:r w:rsidRPr="008E633B">
        <w:rPr>
          <w:rFonts w:eastAsia="Times New Roman" w:cs="Times New Roman"/>
          <w:b/>
          <w:bCs/>
          <w:i/>
          <w:iCs/>
          <w:smallCaps/>
          <w:color w:val="000000"/>
          <w:kern w:val="36"/>
          <w:szCs w:val="24"/>
        </w:rPr>
        <w:t>Participants</w:t>
      </w:r>
    </w:p>
    <w:p w14:paraId="27CB8CB1"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Participants were at least age 18, fluent in English, and voluntarily chose to participate in the study. Other studies were also available for students to choose from as well as the option to not participate at all and write a short one-page essay. The study included 226 (182 women, 40 men, and 4 who identified outside of the gender binary) participants recruited through the Department of Psychology participant pool, SONA, at the University of Tennessee, for partial course credit. Our initial sample prior to data cleaning consisted of 229 participants. Three participants were excluded from the analysis due to errors on the IAT being over 30%. Degrees of freedom varied slightly due to some participants not providing data for all measures. </w:t>
      </w:r>
    </w:p>
    <w:p w14:paraId="46E120A4" w14:textId="77777777" w:rsidR="008E633B" w:rsidRPr="008E633B" w:rsidRDefault="008E633B" w:rsidP="008E633B">
      <w:pPr>
        <w:spacing w:before="120" w:after="120" w:line="480" w:lineRule="auto"/>
        <w:outlineLvl w:val="0"/>
        <w:rPr>
          <w:rFonts w:eastAsia="Times New Roman" w:cs="Times New Roman"/>
          <w:b/>
          <w:bCs/>
          <w:kern w:val="36"/>
          <w:szCs w:val="24"/>
        </w:rPr>
      </w:pPr>
      <w:r w:rsidRPr="008E633B">
        <w:rPr>
          <w:rFonts w:eastAsia="Times New Roman" w:cs="Times New Roman"/>
          <w:b/>
          <w:bCs/>
          <w:i/>
          <w:iCs/>
          <w:smallCaps/>
          <w:color w:val="000000"/>
          <w:kern w:val="36"/>
          <w:szCs w:val="24"/>
        </w:rPr>
        <w:t>Procedure</w:t>
      </w:r>
    </w:p>
    <w:p w14:paraId="45AE1236" w14:textId="5313ADB2"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 xml:space="preserve">The University of Tennessee, Knoxville IRB granted ethics permission (UTK IRB-22-06827-XM) for conducting this study involving human subjects. Upon arrival at the laboratory, participants were provided with consent forms for the study, which they read through and signed, acknowledging their voluntary participation and the option to withdraw from the study at any time. Following the collection of consent forms, participants were escorted to a computer lab where individual computer stations were separated by dividers. An Implicit Association Test (IAT) was administered to participants, involving two categories: Pain/Relief and Good/Bad. The response latencies of participants were recorded to calculate a measure of their automatic associations with the pain/relief and good/bad categories. Subsequently, participants were prompted to complete three self-report questionnaires presented in a randomized order on the </w:t>
      </w:r>
      <w:r w:rsidRPr="008E633B">
        <w:rPr>
          <w:rFonts w:eastAsia="Times New Roman" w:cs="Times New Roman"/>
          <w:color w:val="000000"/>
          <w:szCs w:val="24"/>
        </w:rPr>
        <w:lastRenderedPageBreak/>
        <w:t xml:space="preserve">computer. These questionnaires included the Inventory of Statements about Self-Injury (ISAS), which assessed their history of non-suicidal self-injury (NSSI), the Acquired Capability for Self-Harm (ACSS), a 20-item questionnaire measuring their capacity for self-harm and pain endurance, and the SUPPS-P Impulsive Behavior Scale, a 20-item questionnaire evaluating their impulsivity. </w:t>
      </w:r>
    </w:p>
    <w:p w14:paraId="41FD8B44" w14:textId="77777777" w:rsidR="008E633B" w:rsidRPr="008E633B" w:rsidRDefault="008E633B" w:rsidP="008E633B">
      <w:pPr>
        <w:spacing w:before="240" w:after="240" w:line="480" w:lineRule="auto"/>
        <w:ind w:firstLine="720"/>
        <w:rPr>
          <w:rFonts w:eastAsia="Times New Roman" w:cs="Times New Roman"/>
          <w:szCs w:val="24"/>
        </w:rPr>
      </w:pPr>
      <w:r w:rsidRPr="008E633B">
        <w:rPr>
          <w:rFonts w:eastAsia="Times New Roman" w:cs="Times New Roman"/>
          <w:color w:val="000000"/>
          <w:szCs w:val="24"/>
        </w:rPr>
        <w:t>Afterward, participants received a debriefing on the nature of the study and information about the university’s counseling center from the researcher or assistants. Both the co-investigator and faculty advisor, who have had crisis intervention training, were available to answer questions or provide information regarding access to counseling services or crisis intervention services as well.</w:t>
      </w:r>
    </w:p>
    <w:p w14:paraId="36D48DE4" w14:textId="77777777" w:rsidR="008E633B" w:rsidRPr="008E633B" w:rsidRDefault="008E633B" w:rsidP="008E633B">
      <w:pPr>
        <w:spacing w:before="120" w:after="120" w:line="480" w:lineRule="auto"/>
        <w:jc w:val="center"/>
        <w:outlineLvl w:val="0"/>
        <w:rPr>
          <w:rFonts w:eastAsia="Times New Roman" w:cs="Times New Roman"/>
          <w:b/>
          <w:bCs/>
          <w:kern w:val="36"/>
          <w:szCs w:val="24"/>
        </w:rPr>
      </w:pPr>
      <w:r w:rsidRPr="008E633B">
        <w:rPr>
          <w:rFonts w:eastAsia="Times New Roman" w:cs="Times New Roman"/>
          <w:b/>
          <w:bCs/>
          <w:smallCaps/>
          <w:color w:val="000000"/>
          <w:kern w:val="36"/>
          <w:szCs w:val="24"/>
        </w:rPr>
        <w:t>Measures</w:t>
      </w:r>
    </w:p>
    <w:p w14:paraId="135423AC"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Implicit Association Test (IAT)</w:t>
      </w:r>
    </w:p>
    <w:p w14:paraId="1DE927AC" w14:textId="77777777" w:rsidR="008E633B" w:rsidRPr="008E633B" w:rsidRDefault="008E633B" w:rsidP="008E633B">
      <w:pPr>
        <w:spacing w:after="240" w:line="480" w:lineRule="auto"/>
        <w:ind w:firstLine="720"/>
        <w:rPr>
          <w:rFonts w:eastAsia="Times New Roman" w:cs="Times New Roman"/>
          <w:szCs w:val="24"/>
        </w:rPr>
      </w:pPr>
      <w:r w:rsidRPr="008E633B">
        <w:rPr>
          <w:rFonts w:eastAsia="Times New Roman" w:cs="Times New Roman"/>
          <w:color w:val="000000"/>
          <w:szCs w:val="24"/>
        </w:rPr>
        <w:t>The Implicit Association Test (IAT) is a computer-administered reaction-time task designed to measure implicit associations and automatic biases towards specific concepts (Greenwald et al., 1998). The IAT assesses the strength of associations between different concepts by measuring response latencies when participants categorize stimuli. In this IAT, participants are presented with stimuli from two different categories, "Pain/Relief" and "Good/Bad." The task requires participants to classify words that are semantically related to these categories. By measuring the speed of participants' responses, this IAT aims to capture implicit associations between the target concepts.</w:t>
      </w:r>
    </w:p>
    <w:p w14:paraId="14A3AF14"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 xml:space="preserve">Response latencies in the IAT are used to compute a measure of automatic associations between the target categories. The standard scoring algorithm developed by Greenwald et al. </w:t>
      </w:r>
      <w:r w:rsidRPr="008E633B">
        <w:rPr>
          <w:rFonts w:eastAsia="Times New Roman" w:cs="Times New Roman"/>
          <w:color w:val="000000"/>
          <w:szCs w:val="24"/>
        </w:rPr>
        <w:lastRenderedPageBreak/>
        <w:t>(2003) is commonly used to analyze the data and calculate scores representing the strength of association between the target categories. Meta-analyses of data from numerous studies using the IAT have demonstrated its test-retest reliability, with an average correlation coefficient of r = .50, and satisfactory internal consistency, with an average coefficient alpha of α = .80 across multiple studies (Greenwald &amp; Lai, 2020).</w:t>
      </w:r>
    </w:p>
    <w:p w14:paraId="66805194"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Acquired Capability for Suicide Scale (ACSS)</w:t>
      </w:r>
    </w:p>
    <w:p w14:paraId="63C68743" w14:textId="77777777" w:rsidR="008E633B" w:rsidRPr="008E633B" w:rsidRDefault="008E633B" w:rsidP="008E633B">
      <w:pPr>
        <w:spacing w:after="240" w:line="480" w:lineRule="auto"/>
        <w:ind w:firstLine="720"/>
        <w:rPr>
          <w:rFonts w:eastAsia="Times New Roman" w:cs="Times New Roman"/>
          <w:szCs w:val="24"/>
        </w:rPr>
      </w:pPr>
      <w:r w:rsidRPr="008E633B">
        <w:rPr>
          <w:rFonts w:eastAsia="Times New Roman" w:cs="Times New Roman"/>
          <w:color w:val="000000"/>
          <w:szCs w:val="24"/>
        </w:rPr>
        <w:t>The Acquired Capability for Suicide Scale (ACSS) is a self-report questionnaire designed to assess an individual's acquired capability for engaging in suicidal behavior (Van Orden et al., 2008). The scale measures various factors related to an individual's tolerance for physical pain, fearlessness about death, and access to lethal means, which are considered critical components of acquired capability for suicide (Joiner, 2005).</w:t>
      </w:r>
    </w:p>
    <w:p w14:paraId="523FEFC7"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The ACSS consists of 20 items that capture the individual's past experiences, attitudes, and beliefs that contribute to their acquired capability for self-harm or suicide. Participants rate each item on a Likert scale ranging from 1 (strongly disagree) to 5 (strongly agree). Typically, it is scored on a range of 0 to 80, where higher scores indicate higher levels of acquired capability (Van Orden et al., 2008). The Cronbach's alpha coefficient for the Acquired Capability for Suicide Scale (ACSS) was reported to be α = 0.87 (Van Orden et al., 2008). This indicates a high level of internal consistency and reliability of the scale in measuring the acquired capability construct. This scale was purposefully developed to comprehensively assess both facets of the acquired capability construct, as outlined in the theoretical framework proposed by Van Orden and colleagues (2008).</w:t>
      </w:r>
    </w:p>
    <w:p w14:paraId="512E2AF8" w14:textId="77777777" w:rsidR="001039DC" w:rsidRDefault="001039DC" w:rsidP="008E633B">
      <w:pPr>
        <w:spacing w:after="0" w:line="480" w:lineRule="auto"/>
        <w:rPr>
          <w:rFonts w:eastAsia="Times New Roman" w:cs="Times New Roman"/>
          <w:b/>
          <w:bCs/>
          <w:i/>
          <w:iCs/>
          <w:color w:val="000000"/>
          <w:szCs w:val="24"/>
        </w:rPr>
      </w:pPr>
    </w:p>
    <w:p w14:paraId="11CC6AF7" w14:textId="77777777" w:rsidR="001039DC" w:rsidRDefault="001039DC" w:rsidP="008E633B">
      <w:pPr>
        <w:spacing w:after="0" w:line="480" w:lineRule="auto"/>
        <w:rPr>
          <w:rFonts w:eastAsia="Times New Roman" w:cs="Times New Roman"/>
          <w:b/>
          <w:bCs/>
          <w:i/>
          <w:iCs/>
          <w:color w:val="000000"/>
          <w:szCs w:val="24"/>
        </w:rPr>
      </w:pPr>
    </w:p>
    <w:p w14:paraId="79DE8858" w14:textId="73334AE0"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lastRenderedPageBreak/>
        <w:t>The Inventory of Statements about Self-Injury (ISAS)</w:t>
      </w:r>
    </w:p>
    <w:p w14:paraId="69219D1D"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The Inventory of Statements about Self-Injury (ISAS) is a self-report questionnaire used to assess various aspects of self-injurious thoughts and behaviors. The ISAS consists of a series of statements that participants rate based on their personal experiences and feelings. The statements cover domains such as reasons for self-injury, emotions associated with self-injury, and perceived functions and consequences of self-injurious behaviors. Participants typically rate each statement on a Likert-type scale, providing their level of agreement or the frequency of their experiences. </w:t>
      </w:r>
    </w:p>
    <w:p w14:paraId="49955932"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The ISAS provides valuable insights into the complexity of self-injurious thoughts and behaviors, helping researchers and clinicians gain a deeper understanding of the underlying factors and motivations. The Cronbach's alpha coefficient for the Inventory of Statements about Self-Injury (ISAS) measure varies depending on the specific sample and study. However, studies have reported Cronbach's alpha values ranging from α = 0.80 to α = 0.95 for the ISAS (Kirtley et al., 2016; Nixon et al., 2015). These values indicate a high level of internal consistency and reliability for the ISAS in assessing self-injurious thoughts and behaviors.</w:t>
      </w:r>
    </w:p>
    <w:p w14:paraId="018BB014"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Short UPPS-P Impulsive Behavior Scale (SUPPS-P)</w:t>
      </w:r>
    </w:p>
    <w:p w14:paraId="66EEABBB" w14:textId="212B162D" w:rsidR="001039DC" w:rsidRDefault="008E633B" w:rsidP="008E633B">
      <w:pPr>
        <w:spacing w:after="0" w:line="480" w:lineRule="auto"/>
        <w:ind w:firstLine="720"/>
        <w:rPr>
          <w:rFonts w:eastAsia="Times New Roman" w:cs="Times New Roman"/>
          <w:color w:val="000000"/>
          <w:szCs w:val="24"/>
        </w:rPr>
      </w:pPr>
      <w:r w:rsidRPr="008E633B">
        <w:rPr>
          <w:rFonts w:eastAsia="Times New Roman" w:cs="Times New Roman"/>
          <w:color w:val="000000"/>
          <w:szCs w:val="24"/>
        </w:rPr>
        <w:t xml:space="preserve">The Short UPPS-P Impulsive Behavior Scale (Whiteside &amp; Lynam, 2001) is a 20-item self-report measure derived from the longer UPPS-P Impulsive Behavior Scale. The UPPS-P Impulsive Behavior Scale assesses impulsivity across four dimensions: Urgency, Premeditation, Perseverance, and Sensation Seeking. Participants rated their agreement with each item using a 5-point Likert-type scale ranging from 1 (strongly disagree) to 5 (strongly agree). Higher scores on each dimension indicate higher levels of impulsivity in the corresponding domain. The Short UPPS-P Impulsive Behavior Scale has been widely used in previous research and has </w:t>
      </w:r>
      <w:r w:rsidRPr="008E633B">
        <w:rPr>
          <w:rFonts w:eastAsia="Times New Roman" w:cs="Times New Roman"/>
          <w:color w:val="000000"/>
          <w:szCs w:val="24"/>
        </w:rPr>
        <w:lastRenderedPageBreak/>
        <w:t>demonstrated good psychometric properties, including high internal consistency and test-retest reliability (Whiteside &amp; Lynam, 2001). Internal consistency estimates for the scale have shown Cronbach's alpha coefficients ranging from .71 to .92 across different samples.</w:t>
      </w:r>
    </w:p>
    <w:p w14:paraId="0CFE7718" w14:textId="77777777" w:rsidR="001039DC" w:rsidRDefault="001039DC">
      <w:pPr>
        <w:rPr>
          <w:rFonts w:eastAsia="Times New Roman" w:cs="Times New Roman"/>
          <w:color w:val="000000"/>
          <w:szCs w:val="24"/>
        </w:rPr>
      </w:pPr>
      <w:r>
        <w:rPr>
          <w:rFonts w:eastAsia="Times New Roman" w:cs="Times New Roman"/>
          <w:color w:val="000000"/>
          <w:szCs w:val="24"/>
        </w:rPr>
        <w:br w:type="page"/>
      </w:r>
    </w:p>
    <w:p w14:paraId="281C4866" w14:textId="77777777" w:rsidR="008E633B" w:rsidRPr="008E633B" w:rsidRDefault="008E633B" w:rsidP="008E633B">
      <w:pPr>
        <w:spacing w:after="0" w:line="480" w:lineRule="auto"/>
        <w:jc w:val="center"/>
        <w:rPr>
          <w:rFonts w:eastAsia="Times New Roman" w:cs="Times New Roman"/>
          <w:szCs w:val="24"/>
        </w:rPr>
      </w:pPr>
      <w:r w:rsidRPr="008E633B">
        <w:rPr>
          <w:rFonts w:eastAsia="Times New Roman" w:cs="Times New Roman"/>
          <w:b/>
          <w:bCs/>
          <w:color w:val="000000"/>
          <w:szCs w:val="24"/>
        </w:rPr>
        <w:lastRenderedPageBreak/>
        <w:t>Chapter 3</w:t>
      </w:r>
    </w:p>
    <w:p w14:paraId="60123E01" w14:textId="77777777" w:rsidR="008E633B" w:rsidRPr="008E633B" w:rsidRDefault="008E633B" w:rsidP="008E633B">
      <w:pPr>
        <w:spacing w:before="120" w:after="120" w:line="480" w:lineRule="auto"/>
        <w:jc w:val="center"/>
        <w:outlineLvl w:val="0"/>
        <w:rPr>
          <w:rFonts w:eastAsia="Times New Roman" w:cs="Times New Roman"/>
          <w:b/>
          <w:bCs/>
          <w:kern w:val="36"/>
          <w:szCs w:val="24"/>
        </w:rPr>
      </w:pPr>
      <w:r w:rsidRPr="008E633B">
        <w:rPr>
          <w:rFonts w:eastAsia="Times New Roman" w:cs="Times New Roman"/>
          <w:b/>
          <w:bCs/>
          <w:smallCaps/>
          <w:color w:val="000000"/>
          <w:kern w:val="36"/>
          <w:szCs w:val="24"/>
        </w:rPr>
        <w:t>Results</w:t>
      </w:r>
    </w:p>
    <w:p w14:paraId="36E19B1C"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Data Preparation for the Implicit Association Test (IAT)</w:t>
      </w:r>
    </w:p>
    <w:p w14:paraId="0808467C"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Trials for which response latencies were less than 300 ms or greater than 2500 ms were excluded (.07%), as were error trials (11.8%). For each participant, the mean response latencies to pain-good/relief-bad trials were subtracted from the mean of pain-bad/relief-good trials and then divided by the standard deviation across trials, resulting in a d-score where higher numbers indicate stronger pain-bad associations. On average, participants showed a clear pain-bad association (</w:t>
      </w:r>
      <w:r w:rsidRPr="008E633B">
        <w:rPr>
          <w:rFonts w:eastAsia="Times New Roman" w:cs="Times New Roman"/>
          <w:i/>
          <w:iCs/>
          <w:color w:val="000000"/>
          <w:szCs w:val="24"/>
        </w:rPr>
        <w:t>t</w:t>
      </w:r>
      <w:r w:rsidRPr="008E633B">
        <w:rPr>
          <w:rFonts w:eastAsia="Times New Roman" w:cs="Times New Roman"/>
          <w:color w:val="000000"/>
          <w:szCs w:val="24"/>
        </w:rPr>
        <w:t xml:space="preserve">(224) = 37.00, </w:t>
      </w:r>
      <w:r w:rsidRPr="008E633B">
        <w:rPr>
          <w:rFonts w:eastAsia="Times New Roman" w:cs="Times New Roman"/>
          <w:i/>
          <w:iCs/>
          <w:color w:val="000000"/>
          <w:szCs w:val="24"/>
        </w:rPr>
        <w:t>p</w:t>
      </w:r>
      <w:r w:rsidRPr="008E633B">
        <w:rPr>
          <w:rFonts w:eastAsia="Times New Roman" w:cs="Times New Roman"/>
          <w:color w:val="000000"/>
          <w:szCs w:val="24"/>
        </w:rPr>
        <w:t xml:space="preserve"> &lt; .001, </w:t>
      </w:r>
      <w:r w:rsidRPr="008E633B">
        <w:rPr>
          <w:rFonts w:eastAsia="Times New Roman" w:cs="Times New Roman"/>
          <w:i/>
          <w:iCs/>
          <w:color w:val="000000"/>
          <w:szCs w:val="24"/>
        </w:rPr>
        <w:t>d</w:t>
      </w:r>
      <w:r w:rsidRPr="008E633B">
        <w:rPr>
          <w:rFonts w:eastAsia="Times New Roman" w:cs="Times New Roman"/>
          <w:color w:val="000000"/>
          <w:szCs w:val="24"/>
        </w:rPr>
        <w:t xml:space="preserve"> = .48), although 4.9% of the sample demonstrated more positive associations to pain than to relief.</w:t>
      </w:r>
    </w:p>
    <w:p w14:paraId="4084B732" w14:textId="77777777" w:rsidR="008E633B" w:rsidRPr="008E633B" w:rsidRDefault="008E633B" w:rsidP="008E633B">
      <w:pPr>
        <w:spacing w:after="0" w:line="480" w:lineRule="auto"/>
        <w:rPr>
          <w:rFonts w:eastAsia="Times New Roman" w:cs="Times New Roman"/>
          <w:szCs w:val="24"/>
        </w:rPr>
      </w:pPr>
      <w:r w:rsidRPr="008E633B">
        <w:rPr>
          <w:rFonts w:eastAsia="Times New Roman" w:cs="Times New Roman"/>
          <w:b/>
          <w:bCs/>
          <w:i/>
          <w:iCs/>
          <w:color w:val="000000"/>
          <w:szCs w:val="24"/>
        </w:rPr>
        <w:t>Data Preparation for Explicit Measures</w:t>
      </w:r>
    </w:p>
    <w:p w14:paraId="3E74E330"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After accounting for reverse-scoring, mean scores were calculated for each participant for the Acquired Capability for Suicide Scale (ACSS) and Short UPPS-P Impulsive Behavior Scale (SUPPS-P). The Inventory of Statements about Self-Injury (ISAS) included items inquiring about specific kinds of self-harm (e.g., cutting, burning, etc.). Participant estimates for these items ranged wildly. Hence, we dichotomized these responses such that participants received a 1 for any amount of a given type of self-harm and a 0 if they did not engage in that type of self-harm. These values were then summed to compute an overall index of NSSI that could range from 0 to 13 (</w:t>
      </w:r>
      <w:r w:rsidRPr="008E633B">
        <w:rPr>
          <w:rFonts w:eastAsia="Times New Roman" w:cs="Times New Roman"/>
          <w:i/>
          <w:iCs/>
          <w:color w:val="000000"/>
          <w:szCs w:val="24"/>
        </w:rPr>
        <w:t>M</w:t>
      </w:r>
      <w:r w:rsidRPr="008E633B">
        <w:rPr>
          <w:rFonts w:eastAsia="Times New Roman" w:cs="Times New Roman"/>
          <w:color w:val="000000"/>
          <w:szCs w:val="24"/>
        </w:rPr>
        <w:t xml:space="preserve"> = 3.69, </w:t>
      </w:r>
      <w:r w:rsidRPr="008E633B">
        <w:rPr>
          <w:rFonts w:eastAsia="Times New Roman" w:cs="Times New Roman"/>
          <w:i/>
          <w:iCs/>
          <w:color w:val="000000"/>
          <w:szCs w:val="24"/>
        </w:rPr>
        <w:t>SD</w:t>
      </w:r>
      <w:r w:rsidRPr="008E633B">
        <w:rPr>
          <w:rFonts w:eastAsia="Times New Roman" w:cs="Times New Roman"/>
          <w:color w:val="000000"/>
          <w:szCs w:val="24"/>
        </w:rPr>
        <w:t xml:space="preserve"> = 3.39).  </w:t>
      </w:r>
    </w:p>
    <w:p w14:paraId="2BB25DC8" w14:textId="77777777" w:rsidR="008E633B" w:rsidRPr="007D21E3" w:rsidRDefault="008E633B" w:rsidP="008E633B">
      <w:pPr>
        <w:spacing w:after="240" w:line="240" w:lineRule="auto"/>
        <w:rPr>
          <w:rFonts w:eastAsia="Times New Roman" w:cs="Times New Roman"/>
          <w:b/>
          <w:bCs/>
          <w:i/>
          <w:iCs/>
          <w:color w:val="000000"/>
          <w:szCs w:val="24"/>
        </w:rPr>
      </w:pPr>
    </w:p>
    <w:p w14:paraId="38443FF0" w14:textId="77777777" w:rsidR="001039DC" w:rsidRDefault="001039DC" w:rsidP="008E633B">
      <w:pPr>
        <w:spacing w:after="240" w:line="240" w:lineRule="auto"/>
        <w:rPr>
          <w:rFonts w:eastAsia="Times New Roman" w:cs="Times New Roman"/>
          <w:b/>
          <w:bCs/>
          <w:i/>
          <w:iCs/>
          <w:color w:val="000000"/>
          <w:szCs w:val="24"/>
        </w:rPr>
      </w:pPr>
    </w:p>
    <w:p w14:paraId="49DD19C0" w14:textId="77777777" w:rsidR="001039DC" w:rsidRDefault="001039DC" w:rsidP="008E633B">
      <w:pPr>
        <w:spacing w:after="240" w:line="240" w:lineRule="auto"/>
        <w:rPr>
          <w:rFonts w:eastAsia="Times New Roman" w:cs="Times New Roman"/>
          <w:b/>
          <w:bCs/>
          <w:i/>
          <w:iCs/>
          <w:color w:val="000000"/>
          <w:szCs w:val="24"/>
        </w:rPr>
      </w:pPr>
    </w:p>
    <w:p w14:paraId="0B0332D6" w14:textId="77777777" w:rsidR="001039DC" w:rsidRDefault="001039DC" w:rsidP="008E633B">
      <w:pPr>
        <w:spacing w:after="240" w:line="240" w:lineRule="auto"/>
        <w:rPr>
          <w:rFonts w:eastAsia="Times New Roman" w:cs="Times New Roman"/>
          <w:b/>
          <w:bCs/>
          <w:i/>
          <w:iCs/>
          <w:color w:val="000000"/>
          <w:szCs w:val="24"/>
        </w:rPr>
      </w:pPr>
    </w:p>
    <w:p w14:paraId="1D7E4E0B" w14:textId="4231C945" w:rsidR="008E633B" w:rsidRPr="008E633B" w:rsidRDefault="008E633B" w:rsidP="008E633B">
      <w:pPr>
        <w:spacing w:after="240" w:line="240" w:lineRule="auto"/>
        <w:rPr>
          <w:rFonts w:eastAsia="Times New Roman" w:cs="Times New Roman"/>
          <w:szCs w:val="24"/>
        </w:rPr>
      </w:pPr>
      <w:r w:rsidRPr="008E633B">
        <w:rPr>
          <w:rFonts w:eastAsia="Times New Roman" w:cs="Times New Roman"/>
          <w:b/>
          <w:bCs/>
          <w:i/>
          <w:iCs/>
          <w:color w:val="000000"/>
          <w:szCs w:val="24"/>
        </w:rPr>
        <w:lastRenderedPageBreak/>
        <w:t>Tests of Hypotheses</w:t>
      </w:r>
    </w:p>
    <w:p w14:paraId="1184CE6C" w14:textId="2EDA9F54"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My first hypothesis was that participants with a history of non</w:t>
      </w:r>
      <w:r w:rsidRPr="007D21E3">
        <w:rPr>
          <w:rFonts w:eastAsia="Times New Roman" w:cs="Times New Roman"/>
          <w:color w:val="000000"/>
          <w:szCs w:val="24"/>
        </w:rPr>
        <w:t>-</w:t>
      </w:r>
      <w:r w:rsidRPr="008E633B">
        <w:rPr>
          <w:rFonts w:eastAsia="Times New Roman" w:cs="Times New Roman"/>
          <w:color w:val="000000"/>
          <w:szCs w:val="24"/>
        </w:rPr>
        <w:t xml:space="preserve">suicidal self-injury (NSSI) would exhibit weakened pain-bad automatic associations. </w:t>
      </w:r>
      <w:r w:rsidR="001B35BB" w:rsidRPr="007D21E3">
        <w:rPr>
          <w:rFonts w:eastAsia="Times New Roman" w:cs="Times New Roman"/>
          <w:color w:val="000000"/>
          <w:szCs w:val="24"/>
        </w:rPr>
        <w:t>As seen on Table 1, t</w:t>
      </w:r>
      <w:r w:rsidRPr="008E633B">
        <w:rPr>
          <w:rFonts w:eastAsia="Times New Roman" w:cs="Times New Roman"/>
          <w:color w:val="000000"/>
          <w:szCs w:val="24"/>
        </w:rPr>
        <w:t>he data did not support the hypothesis, as the correlation between NSSI and the IAT was .06 (</w:t>
      </w:r>
      <w:r w:rsidRPr="008E633B">
        <w:rPr>
          <w:rFonts w:eastAsia="Times New Roman" w:cs="Times New Roman"/>
          <w:i/>
          <w:iCs/>
          <w:color w:val="000000"/>
          <w:szCs w:val="24"/>
        </w:rPr>
        <w:t>p</w:t>
      </w:r>
      <w:r w:rsidRPr="008E633B">
        <w:rPr>
          <w:rFonts w:eastAsia="Times New Roman" w:cs="Times New Roman"/>
          <w:color w:val="000000"/>
          <w:szCs w:val="24"/>
        </w:rPr>
        <w:t xml:space="preserve"> = .40).</w:t>
      </w:r>
    </w:p>
    <w:p w14:paraId="2EEFB138" w14:textId="77777777" w:rsidR="008E633B" w:rsidRPr="008E633B" w:rsidRDefault="008E633B" w:rsidP="008E633B">
      <w:pPr>
        <w:spacing w:after="0" w:line="480" w:lineRule="auto"/>
        <w:ind w:firstLine="720"/>
        <w:rPr>
          <w:rFonts w:eastAsia="Times New Roman" w:cs="Times New Roman"/>
          <w:szCs w:val="24"/>
        </w:rPr>
      </w:pPr>
      <w:r w:rsidRPr="008E633B">
        <w:rPr>
          <w:rFonts w:eastAsia="Times New Roman" w:cs="Times New Roman"/>
          <w:color w:val="000000"/>
          <w:szCs w:val="24"/>
        </w:rPr>
        <w:t>Secondly, I predicted that weakened pain-bad automatic associations are expected to predict higher levels of self-reported capability. Contrary to expectations, IAT scores were weakly but positively related to ACS scores (</w:t>
      </w:r>
      <w:r w:rsidRPr="008E633B">
        <w:rPr>
          <w:rFonts w:eastAsia="Times New Roman" w:cs="Times New Roman"/>
          <w:i/>
          <w:iCs/>
          <w:color w:val="000000"/>
          <w:szCs w:val="24"/>
        </w:rPr>
        <w:t>r</w:t>
      </w:r>
      <w:r w:rsidRPr="008E633B">
        <w:rPr>
          <w:rFonts w:eastAsia="Times New Roman" w:cs="Times New Roman"/>
          <w:color w:val="000000"/>
          <w:szCs w:val="24"/>
        </w:rPr>
        <w:t xml:space="preserve"> = .13, </w:t>
      </w:r>
      <w:r w:rsidRPr="008E633B">
        <w:rPr>
          <w:rFonts w:eastAsia="Times New Roman" w:cs="Times New Roman"/>
          <w:i/>
          <w:iCs/>
          <w:color w:val="000000"/>
          <w:szCs w:val="24"/>
        </w:rPr>
        <w:t>p</w:t>
      </w:r>
      <w:r w:rsidRPr="008E633B">
        <w:rPr>
          <w:rFonts w:eastAsia="Times New Roman" w:cs="Times New Roman"/>
          <w:color w:val="000000"/>
          <w:szCs w:val="24"/>
        </w:rPr>
        <w:t xml:space="preserve"> = .053), indicating that as pain-bad associations increased, ACS scores also increased. </w:t>
      </w:r>
    </w:p>
    <w:p w14:paraId="3C6E7CB9" w14:textId="5E3D657E" w:rsidR="008E633B" w:rsidRDefault="008E633B" w:rsidP="008E633B">
      <w:pPr>
        <w:spacing w:after="0" w:line="480" w:lineRule="auto"/>
        <w:ind w:firstLine="720"/>
        <w:rPr>
          <w:rFonts w:eastAsia="Times New Roman" w:cs="Times New Roman"/>
          <w:color w:val="000000"/>
          <w:szCs w:val="24"/>
        </w:rPr>
      </w:pPr>
      <w:r w:rsidRPr="008E633B">
        <w:rPr>
          <w:rFonts w:eastAsia="Times New Roman" w:cs="Times New Roman"/>
          <w:color w:val="000000"/>
          <w:szCs w:val="24"/>
        </w:rPr>
        <w:t xml:space="preserve">My third hypothesis was that among participants with weakened pain-bad associations, those with higher self-report scores of impulsivity will be significantly more likely to report increased capability. To test this hypothesis, ACS was regressed on SUPPS-P, IAT scores, and their interaction in a stepwise multiple regression, with main effects entered in step one, and the interaction in step two. As seen in Table </w:t>
      </w:r>
      <w:r w:rsidR="001B35BB" w:rsidRPr="007D21E3">
        <w:rPr>
          <w:rFonts w:eastAsia="Times New Roman" w:cs="Times New Roman"/>
          <w:szCs w:val="24"/>
        </w:rPr>
        <w:t>2</w:t>
      </w:r>
      <w:r w:rsidRPr="008E633B">
        <w:rPr>
          <w:rFonts w:eastAsia="Times New Roman" w:cs="Times New Roman"/>
          <w:color w:val="000000"/>
          <w:szCs w:val="24"/>
        </w:rPr>
        <w:t>, both SUPPS-P and the IAT were significant positive predictors of ACS.  However, there was no interaction effect.</w:t>
      </w:r>
    </w:p>
    <w:p w14:paraId="589FCFCB" w14:textId="77777777" w:rsidR="001039DC" w:rsidRPr="008E633B" w:rsidRDefault="001039DC" w:rsidP="001039DC">
      <w:pPr>
        <w:spacing w:after="0" w:line="480" w:lineRule="auto"/>
        <w:rPr>
          <w:rFonts w:eastAsia="Times New Roman" w:cs="Times New Roman"/>
          <w:szCs w:val="24"/>
        </w:rPr>
      </w:pPr>
      <w:r w:rsidRPr="008E633B">
        <w:rPr>
          <w:rFonts w:eastAsia="Times New Roman" w:cs="Times New Roman"/>
          <w:b/>
          <w:bCs/>
          <w:i/>
          <w:iCs/>
          <w:color w:val="000000"/>
          <w:szCs w:val="24"/>
        </w:rPr>
        <w:t>Exploratory Analyses</w:t>
      </w:r>
    </w:p>
    <w:p w14:paraId="05F374FE" w14:textId="77777777" w:rsidR="001039DC" w:rsidRPr="007D21E3" w:rsidRDefault="001039DC" w:rsidP="001039DC">
      <w:pPr>
        <w:spacing w:after="0" w:line="480" w:lineRule="auto"/>
        <w:rPr>
          <w:rFonts w:eastAsia="Times New Roman" w:cs="Times New Roman"/>
          <w:color w:val="000000"/>
          <w:szCs w:val="24"/>
        </w:rPr>
      </w:pPr>
      <w:r w:rsidRPr="008E633B">
        <w:rPr>
          <w:rFonts w:eastAsia="Times New Roman" w:cs="Times New Roman"/>
          <w:color w:val="000000"/>
          <w:szCs w:val="24"/>
        </w:rPr>
        <w:tab/>
        <w:t xml:space="preserve">Given the well-documented role NSSI plays in capability, we conducted an additional regression analysis with SUPPS-P, IAT scores, and NSSI as predictors of ACS, with main effects entered on step 1, 2-way interactions entered on step 2, and the 3-way interaction on step 3 (see Table </w:t>
      </w:r>
      <w:r w:rsidRPr="007D21E3">
        <w:rPr>
          <w:rFonts w:eastAsia="Times New Roman" w:cs="Times New Roman"/>
          <w:color w:val="000000"/>
          <w:szCs w:val="24"/>
        </w:rPr>
        <w:t>3</w:t>
      </w:r>
      <w:r w:rsidRPr="008E633B">
        <w:rPr>
          <w:rFonts w:eastAsia="Times New Roman" w:cs="Times New Roman"/>
          <w:color w:val="000000"/>
          <w:szCs w:val="24"/>
        </w:rPr>
        <w:t xml:space="preserve">). The marginal main effect of IAT was replicated, but the main effect of SUPPS-P was weakened. An interaction between SUPPS-P and NSSI was observed. As shown in Figure </w:t>
      </w:r>
      <w:r w:rsidRPr="007D21E3">
        <w:rPr>
          <w:rFonts w:eastAsia="Times New Roman" w:cs="Times New Roman"/>
          <w:color w:val="000000"/>
          <w:szCs w:val="24"/>
        </w:rPr>
        <w:t>3</w:t>
      </w:r>
      <w:r w:rsidRPr="008E633B">
        <w:rPr>
          <w:rFonts w:eastAsia="Times New Roman" w:cs="Times New Roman"/>
          <w:color w:val="000000"/>
          <w:szCs w:val="24"/>
        </w:rPr>
        <w:t xml:space="preserve">, there was no relationship between NSSI and ACS at low (- 1 SD) levels of SUPPS-P. However, at high (+ 1 SD) levels of SUPPS-P, as NSSI increased, ACS increased. A marginal 3-way interaction was also observed. At low (- 1 SD) levels of IAT scores (i.e., relatively weaker pain-bad associations), a cross-over pattern was observed predicting ACS from NSSI and SUPPS-P. </w:t>
      </w:r>
      <w:r w:rsidRPr="008E633B">
        <w:rPr>
          <w:rFonts w:eastAsia="Times New Roman" w:cs="Times New Roman"/>
          <w:color w:val="000000"/>
          <w:szCs w:val="24"/>
        </w:rPr>
        <w:lastRenderedPageBreak/>
        <w:t>At low (-1 SD) levels of SUPPS-P, there was a negative relationship between NSSI and ACS. At high (+1 SD) levels of SUPPS-P, there was a positive relationship between NSSI and ACS. At high (+1 SD) levels of IAT scores (i.e., relatively strong pain-bad associations), there was no cross-over pattern apparent between NSSI and SUPPS-P.  Instead, at both low and high levels of SUPPS-P, NSSI was positively associated with ACS.  </w:t>
      </w:r>
    </w:p>
    <w:p w14:paraId="746B6F75" w14:textId="77777777" w:rsidR="001039DC" w:rsidRPr="008E633B" w:rsidRDefault="001039DC" w:rsidP="008E633B">
      <w:pPr>
        <w:spacing w:after="0" w:line="480" w:lineRule="auto"/>
        <w:ind w:firstLine="720"/>
        <w:rPr>
          <w:rFonts w:eastAsia="Times New Roman" w:cs="Times New Roman"/>
          <w:szCs w:val="24"/>
        </w:rPr>
      </w:pPr>
    </w:p>
    <w:p w14:paraId="5AAA32BB" w14:textId="77777777" w:rsidR="008E633B" w:rsidRPr="007D21E3" w:rsidRDefault="008E633B">
      <w:pPr>
        <w:rPr>
          <w:rFonts w:eastAsia="Times New Roman" w:cs="Times New Roman"/>
          <w:color w:val="000000"/>
          <w:szCs w:val="24"/>
        </w:rPr>
      </w:pPr>
      <w:r w:rsidRPr="007D21E3">
        <w:rPr>
          <w:rFonts w:eastAsia="Times New Roman" w:cs="Times New Roman"/>
          <w:color w:val="000000"/>
          <w:szCs w:val="24"/>
        </w:rPr>
        <w:br w:type="page"/>
      </w:r>
    </w:p>
    <w:p w14:paraId="56B17ADA" w14:textId="77777777" w:rsidR="008E633B" w:rsidRPr="008E633B" w:rsidRDefault="008E633B" w:rsidP="001B35BB">
      <w:pPr>
        <w:spacing w:before="120" w:after="120" w:line="480" w:lineRule="auto"/>
        <w:rPr>
          <w:rFonts w:eastAsia="Times New Roman" w:cs="Times New Roman"/>
          <w:szCs w:val="24"/>
        </w:rPr>
      </w:pPr>
      <w:r w:rsidRPr="008E633B">
        <w:rPr>
          <w:rFonts w:eastAsia="Times New Roman" w:cs="Times New Roman"/>
          <w:smallCaps/>
          <w:color w:val="000000"/>
          <w:szCs w:val="24"/>
        </w:rPr>
        <w:lastRenderedPageBreak/>
        <w:t>Table 1 Correlation Table of Variables: IAT Scores, Capability, Impulsivity, and NSSI</w:t>
      </w:r>
    </w:p>
    <w:tbl>
      <w:tblPr>
        <w:tblW w:w="0" w:type="auto"/>
        <w:tblCellMar>
          <w:top w:w="15" w:type="dxa"/>
          <w:left w:w="15" w:type="dxa"/>
          <w:bottom w:w="15" w:type="dxa"/>
          <w:right w:w="15" w:type="dxa"/>
        </w:tblCellMar>
        <w:tblLook w:val="04A0" w:firstRow="1" w:lastRow="0" w:firstColumn="1" w:lastColumn="0" w:noHBand="0" w:noVBand="1"/>
      </w:tblPr>
      <w:tblGrid>
        <w:gridCol w:w="1898"/>
        <w:gridCol w:w="1304"/>
        <w:gridCol w:w="1120"/>
        <w:gridCol w:w="1200"/>
        <w:gridCol w:w="1320"/>
        <w:gridCol w:w="1260"/>
        <w:gridCol w:w="740"/>
      </w:tblGrid>
      <w:tr w:rsidR="008E633B" w:rsidRPr="008E633B" w14:paraId="6114A899" w14:textId="77777777" w:rsidTr="008E633B">
        <w:trPr>
          <w:trHeight w:val="665"/>
        </w:trPr>
        <w:tc>
          <w:tcPr>
            <w:tcW w:w="0" w:type="auto"/>
            <w:tcBorders>
              <w:top w:val="single" w:sz="8" w:space="0" w:color="000000"/>
              <w:bottom w:val="single" w:sz="8" w:space="0" w:color="000000"/>
            </w:tcBorders>
            <w:tcMar>
              <w:top w:w="100" w:type="dxa"/>
              <w:left w:w="100" w:type="dxa"/>
              <w:bottom w:w="100" w:type="dxa"/>
              <w:right w:w="100" w:type="dxa"/>
            </w:tcMar>
            <w:hideMark/>
          </w:tcPr>
          <w:p w14:paraId="71C2E292" w14:textId="77777777" w:rsidR="008E633B" w:rsidRPr="008E633B" w:rsidRDefault="008E633B" w:rsidP="008E633B">
            <w:pPr>
              <w:spacing w:after="0" w:line="240" w:lineRule="auto"/>
              <w:ind w:left="440"/>
              <w:rPr>
                <w:rFonts w:eastAsia="Times New Roman" w:cs="Times New Roman"/>
                <w:szCs w:val="24"/>
              </w:rPr>
            </w:pPr>
            <w:r w:rsidRPr="008E633B">
              <w:rPr>
                <w:rFonts w:eastAsia="Times New Roman" w:cs="Times New Roman"/>
                <w:smallCaps/>
                <w:color w:val="000000"/>
                <w:szCs w:val="24"/>
              </w:rPr>
              <w:t>Variables</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C7AF206" w14:textId="77777777" w:rsidR="008E633B" w:rsidRPr="008E633B" w:rsidRDefault="008E633B" w:rsidP="008E633B">
            <w:pPr>
              <w:spacing w:after="0" w:line="240" w:lineRule="auto"/>
              <w:ind w:left="300" w:right="200"/>
              <w:rPr>
                <w:rFonts w:eastAsia="Times New Roman" w:cs="Times New Roman"/>
                <w:szCs w:val="24"/>
              </w:rPr>
            </w:pPr>
            <w:r w:rsidRPr="008E633B">
              <w:rPr>
                <w:rFonts w:eastAsia="Times New Roman" w:cs="Times New Roman"/>
                <w:smallCaps/>
                <w:color w:val="000000"/>
                <w:szCs w:val="24"/>
              </w:rPr>
              <w:t>Mean</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3A3BB19" w14:textId="77777777" w:rsidR="008E633B" w:rsidRPr="008E633B" w:rsidRDefault="008E633B" w:rsidP="008E633B">
            <w:pPr>
              <w:spacing w:after="0" w:line="240" w:lineRule="auto"/>
              <w:ind w:left="300" w:right="200"/>
              <w:rPr>
                <w:rFonts w:eastAsia="Times New Roman" w:cs="Times New Roman"/>
                <w:szCs w:val="24"/>
              </w:rPr>
            </w:pPr>
            <w:r w:rsidRPr="008E633B">
              <w:rPr>
                <w:rFonts w:eastAsia="Times New Roman" w:cs="Times New Roman"/>
                <w:smallCaps/>
                <w:color w:val="000000"/>
                <w:szCs w:val="24"/>
              </w:rPr>
              <w:t>SD</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B4DB600" w14:textId="77777777" w:rsidR="008E633B" w:rsidRPr="008E633B" w:rsidRDefault="008E633B" w:rsidP="008E633B">
            <w:pPr>
              <w:spacing w:after="0" w:line="240" w:lineRule="auto"/>
              <w:ind w:left="300" w:right="200"/>
              <w:rPr>
                <w:rFonts w:eastAsia="Times New Roman" w:cs="Times New Roman"/>
                <w:szCs w:val="24"/>
              </w:rPr>
            </w:pPr>
            <w:r w:rsidRPr="008E633B">
              <w:rPr>
                <w:rFonts w:eastAsia="Times New Roman" w:cs="Times New Roman"/>
                <w:smallCaps/>
                <w:color w:val="000000"/>
                <w:szCs w:val="24"/>
              </w:rPr>
              <w:t>1</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F4C0B06" w14:textId="77777777" w:rsidR="008E633B" w:rsidRPr="008E633B" w:rsidRDefault="008E633B" w:rsidP="008E633B">
            <w:pPr>
              <w:spacing w:after="0" w:line="240" w:lineRule="auto"/>
              <w:ind w:left="320" w:right="140"/>
              <w:rPr>
                <w:rFonts w:eastAsia="Times New Roman" w:cs="Times New Roman"/>
                <w:szCs w:val="24"/>
              </w:rPr>
            </w:pPr>
            <w:r w:rsidRPr="008E633B">
              <w:rPr>
                <w:rFonts w:eastAsia="Times New Roman" w:cs="Times New Roman"/>
                <w:smallCaps/>
                <w:color w:val="000000"/>
                <w:szCs w:val="24"/>
              </w:rPr>
              <w:t>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34FA3BF" w14:textId="77777777" w:rsidR="008E633B" w:rsidRPr="008E633B" w:rsidRDefault="008E633B" w:rsidP="008E633B">
            <w:pPr>
              <w:spacing w:after="0" w:line="240" w:lineRule="auto"/>
              <w:ind w:left="160"/>
              <w:rPr>
                <w:rFonts w:eastAsia="Times New Roman" w:cs="Times New Roman"/>
                <w:szCs w:val="24"/>
              </w:rPr>
            </w:pPr>
            <w:r w:rsidRPr="008E633B">
              <w:rPr>
                <w:rFonts w:eastAsia="Times New Roman" w:cs="Times New Roman"/>
                <w:smallCaps/>
                <w:color w:val="000000"/>
                <w:szCs w:val="24"/>
              </w:rPr>
              <w:t>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149A390" w14:textId="77777777" w:rsidR="008E633B" w:rsidRPr="008E633B" w:rsidRDefault="008E633B" w:rsidP="008E633B">
            <w:pPr>
              <w:spacing w:after="0" w:line="240" w:lineRule="auto"/>
              <w:ind w:left="120" w:right="20"/>
              <w:rPr>
                <w:rFonts w:eastAsia="Times New Roman" w:cs="Times New Roman"/>
                <w:szCs w:val="24"/>
              </w:rPr>
            </w:pPr>
            <w:r w:rsidRPr="008E633B">
              <w:rPr>
                <w:rFonts w:eastAsia="Times New Roman" w:cs="Times New Roman"/>
                <w:smallCaps/>
                <w:color w:val="000000"/>
                <w:szCs w:val="24"/>
              </w:rPr>
              <w:t>4</w:t>
            </w:r>
          </w:p>
        </w:tc>
      </w:tr>
      <w:tr w:rsidR="008E633B" w:rsidRPr="008E633B" w14:paraId="340617A2" w14:textId="77777777" w:rsidTr="008E633B">
        <w:trPr>
          <w:trHeight w:val="710"/>
        </w:trPr>
        <w:tc>
          <w:tcPr>
            <w:tcW w:w="0" w:type="auto"/>
            <w:tcBorders>
              <w:top w:val="single" w:sz="8" w:space="0" w:color="000000"/>
            </w:tcBorders>
            <w:tcMar>
              <w:top w:w="100" w:type="dxa"/>
              <w:left w:w="100" w:type="dxa"/>
              <w:bottom w:w="100" w:type="dxa"/>
              <w:right w:w="100" w:type="dxa"/>
            </w:tcMar>
            <w:hideMark/>
          </w:tcPr>
          <w:p w14:paraId="7094D4E3" w14:textId="77777777" w:rsidR="008E633B" w:rsidRPr="008E633B" w:rsidRDefault="008E633B" w:rsidP="008E633B">
            <w:pPr>
              <w:spacing w:after="0" w:line="240" w:lineRule="auto"/>
              <w:ind w:left="240"/>
              <w:rPr>
                <w:rFonts w:eastAsia="Times New Roman" w:cs="Times New Roman"/>
                <w:szCs w:val="24"/>
              </w:rPr>
            </w:pPr>
            <w:r w:rsidRPr="008E633B">
              <w:rPr>
                <w:rFonts w:eastAsia="Times New Roman" w:cs="Times New Roman"/>
                <w:smallCaps/>
                <w:color w:val="000000"/>
                <w:szCs w:val="24"/>
              </w:rPr>
              <w:t>1. IAT</w:t>
            </w:r>
          </w:p>
        </w:tc>
        <w:tc>
          <w:tcPr>
            <w:tcW w:w="0" w:type="auto"/>
            <w:tcBorders>
              <w:top w:val="single" w:sz="8" w:space="0" w:color="000000"/>
            </w:tcBorders>
            <w:tcMar>
              <w:top w:w="100" w:type="dxa"/>
              <w:left w:w="100" w:type="dxa"/>
              <w:bottom w:w="100" w:type="dxa"/>
              <w:right w:w="100" w:type="dxa"/>
            </w:tcMar>
            <w:hideMark/>
          </w:tcPr>
          <w:p w14:paraId="18B80A78" w14:textId="77777777" w:rsidR="008E633B" w:rsidRPr="008E633B" w:rsidRDefault="008E633B" w:rsidP="008E633B">
            <w:pPr>
              <w:spacing w:after="0" w:line="240" w:lineRule="auto"/>
              <w:ind w:left="300" w:right="200"/>
              <w:rPr>
                <w:rFonts w:eastAsia="Times New Roman" w:cs="Times New Roman"/>
                <w:szCs w:val="24"/>
              </w:rPr>
            </w:pPr>
            <w:r w:rsidRPr="008E633B">
              <w:rPr>
                <w:rFonts w:eastAsia="Times New Roman" w:cs="Times New Roman"/>
                <w:smallCaps/>
                <w:color w:val="000000"/>
                <w:szCs w:val="24"/>
              </w:rPr>
              <w:t>1.19</w:t>
            </w:r>
          </w:p>
        </w:tc>
        <w:tc>
          <w:tcPr>
            <w:tcW w:w="0" w:type="auto"/>
            <w:tcBorders>
              <w:top w:val="single" w:sz="8" w:space="0" w:color="000000"/>
            </w:tcBorders>
            <w:tcMar>
              <w:top w:w="100" w:type="dxa"/>
              <w:left w:w="100" w:type="dxa"/>
              <w:bottom w:w="100" w:type="dxa"/>
              <w:right w:w="100" w:type="dxa"/>
            </w:tcMar>
            <w:hideMark/>
          </w:tcPr>
          <w:p w14:paraId="677656C3" w14:textId="77777777" w:rsidR="008E633B" w:rsidRPr="008E633B" w:rsidRDefault="008E633B" w:rsidP="008E633B">
            <w:pPr>
              <w:spacing w:after="0" w:line="240" w:lineRule="auto"/>
              <w:ind w:left="300" w:right="200"/>
              <w:rPr>
                <w:rFonts w:eastAsia="Times New Roman" w:cs="Times New Roman"/>
                <w:szCs w:val="24"/>
              </w:rPr>
            </w:pPr>
            <w:r w:rsidRPr="008E633B">
              <w:rPr>
                <w:rFonts w:eastAsia="Times New Roman" w:cs="Times New Roman"/>
                <w:smallCaps/>
                <w:color w:val="000000"/>
                <w:szCs w:val="24"/>
              </w:rPr>
              <w:t>.48</w:t>
            </w:r>
          </w:p>
        </w:tc>
        <w:tc>
          <w:tcPr>
            <w:tcW w:w="0" w:type="auto"/>
            <w:tcBorders>
              <w:top w:val="single" w:sz="8" w:space="0" w:color="000000"/>
            </w:tcBorders>
            <w:tcMar>
              <w:top w:w="100" w:type="dxa"/>
              <w:left w:w="100" w:type="dxa"/>
              <w:bottom w:w="100" w:type="dxa"/>
              <w:right w:w="100" w:type="dxa"/>
            </w:tcMar>
            <w:hideMark/>
          </w:tcPr>
          <w:p w14:paraId="41EB6762" w14:textId="77777777" w:rsidR="008E633B" w:rsidRPr="008E633B" w:rsidRDefault="008E633B" w:rsidP="008E633B">
            <w:pPr>
              <w:spacing w:after="0" w:line="240" w:lineRule="auto"/>
              <w:ind w:left="300" w:right="200"/>
              <w:rPr>
                <w:rFonts w:eastAsia="Times New Roman" w:cs="Times New Roman"/>
                <w:szCs w:val="24"/>
              </w:rPr>
            </w:pPr>
            <w:r w:rsidRPr="008E633B">
              <w:rPr>
                <w:rFonts w:eastAsia="Times New Roman" w:cs="Times New Roman"/>
                <w:smallCaps/>
                <w:color w:val="000000"/>
                <w:szCs w:val="24"/>
              </w:rPr>
              <w:t>--</w:t>
            </w:r>
          </w:p>
        </w:tc>
        <w:tc>
          <w:tcPr>
            <w:tcW w:w="0" w:type="auto"/>
            <w:tcBorders>
              <w:top w:val="single" w:sz="8" w:space="0" w:color="000000"/>
            </w:tcBorders>
            <w:tcMar>
              <w:top w:w="100" w:type="dxa"/>
              <w:left w:w="100" w:type="dxa"/>
              <w:bottom w:w="100" w:type="dxa"/>
              <w:right w:w="100" w:type="dxa"/>
            </w:tcMar>
            <w:hideMark/>
          </w:tcPr>
          <w:p w14:paraId="7EE9EDB2" w14:textId="77777777" w:rsidR="008E633B" w:rsidRPr="008E633B" w:rsidRDefault="008E633B" w:rsidP="008E633B">
            <w:pPr>
              <w:spacing w:after="0" w:line="240" w:lineRule="auto"/>
              <w:ind w:left="320" w:right="140"/>
              <w:rPr>
                <w:rFonts w:eastAsia="Times New Roman" w:cs="Times New Roman"/>
                <w:szCs w:val="24"/>
              </w:rPr>
            </w:pPr>
            <w:r w:rsidRPr="008E633B">
              <w:rPr>
                <w:rFonts w:eastAsia="Times New Roman" w:cs="Times New Roman"/>
                <w:smallCaps/>
                <w:color w:val="000000"/>
                <w:szCs w:val="24"/>
              </w:rPr>
              <w:t>--</w:t>
            </w:r>
          </w:p>
        </w:tc>
        <w:tc>
          <w:tcPr>
            <w:tcW w:w="0" w:type="auto"/>
            <w:tcBorders>
              <w:top w:val="single" w:sz="8" w:space="0" w:color="000000"/>
            </w:tcBorders>
            <w:tcMar>
              <w:top w:w="100" w:type="dxa"/>
              <w:left w:w="100" w:type="dxa"/>
              <w:bottom w:w="100" w:type="dxa"/>
              <w:right w:w="100" w:type="dxa"/>
            </w:tcMar>
            <w:hideMark/>
          </w:tcPr>
          <w:p w14:paraId="6F50B05C" w14:textId="77777777" w:rsidR="008E633B" w:rsidRPr="008E633B" w:rsidRDefault="008E633B" w:rsidP="008E633B">
            <w:pPr>
              <w:spacing w:after="0" w:line="240" w:lineRule="auto"/>
              <w:ind w:left="260" w:right="120"/>
              <w:rPr>
                <w:rFonts w:eastAsia="Times New Roman" w:cs="Times New Roman"/>
                <w:szCs w:val="24"/>
              </w:rPr>
            </w:pPr>
            <w:r w:rsidRPr="008E633B">
              <w:rPr>
                <w:rFonts w:eastAsia="Times New Roman" w:cs="Times New Roman"/>
                <w:smallCaps/>
                <w:color w:val="000000"/>
                <w:szCs w:val="24"/>
              </w:rPr>
              <w:t>--</w:t>
            </w:r>
          </w:p>
        </w:tc>
        <w:tc>
          <w:tcPr>
            <w:tcW w:w="0" w:type="auto"/>
            <w:tcBorders>
              <w:top w:val="single" w:sz="8" w:space="0" w:color="000000"/>
            </w:tcBorders>
            <w:tcMar>
              <w:top w:w="100" w:type="dxa"/>
              <w:left w:w="100" w:type="dxa"/>
              <w:bottom w:w="100" w:type="dxa"/>
              <w:right w:w="100" w:type="dxa"/>
            </w:tcMar>
            <w:hideMark/>
          </w:tcPr>
          <w:p w14:paraId="058AAC71" w14:textId="77777777" w:rsidR="008E633B" w:rsidRPr="008E633B" w:rsidRDefault="008E633B" w:rsidP="008E633B">
            <w:pPr>
              <w:spacing w:after="0" w:line="240" w:lineRule="auto"/>
              <w:ind w:left="240" w:right="140"/>
              <w:rPr>
                <w:rFonts w:eastAsia="Times New Roman" w:cs="Times New Roman"/>
                <w:szCs w:val="24"/>
              </w:rPr>
            </w:pPr>
            <w:r w:rsidRPr="008E633B">
              <w:rPr>
                <w:rFonts w:eastAsia="Times New Roman" w:cs="Times New Roman"/>
                <w:smallCaps/>
                <w:color w:val="000000"/>
                <w:szCs w:val="24"/>
              </w:rPr>
              <w:t>--</w:t>
            </w:r>
          </w:p>
        </w:tc>
      </w:tr>
      <w:tr w:rsidR="008E633B" w:rsidRPr="008E633B" w14:paraId="077E9A35" w14:textId="77777777" w:rsidTr="008E633B">
        <w:trPr>
          <w:trHeight w:val="710"/>
        </w:trPr>
        <w:tc>
          <w:tcPr>
            <w:tcW w:w="0" w:type="auto"/>
            <w:tcMar>
              <w:top w:w="100" w:type="dxa"/>
              <w:left w:w="100" w:type="dxa"/>
              <w:bottom w:w="100" w:type="dxa"/>
              <w:right w:w="100" w:type="dxa"/>
            </w:tcMar>
            <w:hideMark/>
          </w:tcPr>
          <w:p w14:paraId="68C57E9C" w14:textId="77777777" w:rsidR="008E633B" w:rsidRPr="008E633B" w:rsidRDefault="008E633B" w:rsidP="008E633B">
            <w:pPr>
              <w:spacing w:before="140" w:after="0" w:line="240" w:lineRule="auto"/>
              <w:ind w:left="240"/>
              <w:rPr>
                <w:rFonts w:eastAsia="Times New Roman" w:cs="Times New Roman"/>
                <w:szCs w:val="24"/>
              </w:rPr>
            </w:pPr>
            <w:r w:rsidRPr="008E633B">
              <w:rPr>
                <w:rFonts w:eastAsia="Times New Roman" w:cs="Times New Roman"/>
                <w:smallCaps/>
                <w:color w:val="000000"/>
                <w:szCs w:val="24"/>
              </w:rPr>
              <w:t>2. Capability</w:t>
            </w:r>
          </w:p>
        </w:tc>
        <w:tc>
          <w:tcPr>
            <w:tcW w:w="0" w:type="auto"/>
            <w:tcMar>
              <w:top w:w="100" w:type="dxa"/>
              <w:left w:w="100" w:type="dxa"/>
              <w:bottom w:w="100" w:type="dxa"/>
              <w:right w:w="100" w:type="dxa"/>
            </w:tcMar>
            <w:hideMark/>
          </w:tcPr>
          <w:p w14:paraId="7B9721ED"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2.83</w:t>
            </w:r>
          </w:p>
        </w:tc>
        <w:tc>
          <w:tcPr>
            <w:tcW w:w="0" w:type="auto"/>
            <w:tcMar>
              <w:top w:w="100" w:type="dxa"/>
              <w:left w:w="100" w:type="dxa"/>
              <w:bottom w:w="100" w:type="dxa"/>
              <w:right w:w="100" w:type="dxa"/>
            </w:tcMar>
            <w:hideMark/>
          </w:tcPr>
          <w:p w14:paraId="6FFD7994"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.70</w:t>
            </w:r>
          </w:p>
        </w:tc>
        <w:tc>
          <w:tcPr>
            <w:tcW w:w="0" w:type="auto"/>
            <w:tcMar>
              <w:top w:w="100" w:type="dxa"/>
              <w:left w:w="100" w:type="dxa"/>
              <w:bottom w:w="100" w:type="dxa"/>
              <w:right w:w="100" w:type="dxa"/>
            </w:tcMar>
            <w:hideMark/>
          </w:tcPr>
          <w:p w14:paraId="6A2E25F6"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.130</w:t>
            </w:r>
          </w:p>
        </w:tc>
        <w:tc>
          <w:tcPr>
            <w:tcW w:w="0" w:type="auto"/>
            <w:tcMar>
              <w:top w:w="100" w:type="dxa"/>
              <w:left w:w="100" w:type="dxa"/>
              <w:bottom w:w="100" w:type="dxa"/>
              <w:right w:w="100" w:type="dxa"/>
            </w:tcMar>
            <w:hideMark/>
          </w:tcPr>
          <w:p w14:paraId="077350AC" w14:textId="77777777" w:rsidR="008E633B" w:rsidRPr="008E633B" w:rsidRDefault="008E633B" w:rsidP="008E633B">
            <w:pPr>
              <w:spacing w:before="140" w:after="0" w:line="240" w:lineRule="auto"/>
              <w:ind w:left="320" w:right="140"/>
              <w:rPr>
                <w:rFonts w:eastAsia="Times New Roman" w:cs="Times New Roman"/>
                <w:szCs w:val="24"/>
              </w:rPr>
            </w:pPr>
            <w:r w:rsidRPr="008E633B">
              <w:rPr>
                <w:rFonts w:eastAsia="Times New Roman" w:cs="Times New Roman"/>
                <w:smallCaps/>
                <w:color w:val="000000"/>
                <w:szCs w:val="24"/>
              </w:rPr>
              <w:t>--</w:t>
            </w:r>
          </w:p>
        </w:tc>
        <w:tc>
          <w:tcPr>
            <w:tcW w:w="0" w:type="auto"/>
            <w:tcMar>
              <w:top w:w="100" w:type="dxa"/>
              <w:left w:w="100" w:type="dxa"/>
              <w:bottom w:w="100" w:type="dxa"/>
              <w:right w:w="100" w:type="dxa"/>
            </w:tcMar>
            <w:hideMark/>
          </w:tcPr>
          <w:p w14:paraId="6DEA8516" w14:textId="77777777" w:rsidR="008E633B" w:rsidRPr="008E633B" w:rsidRDefault="008E633B" w:rsidP="008E633B">
            <w:pPr>
              <w:spacing w:before="140" w:after="0" w:line="240" w:lineRule="auto"/>
              <w:ind w:left="260" w:right="120"/>
              <w:rPr>
                <w:rFonts w:eastAsia="Times New Roman" w:cs="Times New Roman"/>
                <w:szCs w:val="24"/>
              </w:rPr>
            </w:pPr>
            <w:r w:rsidRPr="008E633B">
              <w:rPr>
                <w:rFonts w:eastAsia="Times New Roman" w:cs="Times New Roman"/>
                <w:smallCaps/>
                <w:color w:val="000000"/>
                <w:szCs w:val="24"/>
              </w:rPr>
              <w:t>--</w:t>
            </w:r>
          </w:p>
        </w:tc>
        <w:tc>
          <w:tcPr>
            <w:tcW w:w="0" w:type="auto"/>
            <w:tcMar>
              <w:top w:w="100" w:type="dxa"/>
              <w:left w:w="100" w:type="dxa"/>
              <w:bottom w:w="100" w:type="dxa"/>
              <w:right w:w="100" w:type="dxa"/>
            </w:tcMar>
            <w:hideMark/>
          </w:tcPr>
          <w:p w14:paraId="59009C72" w14:textId="77777777" w:rsidR="008E633B" w:rsidRPr="008E633B" w:rsidRDefault="008E633B" w:rsidP="008E633B">
            <w:pPr>
              <w:spacing w:before="140" w:after="0" w:line="240" w:lineRule="auto"/>
              <w:ind w:left="240" w:right="140"/>
              <w:rPr>
                <w:rFonts w:eastAsia="Times New Roman" w:cs="Times New Roman"/>
                <w:szCs w:val="24"/>
              </w:rPr>
            </w:pPr>
            <w:r w:rsidRPr="008E633B">
              <w:rPr>
                <w:rFonts w:eastAsia="Times New Roman" w:cs="Times New Roman"/>
                <w:smallCaps/>
                <w:color w:val="000000"/>
                <w:szCs w:val="24"/>
              </w:rPr>
              <w:t>--</w:t>
            </w:r>
          </w:p>
        </w:tc>
      </w:tr>
      <w:tr w:rsidR="008E633B" w:rsidRPr="008E633B" w14:paraId="7B2DAF48" w14:textId="77777777" w:rsidTr="008E633B">
        <w:trPr>
          <w:trHeight w:val="710"/>
        </w:trPr>
        <w:tc>
          <w:tcPr>
            <w:tcW w:w="0" w:type="auto"/>
            <w:tcMar>
              <w:top w:w="100" w:type="dxa"/>
              <w:left w:w="100" w:type="dxa"/>
              <w:bottom w:w="100" w:type="dxa"/>
              <w:right w:w="100" w:type="dxa"/>
            </w:tcMar>
            <w:hideMark/>
          </w:tcPr>
          <w:p w14:paraId="1EEEA019" w14:textId="77777777" w:rsidR="008E633B" w:rsidRPr="008E633B" w:rsidRDefault="008E633B" w:rsidP="008E633B">
            <w:pPr>
              <w:spacing w:before="140" w:after="0" w:line="240" w:lineRule="auto"/>
              <w:ind w:left="240"/>
              <w:rPr>
                <w:rFonts w:eastAsia="Times New Roman" w:cs="Times New Roman"/>
                <w:szCs w:val="24"/>
              </w:rPr>
            </w:pPr>
            <w:r w:rsidRPr="008E633B">
              <w:rPr>
                <w:rFonts w:eastAsia="Times New Roman" w:cs="Times New Roman"/>
                <w:smallCaps/>
                <w:color w:val="000000"/>
                <w:szCs w:val="24"/>
              </w:rPr>
              <w:t>3. Impulsivity</w:t>
            </w:r>
          </w:p>
        </w:tc>
        <w:tc>
          <w:tcPr>
            <w:tcW w:w="0" w:type="auto"/>
            <w:tcMar>
              <w:top w:w="100" w:type="dxa"/>
              <w:left w:w="100" w:type="dxa"/>
              <w:bottom w:w="100" w:type="dxa"/>
              <w:right w:w="100" w:type="dxa"/>
            </w:tcMar>
            <w:hideMark/>
          </w:tcPr>
          <w:p w14:paraId="4380A571"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2.27</w:t>
            </w:r>
          </w:p>
        </w:tc>
        <w:tc>
          <w:tcPr>
            <w:tcW w:w="0" w:type="auto"/>
            <w:tcMar>
              <w:top w:w="100" w:type="dxa"/>
              <w:left w:w="100" w:type="dxa"/>
              <w:bottom w:w="100" w:type="dxa"/>
              <w:right w:w="100" w:type="dxa"/>
            </w:tcMar>
            <w:hideMark/>
          </w:tcPr>
          <w:p w14:paraId="3957A908"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.43</w:t>
            </w:r>
          </w:p>
        </w:tc>
        <w:tc>
          <w:tcPr>
            <w:tcW w:w="0" w:type="auto"/>
            <w:tcMar>
              <w:top w:w="100" w:type="dxa"/>
              <w:left w:w="100" w:type="dxa"/>
              <w:bottom w:w="100" w:type="dxa"/>
              <w:right w:w="100" w:type="dxa"/>
            </w:tcMar>
            <w:hideMark/>
          </w:tcPr>
          <w:p w14:paraId="72FC6E98"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-.086</w:t>
            </w:r>
          </w:p>
        </w:tc>
        <w:tc>
          <w:tcPr>
            <w:tcW w:w="0" w:type="auto"/>
            <w:tcMar>
              <w:top w:w="100" w:type="dxa"/>
              <w:left w:w="100" w:type="dxa"/>
              <w:bottom w:w="100" w:type="dxa"/>
              <w:right w:w="100" w:type="dxa"/>
            </w:tcMar>
            <w:hideMark/>
          </w:tcPr>
          <w:p w14:paraId="592BC37D" w14:textId="77777777" w:rsidR="008E633B" w:rsidRPr="008E633B" w:rsidRDefault="008E633B" w:rsidP="008E633B">
            <w:pPr>
              <w:spacing w:before="140" w:after="0" w:line="240" w:lineRule="auto"/>
              <w:ind w:left="320" w:right="140"/>
              <w:rPr>
                <w:rFonts w:eastAsia="Times New Roman" w:cs="Times New Roman"/>
                <w:szCs w:val="24"/>
              </w:rPr>
            </w:pPr>
            <w:r w:rsidRPr="008E633B">
              <w:rPr>
                <w:rFonts w:eastAsia="Times New Roman" w:cs="Times New Roman"/>
                <w:smallCaps/>
                <w:color w:val="000000"/>
                <w:szCs w:val="24"/>
              </w:rPr>
              <w:t>.119</w:t>
            </w:r>
          </w:p>
        </w:tc>
        <w:tc>
          <w:tcPr>
            <w:tcW w:w="0" w:type="auto"/>
            <w:tcMar>
              <w:top w:w="100" w:type="dxa"/>
              <w:left w:w="100" w:type="dxa"/>
              <w:bottom w:w="100" w:type="dxa"/>
              <w:right w:w="100" w:type="dxa"/>
            </w:tcMar>
            <w:hideMark/>
          </w:tcPr>
          <w:p w14:paraId="7EF77F6D" w14:textId="77777777" w:rsidR="008E633B" w:rsidRPr="008E633B" w:rsidRDefault="008E633B" w:rsidP="008E633B">
            <w:pPr>
              <w:spacing w:before="140" w:after="0" w:line="240" w:lineRule="auto"/>
              <w:ind w:left="280" w:right="120"/>
              <w:rPr>
                <w:rFonts w:eastAsia="Times New Roman" w:cs="Times New Roman"/>
                <w:szCs w:val="24"/>
              </w:rPr>
            </w:pPr>
            <w:r w:rsidRPr="008E633B">
              <w:rPr>
                <w:rFonts w:eastAsia="Times New Roman" w:cs="Times New Roman"/>
                <w:smallCaps/>
                <w:color w:val="000000"/>
                <w:szCs w:val="24"/>
              </w:rPr>
              <w:t>--</w:t>
            </w:r>
          </w:p>
        </w:tc>
        <w:tc>
          <w:tcPr>
            <w:tcW w:w="0" w:type="auto"/>
            <w:tcMar>
              <w:top w:w="100" w:type="dxa"/>
              <w:left w:w="100" w:type="dxa"/>
              <w:bottom w:w="100" w:type="dxa"/>
              <w:right w:w="100" w:type="dxa"/>
            </w:tcMar>
            <w:hideMark/>
          </w:tcPr>
          <w:p w14:paraId="77E083D0" w14:textId="77777777" w:rsidR="008E633B" w:rsidRPr="008E633B" w:rsidRDefault="008E633B" w:rsidP="008E633B">
            <w:pPr>
              <w:spacing w:before="140" w:after="0" w:line="240" w:lineRule="auto"/>
              <w:ind w:left="240" w:right="140"/>
              <w:rPr>
                <w:rFonts w:eastAsia="Times New Roman" w:cs="Times New Roman"/>
                <w:szCs w:val="24"/>
              </w:rPr>
            </w:pPr>
            <w:r w:rsidRPr="008E633B">
              <w:rPr>
                <w:rFonts w:eastAsia="Times New Roman" w:cs="Times New Roman"/>
                <w:smallCaps/>
                <w:color w:val="000000"/>
                <w:szCs w:val="24"/>
              </w:rPr>
              <w:t>--</w:t>
            </w:r>
          </w:p>
        </w:tc>
      </w:tr>
      <w:tr w:rsidR="008E633B" w:rsidRPr="008E633B" w14:paraId="65E52E00" w14:textId="77777777" w:rsidTr="008E633B">
        <w:trPr>
          <w:trHeight w:val="710"/>
        </w:trPr>
        <w:tc>
          <w:tcPr>
            <w:tcW w:w="0" w:type="auto"/>
            <w:tcBorders>
              <w:bottom w:val="single" w:sz="8" w:space="0" w:color="000000"/>
            </w:tcBorders>
            <w:tcMar>
              <w:top w:w="100" w:type="dxa"/>
              <w:left w:w="100" w:type="dxa"/>
              <w:bottom w:w="100" w:type="dxa"/>
              <w:right w:w="100" w:type="dxa"/>
            </w:tcMar>
            <w:hideMark/>
          </w:tcPr>
          <w:p w14:paraId="22AA4C94" w14:textId="77777777" w:rsidR="008E633B" w:rsidRPr="008E633B" w:rsidRDefault="008E633B" w:rsidP="008E633B">
            <w:pPr>
              <w:spacing w:before="140" w:after="0" w:line="240" w:lineRule="auto"/>
              <w:ind w:left="240"/>
              <w:rPr>
                <w:rFonts w:eastAsia="Times New Roman" w:cs="Times New Roman"/>
                <w:szCs w:val="24"/>
              </w:rPr>
            </w:pPr>
            <w:r w:rsidRPr="008E633B">
              <w:rPr>
                <w:rFonts w:eastAsia="Times New Roman" w:cs="Times New Roman"/>
                <w:smallCaps/>
                <w:color w:val="000000"/>
                <w:szCs w:val="24"/>
              </w:rPr>
              <w:t>4. NSSI</w:t>
            </w:r>
          </w:p>
        </w:tc>
        <w:tc>
          <w:tcPr>
            <w:tcW w:w="0" w:type="auto"/>
            <w:tcBorders>
              <w:bottom w:val="single" w:sz="8" w:space="0" w:color="000000"/>
            </w:tcBorders>
            <w:tcMar>
              <w:top w:w="100" w:type="dxa"/>
              <w:left w:w="100" w:type="dxa"/>
              <w:bottom w:w="100" w:type="dxa"/>
              <w:right w:w="100" w:type="dxa"/>
            </w:tcMar>
            <w:hideMark/>
          </w:tcPr>
          <w:p w14:paraId="7A488122"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3.69</w:t>
            </w:r>
          </w:p>
        </w:tc>
        <w:tc>
          <w:tcPr>
            <w:tcW w:w="0" w:type="auto"/>
            <w:tcBorders>
              <w:bottom w:val="single" w:sz="8" w:space="0" w:color="000000"/>
            </w:tcBorders>
            <w:tcMar>
              <w:top w:w="100" w:type="dxa"/>
              <w:left w:w="100" w:type="dxa"/>
              <w:bottom w:w="100" w:type="dxa"/>
              <w:right w:w="100" w:type="dxa"/>
            </w:tcMar>
            <w:hideMark/>
          </w:tcPr>
          <w:p w14:paraId="4A8EFE78"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3.39</w:t>
            </w:r>
          </w:p>
        </w:tc>
        <w:tc>
          <w:tcPr>
            <w:tcW w:w="0" w:type="auto"/>
            <w:tcBorders>
              <w:bottom w:val="single" w:sz="8" w:space="0" w:color="000000"/>
            </w:tcBorders>
            <w:tcMar>
              <w:top w:w="100" w:type="dxa"/>
              <w:left w:w="100" w:type="dxa"/>
              <w:bottom w:w="100" w:type="dxa"/>
              <w:right w:w="100" w:type="dxa"/>
            </w:tcMar>
            <w:hideMark/>
          </w:tcPr>
          <w:p w14:paraId="6AC52B04" w14:textId="77777777" w:rsidR="008E633B" w:rsidRPr="008E633B" w:rsidRDefault="008E633B" w:rsidP="008E633B">
            <w:pPr>
              <w:spacing w:before="140" w:after="0" w:line="240" w:lineRule="auto"/>
              <w:ind w:left="300" w:right="200"/>
              <w:rPr>
                <w:rFonts w:eastAsia="Times New Roman" w:cs="Times New Roman"/>
                <w:szCs w:val="24"/>
              </w:rPr>
            </w:pPr>
            <w:r w:rsidRPr="008E633B">
              <w:rPr>
                <w:rFonts w:eastAsia="Times New Roman" w:cs="Times New Roman"/>
                <w:smallCaps/>
                <w:color w:val="000000"/>
                <w:szCs w:val="24"/>
              </w:rPr>
              <w:t>.057</w:t>
            </w:r>
          </w:p>
        </w:tc>
        <w:tc>
          <w:tcPr>
            <w:tcW w:w="0" w:type="auto"/>
            <w:tcBorders>
              <w:bottom w:val="single" w:sz="8" w:space="0" w:color="000000"/>
            </w:tcBorders>
            <w:tcMar>
              <w:top w:w="100" w:type="dxa"/>
              <w:left w:w="100" w:type="dxa"/>
              <w:bottom w:w="100" w:type="dxa"/>
              <w:right w:w="100" w:type="dxa"/>
            </w:tcMar>
            <w:hideMark/>
          </w:tcPr>
          <w:p w14:paraId="29102819" w14:textId="77777777" w:rsidR="008E633B" w:rsidRPr="008E633B" w:rsidRDefault="008E633B" w:rsidP="008E633B">
            <w:pPr>
              <w:spacing w:before="140" w:after="0" w:line="240" w:lineRule="auto"/>
              <w:ind w:left="320" w:right="140"/>
              <w:rPr>
                <w:rFonts w:eastAsia="Times New Roman" w:cs="Times New Roman"/>
                <w:szCs w:val="24"/>
              </w:rPr>
            </w:pPr>
            <w:r w:rsidRPr="008E633B">
              <w:rPr>
                <w:rFonts w:eastAsia="Times New Roman" w:cs="Times New Roman"/>
                <w:smallCaps/>
                <w:color w:val="000000"/>
                <w:szCs w:val="24"/>
              </w:rPr>
              <w:t>.246**</w:t>
            </w:r>
          </w:p>
        </w:tc>
        <w:tc>
          <w:tcPr>
            <w:tcW w:w="0" w:type="auto"/>
            <w:tcBorders>
              <w:bottom w:val="single" w:sz="8" w:space="0" w:color="000000"/>
            </w:tcBorders>
            <w:tcMar>
              <w:top w:w="100" w:type="dxa"/>
              <w:left w:w="100" w:type="dxa"/>
              <w:bottom w:w="100" w:type="dxa"/>
              <w:right w:w="100" w:type="dxa"/>
            </w:tcMar>
            <w:hideMark/>
          </w:tcPr>
          <w:p w14:paraId="6BDF136E" w14:textId="77777777" w:rsidR="008E633B" w:rsidRPr="008E633B" w:rsidRDefault="008E633B" w:rsidP="008E633B">
            <w:pPr>
              <w:spacing w:before="140" w:after="0" w:line="240" w:lineRule="auto"/>
              <w:ind w:left="280" w:right="120"/>
              <w:rPr>
                <w:rFonts w:eastAsia="Times New Roman" w:cs="Times New Roman"/>
                <w:szCs w:val="24"/>
              </w:rPr>
            </w:pPr>
            <w:r w:rsidRPr="008E633B">
              <w:rPr>
                <w:rFonts w:eastAsia="Times New Roman" w:cs="Times New Roman"/>
                <w:smallCaps/>
                <w:color w:val="000000"/>
                <w:szCs w:val="24"/>
              </w:rPr>
              <w:t>.228**</w:t>
            </w:r>
          </w:p>
        </w:tc>
        <w:tc>
          <w:tcPr>
            <w:tcW w:w="0" w:type="auto"/>
            <w:tcBorders>
              <w:bottom w:val="single" w:sz="8" w:space="0" w:color="000000"/>
            </w:tcBorders>
            <w:tcMar>
              <w:top w:w="100" w:type="dxa"/>
              <w:left w:w="100" w:type="dxa"/>
              <w:bottom w:w="100" w:type="dxa"/>
              <w:right w:w="100" w:type="dxa"/>
            </w:tcMar>
            <w:hideMark/>
          </w:tcPr>
          <w:p w14:paraId="67F966AF" w14:textId="77777777" w:rsidR="008E633B" w:rsidRPr="008E633B" w:rsidRDefault="008E633B" w:rsidP="008E633B">
            <w:pPr>
              <w:spacing w:before="140" w:after="0" w:line="240" w:lineRule="auto"/>
              <w:ind w:left="240" w:right="140"/>
              <w:rPr>
                <w:rFonts w:eastAsia="Times New Roman" w:cs="Times New Roman"/>
                <w:szCs w:val="24"/>
              </w:rPr>
            </w:pPr>
            <w:r w:rsidRPr="008E633B">
              <w:rPr>
                <w:rFonts w:eastAsia="Times New Roman" w:cs="Times New Roman"/>
                <w:smallCaps/>
                <w:color w:val="000000"/>
                <w:szCs w:val="24"/>
              </w:rPr>
              <w:t>--</w:t>
            </w:r>
          </w:p>
        </w:tc>
      </w:tr>
    </w:tbl>
    <w:p w14:paraId="24229B74" w14:textId="77777777" w:rsidR="008E633B" w:rsidRPr="008E633B" w:rsidRDefault="008E633B" w:rsidP="00E35B28">
      <w:pPr>
        <w:spacing w:after="0" w:line="240" w:lineRule="auto"/>
        <w:ind w:right="80"/>
        <w:rPr>
          <w:rFonts w:eastAsia="Times New Roman" w:cs="Times New Roman"/>
          <w:szCs w:val="24"/>
        </w:rPr>
      </w:pPr>
      <w:r w:rsidRPr="008E633B">
        <w:rPr>
          <w:rFonts w:eastAsia="Times New Roman" w:cs="Times New Roman"/>
          <w:i/>
          <w:iCs/>
          <w:smallCaps/>
          <w:color w:val="000000"/>
          <w:szCs w:val="24"/>
        </w:rPr>
        <w:t xml:space="preserve">Note. </w:t>
      </w:r>
      <w:r w:rsidRPr="008E633B">
        <w:rPr>
          <w:rFonts w:eastAsia="Times New Roman" w:cs="Times New Roman"/>
          <w:smallCaps/>
          <w:color w:val="000000"/>
          <w:szCs w:val="24"/>
        </w:rPr>
        <w:t> (N = 225), IAT = Implicit Association Test; Capability = Acquired Capability for Suicide Scale; Impulsivity = SUPPS-P Impulsivity Scale; NSSI = Inventory of Statements about Suicide</w:t>
      </w:r>
    </w:p>
    <w:p w14:paraId="5EB288BB" w14:textId="77777777" w:rsidR="008E633B" w:rsidRPr="008E633B" w:rsidRDefault="008E633B" w:rsidP="00E35B28">
      <w:pPr>
        <w:spacing w:after="0" w:line="240" w:lineRule="auto"/>
        <w:ind w:right="80"/>
        <w:rPr>
          <w:rFonts w:eastAsia="Times New Roman" w:cs="Times New Roman"/>
          <w:szCs w:val="24"/>
        </w:rPr>
      </w:pPr>
      <w:r w:rsidRPr="008E633B">
        <w:rPr>
          <w:rFonts w:eastAsia="Times New Roman" w:cs="Times New Roman"/>
          <w:smallCaps/>
          <w:color w:val="000000"/>
          <w:szCs w:val="24"/>
        </w:rPr>
        <w:t>*</w:t>
      </w:r>
      <w:r w:rsidRPr="008E633B">
        <w:rPr>
          <w:rFonts w:eastAsia="Times New Roman" w:cs="Times New Roman"/>
          <w:i/>
          <w:iCs/>
          <w:smallCaps/>
          <w:color w:val="000000"/>
          <w:szCs w:val="24"/>
        </w:rPr>
        <w:t xml:space="preserve">p </w:t>
      </w:r>
      <w:r w:rsidRPr="008E633B">
        <w:rPr>
          <w:rFonts w:eastAsia="Times New Roman" w:cs="Times New Roman"/>
          <w:smallCaps/>
          <w:color w:val="000000"/>
          <w:szCs w:val="24"/>
        </w:rPr>
        <w:t>&lt; .05. **</w:t>
      </w:r>
      <w:r w:rsidRPr="008E633B">
        <w:rPr>
          <w:rFonts w:eastAsia="Times New Roman" w:cs="Times New Roman"/>
          <w:i/>
          <w:iCs/>
          <w:smallCaps/>
          <w:color w:val="000000"/>
          <w:szCs w:val="24"/>
        </w:rPr>
        <w:t xml:space="preserve">p </w:t>
      </w:r>
      <w:r w:rsidRPr="008E633B">
        <w:rPr>
          <w:rFonts w:eastAsia="Times New Roman" w:cs="Times New Roman"/>
          <w:smallCaps/>
          <w:color w:val="000000"/>
          <w:szCs w:val="24"/>
        </w:rPr>
        <w:t>&lt; .01.</w:t>
      </w:r>
    </w:p>
    <w:p w14:paraId="4D78760D" w14:textId="433CFBB4" w:rsidR="008E633B" w:rsidRPr="007D21E3" w:rsidRDefault="008E633B">
      <w:pPr>
        <w:rPr>
          <w:rFonts w:eastAsia="Times New Roman" w:cs="Times New Roman"/>
          <w:szCs w:val="24"/>
        </w:rPr>
      </w:pPr>
      <w:r w:rsidRPr="007D21E3">
        <w:rPr>
          <w:rFonts w:eastAsia="Times New Roman" w:cs="Times New Roman"/>
          <w:szCs w:val="24"/>
        </w:rPr>
        <w:br w:type="page"/>
      </w:r>
    </w:p>
    <w:p w14:paraId="2CA3923B" w14:textId="12F14889" w:rsidR="008E633B" w:rsidRPr="008E633B" w:rsidRDefault="008E633B" w:rsidP="001B35BB">
      <w:pPr>
        <w:spacing w:after="240" w:line="480" w:lineRule="auto"/>
        <w:rPr>
          <w:rFonts w:eastAsia="Times New Roman" w:cs="Times New Roman"/>
          <w:szCs w:val="24"/>
        </w:rPr>
      </w:pPr>
      <w:r w:rsidRPr="008E633B">
        <w:rPr>
          <w:rFonts w:eastAsia="Times New Roman" w:cs="Times New Roman"/>
          <w:smallCaps/>
          <w:color w:val="000000"/>
          <w:szCs w:val="24"/>
        </w:rPr>
        <w:lastRenderedPageBreak/>
        <w:t>Table 2 Stepwise Multiple Regression Analysis Predicting Capability with Impulsivity, IAT Scores, and Their Interaction</w:t>
      </w:r>
    </w:p>
    <w:tbl>
      <w:tblPr>
        <w:tblStyle w:val="TableGrid"/>
        <w:tblW w:w="0" w:type="auto"/>
        <w:tblLook w:val="04A0" w:firstRow="1" w:lastRow="0" w:firstColumn="1" w:lastColumn="0" w:noHBand="0" w:noVBand="1"/>
      </w:tblPr>
      <w:tblGrid>
        <w:gridCol w:w="992"/>
        <w:gridCol w:w="1388"/>
        <w:gridCol w:w="988"/>
        <w:gridCol w:w="1039"/>
        <w:gridCol w:w="919"/>
        <w:gridCol w:w="988"/>
        <w:gridCol w:w="1068"/>
        <w:gridCol w:w="989"/>
        <w:gridCol w:w="989"/>
      </w:tblGrid>
      <w:tr w:rsidR="008E633B" w:rsidRPr="007D21E3" w14:paraId="4671C255" w14:textId="77777777" w:rsidTr="00CE6CD8">
        <w:tc>
          <w:tcPr>
            <w:tcW w:w="2954" w:type="dxa"/>
            <w:gridSpan w:val="2"/>
            <w:vMerge w:val="restart"/>
            <w:tcBorders>
              <w:top w:val="single" w:sz="4" w:space="0" w:color="auto"/>
              <w:left w:val="nil"/>
              <w:right w:val="nil"/>
            </w:tcBorders>
          </w:tcPr>
          <w:p w14:paraId="3A2EA3FF"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Variable</w:t>
            </w:r>
          </w:p>
        </w:tc>
        <w:tc>
          <w:tcPr>
            <w:tcW w:w="1477" w:type="dxa"/>
            <w:vMerge w:val="restart"/>
            <w:tcBorders>
              <w:top w:val="single" w:sz="4" w:space="0" w:color="auto"/>
              <w:left w:val="nil"/>
              <w:right w:val="nil"/>
            </w:tcBorders>
          </w:tcPr>
          <w:p w14:paraId="2A5631F9"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B</w:t>
            </w:r>
          </w:p>
        </w:tc>
        <w:tc>
          <w:tcPr>
            <w:tcW w:w="1477" w:type="dxa"/>
            <w:vMerge w:val="restart"/>
            <w:tcBorders>
              <w:top w:val="single" w:sz="4" w:space="0" w:color="auto"/>
              <w:left w:val="nil"/>
              <w:right w:val="nil"/>
            </w:tcBorders>
          </w:tcPr>
          <w:p w14:paraId="47C7EA1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Std. Error</w:t>
            </w:r>
          </w:p>
        </w:tc>
        <w:tc>
          <w:tcPr>
            <w:tcW w:w="1477" w:type="dxa"/>
            <w:vMerge w:val="restart"/>
            <w:tcBorders>
              <w:top w:val="single" w:sz="4" w:space="0" w:color="auto"/>
              <w:left w:val="nil"/>
              <w:right w:val="nil"/>
            </w:tcBorders>
          </w:tcPr>
          <w:p w14:paraId="5B6D070B"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β</w:t>
            </w:r>
          </w:p>
        </w:tc>
        <w:tc>
          <w:tcPr>
            <w:tcW w:w="1477" w:type="dxa"/>
            <w:vMerge w:val="restart"/>
            <w:tcBorders>
              <w:top w:val="single" w:sz="4" w:space="0" w:color="auto"/>
              <w:left w:val="nil"/>
              <w:right w:val="nil"/>
            </w:tcBorders>
          </w:tcPr>
          <w:p w14:paraId="00B406CB"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t</w:t>
            </w:r>
          </w:p>
        </w:tc>
        <w:tc>
          <w:tcPr>
            <w:tcW w:w="1478" w:type="dxa"/>
            <w:vMerge w:val="restart"/>
            <w:tcBorders>
              <w:top w:val="single" w:sz="4" w:space="0" w:color="auto"/>
              <w:left w:val="nil"/>
              <w:right w:val="nil"/>
            </w:tcBorders>
          </w:tcPr>
          <w:p w14:paraId="15754C67" w14:textId="77777777" w:rsidR="008E633B" w:rsidRPr="007D21E3" w:rsidRDefault="008E633B" w:rsidP="008E633B">
            <w:pPr>
              <w:spacing w:line="480" w:lineRule="auto"/>
              <w:jc w:val="center"/>
              <w:rPr>
                <w:rFonts w:ascii="Times New Roman" w:hAnsi="Times New Roman" w:cs="Times New Roman"/>
                <w:i/>
                <w:iCs/>
                <w:sz w:val="24"/>
                <w:szCs w:val="24"/>
              </w:rPr>
            </w:pPr>
            <w:r w:rsidRPr="007D21E3">
              <w:rPr>
                <w:rFonts w:ascii="Times New Roman" w:hAnsi="Times New Roman" w:cs="Times New Roman"/>
                <w:i/>
                <w:iCs/>
                <w:sz w:val="24"/>
                <w:szCs w:val="24"/>
              </w:rPr>
              <w:t>p</w:t>
            </w:r>
          </w:p>
        </w:tc>
        <w:tc>
          <w:tcPr>
            <w:tcW w:w="2956" w:type="dxa"/>
            <w:gridSpan w:val="2"/>
            <w:tcBorders>
              <w:top w:val="single" w:sz="4" w:space="0" w:color="auto"/>
              <w:left w:val="nil"/>
              <w:bottom w:val="single" w:sz="4" w:space="0" w:color="auto"/>
              <w:right w:val="nil"/>
            </w:tcBorders>
          </w:tcPr>
          <w:p w14:paraId="5000B6CD"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95% CI for B</w:t>
            </w:r>
          </w:p>
        </w:tc>
      </w:tr>
      <w:tr w:rsidR="008E633B" w:rsidRPr="007D21E3" w14:paraId="1790112E" w14:textId="77777777" w:rsidTr="00CE6CD8">
        <w:tc>
          <w:tcPr>
            <w:tcW w:w="2954" w:type="dxa"/>
            <w:gridSpan w:val="2"/>
            <w:vMerge/>
            <w:tcBorders>
              <w:left w:val="nil"/>
              <w:bottom w:val="single" w:sz="4" w:space="0" w:color="auto"/>
              <w:right w:val="nil"/>
            </w:tcBorders>
          </w:tcPr>
          <w:p w14:paraId="15390F99"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vMerge/>
            <w:tcBorders>
              <w:left w:val="nil"/>
              <w:bottom w:val="single" w:sz="4" w:space="0" w:color="auto"/>
              <w:right w:val="nil"/>
            </w:tcBorders>
          </w:tcPr>
          <w:p w14:paraId="49181675"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vMerge/>
            <w:tcBorders>
              <w:left w:val="nil"/>
              <w:bottom w:val="single" w:sz="4" w:space="0" w:color="auto"/>
              <w:right w:val="nil"/>
            </w:tcBorders>
          </w:tcPr>
          <w:p w14:paraId="3C2250FC"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vMerge/>
            <w:tcBorders>
              <w:left w:val="nil"/>
              <w:bottom w:val="single" w:sz="4" w:space="0" w:color="auto"/>
              <w:right w:val="nil"/>
            </w:tcBorders>
          </w:tcPr>
          <w:p w14:paraId="0B899C28"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vMerge/>
            <w:tcBorders>
              <w:left w:val="nil"/>
              <w:bottom w:val="single" w:sz="4" w:space="0" w:color="auto"/>
              <w:right w:val="nil"/>
            </w:tcBorders>
          </w:tcPr>
          <w:p w14:paraId="39385E62" w14:textId="77777777" w:rsidR="008E633B" w:rsidRPr="007D21E3" w:rsidRDefault="008E633B" w:rsidP="008E633B">
            <w:pPr>
              <w:spacing w:line="480" w:lineRule="auto"/>
              <w:jc w:val="center"/>
              <w:rPr>
                <w:rFonts w:ascii="Times New Roman" w:hAnsi="Times New Roman" w:cs="Times New Roman"/>
                <w:sz w:val="24"/>
                <w:szCs w:val="24"/>
              </w:rPr>
            </w:pPr>
          </w:p>
        </w:tc>
        <w:tc>
          <w:tcPr>
            <w:tcW w:w="1478" w:type="dxa"/>
            <w:vMerge/>
            <w:tcBorders>
              <w:left w:val="nil"/>
              <w:bottom w:val="single" w:sz="4" w:space="0" w:color="auto"/>
              <w:right w:val="nil"/>
            </w:tcBorders>
          </w:tcPr>
          <w:p w14:paraId="4289A3C0" w14:textId="77777777" w:rsidR="008E633B" w:rsidRPr="007D21E3" w:rsidRDefault="008E633B" w:rsidP="008E633B">
            <w:pPr>
              <w:spacing w:line="480" w:lineRule="auto"/>
              <w:jc w:val="center"/>
              <w:rPr>
                <w:rFonts w:ascii="Times New Roman" w:hAnsi="Times New Roman" w:cs="Times New Roman"/>
                <w:sz w:val="24"/>
                <w:szCs w:val="24"/>
              </w:rPr>
            </w:pPr>
          </w:p>
        </w:tc>
        <w:tc>
          <w:tcPr>
            <w:tcW w:w="1478" w:type="dxa"/>
            <w:tcBorders>
              <w:top w:val="single" w:sz="4" w:space="0" w:color="auto"/>
              <w:left w:val="nil"/>
              <w:bottom w:val="single" w:sz="4" w:space="0" w:color="auto"/>
              <w:right w:val="nil"/>
            </w:tcBorders>
          </w:tcPr>
          <w:p w14:paraId="355BE7E6" w14:textId="77777777" w:rsidR="008E633B" w:rsidRPr="007D21E3" w:rsidRDefault="008E633B" w:rsidP="008E633B">
            <w:pPr>
              <w:spacing w:line="480" w:lineRule="auto"/>
              <w:jc w:val="center"/>
              <w:rPr>
                <w:rFonts w:ascii="Times New Roman" w:hAnsi="Times New Roman" w:cs="Times New Roman"/>
                <w:i/>
                <w:iCs/>
                <w:sz w:val="24"/>
                <w:szCs w:val="24"/>
              </w:rPr>
            </w:pPr>
            <w:r w:rsidRPr="007D21E3">
              <w:rPr>
                <w:rFonts w:ascii="Times New Roman" w:hAnsi="Times New Roman" w:cs="Times New Roman"/>
                <w:i/>
                <w:iCs/>
                <w:sz w:val="24"/>
                <w:szCs w:val="24"/>
              </w:rPr>
              <w:t>LL</w:t>
            </w:r>
          </w:p>
        </w:tc>
        <w:tc>
          <w:tcPr>
            <w:tcW w:w="1478" w:type="dxa"/>
            <w:tcBorders>
              <w:top w:val="single" w:sz="4" w:space="0" w:color="auto"/>
              <w:left w:val="nil"/>
              <w:bottom w:val="single" w:sz="4" w:space="0" w:color="auto"/>
              <w:right w:val="nil"/>
            </w:tcBorders>
          </w:tcPr>
          <w:p w14:paraId="21DC32A8" w14:textId="77777777" w:rsidR="008E633B" w:rsidRPr="007D21E3" w:rsidRDefault="008E633B" w:rsidP="008E633B">
            <w:pPr>
              <w:spacing w:line="480" w:lineRule="auto"/>
              <w:jc w:val="center"/>
              <w:rPr>
                <w:rFonts w:ascii="Times New Roman" w:hAnsi="Times New Roman" w:cs="Times New Roman"/>
                <w:i/>
                <w:iCs/>
                <w:sz w:val="24"/>
                <w:szCs w:val="24"/>
              </w:rPr>
            </w:pPr>
            <w:r w:rsidRPr="007D21E3">
              <w:rPr>
                <w:rFonts w:ascii="Times New Roman" w:hAnsi="Times New Roman" w:cs="Times New Roman"/>
                <w:i/>
                <w:iCs/>
                <w:sz w:val="24"/>
                <w:szCs w:val="24"/>
              </w:rPr>
              <w:t>UL</w:t>
            </w:r>
          </w:p>
        </w:tc>
      </w:tr>
      <w:tr w:rsidR="001B35BB" w:rsidRPr="007D21E3" w14:paraId="0CBAF1B5" w14:textId="77777777" w:rsidTr="00CE6CD8">
        <w:tc>
          <w:tcPr>
            <w:tcW w:w="1477" w:type="dxa"/>
            <w:tcBorders>
              <w:top w:val="single" w:sz="4" w:space="0" w:color="auto"/>
              <w:left w:val="nil"/>
              <w:bottom w:val="nil"/>
              <w:right w:val="nil"/>
            </w:tcBorders>
          </w:tcPr>
          <w:p w14:paraId="0CEFC364"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Step 1</w:t>
            </w:r>
          </w:p>
        </w:tc>
        <w:tc>
          <w:tcPr>
            <w:tcW w:w="1477" w:type="dxa"/>
            <w:tcBorders>
              <w:top w:val="single" w:sz="4" w:space="0" w:color="auto"/>
              <w:left w:val="nil"/>
              <w:bottom w:val="nil"/>
              <w:right w:val="nil"/>
            </w:tcBorders>
          </w:tcPr>
          <w:p w14:paraId="65279736"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Constant</w:t>
            </w:r>
          </w:p>
        </w:tc>
        <w:tc>
          <w:tcPr>
            <w:tcW w:w="1477" w:type="dxa"/>
            <w:tcBorders>
              <w:top w:val="single" w:sz="4" w:space="0" w:color="auto"/>
              <w:left w:val="nil"/>
              <w:bottom w:val="nil"/>
              <w:right w:val="nil"/>
            </w:tcBorders>
          </w:tcPr>
          <w:p w14:paraId="3AE0E230"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2.09</w:t>
            </w:r>
          </w:p>
        </w:tc>
        <w:tc>
          <w:tcPr>
            <w:tcW w:w="1477" w:type="dxa"/>
            <w:tcBorders>
              <w:top w:val="single" w:sz="4" w:space="0" w:color="auto"/>
              <w:left w:val="nil"/>
              <w:bottom w:val="nil"/>
              <w:right w:val="nil"/>
            </w:tcBorders>
          </w:tcPr>
          <w:p w14:paraId="605210AB"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.28</w:t>
            </w:r>
          </w:p>
        </w:tc>
        <w:tc>
          <w:tcPr>
            <w:tcW w:w="1477" w:type="dxa"/>
            <w:tcBorders>
              <w:top w:val="single" w:sz="4" w:space="0" w:color="auto"/>
              <w:left w:val="nil"/>
              <w:bottom w:val="nil"/>
              <w:right w:val="nil"/>
            </w:tcBorders>
          </w:tcPr>
          <w:p w14:paraId="47566A08"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w:t>
            </w:r>
          </w:p>
        </w:tc>
        <w:tc>
          <w:tcPr>
            <w:tcW w:w="1477" w:type="dxa"/>
            <w:tcBorders>
              <w:top w:val="single" w:sz="4" w:space="0" w:color="auto"/>
              <w:left w:val="nil"/>
              <w:bottom w:val="nil"/>
              <w:right w:val="nil"/>
            </w:tcBorders>
          </w:tcPr>
          <w:p w14:paraId="592E7CB0"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7.43</w:t>
            </w:r>
          </w:p>
        </w:tc>
        <w:tc>
          <w:tcPr>
            <w:tcW w:w="1478" w:type="dxa"/>
            <w:tcBorders>
              <w:top w:val="single" w:sz="4" w:space="0" w:color="auto"/>
              <w:left w:val="nil"/>
              <w:bottom w:val="nil"/>
              <w:right w:val="nil"/>
            </w:tcBorders>
          </w:tcPr>
          <w:p w14:paraId="67724639"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&lt;.001</w:t>
            </w:r>
          </w:p>
        </w:tc>
        <w:tc>
          <w:tcPr>
            <w:tcW w:w="1478" w:type="dxa"/>
            <w:tcBorders>
              <w:top w:val="single" w:sz="4" w:space="0" w:color="auto"/>
              <w:left w:val="nil"/>
              <w:bottom w:val="nil"/>
              <w:right w:val="nil"/>
            </w:tcBorders>
          </w:tcPr>
          <w:p w14:paraId="25FCF431"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1.5</w:t>
            </w:r>
          </w:p>
        </w:tc>
        <w:tc>
          <w:tcPr>
            <w:tcW w:w="1478" w:type="dxa"/>
            <w:tcBorders>
              <w:top w:val="single" w:sz="4" w:space="0" w:color="auto"/>
              <w:left w:val="nil"/>
              <w:bottom w:val="nil"/>
              <w:right w:val="nil"/>
            </w:tcBorders>
          </w:tcPr>
          <w:p w14:paraId="7430BC76"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2.64</w:t>
            </w:r>
          </w:p>
        </w:tc>
      </w:tr>
      <w:tr w:rsidR="001B35BB" w:rsidRPr="007D21E3" w14:paraId="3C1AD853" w14:textId="77777777" w:rsidTr="00CE6CD8">
        <w:tc>
          <w:tcPr>
            <w:tcW w:w="1477" w:type="dxa"/>
            <w:tcBorders>
              <w:top w:val="nil"/>
              <w:left w:val="nil"/>
              <w:bottom w:val="nil"/>
              <w:right w:val="nil"/>
            </w:tcBorders>
          </w:tcPr>
          <w:p w14:paraId="7AD76386"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tcBorders>
              <w:top w:val="nil"/>
              <w:left w:val="nil"/>
              <w:bottom w:val="nil"/>
              <w:right w:val="nil"/>
            </w:tcBorders>
          </w:tcPr>
          <w:p w14:paraId="3412036B"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IAT</w:t>
            </w:r>
          </w:p>
        </w:tc>
        <w:tc>
          <w:tcPr>
            <w:tcW w:w="1477" w:type="dxa"/>
            <w:tcBorders>
              <w:top w:val="nil"/>
              <w:left w:val="nil"/>
              <w:bottom w:val="nil"/>
              <w:right w:val="nil"/>
            </w:tcBorders>
          </w:tcPr>
          <w:p w14:paraId="3219DD8A"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.20</w:t>
            </w:r>
          </w:p>
        </w:tc>
        <w:tc>
          <w:tcPr>
            <w:tcW w:w="1477" w:type="dxa"/>
            <w:tcBorders>
              <w:top w:val="nil"/>
              <w:left w:val="nil"/>
              <w:bottom w:val="nil"/>
              <w:right w:val="nil"/>
            </w:tcBorders>
          </w:tcPr>
          <w:p w14:paraId="2554BD6B"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w:t>
            </w:r>
          </w:p>
        </w:tc>
        <w:tc>
          <w:tcPr>
            <w:tcW w:w="1477" w:type="dxa"/>
            <w:tcBorders>
              <w:top w:val="nil"/>
              <w:left w:val="nil"/>
              <w:bottom w:val="nil"/>
              <w:right w:val="nil"/>
            </w:tcBorders>
          </w:tcPr>
          <w:p w14:paraId="3EF373E2"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.14</w:t>
            </w:r>
          </w:p>
        </w:tc>
        <w:tc>
          <w:tcPr>
            <w:tcW w:w="1477" w:type="dxa"/>
            <w:tcBorders>
              <w:top w:val="nil"/>
              <w:left w:val="nil"/>
              <w:bottom w:val="nil"/>
              <w:right w:val="nil"/>
            </w:tcBorders>
          </w:tcPr>
          <w:p w14:paraId="1CB17FEB"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2.13</w:t>
            </w:r>
          </w:p>
        </w:tc>
        <w:tc>
          <w:tcPr>
            <w:tcW w:w="1478" w:type="dxa"/>
            <w:tcBorders>
              <w:top w:val="nil"/>
              <w:left w:val="nil"/>
              <w:bottom w:val="nil"/>
              <w:right w:val="nil"/>
            </w:tcBorders>
          </w:tcPr>
          <w:p w14:paraId="6085138A"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.034</w:t>
            </w:r>
          </w:p>
        </w:tc>
        <w:tc>
          <w:tcPr>
            <w:tcW w:w="1478" w:type="dxa"/>
            <w:tcBorders>
              <w:top w:val="nil"/>
              <w:left w:val="nil"/>
              <w:bottom w:val="nil"/>
              <w:right w:val="nil"/>
            </w:tcBorders>
          </w:tcPr>
          <w:p w14:paraId="6C4B85A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.02</w:t>
            </w:r>
          </w:p>
        </w:tc>
        <w:tc>
          <w:tcPr>
            <w:tcW w:w="1478" w:type="dxa"/>
            <w:tcBorders>
              <w:top w:val="nil"/>
              <w:left w:val="nil"/>
              <w:bottom w:val="nil"/>
              <w:right w:val="nil"/>
            </w:tcBorders>
          </w:tcPr>
          <w:p w14:paraId="285410F2"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.39</w:t>
            </w:r>
          </w:p>
        </w:tc>
      </w:tr>
      <w:tr w:rsidR="00620952" w:rsidRPr="007D21E3" w14:paraId="34A73F2A" w14:textId="77777777" w:rsidTr="00CE6CD8">
        <w:tc>
          <w:tcPr>
            <w:tcW w:w="1477" w:type="dxa"/>
            <w:tcBorders>
              <w:top w:val="nil"/>
              <w:left w:val="nil"/>
              <w:bottom w:val="single" w:sz="4" w:space="0" w:color="auto"/>
              <w:right w:val="nil"/>
            </w:tcBorders>
          </w:tcPr>
          <w:p w14:paraId="6CE9BBC5"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tcBorders>
              <w:top w:val="nil"/>
              <w:left w:val="nil"/>
              <w:bottom w:val="single" w:sz="4" w:space="0" w:color="auto"/>
              <w:right w:val="nil"/>
            </w:tcBorders>
          </w:tcPr>
          <w:p w14:paraId="5DD569AE"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Impulsivity</w:t>
            </w:r>
          </w:p>
        </w:tc>
        <w:tc>
          <w:tcPr>
            <w:tcW w:w="1477" w:type="dxa"/>
            <w:tcBorders>
              <w:top w:val="nil"/>
              <w:left w:val="nil"/>
              <w:bottom w:val="single" w:sz="4" w:space="0" w:color="auto"/>
              <w:right w:val="nil"/>
            </w:tcBorders>
          </w:tcPr>
          <w:p w14:paraId="5F440E74"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.22</w:t>
            </w:r>
          </w:p>
        </w:tc>
        <w:tc>
          <w:tcPr>
            <w:tcW w:w="1477" w:type="dxa"/>
            <w:tcBorders>
              <w:top w:val="nil"/>
              <w:left w:val="nil"/>
              <w:bottom w:val="single" w:sz="4" w:space="0" w:color="auto"/>
              <w:right w:val="nil"/>
            </w:tcBorders>
          </w:tcPr>
          <w:p w14:paraId="50EB549A"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.11</w:t>
            </w:r>
          </w:p>
        </w:tc>
        <w:tc>
          <w:tcPr>
            <w:tcW w:w="1477" w:type="dxa"/>
            <w:tcBorders>
              <w:top w:val="nil"/>
              <w:left w:val="nil"/>
              <w:bottom w:val="single" w:sz="4" w:space="0" w:color="auto"/>
              <w:right w:val="nil"/>
            </w:tcBorders>
          </w:tcPr>
          <w:p w14:paraId="6F197754"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.14</w:t>
            </w:r>
          </w:p>
        </w:tc>
        <w:tc>
          <w:tcPr>
            <w:tcW w:w="1477" w:type="dxa"/>
            <w:tcBorders>
              <w:top w:val="nil"/>
              <w:left w:val="nil"/>
              <w:bottom w:val="single" w:sz="4" w:space="0" w:color="auto"/>
              <w:right w:val="nil"/>
            </w:tcBorders>
          </w:tcPr>
          <w:p w14:paraId="3F03B41F"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2.06</w:t>
            </w:r>
          </w:p>
        </w:tc>
        <w:tc>
          <w:tcPr>
            <w:tcW w:w="1478" w:type="dxa"/>
            <w:tcBorders>
              <w:top w:val="nil"/>
              <w:left w:val="nil"/>
              <w:bottom w:val="single" w:sz="4" w:space="0" w:color="auto"/>
              <w:right w:val="nil"/>
            </w:tcBorders>
          </w:tcPr>
          <w:p w14:paraId="0C21E49A"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.041</w:t>
            </w:r>
          </w:p>
        </w:tc>
        <w:tc>
          <w:tcPr>
            <w:tcW w:w="1478" w:type="dxa"/>
            <w:tcBorders>
              <w:top w:val="nil"/>
              <w:left w:val="nil"/>
              <w:bottom w:val="single" w:sz="4" w:space="0" w:color="auto"/>
              <w:right w:val="nil"/>
            </w:tcBorders>
          </w:tcPr>
          <w:p w14:paraId="0B4BAB89"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.01</w:t>
            </w:r>
          </w:p>
        </w:tc>
        <w:tc>
          <w:tcPr>
            <w:tcW w:w="1478" w:type="dxa"/>
            <w:tcBorders>
              <w:top w:val="nil"/>
              <w:left w:val="nil"/>
              <w:bottom w:val="single" w:sz="4" w:space="0" w:color="auto"/>
              <w:right w:val="nil"/>
            </w:tcBorders>
          </w:tcPr>
          <w:p w14:paraId="71005419"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.43</w:t>
            </w:r>
          </w:p>
        </w:tc>
      </w:tr>
      <w:tr w:rsidR="00620952" w:rsidRPr="007D21E3" w14:paraId="706C0F70" w14:textId="77777777" w:rsidTr="00CE6CD8">
        <w:tc>
          <w:tcPr>
            <w:tcW w:w="1477" w:type="dxa"/>
            <w:tcBorders>
              <w:top w:val="single" w:sz="4" w:space="0" w:color="auto"/>
              <w:left w:val="nil"/>
              <w:bottom w:val="nil"/>
              <w:right w:val="nil"/>
            </w:tcBorders>
          </w:tcPr>
          <w:p w14:paraId="0F2F004F"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Step 2</w:t>
            </w:r>
          </w:p>
        </w:tc>
        <w:tc>
          <w:tcPr>
            <w:tcW w:w="1477" w:type="dxa"/>
            <w:tcBorders>
              <w:top w:val="single" w:sz="4" w:space="0" w:color="auto"/>
              <w:left w:val="nil"/>
              <w:bottom w:val="nil"/>
              <w:right w:val="nil"/>
            </w:tcBorders>
          </w:tcPr>
          <w:p w14:paraId="192B8635"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Constant</w:t>
            </w:r>
          </w:p>
        </w:tc>
        <w:tc>
          <w:tcPr>
            <w:tcW w:w="1477" w:type="dxa"/>
            <w:tcBorders>
              <w:top w:val="single" w:sz="4" w:space="0" w:color="auto"/>
              <w:left w:val="nil"/>
              <w:bottom w:val="nil"/>
              <w:right w:val="nil"/>
            </w:tcBorders>
          </w:tcPr>
          <w:p w14:paraId="35C858E0"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2.44</w:t>
            </w:r>
          </w:p>
        </w:tc>
        <w:tc>
          <w:tcPr>
            <w:tcW w:w="1477" w:type="dxa"/>
            <w:tcBorders>
              <w:top w:val="single" w:sz="4" w:space="0" w:color="auto"/>
              <w:left w:val="nil"/>
              <w:bottom w:val="nil"/>
              <w:right w:val="nil"/>
            </w:tcBorders>
          </w:tcPr>
          <w:p w14:paraId="62065700"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.76</w:t>
            </w:r>
          </w:p>
        </w:tc>
        <w:tc>
          <w:tcPr>
            <w:tcW w:w="1477" w:type="dxa"/>
            <w:tcBorders>
              <w:top w:val="single" w:sz="4" w:space="0" w:color="auto"/>
              <w:left w:val="nil"/>
              <w:bottom w:val="nil"/>
              <w:right w:val="nil"/>
            </w:tcBorders>
          </w:tcPr>
          <w:p w14:paraId="28447BB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w:t>
            </w:r>
          </w:p>
        </w:tc>
        <w:tc>
          <w:tcPr>
            <w:tcW w:w="1477" w:type="dxa"/>
            <w:tcBorders>
              <w:top w:val="single" w:sz="4" w:space="0" w:color="auto"/>
              <w:left w:val="nil"/>
              <w:bottom w:val="nil"/>
              <w:right w:val="nil"/>
            </w:tcBorders>
          </w:tcPr>
          <w:p w14:paraId="664BA1E1"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3.22</w:t>
            </w:r>
          </w:p>
        </w:tc>
        <w:tc>
          <w:tcPr>
            <w:tcW w:w="1478" w:type="dxa"/>
            <w:tcBorders>
              <w:top w:val="single" w:sz="4" w:space="0" w:color="auto"/>
              <w:left w:val="nil"/>
              <w:bottom w:val="nil"/>
              <w:right w:val="nil"/>
            </w:tcBorders>
          </w:tcPr>
          <w:p w14:paraId="7E8E129F"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.001</w:t>
            </w:r>
          </w:p>
        </w:tc>
        <w:tc>
          <w:tcPr>
            <w:tcW w:w="1478" w:type="dxa"/>
            <w:tcBorders>
              <w:top w:val="single" w:sz="4" w:space="0" w:color="auto"/>
              <w:left w:val="nil"/>
              <w:bottom w:val="nil"/>
              <w:right w:val="nil"/>
            </w:tcBorders>
          </w:tcPr>
          <w:p w14:paraId="2B6D4E75"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.95</w:t>
            </w:r>
          </w:p>
        </w:tc>
        <w:tc>
          <w:tcPr>
            <w:tcW w:w="1478" w:type="dxa"/>
            <w:tcBorders>
              <w:top w:val="single" w:sz="4" w:space="0" w:color="auto"/>
              <w:left w:val="nil"/>
              <w:bottom w:val="nil"/>
              <w:right w:val="nil"/>
            </w:tcBorders>
          </w:tcPr>
          <w:p w14:paraId="1B67992D"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3.94</w:t>
            </w:r>
          </w:p>
        </w:tc>
      </w:tr>
      <w:tr w:rsidR="001B35BB" w:rsidRPr="007D21E3" w14:paraId="5A10F91A" w14:textId="77777777" w:rsidTr="00CE6CD8">
        <w:tc>
          <w:tcPr>
            <w:tcW w:w="1477" w:type="dxa"/>
            <w:tcBorders>
              <w:top w:val="nil"/>
              <w:left w:val="nil"/>
              <w:bottom w:val="nil"/>
              <w:right w:val="nil"/>
            </w:tcBorders>
          </w:tcPr>
          <w:p w14:paraId="7C992F73"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tcBorders>
              <w:top w:val="nil"/>
              <w:left w:val="nil"/>
              <w:bottom w:val="nil"/>
              <w:right w:val="nil"/>
            </w:tcBorders>
          </w:tcPr>
          <w:p w14:paraId="1BBE410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IAT</w:t>
            </w:r>
          </w:p>
        </w:tc>
        <w:tc>
          <w:tcPr>
            <w:tcW w:w="1477" w:type="dxa"/>
            <w:tcBorders>
              <w:top w:val="nil"/>
              <w:left w:val="nil"/>
              <w:bottom w:val="nil"/>
              <w:right w:val="nil"/>
            </w:tcBorders>
          </w:tcPr>
          <w:p w14:paraId="6CD21CF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-.09</w:t>
            </w:r>
          </w:p>
        </w:tc>
        <w:tc>
          <w:tcPr>
            <w:tcW w:w="1477" w:type="dxa"/>
            <w:tcBorders>
              <w:top w:val="nil"/>
              <w:left w:val="nil"/>
              <w:bottom w:val="nil"/>
              <w:right w:val="nil"/>
            </w:tcBorders>
          </w:tcPr>
          <w:p w14:paraId="53AECF28"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.59</w:t>
            </w:r>
          </w:p>
        </w:tc>
        <w:tc>
          <w:tcPr>
            <w:tcW w:w="1477" w:type="dxa"/>
            <w:tcBorders>
              <w:top w:val="nil"/>
              <w:left w:val="nil"/>
              <w:bottom w:val="nil"/>
              <w:right w:val="nil"/>
            </w:tcBorders>
          </w:tcPr>
          <w:p w14:paraId="744E02AD"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-.06</w:t>
            </w:r>
          </w:p>
        </w:tc>
        <w:tc>
          <w:tcPr>
            <w:tcW w:w="1477" w:type="dxa"/>
            <w:tcBorders>
              <w:top w:val="nil"/>
              <w:left w:val="nil"/>
              <w:bottom w:val="nil"/>
              <w:right w:val="nil"/>
            </w:tcBorders>
          </w:tcPr>
          <w:p w14:paraId="6FC99C2F"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-.15</w:t>
            </w:r>
          </w:p>
        </w:tc>
        <w:tc>
          <w:tcPr>
            <w:tcW w:w="1478" w:type="dxa"/>
            <w:tcBorders>
              <w:top w:val="nil"/>
              <w:left w:val="nil"/>
              <w:bottom w:val="nil"/>
              <w:right w:val="nil"/>
            </w:tcBorders>
          </w:tcPr>
          <w:p w14:paraId="2479A24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.883</w:t>
            </w:r>
          </w:p>
        </w:tc>
        <w:tc>
          <w:tcPr>
            <w:tcW w:w="1478" w:type="dxa"/>
            <w:tcBorders>
              <w:top w:val="nil"/>
              <w:left w:val="nil"/>
              <w:bottom w:val="nil"/>
              <w:right w:val="nil"/>
            </w:tcBorders>
          </w:tcPr>
          <w:p w14:paraId="695414C0"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-1.25</w:t>
            </w:r>
          </w:p>
        </w:tc>
        <w:tc>
          <w:tcPr>
            <w:tcW w:w="1478" w:type="dxa"/>
            <w:tcBorders>
              <w:top w:val="nil"/>
              <w:left w:val="nil"/>
              <w:bottom w:val="nil"/>
              <w:right w:val="nil"/>
            </w:tcBorders>
          </w:tcPr>
          <w:p w14:paraId="59ACED1B"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1.07</w:t>
            </w:r>
          </w:p>
        </w:tc>
      </w:tr>
      <w:tr w:rsidR="001B35BB" w:rsidRPr="007D21E3" w14:paraId="6D3514C6" w14:textId="77777777" w:rsidTr="00CE6CD8">
        <w:tc>
          <w:tcPr>
            <w:tcW w:w="1477" w:type="dxa"/>
            <w:tcBorders>
              <w:top w:val="nil"/>
              <w:left w:val="nil"/>
              <w:bottom w:val="nil"/>
              <w:right w:val="nil"/>
            </w:tcBorders>
          </w:tcPr>
          <w:p w14:paraId="5831418C"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tcBorders>
              <w:top w:val="nil"/>
              <w:left w:val="nil"/>
              <w:bottom w:val="nil"/>
              <w:right w:val="nil"/>
            </w:tcBorders>
          </w:tcPr>
          <w:p w14:paraId="74AC6F4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Impulsivity</w:t>
            </w:r>
          </w:p>
        </w:tc>
        <w:tc>
          <w:tcPr>
            <w:tcW w:w="1477" w:type="dxa"/>
            <w:tcBorders>
              <w:top w:val="nil"/>
              <w:left w:val="nil"/>
              <w:bottom w:val="nil"/>
              <w:right w:val="nil"/>
            </w:tcBorders>
          </w:tcPr>
          <w:p w14:paraId="1636B5D7"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.07</w:t>
            </w:r>
          </w:p>
        </w:tc>
        <w:tc>
          <w:tcPr>
            <w:tcW w:w="1477" w:type="dxa"/>
            <w:tcBorders>
              <w:top w:val="nil"/>
              <w:left w:val="nil"/>
              <w:bottom w:val="nil"/>
              <w:right w:val="nil"/>
            </w:tcBorders>
          </w:tcPr>
          <w:p w14:paraId="4BEABD11"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.32</w:t>
            </w:r>
          </w:p>
        </w:tc>
        <w:tc>
          <w:tcPr>
            <w:tcW w:w="1477" w:type="dxa"/>
            <w:tcBorders>
              <w:top w:val="nil"/>
              <w:left w:val="nil"/>
              <w:bottom w:val="nil"/>
              <w:right w:val="nil"/>
            </w:tcBorders>
          </w:tcPr>
          <w:p w14:paraId="0764055A"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.04</w:t>
            </w:r>
          </w:p>
        </w:tc>
        <w:tc>
          <w:tcPr>
            <w:tcW w:w="1477" w:type="dxa"/>
            <w:tcBorders>
              <w:top w:val="nil"/>
              <w:left w:val="nil"/>
              <w:bottom w:val="nil"/>
              <w:right w:val="nil"/>
            </w:tcBorders>
          </w:tcPr>
          <w:p w14:paraId="232E0ECF"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.23</w:t>
            </w:r>
          </w:p>
        </w:tc>
        <w:tc>
          <w:tcPr>
            <w:tcW w:w="1478" w:type="dxa"/>
            <w:tcBorders>
              <w:top w:val="nil"/>
              <w:left w:val="nil"/>
              <w:bottom w:val="nil"/>
              <w:right w:val="nil"/>
            </w:tcBorders>
          </w:tcPr>
          <w:p w14:paraId="38FAEF1F"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.822</w:t>
            </w:r>
          </w:p>
        </w:tc>
        <w:tc>
          <w:tcPr>
            <w:tcW w:w="1478" w:type="dxa"/>
            <w:tcBorders>
              <w:top w:val="nil"/>
              <w:left w:val="nil"/>
              <w:bottom w:val="nil"/>
              <w:right w:val="nil"/>
            </w:tcBorders>
          </w:tcPr>
          <w:p w14:paraId="0DB43C86"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-.55</w:t>
            </w:r>
          </w:p>
        </w:tc>
        <w:tc>
          <w:tcPr>
            <w:tcW w:w="1478" w:type="dxa"/>
            <w:tcBorders>
              <w:top w:val="nil"/>
              <w:left w:val="nil"/>
              <w:bottom w:val="nil"/>
              <w:right w:val="nil"/>
            </w:tcBorders>
          </w:tcPr>
          <w:p w14:paraId="5682A65D"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.69</w:t>
            </w:r>
          </w:p>
        </w:tc>
      </w:tr>
      <w:tr w:rsidR="001B35BB" w:rsidRPr="007D21E3" w14:paraId="71419F5F" w14:textId="77777777" w:rsidTr="00CE6CD8">
        <w:tc>
          <w:tcPr>
            <w:tcW w:w="1477" w:type="dxa"/>
            <w:tcBorders>
              <w:top w:val="nil"/>
              <w:left w:val="nil"/>
              <w:bottom w:val="single" w:sz="4" w:space="0" w:color="auto"/>
              <w:right w:val="nil"/>
            </w:tcBorders>
          </w:tcPr>
          <w:p w14:paraId="286AEBB7" w14:textId="77777777" w:rsidR="008E633B" w:rsidRPr="007D21E3" w:rsidRDefault="008E633B" w:rsidP="008E633B">
            <w:pPr>
              <w:spacing w:line="480" w:lineRule="auto"/>
              <w:jc w:val="center"/>
              <w:rPr>
                <w:rFonts w:ascii="Times New Roman" w:hAnsi="Times New Roman" w:cs="Times New Roman"/>
                <w:sz w:val="24"/>
                <w:szCs w:val="24"/>
              </w:rPr>
            </w:pPr>
          </w:p>
        </w:tc>
        <w:tc>
          <w:tcPr>
            <w:tcW w:w="1477" w:type="dxa"/>
            <w:tcBorders>
              <w:top w:val="nil"/>
              <w:left w:val="nil"/>
              <w:bottom w:val="single" w:sz="4" w:space="0" w:color="auto"/>
              <w:right w:val="nil"/>
            </w:tcBorders>
          </w:tcPr>
          <w:p w14:paraId="28E181A8"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IAT x Impulsivity</w:t>
            </w:r>
          </w:p>
        </w:tc>
        <w:tc>
          <w:tcPr>
            <w:tcW w:w="1477" w:type="dxa"/>
            <w:tcBorders>
              <w:top w:val="nil"/>
              <w:left w:val="nil"/>
              <w:bottom w:val="single" w:sz="4" w:space="0" w:color="auto"/>
              <w:right w:val="nil"/>
            </w:tcBorders>
          </w:tcPr>
          <w:p w14:paraId="6E37CA04"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.12</w:t>
            </w:r>
          </w:p>
        </w:tc>
        <w:tc>
          <w:tcPr>
            <w:tcW w:w="1477" w:type="dxa"/>
            <w:tcBorders>
              <w:top w:val="nil"/>
              <w:left w:val="nil"/>
              <w:bottom w:val="single" w:sz="4" w:space="0" w:color="auto"/>
              <w:right w:val="nil"/>
            </w:tcBorders>
          </w:tcPr>
          <w:p w14:paraId="6D4E004C"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.247</w:t>
            </w:r>
          </w:p>
        </w:tc>
        <w:tc>
          <w:tcPr>
            <w:tcW w:w="1477" w:type="dxa"/>
            <w:tcBorders>
              <w:top w:val="nil"/>
              <w:left w:val="nil"/>
              <w:bottom w:val="single" w:sz="4" w:space="0" w:color="auto"/>
              <w:right w:val="nil"/>
            </w:tcBorders>
          </w:tcPr>
          <w:p w14:paraId="646E65C2"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.22</w:t>
            </w:r>
          </w:p>
        </w:tc>
        <w:tc>
          <w:tcPr>
            <w:tcW w:w="1477" w:type="dxa"/>
            <w:tcBorders>
              <w:top w:val="nil"/>
              <w:left w:val="nil"/>
              <w:bottom w:val="single" w:sz="4" w:space="0" w:color="auto"/>
              <w:right w:val="nil"/>
            </w:tcBorders>
          </w:tcPr>
          <w:p w14:paraId="7A42B0F2"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.502</w:t>
            </w:r>
          </w:p>
        </w:tc>
        <w:tc>
          <w:tcPr>
            <w:tcW w:w="1478" w:type="dxa"/>
            <w:tcBorders>
              <w:top w:val="nil"/>
              <w:left w:val="nil"/>
              <w:bottom w:val="single" w:sz="4" w:space="0" w:color="auto"/>
              <w:right w:val="nil"/>
            </w:tcBorders>
          </w:tcPr>
          <w:p w14:paraId="6B8B1C36"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.616</w:t>
            </w:r>
          </w:p>
        </w:tc>
        <w:tc>
          <w:tcPr>
            <w:tcW w:w="1478" w:type="dxa"/>
            <w:tcBorders>
              <w:top w:val="nil"/>
              <w:left w:val="nil"/>
              <w:bottom w:val="single" w:sz="4" w:space="0" w:color="auto"/>
              <w:right w:val="nil"/>
            </w:tcBorders>
          </w:tcPr>
          <w:p w14:paraId="52C63DD3"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-.36</w:t>
            </w:r>
          </w:p>
        </w:tc>
        <w:tc>
          <w:tcPr>
            <w:tcW w:w="1478" w:type="dxa"/>
            <w:tcBorders>
              <w:top w:val="nil"/>
              <w:left w:val="nil"/>
              <w:bottom w:val="single" w:sz="4" w:space="0" w:color="auto"/>
              <w:right w:val="nil"/>
            </w:tcBorders>
          </w:tcPr>
          <w:p w14:paraId="1A3EAB62" w14:textId="77777777" w:rsidR="008E633B" w:rsidRPr="007D21E3" w:rsidRDefault="008E633B" w:rsidP="008E633B">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.61</w:t>
            </w:r>
          </w:p>
        </w:tc>
      </w:tr>
    </w:tbl>
    <w:p w14:paraId="1A2DA46D" w14:textId="2C183450" w:rsidR="008E633B" w:rsidRPr="007D21E3" w:rsidRDefault="00653055" w:rsidP="008E633B">
      <w:pPr>
        <w:spacing w:after="240" w:line="240" w:lineRule="auto"/>
        <w:rPr>
          <w:rFonts w:eastAsia="Times New Roman" w:cs="Times New Roman"/>
          <w:szCs w:val="24"/>
        </w:rPr>
      </w:pPr>
      <w:r w:rsidRPr="007D21E3">
        <w:rPr>
          <w:rFonts w:eastAsia="Times New Roman" w:cs="Times New Roman"/>
          <w:i/>
          <w:iCs/>
          <w:szCs w:val="24"/>
        </w:rPr>
        <w:t xml:space="preserve">Note </w:t>
      </w:r>
      <w:r w:rsidRPr="007D21E3">
        <w:rPr>
          <w:rFonts w:eastAsia="Times New Roman" w:cs="Times New Roman"/>
          <w:szCs w:val="24"/>
        </w:rPr>
        <w:t>Dependent Variable: Capability</w:t>
      </w:r>
      <w:r w:rsidR="008E633B" w:rsidRPr="008E633B">
        <w:rPr>
          <w:rFonts w:eastAsia="Times New Roman" w:cs="Times New Roman"/>
          <w:szCs w:val="24"/>
        </w:rPr>
        <w:br/>
      </w:r>
      <w:r w:rsidR="008E633B" w:rsidRPr="008E633B">
        <w:rPr>
          <w:rFonts w:eastAsia="Times New Roman" w:cs="Times New Roman"/>
          <w:szCs w:val="24"/>
        </w:rPr>
        <w:br/>
      </w:r>
      <w:r w:rsidR="008E633B" w:rsidRPr="008E633B">
        <w:rPr>
          <w:rFonts w:eastAsia="Times New Roman" w:cs="Times New Roman"/>
          <w:szCs w:val="24"/>
        </w:rPr>
        <w:br/>
      </w:r>
    </w:p>
    <w:p w14:paraId="1D438B20" w14:textId="49E12B0D" w:rsidR="008E633B" w:rsidRPr="001039DC" w:rsidRDefault="008E633B">
      <w:pPr>
        <w:rPr>
          <w:rFonts w:eastAsia="Times New Roman" w:cs="Times New Roman"/>
          <w:szCs w:val="24"/>
        </w:rPr>
      </w:pPr>
      <w:r w:rsidRPr="007D21E3">
        <w:rPr>
          <w:rFonts w:eastAsia="Times New Roman" w:cs="Times New Roman"/>
          <w:b/>
          <w:bCs/>
          <w:smallCaps/>
          <w:color w:val="000000"/>
          <w:szCs w:val="24"/>
        </w:rPr>
        <w:br w:type="page"/>
      </w:r>
    </w:p>
    <w:p w14:paraId="682C566B" w14:textId="0B4184CE" w:rsidR="00653055" w:rsidRPr="007D21E3" w:rsidRDefault="00653055" w:rsidP="001B35BB">
      <w:pPr>
        <w:spacing w:line="480" w:lineRule="auto"/>
        <w:rPr>
          <w:rFonts w:eastAsia="Times New Roman" w:cs="Times New Roman"/>
          <w:smallCaps/>
          <w:color w:val="000000"/>
          <w:szCs w:val="24"/>
        </w:rPr>
      </w:pPr>
      <w:r w:rsidRPr="007D21E3">
        <w:rPr>
          <w:rFonts w:eastAsia="Times New Roman" w:cs="Times New Roman"/>
          <w:smallCaps/>
          <w:color w:val="000000"/>
          <w:szCs w:val="24"/>
        </w:rPr>
        <w:lastRenderedPageBreak/>
        <w:t xml:space="preserve">Table 3 </w:t>
      </w:r>
      <w:r w:rsidR="00E35B28" w:rsidRPr="007D21E3">
        <w:rPr>
          <w:rFonts w:cs="Times New Roman"/>
          <w:szCs w:val="24"/>
        </w:rPr>
        <w:t>Regression Analysis Predicting Acquired Capability for Suicide: Effects of SUPPS-P, IAT Scores, and NSSI with Main Effects and Interactions</w:t>
      </w:r>
    </w:p>
    <w:tbl>
      <w:tblPr>
        <w:tblStyle w:val="TableGrid"/>
        <w:tblW w:w="9605" w:type="dxa"/>
        <w:tblLook w:val="04A0" w:firstRow="1" w:lastRow="0" w:firstColumn="1" w:lastColumn="0" w:noHBand="0" w:noVBand="1"/>
      </w:tblPr>
      <w:tblGrid>
        <w:gridCol w:w="2203"/>
        <w:gridCol w:w="1115"/>
        <w:gridCol w:w="1120"/>
        <w:gridCol w:w="1105"/>
        <w:gridCol w:w="1115"/>
        <w:gridCol w:w="1131"/>
        <w:gridCol w:w="907"/>
        <w:gridCol w:w="909"/>
      </w:tblGrid>
      <w:tr w:rsidR="006118BA" w:rsidRPr="007D21E3" w14:paraId="64533D70" w14:textId="48B62135" w:rsidTr="0013230B">
        <w:trPr>
          <w:trHeight w:val="527"/>
        </w:trPr>
        <w:tc>
          <w:tcPr>
            <w:tcW w:w="2203" w:type="dxa"/>
            <w:vMerge w:val="restart"/>
            <w:tcBorders>
              <w:top w:val="single" w:sz="4" w:space="0" w:color="auto"/>
              <w:left w:val="nil"/>
              <w:right w:val="nil"/>
            </w:tcBorders>
          </w:tcPr>
          <w:p w14:paraId="07FC3206" w14:textId="77B6BC40" w:rsidR="006118BA" w:rsidRPr="007D21E3" w:rsidRDefault="006118BA" w:rsidP="00CE6CD8">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Model</w:t>
            </w:r>
          </w:p>
        </w:tc>
        <w:tc>
          <w:tcPr>
            <w:tcW w:w="1115" w:type="dxa"/>
            <w:vMerge w:val="restart"/>
            <w:tcBorders>
              <w:top w:val="single" w:sz="4" w:space="0" w:color="auto"/>
              <w:left w:val="nil"/>
              <w:right w:val="nil"/>
            </w:tcBorders>
          </w:tcPr>
          <w:p w14:paraId="7117B9E9" w14:textId="77777777" w:rsidR="006118BA" w:rsidRPr="007D21E3" w:rsidRDefault="006118BA" w:rsidP="00CE6CD8">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B</w:t>
            </w:r>
          </w:p>
        </w:tc>
        <w:tc>
          <w:tcPr>
            <w:tcW w:w="1120" w:type="dxa"/>
            <w:vMerge w:val="restart"/>
            <w:tcBorders>
              <w:top w:val="single" w:sz="4" w:space="0" w:color="auto"/>
              <w:left w:val="nil"/>
              <w:right w:val="nil"/>
            </w:tcBorders>
          </w:tcPr>
          <w:p w14:paraId="36442684" w14:textId="77777777" w:rsidR="006118BA" w:rsidRPr="007D21E3" w:rsidRDefault="006118BA" w:rsidP="00CE6CD8">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Std. Error</w:t>
            </w:r>
          </w:p>
        </w:tc>
        <w:tc>
          <w:tcPr>
            <w:tcW w:w="1105" w:type="dxa"/>
            <w:vMerge w:val="restart"/>
            <w:tcBorders>
              <w:top w:val="single" w:sz="4" w:space="0" w:color="auto"/>
              <w:left w:val="nil"/>
              <w:right w:val="nil"/>
            </w:tcBorders>
          </w:tcPr>
          <w:p w14:paraId="6F866DFE" w14:textId="77777777" w:rsidR="006118BA" w:rsidRPr="007D21E3" w:rsidRDefault="006118BA" w:rsidP="00CE6CD8">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β</w:t>
            </w:r>
          </w:p>
        </w:tc>
        <w:tc>
          <w:tcPr>
            <w:tcW w:w="1115" w:type="dxa"/>
            <w:vMerge w:val="restart"/>
            <w:tcBorders>
              <w:top w:val="single" w:sz="4" w:space="0" w:color="auto"/>
              <w:left w:val="nil"/>
              <w:right w:val="nil"/>
            </w:tcBorders>
          </w:tcPr>
          <w:p w14:paraId="13369386" w14:textId="77777777" w:rsidR="006118BA" w:rsidRPr="007D21E3" w:rsidRDefault="006118BA" w:rsidP="00CE6CD8">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t</w:t>
            </w:r>
          </w:p>
        </w:tc>
        <w:tc>
          <w:tcPr>
            <w:tcW w:w="1131" w:type="dxa"/>
            <w:vMerge w:val="restart"/>
            <w:tcBorders>
              <w:top w:val="single" w:sz="4" w:space="0" w:color="auto"/>
              <w:left w:val="nil"/>
              <w:right w:val="nil"/>
            </w:tcBorders>
          </w:tcPr>
          <w:p w14:paraId="2FC64509" w14:textId="77777777" w:rsidR="006118BA" w:rsidRPr="007D21E3" w:rsidRDefault="006118BA" w:rsidP="00CE6CD8">
            <w:pPr>
              <w:spacing w:line="480" w:lineRule="auto"/>
              <w:jc w:val="center"/>
              <w:rPr>
                <w:rFonts w:ascii="Times New Roman" w:hAnsi="Times New Roman" w:cs="Times New Roman"/>
                <w:i/>
                <w:iCs/>
                <w:sz w:val="24"/>
                <w:szCs w:val="24"/>
              </w:rPr>
            </w:pPr>
            <w:r w:rsidRPr="007D21E3">
              <w:rPr>
                <w:rFonts w:ascii="Times New Roman" w:hAnsi="Times New Roman" w:cs="Times New Roman"/>
                <w:i/>
                <w:iCs/>
                <w:sz w:val="24"/>
                <w:szCs w:val="24"/>
              </w:rPr>
              <w:t>p</w:t>
            </w:r>
          </w:p>
        </w:tc>
        <w:tc>
          <w:tcPr>
            <w:tcW w:w="1816" w:type="dxa"/>
            <w:gridSpan w:val="2"/>
            <w:tcBorders>
              <w:top w:val="single" w:sz="4" w:space="0" w:color="auto"/>
              <w:left w:val="nil"/>
              <w:bottom w:val="single" w:sz="4" w:space="0" w:color="auto"/>
              <w:right w:val="nil"/>
            </w:tcBorders>
          </w:tcPr>
          <w:p w14:paraId="0E24BB35" w14:textId="433F1C08" w:rsidR="006118BA" w:rsidRPr="007D21E3" w:rsidRDefault="006118BA" w:rsidP="00CE6CD8">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95% CI for B</w:t>
            </w:r>
          </w:p>
        </w:tc>
      </w:tr>
      <w:tr w:rsidR="006118BA" w:rsidRPr="007D21E3" w14:paraId="6FA7DA60" w14:textId="77777777" w:rsidTr="0013230B">
        <w:trPr>
          <w:trHeight w:val="527"/>
        </w:trPr>
        <w:tc>
          <w:tcPr>
            <w:tcW w:w="2203" w:type="dxa"/>
            <w:vMerge/>
            <w:tcBorders>
              <w:left w:val="nil"/>
              <w:bottom w:val="single" w:sz="4" w:space="0" w:color="auto"/>
              <w:right w:val="nil"/>
            </w:tcBorders>
          </w:tcPr>
          <w:p w14:paraId="16BD3D66" w14:textId="77777777" w:rsidR="006118BA" w:rsidRPr="007D21E3" w:rsidRDefault="006118BA" w:rsidP="00CE6CD8">
            <w:pPr>
              <w:spacing w:line="480" w:lineRule="auto"/>
              <w:jc w:val="center"/>
              <w:rPr>
                <w:rFonts w:ascii="Times New Roman" w:hAnsi="Times New Roman" w:cs="Times New Roman"/>
                <w:sz w:val="24"/>
                <w:szCs w:val="24"/>
              </w:rPr>
            </w:pPr>
          </w:p>
        </w:tc>
        <w:tc>
          <w:tcPr>
            <w:tcW w:w="1115" w:type="dxa"/>
            <w:vMerge/>
            <w:tcBorders>
              <w:left w:val="nil"/>
              <w:bottom w:val="single" w:sz="4" w:space="0" w:color="auto"/>
              <w:right w:val="nil"/>
            </w:tcBorders>
          </w:tcPr>
          <w:p w14:paraId="74E938DC" w14:textId="77777777" w:rsidR="006118BA" w:rsidRPr="007D21E3" w:rsidRDefault="006118BA" w:rsidP="00CE6CD8">
            <w:pPr>
              <w:spacing w:line="480" w:lineRule="auto"/>
              <w:jc w:val="center"/>
              <w:rPr>
                <w:rFonts w:ascii="Times New Roman" w:hAnsi="Times New Roman" w:cs="Times New Roman"/>
                <w:sz w:val="24"/>
                <w:szCs w:val="24"/>
              </w:rPr>
            </w:pPr>
          </w:p>
        </w:tc>
        <w:tc>
          <w:tcPr>
            <w:tcW w:w="1120" w:type="dxa"/>
            <w:vMerge/>
            <w:tcBorders>
              <w:left w:val="nil"/>
              <w:bottom w:val="single" w:sz="4" w:space="0" w:color="auto"/>
              <w:right w:val="nil"/>
            </w:tcBorders>
          </w:tcPr>
          <w:p w14:paraId="323742B7" w14:textId="77777777" w:rsidR="006118BA" w:rsidRPr="007D21E3" w:rsidRDefault="006118BA" w:rsidP="00CE6CD8">
            <w:pPr>
              <w:spacing w:line="480" w:lineRule="auto"/>
              <w:jc w:val="center"/>
              <w:rPr>
                <w:rFonts w:ascii="Times New Roman" w:hAnsi="Times New Roman" w:cs="Times New Roman"/>
                <w:sz w:val="24"/>
                <w:szCs w:val="24"/>
              </w:rPr>
            </w:pPr>
          </w:p>
        </w:tc>
        <w:tc>
          <w:tcPr>
            <w:tcW w:w="1105" w:type="dxa"/>
            <w:vMerge/>
            <w:tcBorders>
              <w:left w:val="nil"/>
              <w:bottom w:val="single" w:sz="4" w:space="0" w:color="auto"/>
              <w:right w:val="nil"/>
            </w:tcBorders>
          </w:tcPr>
          <w:p w14:paraId="0D072473" w14:textId="77777777" w:rsidR="006118BA" w:rsidRPr="007D21E3" w:rsidRDefault="006118BA" w:rsidP="00CE6CD8">
            <w:pPr>
              <w:spacing w:line="480" w:lineRule="auto"/>
              <w:jc w:val="center"/>
              <w:rPr>
                <w:rFonts w:ascii="Times New Roman" w:hAnsi="Times New Roman" w:cs="Times New Roman"/>
                <w:sz w:val="24"/>
                <w:szCs w:val="24"/>
              </w:rPr>
            </w:pPr>
          </w:p>
        </w:tc>
        <w:tc>
          <w:tcPr>
            <w:tcW w:w="1115" w:type="dxa"/>
            <w:vMerge/>
            <w:tcBorders>
              <w:left w:val="nil"/>
              <w:bottom w:val="single" w:sz="4" w:space="0" w:color="auto"/>
              <w:right w:val="nil"/>
            </w:tcBorders>
          </w:tcPr>
          <w:p w14:paraId="660E0B91" w14:textId="77777777" w:rsidR="006118BA" w:rsidRPr="007D21E3" w:rsidRDefault="006118BA" w:rsidP="00CE6CD8">
            <w:pPr>
              <w:spacing w:line="480" w:lineRule="auto"/>
              <w:jc w:val="center"/>
              <w:rPr>
                <w:rFonts w:ascii="Times New Roman" w:hAnsi="Times New Roman" w:cs="Times New Roman"/>
                <w:sz w:val="24"/>
                <w:szCs w:val="24"/>
              </w:rPr>
            </w:pPr>
          </w:p>
        </w:tc>
        <w:tc>
          <w:tcPr>
            <w:tcW w:w="1131" w:type="dxa"/>
            <w:vMerge/>
            <w:tcBorders>
              <w:left w:val="nil"/>
              <w:bottom w:val="single" w:sz="4" w:space="0" w:color="auto"/>
              <w:right w:val="nil"/>
            </w:tcBorders>
          </w:tcPr>
          <w:p w14:paraId="43DEB7EE" w14:textId="77777777" w:rsidR="006118BA" w:rsidRPr="007D21E3" w:rsidRDefault="006118BA" w:rsidP="00CE6CD8">
            <w:pPr>
              <w:spacing w:line="480" w:lineRule="auto"/>
              <w:jc w:val="center"/>
              <w:rPr>
                <w:rFonts w:ascii="Times New Roman" w:hAnsi="Times New Roman" w:cs="Times New Roman"/>
                <w:i/>
                <w:iCs/>
                <w:sz w:val="24"/>
                <w:szCs w:val="24"/>
              </w:rPr>
            </w:pPr>
          </w:p>
        </w:tc>
        <w:tc>
          <w:tcPr>
            <w:tcW w:w="907" w:type="dxa"/>
            <w:tcBorders>
              <w:top w:val="single" w:sz="4" w:space="0" w:color="auto"/>
              <w:left w:val="nil"/>
              <w:bottom w:val="single" w:sz="4" w:space="0" w:color="auto"/>
              <w:right w:val="nil"/>
            </w:tcBorders>
          </w:tcPr>
          <w:p w14:paraId="597B0E5D" w14:textId="44B16071" w:rsidR="006118BA" w:rsidRPr="007D21E3" w:rsidRDefault="006118BA" w:rsidP="00CE6CD8">
            <w:pPr>
              <w:spacing w:line="480" w:lineRule="auto"/>
              <w:jc w:val="center"/>
              <w:rPr>
                <w:rFonts w:ascii="Times New Roman" w:hAnsi="Times New Roman" w:cs="Times New Roman"/>
                <w:i/>
                <w:iCs/>
                <w:sz w:val="24"/>
                <w:szCs w:val="24"/>
              </w:rPr>
            </w:pPr>
            <w:r w:rsidRPr="007D21E3">
              <w:rPr>
                <w:rFonts w:ascii="Times New Roman" w:hAnsi="Times New Roman" w:cs="Times New Roman"/>
                <w:i/>
                <w:iCs/>
                <w:sz w:val="24"/>
                <w:szCs w:val="24"/>
              </w:rPr>
              <w:t>LL</w:t>
            </w:r>
          </w:p>
        </w:tc>
        <w:tc>
          <w:tcPr>
            <w:tcW w:w="908" w:type="dxa"/>
            <w:tcBorders>
              <w:top w:val="single" w:sz="4" w:space="0" w:color="auto"/>
              <w:left w:val="nil"/>
              <w:bottom w:val="single" w:sz="4" w:space="0" w:color="auto"/>
              <w:right w:val="nil"/>
            </w:tcBorders>
          </w:tcPr>
          <w:p w14:paraId="524301C6" w14:textId="62AFD1B0" w:rsidR="006118BA" w:rsidRPr="007D21E3" w:rsidRDefault="006118BA" w:rsidP="00CE6CD8">
            <w:pPr>
              <w:spacing w:line="480" w:lineRule="auto"/>
              <w:jc w:val="center"/>
              <w:rPr>
                <w:rFonts w:ascii="Times New Roman" w:hAnsi="Times New Roman" w:cs="Times New Roman"/>
                <w:i/>
                <w:iCs/>
                <w:sz w:val="24"/>
                <w:szCs w:val="24"/>
              </w:rPr>
            </w:pPr>
            <w:r w:rsidRPr="007D21E3">
              <w:rPr>
                <w:rFonts w:ascii="Times New Roman" w:hAnsi="Times New Roman" w:cs="Times New Roman"/>
                <w:i/>
                <w:iCs/>
                <w:sz w:val="24"/>
                <w:szCs w:val="24"/>
              </w:rPr>
              <w:t>UL</w:t>
            </w:r>
          </w:p>
        </w:tc>
      </w:tr>
      <w:tr w:rsidR="006118BA" w:rsidRPr="007D21E3" w14:paraId="59DAC318" w14:textId="322EA8A3" w:rsidTr="0013230B">
        <w:trPr>
          <w:trHeight w:val="516"/>
        </w:trPr>
        <w:tc>
          <w:tcPr>
            <w:tcW w:w="2203" w:type="dxa"/>
            <w:tcBorders>
              <w:top w:val="single" w:sz="4" w:space="0" w:color="auto"/>
              <w:left w:val="nil"/>
              <w:bottom w:val="nil"/>
              <w:right w:val="nil"/>
            </w:tcBorders>
          </w:tcPr>
          <w:p w14:paraId="654D703D" w14:textId="47C35DE4"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 Constant</w:t>
            </w:r>
          </w:p>
        </w:tc>
        <w:tc>
          <w:tcPr>
            <w:tcW w:w="1115" w:type="dxa"/>
            <w:tcBorders>
              <w:top w:val="single" w:sz="4" w:space="0" w:color="auto"/>
              <w:left w:val="nil"/>
              <w:bottom w:val="nil"/>
              <w:right w:val="nil"/>
            </w:tcBorders>
          </w:tcPr>
          <w:p w14:paraId="66D7B424" w14:textId="32078818"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2.14</w:t>
            </w:r>
          </w:p>
        </w:tc>
        <w:tc>
          <w:tcPr>
            <w:tcW w:w="1120" w:type="dxa"/>
            <w:tcBorders>
              <w:top w:val="single" w:sz="4" w:space="0" w:color="auto"/>
              <w:left w:val="nil"/>
              <w:bottom w:val="nil"/>
              <w:right w:val="nil"/>
            </w:tcBorders>
          </w:tcPr>
          <w:p w14:paraId="7C26BD10" w14:textId="4F16B111"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.28</w:t>
            </w:r>
          </w:p>
        </w:tc>
        <w:tc>
          <w:tcPr>
            <w:tcW w:w="1105" w:type="dxa"/>
            <w:tcBorders>
              <w:top w:val="single" w:sz="4" w:space="0" w:color="auto"/>
              <w:left w:val="nil"/>
              <w:bottom w:val="nil"/>
              <w:right w:val="nil"/>
            </w:tcBorders>
          </w:tcPr>
          <w:p w14:paraId="753015E8" w14:textId="3D16FF05"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w:t>
            </w:r>
          </w:p>
        </w:tc>
        <w:tc>
          <w:tcPr>
            <w:tcW w:w="1115" w:type="dxa"/>
            <w:tcBorders>
              <w:top w:val="single" w:sz="4" w:space="0" w:color="auto"/>
              <w:left w:val="nil"/>
              <w:bottom w:val="nil"/>
              <w:right w:val="nil"/>
            </w:tcBorders>
          </w:tcPr>
          <w:p w14:paraId="50C5524D" w14:textId="12862BD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7.76</w:t>
            </w:r>
          </w:p>
        </w:tc>
        <w:tc>
          <w:tcPr>
            <w:tcW w:w="1131" w:type="dxa"/>
            <w:tcBorders>
              <w:top w:val="single" w:sz="4" w:space="0" w:color="auto"/>
              <w:left w:val="nil"/>
              <w:bottom w:val="nil"/>
              <w:right w:val="nil"/>
            </w:tcBorders>
          </w:tcPr>
          <w:p w14:paraId="3CF338E7" w14:textId="797BA57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&lt;.001</w:t>
            </w:r>
          </w:p>
        </w:tc>
        <w:tc>
          <w:tcPr>
            <w:tcW w:w="907" w:type="dxa"/>
            <w:tcBorders>
              <w:top w:val="single" w:sz="4" w:space="0" w:color="auto"/>
              <w:left w:val="nil"/>
              <w:bottom w:val="nil"/>
              <w:right w:val="nil"/>
            </w:tcBorders>
          </w:tcPr>
          <w:p w14:paraId="6CD6A172" w14:textId="01D143F2"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1.595</w:t>
            </w:r>
          </w:p>
        </w:tc>
        <w:tc>
          <w:tcPr>
            <w:tcW w:w="908" w:type="dxa"/>
            <w:tcBorders>
              <w:top w:val="single" w:sz="4" w:space="0" w:color="auto"/>
              <w:left w:val="nil"/>
              <w:bottom w:val="nil"/>
              <w:right w:val="nil"/>
            </w:tcBorders>
          </w:tcPr>
          <w:p w14:paraId="43083A86" w14:textId="54283D01"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2.681</w:t>
            </w:r>
          </w:p>
        </w:tc>
      </w:tr>
      <w:tr w:rsidR="006118BA" w:rsidRPr="007D21E3" w14:paraId="667FC3DB" w14:textId="2DBA0132" w:rsidTr="0013230B">
        <w:trPr>
          <w:trHeight w:val="527"/>
        </w:trPr>
        <w:tc>
          <w:tcPr>
            <w:tcW w:w="2203" w:type="dxa"/>
            <w:tcBorders>
              <w:top w:val="nil"/>
              <w:left w:val="nil"/>
              <w:bottom w:val="nil"/>
              <w:right w:val="nil"/>
            </w:tcBorders>
          </w:tcPr>
          <w:p w14:paraId="266A2D50" w14:textId="0BC51723"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Impulsivity</w:t>
            </w:r>
          </w:p>
        </w:tc>
        <w:tc>
          <w:tcPr>
            <w:tcW w:w="1115" w:type="dxa"/>
            <w:tcBorders>
              <w:top w:val="nil"/>
              <w:left w:val="nil"/>
              <w:bottom w:val="nil"/>
              <w:right w:val="nil"/>
            </w:tcBorders>
          </w:tcPr>
          <w:p w14:paraId="52591946" w14:textId="1D9693BC"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.14</w:t>
            </w:r>
          </w:p>
        </w:tc>
        <w:tc>
          <w:tcPr>
            <w:tcW w:w="1120" w:type="dxa"/>
            <w:tcBorders>
              <w:top w:val="nil"/>
              <w:left w:val="nil"/>
              <w:bottom w:val="nil"/>
              <w:right w:val="nil"/>
            </w:tcBorders>
          </w:tcPr>
          <w:p w14:paraId="3F2B69A6" w14:textId="1562089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.12</w:t>
            </w:r>
          </w:p>
        </w:tc>
        <w:tc>
          <w:tcPr>
            <w:tcW w:w="1105" w:type="dxa"/>
            <w:tcBorders>
              <w:top w:val="nil"/>
              <w:left w:val="nil"/>
              <w:bottom w:val="nil"/>
              <w:right w:val="nil"/>
            </w:tcBorders>
          </w:tcPr>
          <w:p w14:paraId="7F80C943" w14:textId="7A4506DF"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.09</w:t>
            </w:r>
          </w:p>
        </w:tc>
        <w:tc>
          <w:tcPr>
            <w:tcW w:w="1115" w:type="dxa"/>
            <w:tcBorders>
              <w:top w:val="nil"/>
              <w:left w:val="nil"/>
              <w:bottom w:val="nil"/>
              <w:right w:val="nil"/>
            </w:tcBorders>
          </w:tcPr>
          <w:p w14:paraId="0AB605E1" w14:textId="46003F38"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1.27</w:t>
            </w:r>
          </w:p>
        </w:tc>
        <w:tc>
          <w:tcPr>
            <w:tcW w:w="1131" w:type="dxa"/>
            <w:tcBorders>
              <w:top w:val="nil"/>
              <w:left w:val="nil"/>
              <w:bottom w:val="nil"/>
              <w:right w:val="nil"/>
            </w:tcBorders>
          </w:tcPr>
          <w:p w14:paraId="040C4A01" w14:textId="27BA44CC"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.207</w:t>
            </w:r>
          </w:p>
        </w:tc>
        <w:tc>
          <w:tcPr>
            <w:tcW w:w="907" w:type="dxa"/>
            <w:tcBorders>
              <w:top w:val="nil"/>
              <w:left w:val="nil"/>
              <w:bottom w:val="nil"/>
              <w:right w:val="nil"/>
            </w:tcBorders>
          </w:tcPr>
          <w:p w14:paraId="71A90A90" w14:textId="26B94202"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-.076</w:t>
            </w:r>
          </w:p>
        </w:tc>
        <w:tc>
          <w:tcPr>
            <w:tcW w:w="908" w:type="dxa"/>
            <w:tcBorders>
              <w:top w:val="nil"/>
              <w:left w:val="nil"/>
              <w:bottom w:val="nil"/>
              <w:right w:val="nil"/>
            </w:tcBorders>
          </w:tcPr>
          <w:p w14:paraId="53CC9ED3" w14:textId="2C260DC3"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.349</w:t>
            </w:r>
          </w:p>
        </w:tc>
      </w:tr>
      <w:tr w:rsidR="006118BA" w:rsidRPr="007D21E3" w14:paraId="39B240F8" w14:textId="6BF5DF50" w:rsidTr="0013230B">
        <w:trPr>
          <w:trHeight w:val="527"/>
        </w:trPr>
        <w:tc>
          <w:tcPr>
            <w:tcW w:w="2203" w:type="dxa"/>
            <w:tcBorders>
              <w:top w:val="nil"/>
              <w:left w:val="nil"/>
              <w:bottom w:val="nil"/>
              <w:right w:val="nil"/>
            </w:tcBorders>
          </w:tcPr>
          <w:p w14:paraId="6D45FEAB" w14:textId="7B2ADEB4"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NSSI</w:t>
            </w:r>
          </w:p>
        </w:tc>
        <w:tc>
          <w:tcPr>
            <w:tcW w:w="1115" w:type="dxa"/>
            <w:tcBorders>
              <w:top w:val="nil"/>
              <w:left w:val="nil"/>
              <w:bottom w:val="nil"/>
              <w:right w:val="nil"/>
            </w:tcBorders>
          </w:tcPr>
          <w:p w14:paraId="3147E81F" w14:textId="1BE76F31"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.05</w:t>
            </w:r>
          </w:p>
        </w:tc>
        <w:tc>
          <w:tcPr>
            <w:tcW w:w="1120" w:type="dxa"/>
            <w:tcBorders>
              <w:top w:val="nil"/>
              <w:left w:val="nil"/>
              <w:bottom w:val="nil"/>
              <w:right w:val="nil"/>
            </w:tcBorders>
          </w:tcPr>
          <w:p w14:paraId="2EA0CCCC" w14:textId="0B20FEC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.01</w:t>
            </w:r>
          </w:p>
        </w:tc>
        <w:tc>
          <w:tcPr>
            <w:tcW w:w="1105" w:type="dxa"/>
            <w:tcBorders>
              <w:top w:val="nil"/>
              <w:left w:val="nil"/>
              <w:bottom w:val="nil"/>
              <w:right w:val="nil"/>
            </w:tcBorders>
          </w:tcPr>
          <w:p w14:paraId="69DD7849" w14:textId="4525873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.22</w:t>
            </w:r>
          </w:p>
        </w:tc>
        <w:tc>
          <w:tcPr>
            <w:tcW w:w="1115" w:type="dxa"/>
            <w:tcBorders>
              <w:top w:val="nil"/>
              <w:left w:val="nil"/>
              <w:bottom w:val="nil"/>
              <w:right w:val="nil"/>
            </w:tcBorders>
          </w:tcPr>
          <w:p w14:paraId="705C81FA" w14:textId="7FA9506E"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3.30</w:t>
            </w:r>
          </w:p>
        </w:tc>
        <w:tc>
          <w:tcPr>
            <w:tcW w:w="1131" w:type="dxa"/>
            <w:tcBorders>
              <w:top w:val="nil"/>
              <w:left w:val="nil"/>
              <w:bottom w:val="nil"/>
              <w:right w:val="nil"/>
            </w:tcBorders>
          </w:tcPr>
          <w:p w14:paraId="27F33E85" w14:textId="6ED85FA7"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.001</w:t>
            </w:r>
          </w:p>
        </w:tc>
        <w:tc>
          <w:tcPr>
            <w:tcW w:w="907" w:type="dxa"/>
            <w:tcBorders>
              <w:top w:val="nil"/>
              <w:left w:val="nil"/>
              <w:bottom w:val="nil"/>
              <w:right w:val="nil"/>
            </w:tcBorders>
          </w:tcPr>
          <w:p w14:paraId="17AC6FB6" w14:textId="4AEAACCF"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.018</w:t>
            </w:r>
          </w:p>
        </w:tc>
        <w:tc>
          <w:tcPr>
            <w:tcW w:w="908" w:type="dxa"/>
            <w:tcBorders>
              <w:top w:val="nil"/>
              <w:left w:val="nil"/>
              <w:bottom w:val="nil"/>
              <w:right w:val="nil"/>
            </w:tcBorders>
          </w:tcPr>
          <w:p w14:paraId="5284F806" w14:textId="27F4592B"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.073</w:t>
            </w:r>
          </w:p>
        </w:tc>
      </w:tr>
      <w:tr w:rsidR="006118BA" w:rsidRPr="007D21E3" w14:paraId="709C2775" w14:textId="522BD0AD" w:rsidTr="0013230B">
        <w:trPr>
          <w:trHeight w:val="527"/>
        </w:trPr>
        <w:tc>
          <w:tcPr>
            <w:tcW w:w="2203" w:type="dxa"/>
            <w:tcBorders>
              <w:top w:val="nil"/>
              <w:left w:val="nil"/>
              <w:bottom w:val="single" w:sz="4" w:space="0" w:color="auto"/>
              <w:right w:val="nil"/>
            </w:tcBorders>
          </w:tcPr>
          <w:p w14:paraId="0DF6A587" w14:textId="11081B72"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w:t>
            </w:r>
          </w:p>
        </w:tc>
        <w:tc>
          <w:tcPr>
            <w:tcW w:w="1115" w:type="dxa"/>
            <w:tcBorders>
              <w:top w:val="nil"/>
              <w:left w:val="nil"/>
              <w:bottom w:val="single" w:sz="4" w:space="0" w:color="auto"/>
              <w:right w:val="nil"/>
            </w:tcBorders>
          </w:tcPr>
          <w:p w14:paraId="4A38DEB2" w14:textId="18A15C1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.18</w:t>
            </w:r>
          </w:p>
        </w:tc>
        <w:tc>
          <w:tcPr>
            <w:tcW w:w="1120" w:type="dxa"/>
            <w:tcBorders>
              <w:top w:val="nil"/>
              <w:left w:val="nil"/>
              <w:bottom w:val="single" w:sz="4" w:space="0" w:color="auto"/>
              <w:right w:val="nil"/>
            </w:tcBorders>
          </w:tcPr>
          <w:p w14:paraId="02C4246A" w14:textId="01573F38"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.09</w:t>
            </w:r>
          </w:p>
        </w:tc>
        <w:tc>
          <w:tcPr>
            <w:tcW w:w="1105" w:type="dxa"/>
            <w:tcBorders>
              <w:top w:val="nil"/>
              <w:left w:val="nil"/>
              <w:bottom w:val="single" w:sz="4" w:space="0" w:color="auto"/>
              <w:right w:val="nil"/>
            </w:tcBorders>
          </w:tcPr>
          <w:p w14:paraId="39B5B081" w14:textId="42AC6AE7"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.13</w:t>
            </w:r>
          </w:p>
        </w:tc>
        <w:tc>
          <w:tcPr>
            <w:tcW w:w="1115" w:type="dxa"/>
            <w:tcBorders>
              <w:top w:val="nil"/>
              <w:left w:val="nil"/>
              <w:bottom w:val="single" w:sz="4" w:space="0" w:color="auto"/>
              <w:right w:val="nil"/>
            </w:tcBorders>
          </w:tcPr>
          <w:p w14:paraId="0A410EF9" w14:textId="4B80CC87"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1.94</w:t>
            </w:r>
          </w:p>
        </w:tc>
        <w:tc>
          <w:tcPr>
            <w:tcW w:w="1131" w:type="dxa"/>
            <w:tcBorders>
              <w:top w:val="nil"/>
              <w:left w:val="nil"/>
              <w:bottom w:val="single" w:sz="4" w:space="0" w:color="auto"/>
              <w:right w:val="nil"/>
            </w:tcBorders>
          </w:tcPr>
          <w:p w14:paraId="7CE82338" w14:textId="3FDDC342"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.054</w:t>
            </w:r>
          </w:p>
        </w:tc>
        <w:tc>
          <w:tcPr>
            <w:tcW w:w="907" w:type="dxa"/>
            <w:tcBorders>
              <w:top w:val="nil"/>
              <w:left w:val="nil"/>
              <w:bottom w:val="single" w:sz="4" w:space="0" w:color="auto"/>
              <w:right w:val="nil"/>
            </w:tcBorders>
          </w:tcPr>
          <w:p w14:paraId="1F289B8C" w14:textId="640D8389"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-.003</w:t>
            </w:r>
          </w:p>
        </w:tc>
        <w:tc>
          <w:tcPr>
            <w:tcW w:w="908" w:type="dxa"/>
            <w:tcBorders>
              <w:top w:val="nil"/>
              <w:left w:val="nil"/>
              <w:bottom w:val="single" w:sz="4" w:space="0" w:color="auto"/>
              <w:right w:val="nil"/>
            </w:tcBorders>
          </w:tcPr>
          <w:p w14:paraId="75F15629" w14:textId="757C1275"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.367</w:t>
            </w:r>
          </w:p>
        </w:tc>
      </w:tr>
      <w:tr w:rsidR="006118BA" w:rsidRPr="007D21E3" w14:paraId="32090B54" w14:textId="46835084" w:rsidTr="0013230B">
        <w:trPr>
          <w:trHeight w:val="527"/>
        </w:trPr>
        <w:tc>
          <w:tcPr>
            <w:tcW w:w="2203" w:type="dxa"/>
            <w:tcBorders>
              <w:top w:val="single" w:sz="4" w:space="0" w:color="auto"/>
              <w:left w:val="nil"/>
              <w:bottom w:val="nil"/>
              <w:right w:val="nil"/>
            </w:tcBorders>
          </w:tcPr>
          <w:p w14:paraId="47F20E3A" w14:textId="28EEA62D"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2. Constant</w:t>
            </w:r>
          </w:p>
        </w:tc>
        <w:tc>
          <w:tcPr>
            <w:tcW w:w="1115" w:type="dxa"/>
            <w:tcBorders>
              <w:top w:val="single" w:sz="4" w:space="0" w:color="auto"/>
              <w:left w:val="nil"/>
              <w:bottom w:val="nil"/>
              <w:right w:val="nil"/>
            </w:tcBorders>
          </w:tcPr>
          <w:p w14:paraId="2C18A93A" w14:textId="0BA65ABE"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3.48</w:t>
            </w:r>
          </w:p>
        </w:tc>
        <w:tc>
          <w:tcPr>
            <w:tcW w:w="1120" w:type="dxa"/>
            <w:tcBorders>
              <w:top w:val="single" w:sz="4" w:space="0" w:color="auto"/>
              <w:left w:val="nil"/>
              <w:bottom w:val="nil"/>
              <w:right w:val="nil"/>
            </w:tcBorders>
          </w:tcPr>
          <w:p w14:paraId="4920EDF6" w14:textId="4E8E32D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.80</w:t>
            </w:r>
          </w:p>
        </w:tc>
        <w:tc>
          <w:tcPr>
            <w:tcW w:w="1105" w:type="dxa"/>
            <w:tcBorders>
              <w:top w:val="single" w:sz="4" w:space="0" w:color="auto"/>
              <w:left w:val="nil"/>
              <w:bottom w:val="nil"/>
              <w:right w:val="nil"/>
            </w:tcBorders>
          </w:tcPr>
          <w:p w14:paraId="0F55D2AF" w14:textId="236EC99D"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w:t>
            </w:r>
          </w:p>
        </w:tc>
        <w:tc>
          <w:tcPr>
            <w:tcW w:w="1115" w:type="dxa"/>
            <w:tcBorders>
              <w:top w:val="single" w:sz="4" w:space="0" w:color="auto"/>
              <w:left w:val="nil"/>
              <w:bottom w:val="nil"/>
              <w:right w:val="nil"/>
            </w:tcBorders>
          </w:tcPr>
          <w:p w14:paraId="6A802EA8" w14:textId="2CF1310F"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4.33</w:t>
            </w:r>
          </w:p>
        </w:tc>
        <w:tc>
          <w:tcPr>
            <w:tcW w:w="1131" w:type="dxa"/>
            <w:tcBorders>
              <w:top w:val="single" w:sz="4" w:space="0" w:color="auto"/>
              <w:left w:val="nil"/>
              <w:bottom w:val="nil"/>
              <w:right w:val="nil"/>
            </w:tcBorders>
          </w:tcPr>
          <w:p w14:paraId="528ACDE1" w14:textId="6690261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&lt;.001</w:t>
            </w:r>
          </w:p>
        </w:tc>
        <w:tc>
          <w:tcPr>
            <w:tcW w:w="907" w:type="dxa"/>
            <w:tcBorders>
              <w:top w:val="single" w:sz="4" w:space="0" w:color="auto"/>
              <w:left w:val="nil"/>
              <w:bottom w:val="nil"/>
              <w:right w:val="nil"/>
            </w:tcBorders>
          </w:tcPr>
          <w:p w14:paraId="0C18E251" w14:textId="33DCFDBA"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1.899</w:t>
            </w:r>
          </w:p>
        </w:tc>
        <w:tc>
          <w:tcPr>
            <w:tcW w:w="908" w:type="dxa"/>
            <w:tcBorders>
              <w:top w:val="single" w:sz="4" w:space="0" w:color="auto"/>
              <w:left w:val="nil"/>
              <w:bottom w:val="nil"/>
              <w:right w:val="nil"/>
            </w:tcBorders>
          </w:tcPr>
          <w:p w14:paraId="36B4A7E7" w14:textId="3FFE9FB6"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5.068</w:t>
            </w:r>
          </w:p>
        </w:tc>
      </w:tr>
      <w:tr w:rsidR="006118BA" w:rsidRPr="007D21E3" w14:paraId="3897D9C5" w14:textId="4B9A1B7D" w:rsidTr="0013230B">
        <w:trPr>
          <w:trHeight w:val="527"/>
        </w:trPr>
        <w:tc>
          <w:tcPr>
            <w:tcW w:w="2203" w:type="dxa"/>
            <w:tcBorders>
              <w:top w:val="nil"/>
              <w:left w:val="nil"/>
              <w:bottom w:val="nil"/>
              <w:right w:val="nil"/>
            </w:tcBorders>
          </w:tcPr>
          <w:p w14:paraId="3BFED209" w14:textId="0453EB9C"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Impulsivity</w:t>
            </w:r>
          </w:p>
        </w:tc>
        <w:tc>
          <w:tcPr>
            <w:tcW w:w="1115" w:type="dxa"/>
            <w:tcBorders>
              <w:top w:val="nil"/>
              <w:left w:val="nil"/>
              <w:bottom w:val="nil"/>
              <w:right w:val="nil"/>
            </w:tcBorders>
          </w:tcPr>
          <w:p w14:paraId="39CC69ED" w14:textId="07F3E5D9"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-.41</w:t>
            </w:r>
          </w:p>
        </w:tc>
        <w:tc>
          <w:tcPr>
            <w:tcW w:w="1120" w:type="dxa"/>
            <w:tcBorders>
              <w:top w:val="nil"/>
              <w:left w:val="nil"/>
              <w:bottom w:val="nil"/>
              <w:right w:val="nil"/>
            </w:tcBorders>
          </w:tcPr>
          <w:p w14:paraId="72088DF3" w14:textId="6D6E9652"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.35</w:t>
            </w:r>
          </w:p>
        </w:tc>
        <w:tc>
          <w:tcPr>
            <w:tcW w:w="1105" w:type="dxa"/>
            <w:tcBorders>
              <w:top w:val="nil"/>
              <w:left w:val="nil"/>
              <w:bottom w:val="nil"/>
              <w:right w:val="nil"/>
            </w:tcBorders>
          </w:tcPr>
          <w:p w14:paraId="4D3A8FD9" w14:textId="00B51FF1"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-.26</w:t>
            </w:r>
          </w:p>
        </w:tc>
        <w:tc>
          <w:tcPr>
            <w:tcW w:w="1115" w:type="dxa"/>
            <w:tcBorders>
              <w:top w:val="nil"/>
              <w:left w:val="nil"/>
              <w:bottom w:val="nil"/>
              <w:right w:val="nil"/>
            </w:tcBorders>
          </w:tcPr>
          <w:p w14:paraId="5AAD5950" w14:textId="3BF3DA4D"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-1.20</w:t>
            </w:r>
          </w:p>
        </w:tc>
        <w:tc>
          <w:tcPr>
            <w:tcW w:w="1131" w:type="dxa"/>
            <w:tcBorders>
              <w:top w:val="nil"/>
              <w:left w:val="nil"/>
              <w:bottom w:val="nil"/>
              <w:right w:val="nil"/>
            </w:tcBorders>
          </w:tcPr>
          <w:p w14:paraId="474837F7" w14:textId="0A64ADEF"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.231</w:t>
            </w:r>
          </w:p>
        </w:tc>
        <w:tc>
          <w:tcPr>
            <w:tcW w:w="907" w:type="dxa"/>
            <w:tcBorders>
              <w:top w:val="nil"/>
              <w:left w:val="nil"/>
              <w:bottom w:val="nil"/>
              <w:right w:val="nil"/>
            </w:tcBorders>
          </w:tcPr>
          <w:p w14:paraId="1D4BB763" w14:textId="2641EC79"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-1.094</w:t>
            </w:r>
          </w:p>
        </w:tc>
        <w:tc>
          <w:tcPr>
            <w:tcW w:w="908" w:type="dxa"/>
            <w:tcBorders>
              <w:top w:val="nil"/>
              <w:left w:val="nil"/>
              <w:bottom w:val="nil"/>
              <w:right w:val="nil"/>
            </w:tcBorders>
          </w:tcPr>
          <w:p w14:paraId="721D6AB1" w14:textId="4A19B240"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.266</w:t>
            </w:r>
          </w:p>
        </w:tc>
      </w:tr>
      <w:tr w:rsidR="006118BA" w:rsidRPr="007D21E3" w14:paraId="1609A231" w14:textId="6D92F1CC" w:rsidTr="0013230B">
        <w:trPr>
          <w:trHeight w:val="527"/>
        </w:trPr>
        <w:tc>
          <w:tcPr>
            <w:tcW w:w="2203" w:type="dxa"/>
            <w:tcBorders>
              <w:top w:val="nil"/>
              <w:left w:val="nil"/>
              <w:bottom w:val="nil"/>
              <w:right w:val="nil"/>
            </w:tcBorders>
          </w:tcPr>
          <w:p w14:paraId="3E57203C" w14:textId="399AC62A"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NSSI</w:t>
            </w:r>
          </w:p>
        </w:tc>
        <w:tc>
          <w:tcPr>
            <w:tcW w:w="1115" w:type="dxa"/>
            <w:tcBorders>
              <w:top w:val="nil"/>
              <w:left w:val="nil"/>
              <w:bottom w:val="nil"/>
              <w:right w:val="nil"/>
            </w:tcBorders>
          </w:tcPr>
          <w:p w14:paraId="2F7C776A" w14:textId="43AC8E5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-.20</w:t>
            </w:r>
          </w:p>
        </w:tc>
        <w:tc>
          <w:tcPr>
            <w:tcW w:w="1120" w:type="dxa"/>
            <w:tcBorders>
              <w:top w:val="nil"/>
              <w:left w:val="nil"/>
              <w:bottom w:val="nil"/>
              <w:right w:val="nil"/>
            </w:tcBorders>
          </w:tcPr>
          <w:p w14:paraId="54FDDA46" w14:textId="721F3CB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.09</w:t>
            </w:r>
          </w:p>
        </w:tc>
        <w:tc>
          <w:tcPr>
            <w:tcW w:w="1105" w:type="dxa"/>
            <w:tcBorders>
              <w:top w:val="nil"/>
              <w:left w:val="nil"/>
              <w:bottom w:val="nil"/>
              <w:right w:val="nil"/>
            </w:tcBorders>
          </w:tcPr>
          <w:p w14:paraId="29AB952F" w14:textId="069152E8"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-.96</w:t>
            </w:r>
          </w:p>
        </w:tc>
        <w:tc>
          <w:tcPr>
            <w:tcW w:w="1115" w:type="dxa"/>
            <w:tcBorders>
              <w:top w:val="nil"/>
              <w:left w:val="nil"/>
              <w:bottom w:val="nil"/>
              <w:right w:val="nil"/>
            </w:tcBorders>
          </w:tcPr>
          <w:p w14:paraId="3686F92D" w14:textId="45266A9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-2.29</w:t>
            </w:r>
          </w:p>
        </w:tc>
        <w:tc>
          <w:tcPr>
            <w:tcW w:w="1131" w:type="dxa"/>
            <w:tcBorders>
              <w:top w:val="nil"/>
              <w:left w:val="nil"/>
              <w:bottom w:val="nil"/>
              <w:right w:val="nil"/>
            </w:tcBorders>
          </w:tcPr>
          <w:p w14:paraId="731209AA" w14:textId="7C3606C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.023</w:t>
            </w:r>
          </w:p>
        </w:tc>
        <w:tc>
          <w:tcPr>
            <w:tcW w:w="907" w:type="dxa"/>
            <w:tcBorders>
              <w:top w:val="nil"/>
              <w:left w:val="nil"/>
              <w:bottom w:val="nil"/>
              <w:right w:val="nil"/>
            </w:tcBorders>
          </w:tcPr>
          <w:p w14:paraId="7E57C2CD" w14:textId="56D8285A"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-.370</w:t>
            </w:r>
          </w:p>
        </w:tc>
        <w:tc>
          <w:tcPr>
            <w:tcW w:w="908" w:type="dxa"/>
            <w:tcBorders>
              <w:top w:val="nil"/>
              <w:left w:val="nil"/>
              <w:bottom w:val="nil"/>
              <w:right w:val="nil"/>
            </w:tcBorders>
          </w:tcPr>
          <w:p w14:paraId="395315B9" w14:textId="3D90DC23"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-.028</w:t>
            </w:r>
          </w:p>
        </w:tc>
      </w:tr>
      <w:tr w:rsidR="006118BA" w:rsidRPr="007D21E3" w14:paraId="3C633E8B" w14:textId="4375225D" w:rsidTr="0013230B">
        <w:trPr>
          <w:trHeight w:val="527"/>
        </w:trPr>
        <w:tc>
          <w:tcPr>
            <w:tcW w:w="2203" w:type="dxa"/>
            <w:tcBorders>
              <w:top w:val="nil"/>
              <w:left w:val="nil"/>
              <w:bottom w:val="nil"/>
              <w:right w:val="nil"/>
            </w:tcBorders>
          </w:tcPr>
          <w:p w14:paraId="3BDCEFC6" w14:textId="37245EBE"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w:t>
            </w:r>
          </w:p>
        </w:tc>
        <w:tc>
          <w:tcPr>
            <w:tcW w:w="1115" w:type="dxa"/>
            <w:tcBorders>
              <w:top w:val="nil"/>
              <w:left w:val="nil"/>
              <w:bottom w:val="nil"/>
              <w:right w:val="nil"/>
            </w:tcBorders>
          </w:tcPr>
          <w:p w14:paraId="25E743B7" w14:textId="4DDD51E2"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-.31</w:t>
            </w:r>
          </w:p>
        </w:tc>
        <w:tc>
          <w:tcPr>
            <w:tcW w:w="1120" w:type="dxa"/>
            <w:tcBorders>
              <w:top w:val="nil"/>
              <w:left w:val="nil"/>
              <w:bottom w:val="nil"/>
              <w:right w:val="nil"/>
            </w:tcBorders>
          </w:tcPr>
          <w:p w14:paraId="341D9394" w14:textId="336880A9"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.57</w:t>
            </w:r>
          </w:p>
        </w:tc>
        <w:tc>
          <w:tcPr>
            <w:tcW w:w="1105" w:type="dxa"/>
            <w:tcBorders>
              <w:top w:val="nil"/>
              <w:left w:val="nil"/>
              <w:bottom w:val="nil"/>
              <w:right w:val="nil"/>
            </w:tcBorders>
          </w:tcPr>
          <w:p w14:paraId="6DB37545" w14:textId="6CCF6F2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-.22</w:t>
            </w:r>
          </w:p>
        </w:tc>
        <w:tc>
          <w:tcPr>
            <w:tcW w:w="1115" w:type="dxa"/>
            <w:tcBorders>
              <w:top w:val="nil"/>
              <w:left w:val="nil"/>
              <w:bottom w:val="nil"/>
              <w:right w:val="nil"/>
            </w:tcBorders>
          </w:tcPr>
          <w:p w14:paraId="18A6D679" w14:textId="6DD47C12"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-.55</w:t>
            </w:r>
          </w:p>
        </w:tc>
        <w:tc>
          <w:tcPr>
            <w:tcW w:w="1131" w:type="dxa"/>
            <w:tcBorders>
              <w:top w:val="nil"/>
              <w:left w:val="nil"/>
              <w:bottom w:val="nil"/>
              <w:right w:val="nil"/>
            </w:tcBorders>
          </w:tcPr>
          <w:p w14:paraId="537EA3EB" w14:textId="7E151BAE"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.583</w:t>
            </w:r>
          </w:p>
        </w:tc>
        <w:tc>
          <w:tcPr>
            <w:tcW w:w="907" w:type="dxa"/>
            <w:tcBorders>
              <w:top w:val="nil"/>
              <w:left w:val="nil"/>
              <w:bottom w:val="nil"/>
              <w:right w:val="nil"/>
            </w:tcBorders>
          </w:tcPr>
          <w:p w14:paraId="2FBC8827" w14:textId="795A0394"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-1.440</w:t>
            </w:r>
          </w:p>
        </w:tc>
        <w:tc>
          <w:tcPr>
            <w:tcW w:w="908" w:type="dxa"/>
            <w:tcBorders>
              <w:top w:val="nil"/>
              <w:left w:val="nil"/>
              <w:bottom w:val="nil"/>
              <w:right w:val="nil"/>
            </w:tcBorders>
          </w:tcPr>
          <w:p w14:paraId="7FB4208C" w14:textId="0D482EF1"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.812</w:t>
            </w:r>
          </w:p>
        </w:tc>
      </w:tr>
      <w:tr w:rsidR="006118BA" w:rsidRPr="007D21E3" w14:paraId="13BF255B" w14:textId="3C51A81A" w:rsidTr="0013230B">
        <w:trPr>
          <w:trHeight w:val="527"/>
        </w:trPr>
        <w:tc>
          <w:tcPr>
            <w:tcW w:w="2203" w:type="dxa"/>
            <w:tcBorders>
              <w:top w:val="nil"/>
              <w:left w:val="nil"/>
              <w:bottom w:val="nil"/>
              <w:right w:val="nil"/>
            </w:tcBorders>
          </w:tcPr>
          <w:p w14:paraId="62E941FB" w14:textId="5FC6F3DA"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 x Impulsivity</w:t>
            </w:r>
          </w:p>
        </w:tc>
        <w:tc>
          <w:tcPr>
            <w:tcW w:w="1115" w:type="dxa"/>
            <w:tcBorders>
              <w:top w:val="nil"/>
              <w:left w:val="nil"/>
              <w:bottom w:val="nil"/>
              <w:right w:val="nil"/>
            </w:tcBorders>
          </w:tcPr>
          <w:p w14:paraId="29953285" w14:textId="3E9B205F"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.18</w:t>
            </w:r>
          </w:p>
        </w:tc>
        <w:tc>
          <w:tcPr>
            <w:tcW w:w="1120" w:type="dxa"/>
            <w:tcBorders>
              <w:top w:val="nil"/>
              <w:left w:val="nil"/>
              <w:bottom w:val="nil"/>
              <w:right w:val="nil"/>
            </w:tcBorders>
          </w:tcPr>
          <w:p w14:paraId="5BBFE737" w14:textId="4B1CA0F2"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.24</w:t>
            </w:r>
          </w:p>
        </w:tc>
        <w:tc>
          <w:tcPr>
            <w:tcW w:w="1105" w:type="dxa"/>
            <w:tcBorders>
              <w:top w:val="nil"/>
              <w:left w:val="nil"/>
              <w:bottom w:val="nil"/>
              <w:right w:val="nil"/>
            </w:tcBorders>
          </w:tcPr>
          <w:p w14:paraId="6C160D15" w14:textId="5F53131E"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.32</w:t>
            </w:r>
          </w:p>
        </w:tc>
        <w:tc>
          <w:tcPr>
            <w:tcW w:w="1115" w:type="dxa"/>
            <w:tcBorders>
              <w:top w:val="nil"/>
              <w:left w:val="nil"/>
              <w:bottom w:val="nil"/>
              <w:right w:val="nil"/>
            </w:tcBorders>
          </w:tcPr>
          <w:p w14:paraId="2500D23F" w14:textId="1E3C938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.74</w:t>
            </w:r>
          </w:p>
        </w:tc>
        <w:tc>
          <w:tcPr>
            <w:tcW w:w="1131" w:type="dxa"/>
            <w:tcBorders>
              <w:top w:val="nil"/>
              <w:left w:val="nil"/>
              <w:bottom w:val="nil"/>
              <w:right w:val="nil"/>
            </w:tcBorders>
          </w:tcPr>
          <w:p w14:paraId="2B8E78DB" w14:textId="6E813071"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.460</w:t>
            </w:r>
          </w:p>
        </w:tc>
        <w:tc>
          <w:tcPr>
            <w:tcW w:w="907" w:type="dxa"/>
            <w:tcBorders>
              <w:top w:val="nil"/>
              <w:left w:val="nil"/>
              <w:bottom w:val="nil"/>
              <w:right w:val="nil"/>
            </w:tcBorders>
          </w:tcPr>
          <w:p w14:paraId="57235965" w14:textId="253D95DD"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-.301</w:t>
            </w:r>
          </w:p>
        </w:tc>
        <w:tc>
          <w:tcPr>
            <w:tcW w:w="908" w:type="dxa"/>
            <w:tcBorders>
              <w:top w:val="nil"/>
              <w:left w:val="nil"/>
              <w:bottom w:val="nil"/>
              <w:right w:val="nil"/>
            </w:tcBorders>
          </w:tcPr>
          <w:p w14:paraId="23AAB00F" w14:textId="46AB0F9C"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.662</w:t>
            </w:r>
          </w:p>
        </w:tc>
      </w:tr>
      <w:tr w:rsidR="006118BA" w:rsidRPr="007D21E3" w14:paraId="5ADC0EDB" w14:textId="6630F548" w:rsidTr="0013230B">
        <w:trPr>
          <w:trHeight w:val="527"/>
        </w:trPr>
        <w:tc>
          <w:tcPr>
            <w:tcW w:w="2203" w:type="dxa"/>
            <w:tcBorders>
              <w:top w:val="nil"/>
              <w:left w:val="nil"/>
              <w:bottom w:val="nil"/>
              <w:right w:val="nil"/>
            </w:tcBorders>
          </w:tcPr>
          <w:p w14:paraId="1690E7CF" w14:textId="39DD98DB"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 x NSSI</w:t>
            </w:r>
          </w:p>
        </w:tc>
        <w:tc>
          <w:tcPr>
            <w:tcW w:w="1115" w:type="dxa"/>
            <w:tcBorders>
              <w:top w:val="nil"/>
              <w:left w:val="nil"/>
              <w:bottom w:val="nil"/>
              <w:right w:val="nil"/>
            </w:tcBorders>
          </w:tcPr>
          <w:p w14:paraId="50199B48" w14:textId="39851FF0"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.03</w:t>
            </w:r>
          </w:p>
        </w:tc>
        <w:tc>
          <w:tcPr>
            <w:tcW w:w="1120" w:type="dxa"/>
            <w:tcBorders>
              <w:top w:val="nil"/>
              <w:left w:val="nil"/>
              <w:bottom w:val="nil"/>
              <w:right w:val="nil"/>
            </w:tcBorders>
          </w:tcPr>
          <w:p w14:paraId="01670402" w14:textId="30A41C85"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.03</w:t>
            </w:r>
          </w:p>
        </w:tc>
        <w:tc>
          <w:tcPr>
            <w:tcW w:w="1105" w:type="dxa"/>
            <w:tcBorders>
              <w:top w:val="nil"/>
              <w:left w:val="nil"/>
              <w:bottom w:val="nil"/>
              <w:right w:val="nil"/>
            </w:tcBorders>
          </w:tcPr>
          <w:p w14:paraId="681174F3" w14:textId="2947191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.18</w:t>
            </w:r>
          </w:p>
        </w:tc>
        <w:tc>
          <w:tcPr>
            <w:tcW w:w="1115" w:type="dxa"/>
            <w:tcBorders>
              <w:top w:val="nil"/>
              <w:left w:val="nil"/>
              <w:bottom w:val="nil"/>
              <w:right w:val="nil"/>
            </w:tcBorders>
          </w:tcPr>
          <w:p w14:paraId="00C07F46" w14:textId="265F0AF2"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1.01</w:t>
            </w:r>
          </w:p>
        </w:tc>
        <w:tc>
          <w:tcPr>
            <w:tcW w:w="1131" w:type="dxa"/>
            <w:tcBorders>
              <w:top w:val="nil"/>
              <w:left w:val="nil"/>
              <w:bottom w:val="nil"/>
              <w:right w:val="nil"/>
            </w:tcBorders>
          </w:tcPr>
          <w:p w14:paraId="73DF5C12" w14:textId="7B333D2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.316</w:t>
            </w:r>
          </w:p>
        </w:tc>
        <w:tc>
          <w:tcPr>
            <w:tcW w:w="907" w:type="dxa"/>
            <w:tcBorders>
              <w:top w:val="nil"/>
              <w:left w:val="nil"/>
              <w:bottom w:val="nil"/>
              <w:right w:val="nil"/>
            </w:tcBorders>
          </w:tcPr>
          <w:p w14:paraId="0668DD3D" w14:textId="2B82A2B9"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-.026</w:t>
            </w:r>
          </w:p>
        </w:tc>
        <w:tc>
          <w:tcPr>
            <w:tcW w:w="908" w:type="dxa"/>
            <w:tcBorders>
              <w:top w:val="nil"/>
              <w:left w:val="nil"/>
              <w:bottom w:val="nil"/>
              <w:right w:val="nil"/>
            </w:tcBorders>
          </w:tcPr>
          <w:p w14:paraId="7F3EB015" w14:textId="4DA95EE2"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.081</w:t>
            </w:r>
          </w:p>
        </w:tc>
      </w:tr>
      <w:tr w:rsidR="006118BA" w:rsidRPr="007D21E3" w14:paraId="4407CFDC" w14:textId="22F6092C" w:rsidTr="0013230B">
        <w:trPr>
          <w:trHeight w:val="527"/>
        </w:trPr>
        <w:tc>
          <w:tcPr>
            <w:tcW w:w="2203" w:type="dxa"/>
            <w:tcBorders>
              <w:top w:val="nil"/>
              <w:left w:val="nil"/>
              <w:bottom w:val="single" w:sz="4" w:space="0" w:color="auto"/>
              <w:right w:val="nil"/>
            </w:tcBorders>
          </w:tcPr>
          <w:p w14:paraId="048AD131" w14:textId="6199D011"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Impulsivity x NSSI</w:t>
            </w:r>
          </w:p>
        </w:tc>
        <w:tc>
          <w:tcPr>
            <w:tcW w:w="1115" w:type="dxa"/>
            <w:tcBorders>
              <w:top w:val="nil"/>
              <w:left w:val="nil"/>
              <w:bottom w:val="single" w:sz="4" w:space="0" w:color="auto"/>
              <w:right w:val="nil"/>
            </w:tcBorders>
          </w:tcPr>
          <w:p w14:paraId="5C87F760" w14:textId="43271CF1"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.09</w:t>
            </w:r>
          </w:p>
        </w:tc>
        <w:tc>
          <w:tcPr>
            <w:tcW w:w="1120" w:type="dxa"/>
            <w:tcBorders>
              <w:top w:val="nil"/>
              <w:left w:val="nil"/>
              <w:bottom w:val="single" w:sz="4" w:space="0" w:color="auto"/>
              <w:right w:val="nil"/>
            </w:tcBorders>
          </w:tcPr>
          <w:p w14:paraId="672A0F04" w14:textId="22E6E82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.03</w:t>
            </w:r>
          </w:p>
        </w:tc>
        <w:tc>
          <w:tcPr>
            <w:tcW w:w="1105" w:type="dxa"/>
            <w:tcBorders>
              <w:top w:val="nil"/>
              <w:left w:val="nil"/>
              <w:bottom w:val="single" w:sz="4" w:space="0" w:color="auto"/>
              <w:right w:val="nil"/>
            </w:tcBorders>
          </w:tcPr>
          <w:p w14:paraId="538EF0EE" w14:textId="0DAFD0FD"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1.11</w:t>
            </w:r>
          </w:p>
        </w:tc>
        <w:tc>
          <w:tcPr>
            <w:tcW w:w="1115" w:type="dxa"/>
            <w:tcBorders>
              <w:top w:val="nil"/>
              <w:left w:val="nil"/>
              <w:bottom w:val="single" w:sz="4" w:space="0" w:color="auto"/>
              <w:right w:val="nil"/>
            </w:tcBorders>
          </w:tcPr>
          <w:p w14:paraId="2DBDCA8E" w14:textId="53D0038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2.76</w:t>
            </w:r>
          </w:p>
        </w:tc>
        <w:tc>
          <w:tcPr>
            <w:tcW w:w="1131" w:type="dxa"/>
            <w:tcBorders>
              <w:top w:val="nil"/>
              <w:left w:val="nil"/>
              <w:bottom w:val="single" w:sz="4" w:space="0" w:color="auto"/>
              <w:right w:val="nil"/>
            </w:tcBorders>
          </w:tcPr>
          <w:p w14:paraId="6510793C" w14:textId="69B9A4B0"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.006</w:t>
            </w:r>
          </w:p>
        </w:tc>
        <w:tc>
          <w:tcPr>
            <w:tcW w:w="907" w:type="dxa"/>
            <w:tcBorders>
              <w:top w:val="nil"/>
              <w:left w:val="nil"/>
              <w:bottom w:val="single" w:sz="4" w:space="0" w:color="auto"/>
              <w:right w:val="nil"/>
            </w:tcBorders>
          </w:tcPr>
          <w:p w14:paraId="04550EB7" w14:textId="75A9EF79"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.026</w:t>
            </w:r>
          </w:p>
        </w:tc>
        <w:tc>
          <w:tcPr>
            <w:tcW w:w="908" w:type="dxa"/>
            <w:tcBorders>
              <w:top w:val="nil"/>
              <w:left w:val="nil"/>
              <w:bottom w:val="single" w:sz="4" w:space="0" w:color="auto"/>
              <w:right w:val="nil"/>
            </w:tcBorders>
          </w:tcPr>
          <w:p w14:paraId="53CA940E" w14:textId="1354D9F7"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.156</w:t>
            </w:r>
          </w:p>
        </w:tc>
      </w:tr>
      <w:tr w:rsidR="006118BA" w:rsidRPr="007D21E3" w14:paraId="4D7BF53B" w14:textId="1D9ECA55" w:rsidTr="0013230B">
        <w:trPr>
          <w:trHeight w:val="527"/>
        </w:trPr>
        <w:tc>
          <w:tcPr>
            <w:tcW w:w="2203" w:type="dxa"/>
            <w:tcBorders>
              <w:top w:val="single" w:sz="4" w:space="0" w:color="auto"/>
              <w:left w:val="nil"/>
              <w:bottom w:val="nil"/>
              <w:right w:val="nil"/>
            </w:tcBorders>
          </w:tcPr>
          <w:p w14:paraId="4071EF15" w14:textId="47117BAF"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3. Constant</w:t>
            </w:r>
          </w:p>
        </w:tc>
        <w:tc>
          <w:tcPr>
            <w:tcW w:w="1115" w:type="dxa"/>
            <w:tcBorders>
              <w:top w:val="single" w:sz="4" w:space="0" w:color="auto"/>
              <w:left w:val="nil"/>
              <w:bottom w:val="nil"/>
              <w:right w:val="nil"/>
            </w:tcBorders>
          </w:tcPr>
          <w:p w14:paraId="6DEDDC22" w14:textId="5C3365F5"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5.142</w:t>
            </w:r>
          </w:p>
        </w:tc>
        <w:tc>
          <w:tcPr>
            <w:tcW w:w="1120" w:type="dxa"/>
            <w:tcBorders>
              <w:top w:val="single" w:sz="4" w:space="0" w:color="auto"/>
              <w:left w:val="nil"/>
              <w:bottom w:val="nil"/>
              <w:right w:val="nil"/>
            </w:tcBorders>
          </w:tcPr>
          <w:p w14:paraId="5922E695" w14:textId="200E510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1.182</w:t>
            </w:r>
          </w:p>
        </w:tc>
        <w:tc>
          <w:tcPr>
            <w:tcW w:w="1105" w:type="dxa"/>
            <w:tcBorders>
              <w:top w:val="single" w:sz="4" w:space="0" w:color="auto"/>
              <w:left w:val="nil"/>
              <w:bottom w:val="nil"/>
              <w:right w:val="nil"/>
            </w:tcBorders>
          </w:tcPr>
          <w:p w14:paraId="2AF4C111" w14:textId="6F14CA6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w:t>
            </w:r>
          </w:p>
        </w:tc>
        <w:tc>
          <w:tcPr>
            <w:tcW w:w="1115" w:type="dxa"/>
            <w:tcBorders>
              <w:top w:val="single" w:sz="4" w:space="0" w:color="auto"/>
              <w:left w:val="nil"/>
              <w:bottom w:val="nil"/>
              <w:right w:val="nil"/>
            </w:tcBorders>
          </w:tcPr>
          <w:p w14:paraId="0A9F61FA" w14:textId="4C3D09A0"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4.350</w:t>
            </w:r>
          </w:p>
        </w:tc>
        <w:tc>
          <w:tcPr>
            <w:tcW w:w="1131" w:type="dxa"/>
            <w:tcBorders>
              <w:top w:val="single" w:sz="4" w:space="0" w:color="auto"/>
              <w:left w:val="nil"/>
              <w:bottom w:val="nil"/>
              <w:right w:val="nil"/>
            </w:tcBorders>
          </w:tcPr>
          <w:p w14:paraId="1F7E5B29" w14:textId="0D7BEA9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&lt;.001</w:t>
            </w:r>
          </w:p>
        </w:tc>
        <w:tc>
          <w:tcPr>
            <w:tcW w:w="907" w:type="dxa"/>
            <w:tcBorders>
              <w:top w:val="single" w:sz="4" w:space="0" w:color="auto"/>
              <w:left w:val="nil"/>
              <w:bottom w:val="nil"/>
              <w:right w:val="nil"/>
            </w:tcBorders>
          </w:tcPr>
          <w:p w14:paraId="11600AF9" w14:textId="393A8683"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2.812</w:t>
            </w:r>
          </w:p>
        </w:tc>
        <w:tc>
          <w:tcPr>
            <w:tcW w:w="908" w:type="dxa"/>
            <w:tcBorders>
              <w:top w:val="single" w:sz="4" w:space="0" w:color="auto"/>
              <w:left w:val="nil"/>
              <w:bottom w:val="nil"/>
              <w:right w:val="nil"/>
            </w:tcBorders>
          </w:tcPr>
          <w:p w14:paraId="6FC4F246" w14:textId="154728C2"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7.472</w:t>
            </w:r>
          </w:p>
        </w:tc>
      </w:tr>
      <w:tr w:rsidR="006118BA" w:rsidRPr="007D21E3" w14:paraId="76CF508C" w14:textId="718F47A3" w:rsidTr="0013230B">
        <w:trPr>
          <w:trHeight w:val="527"/>
        </w:trPr>
        <w:tc>
          <w:tcPr>
            <w:tcW w:w="2203" w:type="dxa"/>
            <w:tcBorders>
              <w:top w:val="nil"/>
              <w:left w:val="nil"/>
              <w:bottom w:val="nil"/>
              <w:right w:val="nil"/>
            </w:tcBorders>
          </w:tcPr>
          <w:p w14:paraId="5E97AFF0" w14:textId="3440DC8E"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Impulsivity</w:t>
            </w:r>
          </w:p>
        </w:tc>
        <w:tc>
          <w:tcPr>
            <w:tcW w:w="1115" w:type="dxa"/>
            <w:tcBorders>
              <w:top w:val="nil"/>
              <w:left w:val="nil"/>
              <w:bottom w:val="nil"/>
              <w:right w:val="nil"/>
            </w:tcBorders>
          </w:tcPr>
          <w:p w14:paraId="7C4564C6" w14:textId="4D5FCD7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-1.129</w:t>
            </w:r>
          </w:p>
        </w:tc>
        <w:tc>
          <w:tcPr>
            <w:tcW w:w="1120" w:type="dxa"/>
            <w:tcBorders>
              <w:top w:val="nil"/>
              <w:left w:val="nil"/>
              <w:bottom w:val="nil"/>
              <w:right w:val="nil"/>
            </w:tcBorders>
          </w:tcPr>
          <w:p w14:paraId="0D37F0ED" w14:textId="321E5254"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.508</w:t>
            </w:r>
          </w:p>
        </w:tc>
        <w:tc>
          <w:tcPr>
            <w:tcW w:w="1105" w:type="dxa"/>
            <w:tcBorders>
              <w:top w:val="nil"/>
              <w:left w:val="nil"/>
              <w:bottom w:val="nil"/>
              <w:right w:val="nil"/>
            </w:tcBorders>
          </w:tcPr>
          <w:p w14:paraId="36226447" w14:textId="38D11A2D"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-.699</w:t>
            </w:r>
          </w:p>
        </w:tc>
        <w:tc>
          <w:tcPr>
            <w:tcW w:w="1115" w:type="dxa"/>
            <w:tcBorders>
              <w:top w:val="nil"/>
              <w:left w:val="nil"/>
              <w:bottom w:val="nil"/>
              <w:right w:val="nil"/>
            </w:tcBorders>
          </w:tcPr>
          <w:p w14:paraId="606DC9C3" w14:textId="215F2FCF"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-2.220</w:t>
            </w:r>
          </w:p>
        </w:tc>
        <w:tc>
          <w:tcPr>
            <w:tcW w:w="1131" w:type="dxa"/>
            <w:tcBorders>
              <w:top w:val="nil"/>
              <w:left w:val="nil"/>
              <w:bottom w:val="nil"/>
              <w:right w:val="nil"/>
            </w:tcBorders>
          </w:tcPr>
          <w:p w14:paraId="6EE2331A" w14:textId="2020A3E9"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.027</w:t>
            </w:r>
          </w:p>
        </w:tc>
        <w:tc>
          <w:tcPr>
            <w:tcW w:w="907" w:type="dxa"/>
            <w:tcBorders>
              <w:top w:val="nil"/>
              <w:left w:val="nil"/>
              <w:bottom w:val="nil"/>
              <w:right w:val="nil"/>
            </w:tcBorders>
          </w:tcPr>
          <w:p w14:paraId="6AF38F5B" w14:textId="65F353CB"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-2.130</w:t>
            </w:r>
          </w:p>
        </w:tc>
        <w:tc>
          <w:tcPr>
            <w:tcW w:w="908" w:type="dxa"/>
            <w:tcBorders>
              <w:top w:val="nil"/>
              <w:left w:val="nil"/>
              <w:bottom w:val="nil"/>
              <w:right w:val="nil"/>
            </w:tcBorders>
          </w:tcPr>
          <w:p w14:paraId="20BC1ABF" w14:textId="42E2913A"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-.127</w:t>
            </w:r>
          </w:p>
        </w:tc>
      </w:tr>
      <w:tr w:rsidR="006118BA" w:rsidRPr="007D21E3" w14:paraId="3AFF6BB5" w14:textId="6B5AE5D4" w:rsidTr="0013230B">
        <w:trPr>
          <w:trHeight w:val="527"/>
        </w:trPr>
        <w:tc>
          <w:tcPr>
            <w:tcW w:w="2203" w:type="dxa"/>
            <w:tcBorders>
              <w:top w:val="nil"/>
              <w:left w:val="nil"/>
              <w:bottom w:val="nil"/>
              <w:right w:val="nil"/>
            </w:tcBorders>
          </w:tcPr>
          <w:p w14:paraId="2BC1B7AF" w14:textId="375A01E3"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NSSI</w:t>
            </w:r>
          </w:p>
        </w:tc>
        <w:tc>
          <w:tcPr>
            <w:tcW w:w="1115" w:type="dxa"/>
            <w:tcBorders>
              <w:top w:val="nil"/>
              <w:left w:val="nil"/>
              <w:bottom w:val="nil"/>
              <w:right w:val="nil"/>
            </w:tcBorders>
          </w:tcPr>
          <w:p w14:paraId="41B07922" w14:textId="7BDAEC57"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-.654</w:t>
            </w:r>
          </w:p>
        </w:tc>
        <w:tc>
          <w:tcPr>
            <w:tcW w:w="1120" w:type="dxa"/>
            <w:tcBorders>
              <w:top w:val="nil"/>
              <w:left w:val="nil"/>
              <w:bottom w:val="nil"/>
              <w:right w:val="nil"/>
            </w:tcBorders>
          </w:tcPr>
          <w:p w14:paraId="2A23EEE9" w14:textId="36C2964C"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.254</w:t>
            </w:r>
          </w:p>
        </w:tc>
        <w:tc>
          <w:tcPr>
            <w:tcW w:w="1105" w:type="dxa"/>
            <w:tcBorders>
              <w:top w:val="nil"/>
              <w:left w:val="nil"/>
              <w:bottom w:val="nil"/>
              <w:right w:val="nil"/>
            </w:tcBorders>
          </w:tcPr>
          <w:p w14:paraId="3F912727" w14:textId="329D774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-3.142</w:t>
            </w:r>
          </w:p>
        </w:tc>
        <w:tc>
          <w:tcPr>
            <w:tcW w:w="1115" w:type="dxa"/>
            <w:tcBorders>
              <w:top w:val="nil"/>
              <w:left w:val="nil"/>
              <w:bottom w:val="nil"/>
              <w:right w:val="nil"/>
            </w:tcBorders>
          </w:tcPr>
          <w:p w14:paraId="3E97DA16" w14:textId="41994FB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-2.573</w:t>
            </w:r>
          </w:p>
        </w:tc>
        <w:tc>
          <w:tcPr>
            <w:tcW w:w="1131" w:type="dxa"/>
            <w:tcBorders>
              <w:top w:val="nil"/>
              <w:left w:val="nil"/>
              <w:bottom w:val="nil"/>
              <w:right w:val="nil"/>
            </w:tcBorders>
          </w:tcPr>
          <w:p w14:paraId="62964C71" w14:textId="19DE6B1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.011</w:t>
            </w:r>
          </w:p>
        </w:tc>
        <w:tc>
          <w:tcPr>
            <w:tcW w:w="907" w:type="dxa"/>
            <w:tcBorders>
              <w:top w:val="nil"/>
              <w:left w:val="nil"/>
              <w:bottom w:val="nil"/>
              <w:right w:val="nil"/>
            </w:tcBorders>
          </w:tcPr>
          <w:p w14:paraId="602F37D4" w14:textId="08EA28ED"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-1.155</w:t>
            </w:r>
          </w:p>
        </w:tc>
        <w:tc>
          <w:tcPr>
            <w:tcW w:w="908" w:type="dxa"/>
            <w:tcBorders>
              <w:top w:val="nil"/>
              <w:left w:val="nil"/>
              <w:bottom w:val="nil"/>
              <w:right w:val="nil"/>
            </w:tcBorders>
          </w:tcPr>
          <w:p w14:paraId="192FEB0E" w14:textId="1A30D12F"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-.153</w:t>
            </w:r>
          </w:p>
        </w:tc>
      </w:tr>
      <w:tr w:rsidR="006118BA" w:rsidRPr="007D21E3" w14:paraId="6570A2D9" w14:textId="5E59476F" w:rsidTr="0013230B">
        <w:trPr>
          <w:trHeight w:val="527"/>
        </w:trPr>
        <w:tc>
          <w:tcPr>
            <w:tcW w:w="2203" w:type="dxa"/>
            <w:tcBorders>
              <w:top w:val="nil"/>
              <w:left w:val="nil"/>
              <w:bottom w:val="nil"/>
              <w:right w:val="nil"/>
            </w:tcBorders>
          </w:tcPr>
          <w:p w14:paraId="59F6AF03" w14:textId="13073430"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w:t>
            </w:r>
          </w:p>
        </w:tc>
        <w:tc>
          <w:tcPr>
            <w:tcW w:w="1115" w:type="dxa"/>
            <w:tcBorders>
              <w:top w:val="nil"/>
              <w:left w:val="nil"/>
              <w:bottom w:val="nil"/>
              <w:right w:val="nil"/>
            </w:tcBorders>
          </w:tcPr>
          <w:p w14:paraId="67A4F79B" w14:textId="29027A35"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-1.652</w:t>
            </w:r>
          </w:p>
        </w:tc>
        <w:tc>
          <w:tcPr>
            <w:tcW w:w="1120" w:type="dxa"/>
            <w:tcBorders>
              <w:top w:val="nil"/>
              <w:left w:val="nil"/>
              <w:bottom w:val="nil"/>
              <w:right w:val="nil"/>
            </w:tcBorders>
          </w:tcPr>
          <w:p w14:paraId="3EBBD644" w14:textId="01D9058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.903</w:t>
            </w:r>
          </w:p>
        </w:tc>
        <w:tc>
          <w:tcPr>
            <w:tcW w:w="1105" w:type="dxa"/>
            <w:tcBorders>
              <w:top w:val="nil"/>
              <w:left w:val="nil"/>
              <w:bottom w:val="nil"/>
              <w:right w:val="nil"/>
            </w:tcBorders>
          </w:tcPr>
          <w:p w14:paraId="4717CA31" w14:textId="6599334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-1.144</w:t>
            </w:r>
          </w:p>
        </w:tc>
        <w:tc>
          <w:tcPr>
            <w:tcW w:w="1115" w:type="dxa"/>
            <w:tcBorders>
              <w:top w:val="nil"/>
              <w:left w:val="nil"/>
              <w:bottom w:val="nil"/>
              <w:right w:val="nil"/>
            </w:tcBorders>
          </w:tcPr>
          <w:p w14:paraId="76B48B52" w14:textId="291F336C"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-1.829</w:t>
            </w:r>
          </w:p>
        </w:tc>
        <w:tc>
          <w:tcPr>
            <w:tcW w:w="1131" w:type="dxa"/>
            <w:tcBorders>
              <w:top w:val="nil"/>
              <w:left w:val="nil"/>
              <w:bottom w:val="nil"/>
              <w:right w:val="nil"/>
            </w:tcBorders>
          </w:tcPr>
          <w:p w14:paraId="0751BA9C" w14:textId="70A247D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.069</w:t>
            </w:r>
          </w:p>
        </w:tc>
        <w:tc>
          <w:tcPr>
            <w:tcW w:w="907" w:type="dxa"/>
            <w:tcBorders>
              <w:top w:val="nil"/>
              <w:left w:val="nil"/>
              <w:bottom w:val="nil"/>
              <w:right w:val="nil"/>
            </w:tcBorders>
          </w:tcPr>
          <w:p w14:paraId="088EDE2B" w14:textId="5DD5BDAE"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-3.432</w:t>
            </w:r>
          </w:p>
        </w:tc>
        <w:tc>
          <w:tcPr>
            <w:tcW w:w="908" w:type="dxa"/>
            <w:tcBorders>
              <w:top w:val="nil"/>
              <w:left w:val="nil"/>
              <w:bottom w:val="nil"/>
              <w:right w:val="nil"/>
            </w:tcBorders>
          </w:tcPr>
          <w:p w14:paraId="221654E1" w14:textId="6BDAB298"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.128</w:t>
            </w:r>
          </w:p>
        </w:tc>
      </w:tr>
      <w:tr w:rsidR="006118BA" w:rsidRPr="007D21E3" w14:paraId="569E4C03" w14:textId="4DC2F043" w:rsidTr="0013230B">
        <w:trPr>
          <w:trHeight w:val="527"/>
        </w:trPr>
        <w:tc>
          <w:tcPr>
            <w:tcW w:w="2203" w:type="dxa"/>
            <w:tcBorders>
              <w:top w:val="nil"/>
              <w:left w:val="nil"/>
              <w:bottom w:val="nil"/>
              <w:right w:val="nil"/>
            </w:tcBorders>
          </w:tcPr>
          <w:p w14:paraId="12AD0168" w14:textId="1669DD4C"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 x Impulsivity</w:t>
            </w:r>
          </w:p>
        </w:tc>
        <w:tc>
          <w:tcPr>
            <w:tcW w:w="1115" w:type="dxa"/>
            <w:tcBorders>
              <w:top w:val="nil"/>
              <w:left w:val="nil"/>
              <w:bottom w:val="nil"/>
              <w:right w:val="nil"/>
            </w:tcBorders>
          </w:tcPr>
          <w:p w14:paraId="121BB326" w14:textId="1FB99D25"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.756</w:t>
            </w:r>
          </w:p>
        </w:tc>
        <w:tc>
          <w:tcPr>
            <w:tcW w:w="1120" w:type="dxa"/>
            <w:tcBorders>
              <w:top w:val="nil"/>
              <w:left w:val="nil"/>
              <w:bottom w:val="nil"/>
              <w:right w:val="nil"/>
            </w:tcBorders>
          </w:tcPr>
          <w:p w14:paraId="4BB46D67" w14:textId="459293A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.388</w:t>
            </w:r>
          </w:p>
        </w:tc>
        <w:tc>
          <w:tcPr>
            <w:tcW w:w="1105" w:type="dxa"/>
            <w:tcBorders>
              <w:top w:val="nil"/>
              <w:left w:val="nil"/>
              <w:bottom w:val="nil"/>
              <w:right w:val="nil"/>
            </w:tcBorders>
          </w:tcPr>
          <w:p w14:paraId="63D5F5E3" w14:textId="59740062"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1.326</w:t>
            </w:r>
          </w:p>
        </w:tc>
        <w:tc>
          <w:tcPr>
            <w:tcW w:w="1115" w:type="dxa"/>
            <w:tcBorders>
              <w:top w:val="nil"/>
              <w:left w:val="nil"/>
              <w:bottom w:val="nil"/>
              <w:right w:val="nil"/>
            </w:tcBorders>
          </w:tcPr>
          <w:p w14:paraId="2246EDC4" w14:textId="1C7DCC59"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1.951</w:t>
            </w:r>
          </w:p>
        </w:tc>
        <w:tc>
          <w:tcPr>
            <w:tcW w:w="1131" w:type="dxa"/>
            <w:tcBorders>
              <w:top w:val="nil"/>
              <w:left w:val="nil"/>
              <w:bottom w:val="nil"/>
              <w:right w:val="nil"/>
            </w:tcBorders>
          </w:tcPr>
          <w:p w14:paraId="161C4C0D" w14:textId="26F6461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.052</w:t>
            </w:r>
          </w:p>
        </w:tc>
        <w:tc>
          <w:tcPr>
            <w:tcW w:w="907" w:type="dxa"/>
            <w:tcBorders>
              <w:top w:val="nil"/>
              <w:left w:val="nil"/>
              <w:bottom w:val="nil"/>
              <w:right w:val="nil"/>
            </w:tcBorders>
          </w:tcPr>
          <w:p w14:paraId="1B2DFFEC" w14:textId="4002711F"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-.008</w:t>
            </w:r>
          </w:p>
        </w:tc>
        <w:tc>
          <w:tcPr>
            <w:tcW w:w="908" w:type="dxa"/>
            <w:tcBorders>
              <w:top w:val="nil"/>
              <w:left w:val="nil"/>
              <w:bottom w:val="nil"/>
              <w:right w:val="nil"/>
            </w:tcBorders>
          </w:tcPr>
          <w:p w14:paraId="4A8820D7" w14:textId="38BA8E80"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1.520</w:t>
            </w:r>
          </w:p>
        </w:tc>
      </w:tr>
      <w:tr w:rsidR="006118BA" w:rsidRPr="007D21E3" w14:paraId="571B1828" w14:textId="6360C486" w:rsidTr="0013230B">
        <w:trPr>
          <w:trHeight w:val="527"/>
        </w:trPr>
        <w:tc>
          <w:tcPr>
            <w:tcW w:w="2203" w:type="dxa"/>
            <w:tcBorders>
              <w:top w:val="nil"/>
              <w:left w:val="nil"/>
              <w:bottom w:val="nil"/>
              <w:right w:val="nil"/>
            </w:tcBorders>
          </w:tcPr>
          <w:p w14:paraId="481D2B33" w14:textId="765B6780"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 x NSSI</w:t>
            </w:r>
          </w:p>
        </w:tc>
        <w:tc>
          <w:tcPr>
            <w:tcW w:w="1115" w:type="dxa"/>
            <w:tcBorders>
              <w:top w:val="nil"/>
              <w:left w:val="nil"/>
              <w:bottom w:val="nil"/>
              <w:right w:val="nil"/>
            </w:tcBorders>
          </w:tcPr>
          <w:p w14:paraId="220F2BAE" w14:textId="1E38BCA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.402</w:t>
            </w:r>
          </w:p>
        </w:tc>
        <w:tc>
          <w:tcPr>
            <w:tcW w:w="1120" w:type="dxa"/>
            <w:tcBorders>
              <w:top w:val="nil"/>
              <w:left w:val="nil"/>
              <w:bottom w:val="nil"/>
              <w:right w:val="nil"/>
            </w:tcBorders>
          </w:tcPr>
          <w:p w14:paraId="3B0B781F" w14:textId="329A9A4E"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.198</w:t>
            </w:r>
          </w:p>
        </w:tc>
        <w:tc>
          <w:tcPr>
            <w:tcW w:w="1105" w:type="dxa"/>
            <w:tcBorders>
              <w:top w:val="nil"/>
              <w:left w:val="nil"/>
              <w:bottom w:val="nil"/>
              <w:right w:val="nil"/>
            </w:tcBorders>
          </w:tcPr>
          <w:p w14:paraId="420C02CC" w14:textId="6259D9D8"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2.590</w:t>
            </w:r>
          </w:p>
        </w:tc>
        <w:tc>
          <w:tcPr>
            <w:tcW w:w="1115" w:type="dxa"/>
            <w:tcBorders>
              <w:top w:val="nil"/>
              <w:left w:val="nil"/>
              <w:bottom w:val="nil"/>
              <w:right w:val="nil"/>
            </w:tcBorders>
          </w:tcPr>
          <w:p w14:paraId="61D4152A" w14:textId="57DD8BE4"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2.025</w:t>
            </w:r>
          </w:p>
        </w:tc>
        <w:tc>
          <w:tcPr>
            <w:tcW w:w="1131" w:type="dxa"/>
            <w:tcBorders>
              <w:top w:val="nil"/>
              <w:left w:val="nil"/>
              <w:bottom w:val="nil"/>
              <w:right w:val="nil"/>
            </w:tcBorders>
          </w:tcPr>
          <w:p w14:paraId="203CC9EC" w14:textId="0FE4650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.044</w:t>
            </w:r>
          </w:p>
        </w:tc>
        <w:tc>
          <w:tcPr>
            <w:tcW w:w="907" w:type="dxa"/>
            <w:tcBorders>
              <w:top w:val="nil"/>
              <w:left w:val="nil"/>
              <w:bottom w:val="nil"/>
              <w:right w:val="nil"/>
            </w:tcBorders>
          </w:tcPr>
          <w:p w14:paraId="2DD8719D" w14:textId="67F98EFA"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.011</w:t>
            </w:r>
          </w:p>
        </w:tc>
        <w:tc>
          <w:tcPr>
            <w:tcW w:w="908" w:type="dxa"/>
            <w:tcBorders>
              <w:top w:val="nil"/>
              <w:left w:val="nil"/>
              <w:bottom w:val="nil"/>
              <w:right w:val="nil"/>
            </w:tcBorders>
          </w:tcPr>
          <w:p w14:paraId="12604284" w14:textId="6BEEFBC9"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.793</w:t>
            </w:r>
          </w:p>
        </w:tc>
      </w:tr>
      <w:tr w:rsidR="006118BA" w:rsidRPr="007D21E3" w14:paraId="03774217" w14:textId="11E482C5" w:rsidTr="0013230B">
        <w:trPr>
          <w:trHeight w:val="527"/>
        </w:trPr>
        <w:tc>
          <w:tcPr>
            <w:tcW w:w="2203" w:type="dxa"/>
            <w:tcBorders>
              <w:top w:val="nil"/>
              <w:left w:val="nil"/>
              <w:bottom w:val="nil"/>
              <w:right w:val="nil"/>
            </w:tcBorders>
          </w:tcPr>
          <w:p w14:paraId="2316E4FE" w14:textId="2B9E90DD"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Impulsivity x NSSI</w:t>
            </w:r>
          </w:p>
        </w:tc>
        <w:tc>
          <w:tcPr>
            <w:tcW w:w="1115" w:type="dxa"/>
            <w:tcBorders>
              <w:top w:val="nil"/>
              <w:left w:val="nil"/>
              <w:bottom w:val="nil"/>
              <w:right w:val="nil"/>
            </w:tcBorders>
          </w:tcPr>
          <w:p w14:paraId="405BB785" w14:textId="165A9D0D"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.279</w:t>
            </w:r>
          </w:p>
        </w:tc>
        <w:tc>
          <w:tcPr>
            <w:tcW w:w="1120" w:type="dxa"/>
            <w:tcBorders>
              <w:top w:val="nil"/>
              <w:left w:val="nil"/>
              <w:bottom w:val="nil"/>
              <w:right w:val="nil"/>
            </w:tcBorders>
          </w:tcPr>
          <w:p w14:paraId="199C3B97" w14:textId="5794398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.104</w:t>
            </w:r>
          </w:p>
        </w:tc>
        <w:tc>
          <w:tcPr>
            <w:tcW w:w="1105" w:type="dxa"/>
            <w:tcBorders>
              <w:top w:val="nil"/>
              <w:left w:val="nil"/>
              <w:bottom w:val="nil"/>
              <w:right w:val="nil"/>
            </w:tcBorders>
          </w:tcPr>
          <w:p w14:paraId="19A6D445" w14:textId="2DA9FD4C"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3.406</w:t>
            </w:r>
          </w:p>
        </w:tc>
        <w:tc>
          <w:tcPr>
            <w:tcW w:w="1115" w:type="dxa"/>
            <w:tcBorders>
              <w:top w:val="nil"/>
              <w:left w:val="nil"/>
              <w:bottom w:val="nil"/>
              <w:right w:val="nil"/>
            </w:tcBorders>
          </w:tcPr>
          <w:p w14:paraId="302A0853" w14:textId="09154AA3"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2.679</w:t>
            </w:r>
          </w:p>
        </w:tc>
        <w:tc>
          <w:tcPr>
            <w:tcW w:w="1131" w:type="dxa"/>
            <w:tcBorders>
              <w:top w:val="nil"/>
              <w:left w:val="nil"/>
              <w:bottom w:val="nil"/>
              <w:right w:val="nil"/>
            </w:tcBorders>
          </w:tcPr>
          <w:p w14:paraId="578E26E7" w14:textId="13BBF196"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.008</w:t>
            </w:r>
          </w:p>
        </w:tc>
        <w:tc>
          <w:tcPr>
            <w:tcW w:w="907" w:type="dxa"/>
            <w:tcBorders>
              <w:top w:val="nil"/>
              <w:left w:val="nil"/>
              <w:bottom w:val="nil"/>
              <w:right w:val="nil"/>
            </w:tcBorders>
          </w:tcPr>
          <w:p w14:paraId="7702FC0B" w14:textId="4A3E4E99"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.074</w:t>
            </w:r>
          </w:p>
        </w:tc>
        <w:tc>
          <w:tcPr>
            <w:tcW w:w="908" w:type="dxa"/>
            <w:tcBorders>
              <w:top w:val="nil"/>
              <w:left w:val="nil"/>
              <w:bottom w:val="nil"/>
              <w:right w:val="nil"/>
            </w:tcBorders>
          </w:tcPr>
          <w:p w14:paraId="0679779E" w14:textId="535A11BB"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.484</w:t>
            </w:r>
          </w:p>
        </w:tc>
      </w:tr>
      <w:tr w:rsidR="006118BA" w:rsidRPr="007D21E3" w14:paraId="3E4C668A" w14:textId="7CEE96C7" w:rsidTr="0013230B">
        <w:trPr>
          <w:trHeight w:val="527"/>
        </w:trPr>
        <w:tc>
          <w:tcPr>
            <w:tcW w:w="2203" w:type="dxa"/>
            <w:tcBorders>
              <w:top w:val="nil"/>
              <w:left w:val="nil"/>
              <w:bottom w:val="single" w:sz="4" w:space="0" w:color="auto"/>
              <w:right w:val="nil"/>
            </w:tcBorders>
          </w:tcPr>
          <w:p w14:paraId="3BA21860" w14:textId="6CD00BC4" w:rsidR="006118BA" w:rsidRPr="007D21E3" w:rsidRDefault="006118BA" w:rsidP="006118BA">
            <w:pPr>
              <w:jc w:val="center"/>
              <w:rPr>
                <w:rFonts w:ascii="Times New Roman" w:hAnsi="Times New Roman" w:cs="Times New Roman"/>
                <w:sz w:val="24"/>
                <w:szCs w:val="24"/>
              </w:rPr>
            </w:pPr>
            <w:r w:rsidRPr="007D21E3">
              <w:rPr>
                <w:rFonts w:ascii="Times New Roman" w:hAnsi="Times New Roman" w:cs="Times New Roman"/>
                <w:sz w:val="24"/>
                <w:szCs w:val="24"/>
              </w:rPr>
              <w:t>IAT x Impulsivity x NSSI</w:t>
            </w:r>
          </w:p>
        </w:tc>
        <w:tc>
          <w:tcPr>
            <w:tcW w:w="1115" w:type="dxa"/>
            <w:tcBorders>
              <w:top w:val="nil"/>
              <w:left w:val="nil"/>
              <w:bottom w:val="single" w:sz="4" w:space="0" w:color="auto"/>
              <w:right w:val="nil"/>
            </w:tcBorders>
          </w:tcPr>
          <w:p w14:paraId="548DF16B" w14:textId="2E645A3C"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-.155</w:t>
            </w:r>
          </w:p>
        </w:tc>
        <w:tc>
          <w:tcPr>
            <w:tcW w:w="1120" w:type="dxa"/>
            <w:tcBorders>
              <w:top w:val="nil"/>
              <w:left w:val="nil"/>
              <w:bottom w:val="single" w:sz="4" w:space="0" w:color="auto"/>
              <w:right w:val="nil"/>
            </w:tcBorders>
          </w:tcPr>
          <w:p w14:paraId="647367D7" w14:textId="2F3842EB"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.082</w:t>
            </w:r>
          </w:p>
        </w:tc>
        <w:tc>
          <w:tcPr>
            <w:tcW w:w="1105" w:type="dxa"/>
            <w:tcBorders>
              <w:top w:val="nil"/>
              <w:left w:val="nil"/>
              <w:bottom w:val="single" w:sz="4" w:space="0" w:color="auto"/>
              <w:right w:val="nil"/>
            </w:tcBorders>
          </w:tcPr>
          <w:p w14:paraId="3A63985E" w14:textId="48ABC19C"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-2.486</w:t>
            </w:r>
          </w:p>
        </w:tc>
        <w:tc>
          <w:tcPr>
            <w:tcW w:w="1115" w:type="dxa"/>
            <w:tcBorders>
              <w:top w:val="nil"/>
              <w:left w:val="nil"/>
              <w:bottom w:val="single" w:sz="4" w:space="0" w:color="auto"/>
              <w:right w:val="nil"/>
            </w:tcBorders>
          </w:tcPr>
          <w:p w14:paraId="19D93241" w14:textId="47DC854E"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-1.904</w:t>
            </w:r>
          </w:p>
        </w:tc>
        <w:tc>
          <w:tcPr>
            <w:tcW w:w="1131" w:type="dxa"/>
            <w:tcBorders>
              <w:top w:val="nil"/>
              <w:left w:val="nil"/>
              <w:bottom w:val="single" w:sz="4" w:space="0" w:color="auto"/>
              <w:right w:val="nil"/>
            </w:tcBorders>
          </w:tcPr>
          <w:p w14:paraId="3C69B4DD" w14:textId="48298C0A" w:rsidR="006118BA" w:rsidRPr="007D21E3" w:rsidRDefault="006118BA" w:rsidP="006118BA">
            <w:pPr>
              <w:spacing w:line="480" w:lineRule="auto"/>
              <w:jc w:val="center"/>
              <w:rPr>
                <w:rFonts w:ascii="Times New Roman" w:hAnsi="Times New Roman" w:cs="Times New Roman"/>
                <w:sz w:val="24"/>
                <w:szCs w:val="24"/>
              </w:rPr>
            </w:pPr>
            <w:r w:rsidRPr="007D21E3">
              <w:rPr>
                <w:rFonts w:ascii="Times New Roman" w:hAnsi="Times New Roman" w:cs="Times New Roman"/>
                <w:sz w:val="24"/>
                <w:szCs w:val="24"/>
              </w:rPr>
              <w:t>.058</w:t>
            </w:r>
          </w:p>
        </w:tc>
        <w:tc>
          <w:tcPr>
            <w:tcW w:w="907" w:type="dxa"/>
            <w:tcBorders>
              <w:top w:val="nil"/>
              <w:left w:val="nil"/>
              <w:bottom w:val="single" w:sz="4" w:space="0" w:color="auto"/>
              <w:right w:val="nil"/>
            </w:tcBorders>
          </w:tcPr>
          <w:p w14:paraId="455D610D" w14:textId="41671E15"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-.316</w:t>
            </w:r>
          </w:p>
        </w:tc>
        <w:tc>
          <w:tcPr>
            <w:tcW w:w="908" w:type="dxa"/>
            <w:tcBorders>
              <w:top w:val="nil"/>
              <w:left w:val="nil"/>
              <w:bottom w:val="single" w:sz="4" w:space="0" w:color="auto"/>
              <w:right w:val="nil"/>
            </w:tcBorders>
          </w:tcPr>
          <w:p w14:paraId="681B3AD7" w14:textId="2BF9DBBB" w:rsidR="006118BA" w:rsidRPr="007D21E3" w:rsidRDefault="006118BA" w:rsidP="006118BA">
            <w:pPr>
              <w:spacing w:line="480" w:lineRule="auto"/>
              <w:jc w:val="center"/>
              <w:rPr>
                <w:rFonts w:ascii="Times New Roman" w:hAnsi="Times New Roman" w:cs="Times New Roman"/>
                <w:sz w:val="24"/>
                <w:szCs w:val="24"/>
              </w:rPr>
            </w:pPr>
            <w:r w:rsidRPr="003A6A70">
              <w:rPr>
                <w:rFonts w:ascii="Times New Roman" w:eastAsia="Times New Roman" w:hAnsi="Times New Roman" w:cs="Times New Roman"/>
                <w:color w:val="010205"/>
                <w:sz w:val="24"/>
                <w:szCs w:val="24"/>
              </w:rPr>
              <w:t>.005</w:t>
            </w:r>
          </w:p>
        </w:tc>
      </w:tr>
    </w:tbl>
    <w:p w14:paraId="086802FC" w14:textId="351D9FB2" w:rsidR="00E328E8" w:rsidRPr="007D21E3" w:rsidRDefault="007D21E3">
      <w:pPr>
        <w:rPr>
          <w:rFonts w:eastAsia="Times New Roman" w:cs="Times New Roman"/>
          <w:b/>
          <w:bCs/>
          <w:smallCaps/>
          <w:color w:val="000000"/>
          <w:szCs w:val="24"/>
        </w:rPr>
      </w:pPr>
      <w:r w:rsidRPr="007D21E3">
        <w:rPr>
          <w:rFonts w:cs="Times New Roman"/>
          <w:noProof/>
          <w:szCs w:val="24"/>
        </w:rPr>
        <w:lastRenderedPageBreak/>
        <w:drawing>
          <wp:inline distT="0" distB="0" distL="0" distR="0" wp14:anchorId="4C845198" wp14:editId="09A14869">
            <wp:extent cx="5943600" cy="3815080"/>
            <wp:effectExtent l="0" t="0" r="0" b="13970"/>
            <wp:docPr id="3" name="Chart 3">
              <a:extLst xmlns:a="http://schemas.openxmlformats.org/drawingml/2006/main">
                <a:ext uri="{FF2B5EF4-FFF2-40B4-BE49-F238E27FC236}">
                  <a16:creationId xmlns:a16="http://schemas.microsoft.com/office/drawing/2014/main" id="{C86E818C-4E9C-B510-3806-9C9A0F3FB6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1A75D0" w14:textId="6A3EDB17" w:rsidR="001B35BB" w:rsidRPr="007D21E3" w:rsidRDefault="001B35BB">
      <w:pPr>
        <w:rPr>
          <w:rFonts w:eastAsia="Times New Roman" w:cs="Times New Roman"/>
          <w:b/>
          <w:bCs/>
          <w:smallCaps/>
          <w:color w:val="000000"/>
          <w:szCs w:val="24"/>
        </w:rPr>
      </w:pPr>
      <w:r w:rsidRPr="007D21E3">
        <w:rPr>
          <w:rFonts w:eastAsia="Times New Roman" w:cs="Times New Roman"/>
          <w:smallCaps/>
          <w:color w:val="000000"/>
          <w:szCs w:val="24"/>
        </w:rPr>
        <w:t>Figure 3</w:t>
      </w:r>
      <w:r w:rsidR="00E328E8" w:rsidRPr="007D21E3">
        <w:rPr>
          <w:rFonts w:eastAsia="Times New Roman" w:cs="Times New Roman"/>
          <w:smallCaps/>
          <w:color w:val="000000"/>
          <w:szCs w:val="24"/>
        </w:rPr>
        <w:t xml:space="preserve"> </w:t>
      </w:r>
      <w:r w:rsidR="00E328E8" w:rsidRPr="007D21E3">
        <w:rPr>
          <w:rFonts w:cs="Times New Roman"/>
          <w:szCs w:val="24"/>
        </w:rPr>
        <w:t>Three-Way Interaction Plot: Acquired Capability for Suicide as a Function of NSSI, Impulsivity, and IAT Scores</w:t>
      </w:r>
      <w:r w:rsidR="00E328E8" w:rsidRPr="007D21E3">
        <w:rPr>
          <w:rFonts w:eastAsia="Times New Roman" w:cs="Times New Roman"/>
          <w:b/>
          <w:bCs/>
          <w:smallCaps/>
          <w:color w:val="000000"/>
          <w:szCs w:val="24"/>
        </w:rPr>
        <w:t xml:space="preserve"> </w:t>
      </w:r>
      <w:r w:rsidRPr="007D21E3">
        <w:rPr>
          <w:rFonts w:eastAsia="Times New Roman" w:cs="Times New Roman"/>
          <w:b/>
          <w:bCs/>
          <w:smallCaps/>
          <w:color w:val="000000"/>
          <w:szCs w:val="24"/>
        </w:rPr>
        <w:br w:type="page"/>
      </w:r>
    </w:p>
    <w:p w14:paraId="71A24F20" w14:textId="4E262D5E" w:rsidR="001039DC" w:rsidRPr="001039DC" w:rsidRDefault="001039DC" w:rsidP="009A614C">
      <w:pPr>
        <w:spacing w:line="480" w:lineRule="auto"/>
        <w:jc w:val="center"/>
        <w:rPr>
          <w:b/>
          <w:bCs/>
        </w:rPr>
      </w:pPr>
      <w:r>
        <w:rPr>
          <w:b/>
          <w:bCs/>
        </w:rPr>
        <w:lastRenderedPageBreak/>
        <w:t>Chapter 4</w:t>
      </w:r>
    </w:p>
    <w:p w14:paraId="0DD80B25" w14:textId="67B04DB7" w:rsidR="009B524A" w:rsidRDefault="009B524A" w:rsidP="009A614C">
      <w:pPr>
        <w:spacing w:line="480" w:lineRule="auto"/>
        <w:jc w:val="center"/>
        <w:rPr>
          <w:rFonts w:eastAsia="Times New Roman" w:cs="Times New Roman"/>
          <w:b/>
          <w:bCs/>
          <w:smallCaps/>
          <w:color w:val="000000"/>
          <w:szCs w:val="24"/>
        </w:rPr>
      </w:pPr>
      <w:r>
        <w:rPr>
          <w:rFonts w:eastAsia="Times New Roman" w:cs="Times New Roman"/>
          <w:b/>
          <w:bCs/>
          <w:smallCaps/>
          <w:color w:val="000000"/>
          <w:szCs w:val="24"/>
        </w:rPr>
        <w:t>Discussion</w:t>
      </w:r>
    </w:p>
    <w:p w14:paraId="121435BF" w14:textId="2E224618" w:rsidR="00BC1998" w:rsidRDefault="009B524A" w:rsidP="00BB2A1E">
      <w:pPr>
        <w:spacing w:line="480" w:lineRule="auto"/>
      </w:pPr>
      <w:r>
        <w:rPr>
          <w:rFonts w:eastAsia="Times New Roman" w:cs="Times New Roman"/>
          <w:smallCaps/>
          <w:color w:val="000000"/>
          <w:szCs w:val="24"/>
        </w:rPr>
        <w:tab/>
      </w:r>
      <w:r>
        <w:t xml:space="preserve">The present study aimed to examine the relationships between non-suicidal self-injury, impulsivity, and automatic associations with pain in the prediction of self-reported capability. </w:t>
      </w:r>
      <w:r w:rsidR="00BC1998">
        <w:t>Contrary to our first hypothesis, which predicted that participants with a history of NSSI would exhibit weakened pain-bad automatic associations, our data did not support this assertion. The correlation between NSSI and the Implicit Association Test (IAT) scores was non-significant, indicating that</w:t>
      </w:r>
      <w:r w:rsidR="00BB2A1E">
        <w:t xml:space="preserve"> participants who engaged in NSSI were not distinguishable from other participants via their automatic associations between pain and negative valence.</w:t>
      </w:r>
      <w:r w:rsidR="00BC1998">
        <w:t xml:space="preserve"> </w:t>
      </w:r>
    </w:p>
    <w:p w14:paraId="139227C4" w14:textId="063B328B" w:rsidR="00BC1998" w:rsidRDefault="00BC1998" w:rsidP="00BC1998">
      <w:pPr>
        <w:spacing w:line="480" w:lineRule="auto"/>
        <w:ind w:firstLine="720"/>
      </w:pPr>
      <w:r>
        <w:t xml:space="preserve">Regarding our second hypothesis, which posited that weakened pain-bad automatic associations would predict higher levels of self-reported capability, the results yielded a weak but positive correlation between IAT scores and Acquired Capability for Suicide Scale (ACS) scores. This unexpected positive relationship suggests that as pain-bad associations increased, self-reported capability for suicide also increased. These findings challenge our initial assumption that weakened pain-bad associations would be indicative of </w:t>
      </w:r>
      <w:r w:rsidR="00C21614">
        <w:t>increasing</w:t>
      </w:r>
      <w:r>
        <w:t xml:space="preserve"> levels of acquired capability. It is possible that other factors, such as emotion dysregulation or other individual differences, may contribute to the observed positive association.</w:t>
      </w:r>
    </w:p>
    <w:p w14:paraId="3DDC48B7" w14:textId="280EA323" w:rsidR="00BC1998" w:rsidRDefault="00BC1998" w:rsidP="00BC1998">
      <w:pPr>
        <w:spacing w:line="480" w:lineRule="auto"/>
        <w:ind w:firstLine="720"/>
      </w:pPr>
      <w:r>
        <w:t xml:space="preserve">Furthermore, our third hypothesis proposed that individuals with weakened pain-bad associations and higher levels of self-reported impulsivity would report increased capability for suicide. However, the stepwise multiple regression analysis did not reveal a significant interaction effect between Short UPPS-P Impulsive Behavior Scale (SUPPS-P) scores and IAT </w:t>
      </w:r>
      <w:r>
        <w:lastRenderedPageBreak/>
        <w:t xml:space="preserve">scores on ACS. This suggests that the relationship between pain-bad associations, impulsivity, and acquired capability may be more complex than initially hypothesized. </w:t>
      </w:r>
    </w:p>
    <w:p w14:paraId="5DD0B63F" w14:textId="41D9096F" w:rsidR="00BC1998" w:rsidRDefault="00BC1998" w:rsidP="00BC1998">
      <w:pPr>
        <w:spacing w:line="480" w:lineRule="auto"/>
        <w:ind w:firstLine="720"/>
      </w:pPr>
      <w:r>
        <w:t>In our exploratory analyses, we examined the combined effects of SUPPS-P, IAT scores, and NSSI on ACS. The results revealed a significant interaction between SUPPS-P and NSSI, indicating that the relationship between self-reported impulsivity and acquired capability varied depending on the presence of NSSI. Specifically, at high levels of self-reported impulsivity, individuals</w:t>
      </w:r>
      <w:r w:rsidR="00C21614">
        <w:t xml:space="preserve"> who had engaged in</w:t>
      </w:r>
      <w:r>
        <w:t xml:space="preserve"> NSSI reported higher levels of acquired capability.</w:t>
      </w:r>
      <w:r w:rsidRPr="00BC1998">
        <w:t xml:space="preserve"> </w:t>
      </w:r>
      <w:r>
        <w:t>Moreover, the three-way interaction suggested a complex relationship between pain-bad associations, self-reported impulsivity, and NSSI in predicting ACS. The presence of a cross-over pattern at low levels of IAT scores further emphasizes the importance of considering multiple interacting factors in understanding acquired capability.</w:t>
      </w:r>
    </w:p>
    <w:p w14:paraId="13BD8246" w14:textId="06C86C3F" w:rsidR="00BC1998" w:rsidRDefault="00BC1998" w:rsidP="00BC1998">
      <w:pPr>
        <w:pStyle w:val="NormalWeb"/>
        <w:spacing w:line="480" w:lineRule="auto"/>
        <w:ind w:firstLine="720"/>
      </w:pPr>
      <w:r>
        <w:t>It is crucial to acknowledge the limitations of the current study. The cross-sectional design limit</w:t>
      </w:r>
      <w:r w:rsidR="00C21614">
        <w:t>ed</w:t>
      </w:r>
      <w:r>
        <w:t xml:space="preserve"> our ability to establish causality and infer temporal relationships between variables. Additionally, our sample consisted of undergraduate students, which may limit the generalizability of the findings to other populations. Future research should consider longitudinal designs and include diverse samples to enhance the generalizability of the findings.</w:t>
      </w:r>
    </w:p>
    <w:p w14:paraId="683B813B" w14:textId="35443D22" w:rsidR="00BC1998" w:rsidRDefault="00BC1998" w:rsidP="00BC1998">
      <w:pPr>
        <w:pStyle w:val="NormalWeb"/>
        <w:spacing w:line="480" w:lineRule="auto"/>
        <w:ind w:firstLine="720"/>
      </w:pPr>
      <w:r>
        <w:t>In conclusion, this study provides valuable insights into the complex relationships between NSSI, automatic associations, and impulsivity in the context of acquired capability for suicide. The findings challenge some existing assumptions and highlight the need for a more comprehensive understanding of the factors contributing to acquired capability. These results have implications for the development of targeted interventions aimed at preventing suicide and reducing acquired capability, particularly among individuals with a history of NSSI.</w:t>
      </w:r>
    </w:p>
    <w:p w14:paraId="64099C8C" w14:textId="527A90B8" w:rsidR="008E633B" w:rsidRPr="009A614C" w:rsidRDefault="008E633B" w:rsidP="009A614C">
      <w:pPr>
        <w:spacing w:before="120" w:after="120" w:line="480" w:lineRule="auto"/>
        <w:ind w:hanging="720"/>
        <w:jc w:val="center"/>
        <w:rPr>
          <w:rFonts w:eastAsia="Times New Roman" w:cs="Times New Roman"/>
          <w:szCs w:val="24"/>
        </w:rPr>
      </w:pPr>
      <w:r w:rsidRPr="009A614C">
        <w:rPr>
          <w:rFonts w:eastAsia="Times New Roman" w:cs="Times New Roman"/>
          <w:b/>
          <w:bCs/>
          <w:smallCaps/>
          <w:color w:val="000000"/>
          <w:szCs w:val="24"/>
        </w:rPr>
        <w:lastRenderedPageBreak/>
        <w:t>References</w:t>
      </w:r>
    </w:p>
    <w:p w14:paraId="220E3C66" w14:textId="556C2A37" w:rsidR="00CF696B" w:rsidRPr="009A614C" w:rsidRDefault="00CF696B" w:rsidP="009A614C">
      <w:pPr>
        <w:spacing w:line="480" w:lineRule="auto"/>
        <w:ind w:left="720" w:hanging="720"/>
        <w:rPr>
          <w:rFonts w:cs="Times New Roman"/>
          <w:szCs w:val="24"/>
        </w:rPr>
      </w:pPr>
      <w:r w:rsidRPr="009A614C">
        <w:rPr>
          <w:rFonts w:cs="Times New Roman"/>
          <w:szCs w:val="24"/>
        </w:rPr>
        <w:t xml:space="preserve">Asarnow, J. R., Porta, G., Spirito, A., Emslie, G., Clarke, G., Wagner, K. D., Vitiello, B., Keller, M., Birmaher, B., McCracken, J., Mayes, T., Berk, M., &amp; Brent, D. A. (2011). Suicide attempts and nonsuicidal self-injury in the treatment of resistant depression in adolescents: findings from the TORDIA study. </w:t>
      </w:r>
      <w:r w:rsidRPr="009A614C">
        <w:rPr>
          <w:rFonts w:cs="Times New Roman"/>
          <w:i/>
          <w:iCs/>
          <w:szCs w:val="24"/>
        </w:rPr>
        <w:t>Journal of the American Academy of Child and Adolescent Psychiatry</w:t>
      </w:r>
      <w:r w:rsidRPr="009A614C">
        <w:rPr>
          <w:rFonts w:cs="Times New Roman"/>
          <w:szCs w:val="24"/>
        </w:rPr>
        <w:t xml:space="preserve">, </w:t>
      </w:r>
      <w:r w:rsidRPr="009A614C">
        <w:rPr>
          <w:rFonts w:cs="Times New Roman"/>
          <w:i/>
          <w:iCs/>
          <w:szCs w:val="24"/>
        </w:rPr>
        <w:t>50</w:t>
      </w:r>
      <w:r w:rsidRPr="009A614C">
        <w:rPr>
          <w:rFonts w:cs="Times New Roman"/>
          <w:szCs w:val="24"/>
        </w:rPr>
        <w:t>(8), 772–781. https://doi.org/10.1016/j.jaac.2011.04.003</w:t>
      </w:r>
    </w:p>
    <w:p w14:paraId="3B1DDEFD" w14:textId="5892E36A" w:rsidR="00BB30F1" w:rsidRPr="009A614C" w:rsidRDefault="00BB30F1" w:rsidP="009A614C">
      <w:pPr>
        <w:spacing w:line="480" w:lineRule="auto"/>
        <w:ind w:left="720" w:hanging="720"/>
        <w:rPr>
          <w:rFonts w:cs="Times New Roman"/>
          <w:szCs w:val="24"/>
        </w:rPr>
      </w:pPr>
      <w:r w:rsidRPr="009A614C">
        <w:rPr>
          <w:rFonts w:cs="Times New Roman"/>
          <w:szCs w:val="24"/>
        </w:rPr>
        <w:t>Bargh, J. A. (1994). The four horsemen of automaticity: Awareness, intention, efficiency, and control in social cognition. In R. S. Wyer Jr. &amp; T. K. Srull (Eds.), Handbook of Social Cognition (Vol. 1, pp. 1-40). Erlbaum.</w:t>
      </w:r>
    </w:p>
    <w:p w14:paraId="162B3779" w14:textId="77704EA6" w:rsidR="00CF696B" w:rsidRPr="009A614C" w:rsidRDefault="00CF696B" w:rsidP="009A614C">
      <w:pPr>
        <w:spacing w:line="480" w:lineRule="auto"/>
        <w:ind w:left="720" w:hanging="720"/>
        <w:rPr>
          <w:rFonts w:cs="Times New Roman"/>
          <w:szCs w:val="24"/>
        </w:rPr>
      </w:pPr>
      <w:r w:rsidRPr="009A614C">
        <w:rPr>
          <w:rFonts w:cs="Times New Roman"/>
          <w:szCs w:val="24"/>
        </w:rPr>
        <w:t xml:space="preserve">Barbieri, P.N., Giuntella, O., Saccardo, S. </w:t>
      </w:r>
      <w:r w:rsidRPr="009A614C">
        <w:rPr>
          <w:rFonts w:cs="Times New Roman"/>
          <w:i/>
          <w:iCs/>
          <w:szCs w:val="24"/>
        </w:rPr>
        <w:t>et al.</w:t>
      </w:r>
      <w:r w:rsidRPr="009A614C">
        <w:rPr>
          <w:rFonts w:cs="Times New Roman"/>
          <w:szCs w:val="24"/>
        </w:rPr>
        <w:t xml:space="preserve"> Lifestyle and mental health 1 year into COVID-19. </w:t>
      </w:r>
      <w:r w:rsidRPr="009A614C">
        <w:rPr>
          <w:rFonts w:cs="Times New Roman"/>
          <w:i/>
          <w:iCs/>
          <w:szCs w:val="24"/>
        </w:rPr>
        <w:t>Sci Rep</w:t>
      </w:r>
      <w:r w:rsidRPr="009A614C">
        <w:rPr>
          <w:rFonts w:cs="Times New Roman"/>
          <w:szCs w:val="24"/>
        </w:rPr>
        <w:t xml:space="preserve"> </w:t>
      </w:r>
      <w:r w:rsidRPr="009A614C">
        <w:rPr>
          <w:rFonts w:cs="Times New Roman"/>
          <w:b/>
          <w:bCs/>
          <w:szCs w:val="24"/>
        </w:rPr>
        <w:t>11</w:t>
      </w:r>
      <w:r w:rsidRPr="009A614C">
        <w:rPr>
          <w:rFonts w:cs="Times New Roman"/>
          <w:szCs w:val="24"/>
        </w:rPr>
        <w:t xml:space="preserve">, 23349 (2021). </w:t>
      </w:r>
      <w:hyperlink r:id="rId12" w:history="1">
        <w:r w:rsidRPr="009A614C">
          <w:rPr>
            <w:rStyle w:val="Hyperlink"/>
            <w:rFonts w:cs="Times New Roman"/>
            <w:szCs w:val="24"/>
          </w:rPr>
          <w:t>https://doi.org/10.1038/s41598-021-02702-4</w:t>
        </w:r>
      </w:hyperlink>
    </w:p>
    <w:p w14:paraId="04005A2B"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Baumeister, R. F., &amp; Vohs, K. D. (2007). Self-regulation, ego depletion, and motivation. Social and Personality Psychology Compass, 1(1), 115-128. </w:t>
      </w:r>
      <w:hyperlink r:id="rId13" w:tgtFrame="_new" w:history="1">
        <w:r w:rsidRPr="009A614C">
          <w:rPr>
            <w:rStyle w:val="Hyperlink"/>
            <w:rFonts w:cs="Times New Roman"/>
            <w:szCs w:val="24"/>
          </w:rPr>
          <w:t>https://doi.org/10.1111/j.1751-9004.2007.00001.x</w:t>
        </w:r>
      </w:hyperlink>
    </w:p>
    <w:p w14:paraId="1C8FD753"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Blanchette, I. (2006). Snakes, spiders, guns, and syringes: How specific are evolutionary constraints on the detection of threatening stimuli? The Quarterly Journal of Experimental Psychology, 59(8), 1484-1504. </w:t>
      </w:r>
      <w:hyperlink r:id="rId14" w:tgtFrame="_new" w:history="1">
        <w:r w:rsidRPr="009A614C">
          <w:rPr>
            <w:rStyle w:val="Hyperlink"/>
            <w:rFonts w:cs="Times New Roman"/>
            <w:szCs w:val="24"/>
          </w:rPr>
          <w:t>https://doi.org/10.1080/17470210500295080</w:t>
        </w:r>
      </w:hyperlink>
    </w:p>
    <w:p w14:paraId="0E34E15A" w14:textId="3399D695" w:rsidR="00CF696B" w:rsidRPr="009A614C" w:rsidRDefault="00CF696B" w:rsidP="009A614C">
      <w:pPr>
        <w:spacing w:line="480" w:lineRule="auto"/>
        <w:ind w:left="720" w:hanging="720"/>
        <w:rPr>
          <w:rFonts w:cs="Times New Roman"/>
          <w:szCs w:val="24"/>
        </w:rPr>
      </w:pPr>
      <w:r w:rsidRPr="009A614C">
        <w:rPr>
          <w:rFonts w:cs="Times New Roman"/>
          <w:szCs w:val="24"/>
        </w:rPr>
        <w:lastRenderedPageBreak/>
        <w:t xml:space="preserve">Brandstätter, V., &amp; Schüler, J. (2013). Action crisis and cost–benefit thinking: A cognitive analysis of a goal-disengagement phase. </w:t>
      </w:r>
      <w:r w:rsidRPr="009A614C">
        <w:rPr>
          <w:rFonts w:cs="Times New Roman"/>
          <w:i/>
          <w:iCs/>
          <w:szCs w:val="24"/>
        </w:rPr>
        <w:t>Journal of Experimental Social Psychology, 49</w:t>
      </w:r>
      <w:r w:rsidRPr="009A614C">
        <w:rPr>
          <w:rFonts w:cs="Times New Roman"/>
          <w:szCs w:val="24"/>
        </w:rPr>
        <w:t xml:space="preserve">(3), 543–553. </w:t>
      </w:r>
      <w:hyperlink r:id="rId15" w:tgtFrame="_blank" w:history="1">
        <w:r w:rsidRPr="009A614C">
          <w:rPr>
            <w:rStyle w:val="Hyperlink"/>
            <w:rFonts w:cs="Times New Roman"/>
            <w:szCs w:val="24"/>
          </w:rPr>
          <w:t>https://doi.org/10.1016/j.jesp.2012.10.004</w:t>
        </w:r>
      </w:hyperlink>
    </w:p>
    <w:p w14:paraId="55444B5D" w14:textId="7A75A481" w:rsidR="00BB30F1" w:rsidRPr="009A614C" w:rsidRDefault="00BB30F1" w:rsidP="009A614C">
      <w:pPr>
        <w:spacing w:line="480" w:lineRule="auto"/>
        <w:ind w:left="720" w:hanging="720"/>
        <w:rPr>
          <w:rFonts w:cs="Times New Roman"/>
          <w:szCs w:val="24"/>
        </w:rPr>
      </w:pPr>
      <w:r w:rsidRPr="009A614C">
        <w:rPr>
          <w:rFonts w:cs="Times New Roman"/>
          <w:szCs w:val="24"/>
        </w:rPr>
        <w:t xml:space="preserve">Brown, G. K., Beck, A. T., Steer, R. A., &amp; Grisham, J. R. (2000). Risk factors for suicide in psychiatric outpatients: A 20-year prospective study. Journal of Consulting and Clinical Psychology, 68(3), 371-377. </w:t>
      </w:r>
      <w:hyperlink r:id="rId16" w:tgtFrame="_new" w:history="1">
        <w:r w:rsidRPr="009A614C">
          <w:rPr>
            <w:rStyle w:val="Hyperlink"/>
            <w:rFonts w:cs="Times New Roman"/>
            <w:szCs w:val="24"/>
          </w:rPr>
          <w:t>https://doi.org/10.1037/0022-006X.68.3.371</w:t>
        </w:r>
      </w:hyperlink>
    </w:p>
    <w:p w14:paraId="380C222D"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Busch, K. A., Fawcett, J., &amp; Jacobs, D. G. (2003). Clinical correlates of inpatient suicide. Journal of Clinical Psychiatry, 64(1), 14-19. </w:t>
      </w:r>
      <w:hyperlink r:id="rId17" w:tgtFrame="_new" w:history="1">
        <w:r w:rsidRPr="009A614C">
          <w:rPr>
            <w:rStyle w:val="Hyperlink"/>
            <w:rFonts w:cs="Times New Roman"/>
            <w:szCs w:val="24"/>
          </w:rPr>
          <w:t>https://doi.org/10.4088/JCP.v64n0103</w:t>
        </w:r>
      </w:hyperlink>
    </w:p>
    <w:p w14:paraId="4487E7B2"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Centers for Disease Control and Prevention. (2018). Suicide rates rising across the U.S. Morbidity and Mortality Weekly Report, 67(22), 617-624. </w:t>
      </w:r>
      <w:hyperlink r:id="rId18" w:tgtFrame="_new" w:history="1">
        <w:r w:rsidRPr="009A614C">
          <w:rPr>
            <w:rStyle w:val="Hyperlink"/>
            <w:rFonts w:cs="Times New Roman"/>
            <w:szCs w:val="24"/>
          </w:rPr>
          <w:t>https://doi.org/10.15585/mmwr.mm6722a1</w:t>
        </w:r>
      </w:hyperlink>
    </w:p>
    <w:p w14:paraId="2CD07F37"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Centers for Disease Control and Prevention. (2020). Leading causes of death, 2018. National Vital Statistics Reports, 69(6), 1-77. </w:t>
      </w:r>
      <w:hyperlink r:id="rId19" w:tgtFrame="_new" w:history="1">
        <w:r w:rsidRPr="009A614C">
          <w:rPr>
            <w:rStyle w:val="Hyperlink"/>
            <w:rFonts w:cs="Times New Roman"/>
            <w:szCs w:val="24"/>
          </w:rPr>
          <w:t>https://www.cdc.gov/nchs/data/nvsr/nvsr69/nvsr69_06-508.pdf</w:t>
        </w:r>
      </w:hyperlink>
    </w:p>
    <w:p w14:paraId="55AD3BDE" w14:textId="4165EA4C" w:rsidR="00BB30F1" w:rsidRPr="009A614C" w:rsidRDefault="00BB30F1" w:rsidP="009A614C">
      <w:pPr>
        <w:spacing w:line="480" w:lineRule="auto"/>
        <w:ind w:left="720" w:hanging="720"/>
        <w:rPr>
          <w:rFonts w:cs="Times New Roman"/>
          <w:szCs w:val="24"/>
        </w:rPr>
      </w:pPr>
      <w:r w:rsidRPr="009A614C">
        <w:rPr>
          <w:rFonts w:cs="Times New Roman"/>
          <w:szCs w:val="24"/>
        </w:rPr>
        <w:t xml:space="preserve">Centers for Disease Control and Prevention. (2021). Suicide mortality in the United States, 1999-2019. National Center for Health Statistics Data Brief, 362, 1-8. </w:t>
      </w:r>
      <w:hyperlink r:id="rId20" w:tgtFrame="_new" w:history="1">
        <w:r w:rsidRPr="009A614C">
          <w:rPr>
            <w:rStyle w:val="Hyperlink"/>
            <w:rFonts w:cs="Times New Roman"/>
            <w:szCs w:val="24"/>
          </w:rPr>
          <w:t>https://www.cdc.gov/nchs/data/databriefs/db362-h.pdf</w:t>
        </w:r>
      </w:hyperlink>
    </w:p>
    <w:p w14:paraId="34D93F87" w14:textId="77777777" w:rsidR="008510EE" w:rsidRPr="009A614C" w:rsidRDefault="008510EE" w:rsidP="009A614C">
      <w:pPr>
        <w:spacing w:line="480" w:lineRule="auto"/>
        <w:ind w:left="720" w:hanging="720"/>
        <w:rPr>
          <w:rFonts w:cs="Times New Roman"/>
          <w:szCs w:val="24"/>
        </w:rPr>
      </w:pPr>
      <w:r w:rsidRPr="009A614C">
        <w:rPr>
          <w:rFonts w:cs="Times New Roman"/>
          <w:color w:val="000000"/>
          <w:szCs w:val="24"/>
        </w:rPr>
        <w:t>Cha, C. B.,  Augenstein, T. M.,  Frost, K. H.,  Gallagher, K.,  D’Angelo, E. J., &amp;  Nock, M. K.  (2016). Journal of the American Academy of Child &amp; Adolescent Psychiatry.</w:t>
      </w:r>
    </w:p>
    <w:p w14:paraId="7DDA3E52" w14:textId="77777777" w:rsidR="008510EE" w:rsidRPr="009A614C" w:rsidRDefault="008510EE" w:rsidP="009A614C">
      <w:pPr>
        <w:spacing w:line="480" w:lineRule="auto"/>
        <w:ind w:left="720" w:hanging="720"/>
        <w:rPr>
          <w:rFonts w:cs="Times New Roman"/>
          <w:szCs w:val="24"/>
        </w:rPr>
      </w:pPr>
    </w:p>
    <w:p w14:paraId="71DE9A26" w14:textId="2FC9ECDE" w:rsidR="00BB30F1" w:rsidRPr="009A614C" w:rsidRDefault="00BB30F1" w:rsidP="009A614C">
      <w:pPr>
        <w:spacing w:line="480" w:lineRule="auto"/>
        <w:ind w:left="720" w:hanging="720"/>
        <w:rPr>
          <w:rFonts w:cs="Times New Roman"/>
          <w:szCs w:val="24"/>
        </w:rPr>
      </w:pPr>
      <w:r w:rsidRPr="009A614C">
        <w:rPr>
          <w:rFonts w:cs="Times New Roman"/>
          <w:szCs w:val="24"/>
        </w:rPr>
        <w:lastRenderedPageBreak/>
        <w:t xml:space="preserve">Chu, C., Buchman-Schmitt, J. M., Stanley, I. H., Hom, M. A., Tucker, R. P., Hagan, C. R., Rogers, M. L., Podlogar, M. C., Chiurliza, B., Ringer, A., Michaels, M. S., &amp; Joiner, T. E. (2017). The interpersonal theory of suicide: A systematic review and meta-analysis of a decade of cross-national research. Psychological Bulletin, 143(12), 1313-1345. </w:t>
      </w:r>
      <w:hyperlink r:id="rId21" w:tgtFrame="_new" w:history="1">
        <w:r w:rsidRPr="009A614C">
          <w:rPr>
            <w:rStyle w:val="Hyperlink"/>
            <w:rFonts w:cs="Times New Roman"/>
            <w:szCs w:val="24"/>
          </w:rPr>
          <w:t>https://doi.org/10.1037/bul0000123</w:t>
        </w:r>
      </w:hyperlink>
    </w:p>
    <w:p w14:paraId="2F426589" w14:textId="77777777" w:rsidR="008510EE" w:rsidRPr="009A614C" w:rsidRDefault="008510EE" w:rsidP="009A614C">
      <w:pPr>
        <w:spacing w:line="480" w:lineRule="auto"/>
        <w:ind w:left="720" w:hanging="720"/>
        <w:rPr>
          <w:rFonts w:cs="Times New Roman"/>
          <w:szCs w:val="24"/>
        </w:rPr>
      </w:pPr>
      <w:r w:rsidRPr="009A614C">
        <w:rPr>
          <w:rFonts w:cs="Times New Roman"/>
          <w:szCs w:val="24"/>
        </w:rPr>
        <w:t xml:space="preserve">Cooper, J., Kapur, N., Webb, R., Lawlor, M., Guthrie, E., Mackway-Jones, K., &amp; Appleby, L. (2005). Suicide after deliberate self-harm: a 4-year cohort study. </w:t>
      </w:r>
      <w:r w:rsidRPr="009A614C">
        <w:rPr>
          <w:rFonts w:cs="Times New Roman"/>
          <w:i/>
          <w:iCs/>
          <w:szCs w:val="24"/>
        </w:rPr>
        <w:t>The American journal of psychiatry</w:t>
      </w:r>
      <w:r w:rsidRPr="009A614C">
        <w:rPr>
          <w:rFonts w:cs="Times New Roman"/>
          <w:szCs w:val="24"/>
        </w:rPr>
        <w:t xml:space="preserve">, </w:t>
      </w:r>
      <w:r w:rsidRPr="009A614C">
        <w:rPr>
          <w:rFonts w:cs="Times New Roman"/>
          <w:i/>
          <w:iCs/>
          <w:szCs w:val="24"/>
        </w:rPr>
        <w:t>162</w:t>
      </w:r>
      <w:r w:rsidRPr="009A614C">
        <w:rPr>
          <w:rFonts w:cs="Times New Roman"/>
          <w:szCs w:val="24"/>
        </w:rPr>
        <w:t>(2), 297–303. https://doi.org/10.1176/appi.ajp.162.2.297</w:t>
      </w:r>
    </w:p>
    <w:p w14:paraId="7090D936" w14:textId="4EC0286D" w:rsidR="008510EE" w:rsidRPr="009A614C" w:rsidRDefault="008510EE" w:rsidP="009A614C">
      <w:pPr>
        <w:spacing w:line="480" w:lineRule="auto"/>
        <w:ind w:left="720" w:hanging="720"/>
        <w:rPr>
          <w:rFonts w:cs="Times New Roman"/>
          <w:szCs w:val="24"/>
        </w:rPr>
      </w:pPr>
      <w:r w:rsidRPr="009A614C">
        <w:rPr>
          <w:rFonts w:cs="Times New Roman"/>
          <w:szCs w:val="24"/>
        </w:rPr>
        <w:t>Chirikov, I., Soria, K. M., Horgos, B., &amp; Jones-White, D. (2020). ​Undergraduate and graduate students’ mental health during the COVID-19 pandemic.​ SERU Consortium, University of California - Berkeley and University of Minnesota. ​</w:t>
      </w:r>
      <w:hyperlink r:id="rId22" w:history="1">
        <w:r w:rsidRPr="009A614C">
          <w:rPr>
            <w:rStyle w:val="Hyperlink"/>
            <w:rFonts w:cs="Times New Roman"/>
            <w:szCs w:val="24"/>
          </w:rPr>
          <w:t>https://cshe.berkeley.edu/seru-covid-survey</w:t>
        </w:r>
      </w:hyperlink>
      <w:r w:rsidRPr="009A614C">
        <w:rPr>
          <w:rFonts w:cs="Times New Roman"/>
          <w:szCs w:val="24"/>
        </w:rPr>
        <w:t xml:space="preserve"> reports</w:t>
      </w:r>
    </w:p>
    <w:p w14:paraId="57662F56" w14:textId="77777777" w:rsidR="00800070" w:rsidRPr="009A614C" w:rsidRDefault="00800070" w:rsidP="009A614C">
      <w:pPr>
        <w:spacing w:line="480" w:lineRule="auto"/>
        <w:ind w:left="720" w:hanging="720"/>
        <w:rPr>
          <w:rFonts w:cs="Times New Roman"/>
          <w:szCs w:val="24"/>
        </w:rPr>
      </w:pPr>
      <w:r w:rsidRPr="009A614C">
        <w:rPr>
          <w:rFonts w:cs="Times New Roman"/>
          <w:szCs w:val="24"/>
        </w:rPr>
        <w:t>Dalley, J. W., Everitt, B. J., &amp; Robbins, T. W. (2011). Impulsivity, compulsivity, and top-down cognitive control. Neuron, 69(4), 680–694.</w:t>
      </w:r>
    </w:p>
    <w:p w14:paraId="3CDBCD77" w14:textId="6BB5FF14" w:rsidR="00800070" w:rsidRPr="009A614C" w:rsidRDefault="00800070" w:rsidP="009A614C">
      <w:pPr>
        <w:spacing w:line="480" w:lineRule="auto"/>
        <w:ind w:left="720" w:hanging="720"/>
        <w:rPr>
          <w:rFonts w:cs="Times New Roman"/>
          <w:szCs w:val="24"/>
        </w:rPr>
      </w:pPr>
      <w:r w:rsidRPr="009A614C">
        <w:rPr>
          <w:rFonts w:cs="Times New Roman"/>
          <w:szCs w:val="24"/>
        </w:rPr>
        <w:t>Daruna, J. H., &amp; Barnes, P. A. (1993). A neurodevelopmental view of impulsivity. In W. G. McCown, J. L. Johnson, &amp; M. B. Shure (Eds.), The impulsive client: Theory, research, and treatment (pp. 23–37). American Psychological Association.</w:t>
      </w:r>
    </w:p>
    <w:p w14:paraId="03CC903B"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Devine, P. G. (1989). Stereotypes and prejudice: Their automatic and controlled components. Journal of Personality and Social Psychology, 56(1), 5-18. </w:t>
      </w:r>
      <w:hyperlink r:id="rId23" w:tgtFrame="_new" w:history="1">
        <w:r w:rsidRPr="009A614C">
          <w:rPr>
            <w:rStyle w:val="Hyperlink"/>
            <w:rFonts w:cs="Times New Roman"/>
            <w:szCs w:val="24"/>
          </w:rPr>
          <w:t>https://doi.org/10.1037/0022-3514.56.1.5</w:t>
        </w:r>
      </w:hyperlink>
    </w:p>
    <w:p w14:paraId="59C5D49D" w14:textId="1C6FA1E2" w:rsidR="00BB30F1" w:rsidRPr="009A614C" w:rsidRDefault="00BB30F1" w:rsidP="009A614C">
      <w:pPr>
        <w:spacing w:line="480" w:lineRule="auto"/>
        <w:ind w:left="720" w:hanging="720"/>
        <w:rPr>
          <w:rFonts w:cs="Times New Roman"/>
          <w:szCs w:val="24"/>
        </w:rPr>
      </w:pPr>
      <w:r w:rsidRPr="009A614C">
        <w:rPr>
          <w:rFonts w:cs="Times New Roman"/>
          <w:szCs w:val="24"/>
        </w:rPr>
        <w:lastRenderedPageBreak/>
        <w:t xml:space="preserve">Dhossche, D. M., Melvin, K. S., Harper, M. S., &amp; Sporn, J. (2001). Suicidal behavior in children and adolescents: A developmental perspective. Psychiatric Clinics of North America, 24(2), 259-269. </w:t>
      </w:r>
      <w:hyperlink r:id="rId24" w:tgtFrame="_new" w:history="1">
        <w:r w:rsidRPr="009A614C">
          <w:rPr>
            <w:rStyle w:val="Hyperlink"/>
            <w:rFonts w:cs="Times New Roman"/>
            <w:szCs w:val="24"/>
          </w:rPr>
          <w:t>https://doi.org/10.1016/S0193-953X(05)70246-1</w:t>
        </w:r>
      </w:hyperlink>
    </w:p>
    <w:p w14:paraId="01A2115B" w14:textId="61591B0B" w:rsidR="00CF696B" w:rsidRPr="009A614C" w:rsidRDefault="00CF696B" w:rsidP="009A614C">
      <w:pPr>
        <w:spacing w:line="480" w:lineRule="auto"/>
        <w:ind w:left="720" w:hanging="720"/>
        <w:rPr>
          <w:rFonts w:cs="Times New Roman"/>
          <w:color w:val="000000"/>
          <w:szCs w:val="24"/>
        </w:rPr>
      </w:pPr>
      <w:r w:rsidRPr="009A614C">
        <w:rPr>
          <w:rFonts w:cs="Times New Roman"/>
          <w:color w:val="000000"/>
          <w:szCs w:val="24"/>
        </w:rPr>
        <w:t>Dhossche, D., Snell, K. S., &amp; Larder, S. (2000). A case-control study of tattoos in young suicide victims as a possible marker of risk.</w:t>
      </w:r>
      <w:r w:rsidRPr="009A614C">
        <w:rPr>
          <w:rFonts w:cs="Times New Roman"/>
          <w:i/>
          <w:iCs/>
          <w:color w:val="000000"/>
          <w:szCs w:val="24"/>
        </w:rPr>
        <w:t xml:space="preserve"> Journal of Affective Disorders, 59</w:t>
      </w:r>
      <w:r w:rsidRPr="009A614C">
        <w:rPr>
          <w:rFonts w:cs="Times New Roman"/>
          <w:color w:val="000000"/>
          <w:szCs w:val="24"/>
        </w:rPr>
        <w:t>(2), 165-168. doi:http://dx.doi.org/10.1016/S0165-0327(99)00136-6</w:t>
      </w:r>
    </w:p>
    <w:p w14:paraId="767F2666" w14:textId="40078A57" w:rsidR="00800070" w:rsidRPr="009A614C" w:rsidRDefault="00800070" w:rsidP="009A614C">
      <w:pPr>
        <w:spacing w:line="480" w:lineRule="auto"/>
        <w:ind w:left="720" w:hanging="720"/>
        <w:rPr>
          <w:rFonts w:cs="Times New Roman"/>
          <w:szCs w:val="24"/>
        </w:rPr>
      </w:pPr>
      <w:r w:rsidRPr="009A614C">
        <w:rPr>
          <w:rFonts w:cs="Times New Roman"/>
          <w:szCs w:val="24"/>
        </w:rPr>
        <w:t xml:space="preserve">Ellison, Jansen, L. A. W., Nguyen, F., Martina, A., Spencer, J., Wierdsma, A. I., Kathol, R. G., &amp; van Schijndel, M. A. (2022). Specialty Psychiatric Services in US Emergency Departments and General Hospitals: Results From a Nationwide Survey. </w:t>
      </w:r>
      <w:r w:rsidRPr="009A614C">
        <w:rPr>
          <w:rFonts w:cs="Times New Roman"/>
          <w:i/>
          <w:iCs/>
          <w:szCs w:val="24"/>
        </w:rPr>
        <w:t>Mayo Clinic Proceedings</w:t>
      </w:r>
      <w:r w:rsidRPr="009A614C">
        <w:rPr>
          <w:rFonts w:cs="Times New Roman"/>
          <w:szCs w:val="24"/>
        </w:rPr>
        <w:t xml:space="preserve">, </w:t>
      </w:r>
      <w:r w:rsidRPr="009A614C">
        <w:rPr>
          <w:rFonts w:cs="Times New Roman"/>
          <w:i/>
          <w:iCs/>
          <w:szCs w:val="24"/>
        </w:rPr>
        <w:t>97</w:t>
      </w:r>
      <w:r w:rsidRPr="009A614C">
        <w:rPr>
          <w:rFonts w:cs="Times New Roman"/>
          <w:szCs w:val="24"/>
        </w:rPr>
        <w:t xml:space="preserve">(5), 862–870. </w:t>
      </w:r>
      <w:hyperlink r:id="rId25" w:history="1">
        <w:r w:rsidRPr="009A614C">
          <w:rPr>
            <w:rStyle w:val="Hyperlink"/>
            <w:rFonts w:cs="Times New Roman"/>
            <w:szCs w:val="24"/>
          </w:rPr>
          <w:t>https://doi.org/10.1016/j.mayocp.2021.10.025</w:t>
        </w:r>
      </w:hyperlink>
    </w:p>
    <w:p w14:paraId="157A792F" w14:textId="77777777" w:rsidR="00BB30F1" w:rsidRPr="009A614C" w:rsidRDefault="00BB30F1" w:rsidP="009A614C">
      <w:pPr>
        <w:spacing w:line="480" w:lineRule="auto"/>
        <w:ind w:left="720" w:hanging="720"/>
        <w:rPr>
          <w:rFonts w:cs="Times New Roman"/>
          <w:szCs w:val="24"/>
        </w:rPr>
      </w:pPr>
      <w:r w:rsidRPr="009A614C">
        <w:rPr>
          <w:rFonts w:cs="Times New Roman"/>
          <w:szCs w:val="24"/>
        </w:rPr>
        <w:t>Fazio, R. H. (1990). A practical guide to the use of response latency in social psychological research. In C. Hendrick &amp; M. S. Clark (Eds.), Research Methods in Personality and Social Psychology (pp. 74-97). Sage.</w:t>
      </w:r>
    </w:p>
    <w:p w14:paraId="1687B401"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Fazio, R. H. (2001). On the automatic activation of associated evaluations: An overview. Cognition and Emotion, 15(2), 115-141. </w:t>
      </w:r>
      <w:hyperlink r:id="rId26" w:tgtFrame="_new" w:history="1">
        <w:r w:rsidRPr="009A614C">
          <w:rPr>
            <w:rStyle w:val="Hyperlink"/>
            <w:rFonts w:cs="Times New Roman"/>
            <w:szCs w:val="24"/>
          </w:rPr>
          <w:t>https://doi.org/10.1080/02699930125908</w:t>
        </w:r>
      </w:hyperlink>
    </w:p>
    <w:p w14:paraId="6F11391E" w14:textId="1F486411" w:rsidR="00BB30F1" w:rsidRPr="009A614C" w:rsidRDefault="00BB30F1" w:rsidP="009A614C">
      <w:pPr>
        <w:spacing w:line="480" w:lineRule="auto"/>
        <w:ind w:left="720" w:hanging="720"/>
        <w:rPr>
          <w:rFonts w:cs="Times New Roman"/>
          <w:szCs w:val="24"/>
        </w:rPr>
      </w:pPr>
      <w:r w:rsidRPr="009A614C">
        <w:rPr>
          <w:rFonts w:cs="Times New Roman"/>
          <w:szCs w:val="24"/>
        </w:rPr>
        <w:t xml:space="preserve">Fazio, R. H., &amp; Olson, M. A. (2003). Implicit measures in social cognition research: Their meaning and use. Annual Review of Psychology, 54(1), 297-327. </w:t>
      </w:r>
      <w:hyperlink r:id="rId27" w:tgtFrame="_new" w:history="1">
        <w:r w:rsidRPr="009A614C">
          <w:rPr>
            <w:rStyle w:val="Hyperlink"/>
            <w:rFonts w:cs="Times New Roman"/>
            <w:szCs w:val="24"/>
          </w:rPr>
          <w:t>https://doi.org/10.1146/annurev.psych.54.101601.145225</w:t>
        </w:r>
      </w:hyperlink>
    </w:p>
    <w:p w14:paraId="4E079920" w14:textId="6B15391F" w:rsidR="000D5C61" w:rsidRPr="009A614C" w:rsidRDefault="000D5C61" w:rsidP="009A614C">
      <w:pPr>
        <w:spacing w:line="480" w:lineRule="auto"/>
        <w:ind w:left="720" w:hanging="720"/>
        <w:rPr>
          <w:rFonts w:cs="Times New Roman"/>
          <w:szCs w:val="24"/>
        </w:rPr>
      </w:pPr>
      <w:r w:rsidRPr="009A614C">
        <w:rPr>
          <w:rFonts w:cs="Times New Roman"/>
          <w:szCs w:val="24"/>
        </w:rPr>
        <w:t xml:space="preserve">Fazio, R. H., &amp; Olson, M. A. (2014). The MODE model: Attitude-behavior processes as a function of motivation and opportunity. In J. W. Sherman, B. Gawronski, &amp; Y. Trope (Eds.), </w:t>
      </w:r>
      <w:r w:rsidRPr="009A614C">
        <w:rPr>
          <w:rFonts w:cs="Times New Roman"/>
          <w:i/>
          <w:iCs/>
          <w:szCs w:val="24"/>
        </w:rPr>
        <w:t>Dual-process theories of the social mind</w:t>
      </w:r>
      <w:r w:rsidRPr="009A614C">
        <w:rPr>
          <w:rFonts w:cs="Times New Roman"/>
          <w:szCs w:val="24"/>
        </w:rPr>
        <w:t xml:space="preserve"> (pp. 155–171). The Guilford Press. </w:t>
      </w:r>
    </w:p>
    <w:p w14:paraId="44E093DE" w14:textId="43206D22" w:rsidR="00800070" w:rsidRPr="009A614C" w:rsidRDefault="00800070" w:rsidP="009A614C">
      <w:pPr>
        <w:spacing w:line="480" w:lineRule="auto"/>
        <w:ind w:left="720" w:hanging="720"/>
        <w:rPr>
          <w:rFonts w:cs="Times New Roman"/>
          <w:szCs w:val="24"/>
        </w:rPr>
      </w:pPr>
      <w:r w:rsidRPr="009A614C">
        <w:rPr>
          <w:rFonts w:cs="Times New Roman"/>
          <w:szCs w:val="24"/>
        </w:rPr>
        <w:lastRenderedPageBreak/>
        <w:t>Fiske, S. T., Lin, M., &amp; Neuberg, S. L. (1999). The continuum model: Ten years later. In S. Chaiken &amp; Y. Trope (Eds.), Dual-process theories in social psychology (pp. 231–254). Guilford Press.</w:t>
      </w:r>
    </w:p>
    <w:p w14:paraId="3733AF27" w14:textId="7BC1666E" w:rsidR="00800070" w:rsidRPr="009A614C" w:rsidRDefault="00800070" w:rsidP="009A614C">
      <w:pPr>
        <w:spacing w:line="480" w:lineRule="auto"/>
        <w:ind w:left="720" w:hanging="720"/>
        <w:rPr>
          <w:rFonts w:cs="Times New Roman"/>
          <w:szCs w:val="24"/>
        </w:rPr>
      </w:pPr>
      <w:r w:rsidRPr="009A614C">
        <w:rPr>
          <w:rFonts w:cs="Times New Roman"/>
          <w:szCs w:val="24"/>
        </w:rPr>
        <w:t>Gawronski, B., &amp; Strack, F. (2004). On the propositional nature of cognitive consistency: Dissonance changes explicit, but not implicit attitudes. Journal of Experimental Social Psychology, 40(4), 535–542.</w:t>
      </w:r>
    </w:p>
    <w:p w14:paraId="45837E66" w14:textId="0066D782" w:rsidR="00800070" w:rsidRPr="009A614C" w:rsidRDefault="00800070" w:rsidP="009A614C">
      <w:pPr>
        <w:spacing w:line="480" w:lineRule="auto"/>
        <w:ind w:left="720" w:hanging="720"/>
        <w:rPr>
          <w:rFonts w:cs="Times New Roman"/>
          <w:color w:val="000000"/>
          <w:szCs w:val="24"/>
        </w:rPr>
      </w:pPr>
      <w:r w:rsidRPr="009A614C">
        <w:rPr>
          <w:rFonts w:cs="Times New Roman"/>
          <w:color w:val="000000"/>
          <w:szCs w:val="24"/>
        </w:rPr>
        <w:t>Glenn, C. R.,  Kleiman, E. M.,  Cha, C. B.,  Nock, M. K., &amp;  Prinstein, M. J.  (2016). Journal of Child Psychology and Psychiatry.</w:t>
      </w:r>
    </w:p>
    <w:p w14:paraId="62FB3201" w14:textId="77777777" w:rsidR="00683695" w:rsidRPr="009A614C" w:rsidRDefault="00683695" w:rsidP="009A614C">
      <w:pPr>
        <w:spacing w:line="480" w:lineRule="auto"/>
        <w:ind w:left="720" w:hanging="720"/>
        <w:rPr>
          <w:rStyle w:val="markedcontent"/>
          <w:rFonts w:cs="Times New Roman"/>
          <w:szCs w:val="24"/>
        </w:rPr>
      </w:pPr>
      <w:r w:rsidRPr="009A614C">
        <w:rPr>
          <w:rFonts w:cs="Times New Roman"/>
          <w:szCs w:val="24"/>
        </w:rPr>
        <w:t>Greenwald, A. G., &amp; Lai, C. K. (2020). Implicit social cognition. Annual Review of Psychology, 71, 419–445. https://doi.org/10.1146/annurev-psych-010419-050837</w:t>
      </w:r>
    </w:p>
    <w:p w14:paraId="04664895" w14:textId="7C5310FB" w:rsidR="00683695" w:rsidRPr="009A614C" w:rsidRDefault="00683695" w:rsidP="009A614C">
      <w:pPr>
        <w:spacing w:line="480" w:lineRule="auto"/>
        <w:ind w:left="720" w:hanging="720"/>
        <w:rPr>
          <w:rFonts w:cs="Times New Roman"/>
          <w:szCs w:val="24"/>
        </w:rPr>
      </w:pPr>
      <w:r w:rsidRPr="009A614C">
        <w:rPr>
          <w:rFonts w:cs="Times New Roman"/>
          <w:szCs w:val="24"/>
        </w:rPr>
        <w:t>Greenwald, A.G., Nosek, B.A., &amp; Banaji, M.R. (2003). Understanding and using the Implicit Association Test: I. An improved scoring algorithm. Journal of Personality and Social Psychology, 85, 197–216.</w:t>
      </w:r>
    </w:p>
    <w:p w14:paraId="02C91AEE" w14:textId="2F93BBE0" w:rsidR="00BB30F1" w:rsidRPr="009A614C" w:rsidRDefault="00BB30F1" w:rsidP="009A614C">
      <w:pPr>
        <w:spacing w:line="480" w:lineRule="auto"/>
        <w:ind w:left="720" w:hanging="720"/>
        <w:rPr>
          <w:rFonts w:cs="Times New Roman"/>
          <w:szCs w:val="24"/>
        </w:rPr>
      </w:pPr>
      <w:r w:rsidRPr="009A614C">
        <w:rPr>
          <w:rFonts w:cs="Times New Roman"/>
          <w:szCs w:val="24"/>
        </w:rPr>
        <w:t xml:space="preserve">Greenwald, A. G., McGhee, D. E., &amp; Schwartz, J. L. K. (1998). Measuring individual differences in implicit cognition: The Implicit Association Test. Journal of Personality and Social Psychology, 74(6), 1464-1480. </w:t>
      </w:r>
      <w:hyperlink r:id="rId28" w:tgtFrame="_new" w:history="1">
        <w:r w:rsidRPr="009A614C">
          <w:rPr>
            <w:rStyle w:val="Hyperlink"/>
            <w:rFonts w:cs="Times New Roman"/>
            <w:szCs w:val="24"/>
          </w:rPr>
          <w:t>https://doi.org/10.1037/0022-3514.74.6.1464</w:t>
        </w:r>
      </w:hyperlink>
    </w:p>
    <w:p w14:paraId="519B5A83" w14:textId="5F99F5E9" w:rsidR="00683695" w:rsidRPr="009A614C" w:rsidRDefault="00683695" w:rsidP="009A614C">
      <w:pPr>
        <w:spacing w:line="480" w:lineRule="auto"/>
        <w:ind w:left="720" w:hanging="720"/>
        <w:rPr>
          <w:rFonts w:cs="Times New Roman"/>
          <w:szCs w:val="24"/>
        </w:rPr>
      </w:pPr>
      <w:r w:rsidRPr="009A614C">
        <w:rPr>
          <w:rFonts w:cs="Times New Roman"/>
          <w:szCs w:val="24"/>
        </w:rPr>
        <w:t xml:space="preserve">Hargus, E., Hawton, K., &amp; Rodham, K. (2009). Distinguishing between subgroups of adolescents who self-harm. </w:t>
      </w:r>
      <w:r w:rsidRPr="009A614C">
        <w:rPr>
          <w:rFonts w:cs="Times New Roman"/>
          <w:i/>
          <w:iCs/>
          <w:szCs w:val="24"/>
        </w:rPr>
        <w:t>Suicide &amp; life-threatening behavior</w:t>
      </w:r>
      <w:r w:rsidRPr="009A614C">
        <w:rPr>
          <w:rFonts w:cs="Times New Roman"/>
          <w:szCs w:val="24"/>
        </w:rPr>
        <w:t xml:space="preserve">, </w:t>
      </w:r>
      <w:r w:rsidRPr="009A614C">
        <w:rPr>
          <w:rFonts w:cs="Times New Roman"/>
          <w:i/>
          <w:iCs/>
          <w:szCs w:val="24"/>
        </w:rPr>
        <w:t>39</w:t>
      </w:r>
      <w:r w:rsidRPr="009A614C">
        <w:rPr>
          <w:rFonts w:cs="Times New Roman"/>
          <w:szCs w:val="24"/>
        </w:rPr>
        <w:t xml:space="preserve">(5), 518–537. </w:t>
      </w:r>
      <w:hyperlink r:id="rId29" w:history="1">
        <w:r w:rsidRPr="009A614C">
          <w:rPr>
            <w:rStyle w:val="Hyperlink"/>
            <w:rFonts w:cs="Times New Roman"/>
            <w:szCs w:val="24"/>
          </w:rPr>
          <w:t>https://doi.org/10.1521/suli.2009.39.5.518</w:t>
        </w:r>
      </w:hyperlink>
    </w:p>
    <w:p w14:paraId="4A72E46B" w14:textId="19BF642C" w:rsidR="00683695" w:rsidRPr="009A614C" w:rsidRDefault="00683695" w:rsidP="009A614C">
      <w:pPr>
        <w:spacing w:line="480" w:lineRule="auto"/>
        <w:ind w:left="720" w:hanging="720"/>
        <w:rPr>
          <w:rFonts w:cs="Times New Roman"/>
          <w:szCs w:val="24"/>
        </w:rPr>
      </w:pPr>
      <w:r w:rsidRPr="009A614C">
        <w:rPr>
          <w:rFonts w:cs="Times New Roman"/>
          <w:szCs w:val="24"/>
        </w:rPr>
        <w:t xml:space="preserve">Hicks, L. L., McNulty, J. K., Faure, R., Meltzer, A. L., Righetti, F., &amp; Hofmann, W. (2021). Do people realize how their partners make them feel? Relationship enhancement motives and </w:t>
      </w:r>
      <w:r w:rsidRPr="009A614C">
        <w:rPr>
          <w:rFonts w:cs="Times New Roman"/>
          <w:szCs w:val="24"/>
        </w:rPr>
        <w:lastRenderedPageBreak/>
        <w:t>stress determine the link between implicitly assessed partner attitudes and relationship satisfaction. Journal of Personality and Social Psychology, 120(2), 335–369.</w:t>
      </w:r>
    </w:p>
    <w:p w14:paraId="27360B51" w14:textId="77777777" w:rsidR="00683695" w:rsidRPr="009A614C" w:rsidRDefault="00683695" w:rsidP="009A614C">
      <w:pPr>
        <w:spacing w:line="480" w:lineRule="auto"/>
        <w:ind w:left="720" w:hanging="720"/>
        <w:rPr>
          <w:rFonts w:cs="Times New Roman"/>
          <w:color w:val="000000"/>
          <w:szCs w:val="24"/>
        </w:rPr>
      </w:pPr>
      <w:r w:rsidRPr="009A614C">
        <w:rPr>
          <w:rFonts w:cs="Times New Roman"/>
          <w:color w:val="000000"/>
          <w:szCs w:val="24"/>
        </w:rPr>
        <w:t>Hofmann, W., &amp; Friese, M. (2008). Impulses got the better of me: Alcohol moderates the influence of implicit attitudes toward food cues on eating behavior. Journal of Abnormal Psychology, 117(2), 420–427.</w:t>
      </w:r>
    </w:p>
    <w:p w14:paraId="7AD3FA0F" w14:textId="789445EB" w:rsidR="00683695" w:rsidRPr="009A614C" w:rsidRDefault="00683695" w:rsidP="009A614C">
      <w:pPr>
        <w:spacing w:line="480" w:lineRule="auto"/>
        <w:ind w:left="720" w:hanging="720"/>
        <w:rPr>
          <w:rFonts w:cs="Times New Roman"/>
          <w:szCs w:val="24"/>
        </w:rPr>
      </w:pPr>
      <w:r w:rsidRPr="009A614C">
        <w:rPr>
          <w:rFonts w:cs="Times New Roman"/>
          <w:color w:val="000000"/>
          <w:szCs w:val="24"/>
        </w:rPr>
        <w:t>Hofmann, W., Schmeichel, B. J., &amp; Baddeley, A. D. (2012). Executive functions and self- regulation. Trends in Cognitive Sciences, 16(3), 174–180.</w:t>
      </w:r>
    </w:p>
    <w:p w14:paraId="781AC6A4" w14:textId="77777777" w:rsidR="00BB30F1" w:rsidRPr="009A614C" w:rsidRDefault="00BB30F1" w:rsidP="009A614C">
      <w:pPr>
        <w:spacing w:line="480" w:lineRule="auto"/>
        <w:ind w:left="720" w:hanging="720"/>
        <w:rPr>
          <w:rFonts w:cs="Times New Roman"/>
          <w:szCs w:val="24"/>
        </w:rPr>
      </w:pPr>
      <w:r w:rsidRPr="009A614C">
        <w:rPr>
          <w:rFonts w:cs="Times New Roman"/>
          <w:szCs w:val="24"/>
        </w:rPr>
        <w:t>Joiner, T. E. (2005). Why People Die by Suicide. Harvard University Press.</w:t>
      </w:r>
    </w:p>
    <w:p w14:paraId="36438BE6"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Joiner, T. E., Van Orden, K. A., Witte, T. K., Selby, E. A., Ribeiro, J. D., Lewis, R., &amp; Rudd, M. D. (2009). Main predictions of the interpersonal–psychological theory of suicidal behavior: Empirical tests in two samples of young adults. Journal of Abnormal Psychology, 118(3), 634-646. </w:t>
      </w:r>
      <w:hyperlink r:id="rId30" w:tgtFrame="_new" w:history="1">
        <w:r w:rsidRPr="009A614C">
          <w:rPr>
            <w:rStyle w:val="Hyperlink"/>
            <w:rFonts w:cs="Times New Roman"/>
            <w:szCs w:val="24"/>
          </w:rPr>
          <w:t>https://doi.org/10.1037/a0016500</w:t>
        </w:r>
      </w:hyperlink>
    </w:p>
    <w:p w14:paraId="2A6823E8" w14:textId="7C7607B3" w:rsidR="00CD1301" w:rsidRPr="009A614C" w:rsidRDefault="00CD1301" w:rsidP="009A614C">
      <w:pPr>
        <w:spacing w:line="480" w:lineRule="auto"/>
        <w:ind w:left="720" w:hanging="720"/>
        <w:rPr>
          <w:rFonts w:cs="Times New Roman"/>
          <w:szCs w:val="24"/>
        </w:rPr>
      </w:pPr>
      <w:r w:rsidRPr="009A614C">
        <w:rPr>
          <w:rFonts w:cs="Times New Roman"/>
          <w:szCs w:val="24"/>
        </w:rPr>
        <w:t xml:space="preserve">Kirtley, O. J., O’Carroll, R. E., &amp; O’Connor, R. C. (2016). Pain and self-harm: A systematic review. </w:t>
      </w:r>
      <w:r w:rsidRPr="009A614C">
        <w:rPr>
          <w:rFonts w:cs="Times New Roman"/>
          <w:i/>
          <w:iCs/>
          <w:szCs w:val="24"/>
        </w:rPr>
        <w:t>Journal of affective disorders</w:t>
      </w:r>
      <w:r w:rsidRPr="009A614C">
        <w:rPr>
          <w:rFonts w:cs="Times New Roman"/>
          <w:szCs w:val="24"/>
        </w:rPr>
        <w:t xml:space="preserve">, </w:t>
      </w:r>
      <w:r w:rsidRPr="009A614C">
        <w:rPr>
          <w:rFonts w:cs="Times New Roman"/>
          <w:i/>
          <w:iCs/>
          <w:szCs w:val="24"/>
        </w:rPr>
        <w:t>203</w:t>
      </w:r>
      <w:r w:rsidRPr="009A614C">
        <w:rPr>
          <w:rFonts w:cs="Times New Roman"/>
          <w:szCs w:val="24"/>
        </w:rPr>
        <w:t>, 347-363.</w:t>
      </w:r>
    </w:p>
    <w:p w14:paraId="585ACCF2" w14:textId="4BB64454" w:rsidR="00BB30F1" w:rsidRPr="009A614C" w:rsidRDefault="00BB30F1" w:rsidP="009A614C">
      <w:pPr>
        <w:spacing w:line="480" w:lineRule="auto"/>
        <w:ind w:left="720" w:hanging="720"/>
        <w:rPr>
          <w:rFonts w:cs="Times New Roman"/>
          <w:szCs w:val="24"/>
        </w:rPr>
      </w:pPr>
      <w:r w:rsidRPr="009A614C">
        <w:rPr>
          <w:rFonts w:cs="Times New Roman"/>
          <w:szCs w:val="24"/>
        </w:rPr>
        <w:t xml:space="preserve">Klonsky, E. D., May, A. M., &amp; Saffer, B. Y. (2016). Suicide, suicide attempts, and suicidal ideation. Annual Review of Clinical Psychology, 12(1), 307-330. </w:t>
      </w:r>
      <w:hyperlink r:id="rId31" w:tgtFrame="_new" w:history="1">
        <w:r w:rsidRPr="009A614C">
          <w:rPr>
            <w:rStyle w:val="Hyperlink"/>
            <w:rFonts w:cs="Times New Roman"/>
            <w:szCs w:val="24"/>
          </w:rPr>
          <w:t>https://doi.org/10.1146/annurev-clinpsy-021815-093204</w:t>
        </w:r>
      </w:hyperlink>
    </w:p>
    <w:p w14:paraId="2E754A50" w14:textId="77777777" w:rsidR="00BB30F1" w:rsidRPr="009A614C" w:rsidRDefault="00BB30F1" w:rsidP="009A614C">
      <w:pPr>
        <w:spacing w:line="480" w:lineRule="auto"/>
        <w:ind w:left="720" w:hanging="720"/>
        <w:rPr>
          <w:rFonts w:cs="Times New Roman"/>
          <w:szCs w:val="24"/>
        </w:rPr>
      </w:pPr>
      <w:r w:rsidRPr="009A614C">
        <w:rPr>
          <w:rFonts w:cs="Times New Roman"/>
          <w:szCs w:val="24"/>
        </w:rPr>
        <w:t xml:space="preserve">Klonsky, E. D., May, A. M., &amp; Saffer, B. Y. (2020). Suicide, suicide attempts, and suicidal ideation. Annual Review of Clinical Psychology, 16(1), 287-314. </w:t>
      </w:r>
      <w:hyperlink r:id="rId32" w:tgtFrame="_new" w:history="1">
        <w:r w:rsidRPr="009A614C">
          <w:rPr>
            <w:rStyle w:val="Hyperlink"/>
            <w:rFonts w:cs="Times New Roman"/>
            <w:szCs w:val="24"/>
          </w:rPr>
          <w:t>https://doi.org/10.1146/annurev-clinpsy-071119-113352</w:t>
        </w:r>
      </w:hyperlink>
    </w:p>
    <w:p w14:paraId="64B0B634" w14:textId="32517B66" w:rsidR="00BB30F1" w:rsidRPr="009A614C" w:rsidRDefault="00BB30F1" w:rsidP="009A614C">
      <w:pPr>
        <w:spacing w:line="480" w:lineRule="auto"/>
        <w:ind w:left="720" w:hanging="720"/>
        <w:rPr>
          <w:rFonts w:cs="Times New Roman"/>
          <w:szCs w:val="24"/>
        </w:rPr>
      </w:pPr>
      <w:r w:rsidRPr="009A614C">
        <w:rPr>
          <w:rFonts w:cs="Times New Roman"/>
          <w:szCs w:val="24"/>
        </w:rPr>
        <w:lastRenderedPageBreak/>
        <w:t>Klonsky, E. D., May, A. M., &amp; Sibley, M. H. (2021). Theories of suicide risk. In R. C. O'Connor, M. P. H. Mehlum, U. S. Niederkrotenthaler, E. D. O'Connor, A. C. Pirkis, B. B. Wong, &amp; K. Hawton (Eds.), International Handbook of Suicide Prevention (pp. 31-53). Wiley.</w:t>
      </w:r>
    </w:p>
    <w:p w14:paraId="7AF7CE5E" w14:textId="2201A505" w:rsidR="00CD1301" w:rsidRPr="009A614C" w:rsidRDefault="00CD1301" w:rsidP="009A614C">
      <w:pPr>
        <w:spacing w:line="480" w:lineRule="auto"/>
        <w:ind w:left="720" w:hanging="720"/>
        <w:rPr>
          <w:rFonts w:cs="Times New Roman"/>
          <w:szCs w:val="24"/>
        </w:rPr>
      </w:pPr>
      <w:r w:rsidRPr="009A614C">
        <w:rPr>
          <w:rFonts w:cs="Times New Roman"/>
          <w:szCs w:val="24"/>
        </w:rPr>
        <w:t xml:space="preserve">Kovacs, M., Beck, A. T., Schulterbrandt, J. G., &amp; Raskin, A. (1977). Depression in childhood: Diagnosis, treatment, and conceptual models. </w:t>
      </w:r>
      <w:r w:rsidRPr="009A614C">
        <w:rPr>
          <w:rFonts w:cs="Times New Roman"/>
          <w:i/>
          <w:iCs/>
          <w:szCs w:val="24"/>
        </w:rPr>
        <w:t>An empirical-clinical approach towards a definition of childhood depression</w:t>
      </w:r>
      <w:r w:rsidRPr="009A614C">
        <w:rPr>
          <w:rFonts w:cs="Times New Roman"/>
          <w:szCs w:val="24"/>
        </w:rPr>
        <w:t>, 1-26.</w:t>
      </w:r>
    </w:p>
    <w:p w14:paraId="3FFFC543" w14:textId="77777777" w:rsidR="000D5C61" w:rsidRPr="009A614C" w:rsidRDefault="000D5C61" w:rsidP="009A614C">
      <w:pPr>
        <w:spacing w:line="480" w:lineRule="auto"/>
        <w:ind w:left="720" w:hanging="720"/>
        <w:rPr>
          <w:rFonts w:cs="Times New Roman"/>
          <w:szCs w:val="24"/>
        </w:rPr>
      </w:pPr>
      <w:r w:rsidRPr="009A614C">
        <w:rPr>
          <w:rFonts w:cs="Times New Roman"/>
          <w:szCs w:val="24"/>
        </w:rPr>
        <w:t>Logan, G. D., Schachar, R. J., &amp; Tannock, R. (1997). Impulsivity and inhibitory control. Psychological Science, 8(1), 60–64.</w:t>
      </w:r>
    </w:p>
    <w:p w14:paraId="14969EF1" w14:textId="77777777" w:rsidR="000D5C61" w:rsidRPr="009A614C" w:rsidRDefault="000D5C61" w:rsidP="009A614C">
      <w:pPr>
        <w:spacing w:line="480" w:lineRule="auto"/>
        <w:ind w:left="720" w:hanging="720"/>
        <w:rPr>
          <w:rFonts w:cs="Times New Roman"/>
          <w:szCs w:val="24"/>
        </w:rPr>
      </w:pPr>
      <w:r w:rsidRPr="009A614C">
        <w:rPr>
          <w:rFonts w:cs="Times New Roman"/>
          <w:color w:val="000000"/>
          <w:szCs w:val="24"/>
        </w:rPr>
        <w:t>March, D. S., Gaertner, L., &amp; Olson, M. A. (2018). On the prioritized processing of threat in a dual implicit process model of evaluation. Psychological Inquiry, 29(1), 1-13.</w:t>
      </w:r>
    </w:p>
    <w:p w14:paraId="09351166" w14:textId="77777777" w:rsidR="000D5C61" w:rsidRPr="009A614C" w:rsidRDefault="000D5C61" w:rsidP="009A614C">
      <w:pPr>
        <w:spacing w:line="480" w:lineRule="auto"/>
        <w:ind w:left="720" w:hanging="720"/>
        <w:rPr>
          <w:rFonts w:cs="Times New Roman"/>
          <w:szCs w:val="24"/>
        </w:rPr>
      </w:pPr>
      <w:r w:rsidRPr="009A614C">
        <w:rPr>
          <w:rFonts w:cs="Times New Roman"/>
          <w:szCs w:val="24"/>
        </w:rPr>
        <w:t xml:space="preserve">McNulty, J. K., &amp; Olson, M. A. (2015). Integrating automatic processes into theories of relationships. </w:t>
      </w:r>
      <w:r w:rsidRPr="009A614C">
        <w:rPr>
          <w:rFonts w:cs="Times New Roman"/>
          <w:i/>
          <w:iCs/>
          <w:szCs w:val="24"/>
        </w:rPr>
        <w:t>Current Opinion in Psychology</w:t>
      </w:r>
      <w:r w:rsidRPr="009A614C">
        <w:rPr>
          <w:rFonts w:cs="Times New Roman"/>
          <w:szCs w:val="24"/>
        </w:rPr>
        <w:t>, 1, 107–112</w:t>
      </w:r>
    </w:p>
    <w:p w14:paraId="53E92D47" w14:textId="622CF565" w:rsidR="000D5C61" w:rsidRPr="009A614C" w:rsidRDefault="000D5C61" w:rsidP="009A614C">
      <w:pPr>
        <w:spacing w:line="480" w:lineRule="auto"/>
        <w:ind w:left="720" w:hanging="720"/>
        <w:rPr>
          <w:rFonts w:cs="Times New Roman"/>
          <w:szCs w:val="24"/>
        </w:rPr>
      </w:pPr>
      <w:r w:rsidRPr="009A614C">
        <w:rPr>
          <w:rFonts w:cs="Times New Roman"/>
          <w:szCs w:val="24"/>
        </w:rPr>
        <w:t>McNulty, J. K., Olson, M. A., &amp; Joiner, T. E. (2019). Implicit interpersonal evaluations as a risk factor for suicidality: Automatic spousal attitudes predict changes in the probability of suicidal thoughts. Journal of Personality and Social Psychology, 117(5), 978–997.</w:t>
      </w:r>
    </w:p>
    <w:p w14:paraId="71CEFF2D" w14:textId="0E74728B" w:rsidR="000D5C61" w:rsidRPr="009A614C" w:rsidRDefault="000D5C61" w:rsidP="009A614C">
      <w:pPr>
        <w:spacing w:line="480" w:lineRule="auto"/>
        <w:ind w:left="720" w:hanging="720"/>
        <w:rPr>
          <w:rFonts w:cs="Times New Roman"/>
          <w:szCs w:val="24"/>
        </w:rPr>
      </w:pPr>
      <w:r w:rsidRPr="009A614C">
        <w:rPr>
          <w:rFonts w:cs="Times New Roman"/>
          <w:szCs w:val="24"/>
        </w:rPr>
        <w:t xml:space="preserve">Nesse, R. M. (2005). Natural selection and the regulation of defenses: A signal detection analysis of the smoke detector principle. </w:t>
      </w:r>
      <w:r w:rsidRPr="009A614C">
        <w:rPr>
          <w:rStyle w:val="Emphasis"/>
          <w:rFonts w:cs="Times New Roman"/>
          <w:szCs w:val="24"/>
        </w:rPr>
        <w:t>Evolution and Human Behavior, 26</w:t>
      </w:r>
      <w:r w:rsidRPr="009A614C">
        <w:rPr>
          <w:rFonts w:cs="Times New Roman"/>
          <w:szCs w:val="24"/>
        </w:rPr>
        <w:t xml:space="preserve">(1), 88–105. </w:t>
      </w:r>
      <w:hyperlink r:id="rId33" w:tgtFrame="_blank" w:history="1">
        <w:r w:rsidRPr="009A614C">
          <w:rPr>
            <w:rStyle w:val="Hyperlink"/>
            <w:rFonts w:cs="Times New Roman"/>
            <w:szCs w:val="24"/>
          </w:rPr>
          <w:t>https://doi.org/10.1016/j.evolhumbehav.2004.08.002</w:t>
        </w:r>
      </w:hyperlink>
    </w:p>
    <w:p w14:paraId="245B05C1" w14:textId="3A5030C4" w:rsidR="000D5C61" w:rsidRPr="009A614C" w:rsidRDefault="000D5C61" w:rsidP="009A614C">
      <w:pPr>
        <w:spacing w:line="480" w:lineRule="auto"/>
        <w:ind w:left="720" w:hanging="720"/>
        <w:rPr>
          <w:rFonts w:cs="Times New Roman"/>
          <w:szCs w:val="24"/>
        </w:rPr>
      </w:pPr>
      <w:r w:rsidRPr="009A614C">
        <w:rPr>
          <w:rFonts w:cs="Times New Roman"/>
          <w:szCs w:val="24"/>
        </w:rPr>
        <w:t xml:space="preserve">Nixon, M. K., Levesque, C., Preyde, M., Vanderkooy, J., &amp; Cloutier, P. F. (2015). The Ottawa Self-Injury Inventory: Evaluation of an assessment measure of nonsuicidal self-injury in </w:t>
      </w:r>
      <w:r w:rsidRPr="009A614C">
        <w:rPr>
          <w:rFonts w:cs="Times New Roman"/>
          <w:szCs w:val="24"/>
        </w:rPr>
        <w:lastRenderedPageBreak/>
        <w:t xml:space="preserve">an inpatient sample of adolescents. </w:t>
      </w:r>
      <w:r w:rsidRPr="009A614C">
        <w:rPr>
          <w:rFonts w:cs="Times New Roman"/>
          <w:i/>
          <w:iCs/>
          <w:szCs w:val="24"/>
        </w:rPr>
        <w:t>Child and adolescent psychiatry and mental health</w:t>
      </w:r>
      <w:r w:rsidRPr="009A614C">
        <w:rPr>
          <w:rFonts w:cs="Times New Roman"/>
          <w:szCs w:val="24"/>
        </w:rPr>
        <w:t xml:space="preserve">, </w:t>
      </w:r>
      <w:r w:rsidRPr="009A614C">
        <w:rPr>
          <w:rFonts w:cs="Times New Roman"/>
          <w:i/>
          <w:iCs/>
          <w:szCs w:val="24"/>
        </w:rPr>
        <w:t>9</w:t>
      </w:r>
      <w:r w:rsidRPr="009A614C">
        <w:rPr>
          <w:rFonts w:cs="Times New Roman"/>
          <w:szCs w:val="24"/>
        </w:rPr>
        <w:t>, 26. https://doi.org/10.1186/s13034-015-0056-5</w:t>
      </w:r>
    </w:p>
    <w:p w14:paraId="70DCADB8" w14:textId="77777777" w:rsidR="000D5C61" w:rsidRPr="009A614C" w:rsidRDefault="000D5C61" w:rsidP="009A614C">
      <w:pPr>
        <w:spacing w:line="480" w:lineRule="auto"/>
        <w:ind w:left="720" w:hanging="720"/>
        <w:rPr>
          <w:rFonts w:cs="Times New Roman"/>
          <w:szCs w:val="24"/>
        </w:rPr>
      </w:pPr>
      <w:r w:rsidRPr="009A614C">
        <w:rPr>
          <w:rFonts w:cs="Times New Roman"/>
          <w:color w:val="000000"/>
          <w:szCs w:val="24"/>
        </w:rPr>
        <w:t>Nock, M. K., Park, J. M., Finn, C. T., Deliberto, T. L., Dour, H. J., &amp; Banaji, M. R. (2010). Measuring the suicidal mind: Implicit cognition predicts suicidal behavior.</w:t>
      </w:r>
      <w:r w:rsidRPr="009A614C">
        <w:rPr>
          <w:rFonts w:cs="Times New Roman"/>
          <w:i/>
          <w:iCs/>
          <w:color w:val="000000"/>
          <w:szCs w:val="24"/>
        </w:rPr>
        <w:t xml:space="preserve"> Psychological Science, 21</w:t>
      </w:r>
      <w:r w:rsidRPr="009A614C">
        <w:rPr>
          <w:rFonts w:cs="Times New Roman"/>
          <w:color w:val="000000"/>
          <w:szCs w:val="24"/>
        </w:rPr>
        <w:t>(4), 511-517. doi:</w:t>
      </w:r>
      <w:hyperlink r:id="rId34" w:history="1">
        <w:r w:rsidRPr="009A614C">
          <w:rPr>
            <w:rStyle w:val="Hyperlink"/>
            <w:rFonts w:cs="Times New Roman"/>
            <w:color w:val="1155CC"/>
            <w:szCs w:val="24"/>
          </w:rPr>
          <w:t>http://dx.doi.org/10.1177/0956797610364762</w:t>
        </w:r>
      </w:hyperlink>
    </w:p>
    <w:p w14:paraId="0F3EAD08" w14:textId="6C1A712E" w:rsidR="000D5C61" w:rsidRPr="009A614C" w:rsidRDefault="005425FE" w:rsidP="009A614C">
      <w:pPr>
        <w:spacing w:line="480" w:lineRule="auto"/>
        <w:ind w:left="720" w:hanging="720"/>
        <w:rPr>
          <w:rFonts w:cs="Times New Roman"/>
          <w:szCs w:val="24"/>
        </w:rPr>
      </w:pPr>
      <w:r w:rsidRPr="009A614C">
        <w:rPr>
          <w:rFonts w:cs="Times New Roman"/>
          <w:color w:val="000000"/>
          <w:szCs w:val="24"/>
        </w:rPr>
        <w:t xml:space="preserve">Nock, M. K., &amp; Banaji, M. R. (2007a). Assessment of self-injurious thoughts using a behavioral test. </w:t>
      </w:r>
      <w:r w:rsidRPr="009A614C">
        <w:rPr>
          <w:rFonts w:cs="Times New Roman"/>
          <w:i/>
          <w:iCs/>
          <w:color w:val="000000"/>
          <w:szCs w:val="24"/>
        </w:rPr>
        <w:t>The American Journal of Psychiatry, 164</w:t>
      </w:r>
      <w:r w:rsidRPr="009A614C">
        <w:rPr>
          <w:rFonts w:cs="Times New Roman"/>
          <w:color w:val="000000"/>
          <w:szCs w:val="24"/>
        </w:rPr>
        <w:t xml:space="preserve">(5), 820–823. </w:t>
      </w:r>
      <w:hyperlink r:id="rId35" w:tgtFrame="_blank" w:history="1">
        <w:r w:rsidRPr="009A614C">
          <w:rPr>
            <w:rStyle w:val="Hyperlink"/>
            <w:rFonts w:eastAsia="Times New Roman" w:cs="Times New Roman"/>
            <w:szCs w:val="24"/>
          </w:rPr>
          <w:t>https://doi.org/10.1176/appi.ajp.164.5.820</w:t>
        </w:r>
      </w:hyperlink>
    </w:p>
    <w:p w14:paraId="70A2054F" w14:textId="3CA048ED" w:rsidR="000D5C61" w:rsidRPr="009A614C" w:rsidRDefault="005425FE" w:rsidP="009A614C">
      <w:pPr>
        <w:spacing w:line="480" w:lineRule="auto"/>
        <w:ind w:left="720" w:hanging="720"/>
        <w:rPr>
          <w:rFonts w:cs="Times New Roman"/>
          <w:szCs w:val="24"/>
        </w:rPr>
      </w:pPr>
      <w:r w:rsidRPr="009A614C">
        <w:rPr>
          <w:rFonts w:cs="Times New Roman"/>
          <w:color w:val="000000"/>
          <w:szCs w:val="24"/>
        </w:rPr>
        <w:t xml:space="preserve">Nock, M. K., &amp; Banaji, M. R. (2007b). Prediction of suicide ideation and attempts among adolescents using a brief performance-based test. </w:t>
      </w:r>
      <w:r w:rsidRPr="009A614C">
        <w:rPr>
          <w:rFonts w:cs="Times New Roman"/>
          <w:i/>
          <w:iCs/>
          <w:color w:val="000000"/>
          <w:szCs w:val="24"/>
        </w:rPr>
        <w:t>Journal of Consulting and Clinical Psychology, 75</w:t>
      </w:r>
      <w:r w:rsidRPr="009A614C">
        <w:rPr>
          <w:rFonts w:cs="Times New Roman"/>
          <w:color w:val="000000"/>
          <w:szCs w:val="24"/>
        </w:rPr>
        <w:t xml:space="preserve">(5), 707–715. </w:t>
      </w:r>
      <w:hyperlink r:id="rId36" w:tgtFrame="_blank" w:history="1">
        <w:r w:rsidRPr="009A614C">
          <w:rPr>
            <w:rStyle w:val="Hyperlink"/>
            <w:rFonts w:eastAsia="Times New Roman" w:cs="Times New Roman"/>
            <w:szCs w:val="24"/>
          </w:rPr>
          <w:t>https://doi.org/10.1037/0022-006X.75.5.707</w:t>
        </w:r>
      </w:hyperlink>
    </w:p>
    <w:p w14:paraId="110AE4FA" w14:textId="215EED56" w:rsidR="000D5C61" w:rsidRPr="009A614C" w:rsidRDefault="000D5C61" w:rsidP="009A614C">
      <w:pPr>
        <w:spacing w:line="480" w:lineRule="auto"/>
        <w:ind w:left="720" w:hanging="720"/>
        <w:rPr>
          <w:rFonts w:cs="Times New Roman"/>
          <w:szCs w:val="24"/>
        </w:rPr>
      </w:pPr>
      <w:r w:rsidRPr="009A614C">
        <w:rPr>
          <w:rFonts w:cs="Times New Roman"/>
          <w:szCs w:val="24"/>
        </w:rPr>
        <w:t xml:space="preserve">Nock, M. K., Joiner, T. E., Jr, Gordon, K. H., Lloyd-Richardson, E., &amp; Prinstein, M. J. (2006). Non-suicidal self-injury among adolescents: diagnostic correlates and relation to suicide attempts. </w:t>
      </w:r>
      <w:r w:rsidRPr="009A614C">
        <w:rPr>
          <w:rFonts w:cs="Times New Roman"/>
          <w:i/>
          <w:iCs/>
          <w:szCs w:val="24"/>
        </w:rPr>
        <w:t>Psychiatry research</w:t>
      </w:r>
      <w:r w:rsidRPr="009A614C">
        <w:rPr>
          <w:rFonts w:cs="Times New Roman"/>
          <w:szCs w:val="24"/>
        </w:rPr>
        <w:t xml:space="preserve">, </w:t>
      </w:r>
      <w:r w:rsidRPr="009A614C">
        <w:rPr>
          <w:rFonts w:cs="Times New Roman"/>
          <w:i/>
          <w:iCs/>
          <w:szCs w:val="24"/>
        </w:rPr>
        <w:t>144</w:t>
      </w:r>
      <w:r w:rsidRPr="009A614C">
        <w:rPr>
          <w:rFonts w:cs="Times New Roman"/>
          <w:szCs w:val="24"/>
        </w:rPr>
        <w:t>(1), 65–72. https://doi.org/10.1016/j.psychres.2006.05.010</w:t>
      </w:r>
    </w:p>
    <w:p w14:paraId="35DF44B6" w14:textId="77777777" w:rsidR="000D5C61" w:rsidRPr="009A614C" w:rsidRDefault="000D5C61" w:rsidP="009A614C">
      <w:pPr>
        <w:spacing w:line="480" w:lineRule="auto"/>
        <w:ind w:left="720" w:hanging="720"/>
        <w:rPr>
          <w:rFonts w:cs="Times New Roman"/>
          <w:szCs w:val="24"/>
        </w:rPr>
      </w:pPr>
      <w:r w:rsidRPr="009A614C">
        <w:rPr>
          <w:rFonts w:cs="Times New Roman"/>
          <w:szCs w:val="24"/>
        </w:rPr>
        <w:t>Olson, M. A., Fazio, R. H., &amp; Hermann, A. D. (2007). Reporting tendencies underlie discrepancies between implicit and explicit measures of self-esteem. Psychological Science, 18(4), 287–291.</w:t>
      </w:r>
    </w:p>
    <w:p w14:paraId="515BBBAE" w14:textId="77777777" w:rsidR="000D5C61" w:rsidRPr="009A614C" w:rsidRDefault="000D5C61" w:rsidP="009A614C">
      <w:pPr>
        <w:spacing w:line="480" w:lineRule="auto"/>
        <w:ind w:left="720" w:hanging="720"/>
        <w:rPr>
          <w:rFonts w:cs="Times New Roman"/>
          <w:color w:val="000000"/>
          <w:szCs w:val="24"/>
        </w:rPr>
      </w:pPr>
      <w:r w:rsidRPr="009A614C">
        <w:rPr>
          <w:rFonts w:cs="Times New Roman"/>
          <w:color w:val="000000"/>
          <w:szCs w:val="24"/>
        </w:rPr>
        <w:t>Olson, M. A., McNulty, J. K., March, D. S., Joiner, T. E., Rogers, M. L., &amp; Hicks, L. L. (2021). Automatic and controlled antecedents of suicidal ideation and action: A dual-process conceptualization of suicidality. Psychological Review.</w:t>
      </w:r>
    </w:p>
    <w:p w14:paraId="046871B8" w14:textId="4D74DDAF" w:rsidR="000D5C61" w:rsidRPr="009A614C" w:rsidRDefault="00CB1552" w:rsidP="009A614C">
      <w:pPr>
        <w:spacing w:line="480" w:lineRule="auto"/>
        <w:ind w:left="720" w:hanging="720"/>
        <w:rPr>
          <w:rFonts w:cs="Times New Roman"/>
          <w:szCs w:val="24"/>
        </w:rPr>
      </w:pPr>
      <w:r w:rsidRPr="009A614C">
        <w:rPr>
          <w:rFonts w:cs="Times New Roman"/>
          <w:color w:val="000000"/>
          <w:szCs w:val="24"/>
        </w:rPr>
        <w:lastRenderedPageBreak/>
        <w:t>Parsons, T. D., &amp; Rizzo, A. A. (2008). Affective outcomes of virtual reality exposure therapy for anxiety and specific phobias: A meta-analysis. Journal of behavior therapy and experimental psychiatry, 39(3), 250-261.</w:t>
      </w:r>
    </w:p>
    <w:p w14:paraId="7CCE1659" w14:textId="176952AD" w:rsidR="00CB1552" w:rsidRPr="009A614C" w:rsidRDefault="00CB1552" w:rsidP="009A614C">
      <w:pPr>
        <w:spacing w:line="480" w:lineRule="auto"/>
        <w:ind w:left="720" w:hanging="720"/>
        <w:rPr>
          <w:rFonts w:cs="Times New Roman"/>
          <w:szCs w:val="24"/>
        </w:rPr>
      </w:pPr>
      <w:r w:rsidRPr="009A614C">
        <w:rPr>
          <w:rFonts w:cs="Times New Roman"/>
          <w:szCs w:val="24"/>
        </w:rPr>
        <w:t xml:space="preserve">Qin, P., &amp; Nordentoft, M. (2005). Suicide risk in relation to psychiatric hospitalization: evidence based on longitudinal registers. </w:t>
      </w:r>
      <w:r w:rsidRPr="009A614C">
        <w:rPr>
          <w:rFonts w:cs="Times New Roman"/>
          <w:i/>
          <w:iCs/>
          <w:szCs w:val="24"/>
        </w:rPr>
        <w:t>Archives of general psychiatry</w:t>
      </w:r>
      <w:r w:rsidRPr="009A614C">
        <w:rPr>
          <w:rFonts w:cs="Times New Roman"/>
          <w:szCs w:val="24"/>
        </w:rPr>
        <w:t xml:space="preserve">, </w:t>
      </w:r>
      <w:r w:rsidRPr="009A614C">
        <w:rPr>
          <w:rFonts w:cs="Times New Roman"/>
          <w:i/>
          <w:iCs/>
          <w:szCs w:val="24"/>
        </w:rPr>
        <w:t>62</w:t>
      </w:r>
      <w:r w:rsidRPr="009A614C">
        <w:rPr>
          <w:rFonts w:cs="Times New Roman"/>
          <w:szCs w:val="24"/>
        </w:rPr>
        <w:t>(4), 427–432. https://doi.org/10.1001/archpsyc.62.4.427</w:t>
      </w:r>
    </w:p>
    <w:p w14:paraId="57222E26" w14:textId="3E9570FE" w:rsidR="00CB1552" w:rsidRPr="009A614C" w:rsidRDefault="00CB1552" w:rsidP="009A614C">
      <w:pPr>
        <w:spacing w:line="480" w:lineRule="auto"/>
        <w:ind w:left="720" w:hanging="720"/>
        <w:rPr>
          <w:rFonts w:cs="Times New Roman"/>
          <w:szCs w:val="24"/>
        </w:rPr>
      </w:pPr>
      <w:r w:rsidRPr="009A614C">
        <w:rPr>
          <w:rFonts w:cs="Times New Roman"/>
          <w:szCs w:val="24"/>
        </w:rPr>
        <w:t xml:space="preserve">Randall, J. R., Rowe, B. H., Dong, K. A., Nock, M. K., &amp; Colman, I. (2013). Assessment of self-harm risk using implicit thoughts. </w:t>
      </w:r>
      <w:r w:rsidRPr="009A614C">
        <w:rPr>
          <w:rStyle w:val="Emphasis"/>
          <w:rFonts w:cs="Times New Roman"/>
          <w:szCs w:val="24"/>
        </w:rPr>
        <w:t>Psychological Assessment, 25</w:t>
      </w:r>
      <w:r w:rsidRPr="009A614C">
        <w:rPr>
          <w:rFonts w:cs="Times New Roman"/>
          <w:szCs w:val="24"/>
        </w:rPr>
        <w:t xml:space="preserve">(3), 714–721. </w:t>
      </w:r>
      <w:hyperlink r:id="rId37" w:tgtFrame="_blank" w:history="1">
        <w:r w:rsidRPr="009A614C">
          <w:rPr>
            <w:rStyle w:val="Hyperlink"/>
            <w:rFonts w:cs="Times New Roman"/>
            <w:szCs w:val="24"/>
          </w:rPr>
          <w:t>https://doi.org/10.1037/a0032391</w:t>
        </w:r>
      </w:hyperlink>
    </w:p>
    <w:p w14:paraId="1AF7B6D7" w14:textId="68E8E582" w:rsidR="00CB1552" w:rsidRPr="009A614C" w:rsidRDefault="00CB1552" w:rsidP="009A614C">
      <w:pPr>
        <w:spacing w:line="480" w:lineRule="auto"/>
        <w:ind w:left="720" w:hanging="720"/>
        <w:rPr>
          <w:rFonts w:cs="Times New Roman"/>
          <w:szCs w:val="24"/>
        </w:rPr>
      </w:pPr>
      <w:r w:rsidRPr="009A614C">
        <w:rPr>
          <w:rFonts w:cs="Times New Roman"/>
          <w:szCs w:val="24"/>
        </w:rPr>
        <w:t xml:space="preserve">Substance Abuse and Mental Health Services Administration. (2021). Key substance use and mental health indicators in the United States: Results from the 2020 National Survey on Drug Use and Health (HHS Publication No. PEP21-07-01-003, NSDUH Series H-56). Rockville, MD: Center for Behavioral Health Statistics and Quality, Substance Abuse and Mental Health Services Administration. Retrieved from </w:t>
      </w:r>
      <w:hyperlink r:id="rId38" w:history="1">
        <w:r w:rsidRPr="009A614C">
          <w:rPr>
            <w:rStyle w:val="Hyperlink"/>
            <w:rFonts w:eastAsia="Times New Roman" w:cs="Times New Roman"/>
            <w:szCs w:val="24"/>
          </w:rPr>
          <w:t>https://www.samhsa.gov/data/</w:t>
        </w:r>
      </w:hyperlink>
    </w:p>
    <w:p w14:paraId="3FC51E78" w14:textId="77777777" w:rsidR="00CB1552" w:rsidRPr="009A614C" w:rsidRDefault="00CB1552" w:rsidP="009A614C">
      <w:pPr>
        <w:spacing w:line="480" w:lineRule="auto"/>
        <w:ind w:left="720" w:hanging="720"/>
        <w:rPr>
          <w:rFonts w:cs="Times New Roman"/>
          <w:szCs w:val="24"/>
        </w:rPr>
      </w:pPr>
      <w:r w:rsidRPr="009A614C">
        <w:rPr>
          <w:rFonts w:cs="Times New Roman"/>
          <w:color w:val="000000"/>
          <w:szCs w:val="24"/>
        </w:rPr>
        <w:t>Sherman, J. W., Gawronski, B., &amp; Trope, Y. (Eds.). (2014). Dual-Process Theories of the Social Mind. Guilford Publications.</w:t>
      </w:r>
    </w:p>
    <w:p w14:paraId="4B81DB72" w14:textId="061C9851" w:rsidR="0083482E" w:rsidRPr="009A614C" w:rsidRDefault="00CB1552" w:rsidP="009A614C">
      <w:pPr>
        <w:spacing w:line="480" w:lineRule="auto"/>
        <w:ind w:left="720" w:hanging="720"/>
        <w:rPr>
          <w:rFonts w:cs="Times New Roman"/>
          <w:szCs w:val="24"/>
        </w:rPr>
      </w:pPr>
      <w:r w:rsidRPr="009A614C">
        <w:rPr>
          <w:rFonts w:cs="Times New Roman"/>
          <w:szCs w:val="24"/>
        </w:rPr>
        <w:t xml:space="preserve">Van Orden, K. A., Witte, T. K., Gordon, K. H., Bender, T. W., &amp; Joiner, T. E., Jr (2008). Suicidal desire and the capability for suicide: tests of the interpersonal-psychological theory of suicidal behavior among adults. </w:t>
      </w:r>
      <w:r w:rsidRPr="009A614C">
        <w:rPr>
          <w:rFonts w:cs="Times New Roman"/>
          <w:i/>
          <w:iCs/>
          <w:szCs w:val="24"/>
        </w:rPr>
        <w:t>Journal of consulting and clinical psychology</w:t>
      </w:r>
      <w:r w:rsidRPr="009A614C">
        <w:rPr>
          <w:rFonts w:cs="Times New Roman"/>
          <w:szCs w:val="24"/>
        </w:rPr>
        <w:t xml:space="preserve">, </w:t>
      </w:r>
      <w:r w:rsidRPr="009A614C">
        <w:rPr>
          <w:rFonts w:cs="Times New Roman"/>
          <w:i/>
          <w:iCs/>
          <w:szCs w:val="24"/>
        </w:rPr>
        <w:t>76</w:t>
      </w:r>
      <w:r w:rsidRPr="009A614C">
        <w:rPr>
          <w:rFonts w:cs="Times New Roman"/>
          <w:szCs w:val="24"/>
        </w:rPr>
        <w:t xml:space="preserve">(1), 72–83. </w:t>
      </w:r>
      <w:hyperlink r:id="rId39" w:history="1">
        <w:r w:rsidR="0083482E" w:rsidRPr="009A614C">
          <w:rPr>
            <w:rStyle w:val="Hyperlink"/>
            <w:rFonts w:eastAsia="Times New Roman" w:cs="Times New Roman"/>
            <w:szCs w:val="24"/>
          </w:rPr>
          <w:t>https://doi.org/10.1037/0022-006X.76.1.72</w:t>
        </w:r>
      </w:hyperlink>
    </w:p>
    <w:p w14:paraId="288131ED" w14:textId="120C1F50" w:rsidR="00CB1552" w:rsidRPr="009A614C" w:rsidRDefault="0083482E" w:rsidP="009A614C">
      <w:pPr>
        <w:spacing w:line="480" w:lineRule="auto"/>
        <w:ind w:left="720" w:hanging="720"/>
        <w:rPr>
          <w:rFonts w:cs="Times New Roman"/>
          <w:szCs w:val="24"/>
        </w:rPr>
      </w:pPr>
      <w:r w:rsidRPr="009A614C">
        <w:rPr>
          <w:rFonts w:cs="Times New Roman"/>
          <w:szCs w:val="24"/>
        </w:rPr>
        <w:lastRenderedPageBreak/>
        <w:t xml:space="preserve">Whiteside, S. P., &amp; Lynam, D. R. (2001). The Five Factor Model and impulsivity: Using a structural model of personality to understand impulsivity. </w:t>
      </w:r>
      <w:r w:rsidRPr="009A614C">
        <w:rPr>
          <w:rStyle w:val="Emphasis"/>
          <w:rFonts w:cs="Times New Roman"/>
          <w:szCs w:val="24"/>
        </w:rPr>
        <w:t>Personality and Individual Differences, 30</w:t>
      </w:r>
      <w:r w:rsidRPr="009A614C">
        <w:rPr>
          <w:rFonts w:cs="Times New Roman"/>
          <w:szCs w:val="24"/>
        </w:rPr>
        <w:t xml:space="preserve">(4), 669–689. </w:t>
      </w:r>
      <w:hyperlink r:id="rId40" w:tgtFrame="_blank" w:history="1">
        <w:r w:rsidRPr="009A614C">
          <w:rPr>
            <w:rStyle w:val="Hyperlink"/>
            <w:rFonts w:cs="Times New Roman"/>
            <w:szCs w:val="24"/>
          </w:rPr>
          <w:t>https://doi.org/10.1016/S0191-8869(00)00064-7</w:t>
        </w:r>
      </w:hyperlink>
    </w:p>
    <w:p w14:paraId="4E7C2B95" w14:textId="77777777" w:rsidR="00CB1552" w:rsidRPr="009A614C" w:rsidRDefault="00CB1552" w:rsidP="009A614C">
      <w:pPr>
        <w:spacing w:line="480" w:lineRule="auto"/>
        <w:ind w:left="720" w:hanging="720"/>
        <w:rPr>
          <w:rFonts w:cs="Times New Roman"/>
          <w:szCs w:val="24"/>
        </w:rPr>
      </w:pPr>
      <w:r w:rsidRPr="009A614C">
        <w:rPr>
          <w:rFonts w:cs="Times New Roman"/>
          <w:szCs w:val="24"/>
        </w:rPr>
        <w:t xml:space="preserve">Wilkinson, P., Kelvin, R., Roberts, C., Dubicka, B., &amp; Goodyer, I. (2011). Clinical and psychosocial predictors of suicide attempts and nonsuicidal self-injury in the Adolescent Depression Antidepressants and Psychotherapy Trial (ADAPT). </w:t>
      </w:r>
      <w:r w:rsidRPr="009A614C">
        <w:rPr>
          <w:rFonts w:cs="Times New Roman"/>
          <w:i/>
          <w:iCs/>
          <w:szCs w:val="24"/>
        </w:rPr>
        <w:t>The American journal of psychiatry</w:t>
      </w:r>
      <w:r w:rsidRPr="009A614C">
        <w:rPr>
          <w:rFonts w:cs="Times New Roman"/>
          <w:szCs w:val="24"/>
        </w:rPr>
        <w:t xml:space="preserve">, </w:t>
      </w:r>
      <w:r w:rsidRPr="009A614C">
        <w:rPr>
          <w:rFonts w:cs="Times New Roman"/>
          <w:i/>
          <w:iCs/>
          <w:szCs w:val="24"/>
        </w:rPr>
        <w:t>168</w:t>
      </w:r>
      <w:r w:rsidRPr="009A614C">
        <w:rPr>
          <w:rFonts w:cs="Times New Roman"/>
          <w:szCs w:val="24"/>
        </w:rPr>
        <w:t>(5), 495–501. https://doi.org/10.1176/appi.ajp.2010.10050718</w:t>
      </w:r>
    </w:p>
    <w:p w14:paraId="63FE6ABB" w14:textId="77777777" w:rsidR="00CD1301" w:rsidRDefault="00CD1301" w:rsidP="00BB30F1">
      <w:pPr>
        <w:pStyle w:val="NormalWeb"/>
      </w:pPr>
    </w:p>
    <w:p w14:paraId="10A6F38E" w14:textId="2155B91A" w:rsidR="008E633B" w:rsidRPr="007D21E3" w:rsidRDefault="008E633B">
      <w:pPr>
        <w:rPr>
          <w:rFonts w:eastAsia="Times New Roman" w:cs="Times New Roman"/>
          <w:szCs w:val="24"/>
        </w:rPr>
      </w:pPr>
      <w:r w:rsidRPr="007D21E3">
        <w:rPr>
          <w:rFonts w:eastAsia="Times New Roman" w:cs="Times New Roman"/>
          <w:szCs w:val="24"/>
        </w:rPr>
        <w:br w:type="page"/>
      </w:r>
    </w:p>
    <w:p w14:paraId="0D481260" w14:textId="63D006B9" w:rsidR="008E633B" w:rsidRPr="008E633B" w:rsidRDefault="008E633B" w:rsidP="009A614C">
      <w:pPr>
        <w:spacing w:before="120" w:after="120" w:line="480" w:lineRule="auto"/>
        <w:jc w:val="center"/>
        <w:rPr>
          <w:rFonts w:eastAsia="Times New Roman" w:cs="Times New Roman"/>
          <w:szCs w:val="24"/>
        </w:rPr>
      </w:pPr>
      <w:r w:rsidRPr="008E633B">
        <w:rPr>
          <w:rFonts w:eastAsia="Times New Roman" w:cs="Times New Roman"/>
          <w:b/>
          <w:bCs/>
          <w:smallCaps/>
          <w:color w:val="000000"/>
          <w:szCs w:val="24"/>
        </w:rPr>
        <w:lastRenderedPageBreak/>
        <w:t>Vita</w:t>
      </w:r>
    </w:p>
    <w:p w14:paraId="7CD7E4F0" w14:textId="4856E9DC" w:rsidR="00DC0B80" w:rsidRDefault="00DC0B80" w:rsidP="009A614C">
      <w:pPr>
        <w:pStyle w:val="BodyText"/>
        <w:spacing w:line="480" w:lineRule="auto"/>
        <w:ind w:left="100" w:right="183" w:firstLine="719"/>
        <w:rPr>
          <w:color w:val="000000"/>
        </w:rPr>
      </w:pPr>
      <w:r>
        <w:rPr>
          <w:color w:val="000000"/>
        </w:rPr>
        <w:t xml:space="preserve">Matthew Russ is a native of Atlanta, Georgia, but has lived in Knoxville, Tennessee ever since he was 11. After high school, he attended college at the University of Tennessee, Knoxville, where he majored in Psychology. After a suicide attempt by a close friend, Matthew endeavored to understand </w:t>
      </w:r>
      <w:r w:rsidR="0051697C">
        <w:rPr>
          <w:color w:val="000000"/>
        </w:rPr>
        <w:t>the causes of suicide. He volunteered for the National Suicide Prevention Lifeline, received certifications in QPR and ASIST training programs</w:t>
      </w:r>
      <w:r w:rsidR="00E6613C">
        <w:rPr>
          <w:color w:val="000000"/>
        </w:rPr>
        <w:t>,</w:t>
      </w:r>
      <w:r w:rsidR="0051697C">
        <w:rPr>
          <w:color w:val="000000"/>
        </w:rPr>
        <w:t xml:space="preserve"> and participated in research as an assistant to Dr. Michael Olson during the development of the ACASIA model. Currently he is a second-year master’s student in the Experimental Psychology program at the University of Tennessee, Knoxville.  </w:t>
      </w:r>
      <w:r w:rsidR="008E633B" w:rsidRPr="008E633B">
        <w:rPr>
          <w:color w:val="000000"/>
        </w:rPr>
        <w:tab/>
      </w:r>
    </w:p>
    <w:p w14:paraId="20F5B6AE" w14:textId="692F0D97" w:rsidR="008E633B" w:rsidRPr="008E633B" w:rsidRDefault="008E633B" w:rsidP="00DC0B80">
      <w:pPr>
        <w:spacing w:after="0" w:line="480" w:lineRule="auto"/>
        <w:rPr>
          <w:rFonts w:eastAsia="Times New Roman" w:cs="Times New Roman"/>
          <w:szCs w:val="24"/>
        </w:rPr>
      </w:pPr>
    </w:p>
    <w:p w14:paraId="32BF34B9" w14:textId="77777777" w:rsidR="009A6F88" w:rsidRPr="007D21E3" w:rsidRDefault="009A6F88">
      <w:pPr>
        <w:rPr>
          <w:rFonts w:cs="Times New Roman"/>
          <w:szCs w:val="24"/>
        </w:rPr>
      </w:pPr>
    </w:p>
    <w:sectPr w:rsidR="009A6F88" w:rsidRPr="007D21E3" w:rsidSect="00006E9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3A3A7" w14:textId="77777777" w:rsidR="00126C4F" w:rsidRDefault="00126C4F" w:rsidP="007D21E3">
      <w:pPr>
        <w:spacing w:after="0" w:line="240" w:lineRule="auto"/>
      </w:pPr>
      <w:r>
        <w:separator/>
      </w:r>
    </w:p>
  </w:endnote>
  <w:endnote w:type="continuationSeparator" w:id="0">
    <w:p w14:paraId="35BED35A" w14:textId="77777777" w:rsidR="00126C4F" w:rsidRDefault="00126C4F" w:rsidP="007D2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905688"/>
      <w:docPartObj>
        <w:docPartGallery w:val="Page Numbers (Bottom of Page)"/>
        <w:docPartUnique/>
      </w:docPartObj>
    </w:sdtPr>
    <w:sdtEndPr>
      <w:rPr>
        <w:noProof/>
      </w:rPr>
    </w:sdtEndPr>
    <w:sdtContent>
      <w:p w14:paraId="47807AA7" w14:textId="1987C8BF" w:rsidR="00B04F32" w:rsidRDefault="00B04F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968842" w14:textId="33D17BEF" w:rsidR="007D21E3" w:rsidRDefault="007D21E3" w:rsidP="00CF384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737641"/>
      <w:docPartObj>
        <w:docPartGallery w:val="Page Numbers (Bottom of Page)"/>
        <w:docPartUnique/>
      </w:docPartObj>
    </w:sdtPr>
    <w:sdtEndPr>
      <w:rPr>
        <w:noProof/>
      </w:rPr>
    </w:sdtEndPr>
    <w:sdtContent>
      <w:p w14:paraId="39C694C7" w14:textId="2A142879" w:rsidR="00006E91" w:rsidRDefault="00000000">
        <w:pPr>
          <w:pStyle w:val="Footer"/>
          <w:jc w:val="center"/>
        </w:pPr>
      </w:p>
    </w:sdtContent>
  </w:sdt>
  <w:p w14:paraId="1704D5B0" w14:textId="77777777" w:rsidR="00006E91" w:rsidRDefault="00006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FFC42" w14:textId="77777777" w:rsidR="00126C4F" w:rsidRDefault="00126C4F" w:rsidP="007D21E3">
      <w:pPr>
        <w:spacing w:after="0" w:line="240" w:lineRule="auto"/>
      </w:pPr>
      <w:r>
        <w:separator/>
      </w:r>
    </w:p>
  </w:footnote>
  <w:footnote w:type="continuationSeparator" w:id="0">
    <w:p w14:paraId="38443376" w14:textId="77777777" w:rsidR="00126C4F" w:rsidRDefault="00126C4F" w:rsidP="007D21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3B"/>
    <w:rsid w:val="00006E91"/>
    <w:rsid w:val="00047561"/>
    <w:rsid w:val="00072D73"/>
    <w:rsid w:val="000D5C61"/>
    <w:rsid w:val="001039DC"/>
    <w:rsid w:val="00115381"/>
    <w:rsid w:val="00126C4F"/>
    <w:rsid w:val="0013230B"/>
    <w:rsid w:val="001536D2"/>
    <w:rsid w:val="001B35BB"/>
    <w:rsid w:val="00246705"/>
    <w:rsid w:val="00316CAA"/>
    <w:rsid w:val="00335617"/>
    <w:rsid w:val="00366B3F"/>
    <w:rsid w:val="003B524E"/>
    <w:rsid w:val="00444530"/>
    <w:rsid w:val="004F5088"/>
    <w:rsid w:val="0051697C"/>
    <w:rsid w:val="005425FE"/>
    <w:rsid w:val="006118BA"/>
    <w:rsid w:val="00620952"/>
    <w:rsid w:val="00653055"/>
    <w:rsid w:val="00683695"/>
    <w:rsid w:val="007929BC"/>
    <w:rsid w:val="007D21E3"/>
    <w:rsid w:val="00800070"/>
    <w:rsid w:val="0083482E"/>
    <w:rsid w:val="008510EE"/>
    <w:rsid w:val="008A6661"/>
    <w:rsid w:val="008D10B1"/>
    <w:rsid w:val="008E633B"/>
    <w:rsid w:val="009A614C"/>
    <w:rsid w:val="009A6F88"/>
    <w:rsid w:val="009B524A"/>
    <w:rsid w:val="00AC6D53"/>
    <w:rsid w:val="00B04F32"/>
    <w:rsid w:val="00B12ACA"/>
    <w:rsid w:val="00BB2A1E"/>
    <w:rsid w:val="00BB30F1"/>
    <w:rsid w:val="00BC1998"/>
    <w:rsid w:val="00C21614"/>
    <w:rsid w:val="00C77A48"/>
    <w:rsid w:val="00CB1552"/>
    <w:rsid w:val="00CD1301"/>
    <w:rsid w:val="00CF3844"/>
    <w:rsid w:val="00CF696B"/>
    <w:rsid w:val="00D07AD7"/>
    <w:rsid w:val="00D61243"/>
    <w:rsid w:val="00DC0B80"/>
    <w:rsid w:val="00E328E8"/>
    <w:rsid w:val="00E35B28"/>
    <w:rsid w:val="00E6613C"/>
    <w:rsid w:val="00E85AC1"/>
    <w:rsid w:val="00EA3BB6"/>
    <w:rsid w:val="00EA7C48"/>
    <w:rsid w:val="00F27C40"/>
    <w:rsid w:val="00FE22FE"/>
    <w:rsid w:val="00FF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23A74"/>
  <w15:chartTrackingRefBased/>
  <w15:docId w15:val="{8D2795BF-D9D2-4E90-8F31-8819E03E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E633B"/>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8E633B"/>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33B"/>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8E633B"/>
    <w:rPr>
      <w:rFonts w:eastAsia="Times New Roman" w:cs="Times New Roman"/>
      <w:b/>
      <w:bCs/>
      <w:sz w:val="36"/>
      <w:szCs w:val="36"/>
    </w:rPr>
  </w:style>
  <w:style w:type="paragraph" w:styleId="NormalWeb">
    <w:name w:val="Normal (Web)"/>
    <w:basedOn w:val="Normal"/>
    <w:uiPriority w:val="99"/>
    <w:unhideWhenUsed/>
    <w:rsid w:val="008E633B"/>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8E633B"/>
    <w:rPr>
      <w:color w:val="0000FF"/>
      <w:u w:val="single"/>
    </w:rPr>
  </w:style>
  <w:style w:type="character" w:customStyle="1" w:styleId="apple-tab-span">
    <w:name w:val="apple-tab-span"/>
    <w:basedOn w:val="DefaultParagraphFont"/>
    <w:rsid w:val="008E633B"/>
  </w:style>
  <w:style w:type="table" w:styleId="TableGrid">
    <w:name w:val="Table Grid"/>
    <w:basedOn w:val="TableNormal"/>
    <w:uiPriority w:val="39"/>
    <w:rsid w:val="008E633B"/>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2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1E3"/>
  </w:style>
  <w:style w:type="paragraph" w:styleId="Footer">
    <w:name w:val="footer"/>
    <w:basedOn w:val="Normal"/>
    <w:link w:val="FooterChar"/>
    <w:uiPriority w:val="99"/>
    <w:unhideWhenUsed/>
    <w:rsid w:val="007D2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1E3"/>
  </w:style>
  <w:style w:type="character" w:customStyle="1" w:styleId="markedcontent">
    <w:name w:val="markedcontent"/>
    <w:basedOn w:val="DefaultParagraphFont"/>
    <w:rsid w:val="00683695"/>
  </w:style>
  <w:style w:type="character" w:styleId="UnresolvedMention">
    <w:name w:val="Unresolved Mention"/>
    <w:basedOn w:val="DefaultParagraphFont"/>
    <w:uiPriority w:val="99"/>
    <w:semiHidden/>
    <w:unhideWhenUsed/>
    <w:rsid w:val="00683695"/>
    <w:rPr>
      <w:color w:val="605E5C"/>
      <w:shd w:val="clear" w:color="auto" w:fill="E1DFDD"/>
    </w:rPr>
  </w:style>
  <w:style w:type="character" w:styleId="Emphasis">
    <w:name w:val="Emphasis"/>
    <w:basedOn w:val="DefaultParagraphFont"/>
    <w:uiPriority w:val="20"/>
    <w:qFormat/>
    <w:rsid w:val="000D5C61"/>
    <w:rPr>
      <w:i/>
      <w:iCs/>
    </w:rPr>
  </w:style>
  <w:style w:type="paragraph" w:styleId="TOC1">
    <w:name w:val="toc 1"/>
    <w:basedOn w:val="Normal"/>
    <w:uiPriority w:val="1"/>
    <w:qFormat/>
    <w:rsid w:val="004F5088"/>
    <w:pPr>
      <w:widowControl w:val="0"/>
      <w:autoSpaceDE w:val="0"/>
      <w:autoSpaceDN w:val="0"/>
      <w:spacing w:after="0" w:line="240" w:lineRule="auto"/>
      <w:ind w:right="15"/>
      <w:jc w:val="center"/>
    </w:pPr>
    <w:rPr>
      <w:rFonts w:eastAsia="Times New Roman" w:cs="Times New Roman"/>
      <w:b/>
      <w:bCs/>
      <w:szCs w:val="24"/>
    </w:rPr>
  </w:style>
  <w:style w:type="paragraph" w:styleId="TOC2">
    <w:name w:val="toc 2"/>
    <w:basedOn w:val="Normal"/>
    <w:uiPriority w:val="1"/>
    <w:qFormat/>
    <w:rsid w:val="004F5088"/>
    <w:pPr>
      <w:widowControl w:val="0"/>
      <w:autoSpaceDE w:val="0"/>
      <w:autoSpaceDN w:val="0"/>
      <w:spacing w:after="0" w:line="240" w:lineRule="auto"/>
      <w:ind w:left="100"/>
    </w:pPr>
    <w:rPr>
      <w:rFonts w:eastAsia="Times New Roman" w:cs="Times New Roman"/>
      <w:b/>
      <w:bCs/>
      <w:szCs w:val="24"/>
    </w:rPr>
  </w:style>
  <w:style w:type="paragraph" w:styleId="TOC3">
    <w:name w:val="toc 3"/>
    <w:basedOn w:val="Normal"/>
    <w:uiPriority w:val="1"/>
    <w:qFormat/>
    <w:rsid w:val="004F5088"/>
    <w:pPr>
      <w:widowControl w:val="0"/>
      <w:autoSpaceDE w:val="0"/>
      <w:autoSpaceDN w:val="0"/>
      <w:spacing w:after="0" w:line="240" w:lineRule="auto"/>
      <w:ind w:left="340"/>
    </w:pPr>
    <w:rPr>
      <w:rFonts w:eastAsia="Times New Roman" w:cs="Times New Roman"/>
      <w:szCs w:val="24"/>
    </w:rPr>
  </w:style>
  <w:style w:type="paragraph" w:styleId="TOC4">
    <w:name w:val="toc 4"/>
    <w:basedOn w:val="Normal"/>
    <w:uiPriority w:val="1"/>
    <w:qFormat/>
    <w:rsid w:val="004F5088"/>
    <w:pPr>
      <w:widowControl w:val="0"/>
      <w:autoSpaceDE w:val="0"/>
      <w:autoSpaceDN w:val="0"/>
      <w:spacing w:after="0" w:line="240" w:lineRule="auto"/>
      <w:ind w:left="340"/>
    </w:pPr>
    <w:rPr>
      <w:rFonts w:eastAsia="Times New Roman" w:cs="Times New Roman"/>
      <w:b/>
      <w:bCs/>
      <w:i/>
      <w:sz w:val="22"/>
    </w:rPr>
  </w:style>
  <w:style w:type="paragraph" w:styleId="TOC5">
    <w:name w:val="toc 5"/>
    <w:basedOn w:val="Normal"/>
    <w:uiPriority w:val="1"/>
    <w:qFormat/>
    <w:rsid w:val="004F5088"/>
    <w:pPr>
      <w:widowControl w:val="0"/>
      <w:autoSpaceDE w:val="0"/>
      <w:autoSpaceDN w:val="0"/>
      <w:spacing w:before="1" w:after="0" w:line="240" w:lineRule="auto"/>
      <w:ind w:left="551"/>
    </w:pPr>
    <w:rPr>
      <w:rFonts w:eastAsia="Times New Roman" w:cs="Times New Roman"/>
      <w:szCs w:val="24"/>
    </w:rPr>
  </w:style>
  <w:style w:type="paragraph" w:styleId="BodyText">
    <w:name w:val="Body Text"/>
    <w:basedOn w:val="Normal"/>
    <w:link w:val="BodyTextChar"/>
    <w:uiPriority w:val="1"/>
    <w:qFormat/>
    <w:rsid w:val="00006E91"/>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006E9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3334">
      <w:bodyDiv w:val="1"/>
      <w:marLeft w:val="0"/>
      <w:marRight w:val="0"/>
      <w:marTop w:val="0"/>
      <w:marBottom w:val="0"/>
      <w:divBdr>
        <w:top w:val="none" w:sz="0" w:space="0" w:color="auto"/>
        <w:left w:val="none" w:sz="0" w:space="0" w:color="auto"/>
        <w:bottom w:val="none" w:sz="0" w:space="0" w:color="auto"/>
        <w:right w:val="none" w:sz="0" w:space="0" w:color="auto"/>
      </w:divBdr>
    </w:div>
    <w:div w:id="248080416">
      <w:bodyDiv w:val="1"/>
      <w:marLeft w:val="0"/>
      <w:marRight w:val="0"/>
      <w:marTop w:val="0"/>
      <w:marBottom w:val="0"/>
      <w:divBdr>
        <w:top w:val="none" w:sz="0" w:space="0" w:color="auto"/>
        <w:left w:val="none" w:sz="0" w:space="0" w:color="auto"/>
        <w:bottom w:val="none" w:sz="0" w:space="0" w:color="auto"/>
        <w:right w:val="none" w:sz="0" w:space="0" w:color="auto"/>
      </w:divBdr>
    </w:div>
    <w:div w:id="527529913">
      <w:bodyDiv w:val="1"/>
      <w:marLeft w:val="0"/>
      <w:marRight w:val="0"/>
      <w:marTop w:val="0"/>
      <w:marBottom w:val="0"/>
      <w:divBdr>
        <w:top w:val="none" w:sz="0" w:space="0" w:color="auto"/>
        <w:left w:val="none" w:sz="0" w:space="0" w:color="auto"/>
        <w:bottom w:val="none" w:sz="0" w:space="0" w:color="auto"/>
        <w:right w:val="none" w:sz="0" w:space="0" w:color="auto"/>
      </w:divBdr>
      <w:divsChild>
        <w:div w:id="10183414">
          <w:marLeft w:val="0"/>
          <w:marRight w:val="0"/>
          <w:marTop w:val="0"/>
          <w:marBottom w:val="0"/>
          <w:divBdr>
            <w:top w:val="none" w:sz="0" w:space="0" w:color="auto"/>
            <w:left w:val="none" w:sz="0" w:space="0" w:color="auto"/>
            <w:bottom w:val="none" w:sz="0" w:space="0" w:color="auto"/>
            <w:right w:val="none" w:sz="0" w:space="0" w:color="auto"/>
          </w:divBdr>
        </w:div>
      </w:divsChild>
    </w:div>
    <w:div w:id="608202874">
      <w:bodyDiv w:val="1"/>
      <w:marLeft w:val="0"/>
      <w:marRight w:val="0"/>
      <w:marTop w:val="0"/>
      <w:marBottom w:val="0"/>
      <w:divBdr>
        <w:top w:val="none" w:sz="0" w:space="0" w:color="auto"/>
        <w:left w:val="none" w:sz="0" w:space="0" w:color="auto"/>
        <w:bottom w:val="none" w:sz="0" w:space="0" w:color="auto"/>
        <w:right w:val="none" w:sz="0" w:space="0" w:color="auto"/>
      </w:divBdr>
      <w:divsChild>
        <w:div w:id="419376706">
          <w:marLeft w:val="0"/>
          <w:marRight w:val="0"/>
          <w:marTop w:val="0"/>
          <w:marBottom w:val="0"/>
          <w:divBdr>
            <w:top w:val="none" w:sz="0" w:space="0" w:color="auto"/>
            <w:left w:val="none" w:sz="0" w:space="0" w:color="auto"/>
            <w:bottom w:val="none" w:sz="0" w:space="0" w:color="auto"/>
            <w:right w:val="none" w:sz="0" w:space="0" w:color="auto"/>
          </w:divBdr>
          <w:divsChild>
            <w:div w:id="258368706">
              <w:marLeft w:val="0"/>
              <w:marRight w:val="0"/>
              <w:marTop w:val="0"/>
              <w:marBottom w:val="0"/>
              <w:divBdr>
                <w:top w:val="none" w:sz="0" w:space="0" w:color="auto"/>
                <w:left w:val="none" w:sz="0" w:space="0" w:color="auto"/>
                <w:bottom w:val="none" w:sz="0" w:space="0" w:color="auto"/>
                <w:right w:val="none" w:sz="0" w:space="0" w:color="auto"/>
              </w:divBdr>
              <w:divsChild>
                <w:div w:id="1260991792">
                  <w:marLeft w:val="0"/>
                  <w:marRight w:val="0"/>
                  <w:marTop w:val="0"/>
                  <w:marBottom w:val="0"/>
                  <w:divBdr>
                    <w:top w:val="none" w:sz="0" w:space="0" w:color="auto"/>
                    <w:left w:val="none" w:sz="0" w:space="0" w:color="auto"/>
                    <w:bottom w:val="none" w:sz="0" w:space="0" w:color="auto"/>
                    <w:right w:val="none" w:sz="0" w:space="0" w:color="auto"/>
                  </w:divBdr>
                  <w:divsChild>
                    <w:div w:id="7365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707">
      <w:bodyDiv w:val="1"/>
      <w:marLeft w:val="0"/>
      <w:marRight w:val="0"/>
      <w:marTop w:val="0"/>
      <w:marBottom w:val="0"/>
      <w:divBdr>
        <w:top w:val="none" w:sz="0" w:space="0" w:color="auto"/>
        <w:left w:val="none" w:sz="0" w:space="0" w:color="auto"/>
        <w:bottom w:val="none" w:sz="0" w:space="0" w:color="auto"/>
        <w:right w:val="none" w:sz="0" w:space="0" w:color="auto"/>
      </w:divBdr>
    </w:div>
    <w:div w:id="1159687957">
      <w:bodyDiv w:val="1"/>
      <w:marLeft w:val="0"/>
      <w:marRight w:val="0"/>
      <w:marTop w:val="0"/>
      <w:marBottom w:val="0"/>
      <w:divBdr>
        <w:top w:val="none" w:sz="0" w:space="0" w:color="auto"/>
        <w:left w:val="none" w:sz="0" w:space="0" w:color="auto"/>
        <w:bottom w:val="none" w:sz="0" w:space="0" w:color="auto"/>
        <w:right w:val="none" w:sz="0" w:space="0" w:color="auto"/>
      </w:divBdr>
    </w:div>
    <w:div w:id="1163358236">
      <w:bodyDiv w:val="1"/>
      <w:marLeft w:val="0"/>
      <w:marRight w:val="0"/>
      <w:marTop w:val="0"/>
      <w:marBottom w:val="0"/>
      <w:divBdr>
        <w:top w:val="none" w:sz="0" w:space="0" w:color="auto"/>
        <w:left w:val="none" w:sz="0" w:space="0" w:color="auto"/>
        <w:bottom w:val="none" w:sz="0" w:space="0" w:color="auto"/>
        <w:right w:val="none" w:sz="0" w:space="0" w:color="auto"/>
      </w:divBdr>
      <w:divsChild>
        <w:div w:id="692344503">
          <w:marLeft w:val="0"/>
          <w:marRight w:val="0"/>
          <w:marTop w:val="0"/>
          <w:marBottom w:val="0"/>
          <w:divBdr>
            <w:top w:val="none" w:sz="0" w:space="0" w:color="auto"/>
            <w:left w:val="none" w:sz="0" w:space="0" w:color="auto"/>
            <w:bottom w:val="none" w:sz="0" w:space="0" w:color="auto"/>
            <w:right w:val="none" w:sz="0" w:space="0" w:color="auto"/>
          </w:divBdr>
        </w:div>
      </w:divsChild>
    </w:div>
    <w:div w:id="1241020451">
      <w:bodyDiv w:val="1"/>
      <w:marLeft w:val="0"/>
      <w:marRight w:val="0"/>
      <w:marTop w:val="0"/>
      <w:marBottom w:val="0"/>
      <w:divBdr>
        <w:top w:val="none" w:sz="0" w:space="0" w:color="auto"/>
        <w:left w:val="none" w:sz="0" w:space="0" w:color="auto"/>
        <w:bottom w:val="none" w:sz="0" w:space="0" w:color="auto"/>
        <w:right w:val="none" w:sz="0" w:space="0" w:color="auto"/>
      </w:divBdr>
      <w:divsChild>
        <w:div w:id="1882745925">
          <w:marLeft w:val="0"/>
          <w:marRight w:val="0"/>
          <w:marTop w:val="0"/>
          <w:marBottom w:val="0"/>
          <w:divBdr>
            <w:top w:val="none" w:sz="0" w:space="0" w:color="auto"/>
            <w:left w:val="none" w:sz="0" w:space="0" w:color="auto"/>
            <w:bottom w:val="none" w:sz="0" w:space="0" w:color="auto"/>
            <w:right w:val="none" w:sz="0" w:space="0" w:color="auto"/>
          </w:divBdr>
        </w:div>
      </w:divsChild>
    </w:div>
    <w:div w:id="1263806915">
      <w:bodyDiv w:val="1"/>
      <w:marLeft w:val="0"/>
      <w:marRight w:val="0"/>
      <w:marTop w:val="0"/>
      <w:marBottom w:val="0"/>
      <w:divBdr>
        <w:top w:val="none" w:sz="0" w:space="0" w:color="auto"/>
        <w:left w:val="none" w:sz="0" w:space="0" w:color="auto"/>
        <w:bottom w:val="none" w:sz="0" w:space="0" w:color="auto"/>
        <w:right w:val="none" w:sz="0" w:space="0" w:color="auto"/>
      </w:divBdr>
    </w:div>
    <w:div w:id="1314065653">
      <w:bodyDiv w:val="1"/>
      <w:marLeft w:val="0"/>
      <w:marRight w:val="0"/>
      <w:marTop w:val="0"/>
      <w:marBottom w:val="0"/>
      <w:divBdr>
        <w:top w:val="none" w:sz="0" w:space="0" w:color="auto"/>
        <w:left w:val="none" w:sz="0" w:space="0" w:color="auto"/>
        <w:bottom w:val="none" w:sz="0" w:space="0" w:color="auto"/>
        <w:right w:val="none" w:sz="0" w:space="0" w:color="auto"/>
      </w:divBdr>
    </w:div>
    <w:div w:id="1365402046">
      <w:bodyDiv w:val="1"/>
      <w:marLeft w:val="0"/>
      <w:marRight w:val="0"/>
      <w:marTop w:val="0"/>
      <w:marBottom w:val="0"/>
      <w:divBdr>
        <w:top w:val="none" w:sz="0" w:space="0" w:color="auto"/>
        <w:left w:val="none" w:sz="0" w:space="0" w:color="auto"/>
        <w:bottom w:val="none" w:sz="0" w:space="0" w:color="auto"/>
        <w:right w:val="none" w:sz="0" w:space="0" w:color="auto"/>
      </w:divBdr>
    </w:div>
    <w:div w:id="1420253179">
      <w:bodyDiv w:val="1"/>
      <w:marLeft w:val="0"/>
      <w:marRight w:val="0"/>
      <w:marTop w:val="0"/>
      <w:marBottom w:val="0"/>
      <w:divBdr>
        <w:top w:val="none" w:sz="0" w:space="0" w:color="auto"/>
        <w:left w:val="none" w:sz="0" w:space="0" w:color="auto"/>
        <w:bottom w:val="none" w:sz="0" w:space="0" w:color="auto"/>
        <w:right w:val="none" w:sz="0" w:space="0" w:color="auto"/>
      </w:divBdr>
      <w:divsChild>
        <w:div w:id="1823085114">
          <w:marLeft w:val="0"/>
          <w:marRight w:val="0"/>
          <w:marTop w:val="0"/>
          <w:marBottom w:val="0"/>
          <w:divBdr>
            <w:top w:val="none" w:sz="0" w:space="0" w:color="auto"/>
            <w:left w:val="none" w:sz="0" w:space="0" w:color="auto"/>
            <w:bottom w:val="none" w:sz="0" w:space="0" w:color="auto"/>
            <w:right w:val="none" w:sz="0" w:space="0" w:color="auto"/>
          </w:divBdr>
        </w:div>
      </w:divsChild>
    </w:div>
    <w:div w:id="1443646670">
      <w:bodyDiv w:val="1"/>
      <w:marLeft w:val="0"/>
      <w:marRight w:val="0"/>
      <w:marTop w:val="0"/>
      <w:marBottom w:val="0"/>
      <w:divBdr>
        <w:top w:val="none" w:sz="0" w:space="0" w:color="auto"/>
        <w:left w:val="none" w:sz="0" w:space="0" w:color="auto"/>
        <w:bottom w:val="none" w:sz="0" w:space="0" w:color="auto"/>
        <w:right w:val="none" w:sz="0" w:space="0" w:color="auto"/>
      </w:divBdr>
      <w:divsChild>
        <w:div w:id="1073284235">
          <w:marLeft w:val="0"/>
          <w:marRight w:val="0"/>
          <w:marTop w:val="0"/>
          <w:marBottom w:val="0"/>
          <w:divBdr>
            <w:top w:val="none" w:sz="0" w:space="0" w:color="auto"/>
            <w:left w:val="none" w:sz="0" w:space="0" w:color="auto"/>
            <w:bottom w:val="none" w:sz="0" w:space="0" w:color="auto"/>
            <w:right w:val="none" w:sz="0" w:space="0" w:color="auto"/>
          </w:divBdr>
        </w:div>
      </w:divsChild>
    </w:div>
    <w:div w:id="1561792471">
      <w:bodyDiv w:val="1"/>
      <w:marLeft w:val="0"/>
      <w:marRight w:val="0"/>
      <w:marTop w:val="0"/>
      <w:marBottom w:val="0"/>
      <w:divBdr>
        <w:top w:val="none" w:sz="0" w:space="0" w:color="auto"/>
        <w:left w:val="none" w:sz="0" w:space="0" w:color="auto"/>
        <w:bottom w:val="none" w:sz="0" w:space="0" w:color="auto"/>
        <w:right w:val="none" w:sz="0" w:space="0" w:color="auto"/>
      </w:divBdr>
    </w:div>
    <w:div w:id="1674650731">
      <w:bodyDiv w:val="1"/>
      <w:marLeft w:val="0"/>
      <w:marRight w:val="0"/>
      <w:marTop w:val="0"/>
      <w:marBottom w:val="0"/>
      <w:divBdr>
        <w:top w:val="none" w:sz="0" w:space="0" w:color="auto"/>
        <w:left w:val="none" w:sz="0" w:space="0" w:color="auto"/>
        <w:bottom w:val="none" w:sz="0" w:space="0" w:color="auto"/>
        <w:right w:val="none" w:sz="0" w:space="0" w:color="auto"/>
      </w:divBdr>
    </w:div>
    <w:div w:id="1721712457">
      <w:bodyDiv w:val="1"/>
      <w:marLeft w:val="0"/>
      <w:marRight w:val="0"/>
      <w:marTop w:val="0"/>
      <w:marBottom w:val="0"/>
      <w:divBdr>
        <w:top w:val="none" w:sz="0" w:space="0" w:color="auto"/>
        <w:left w:val="none" w:sz="0" w:space="0" w:color="auto"/>
        <w:bottom w:val="none" w:sz="0" w:space="0" w:color="auto"/>
        <w:right w:val="none" w:sz="0" w:space="0" w:color="auto"/>
      </w:divBdr>
    </w:div>
    <w:div w:id="1987123183">
      <w:bodyDiv w:val="1"/>
      <w:marLeft w:val="0"/>
      <w:marRight w:val="0"/>
      <w:marTop w:val="0"/>
      <w:marBottom w:val="0"/>
      <w:divBdr>
        <w:top w:val="none" w:sz="0" w:space="0" w:color="auto"/>
        <w:left w:val="none" w:sz="0" w:space="0" w:color="auto"/>
        <w:bottom w:val="none" w:sz="0" w:space="0" w:color="auto"/>
        <w:right w:val="none" w:sz="0" w:space="0" w:color="auto"/>
      </w:divBdr>
    </w:div>
    <w:div w:id="2002808209">
      <w:bodyDiv w:val="1"/>
      <w:marLeft w:val="0"/>
      <w:marRight w:val="0"/>
      <w:marTop w:val="0"/>
      <w:marBottom w:val="0"/>
      <w:divBdr>
        <w:top w:val="none" w:sz="0" w:space="0" w:color="auto"/>
        <w:left w:val="none" w:sz="0" w:space="0" w:color="auto"/>
        <w:bottom w:val="none" w:sz="0" w:space="0" w:color="auto"/>
        <w:right w:val="none" w:sz="0" w:space="0" w:color="auto"/>
      </w:divBdr>
      <w:divsChild>
        <w:div w:id="187719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j.1751-9004.2007.00001.x" TargetMode="External"/><Relationship Id="rId18" Type="http://schemas.openxmlformats.org/officeDocument/2006/relationships/hyperlink" Target="https://doi.org/10.15585/mmwr.mm6722a1" TargetMode="External"/><Relationship Id="rId26" Type="http://schemas.openxmlformats.org/officeDocument/2006/relationships/hyperlink" Target="https://doi.org/10.1080/02699930125908" TargetMode="External"/><Relationship Id="rId39" Type="http://schemas.openxmlformats.org/officeDocument/2006/relationships/hyperlink" Target="https://doi.org/10.1037/0022-006X.76.1.72" TargetMode="External"/><Relationship Id="rId21" Type="http://schemas.openxmlformats.org/officeDocument/2006/relationships/hyperlink" Target="https://doi.org/10.1037/bul0000123" TargetMode="External"/><Relationship Id="rId34" Type="http://schemas.openxmlformats.org/officeDocument/2006/relationships/hyperlink" Target="http://dx.doi.org/10.1177/0956797610364762" TargetMode="External"/><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37/0022-006X.68.3.371" TargetMode="External"/><Relationship Id="rId20" Type="http://schemas.openxmlformats.org/officeDocument/2006/relationships/hyperlink" Target="https://www.cdc.gov/nchs/data/databriefs/db362-h.pdf" TargetMode="External"/><Relationship Id="rId29" Type="http://schemas.openxmlformats.org/officeDocument/2006/relationships/hyperlink" Target="https://doi.org/10.1521/suli.2009.39.5.51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s://doi.org/10.1016/S0193-953X(05)70246-1" TargetMode="External"/><Relationship Id="rId32" Type="http://schemas.openxmlformats.org/officeDocument/2006/relationships/hyperlink" Target="https://doi.org/10.1146/annurev-clinpsy-071119-113352" TargetMode="External"/><Relationship Id="rId37" Type="http://schemas.openxmlformats.org/officeDocument/2006/relationships/hyperlink" Target="https://psycnet.apa.org/doi/10.1037/a0032391" TargetMode="External"/><Relationship Id="rId40" Type="http://schemas.openxmlformats.org/officeDocument/2006/relationships/hyperlink" Target="https://psycnet.apa.org/doi/10.1016/S0191-8869(00)00064-7" TargetMode="External"/><Relationship Id="rId5" Type="http://schemas.openxmlformats.org/officeDocument/2006/relationships/footnotes" Target="footnotes.xml"/><Relationship Id="rId15" Type="http://schemas.openxmlformats.org/officeDocument/2006/relationships/hyperlink" Target="https://psycnet.apa.org/doi/10.1016/j.jesp.2012.10.004" TargetMode="External"/><Relationship Id="rId23" Type="http://schemas.openxmlformats.org/officeDocument/2006/relationships/hyperlink" Target="https://doi.org/10.1037/0022-3514.56.1.5" TargetMode="External"/><Relationship Id="rId28" Type="http://schemas.openxmlformats.org/officeDocument/2006/relationships/hyperlink" Target="https://doi.org/10.1037/0022-3514.74.6.1464" TargetMode="External"/><Relationship Id="rId36" Type="http://schemas.openxmlformats.org/officeDocument/2006/relationships/hyperlink" Target="https://psycnet.apa.org/doi/10.1037/0022-006X.75.5.707" TargetMode="External"/><Relationship Id="rId10" Type="http://schemas.openxmlformats.org/officeDocument/2006/relationships/image" Target="media/image2.png"/><Relationship Id="rId19" Type="http://schemas.openxmlformats.org/officeDocument/2006/relationships/hyperlink" Target="https://www.cdc.gov/nchs/data/nvsr/nvsr69/nvsr69_06-508.pdf" TargetMode="External"/><Relationship Id="rId31" Type="http://schemas.openxmlformats.org/officeDocument/2006/relationships/hyperlink" Target="https://doi.org/10.1146/annurev-clinpsy-021815-093204"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80/17470210500295080" TargetMode="External"/><Relationship Id="rId22" Type="http://schemas.openxmlformats.org/officeDocument/2006/relationships/hyperlink" Target="https://cshe.berkeley.edu/seru-covid-survey" TargetMode="External"/><Relationship Id="rId27" Type="http://schemas.openxmlformats.org/officeDocument/2006/relationships/hyperlink" Target="https://doi.org/10.1146/annurev.psych.54.101601.145225" TargetMode="External"/><Relationship Id="rId30" Type="http://schemas.openxmlformats.org/officeDocument/2006/relationships/hyperlink" Target="https://doi.org/10.1037/a0016500" TargetMode="External"/><Relationship Id="rId35" Type="http://schemas.openxmlformats.org/officeDocument/2006/relationships/hyperlink" Target="https://psycnet.apa.org/doi/10.1176/appi.ajp.164.5.820" TargetMode="Externa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1038/s41598-021-02702-4" TargetMode="External"/><Relationship Id="rId17" Type="http://schemas.openxmlformats.org/officeDocument/2006/relationships/hyperlink" Target="https://doi.org/10.4088/JCP.v64n0103" TargetMode="External"/><Relationship Id="rId25" Type="http://schemas.openxmlformats.org/officeDocument/2006/relationships/hyperlink" Target="https://doi.org/10.1016/j.mayocp.2021.10.025" TargetMode="External"/><Relationship Id="rId33" Type="http://schemas.openxmlformats.org/officeDocument/2006/relationships/hyperlink" Target="https://psycnet.apa.org/doi/10.1016/j.evolhumbehav.2004.08.002" TargetMode="External"/><Relationship Id="rId38" Type="http://schemas.openxmlformats.org/officeDocument/2006/relationships/hyperlink" Target="https://www.samhsa.gov/dat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hew%20Russ\Downloads\3-way_linear_interactions(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40" b="0" i="0" u="none" strike="noStrike" baseline="0">
                <a:latin typeface="Times New Roman" panose="02020603050405020304" pitchFamily="18" charset="0"/>
                <a:cs typeface="Times New Roman" panose="02020603050405020304" pitchFamily="18" charset="0"/>
              </a:rPr>
              <a:t>Acquired Capability for Suicide as a Function of NSSI, Impulsivity, and IAT Scores</a:t>
            </a:r>
            <a:endParaRPr lang="en-US">
              <a:latin typeface="Times New Roman" panose="02020603050405020304" pitchFamily="18" charset="0"/>
              <a:cs typeface="Times New Roman" panose="02020603050405020304" pitchFamily="18" charset="0"/>
            </a:endParaRPr>
          </a:p>
        </c:rich>
      </c:tx>
      <c:layout>
        <c:manualLayout>
          <c:xMode val="edge"/>
          <c:yMode val="edge"/>
          <c:x val="0.12585991654889292"/>
          <c:y val="0"/>
        </c:manualLayout>
      </c:layout>
      <c:overlay val="0"/>
    </c:title>
    <c:autoTitleDeleted val="0"/>
    <c:plotArea>
      <c:layout>
        <c:manualLayout>
          <c:layoutTarget val="inner"/>
          <c:xMode val="edge"/>
          <c:yMode val="edge"/>
          <c:x val="0.13115664685701534"/>
          <c:y val="0.11912456283040487"/>
          <c:w val="0.52296624239070277"/>
          <c:h val="0.7879236773428433"/>
        </c:manualLayout>
      </c:layout>
      <c:lineChart>
        <c:grouping val="standard"/>
        <c:varyColors val="0"/>
        <c:ser>
          <c:idx val="0"/>
          <c:order val="0"/>
          <c:tx>
            <c:strRef>
              <c:f>'3 way interactions'!$B$73</c:f>
              <c:strCache>
                <c:ptCount val="1"/>
                <c:pt idx="0">
                  <c:v>(1) High Impulsivity, High IAT</c:v>
                </c:pt>
              </c:strCache>
            </c:strRef>
          </c:tx>
          <c:spPr>
            <a:ln w="12700">
              <a:solidFill>
                <a:srgbClr val="000000"/>
              </a:solidFill>
              <a:prstDash val="solid"/>
            </a:ln>
          </c:spPr>
          <c:marker>
            <c:symbol val="diamond"/>
            <c:size val="5"/>
            <c:spPr>
              <a:solidFill>
                <a:srgbClr val="FFFFFF"/>
              </a:solidFill>
              <a:ln>
                <a:solidFill>
                  <a:srgbClr val="000000"/>
                </a:solidFill>
                <a:prstDash val="solid"/>
              </a:ln>
            </c:spPr>
          </c:marker>
          <c:cat>
            <c:strRef>
              <c:f>'3 way interactions'!$C$72:$D$72</c:f>
              <c:strCache>
                <c:ptCount val="2"/>
                <c:pt idx="0">
                  <c:v>Low NSSI</c:v>
                </c:pt>
                <c:pt idx="1">
                  <c:v>High NSSI</c:v>
                </c:pt>
              </c:strCache>
            </c:strRef>
          </c:cat>
          <c:val>
            <c:numRef>
              <c:f>'3 way interactions'!$C$73:$D$73</c:f>
              <c:numCache>
                <c:formatCode>General</c:formatCode>
                <c:ptCount val="2"/>
                <c:pt idx="0">
                  <c:v>2.7658636850000007</c:v>
                </c:pt>
                <c:pt idx="1">
                  <c:v>3.2536609550000031</c:v>
                </c:pt>
              </c:numCache>
            </c:numRef>
          </c:val>
          <c:smooth val="0"/>
          <c:extLst>
            <c:ext xmlns:c16="http://schemas.microsoft.com/office/drawing/2014/chart" uri="{C3380CC4-5D6E-409C-BE32-E72D297353CC}">
              <c16:uniqueId val="{00000000-E3A8-40AB-9340-D26BFA99CBD1}"/>
            </c:ext>
          </c:extLst>
        </c:ser>
        <c:ser>
          <c:idx val="1"/>
          <c:order val="1"/>
          <c:tx>
            <c:strRef>
              <c:f>'3 way interactions'!$B$74</c:f>
              <c:strCache>
                <c:ptCount val="1"/>
                <c:pt idx="0">
                  <c:v>(2) High Impulsivity, Low IAT</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'3 way interactions'!$C$72:$D$72</c:f>
              <c:strCache>
                <c:ptCount val="2"/>
                <c:pt idx="0">
                  <c:v>Low NSSI</c:v>
                </c:pt>
                <c:pt idx="1">
                  <c:v>High NSSI</c:v>
                </c:pt>
              </c:strCache>
            </c:strRef>
          </c:cat>
          <c:val>
            <c:numRef>
              <c:f>'3 way interactions'!$C$74:$D$74</c:f>
              <c:numCache>
                <c:formatCode>General</c:formatCode>
                <c:ptCount val="2"/>
                <c:pt idx="0">
                  <c:v>2.3860839500000002</c:v>
                </c:pt>
                <c:pt idx="1">
                  <c:v>2.9925888500000015</c:v>
                </c:pt>
              </c:numCache>
            </c:numRef>
          </c:val>
          <c:smooth val="0"/>
          <c:extLst>
            <c:ext xmlns:c16="http://schemas.microsoft.com/office/drawing/2014/chart" uri="{C3380CC4-5D6E-409C-BE32-E72D297353CC}">
              <c16:uniqueId val="{00000001-E3A8-40AB-9340-D26BFA99CBD1}"/>
            </c:ext>
          </c:extLst>
        </c:ser>
        <c:ser>
          <c:idx val="2"/>
          <c:order val="2"/>
          <c:tx>
            <c:strRef>
              <c:f>'3 way interactions'!$B$75</c:f>
              <c:strCache>
                <c:ptCount val="1"/>
                <c:pt idx="0">
                  <c:v>(3) Low Impulsivity, High IAT</c:v>
                </c:pt>
              </c:strCache>
            </c:strRef>
          </c:tx>
          <c:spPr>
            <a:ln w="12700">
              <a:solidFill>
                <a:srgbClr val="000000"/>
              </a:solidFill>
              <a:prstDash val="solid"/>
            </a:ln>
          </c:spPr>
          <c:marker>
            <c:symbol val="square"/>
            <c:size val="5"/>
            <c:spPr>
              <a:solidFill>
                <a:srgbClr val="FFFFFF"/>
              </a:solidFill>
              <a:ln>
                <a:solidFill>
                  <a:srgbClr val="000000"/>
                </a:solidFill>
                <a:prstDash val="solid"/>
              </a:ln>
            </c:spPr>
          </c:marker>
          <c:cat>
            <c:strRef>
              <c:f>'3 way interactions'!$C$72:$D$72</c:f>
              <c:strCache>
                <c:ptCount val="2"/>
                <c:pt idx="0">
                  <c:v>Low NSSI</c:v>
                </c:pt>
                <c:pt idx="1">
                  <c:v>High NSSI</c:v>
                </c:pt>
              </c:strCache>
            </c:strRef>
          </c:cat>
          <c:val>
            <c:numRef>
              <c:f>'3 way interactions'!$C$75:$D$75</c:f>
              <c:numCache>
                <c:formatCode>General</c:formatCode>
                <c:ptCount val="2"/>
                <c:pt idx="0">
                  <c:v>2.6446174400000011</c:v>
                </c:pt>
                <c:pt idx="1">
                  <c:v>3.0135579200000016</c:v>
                </c:pt>
              </c:numCache>
            </c:numRef>
          </c:val>
          <c:smooth val="0"/>
          <c:extLst>
            <c:ext xmlns:c16="http://schemas.microsoft.com/office/drawing/2014/chart" uri="{C3380CC4-5D6E-409C-BE32-E72D297353CC}">
              <c16:uniqueId val="{00000002-E3A8-40AB-9340-D26BFA99CBD1}"/>
            </c:ext>
          </c:extLst>
        </c:ser>
        <c:ser>
          <c:idx val="3"/>
          <c:order val="3"/>
          <c:tx>
            <c:strRef>
              <c:f>'3 way interactions'!$B$76</c:f>
              <c:strCache>
                <c:ptCount val="1"/>
                <c:pt idx="0">
                  <c:v>(4) Low Impulsivity, Low IAT</c:v>
                </c:pt>
              </c:strCache>
            </c:strRef>
          </c:tx>
          <c:spPr>
            <a:ln w="12700">
              <a:solidFill>
                <a:srgbClr val="000000"/>
              </a:solidFill>
              <a:prstDash val="solid"/>
            </a:ln>
          </c:spPr>
          <c:marker>
            <c:symbol val="square"/>
            <c:size val="5"/>
            <c:spPr>
              <a:solidFill>
                <a:srgbClr val="000000"/>
              </a:solidFill>
              <a:ln>
                <a:solidFill>
                  <a:srgbClr val="000000"/>
                </a:solidFill>
                <a:prstDash val="solid"/>
              </a:ln>
            </c:spPr>
          </c:marker>
          <c:cat>
            <c:strRef>
              <c:f>'3 way interactions'!$C$72:$D$72</c:f>
              <c:strCache>
                <c:ptCount val="2"/>
                <c:pt idx="0">
                  <c:v>Low NSSI</c:v>
                </c:pt>
                <c:pt idx="1">
                  <c:v>High NSSI</c:v>
                </c:pt>
              </c:strCache>
            </c:strRef>
          </c:cat>
          <c:val>
            <c:numRef>
              <c:f>'3 way interactions'!$C$76:$D$76</c:f>
              <c:numCache>
                <c:formatCode>General</c:formatCode>
                <c:ptCount val="2"/>
                <c:pt idx="0">
                  <c:v>2.8648927999999998</c:v>
                </c:pt>
                <c:pt idx="1">
                  <c:v>2.4656864000000009</c:v>
                </c:pt>
              </c:numCache>
            </c:numRef>
          </c:val>
          <c:smooth val="0"/>
          <c:extLst>
            <c:ext xmlns:c16="http://schemas.microsoft.com/office/drawing/2014/chart" uri="{C3380CC4-5D6E-409C-BE32-E72D297353CC}">
              <c16:uniqueId val="{00000003-E3A8-40AB-9340-D26BFA99CBD1}"/>
            </c:ext>
          </c:extLst>
        </c:ser>
        <c:dLbls>
          <c:showLegendKey val="0"/>
          <c:showVal val="0"/>
          <c:showCatName val="0"/>
          <c:showSerName val="0"/>
          <c:showPercent val="0"/>
          <c:showBubbleSize val="0"/>
        </c:dLbls>
        <c:marker val="1"/>
        <c:smooth val="0"/>
        <c:axId val="1896457168"/>
        <c:axId val="1"/>
      </c:lineChart>
      <c:catAx>
        <c:axId val="18964571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5"/>
          <c:min val="1"/>
        </c:scaling>
        <c:delete val="0"/>
        <c:axPos val="l"/>
        <c:title>
          <c:tx>
            <c:strRef>
              <c:f>'3 way interactions'!$B$15</c:f>
              <c:strCache>
                <c:ptCount val="1"/>
                <c:pt idx="0">
                  <c:v>Capability</c:v>
                </c:pt>
              </c:strCache>
            </c:strRef>
          </c:tx>
          <c:layout>
            <c:manualLayout>
              <c:xMode val="edge"/>
              <c:yMode val="edge"/>
              <c:x val="2.8153714351051178E-2"/>
              <c:y val="0.43849147276202388"/>
            </c:manualLayout>
          </c:layout>
          <c:overlay val="0"/>
          <c:txPr>
            <a:bodyPr/>
            <a:lstStyle/>
            <a:p>
              <a:pPr>
                <a:defRPr b="1">
                  <a:latin typeface="Times New Roman" panose="02020603050405020304" pitchFamily="18" charset="0"/>
                  <a:cs typeface="Times New Roman" panose="02020603050405020304" pitchFamily="18" charset="0"/>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en-US"/>
          </a:p>
        </c:txPr>
        <c:crossAx val="1896457168"/>
        <c:crosses val="autoZero"/>
        <c:crossBetween val="between"/>
      </c:valAx>
      <c:spPr>
        <a:solidFill>
          <a:srgbClr val="FFFFFF"/>
        </a:solidFill>
        <a:ln w="12700">
          <a:solidFill>
            <a:srgbClr val="808080"/>
          </a:solidFill>
          <a:prstDash val="solid"/>
        </a:ln>
      </c:spPr>
    </c:plotArea>
    <c:legend>
      <c:legendPos val="r"/>
      <c:layout>
        <c:manualLayout>
          <c:xMode val="edge"/>
          <c:yMode val="edge"/>
          <c:x val="0.67484634557610346"/>
          <c:y val="0.34982799824941274"/>
          <c:w val="0.30303980975783579"/>
          <c:h val="0.23993438623389038"/>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CB257-080F-4F70-BB48-9EB6915C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7849</Words>
  <Characters>52044</Characters>
  <Application>Microsoft Office Word</Application>
  <DocSecurity>0</DocSecurity>
  <Lines>598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Russ</dc:creator>
  <cp:keywords/>
  <dc:description/>
  <cp:lastModifiedBy>Sherman, Abby L</cp:lastModifiedBy>
  <cp:revision>3</cp:revision>
  <dcterms:created xsi:type="dcterms:W3CDTF">2023-07-07T16:45:00Z</dcterms:created>
  <dcterms:modified xsi:type="dcterms:W3CDTF">2023-08-21T14:04:00Z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4dc5cef7-5cc6-47e5-8a31-3afea94f39de</vt:lpwstr>
  </property>
</Properties>
</file>