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A9F90" w14:textId="0491ED18" w:rsidR="00E56D9D" w:rsidRPr="00526675" w:rsidRDefault="00E56D9D" w:rsidP="00E56D9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Table </w:t>
      </w:r>
      <w:r>
        <w:rPr>
          <w:rFonts w:asciiTheme="minorHAnsi" w:hAnsiTheme="minorHAnsi" w:cstheme="minorHAnsi"/>
          <w:sz w:val="22"/>
          <w:szCs w:val="22"/>
        </w:rPr>
        <w:t xml:space="preserve">Attachment </w:t>
      </w:r>
      <w:r>
        <w:rPr>
          <w:rFonts w:asciiTheme="minorHAnsi" w:hAnsiTheme="minorHAnsi" w:cstheme="minorHAnsi"/>
          <w:sz w:val="22"/>
          <w:szCs w:val="22"/>
        </w:rPr>
        <w:t xml:space="preserve">S2: </w:t>
      </w:r>
      <w:r w:rsidRPr="001B59D4">
        <w:rPr>
          <w:rFonts w:ascii="Calibri" w:hAnsi="Calibri"/>
          <w:sz w:val="22"/>
          <w:szCs w:val="22"/>
        </w:rPr>
        <w:t xml:space="preserve">Analysis of molecular variance (AMOVA) in </w:t>
      </w:r>
      <w:proofErr w:type="spellStart"/>
      <w:r w:rsidRPr="001B59D4">
        <w:rPr>
          <w:rFonts w:ascii="Calibri" w:hAnsi="Calibri"/>
          <w:i/>
          <w:iCs/>
          <w:sz w:val="22"/>
          <w:szCs w:val="22"/>
        </w:rPr>
        <w:t>Schoenoplectus</w:t>
      </w:r>
      <w:proofErr w:type="spellEnd"/>
      <w:r w:rsidRPr="001B59D4">
        <w:rPr>
          <w:rFonts w:ascii="Calibri" w:hAnsi="Calibri"/>
          <w:i/>
          <w:iCs/>
          <w:sz w:val="22"/>
          <w:szCs w:val="22"/>
        </w:rPr>
        <w:t xml:space="preserve"> americanus</w:t>
      </w:r>
      <w:r w:rsidRPr="001B59D4">
        <w:rPr>
          <w:rFonts w:ascii="Calibri" w:hAnsi="Calibri"/>
          <w:sz w:val="22"/>
          <w:szCs w:val="22"/>
        </w:rPr>
        <w:t xml:space="preserve"> according to time, geography, community type, and across CO</w:t>
      </w:r>
      <w:r w:rsidRPr="001B59D4">
        <w:rPr>
          <w:rFonts w:ascii="Calibri" w:hAnsi="Calibri"/>
          <w:sz w:val="22"/>
          <w:szCs w:val="22"/>
          <w:vertAlign w:val="subscript"/>
        </w:rPr>
        <w:t>2</w:t>
      </w:r>
      <w:r w:rsidRPr="001B59D4">
        <w:rPr>
          <w:rFonts w:ascii="Calibri" w:hAnsi="Calibri"/>
          <w:sz w:val="22"/>
          <w:szCs w:val="22"/>
        </w:rPr>
        <w:t xml:space="preserve"> exposure regimes</w:t>
      </w:r>
    </w:p>
    <w:tbl>
      <w:tblPr>
        <w:tblStyle w:val="PlainTable4"/>
        <w:tblW w:w="13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E0" w:firstRow="1" w:lastRow="1" w:firstColumn="1" w:lastColumn="0" w:noHBand="1" w:noVBand="1"/>
      </w:tblPr>
      <w:tblGrid>
        <w:gridCol w:w="6655"/>
        <w:gridCol w:w="630"/>
        <w:gridCol w:w="1080"/>
        <w:gridCol w:w="1890"/>
        <w:gridCol w:w="1170"/>
        <w:gridCol w:w="1080"/>
        <w:gridCol w:w="990"/>
      </w:tblGrid>
      <w:tr w:rsidR="00E56D9D" w:rsidRPr="000C425D" w14:paraId="69B220F3" w14:textId="77777777" w:rsidTr="00E56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19E8581E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Source of variation</w:t>
            </w:r>
          </w:p>
        </w:tc>
        <w:tc>
          <w:tcPr>
            <w:tcW w:w="630" w:type="dxa"/>
            <w:hideMark/>
          </w:tcPr>
          <w:p w14:paraId="018933AB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DF</w:t>
            </w:r>
          </w:p>
        </w:tc>
        <w:tc>
          <w:tcPr>
            <w:tcW w:w="1080" w:type="dxa"/>
            <w:hideMark/>
          </w:tcPr>
          <w:p w14:paraId="078FE684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SS</w:t>
            </w:r>
          </w:p>
        </w:tc>
        <w:tc>
          <w:tcPr>
            <w:tcW w:w="1890" w:type="dxa"/>
            <w:hideMark/>
          </w:tcPr>
          <w:p w14:paraId="368AFCB1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% of total variation</w:t>
            </w:r>
          </w:p>
        </w:tc>
        <w:tc>
          <w:tcPr>
            <w:tcW w:w="1170" w:type="dxa"/>
            <w:hideMark/>
          </w:tcPr>
          <w:p w14:paraId="0D0CF420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proofErr w:type="spellStart"/>
            <w:r w:rsidRPr="000C425D">
              <w:rPr>
                <w:rFonts w:asciiTheme="minorHAnsi" w:hAnsiTheme="minorHAnsi" w:cstheme="minorHAnsi"/>
                <w:b w:val="0"/>
                <w:sz w:val="20"/>
              </w:rPr>
              <w:t>PhiPT</w:t>
            </w:r>
            <w:proofErr w:type="spellEnd"/>
          </w:p>
        </w:tc>
        <w:tc>
          <w:tcPr>
            <w:tcW w:w="1080" w:type="dxa"/>
            <w:hideMark/>
          </w:tcPr>
          <w:p w14:paraId="44FE14F0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Nm</w:t>
            </w:r>
          </w:p>
        </w:tc>
        <w:tc>
          <w:tcPr>
            <w:tcW w:w="990" w:type="dxa"/>
            <w:hideMark/>
          </w:tcPr>
          <w:p w14:paraId="6276268F" w14:textId="77777777" w:rsidR="00E56D9D" w:rsidRPr="000C425D" w:rsidRDefault="00E56D9D" w:rsidP="00B456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p-value</w:t>
            </w:r>
          </w:p>
        </w:tc>
      </w:tr>
      <w:tr w:rsidR="00E56D9D" w:rsidRPr="000C425D" w14:paraId="2CF39F80" w14:textId="77777777" w:rsidTr="00E56D9D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71A704C8" w14:textId="77777777" w:rsidR="00E56D9D" w:rsidRPr="000C425D" w:rsidRDefault="00E56D9D" w:rsidP="00B4561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Among all depth cohorts</w:t>
            </w:r>
          </w:p>
          <w:p w14:paraId="2F6F6C30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  Within cohorts</w:t>
            </w:r>
          </w:p>
          <w:p w14:paraId="609626E8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  Total</w:t>
            </w:r>
          </w:p>
        </w:tc>
        <w:tc>
          <w:tcPr>
            <w:tcW w:w="630" w:type="dxa"/>
            <w:hideMark/>
          </w:tcPr>
          <w:p w14:paraId="7B5F7855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4</w:t>
            </w:r>
          </w:p>
          <w:p w14:paraId="18983DD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70</w:t>
            </w:r>
          </w:p>
          <w:p w14:paraId="2389C078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74 </w:t>
            </w:r>
          </w:p>
        </w:tc>
        <w:tc>
          <w:tcPr>
            <w:tcW w:w="1080" w:type="dxa"/>
            <w:hideMark/>
          </w:tcPr>
          <w:p w14:paraId="76A98120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50.189</w:t>
            </w:r>
          </w:p>
          <w:p w14:paraId="5FCB980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447.664</w:t>
            </w:r>
          </w:p>
          <w:p w14:paraId="2094BBBC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497.853</w:t>
            </w:r>
          </w:p>
        </w:tc>
        <w:tc>
          <w:tcPr>
            <w:tcW w:w="1890" w:type="dxa"/>
            <w:hideMark/>
          </w:tcPr>
          <w:p w14:paraId="04F2D7B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7%</w:t>
            </w:r>
          </w:p>
          <w:p w14:paraId="73496435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93%</w:t>
            </w:r>
          </w:p>
          <w:p w14:paraId="61964D5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5E213D98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0.072</w:t>
            </w:r>
          </w:p>
          <w:p w14:paraId="3C44E54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</w:t>
            </w:r>
          </w:p>
        </w:tc>
        <w:tc>
          <w:tcPr>
            <w:tcW w:w="1080" w:type="dxa"/>
            <w:hideMark/>
          </w:tcPr>
          <w:p w14:paraId="3A1BE42D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3.200</w:t>
            </w:r>
          </w:p>
        </w:tc>
        <w:tc>
          <w:tcPr>
            <w:tcW w:w="990" w:type="dxa"/>
            <w:hideMark/>
          </w:tcPr>
          <w:p w14:paraId="5B0D6BF6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0.003</w:t>
            </w:r>
          </w:p>
        </w:tc>
      </w:tr>
      <w:tr w:rsidR="00E56D9D" w:rsidRPr="000C425D" w14:paraId="22F4026C" w14:textId="77777777" w:rsidTr="00E56D9D">
        <w:trPr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193AB0E4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(b) Among depth cohorts and extant </w:t>
            </w:r>
            <w:r w:rsidRPr="000C425D">
              <w:rPr>
                <w:rFonts w:asciiTheme="minorHAnsi" w:hAnsiTheme="minorHAnsi" w:cstheme="minorHAnsi"/>
                <w:b w:val="0"/>
                <w:i/>
                <w:sz w:val="20"/>
              </w:rPr>
              <w:t>S. americanus</w:t>
            </w: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in Kirkpatrick Marsh (KM)</w:t>
            </w:r>
          </w:p>
          <w:p w14:paraId="7BA0E7ED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Within populations</w:t>
            </w:r>
          </w:p>
          <w:p w14:paraId="66EE6BC7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Total</w:t>
            </w:r>
          </w:p>
          <w:p w14:paraId="63A994B9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 </w:t>
            </w:r>
          </w:p>
        </w:tc>
        <w:tc>
          <w:tcPr>
            <w:tcW w:w="630" w:type="dxa"/>
            <w:hideMark/>
          </w:tcPr>
          <w:p w14:paraId="7BBB587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1</w:t>
            </w:r>
          </w:p>
          <w:p w14:paraId="5D3DD693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127</w:t>
            </w:r>
          </w:p>
          <w:p w14:paraId="285D9D4C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128</w:t>
            </w:r>
          </w:p>
        </w:tc>
        <w:tc>
          <w:tcPr>
            <w:tcW w:w="1080" w:type="dxa"/>
            <w:hideMark/>
          </w:tcPr>
          <w:p w14:paraId="2A68228F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90.287</w:t>
            </w:r>
          </w:p>
          <w:p w14:paraId="78029965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885.798</w:t>
            </w:r>
          </w:p>
          <w:p w14:paraId="16C3A28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976.085</w:t>
            </w:r>
          </w:p>
        </w:tc>
        <w:tc>
          <w:tcPr>
            <w:tcW w:w="1890" w:type="dxa"/>
            <w:hideMark/>
          </w:tcPr>
          <w:p w14:paraId="6A3F62DE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16%</w:t>
            </w:r>
          </w:p>
          <w:p w14:paraId="1CC0DD94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84%</w:t>
            </w:r>
          </w:p>
          <w:p w14:paraId="2E01451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01C36FE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0.160</w:t>
            </w:r>
          </w:p>
        </w:tc>
        <w:tc>
          <w:tcPr>
            <w:tcW w:w="1080" w:type="dxa"/>
            <w:hideMark/>
          </w:tcPr>
          <w:p w14:paraId="41A89269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1.314</w:t>
            </w:r>
          </w:p>
        </w:tc>
        <w:tc>
          <w:tcPr>
            <w:tcW w:w="990" w:type="dxa"/>
            <w:hideMark/>
          </w:tcPr>
          <w:p w14:paraId="7B05A76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0.001</w:t>
            </w:r>
          </w:p>
        </w:tc>
      </w:tr>
      <w:tr w:rsidR="00E56D9D" w:rsidRPr="000C425D" w14:paraId="1188EE11" w14:textId="77777777" w:rsidTr="00E56D9D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060DA136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(c) Among CO</w:t>
            </w:r>
            <w:r w:rsidRPr="000C425D">
              <w:rPr>
                <w:rFonts w:asciiTheme="minorHAnsi" w:hAnsiTheme="minorHAnsi" w:cstheme="minorHAnsi"/>
                <w:b w:val="0"/>
                <w:sz w:val="20"/>
                <w:vertAlign w:val="subscript"/>
              </w:rPr>
              <w:t>2</w:t>
            </w: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exposure regime across KM</w:t>
            </w:r>
          </w:p>
          <w:p w14:paraId="53EE3C07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Among plots</w:t>
            </w:r>
          </w:p>
          <w:p w14:paraId="7581C736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Within plots</w:t>
            </w:r>
          </w:p>
          <w:p w14:paraId="0EC44753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Total</w:t>
            </w:r>
          </w:p>
        </w:tc>
        <w:tc>
          <w:tcPr>
            <w:tcW w:w="630" w:type="dxa"/>
            <w:hideMark/>
          </w:tcPr>
          <w:p w14:paraId="1AF0F36D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1</w:t>
            </w:r>
          </w:p>
          <w:p w14:paraId="28B75FE3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15</w:t>
            </w:r>
          </w:p>
          <w:p w14:paraId="1DE63F4A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37</w:t>
            </w:r>
          </w:p>
          <w:p w14:paraId="2516B9B9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53</w:t>
            </w:r>
          </w:p>
        </w:tc>
        <w:tc>
          <w:tcPr>
            <w:tcW w:w="1080" w:type="dxa"/>
            <w:hideMark/>
          </w:tcPr>
          <w:p w14:paraId="73DFBEC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14.815</w:t>
            </w:r>
          </w:p>
          <w:p w14:paraId="69A5D61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204.013</w:t>
            </w:r>
          </w:p>
          <w:p w14:paraId="1A12300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169.117</w:t>
            </w:r>
          </w:p>
          <w:p w14:paraId="46C86A6F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387.944</w:t>
            </w:r>
          </w:p>
        </w:tc>
        <w:tc>
          <w:tcPr>
            <w:tcW w:w="1890" w:type="dxa"/>
            <w:hideMark/>
          </w:tcPr>
          <w:p w14:paraId="11A7F686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0%</w:t>
            </w:r>
          </w:p>
          <w:p w14:paraId="73A9301E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39%</w:t>
            </w:r>
          </w:p>
          <w:p w14:paraId="3CA7ED0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61%</w:t>
            </w:r>
          </w:p>
          <w:p w14:paraId="113C0DD1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47EAC538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0.387</w:t>
            </w:r>
          </w:p>
        </w:tc>
        <w:tc>
          <w:tcPr>
            <w:tcW w:w="1080" w:type="dxa"/>
            <w:hideMark/>
          </w:tcPr>
          <w:p w14:paraId="149CDB53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0.396</w:t>
            </w:r>
          </w:p>
        </w:tc>
        <w:tc>
          <w:tcPr>
            <w:tcW w:w="990" w:type="dxa"/>
            <w:hideMark/>
          </w:tcPr>
          <w:p w14:paraId="6096BAC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0.001</w:t>
            </w:r>
          </w:p>
        </w:tc>
      </w:tr>
      <w:tr w:rsidR="00E56D9D" w:rsidRPr="000C425D" w14:paraId="27628DA0" w14:textId="77777777" w:rsidTr="00E56D9D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4D21C05E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(d) Among community plot types in KM</w:t>
            </w:r>
          </w:p>
          <w:p w14:paraId="22DDA6D9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Among plots</w:t>
            </w:r>
          </w:p>
          <w:p w14:paraId="2C569E5C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Within plots</w:t>
            </w:r>
          </w:p>
          <w:p w14:paraId="12060CDC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Total</w:t>
            </w:r>
          </w:p>
        </w:tc>
        <w:tc>
          <w:tcPr>
            <w:tcW w:w="630" w:type="dxa"/>
            <w:hideMark/>
          </w:tcPr>
          <w:p w14:paraId="0D281ACF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2</w:t>
            </w:r>
          </w:p>
          <w:p w14:paraId="5699243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14</w:t>
            </w:r>
          </w:p>
          <w:p w14:paraId="4C0FCBA4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37</w:t>
            </w:r>
          </w:p>
          <w:p w14:paraId="1504351D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53</w:t>
            </w:r>
          </w:p>
        </w:tc>
        <w:tc>
          <w:tcPr>
            <w:tcW w:w="1080" w:type="dxa"/>
            <w:hideMark/>
          </w:tcPr>
          <w:p w14:paraId="5D76478A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84.856</w:t>
            </w:r>
          </w:p>
          <w:p w14:paraId="1DA36734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133.971</w:t>
            </w:r>
          </w:p>
          <w:p w14:paraId="20BB093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169.117</w:t>
            </w:r>
          </w:p>
          <w:p w14:paraId="425D35DB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387.944</w:t>
            </w:r>
          </w:p>
        </w:tc>
        <w:tc>
          <w:tcPr>
            <w:tcW w:w="1890" w:type="dxa"/>
            <w:hideMark/>
          </w:tcPr>
          <w:p w14:paraId="0CE7F93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23%</w:t>
            </w:r>
          </w:p>
          <w:p w14:paraId="3A50609D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20%</w:t>
            </w:r>
          </w:p>
          <w:p w14:paraId="38973244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56%</w:t>
            </w:r>
          </w:p>
          <w:p w14:paraId="1B701C45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36F9341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0.435</w:t>
            </w:r>
          </w:p>
        </w:tc>
        <w:tc>
          <w:tcPr>
            <w:tcW w:w="1080" w:type="dxa"/>
            <w:hideMark/>
          </w:tcPr>
          <w:p w14:paraId="114F6870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0.325</w:t>
            </w:r>
          </w:p>
        </w:tc>
        <w:tc>
          <w:tcPr>
            <w:tcW w:w="990" w:type="dxa"/>
            <w:hideMark/>
          </w:tcPr>
          <w:p w14:paraId="2E66589F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0.001</w:t>
            </w:r>
          </w:p>
        </w:tc>
      </w:tr>
      <w:tr w:rsidR="00E56D9D" w:rsidRPr="000C425D" w14:paraId="0B015D84" w14:textId="77777777" w:rsidTr="00E56D9D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0AE00001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(e) Among extant KM &amp; all other Chesapeake Bay (CM) marshes</w:t>
            </w:r>
          </w:p>
          <w:p w14:paraId="4E6CE7C6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Among all CM</w:t>
            </w:r>
          </w:p>
          <w:p w14:paraId="430486B9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Within all CM</w:t>
            </w:r>
          </w:p>
          <w:p w14:paraId="1FB14159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 Total</w:t>
            </w:r>
          </w:p>
        </w:tc>
        <w:tc>
          <w:tcPr>
            <w:tcW w:w="630" w:type="dxa"/>
            <w:hideMark/>
          </w:tcPr>
          <w:p w14:paraId="6E24BA83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1</w:t>
            </w:r>
          </w:p>
          <w:p w14:paraId="121422DD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132</w:t>
            </w:r>
          </w:p>
          <w:p w14:paraId="298A21B9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133</w:t>
            </w:r>
          </w:p>
          <w:p w14:paraId="333C7AD8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266</w:t>
            </w:r>
          </w:p>
        </w:tc>
        <w:tc>
          <w:tcPr>
            <w:tcW w:w="1080" w:type="dxa"/>
            <w:hideMark/>
          </w:tcPr>
          <w:p w14:paraId="324172A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73.929</w:t>
            </w:r>
          </w:p>
          <w:p w14:paraId="13D7733E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315.840</w:t>
            </w:r>
          </w:p>
          <w:p w14:paraId="4B6CC274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743.142</w:t>
            </w:r>
          </w:p>
          <w:p w14:paraId="266CA712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1132.910</w:t>
            </w:r>
          </w:p>
        </w:tc>
        <w:tc>
          <w:tcPr>
            <w:tcW w:w="1890" w:type="dxa"/>
            <w:hideMark/>
          </w:tcPr>
          <w:p w14:paraId="31522998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 0%</w:t>
            </w:r>
          </w:p>
          <w:p w14:paraId="38126DB5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39%</w:t>
            </w:r>
          </w:p>
          <w:p w14:paraId="36078927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61%</w:t>
            </w:r>
          </w:p>
          <w:p w14:paraId="5A25732F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69C0BFFE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0.313</w:t>
            </w:r>
          </w:p>
        </w:tc>
        <w:tc>
          <w:tcPr>
            <w:tcW w:w="1080" w:type="dxa"/>
            <w:hideMark/>
          </w:tcPr>
          <w:p w14:paraId="22925F06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0.549</w:t>
            </w:r>
          </w:p>
        </w:tc>
        <w:tc>
          <w:tcPr>
            <w:tcW w:w="990" w:type="dxa"/>
            <w:hideMark/>
          </w:tcPr>
          <w:p w14:paraId="6454244C" w14:textId="77777777" w:rsidR="00E56D9D" w:rsidRPr="000C425D" w:rsidRDefault="00E56D9D" w:rsidP="00B456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C425D">
              <w:rPr>
                <w:rFonts w:asciiTheme="minorHAnsi" w:hAnsiTheme="minorHAnsi" w:cstheme="minorHAnsi"/>
                <w:sz w:val="20"/>
              </w:rPr>
              <w:t>0.001</w:t>
            </w:r>
          </w:p>
        </w:tc>
      </w:tr>
      <w:tr w:rsidR="00E56D9D" w:rsidRPr="000C425D" w14:paraId="7C788375" w14:textId="77777777" w:rsidTr="00E56D9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hideMark/>
          </w:tcPr>
          <w:p w14:paraId="4E6D45A1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(f) Among extant Atlantic and Gulf marshes</w:t>
            </w:r>
          </w:p>
          <w:p w14:paraId="5114FF90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Among all marshes</w:t>
            </w:r>
          </w:p>
          <w:p w14:paraId="2D9D1B7E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Within all marshes</w:t>
            </w:r>
          </w:p>
          <w:p w14:paraId="7F3484FD" w14:textId="77777777" w:rsidR="00E56D9D" w:rsidRPr="000C425D" w:rsidRDefault="00E56D9D" w:rsidP="00B45610">
            <w:pPr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 xml:space="preserve">     Total</w:t>
            </w:r>
          </w:p>
        </w:tc>
        <w:tc>
          <w:tcPr>
            <w:tcW w:w="630" w:type="dxa"/>
            <w:hideMark/>
          </w:tcPr>
          <w:p w14:paraId="1CDEE469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1</w:t>
            </w:r>
          </w:p>
          <w:p w14:paraId="2DED456C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33</w:t>
            </w:r>
          </w:p>
          <w:p w14:paraId="028CF955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286</w:t>
            </w:r>
          </w:p>
          <w:p w14:paraId="7545F516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320</w:t>
            </w:r>
          </w:p>
        </w:tc>
        <w:tc>
          <w:tcPr>
            <w:tcW w:w="1080" w:type="dxa"/>
            <w:hideMark/>
          </w:tcPr>
          <w:p w14:paraId="17D84A94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 353.079</w:t>
            </w:r>
          </w:p>
          <w:p w14:paraId="5FB1C470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1279.001</w:t>
            </w:r>
          </w:p>
          <w:p w14:paraId="41C9F120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1576.353</w:t>
            </w:r>
          </w:p>
          <w:p w14:paraId="7B343CCD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3208.433</w:t>
            </w:r>
          </w:p>
        </w:tc>
        <w:tc>
          <w:tcPr>
            <w:tcW w:w="1890" w:type="dxa"/>
            <w:hideMark/>
          </w:tcPr>
          <w:p w14:paraId="1E0D7F0F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 20%</w:t>
            </w:r>
          </w:p>
          <w:p w14:paraId="06D01C39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33%</w:t>
            </w:r>
          </w:p>
          <w:p w14:paraId="78D76BE7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48%</w:t>
            </w:r>
          </w:p>
          <w:p w14:paraId="7B537BC5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100%</w:t>
            </w:r>
          </w:p>
        </w:tc>
        <w:tc>
          <w:tcPr>
            <w:tcW w:w="1170" w:type="dxa"/>
            <w:hideMark/>
          </w:tcPr>
          <w:p w14:paraId="4CC02256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 0.523</w:t>
            </w:r>
          </w:p>
        </w:tc>
        <w:tc>
          <w:tcPr>
            <w:tcW w:w="1080" w:type="dxa"/>
            <w:hideMark/>
          </w:tcPr>
          <w:p w14:paraId="01F21B22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0.228</w:t>
            </w:r>
          </w:p>
        </w:tc>
        <w:tc>
          <w:tcPr>
            <w:tcW w:w="990" w:type="dxa"/>
            <w:hideMark/>
          </w:tcPr>
          <w:p w14:paraId="40078B51" w14:textId="77777777" w:rsidR="00E56D9D" w:rsidRPr="000C425D" w:rsidRDefault="00E56D9D" w:rsidP="00B4561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0"/>
              </w:rPr>
            </w:pPr>
            <w:r w:rsidRPr="000C425D">
              <w:rPr>
                <w:rFonts w:asciiTheme="minorHAnsi" w:hAnsiTheme="minorHAnsi" w:cstheme="minorHAnsi"/>
                <w:b w:val="0"/>
                <w:sz w:val="20"/>
              </w:rPr>
              <w:t>0.001</w:t>
            </w:r>
          </w:p>
        </w:tc>
      </w:tr>
    </w:tbl>
    <w:p w14:paraId="365818F7" w14:textId="77777777" w:rsidR="00E56D9D" w:rsidRDefault="00E56D9D" w:rsidP="00E56D9D">
      <w:pPr>
        <w:rPr>
          <w:rFonts w:asciiTheme="minorHAnsi" w:hAnsiTheme="minorHAnsi" w:cstheme="minorHAnsi"/>
          <w:sz w:val="22"/>
          <w:szCs w:val="22"/>
        </w:rPr>
      </w:pPr>
    </w:p>
    <w:p w14:paraId="115DB033" w14:textId="77777777" w:rsidR="000576E9" w:rsidRDefault="000576E9"/>
    <w:sectPr w:rsidR="000576E9" w:rsidSect="00E56D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E7405"/>
    <w:multiLevelType w:val="hybridMultilevel"/>
    <w:tmpl w:val="48DED056"/>
    <w:lvl w:ilvl="0" w:tplc="134E00F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3AE6E9C" w:tentative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 w:tplc="D19276BC" w:tentative="1">
      <w:start w:val="1"/>
      <w:numFmt w:val="lowerLetter"/>
      <w:lvlText w:val="(%3)"/>
      <w:lvlJc w:val="left"/>
      <w:pPr>
        <w:tabs>
          <w:tab w:val="num" w:pos="1800"/>
        </w:tabs>
        <w:ind w:left="1800" w:hanging="360"/>
      </w:pPr>
    </w:lvl>
    <w:lvl w:ilvl="3" w:tplc="711E0E26" w:tentative="1">
      <w:start w:val="1"/>
      <w:numFmt w:val="lowerLetter"/>
      <w:lvlText w:val="(%4)"/>
      <w:lvlJc w:val="left"/>
      <w:pPr>
        <w:tabs>
          <w:tab w:val="num" w:pos="2520"/>
        </w:tabs>
        <w:ind w:left="2520" w:hanging="360"/>
      </w:pPr>
    </w:lvl>
    <w:lvl w:ilvl="4" w:tplc="050CEA88" w:tentative="1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</w:lvl>
    <w:lvl w:ilvl="5" w:tplc="22601CC4" w:tentative="1">
      <w:start w:val="1"/>
      <w:numFmt w:val="lowerLetter"/>
      <w:lvlText w:val="(%6)"/>
      <w:lvlJc w:val="left"/>
      <w:pPr>
        <w:tabs>
          <w:tab w:val="num" w:pos="3960"/>
        </w:tabs>
        <w:ind w:left="3960" w:hanging="360"/>
      </w:pPr>
    </w:lvl>
    <w:lvl w:ilvl="6" w:tplc="11E85D22" w:tentative="1">
      <w:start w:val="1"/>
      <w:numFmt w:val="lowerLetter"/>
      <w:lvlText w:val="(%7)"/>
      <w:lvlJc w:val="left"/>
      <w:pPr>
        <w:tabs>
          <w:tab w:val="num" w:pos="4680"/>
        </w:tabs>
        <w:ind w:left="4680" w:hanging="360"/>
      </w:pPr>
    </w:lvl>
    <w:lvl w:ilvl="7" w:tplc="725CA0C2" w:tentative="1">
      <w:start w:val="1"/>
      <w:numFmt w:val="lowerLetter"/>
      <w:lvlText w:val="(%8)"/>
      <w:lvlJc w:val="left"/>
      <w:pPr>
        <w:tabs>
          <w:tab w:val="num" w:pos="5400"/>
        </w:tabs>
        <w:ind w:left="5400" w:hanging="360"/>
      </w:pPr>
    </w:lvl>
    <w:lvl w:ilvl="8" w:tplc="CD5CDCEC" w:tentative="1">
      <w:start w:val="1"/>
      <w:numFmt w:val="lowerLetter"/>
      <w:lvlText w:val="(%9)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9D"/>
    <w:rsid w:val="000576E9"/>
    <w:rsid w:val="00E56D9D"/>
    <w:rsid w:val="00EC5102"/>
    <w:rsid w:val="00F5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817C3"/>
  <w15:chartTrackingRefBased/>
  <w15:docId w15:val="{3FC6B8AE-BC7C-433B-A1D5-BB229510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D9D"/>
    <w:pPr>
      <w:spacing w:after="0" w:line="240" w:lineRule="auto"/>
    </w:pPr>
    <w:rPr>
      <w:rFonts w:ascii="Arial" w:eastAsia="Times New Roman" w:hAnsi="Arial" w:cs="Times New Roman"/>
      <w:sz w:val="24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E56D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Summers, Jennifer</dc:creator>
  <cp:keywords/>
  <dc:description/>
  <cp:lastModifiedBy>Summers, Jennifer</cp:lastModifiedBy>
  <cp:revision>1</cp:revision>
  <dcterms:created xsi:type="dcterms:W3CDTF">2021-01-15T20:26:00Z</dcterms:created>
  <dcterms:modified xsi:type="dcterms:W3CDTF">2021-01-15T20:30:00Z</dcterms:modified>
</cp:coreProperties>
</file>